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6002D" w14:textId="67ABF6D3" w:rsidR="00D650A3" w:rsidRPr="006B29A6" w:rsidRDefault="4F312600" w:rsidP="00D650A3">
      <w:pPr>
        <w:spacing w:after="0"/>
        <w:jc w:val="right"/>
        <w:rPr>
          <w:rFonts w:ascii="Times New Roman" w:hAnsi="Times New Roman" w:cs="Times New Roman"/>
          <w:szCs w:val="24"/>
          <w:lang w:eastAsia="lv-LV"/>
        </w:rPr>
      </w:pPr>
      <w:r w:rsidRPr="3CBC995D">
        <w:rPr>
          <w:rFonts w:ascii="Times New Roman" w:hAnsi="Times New Roman" w:cs="Times New Roman"/>
          <w:lang w:eastAsia="lv-LV"/>
        </w:rPr>
        <w:t>4. Pielikums</w:t>
      </w:r>
    </w:p>
    <w:p w14:paraId="6570CD25" w14:textId="75F8099A" w:rsidR="00B66F24" w:rsidRDefault="00B57676" w:rsidP="00B57676">
      <w:pPr>
        <w:spacing w:after="0"/>
        <w:jc w:val="right"/>
        <w:rPr>
          <w:rFonts w:ascii="Times New Roman" w:hAnsi="Times New Roman" w:cs="Times New Roman"/>
          <w:b/>
          <w:bCs/>
          <w:sz w:val="28"/>
          <w:szCs w:val="28"/>
        </w:rPr>
      </w:pPr>
      <w:r>
        <w:rPr>
          <w:rFonts w:ascii="Times New Roman" w:hAnsi="Times New Roman" w:cs="Times New Roman"/>
          <w:szCs w:val="24"/>
          <w:lang w:eastAsia="lv-LV"/>
        </w:rPr>
        <w:t>Plānam “N</w:t>
      </w:r>
      <w:r w:rsidRPr="006B29A6">
        <w:rPr>
          <w:rFonts w:ascii="Times New Roman" w:hAnsi="Times New Roman" w:cs="Times New Roman"/>
          <w:szCs w:val="24"/>
          <w:lang w:eastAsia="lv-LV"/>
        </w:rPr>
        <w:t>otekūdeņu dūņu apsaimniekošanas stratēģija 20</w:t>
      </w:r>
      <w:r>
        <w:rPr>
          <w:rFonts w:ascii="Times New Roman" w:hAnsi="Times New Roman" w:cs="Times New Roman"/>
          <w:szCs w:val="24"/>
          <w:lang w:eastAsia="lv-LV"/>
        </w:rPr>
        <w:t>22.</w:t>
      </w:r>
      <w:r w:rsidRPr="006B29A6">
        <w:rPr>
          <w:rFonts w:ascii="Times New Roman" w:hAnsi="Times New Roman" w:cs="Times New Roman"/>
          <w:szCs w:val="24"/>
          <w:lang w:eastAsia="lv-LV"/>
        </w:rPr>
        <w:t>–20</w:t>
      </w:r>
      <w:r>
        <w:rPr>
          <w:rFonts w:ascii="Times New Roman" w:hAnsi="Times New Roman" w:cs="Times New Roman"/>
          <w:szCs w:val="24"/>
          <w:lang w:eastAsia="lv-LV"/>
        </w:rPr>
        <w:t>27</w:t>
      </w:r>
      <w:r w:rsidRPr="006B29A6">
        <w:rPr>
          <w:rFonts w:ascii="Times New Roman" w:hAnsi="Times New Roman" w:cs="Times New Roman"/>
          <w:szCs w:val="24"/>
          <w:lang w:eastAsia="lv-LV"/>
        </w:rPr>
        <w:t xml:space="preserve">. </w:t>
      </w:r>
      <w:r>
        <w:rPr>
          <w:rFonts w:ascii="Times New Roman" w:hAnsi="Times New Roman" w:cs="Times New Roman"/>
          <w:szCs w:val="24"/>
          <w:lang w:eastAsia="lv-LV"/>
        </w:rPr>
        <w:t>gadam</w:t>
      </w:r>
    </w:p>
    <w:p w14:paraId="3EA4E38F" w14:textId="77777777" w:rsidR="00B57676" w:rsidRDefault="00B57676" w:rsidP="00B66F24">
      <w:pPr>
        <w:spacing w:after="0"/>
        <w:jc w:val="center"/>
        <w:rPr>
          <w:rFonts w:ascii="Times New Roman" w:hAnsi="Times New Roman" w:cs="Times New Roman"/>
          <w:b/>
          <w:bCs/>
          <w:sz w:val="28"/>
          <w:szCs w:val="28"/>
        </w:rPr>
      </w:pPr>
    </w:p>
    <w:p w14:paraId="456591FC" w14:textId="307F7288" w:rsidR="00B66F24" w:rsidRDefault="00B66F24" w:rsidP="00B66F24">
      <w:pPr>
        <w:spacing w:after="0"/>
        <w:jc w:val="center"/>
        <w:rPr>
          <w:rFonts w:ascii="Times New Roman" w:hAnsi="Times New Roman" w:cs="Times New Roman"/>
          <w:b/>
          <w:bCs/>
          <w:sz w:val="28"/>
          <w:szCs w:val="28"/>
        </w:rPr>
      </w:pPr>
      <w:r w:rsidRPr="00B66F24">
        <w:rPr>
          <w:rFonts w:ascii="Times New Roman" w:hAnsi="Times New Roman" w:cs="Times New Roman"/>
          <w:b/>
          <w:bCs/>
          <w:sz w:val="28"/>
          <w:szCs w:val="28"/>
        </w:rPr>
        <w:t>LATVIJAS NOTEKŪDEŅU DŪŅU</w:t>
      </w:r>
      <w:r w:rsidR="00595E97">
        <w:rPr>
          <w:rFonts w:ascii="Times New Roman" w:hAnsi="Times New Roman" w:cs="Times New Roman"/>
          <w:b/>
          <w:bCs/>
          <w:sz w:val="28"/>
          <w:szCs w:val="28"/>
        </w:rPr>
        <w:t xml:space="preserve"> APSAIMNIEKOŠANAS</w:t>
      </w:r>
      <w:r w:rsidRPr="00B66F24">
        <w:rPr>
          <w:rFonts w:ascii="Times New Roman" w:hAnsi="Times New Roman" w:cs="Times New Roman"/>
          <w:b/>
          <w:bCs/>
          <w:sz w:val="28"/>
          <w:szCs w:val="28"/>
        </w:rPr>
        <w:t xml:space="preserve"> STRATĒĢIJAS ALTERNATĪVU ANALĪZE</w:t>
      </w:r>
    </w:p>
    <w:p w14:paraId="04ACED39" w14:textId="77777777" w:rsidR="00B66F24" w:rsidRDefault="00B66F24" w:rsidP="00B66F24">
      <w:pPr>
        <w:spacing w:after="0"/>
        <w:jc w:val="center"/>
        <w:rPr>
          <w:rFonts w:ascii="Times New Roman" w:hAnsi="Times New Roman" w:cs="Times New Roman"/>
          <w:b/>
          <w:bCs/>
          <w:sz w:val="28"/>
          <w:szCs w:val="28"/>
        </w:rPr>
      </w:pPr>
    </w:p>
    <w:p w14:paraId="3A8C5021" w14:textId="0D93841E" w:rsidR="00E563E0" w:rsidRPr="00B66F24" w:rsidRDefault="00B66F24" w:rsidP="00B66F24">
      <w:pPr>
        <w:spacing w:after="0"/>
        <w:jc w:val="center"/>
        <w:rPr>
          <w:rFonts w:ascii="Times New Roman" w:hAnsi="Times New Roman" w:cs="Times New Roman"/>
          <w:b/>
          <w:bCs/>
          <w:szCs w:val="24"/>
        </w:rPr>
      </w:pPr>
      <w:r w:rsidRPr="00F03134">
        <w:rPr>
          <w:rFonts w:ascii="Times New Roman" w:hAnsi="Times New Roman" w:cs="Times New Roman"/>
          <w:b/>
          <w:bCs/>
          <w:szCs w:val="24"/>
        </w:rPr>
        <w:t>Satura rādītājs</w:t>
      </w:r>
    </w:p>
    <w:sdt>
      <w:sdtPr>
        <w:rPr>
          <w:rFonts w:ascii="Times New Roman" w:eastAsiaTheme="minorHAnsi" w:hAnsi="Times New Roman" w:cs="Times New Roman"/>
          <w:color w:val="auto"/>
          <w:sz w:val="24"/>
          <w:szCs w:val="24"/>
          <w:lang w:val="lv-LV"/>
        </w:rPr>
        <w:id w:val="1762100768"/>
        <w:docPartObj>
          <w:docPartGallery w:val="Table of Contents"/>
          <w:docPartUnique/>
        </w:docPartObj>
      </w:sdtPr>
      <w:sdtContent>
        <w:p w14:paraId="5559162B" w14:textId="1718A4A4" w:rsidR="00674740" w:rsidRPr="00AC0A07" w:rsidRDefault="00674740" w:rsidP="00AC0A07">
          <w:pPr>
            <w:pStyle w:val="TOCHeading"/>
            <w:spacing w:before="0" w:line="240" w:lineRule="auto"/>
            <w:rPr>
              <w:rFonts w:ascii="Times New Roman" w:hAnsi="Times New Roman" w:cs="Times New Roman"/>
              <w:sz w:val="24"/>
              <w:szCs w:val="24"/>
            </w:rPr>
          </w:pPr>
        </w:p>
        <w:p w14:paraId="1113001E" w14:textId="19890AFB" w:rsidR="004227EA" w:rsidRDefault="005B67F4">
          <w:pPr>
            <w:pStyle w:val="TOC1"/>
            <w:tabs>
              <w:tab w:val="right" w:leader="dot" w:pos="8494"/>
            </w:tabs>
            <w:rPr>
              <w:rFonts w:asciiTheme="minorHAnsi" w:eastAsiaTheme="minorEastAsia" w:hAnsiTheme="minorHAnsi" w:cstheme="minorBidi"/>
              <w:b w:val="0"/>
              <w:bCs w:val="0"/>
              <w:caps w:val="0"/>
              <w:noProof/>
              <w:sz w:val="22"/>
              <w:szCs w:val="22"/>
              <w:lang w:eastAsia="lv-LV"/>
            </w:rPr>
          </w:pPr>
          <w:r w:rsidRPr="00AF2B58">
            <w:rPr>
              <w:rFonts w:ascii="Times New Roman" w:hAnsi="Times New Roman" w:cs="Times New Roman"/>
              <w:b w:val="0"/>
              <w:bCs w:val="0"/>
              <w:caps w:val="0"/>
            </w:rPr>
            <w:fldChar w:fldCharType="begin"/>
          </w:r>
          <w:r w:rsidRPr="00AF2B58">
            <w:rPr>
              <w:rFonts w:ascii="Times New Roman" w:hAnsi="Times New Roman" w:cs="Times New Roman"/>
              <w:b w:val="0"/>
              <w:bCs w:val="0"/>
              <w:caps w:val="0"/>
            </w:rPr>
            <w:instrText xml:space="preserve"> TOC \o "1-3" \h \z \u </w:instrText>
          </w:r>
          <w:r w:rsidRPr="00AF2B58">
            <w:rPr>
              <w:rFonts w:ascii="Times New Roman" w:hAnsi="Times New Roman" w:cs="Times New Roman"/>
              <w:b w:val="0"/>
              <w:bCs w:val="0"/>
              <w:caps w:val="0"/>
            </w:rPr>
            <w:fldChar w:fldCharType="separate"/>
          </w:r>
          <w:hyperlink w:anchor="_Toc107916294" w:history="1">
            <w:r w:rsidR="004227EA" w:rsidRPr="00671287">
              <w:rPr>
                <w:rStyle w:val="Hyperlink"/>
                <w:rFonts w:ascii="Times New Roman" w:eastAsia="Calibri" w:hAnsi="Times New Roman" w:cs="Times New Roman"/>
                <w:noProof/>
                <w:lang w:eastAsia="lv-LV"/>
              </w:rPr>
              <w:t>IEVADS</w:t>
            </w:r>
            <w:r w:rsidR="004227EA">
              <w:rPr>
                <w:noProof/>
                <w:webHidden/>
              </w:rPr>
              <w:tab/>
            </w:r>
            <w:r w:rsidR="004227EA">
              <w:rPr>
                <w:noProof/>
                <w:webHidden/>
              </w:rPr>
              <w:fldChar w:fldCharType="begin"/>
            </w:r>
            <w:r w:rsidR="004227EA">
              <w:rPr>
                <w:noProof/>
                <w:webHidden/>
              </w:rPr>
              <w:instrText xml:space="preserve"> PAGEREF _Toc107916294 \h </w:instrText>
            </w:r>
            <w:r w:rsidR="004227EA">
              <w:rPr>
                <w:noProof/>
                <w:webHidden/>
              </w:rPr>
            </w:r>
            <w:r w:rsidR="004227EA">
              <w:rPr>
                <w:noProof/>
                <w:webHidden/>
              </w:rPr>
              <w:fldChar w:fldCharType="separate"/>
            </w:r>
            <w:r w:rsidR="004227EA">
              <w:rPr>
                <w:noProof/>
                <w:webHidden/>
              </w:rPr>
              <w:t>4</w:t>
            </w:r>
            <w:r w:rsidR="004227EA">
              <w:rPr>
                <w:noProof/>
                <w:webHidden/>
              </w:rPr>
              <w:fldChar w:fldCharType="end"/>
            </w:r>
          </w:hyperlink>
        </w:p>
        <w:p w14:paraId="20F83479" w14:textId="09B83553"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295" w:history="1">
            <w:r w:rsidR="004227EA" w:rsidRPr="00671287">
              <w:rPr>
                <w:rStyle w:val="Hyperlink"/>
                <w:rFonts w:ascii="Times New Roman" w:hAnsi="Times New Roman" w:cs="Times New Roman"/>
                <w:noProof/>
              </w:rPr>
              <w:t>1. NOTEKŪDEŅU DŪŅU APSAIMNIEKOŠANAS ALTERNATĪVAS IZMANTOJOT PASTĀVOŠO INFRASTRUKTŪRU ĀRPUS SPS UZŅĒMUMIEM</w:t>
            </w:r>
            <w:r w:rsidR="004227EA">
              <w:rPr>
                <w:noProof/>
                <w:webHidden/>
              </w:rPr>
              <w:tab/>
            </w:r>
            <w:r w:rsidR="004227EA">
              <w:rPr>
                <w:noProof/>
                <w:webHidden/>
              </w:rPr>
              <w:fldChar w:fldCharType="begin"/>
            </w:r>
            <w:r w:rsidR="004227EA">
              <w:rPr>
                <w:noProof/>
                <w:webHidden/>
              </w:rPr>
              <w:instrText xml:space="preserve"> PAGEREF _Toc107916295 \h </w:instrText>
            </w:r>
            <w:r w:rsidR="004227EA">
              <w:rPr>
                <w:noProof/>
                <w:webHidden/>
              </w:rPr>
            </w:r>
            <w:r w:rsidR="004227EA">
              <w:rPr>
                <w:noProof/>
                <w:webHidden/>
              </w:rPr>
              <w:fldChar w:fldCharType="separate"/>
            </w:r>
            <w:r w:rsidR="004227EA">
              <w:rPr>
                <w:noProof/>
                <w:webHidden/>
              </w:rPr>
              <w:t>6</w:t>
            </w:r>
            <w:r w:rsidR="004227EA">
              <w:rPr>
                <w:noProof/>
                <w:webHidden/>
              </w:rPr>
              <w:fldChar w:fldCharType="end"/>
            </w:r>
          </w:hyperlink>
        </w:p>
        <w:p w14:paraId="6D01DAEC" w14:textId="39BAA281" w:rsidR="004227EA" w:rsidRDefault="00000000" w:rsidP="004227EA">
          <w:pPr>
            <w:pStyle w:val="TOC2"/>
            <w:rPr>
              <w:rFonts w:eastAsiaTheme="minorEastAsia" w:cstheme="minorBidi"/>
              <w:noProof/>
              <w:sz w:val="22"/>
              <w:szCs w:val="22"/>
              <w:lang w:eastAsia="lv-LV"/>
            </w:rPr>
          </w:pPr>
          <w:hyperlink w:anchor="_Toc107916296" w:history="1">
            <w:r w:rsidR="004227EA" w:rsidRPr="00671287">
              <w:rPr>
                <w:rStyle w:val="Hyperlink"/>
                <w:rFonts w:ascii="Times New Roman" w:hAnsi="Times New Roman" w:cs="Times New Roman"/>
                <w:noProof/>
              </w:rPr>
              <w:t>A1. Alternatīva: Notekūdeņu dūņu apsaimniekošana atkritumu apsaimniekošanas sistēmā</w:t>
            </w:r>
            <w:r w:rsidR="004227EA">
              <w:rPr>
                <w:noProof/>
                <w:webHidden/>
              </w:rPr>
              <w:tab/>
            </w:r>
            <w:r w:rsidR="004227EA">
              <w:rPr>
                <w:noProof/>
                <w:webHidden/>
              </w:rPr>
              <w:fldChar w:fldCharType="begin"/>
            </w:r>
            <w:r w:rsidR="004227EA">
              <w:rPr>
                <w:noProof/>
                <w:webHidden/>
              </w:rPr>
              <w:instrText xml:space="preserve"> PAGEREF _Toc107916296 \h </w:instrText>
            </w:r>
            <w:r w:rsidR="004227EA">
              <w:rPr>
                <w:noProof/>
                <w:webHidden/>
              </w:rPr>
            </w:r>
            <w:r w:rsidR="004227EA">
              <w:rPr>
                <w:noProof/>
                <w:webHidden/>
              </w:rPr>
              <w:fldChar w:fldCharType="separate"/>
            </w:r>
            <w:r w:rsidR="004227EA">
              <w:rPr>
                <w:noProof/>
                <w:webHidden/>
              </w:rPr>
              <w:t>6</w:t>
            </w:r>
            <w:r w:rsidR="004227EA">
              <w:rPr>
                <w:noProof/>
                <w:webHidden/>
              </w:rPr>
              <w:fldChar w:fldCharType="end"/>
            </w:r>
          </w:hyperlink>
        </w:p>
        <w:p w14:paraId="7B388F2F" w14:textId="1EA7A390" w:rsidR="004227EA" w:rsidRDefault="00000000" w:rsidP="004227EA">
          <w:pPr>
            <w:pStyle w:val="TOC2"/>
            <w:rPr>
              <w:rFonts w:eastAsiaTheme="minorEastAsia" w:cstheme="minorBidi"/>
              <w:noProof/>
              <w:sz w:val="22"/>
              <w:szCs w:val="22"/>
              <w:lang w:eastAsia="lv-LV"/>
            </w:rPr>
          </w:pPr>
          <w:hyperlink w:anchor="_Toc107916297" w:history="1">
            <w:r w:rsidR="004227EA" w:rsidRPr="00671287">
              <w:rPr>
                <w:rStyle w:val="Hyperlink"/>
                <w:rFonts w:ascii="Times New Roman" w:hAnsi="Times New Roman" w:cs="Times New Roman"/>
                <w:noProof/>
              </w:rPr>
              <w:t>A2. Alternatīva: Notekūdeņu dūņu apsaimniekošana lauksaimniecības organizāciju infrastruktūrā</w:t>
            </w:r>
            <w:r w:rsidR="004227EA">
              <w:rPr>
                <w:noProof/>
                <w:webHidden/>
              </w:rPr>
              <w:tab/>
            </w:r>
            <w:r w:rsidR="004227EA">
              <w:rPr>
                <w:noProof/>
                <w:webHidden/>
              </w:rPr>
              <w:fldChar w:fldCharType="begin"/>
            </w:r>
            <w:r w:rsidR="004227EA">
              <w:rPr>
                <w:noProof/>
                <w:webHidden/>
              </w:rPr>
              <w:instrText xml:space="preserve"> PAGEREF _Toc107916297 \h </w:instrText>
            </w:r>
            <w:r w:rsidR="004227EA">
              <w:rPr>
                <w:noProof/>
                <w:webHidden/>
              </w:rPr>
            </w:r>
            <w:r w:rsidR="004227EA">
              <w:rPr>
                <w:noProof/>
                <w:webHidden/>
              </w:rPr>
              <w:fldChar w:fldCharType="separate"/>
            </w:r>
            <w:r w:rsidR="004227EA">
              <w:rPr>
                <w:noProof/>
                <w:webHidden/>
              </w:rPr>
              <w:t>9</w:t>
            </w:r>
            <w:r w:rsidR="004227EA">
              <w:rPr>
                <w:noProof/>
                <w:webHidden/>
              </w:rPr>
              <w:fldChar w:fldCharType="end"/>
            </w:r>
          </w:hyperlink>
        </w:p>
        <w:p w14:paraId="43D9FD3A" w14:textId="2E8EC668" w:rsidR="004227EA" w:rsidRDefault="00000000" w:rsidP="004227EA">
          <w:pPr>
            <w:pStyle w:val="TOC2"/>
            <w:rPr>
              <w:rFonts w:eastAsiaTheme="minorEastAsia" w:cstheme="minorBidi"/>
              <w:noProof/>
              <w:sz w:val="22"/>
              <w:szCs w:val="22"/>
              <w:lang w:eastAsia="lv-LV"/>
            </w:rPr>
          </w:pPr>
          <w:hyperlink w:anchor="_Toc107916298" w:history="1">
            <w:r w:rsidR="004227EA" w:rsidRPr="00671287">
              <w:rPr>
                <w:rStyle w:val="Hyperlink"/>
                <w:rFonts w:ascii="Times New Roman" w:hAnsi="Times New Roman" w:cs="Times New Roman"/>
                <w:noProof/>
              </w:rPr>
              <w:t>A3. Alternatīva: Notekūdeņu dūņu apsaimniekošanu veic jaunizveidots ārpakalpojuma sniedzējs</w:t>
            </w:r>
            <w:r w:rsidR="004227EA">
              <w:rPr>
                <w:noProof/>
                <w:webHidden/>
              </w:rPr>
              <w:tab/>
            </w:r>
            <w:r w:rsidR="004227EA">
              <w:rPr>
                <w:noProof/>
                <w:webHidden/>
              </w:rPr>
              <w:fldChar w:fldCharType="begin"/>
            </w:r>
            <w:r w:rsidR="004227EA">
              <w:rPr>
                <w:noProof/>
                <w:webHidden/>
              </w:rPr>
              <w:instrText xml:space="preserve"> PAGEREF _Toc107916298 \h </w:instrText>
            </w:r>
            <w:r w:rsidR="004227EA">
              <w:rPr>
                <w:noProof/>
                <w:webHidden/>
              </w:rPr>
            </w:r>
            <w:r w:rsidR="004227EA">
              <w:rPr>
                <w:noProof/>
                <w:webHidden/>
              </w:rPr>
              <w:fldChar w:fldCharType="separate"/>
            </w:r>
            <w:r w:rsidR="004227EA">
              <w:rPr>
                <w:noProof/>
                <w:webHidden/>
              </w:rPr>
              <w:t>10</w:t>
            </w:r>
            <w:r w:rsidR="004227EA">
              <w:rPr>
                <w:noProof/>
                <w:webHidden/>
              </w:rPr>
              <w:fldChar w:fldCharType="end"/>
            </w:r>
          </w:hyperlink>
        </w:p>
        <w:p w14:paraId="1CD47D5A" w14:textId="08BC588A"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299" w:history="1">
            <w:r w:rsidR="004227EA" w:rsidRPr="00671287">
              <w:rPr>
                <w:rStyle w:val="Hyperlink"/>
                <w:rFonts w:ascii="Times New Roman" w:eastAsia="Calibri" w:hAnsi="Times New Roman" w:cs="Times New Roman"/>
                <w:noProof/>
                <w:lang w:eastAsia="lv-LV"/>
              </w:rPr>
              <w:t xml:space="preserve">2. </w:t>
            </w:r>
            <w:r w:rsidR="004227EA" w:rsidRPr="00671287">
              <w:rPr>
                <w:rStyle w:val="Hyperlink"/>
                <w:rFonts w:ascii="Times New Roman" w:hAnsi="Times New Roman" w:cs="Times New Roman"/>
                <w:noProof/>
              </w:rPr>
              <w:t>NOTEKŪDEŅU DŪŅU UTILIZĀCIJAS ALTERNATĪVU NOVĒRTĒJUMS</w:t>
            </w:r>
            <w:r w:rsidR="004227EA">
              <w:rPr>
                <w:noProof/>
                <w:webHidden/>
              </w:rPr>
              <w:tab/>
            </w:r>
            <w:r w:rsidR="004227EA">
              <w:rPr>
                <w:noProof/>
                <w:webHidden/>
              </w:rPr>
              <w:fldChar w:fldCharType="begin"/>
            </w:r>
            <w:r w:rsidR="004227EA">
              <w:rPr>
                <w:noProof/>
                <w:webHidden/>
              </w:rPr>
              <w:instrText xml:space="preserve"> PAGEREF _Toc107916299 \h </w:instrText>
            </w:r>
            <w:r w:rsidR="004227EA">
              <w:rPr>
                <w:noProof/>
                <w:webHidden/>
              </w:rPr>
            </w:r>
            <w:r w:rsidR="004227EA">
              <w:rPr>
                <w:noProof/>
                <w:webHidden/>
              </w:rPr>
              <w:fldChar w:fldCharType="separate"/>
            </w:r>
            <w:r w:rsidR="004227EA">
              <w:rPr>
                <w:noProof/>
                <w:webHidden/>
              </w:rPr>
              <w:t>13</w:t>
            </w:r>
            <w:r w:rsidR="004227EA">
              <w:rPr>
                <w:noProof/>
                <w:webHidden/>
              </w:rPr>
              <w:fldChar w:fldCharType="end"/>
            </w:r>
          </w:hyperlink>
        </w:p>
        <w:p w14:paraId="1ED9B306" w14:textId="30455D40" w:rsidR="004227EA" w:rsidRDefault="00000000" w:rsidP="004227EA">
          <w:pPr>
            <w:pStyle w:val="TOC2"/>
            <w:rPr>
              <w:rFonts w:eastAsiaTheme="minorEastAsia" w:cstheme="minorBidi"/>
              <w:noProof/>
              <w:sz w:val="22"/>
              <w:szCs w:val="22"/>
              <w:lang w:eastAsia="lv-LV"/>
            </w:rPr>
          </w:pPr>
          <w:hyperlink w:anchor="_Toc107916300" w:history="1">
            <w:r w:rsidR="004227EA" w:rsidRPr="00671287">
              <w:rPr>
                <w:rStyle w:val="Hyperlink"/>
                <w:rFonts w:ascii="Times New Roman" w:hAnsi="Times New Roman" w:cs="Times New Roman"/>
                <w:noProof/>
              </w:rPr>
              <w:t>B1. Alternatīva: Pārstrādātu notekūdeņu dūņu iestrāde augsnē</w:t>
            </w:r>
            <w:r w:rsidR="004227EA">
              <w:rPr>
                <w:noProof/>
                <w:webHidden/>
              </w:rPr>
              <w:tab/>
            </w:r>
            <w:r w:rsidR="004227EA">
              <w:rPr>
                <w:noProof/>
                <w:webHidden/>
              </w:rPr>
              <w:fldChar w:fldCharType="begin"/>
            </w:r>
            <w:r w:rsidR="004227EA">
              <w:rPr>
                <w:noProof/>
                <w:webHidden/>
              </w:rPr>
              <w:instrText xml:space="preserve"> PAGEREF _Toc107916300 \h </w:instrText>
            </w:r>
            <w:r w:rsidR="004227EA">
              <w:rPr>
                <w:noProof/>
                <w:webHidden/>
              </w:rPr>
            </w:r>
            <w:r w:rsidR="004227EA">
              <w:rPr>
                <w:noProof/>
                <w:webHidden/>
              </w:rPr>
              <w:fldChar w:fldCharType="separate"/>
            </w:r>
            <w:r w:rsidR="004227EA">
              <w:rPr>
                <w:noProof/>
                <w:webHidden/>
              </w:rPr>
              <w:t>13</w:t>
            </w:r>
            <w:r w:rsidR="004227EA">
              <w:rPr>
                <w:noProof/>
                <w:webHidden/>
              </w:rPr>
              <w:fldChar w:fldCharType="end"/>
            </w:r>
          </w:hyperlink>
        </w:p>
        <w:p w14:paraId="20B5B20B" w14:textId="278182D5" w:rsidR="004227EA" w:rsidRDefault="00000000" w:rsidP="004227EA">
          <w:pPr>
            <w:pStyle w:val="TOC2"/>
            <w:rPr>
              <w:rFonts w:eastAsiaTheme="minorEastAsia" w:cstheme="minorBidi"/>
              <w:noProof/>
              <w:sz w:val="22"/>
              <w:szCs w:val="22"/>
              <w:lang w:eastAsia="lv-LV"/>
            </w:rPr>
          </w:pPr>
          <w:hyperlink w:anchor="_Toc107916301" w:history="1">
            <w:r w:rsidR="004227EA" w:rsidRPr="00671287">
              <w:rPr>
                <w:rStyle w:val="Hyperlink"/>
                <w:rFonts w:ascii="Times New Roman" w:eastAsia="Times New Roman" w:hAnsi="Times New Roman" w:cs="Times New Roman"/>
                <w:noProof/>
                <w:lang w:eastAsia="en-GB"/>
              </w:rPr>
              <w:t>B2. Alternatīva: Pārstrādātu notekūdeņu dūņu dedzināšana</w:t>
            </w:r>
            <w:r w:rsidR="004227EA">
              <w:rPr>
                <w:noProof/>
                <w:webHidden/>
              </w:rPr>
              <w:tab/>
            </w:r>
            <w:r w:rsidR="004227EA">
              <w:rPr>
                <w:noProof/>
                <w:webHidden/>
              </w:rPr>
              <w:fldChar w:fldCharType="begin"/>
            </w:r>
            <w:r w:rsidR="004227EA">
              <w:rPr>
                <w:noProof/>
                <w:webHidden/>
              </w:rPr>
              <w:instrText xml:space="preserve"> PAGEREF _Toc107916301 \h </w:instrText>
            </w:r>
            <w:r w:rsidR="004227EA">
              <w:rPr>
                <w:noProof/>
                <w:webHidden/>
              </w:rPr>
            </w:r>
            <w:r w:rsidR="004227EA">
              <w:rPr>
                <w:noProof/>
                <w:webHidden/>
              </w:rPr>
              <w:fldChar w:fldCharType="separate"/>
            </w:r>
            <w:r w:rsidR="004227EA">
              <w:rPr>
                <w:noProof/>
                <w:webHidden/>
              </w:rPr>
              <w:t>14</w:t>
            </w:r>
            <w:r w:rsidR="004227EA">
              <w:rPr>
                <w:noProof/>
                <w:webHidden/>
              </w:rPr>
              <w:fldChar w:fldCharType="end"/>
            </w:r>
          </w:hyperlink>
        </w:p>
        <w:p w14:paraId="757C00B2" w14:textId="287BE8A7" w:rsidR="004227EA" w:rsidRDefault="00000000">
          <w:pPr>
            <w:pStyle w:val="TOC3"/>
            <w:tabs>
              <w:tab w:val="right" w:leader="dot" w:pos="8494"/>
            </w:tabs>
            <w:rPr>
              <w:rFonts w:eastAsiaTheme="minorEastAsia" w:cstheme="minorBidi"/>
              <w:noProof/>
              <w:sz w:val="22"/>
              <w:szCs w:val="22"/>
              <w:lang w:eastAsia="lv-LV"/>
            </w:rPr>
          </w:pPr>
          <w:hyperlink w:anchor="_Toc107916302" w:history="1">
            <w:r w:rsidR="004227EA" w:rsidRPr="00671287">
              <w:rPr>
                <w:rStyle w:val="Hyperlink"/>
                <w:rFonts w:ascii="Times New Roman" w:eastAsia="Times New Roman" w:hAnsi="Times New Roman" w:cs="Times New Roman"/>
                <w:b/>
                <w:bCs/>
                <w:noProof/>
                <w:lang w:eastAsia="en-GB"/>
              </w:rPr>
              <w:t>B2.1. Alternatīva: Pārstrādātu notekūdeņu dūņu monodedzināšana</w:t>
            </w:r>
            <w:r w:rsidR="004227EA">
              <w:rPr>
                <w:noProof/>
                <w:webHidden/>
              </w:rPr>
              <w:tab/>
            </w:r>
            <w:r w:rsidR="004227EA">
              <w:rPr>
                <w:noProof/>
                <w:webHidden/>
              </w:rPr>
              <w:fldChar w:fldCharType="begin"/>
            </w:r>
            <w:r w:rsidR="004227EA">
              <w:rPr>
                <w:noProof/>
                <w:webHidden/>
              </w:rPr>
              <w:instrText xml:space="preserve"> PAGEREF _Toc107916302 \h </w:instrText>
            </w:r>
            <w:r w:rsidR="004227EA">
              <w:rPr>
                <w:noProof/>
                <w:webHidden/>
              </w:rPr>
            </w:r>
            <w:r w:rsidR="004227EA">
              <w:rPr>
                <w:noProof/>
                <w:webHidden/>
              </w:rPr>
              <w:fldChar w:fldCharType="separate"/>
            </w:r>
            <w:r w:rsidR="004227EA">
              <w:rPr>
                <w:noProof/>
                <w:webHidden/>
              </w:rPr>
              <w:t>14</w:t>
            </w:r>
            <w:r w:rsidR="004227EA">
              <w:rPr>
                <w:noProof/>
                <w:webHidden/>
              </w:rPr>
              <w:fldChar w:fldCharType="end"/>
            </w:r>
          </w:hyperlink>
        </w:p>
        <w:p w14:paraId="3133AF6A" w14:textId="389145F1" w:rsidR="004227EA" w:rsidRDefault="00000000">
          <w:pPr>
            <w:pStyle w:val="TOC3"/>
            <w:tabs>
              <w:tab w:val="right" w:leader="dot" w:pos="8494"/>
            </w:tabs>
            <w:rPr>
              <w:rFonts w:eastAsiaTheme="minorEastAsia" w:cstheme="minorBidi"/>
              <w:noProof/>
              <w:sz w:val="22"/>
              <w:szCs w:val="22"/>
              <w:lang w:eastAsia="lv-LV"/>
            </w:rPr>
          </w:pPr>
          <w:hyperlink w:anchor="_Toc107916303" w:history="1">
            <w:r w:rsidR="004227EA" w:rsidRPr="00671287">
              <w:rPr>
                <w:rStyle w:val="Hyperlink"/>
                <w:rFonts w:ascii="Times New Roman" w:eastAsia="Times New Roman" w:hAnsi="Times New Roman" w:cs="Times New Roman"/>
                <w:b/>
                <w:bCs/>
                <w:noProof/>
                <w:lang w:eastAsia="en-GB"/>
              </w:rPr>
              <w:t>B2.2. Alternatīva: Pārstrādātu notekūdeņu dūņu līdzdedzināšana cementa rūpnīcā</w:t>
            </w:r>
            <w:r w:rsidR="004227EA">
              <w:rPr>
                <w:noProof/>
                <w:webHidden/>
              </w:rPr>
              <w:tab/>
            </w:r>
            <w:r w:rsidR="004227EA">
              <w:rPr>
                <w:noProof/>
                <w:webHidden/>
              </w:rPr>
              <w:fldChar w:fldCharType="begin"/>
            </w:r>
            <w:r w:rsidR="004227EA">
              <w:rPr>
                <w:noProof/>
                <w:webHidden/>
              </w:rPr>
              <w:instrText xml:space="preserve"> PAGEREF _Toc107916303 \h </w:instrText>
            </w:r>
            <w:r w:rsidR="004227EA">
              <w:rPr>
                <w:noProof/>
                <w:webHidden/>
              </w:rPr>
            </w:r>
            <w:r w:rsidR="004227EA">
              <w:rPr>
                <w:noProof/>
                <w:webHidden/>
              </w:rPr>
              <w:fldChar w:fldCharType="separate"/>
            </w:r>
            <w:r w:rsidR="004227EA">
              <w:rPr>
                <w:noProof/>
                <w:webHidden/>
              </w:rPr>
              <w:t>14</w:t>
            </w:r>
            <w:r w:rsidR="004227EA">
              <w:rPr>
                <w:noProof/>
                <w:webHidden/>
              </w:rPr>
              <w:fldChar w:fldCharType="end"/>
            </w:r>
          </w:hyperlink>
        </w:p>
        <w:p w14:paraId="26DD4E00" w14:textId="6C93C72F" w:rsidR="004227EA" w:rsidRDefault="00000000">
          <w:pPr>
            <w:pStyle w:val="TOC3"/>
            <w:tabs>
              <w:tab w:val="right" w:leader="dot" w:pos="8494"/>
            </w:tabs>
            <w:rPr>
              <w:rFonts w:eastAsiaTheme="minorEastAsia" w:cstheme="minorBidi"/>
              <w:noProof/>
              <w:sz w:val="22"/>
              <w:szCs w:val="22"/>
              <w:lang w:eastAsia="lv-LV"/>
            </w:rPr>
          </w:pPr>
          <w:hyperlink w:anchor="_Toc107916304" w:history="1">
            <w:r w:rsidR="004227EA" w:rsidRPr="00671287">
              <w:rPr>
                <w:rStyle w:val="Hyperlink"/>
                <w:rFonts w:ascii="Times New Roman" w:eastAsia="Times New Roman" w:hAnsi="Times New Roman" w:cs="Times New Roman"/>
                <w:b/>
                <w:bCs/>
                <w:noProof/>
                <w:lang w:eastAsia="en-GB"/>
              </w:rPr>
              <w:t>B2.3. Alternatīva: Pārstrādātu notekūdeņu dūņu līdzsadedzināšana siltuma ražošanai</w:t>
            </w:r>
            <w:r w:rsidR="004227EA">
              <w:rPr>
                <w:noProof/>
                <w:webHidden/>
              </w:rPr>
              <w:tab/>
            </w:r>
            <w:r w:rsidR="004227EA">
              <w:rPr>
                <w:noProof/>
                <w:webHidden/>
              </w:rPr>
              <w:fldChar w:fldCharType="begin"/>
            </w:r>
            <w:r w:rsidR="004227EA">
              <w:rPr>
                <w:noProof/>
                <w:webHidden/>
              </w:rPr>
              <w:instrText xml:space="preserve"> PAGEREF _Toc107916304 \h </w:instrText>
            </w:r>
            <w:r w:rsidR="004227EA">
              <w:rPr>
                <w:noProof/>
                <w:webHidden/>
              </w:rPr>
            </w:r>
            <w:r w:rsidR="004227EA">
              <w:rPr>
                <w:noProof/>
                <w:webHidden/>
              </w:rPr>
              <w:fldChar w:fldCharType="separate"/>
            </w:r>
            <w:r w:rsidR="004227EA">
              <w:rPr>
                <w:noProof/>
                <w:webHidden/>
              </w:rPr>
              <w:t>15</w:t>
            </w:r>
            <w:r w:rsidR="004227EA">
              <w:rPr>
                <w:noProof/>
                <w:webHidden/>
              </w:rPr>
              <w:fldChar w:fldCharType="end"/>
            </w:r>
          </w:hyperlink>
        </w:p>
        <w:p w14:paraId="13061D56" w14:textId="1178C7F6" w:rsidR="004227EA" w:rsidRDefault="00000000" w:rsidP="004227EA">
          <w:pPr>
            <w:pStyle w:val="TOC2"/>
            <w:rPr>
              <w:rFonts w:eastAsiaTheme="minorEastAsia" w:cstheme="minorBidi"/>
              <w:noProof/>
              <w:sz w:val="22"/>
              <w:szCs w:val="22"/>
              <w:lang w:eastAsia="lv-LV"/>
            </w:rPr>
          </w:pPr>
          <w:hyperlink w:anchor="_Toc107916305" w:history="1">
            <w:r w:rsidR="004227EA" w:rsidRPr="00671287">
              <w:rPr>
                <w:rStyle w:val="Hyperlink"/>
                <w:rFonts w:ascii="Times New Roman" w:eastAsia="Times New Roman" w:hAnsi="Times New Roman" w:cs="Times New Roman"/>
                <w:noProof/>
                <w:lang w:eastAsia="en-GB"/>
              </w:rPr>
              <w:t>B3. Alternatīva: Notekūdeņu dūņu pārstrāde un gala izmantošana ar dažādām inovatīvām metodēm</w:t>
            </w:r>
            <w:r w:rsidR="004227EA">
              <w:rPr>
                <w:noProof/>
                <w:webHidden/>
              </w:rPr>
              <w:tab/>
            </w:r>
            <w:r w:rsidR="004227EA">
              <w:rPr>
                <w:noProof/>
                <w:webHidden/>
              </w:rPr>
              <w:fldChar w:fldCharType="begin"/>
            </w:r>
            <w:r w:rsidR="004227EA">
              <w:rPr>
                <w:noProof/>
                <w:webHidden/>
              </w:rPr>
              <w:instrText xml:space="preserve"> PAGEREF _Toc107916305 \h </w:instrText>
            </w:r>
            <w:r w:rsidR="004227EA">
              <w:rPr>
                <w:noProof/>
                <w:webHidden/>
              </w:rPr>
            </w:r>
            <w:r w:rsidR="004227EA">
              <w:rPr>
                <w:noProof/>
                <w:webHidden/>
              </w:rPr>
              <w:fldChar w:fldCharType="separate"/>
            </w:r>
            <w:r w:rsidR="004227EA">
              <w:rPr>
                <w:noProof/>
                <w:webHidden/>
              </w:rPr>
              <w:t>16</w:t>
            </w:r>
            <w:r w:rsidR="004227EA">
              <w:rPr>
                <w:noProof/>
                <w:webHidden/>
              </w:rPr>
              <w:fldChar w:fldCharType="end"/>
            </w:r>
          </w:hyperlink>
        </w:p>
        <w:p w14:paraId="6CA01CB8" w14:textId="6ABE4880" w:rsidR="004227EA" w:rsidRDefault="00000000" w:rsidP="004227EA">
          <w:pPr>
            <w:pStyle w:val="TOC2"/>
            <w:rPr>
              <w:rFonts w:eastAsiaTheme="minorEastAsia" w:cstheme="minorBidi"/>
              <w:noProof/>
              <w:sz w:val="22"/>
              <w:szCs w:val="22"/>
              <w:lang w:eastAsia="lv-LV"/>
            </w:rPr>
          </w:pPr>
          <w:hyperlink w:anchor="_Toc107916306" w:history="1">
            <w:r w:rsidR="004227EA" w:rsidRPr="00671287">
              <w:rPr>
                <w:rStyle w:val="Hyperlink"/>
                <w:rFonts w:ascii="Times New Roman" w:eastAsia="Times New Roman" w:hAnsi="Times New Roman" w:cs="Times New Roman"/>
                <w:noProof/>
                <w:lang w:eastAsia="en-GB"/>
              </w:rPr>
              <w:t>B4. Alternatīva: Pārstrādātu notekūdeņu dūņu apglabāšana atkritumu poligonos</w:t>
            </w:r>
            <w:r w:rsidR="004227EA">
              <w:rPr>
                <w:noProof/>
                <w:webHidden/>
              </w:rPr>
              <w:tab/>
            </w:r>
            <w:r w:rsidR="004227EA">
              <w:rPr>
                <w:noProof/>
                <w:webHidden/>
              </w:rPr>
              <w:fldChar w:fldCharType="begin"/>
            </w:r>
            <w:r w:rsidR="004227EA">
              <w:rPr>
                <w:noProof/>
                <w:webHidden/>
              </w:rPr>
              <w:instrText xml:space="preserve"> PAGEREF _Toc107916306 \h </w:instrText>
            </w:r>
            <w:r w:rsidR="004227EA">
              <w:rPr>
                <w:noProof/>
                <w:webHidden/>
              </w:rPr>
            </w:r>
            <w:r w:rsidR="004227EA">
              <w:rPr>
                <w:noProof/>
                <w:webHidden/>
              </w:rPr>
              <w:fldChar w:fldCharType="separate"/>
            </w:r>
            <w:r w:rsidR="004227EA">
              <w:rPr>
                <w:noProof/>
                <w:webHidden/>
              </w:rPr>
              <w:t>18</w:t>
            </w:r>
            <w:r w:rsidR="004227EA">
              <w:rPr>
                <w:noProof/>
                <w:webHidden/>
              </w:rPr>
              <w:fldChar w:fldCharType="end"/>
            </w:r>
          </w:hyperlink>
        </w:p>
        <w:p w14:paraId="557AACB0" w14:textId="783F7633"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307" w:history="1">
            <w:r w:rsidR="004227EA" w:rsidRPr="00671287">
              <w:rPr>
                <w:rStyle w:val="Hyperlink"/>
                <w:rFonts w:ascii="Times New Roman" w:eastAsia="Times New Roman" w:hAnsi="Times New Roman" w:cs="Times New Roman"/>
                <w:noProof/>
                <w:lang w:eastAsia="en-GB"/>
              </w:rPr>
              <w:t>3. NOTEKŪDEŅU DŪŅU PĀRSTRĀDES ALTERNATĪVU NOVĒRTĒJUMS</w:t>
            </w:r>
            <w:r w:rsidR="004227EA">
              <w:rPr>
                <w:noProof/>
                <w:webHidden/>
              </w:rPr>
              <w:tab/>
            </w:r>
            <w:r w:rsidR="004227EA">
              <w:rPr>
                <w:noProof/>
                <w:webHidden/>
              </w:rPr>
              <w:fldChar w:fldCharType="begin"/>
            </w:r>
            <w:r w:rsidR="004227EA">
              <w:rPr>
                <w:noProof/>
                <w:webHidden/>
              </w:rPr>
              <w:instrText xml:space="preserve"> PAGEREF _Toc107916307 \h </w:instrText>
            </w:r>
            <w:r w:rsidR="004227EA">
              <w:rPr>
                <w:noProof/>
                <w:webHidden/>
              </w:rPr>
            </w:r>
            <w:r w:rsidR="004227EA">
              <w:rPr>
                <w:noProof/>
                <w:webHidden/>
              </w:rPr>
              <w:fldChar w:fldCharType="separate"/>
            </w:r>
            <w:r w:rsidR="004227EA">
              <w:rPr>
                <w:noProof/>
                <w:webHidden/>
              </w:rPr>
              <w:t>21</w:t>
            </w:r>
            <w:r w:rsidR="004227EA">
              <w:rPr>
                <w:noProof/>
                <w:webHidden/>
              </w:rPr>
              <w:fldChar w:fldCharType="end"/>
            </w:r>
          </w:hyperlink>
        </w:p>
        <w:p w14:paraId="5E3FC0DD" w14:textId="49985435" w:rsidR="004227EA" w:rsidRDefault="00000000" w:rsidP="004227EA">
          <w:pPr>
            <w:pStyle w:val="TOC2"/>
            <w:rPr>
              <w:rFonts w:eastAsiaTheme="minorEastAsia" w:cstheme="minorBidi"/>
              <w:noProof/>
              <w:sz w:val="22"/>
              <w:szCs w:val="22"/>
              <w:lang w:eastAsia="lv-LV"/>
            </w:rPr>
          </w:pPr>
          <w:hyperlink w:anchor="_Toc107916308" w:history="1">
            <w:r w:rsidR="004227EA" w:rsidRPr="00671287">
              <w:rPr>
                <w:rStyle w:val="Hyperlink"/>
                <w:rFonts w:ascii="Times New Roman" w:eastAsia="Times New Roman" w:hAnsi="Times New Roman" w:cs="Times New Roman"/>
                <w:noProof/>
                <w:lang w:eastAsia="en-GB"/>
              </w:rPr>
              <w:t>C1. Alternatīva: Mehāniski atūdeņotu (apstrādātu) notekūdēnu dūņu izturēšana 12 mēnešus (aukstā fermentācija)</w:t>
            </w:r>
            <w:r w:rsidR="004227EA">
              <w:rPr>
                <w:noProof/>
                <w:webHidden/>
              </w:rPr>
              <w:tab/>
            </w:r>
            <w:r w:rsidR="004227EA">
              <w:rPr>
                <w:noProof/>
                <w:webHidden/>
              </w:rPr>
              <w:fldChar w:fldCharType="begin"/>
            </w:r>
            <w:r w:rsidR="004227EA">
              <w:rPr>
                <w:noProof/>
                <w:webHidden/>
              </w:rPr>
              <w:instrText xml:space="preserve"> PAGEREF _Toc107916308 \h </w:instrText>
            </w:r>
            <w:r w:rsidR="004227EA">
              <w:rPr>
                <w:noProof/>
                <w:webHidden/>
              </w:rPr>
            </w:r>
            <w:r w:rsidR="004227EA">
              <w:rPr>
                <w:noProof/>
                <w:webHidden/>
              </w:rPr>
              <w:fldChar w:fldCharType="separate"/>
            </w:r>
            <w:r w:rsidR="004227EA">
              <w:rPr>
                <w:noProof/>
                <w:webHidden/>
              </w:rPr>
              <w:t>21</w:t>
            </w:r>
            <w:r w:rsidR="004227EA">
              <w:rPr>
                <w:noProof/>
                <w:webHidden/>
              </w:rPr>
              <w:fldChar w:fldCharType="end"/>
            </w:r>
          </w:hyperlink>
        </w:p>
        <w:p w14:paraId="4ED6D1D3" w14:textId="439E3DEE" w:rsidR="004227EA" w:rsidRDefault="00000000" w:rsidP="004227EA">
          <w:pPr>
            <w:pStyle w:val="TOC2"/>
            <w:rPr>
              <w:rFonts w:eastAsiaTheme="minorEastAsia" w:cstheme="minorBidi"/>
              <w:noProof/>
              <w:sz w:val="22"/>
              <w:szCs w:val="22"/>
              <w:lang w:eastAsia="lv-LV"/>
            </w:rPr>
          </w:pPr>
          <w:hyperlink w:anchor="_Toc107916309" w:history="1">
            <w:r w:rsidR="004227EA" w:rsidRPr="00671287">
              <w:rPr>
                <w:rStyle w:val="Hyperlink"/>
                <w:rFonts w:ascii="Times New Roman" w:eastAsia="Times New Roman" w:hAnsi="Times New Roman" w:cs="Times New Roman"/>
                <w:noProof/>
                <w:lang w:eastAsia="en-GB"/>
              </w:rPr>
              <w:t>C2. Alternatīva: Mehāniski atūdeņotu (apstrādātu) notekūdeņu dūņu kompostēšana</w:t>
            </w:r>
            <w:r w:rsidR="004227EA">
              <w:rPr>
                <w:noProof/>
                <w:webHidden/>
              </w:rPr>
              <w:tab/>
            </w:r>
            <w:r w:rsidR="004227EA">
              <w:rPr>
                <w:noProof/>
                <w:webHidden/>
              </w:rPr>
              <w:fldChar w:fldCharType="begin"/>
            </w:r>
            <w:r w:rsidR="004227EA">
              <w:rPr>
                <w:noProof/>
                <w:webHidden/>
              </w:rPr>
              <w:instrText xml:space="preserve"> PAGEREF _Toc107916309 \h </w:instrText>
            </w:r>
            <w:r w:rsidR="004227EA">
              <w:rPr>
                <w:noProof/>
                <w:webHidden/>
              </w:rPr>
            </w:r>
            <w:r w:rsidR="004227EA">
              <w:rPr>
                <w:noProof/>
                <w:webHidden/>
              </w:rPr>
              <w:fldChar w:fldCharType="separate"/>
            </w:r>
            <w:r w:rsidR="004227EA">
              <w:rPr>
                <w:noProof/>
                <w:webHidden/>
              </w:rPr>
              <w:t>22</w:t>
            </w:r>
            <w:r w:rsidR="004227EA">
              <w:rPr>
                <w:noProof/>
                <w:webHidden/>
              </w:rPr>
              <w:fldChar w:fldCharType="end"/>
            </w:r>
          </w:hyperlink>
        </w:p>
        <w:p w14:paraId="223C68F1" w14:textId="28AB9533" w:rsidR="004227EA" w:rsidRDefault="00000000" w:rsidP="004227EA">
          <w:pPr>
            <w:pStyle w:val="TOC2"/>
            <w:rPr>
              <w:rFonts w:eastAsiaTheme="minorEastAsia" w:cstheme="minorBidi"/>
              <w:noProof/>
              <w:sz w:val="22"/>
              <w:szCs w:val="22"/>
              <w:lang w:eastAsia="lv-LV"/>
            </w:rPr>
          </w:pPr>
          <w:hyperlink w:anchor="_Toc107916310" w:history="1">
            <w:r w:rsidR="004227EA" w:rsidRPr="00671287">
              <w:rPr>
                <w:rStyle w:val="Hyperlink"/>
                <w:rFonts w:ascii="Times New Roman" w:eastAsia="Times New Roman" w:hAnsi="Times New Roman" w:cs="Times New Roman"/>
                <w:noProof/>
                <w:lang w:eastAsia="en-GB"/>
              </w:rPr>
              <w:t>C3. Alternatīva: Iebiezinātu vai mehāniski atūdeņotu (apstrādātu) notekūdeņu dūņu mezofīlā anaerobā sadalīšana – biogāzes ražošana</w:t>
            </w:r>
            <w:r w:rsidR="004227EA">
              <w:rPr>
                <w:noProof/>
                <w:webHidden/>
              </w:rPr>
              <w:tab/>
            </w:r>
            <w:r w:rsidR="004227EA">
              <w:rPr>
                <w:noProof/>
                <w:webHidden/>
              </w:rPr>
              <w:fldChar w:fldCharType="begin"/>
            </w:r>
            <w:r w:rsidR="004227EA">
              <w:rPr>
                <w:noProof/>
                <w:webHidden/>
              </w:rPr>
              <w:instrText xml:space="preserve"> PAGEREF _Toc107916310 \h </w:instrText>
            </w:r>
            <w:r w:rsidR="004227EA">
              <w:rPr>
                <w:noProof/>
                <w:webHidden/>
              </w:rPr>
            </w:r>
            <w:r w:rsidR="004227EA">
              <w:rPr>
                <w:noProof/>
                <w:webHidden/>
              </w:rPr>
              <w:fldChar w:fldCharType="separate"/>
            </w:r>
            <w:r w:rsidR="004227EA">
              <w:rPr>
                <w:noProof/>
                <w:webHidden/>
              </w:rPr>
              <w:t>23</w:t>
            </w:r>
            <w:r w:rsidR="004227EA">
              <w:rPr>
                <w:noProof/>
                <w:webHidden/>
              </w:rPr>
              <w:fldChar w:fldCharType="end"/>
            </w:r>
          </w:hyperlink>
        </w:p>
        <w:p w14:paraId="02929E80" w14:textId="42CD23C4"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311" w:history="1">
            <w:r w:rsidR="004227EA" w:rsidRPr="00671287">
              <w:rPr>
                <w:rStyle w:val="Hyperlink"/>
                <w:rFonts w:ascii="Times New Roman" w:eastAsia="Times New Roman" w:hAnsi="Times New Roman" w:cs="Times New Roman"/>
                <w:noProof/>
                <w:lang w:eastAsia="en-GB"/>
              </w:rPr>
              <w:t>4. NOTEKŪDEŅU DŪŅU APSTRĀDES UN CENTRALIZĀCIJAS ALTERNATĪVU NOVĒRTĒJUMS</w:t>
            </w:r>
            <w:r w:rsidR="004227EA">
              <w:rPr>
                <w:noProof/>
                <w:webHidden/>
              </w:rPr>
              <w:tab/>
            </w:r>
            <w:r w:rsidR="004227EA">
              <w:rPr>
                <w:noProof/>
                <w:webHidden/>
              </w:rPr>
              <w:fldChar w:fldCharType="begin"/>
            </w:r>
            <w:r w:rsidR="004227EA">
              <w:rPr>
                <w:noProof/>
                <w:webHidden/>
              </w:rPr>
              <w:instrText xml:space="preserve"> PAGEREF _Toc107916311 \h </w:instrText>
            </w:r>
            <w:r w:rsidR="004227EA">
              <w:rPr>
                <w:noProof/>
                <w:webHidden/>
              </w:rPr>
            </w:r>
            <w:r w:rsidR="004227EA">
              <w:rPr>
                <w:noProof/>
                <w:webHidden/>
              </w:rPr>
              <w:fldChar w:fldCharType="separate"/>
            </w:r>
            <w:r w:rsidR="004227EA">
              <w:rPr>
                <w:noProof/>
                <w:webHidden/>
              </w:rPr>
              <w:t>27</w:t>
            </w:r>
            <w:r w:rsidR="004227EA">
              <w:rPr>
                <w:noProof/>
                <w:webHidden/>
              </w:rPr>
              <w:fldChar w:fldCharType="end"/>
            </w:r>
          </w:hyperlink>
        </w:p>
        <w:p w14:paraId="4DD749C6" w14:textId="381C0DEB" w:rsidR="004227EA" w:rsidRDefault="00000000" w:rsidP="004227EA">
          <w:pPr>
            <w:pStyle w:val="TOC2"/>
            <w:rPr>
              <w:rFonts w:eastAsiaTheme="minorEastAsia" w:cstheme="minorBidi"/>
              <w:noProof/>
              <w:sz w:val="22"/>
              <w:szCs w:val="22"/>
              <w:lang w:eastAsia="lv-LV"/>
            </w:rPr>
          </w:pPr>
          <w:hyperlink w:anchor="_Toc107916312" w:history="1">
            <w:r w:rsidR="004227EA" w:rsidRPr="00671287">
              <w:rPr>
                <w:rStyle w:val="Hyperlink"/>
                <w:rFonts w:ascii="Times New Roman" w:eastAsia="Times New Roman" w:hAnsi="Times New Roman" w:cs="Times New Roman"/>
                <w:noProof/>
                <w:lang w:eastAsia="en-GB"/>
              </w:rPr>
              <w:t>D1. Alternatīva: Notekūdeņu dūņu pārstrāde 41 notekūdeņu dūņu pārstrādes centrā</w:t>
            </w:r>
            <w:r w:rsidR="004227EA">
              <w:rPr>
                <w:noProof/>
                <w:webHidden/>
              </w:rPr>
              <w:tab/>
            </w:r>
            <w:r w:rsidR="004227EA">
              <w:rPr>
                <w:noProof/>
                <w:webHidden/>
              </w:rPr>
              <w:fldChar w:fldCharType="begin"/>
            </w:r>
            <w:r w:rsidR="004227EA">
              <w:rPr>
                <w:noProof/>
                <w:webHidden/>
              </w:rPr>
              <w:instrText xml:space="preserve"> PAGEREF _Toc107916312 \h </w:instrText>
            </w:r>
            <w:r w:rsidR="004227EA">
              <w:rPr>
                <w:noProof/>
                <w:webHidden/>
              </w:rPr>
            </w:r>
            <w:r w:rsidR="004227EA">
              <w:rPr>
                <w:noProof/>
                <w:webHidden/>
              </w:rPr>
              <w:fldChar w:fldCharType="separate"/>
            </w:r>
            <w:r w:rsidR="004227EA">
              <w:rPr>
                <w:noProof/>
                <w:webHidden/>
              </w:rPr>
              <w:t>28</w:t>
            </w:r>
            <w:r w:rsidR="004227EA">
              <w:rPr>
                <w:noProof/>
                <w:webHidden/>
              </w:rPr>
              <w:fldChar w:fldCharType="end"/>
            </w:r>
          </w:hyperlink>
        </w:p>
        <w:p w14:paraId="57361064" w14:textId="7E581F1A" w:rsidR="004227EA" w:rsidRDefault="00000000" w:rsidP="004227EA">
          <w:pPr>
            <w:pStyle w:val="TOC2"/>
            <w:rPr>
              <w:rFonts w:eastAsiaTheme="minorEastAsia" w:cstheme="minorBidi"/>
              <w:noProof/>
              <w:sz w:val="22"/>
              <w:szCs w:val="22"/>
              <w:lang w:eastAsia="lv-LV"/>
            </w:rPr>
          </w:pPr>
          <w:hyperlink w:anchor="_Toc107916313" w:history="1">
            <w:r w:rsidR="004227EA" w:rsidRPr="00671287">
              <w:rPr>
                <w:rStyle w:val="Hyperlink"/>
                <w:rFonts w:ascii="Times New Roman" w:eastAsia="Times New Roman" w:hAnsi="Times New Roman" w:cs="Times New Roman"/>
                <w:noProof/>
                <w:lang w:eastAsia="en-GB"/>
              </w:rPr>
              <w:t>D2. Alternatīva: Notekūdeņu dūņu pārstrāde 30 dūņu pārstrādes centros</w:t>
            </w:r>
            <w:r w:rsidR="004227EA">
              <w:rPr>
                <w:noProof/>
                <w:webHidden/>
              </w:rPr>
              <w:tab/>
            </w:r>
            <w:r w:rsidR="004227EA">
              <w:rPr>
                <w:noProof/>
                <w:webHidden/>
              </w:rPr>
              <w:fldChar w:fldCharType="begin"/>
            </w:r>
            <w:r w:rsidR="004227EA">
              <w:rPr>
                <w:noProof/>
                <w:webHidden/>
              </w:rPr>
              <w:instrText xml:space="preserve"> PAGEREF _Toc107916313 \h </w:instrText>
            </w:r>
            <w:r w:rsidR="004227EA">
              <w:rPr>
                <w:noProof/>
                <w:webHidden/>
              </w:rPr>
            </w:r>
            <w:r w:rsidR="004227EA">
              <w:rPr>
                <w:noProof/>
                <w:webHidden/>
              </w:rPr>
              <w:fldChar w:fldCharType="separate"/>
            </w:r>
            <w:r w:rsidR="004227EA">
              <w:rPr>
                <w:noProof/>
                <w:webHidden/>
              </w:rPr>
              <w:t>31</w:t>
            </w:r>
            <w:r w:rsidR="004227EA">
              <w:rPr>
                <w:noProof/>
                <w:webHidden/>
              </w:rPr>
              <w:fldChar w:fldCharType="end"/>
            </w:r>
          </w:hyperlink>
        </w:p>
        <w:p w14:paraId="501FA68B" w14:textId="288F564F" w:rsidR="004227EA" w:rsidRDefault="00000000" w:rsidP="004227EA">
          <w:pPr>
            <w:pStyle w:val="TOC2"/>
            <w:rPr>
              <w:rFonts w:eastAsiaTheme="minorEastAsia" w:cstheme="minorBidi"/>
              <w:noProof/>
              <w:sz w:val="22"/>
              <w:szCs w:val="22"/>
              <w:lang w:eastAsia="lv-LV"/>
            </w:rPr>
          </w:pPr>
          <w:hyperlink w:anchor="_Toc107916314" w:history="1">
            <w:r w:rsidR="004227EA" w:rsidRPr="00671287">
              <w:rPr>
                <w:rStyle w:val="Hyperlink"/>
                <w:rFonts w:ascii="Times New Roman" w:eastAsia="Times New Roman" w:hAnsi="Times New Roman" w:cs="Times New Roman"/>
                <w:noProof/>
                <w:lang w:eastAsia="en-GB"/>
              </w:rPr>
              <w:t>D3. Alternatīva: Notekūdeņu dūņu pārstrāde 16 notekūdeņu dūņu pārstrādes centros</w:t>
            </w:r>
            <w:r w:rsidR="004227EA">
              <w:rPr>
                <w:noProof/>
                <w:webHidden/>
              </w:rPr>
              <w:tab/>
            </w:r>
            <w:r w:rsidR="004227EA">
              <w:rPr>
                <w:noProof/>
                <w:webHidden/>
              </w:rPr>
              <w:fldChar w:fldCharType="begin"/>
            </w:r>
            <w:r w:rsidR="004227EA">
              <w:rPr>
                <w:noProof/>
                <w:webHidden/>
              </w:rPr>
              <w:instrText xml:space="preserve"> PAGEREF _Toc107916314 \h </w:instrText>
            </w:r>
            <w:r w:rsidR="004227EA">
              <w:rPr>
                <w:noProof/>
                <w:webHidden/>
              </w:rPr>
            </w:r>
            <w:r w:rsidR="004227EA">
              <w:rPr>
                <w:noProof/>
                <w:webHidden/>
              </w:rPr>
              <w:fldChar w:fldCharType="separate"/>
            </w:r>
            <w:r w:rsidR="004227EA">
              <w:rPr>
                <w:noProof/>
                <w:webHidden/>
              </w:rPr>
              <w:t>33</w:t>
            </w:r>
            <w:r w:rsidR="004227EA">
              <w:rPr>
                <w:noProof/>
                <w:webHidden/>
              </w:rPr>
              <w:fldChar w:fldCharType="end"/>
            </w:r>
          </w:hyperlink>
        </w:p>
        <w:p w14:paraId="6944F0A5" w14:textId="4BEF38EB" w:rsidR="004227EA" w:rsidRDefault="00000000" w:rsidP="004227EA">
          <w:pPr>
            <w:pStyle w:val="TOC2"/>
            <w:rPr>
              <w:rFonts w:eastAsiaTheme="minorEastAsia" w:cstheme="minorBidi"/>
              <w:noProof/>
              <w:sz w:val="22"/>
              <w:szCs w:val="22"/>
              <w:lang w:eastAsia="lv-LV"/>
            </w:rPr>
          </w:pPr>
          <w:hyperlink w:anchor="_Toc107916315" w:history="1">
            <w:r w:rsidR="004227EA" w:rsidRPr="00671287">
              <w:rPr>
                <w:rStyle w:val="Hyperlink"/>
                <w:rFonts w:ascii="Times New Roman" w:eastAsia="Times New Roman" w:hAnsi="Times New Roman" w:cs="Times New Roman"/>
                <w:noProof/>
                <w:lang w:eastAsia="en-GB"/>
              </w:rPr>
              <w:t>D4. Alternatīva: Notekūdeņu dūņu pārstrāde 5 notekūdeņu dūņu pārstrādes centros</w:t>
            </w:r>
            <w:r w:rsidR="004227EA">
              <w:rPr>
                <w:noProof/>
                <w:webHidden/>
              </w:rPr>
              <w:tab/>
            </w:r>
            <w:r w:rsidR="004227EA">
              <w:rPr>
                <w:noProof/>
                <w:webHidden/>
              </w:rPr>
              <w:fldChar w:fldCharType="begin"/>
            </w:r>
            <w:r w:rsidR="004227EA">
              <w:rPr>
                <w:noProof/>
                <w:webHidden/>
              </w:rPr>
              <w:instrText xml:space="preserve"> PAGEREF _Toc107916315 \h </w:instrText>
            </w:r>
            <w:r w:rsidR="004227EA">
              <w:rPr>
                <w:noProof/>
                <w:webHidden/>
              </w:rPr>
            </w:r>
            <w:r w:rsidR="004227EA">
              <w:rPr>
                <w:noProof/>
                <w:webHidden/>
              </w:rPr>
              <w:fldChar w:fldCharType="separate"/>
            </w:r>
            <w:r w:rsidR="004227EA">
              <w:rPr>
                <w:noProof/>
                <w:webHidden/>
              </w:rPr>
              <w:t>35</w:t>
            </w:r>
            <w:r w:rsidR="004227EA">
              <w:rPr>
                <w:noProof/>
                <w:webHidden/>
              </w:rPr>
              <w:fldChar w:fldCharType="end"/>
            </w:r>
          </w:hyperlink>
        </w:p>
        <w:p w14:paraId="14D0D518" w14:textId="0966C12B" w:rsidR="004227EA" w:rsidRDefault="00000000">
          <w:pPr>
            <w:pStyle w:val="TOC3"/>
            <w:tabs>
              <w:tab w:val="right" w:leader="dot" w:pos="8494"/>
            </w:tabs>
            <w:rPr>
              <w:rFonts w:eastAsiaTheme="minorEastAsia" w:cstheme="minorBidi"/>
              <w:noProof/>
              <w:sz w:val="22"/>
              <w:szCs w:val="22"/>
              <w:lang w:eastAsia="lv-LV"/>
            </w:rPr>
          </w:pPr>
          <w:hyperlink w:anchor="_Toc107916316" w:history="1">
            <w:r w:rsidR="004227EA" w:rsidRPr="00671287">
              <w:rPr>
                <w:rStyle w:val="Hyperlink"/>
                <w:rFonts w:ascii="Times New Roman" w:eastAsia="Times New Roman" w:hAnsi="Times New Roman" w:cs="Times New Roman"/>
                <w:b/>
                <w:bCs/>
                <w:noProof/>
                <w:lang w:eastAsia="en-GB"/>
              </w:rPr>
              <w:t>D4.1 Alternatīva:  Biogāzes ražošanas procesā iegūtā digestāta mehāniska atūdeņošana un fugāta ūdens attīrīšana papildus izbūvētos bioloģiskos notekūdeņu attīrīšanas blokos, atūdeņotās notekūdeņu dūņu masas iestrāde augsnē</w:t>
            </w:r>
            <w:r w:rsidR="004227EA">
              <w:rPr>
                <w:noProof/>
                <w:webHidden/>
              </w:rPr>
              <w:tab/>
            </w:r>
            <w:r w:rsidR="004227EA">
              <w:rPr>
                <w:noProof/>
                <w:webHidden/>
              </w:rPr>
              <w:fldChar w:fldCharType="begin"/>
            </w:r>
            <w:r w:rsidR="004227EA">
              <w:rPr>
                <w:noProof/>
                <w:webHidden/>
              </w:rPr>
              <w:instrText xml:space="preserve"> PAGEREF _Toc107916316 \h </w:instrText>
            </w:r>
            <w:r w:rsidR="004227EA">
              <w:rPr>
                <w:noProof/>
                <w:webHidden/>
              </w:rPr>
            </w:r>
            <w:r w:rsidR="004227EA">
              <w:rPr>
                <w:noProof/>
                <w:webHidden/>
              </w:rPr>
              <w:fldChar w:fldCharType="separate"/>
            </w:r>
            <w:r w:rsidR="004227EA">
              <w:rPr>
                <w:noProof/>
                <w:webHidden/>
              </w:rPr>
              <w:t>37</w:t>
            </w:r>
            <w:r w:rsidR="004227EA">
              <w:rPr>
                <w:noProof/>
                <w:webHidden/>
              </w:rPr>
              <w:fldChar w:fldCharType="end"/>
            </w:r>
          </w:hyperlink>
        </w:p>
        <w:p w14:paraId="2A8BA375" w14:textId="6F12BD8C" w:rsidR="004227EA" w:rsidRDefault="00000000">
          <w:pPr>
            <w:pStyle w:val="TOC3"/>
            <w:tabs>
              <w:tab w:val="right" w:leader="dot" w:pos="8494"/>
            </w:tabs>
            <w:rPr>
              <w:rFonts w:eastAsiaTheme="minorEastAsia" w:cstheme="minorBidi"/>
              <w:noProof/>
              <w:sz w:val="22"/>
              <w:szCs w:val="22"/>
              <w:lang w:eastAsia="lv-LV"/>
            </w:rPr>
          </w:pPr>
          <w:hyperlink w:anchor="_Toc107916317" w:history="1">
            <w:r w:rsidR="004227EA" w:rsidRPr="00671287">
              <w:rPr>
                <w:rStyle w:val="Hyperlink"/>
                <w:rFonts w:ascii="Times New Roman" w:eastAsia="Times New Roman" w:hAnsi="Times New Roman" w:cs="Times New Roman"/>
                <w:b/>
                <w:bCs/>
                <w:noProof/>
                <w:lang w:eastAsia="en-GB"/>
              </w:rPr>
              <w:t>D4.2. Alternatīva: Biogāzes ražošanas procesā iegūtā digestāta mehāniska atūdeņošana, fugāta ūdens attīrīšana papildus izbūvētos bioloģiskos notekūdeņu attīrīšanas blokos un notekūdeņu dūņu žāvēšana līdz 50% sausnai</w:t>
            </w:r>
            <w:r w:rsidR="004227EA">
              <w:rPr>
                <w:noProof/>
                <w:webHidden/>
              </w:rPr>
              <w:tab/>
            </w:r>
            <w:r w:rsidR="004227EA">
              <w:rPr>
                <w:noProof/>
                <w:webHidden/>
              </w:rPr>
              <w:fldChar w:fldCharType="begin"/>
            </w:r>
            <w:r w:rsidR="004227EA">
              <w:rPr>
                <w:noProof/>
                <w:webHidden/>
              </w:rPr>
              <w:instrText xml:space="preserve"> PAGEREF _Toc107916317 \h </w:instrText>
            </w:r>
            <w:r w:rsidR="004227EA">
              <w:rPr>
                <w:noProof/>
                <w:webHidden/>
              </w:rPr>
            </w:r>
            <w:r w:rsidR="004227EA">
              <w:rPr>
                <w:noProof/>
                <w:webHidden/>
              </w:rPr>
              <w:fldChar w:fldCharType="separate"/>
            </w:r>
            <w:r w:rsidR="004227EA">
              <w:rPr>
                <w:noProof/>
                <w:webHidden/>
              </w:rPr>
              <w:t>37</w:t>
            </w:r>
            <w:r w:rsidR="004227EA">
              <w:rPr>
                <w:noProof/>
                <w:webHidden/>
              </w:rPr>
              <w:fldChar w:fldCharType="end"/>
            </w:r>
          </w:hyperlink>
        </w:p>
        <w:p w14:paraId="4A0A79A6" w14:textId="53746DE3" w:rsidR="004227EA" w:rsidRDefault="00000000">
          <w:pPr>
            <w:pStyle w:val="TOC3"/>
            <w:tabs>
              <w:tab w:val="right" w:leader="dot" w:pos="8494"/>
            </w:tabs>
            <w:rPr>
              <w:rFonts w:eastAsiaTheme="minorEastAsia" w:cstheme="minorBidi"/>
              <w:noProof/>
              <w:sz w:val="22"/>
              <w:szCs w:val="22"/>
              <w:lang w:eastAsia="lv-LV"/>
            </w:rPr>
          </w:pPr>
          <w:hyperlink w:anchor="_Toc107916318" w:history="1">
            <w:r w:rsidR="004227EA" w:rsidRPr="00671287">
              <w:rPr>
                <w:rStyle w:val="Hyperlink"/>
                <w:rFonts w:ascii="Times New Roman" w:eastAsia="Times New Roman" w:hAnsi="Times New Roman" w:cs="Times New Roman"/>
                <w:b/>
                <w:bCs/>
                <w:noProof/>
                <w:lang w:eastAsia="en-GB"/>
              </w:rPr>
              <w:t>D4.3. Alternatīva: Biogāzes ražošanas procesā iegūtā digestāta mehāniska atūdeņošana, fugāta ūdens attīrīšana papildus izbūvētos bioloģiskos notekūdeņu attīrīšanas blokos un notekūdeņu dūņu žāvēšana līdz 90% sausnai</w:t>
            </w:r>
            <w:r w:rsidR="004227EA">
              <w:rPr>
                <w:noProof/>
                <w:webHidden/>
              </w:rPr>
              <w:tab/>
            </w:r>
            <w:r w:rsidR="004227EA">
              <w:rPr>
                <w:noProof/>
                <w:webHidden/>
              </w:rPr>
              <w:fldChar w:fldCharType="begin"/>
            </w:r>
            <w:r w:rsidR="004227EA">
              <w:rPr>
                <w:noProof/>
                <w:webHidden/>
              </w:rPr>
              <w:instrText xml:space="preserve"> PAGEREF _Toc107916318 \h </w:instrText>
            </w:r>
            <w:r w:rsidR="004227EA">
              <w:rPr>
                <w:noProof/>
                <w:webHidden/>
              </w:rPr>
            </w:r>
            <w:r w:rsidR="004227EA">
              <w:rPr>
                <w:noProof/>
                <w:webHidden/>
              </w:rPr>
              <w:fldChar w:fldCharType="separate"/>
            </w:r>
            <w:r w:rsidR="004227EA">
              <w:rPr>
                <w:noProof/>
                <w:webHidden/>
              </w:rPr>
              <w:t>38</w:t>
            </w:r>
            <w:r w:rsidR="004227EA">
              <w:rPr>
                <w:noProof/>
                <w:webHidden/>
              </w:rPr>
              <w:fldChar w:fldCharType="end"/>
            </w:r>
          </w:hyperlink>
        </w:p>
        <w:p w14:paraId="0EE9AD59" w14:textId="7947F7F5" w:rsidR="004227EA" w:rsidRDefault="00000000" w:rsidP="004227EA">
          <w:pPr>
            <w:pStyle w:val="TOC2"/>
            <w:rPr>
              <w:rFonts w:eastAsiaTheme="minorEastAsia" w:cstheme="minorBidi"/>
              <w:noProof/>
              <w:sz w:val="22"/>
              <w:szCs w:val="22"/>
              <w:lang w:eastAsia="lv-LV"/>
            </w:rPr>
          </w:pPr>
          <w:hyperlink w:anchor="_Toc107916319" w:history="1">
            <w:r w:rsidR="004227EA" w:rsidRPr="00671287">
              <w:rPr>
                <w:rStyle w:val="Hyperlink"/>
                <w:rFonts w:ascii="Times New Roman" w:eastAsia="Times New Roman" w:hAnsi="Times New Roman" w:cs="Times New Roman"/>
                <w:noProof/>
                <w:lang w:eastAsia="en-GB"/>
              </w:rPr>
              <w:t>D5. Alternatīva: Notekūdeņu dūņu pārstrāde 27 notekūdeņu dūņu pārstrādes centros</w:t>
            </w:r>
            <w:r w:rsidR="004227EA">
              <w:rPr>
                <w:noProof/>
                <w:webHidden/>
              </w:rPr>
              <w:tab/>
            </w:r>
            <w:r w:rsidR="004227EA">
              <w:rPr>
                <w:noProof/>
                <w:webHidden/>
              </w:rPr>
              <w:fldChar w:fldCharType="begin"/>
            </w:r>
            <w:r w:rsidR="004227EA">
              <w:rPr>
                <w:noProof/>
                <w:webHidden/>
              </w:rPr>
              <w:instrText xml:space="preserve"> PAGEREF _Toc107916319 \h </w:instrText>
            </w:r>
            <w:r w:rsidR="004227EA">
              <w:rPr>
                <w:noProof/>
                <w:webHidden/>
              </w:rPr>
            </w:r>
            <w:r w:rsidR="004227EA">
              <w:rPr>
                <w:noProof/>
                <w:webHidden/>
              </w:rPr>
              <w:fldChar w:fldCharType="separate"/>
            </w:r>
            <w:r w:rsidR="004227EA">
              <w:rPr>
                <w:noProof/>
                <w:webHidden/>
              </w:rPr>
              <w:t>40</w:t>
            </w:r>
            <w:r w:rsidR="004227EA">
              <w:rPr>
                <w:noProof/>
                <w:webHidden/>
              </w:rPr>
              <w:fldChar w:fldCharType="end"/>
            </w:r>
          </w:hyperlink>
        </w:p>
        <w:p w14:paraId="35ABF338" w14:textId="54C6B1AB"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320" w:history="1">
            <w:r w:rsidR="004227EA" w:rsidRPr="00671287">
              <w:rPr>
                <w:rStyle w:val="Hyperlink"/>
                <w:rFonts w:ascii="Times New Roman" w:eastAsia="Times New Roman" w:hAnsi="Times New Roman" w:cs="Times New Roman"/>
                <w:noProof/>
                <w:lang w:eastAsia="en-GB"/>
              </w:rPr>
              <w:t>5. NOTEKŪDEŅU DŪŅU APSAIMNIEKOŠANAS INSTITUCIONĀLĀS PĀRVALDĪBAS ALTERNATĪVU NOVĒRTĒJUMS</w:t>
            </w:r>
            <w:r w:rsidR="004227EA">
              <w:rPr>
                <w:noProof/>
                <w:webHidden/>
              </w:rPr>
              <w:tab/>
            </w:r>
            <w:r w:rsidR="004227EA">
              <w:rPr>
                <w:noProof/>
                <w:webHidden/>
              </w:rPr>
              <w:fldChar w:fldCharType="begin"/>
            </w:r>
            <w:r w:rsidR="004227EA">
              <w:rPr>
                <w:noProof/>
                <w:webHidden/>
              </w:rPr>
              <w:instrText xml:space="preserve"> PAGEREF _Toc107916320 \h </w:instrText>
            </w:r>
            <w:r w:rsidR="004227EA">
              <w:rPr>
                <w:noProof/>
                <w:webHidden/>
              </w:rPr>
            </w:r>
            <w:r w:rsidR="004227EA">
              <w:rPr>
                <w:noProof/>
                <w:webHidden/>
              </w:rPr>
              <w:fldChar w:fldCharType="separate"/>
            </w:r>
            <w:r w:rsidR="004227EA">
              <w:rPr>
                <w:noProof/>
                <w:webHidden/>
              </w:rPr>
              <w:t>45</w:t>
            </w:r>
            <w:r w:rsidR="004227EA">
              <w:rPr>
                <w:noProof/>
                <w:webHidden/>
              </w:rPr>
              <w:fldChar w:fldCharType="end"/>
            </w:r>
          </w:hyperlink>
        </w:p>
        <w:p w14:paraId="209E748D" w14:textId="1F6AC7C5" w:rsidR="004227EA" w:rsidRDefault="00000000" w:rsidP="004227EA">
          <w:pPr>
            <w:pStyle w:val="TOC2"/>
            <w:rPr>
              <w:rFonts w:eastAsiaTheme="minorEastAsia" w:cstheme="minorBidi"/>
              <w:noProof/>
              <w:sz w:val="22"/>
              <w:szCs w:val="22"/>
              <w:lang w:eastAsia="lv-LV"/>
            </w:rPr>
          </w:pPr>
          <w:hyperlink w:anchor="_Toc107916321" w:history="1">
            <w:r w:rsidR="004227EA" w:rsidRPr="00671287">
              <w:rPr>
                <w:rStyle w:val="Hyperlink"/>
                <w:rFonts w:ascii="Times New Roman" w:eastAsia="Times New Roman" w:hAnsi="Times New Roman" w:cs="Times New Roman"/>
                <w:noProof/>
                <w:lang w:eastAsia="en-GB"/>
              </w:rPr>
              <w:t>E1. Alternatīva: Notekūdeņu dūņu apsaimniekošana atbilstoši katra SPS lēmumiem</w:t>
            </w:r>
            <w:r w:rsidR="004227EA">
              <w:rPr>
                <w:noProof/>
                <w:webHidden/>
              </w:rPr>
              <w:tab/>
            </w:r>
            <w:r w:rsidR="004227EA">
              <w:rPr>
                <w:noProof/>
                <w:webHidden/>
              </w:rPr>
              <w:fldChar w:fldCharType="begin"/>
            </w:r>
            <w:r w:rsidR="004227EA">
              <w:rPr>
                <w:noProof/>
                <w:webHidden/>
              </w:rPr>
              <w:instrText xml:space="preserve"> PAGEREF _Toc107916321 \h </w:instrText>
            </w:r>
            <w:r w:rsidR="004227EA">
              <w:rPr>
                <w:noProof/>
                <w:webHidden/>
              </w:rPr>
            </w:r>
            <w:r w:rsidR="004227EA">
              <w:rPr>
                <w:noProof/>
                <w:webHidden/>
              </w:rPr>
              <w:fldChar w:fldCharType="separate"/>
            </w:r>
            <w:r w:rsidR="004227EA">
              <w:rPr>
                <w:noProof/>
                <w:webHidden/>
              </w:rPr>
              <w:t>45</w:t>
            </w:r>
            <w:r w:rsidR="004227EA">
              <w:rPr>
                <w:noProof/>
                <w:webHidden/>
              </w:rPr>
              <w:fldChar w:fldCharType="end"/>
            </w:r>
          </w:hyperlink>
        </w:p>
        <w:p w14:paraId="79EA0A74" w14:textId="7AA88131" w:rsidR="004227EA" w:rsidRDefault="00000000" w:rsidP="004227EA">
          <w:pPr>
            <w:pStyle w:val="TOC2"/>
            <w:rPr>
              <w:rFonts w:eastAsiaTheme="minorEastAsia" w:cstheme="minorBidi"/>
              <w:noProof/>
              <w:sz w:val="22"/>
              <w:szCs w:val="22"/>
              <w:lang w:eastAsia="lv-LV"/>
            </w:rPr>
          </w:pPr>
          <w:hyperlink w:anchor="_Toc107916322" w:history="1">
            <w:r w:rsidR="004227EA" w:rsidRPr="00671287">
              <w:rPr>
                <w:rStyle w:val="Hyperlink"/>
                <w:rFonts w:ascii="Times New Roman" w:eastAsia="Times New Roman" w:hAnsi="Times New Roman" w:cs="Times New Roman"/>
                <w:noProof/>
                <w:lang w:eastAsia="en-GB"/>
              </w:rPr>
              <w:t>E2.Alternatīva: Vienota notekūdeņu dūņu apsaimniekošana katras pašvaldības ietvaros</w:t>
            </w:r>
            <w:r w:rsidR="004227EA">
              <w:rPr>
                <w:noProof/>
                <w:webHidden/>
              </w:rPr>
              <w:tab/>
            </w:r>
            <w:r w:rsidR="004227EA">
              <w:rPr>
                <w:noProof/>
                <w:webHidden/>
              </w:rPr>
              <w:fldChar w:fldCharType="begin"/>
            </w:r>
            <w:r w:rsidR="004227EA">
              <w:rPr>
                <w:noProof/>
                <w:webHidden/>
              </w:rPr>
              <w:instrText xml:space="preserve"> PAGEREF _Toc107916322 \h </w:instrText>
            </w:r>
            <w:r w:rsidR="004227EA">
              <w:rPr>
                <w:noProof/>
                <w:webHidden/>
              </w:rPr>
            </w:r>
            <w:r w:rsidR="004227EA">
              <w:rPr>
                <w:noProof/>
                <w:webHidden/>
              </w:rPr>
              <w:fldChar w:fldCharType="separate"/>
            </w:r>
            <w:r w:rsidR="004227EA">
              <w:rPr>
                <w:noProof/>
                <w:webHidden/>
              </w:rPr>
              <w:t>45</w:t>
            </w:r>
            <w:r w:rsidR="004227EA">
              <w:rPr>
                <w:noProof/>
                <w:webHidden/>
              </w:rPr>
              <w:fldChar w:fldCharType="end"/>
            </w:r>
          </w:hyperlink>
        </w:p>
        <w:p w14:paraId="229FFE0D" w14:textId="1AC07BAA" w:rsidR="004227EA" w:rsidRDefault="00000000" w:rsidP="004227EA">
          <w:pPr>
            <w:pStyle w:val="TOC2"/>
            <w:rPr>
              <w:rFonts w:eastAsiaTheme="minorEastAsia" w:cstheme="minorBidi"/>
              <w:noProof/>
              <w:sz w:val="22"/>
              <w:szCs w:val="22"/>
              <w:lang w:eastAsia="lv-LV"/>
            </w:rPr>
          </w:pPr>
          <w:hyperlink w:anchor="_Toc107916323" w:history="1">
            <w:r w:rsidR="004227EA" w:rsidRPr="00671287">
              <w:rPr>
                <w:rStyle w:val="Hyperlink"/>
                <w:rFonts w:ascii="Times New Roman" w:eastAsia="Times New Roman" w:hAnsi="Times New Roman" w:cs="Times New Roman"/>
                <w:noProof/>
                <w:lang w:eastAsia="en-GB"/>
              </w:rPr>
              <w:t>E3. Alternatīva: Vienota notekūdeņu dūņu apsaimniekošana reģionālā vai valsts mērogā veidojot jaunu notekūdeņu dūņu pārstrādes centru operatoru</w:t>
            </w:r>
            <w:r w:rsidR="004227EA">
              <w:rPr>
                <w:noProof/>
                <w:webHidden/>
              </w:rPr>
              <w:tab/>
            </w:r>
            <w:r w:rsidR="004227EA">
              <w:rPr>
                <w:noProof/>
                <w:webHidden/>
              </w:rPr>
              <w:fldChar w:fldCharType="begin"/>
            </w:r>
            <w:r w:rsidR="004227EA">
              <w:rPr>
                <w:noProof/>
                <w:webHidden/>
              </w:rPr>
              <w:instrText xml:space="preserve"> PAGEREF _Toc107916323 \h </w:instrText>
            </w:r>
            <w:r w:rsidR="004227EA">
              <w:rPr>
                <w:noProof/>
                <w:webHidden/>
              </w:rPr>
            </w:r>
            <w:r w:rsidR="004227EA">
              <w:rPr>
                <w:noProof/>
                <w:webHidden/>
              </w:rPr>
              <w:fldChar w:fldCharType="separate"/>
            </w:r>
            <w:r w:rsidR="004227EA">
              <w:rPr>
                <w:noProof/>
                <w:webHidden/>
              </w:rPr>
              <w:t>46</w:t>
            </w:r>
            <w:r w:rsidR="004227EA">
              <w:rPr>
                <w:noProof/>
                <w:webHidden/>
              </w:rPr>
              <w:fldChar w:fldCharType="end"/>
            </w:r>
          </w:hyperlink>
        </w:p>
        <w:p w14:paraId="6EE20094" w14:textId="47A9DA7A" w:rsidR="004227EA" w:rsidRDefault="00000000" w:rsidP="004227EA">
          <w:pPr>
            <w:pStyle w:val="TOC2"/>
            <w:rPr>
              <w:rFonts w:eastAsiaTheme="minorEastAsia" w:cstheme="minorBidi"/>
              <w:noProof/>
              <w:sz w:val="22"/>
              <w:szCs w:val="22"/>
              <w:lang w:eastAsia="lv-LV"/>
            </w:rPr>
          </w:pPr>
          <w:hyperlink w:anchor="_Toc107916324" w:history="1">
            <w:r w:rsidR="004227EA" w:rsidRPr="00671287">
              <w:rPr>
                <w:rStyle w:val="Hyperlink"/>
                <w:rFonts w:ascii="Times New Roman" w:eastAsia="Times New Roman" w:hAnsi="Times New Roman" w:cs="Times New Roman"/>
                <w:noProof/>
                <w:lang w:eastAsia="en-GB"/>
              </w:rPr>
              <w:t>E4. Alternatīva: Viens ūdenssaimniecības sabiedrisko pakalpojumu sniedzējs valsts mērogā</w:t>
            </w:r>
            <w:r w:rsidR="004227EA">
              <w:rPr>
                <w:noProof/>
                <w:webHidden/>
              </w:rPr>
              <w:tab/>
            </w:r>
            <w:r w:rsidR="004227EA">
              <w:rPr>
                <w:noProof/>
                <w:webHidden/>
              </w:rPr>
              <w:fldChar w:fldCharType="begin"/>
            </w:r>
            <w:r w:rsidR="004227EA">
              <w:rPr>
                <w:noProof/>
                <w:webHidden/>
              </w:rPr>
              <w:instrText xml:space="preserve"> PAGEREF _Toc107916324 \h </w:instrText>
            </w:r>
            <w:r w:rsidR="004227EA">
              <w:rPr>
                <w:noProof/>
                <w:webHidden/>
              </w:rPr>
            </w:r>
            <w:r w:rsidR="004227EA">
              <w:rPr>
                <w:noProof/>
                <w:webHidden/>
              </w:rPr>
              <w:fldChar w:fldCharType="separate"/>
            </w:r>
            <w:r w:rsidR="004227EA">
              <w:rPr>
                <w:noProof/>
                <w:webHidden/>
              </w:rPr>
              <w:t>47</w:t>
            </w:r>
            <w:r w:rsidR="004227EA">
              <w:rPr>
                <w:noProof/>
                <w:webHidden/>
              </w:rPr>
              <w:fldChar w:fldCharType="end"/>
            </w:r>
          </w:hyperlink>
        </w:p>
        <w:p w14:paraId="6F3D0F05" w14:textId="212DF817"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325" w:history="1">
            <w:r w:rsidR="004227EA" w:rsidRPr="00671287">
              <w:rPr>
                <w:rStyle w:val="Hyperlink"/>
                <w:rFonts w:ascii="Times New Roman" w:eastAsia="Times New Roman" w:hAnsi="Times New Roman" w:cs="Times New Roman"/>
                <w:noProof/>
                <w:lang w:eastAsia="en-GB"/>
              </w:rPr>
              <w:t>6.  NOTEKŪDEŅU DŪŅU APSAIMNIEKOŠANAS PROCESU APRAKSTS</w:t>
            </w:r>
            <w:r w:rsidR="004227EA">
              <w:rPr>
                <w:noProof/>
                <w:webHidden/>
              </w:rPr>
              <w:tab/>
            </w:r>
            <w:r w:rsidR="004227EA">
              <w:rPr>
                <w:noProof/>
                <w:webHidden/>
              </w:rPr>
              <w:fldChar w:fldCharType="begin"/>
            </w:r>
            <w:r w:rsidR="004227EA">
              <w:rPr>
                <w:noProof/>
                <w:webHidden/>
              </w:rPr>
              <w:instrText xml:space="preserve"> PAGEREF _Toc107916325 \h </w:instrText>
            </w:r>
            <w:r w:rsidR="004227EA">
              <w:rPr>
                <w:noProof/>
                <w:webHidden/>
              </w:rPr>
            </w:r>
            <w:r w:rsidR="004227EA">
              <w:rPr>
                <w:noProof/>
                <w:webHidden/>
              </w:rPr>
              <w:fldChar w:fldCharType="separate"/>
            </w:r>
            <w:r w:rsidR="004227EA">
              <w:rPr>
                <w:noProof/>
                <w:webHidden/>
              </w:rPr>
              <w:t>50</w:t>
            </w:r>
            <w:r w:rsidR="004227EA">
              <w:rPr>
                <w:noProof/>
                <w:webHidden/>
              </w:rPr>
              <w:fldChar w:fldCharType="end"/>
            </w:r>
          </w:hyperlink>
        </w:p>
        <w:p w14:paraId="14762A54" w14:textId="0E5BAE64" w:rsidR="004227EA" w:rsidRDefault="00000000" w:rsidP="004227EA">
          <w:pPr>
            <w:pStyle w:val="TOC2"/>
            <w:rPr>
              <w:rFonts w:eastAsiaTheme="minorEastAsia" w:cstheme="minorBidi"/>
              <w:noProof/>
              <w:sz w:val="22"/>
              <w:szCs w:val="22"/>
              <w:lang w:eastAsia="lv-LV"/>
            </w:rPr>
          </w:pPr>
          <w:hyperlink w:anchor="_Toc107916326" w:history="1">
            <w:r w:rsidR="004227EA" w:rsidRPr="00671287">
              <w:rPr>
                <w:rStyle w:val="Hyperlink"/>
                <w:rFonts w:ascii="Times New Roman" w:eastAsia="Times New Roman" w:hAnsi="Times New Roman" w:cs="Times New Roman"/>
                <w:noProof/>
                <w:lang w:eastAsia="en-GB"/>
              </w:rPr>
              <w:t>6.1. Kopsavilkums par Latvijas notekūdeņu dūņu apsaimniekošanas stratēģijas alternatīvu analīzi</w:t>
            </w:r>
            <w:r w:rsidR="004227EA">
              <w:rPr>
                <w:noProof/>
                <w:webHidden/>
              </w:rPr>
              <w:tab/>
            </w:r>
            <w:r w:rsidR="004227EA">
              <w:rPr>
                <w:noProof/>
                <w:webHidden/>
              </w:rPr>
              <w:fldChar w:fldCharType="begin"/>
            </w:r>
            <w:r w:rsidR="004227EA">
              <w:rPr>
                <w:noProof/>
                <w:webHidden/>
              </w:rPr>
              <w:instrText xml:space="preserve"> PAGEREF _Toc107916326 \h </w:instrText>
            </w:r>
            <w:r w:rsidR="004227EA">
              <w:rPr>
                <w:noProof/>
                <w:webHidden/>
              </w:rPr>
            </w:r>
            <w:r w:rsidR="004227EA">
              <w:rPr>
                <w:noProof/>
                <w:webHidden/>
              </w:rPr>
              <w:fldChar w:fldCharType="separate"/>
            </w:r>
            <w:r w:rsidR="004227EA">
              <w:rPr>
                <w:noProof/>
                <w:webHidden/>
              </w:rPr>
              <w:t>50</w:t>
            </w:r>
            <w:r w:rsidR="004227EA">
              <w:rPr>
                <w:noProof/>
                <w:webHidden/>
              </w:rPr>
              <w:fldChar w:fldCharType="end"/>
            </w:r>
          </w:hyperlink>
        </w:p>
        <w:p w14:paraId="1442A791" w14:textId="0F423901" w:rsidR="004227EA" w:rsidRDefault="00000000" w:rsidP="004227EA">
          <w:pPr>
            <w:pStyle w:val="TOC2"/>
            <w:rPr>
              <w:rFonts w:eastAsiaTheme="minorEastAsia" w:cstheme="minorBidi"/>
              <w:noProof/>
              <w:sz w:val="22"/>
              <w:szCs w:val="22"/>
              <w:lang w:eastAsia="lv-LV"/>
            </w:rPr>
          </w:pPr>
          <w:hyperlink w:anchor="_Toc107916327" w:history="1">
            <w:r w:rsidR="004227EA" w:rsidRPr="00671287">
              <w:rPr>
                <w:rStyle w:val="Hyperlink"/>
                <w:rFonts w:ascii="Times New Roman" w:eastAsia="Times New Roman" w:hAnsi="Times New Roman" w:cs="Times New Roman"/>
                <w:noProof/>
                <w:lang w:eastAsia="en-GB"/>
              </w:rPr>
              <w:t>6.2. Notekūdeņu dūņu apsaimniekošanas procesu apraksts</w:t>
            </w:r>
            <w:r w:rsidR="004227EA">
              <w:rPr>
                <w:noProof/>
                <w:webHidden/>
              </w:rPr>
              <w:tab/>
            </w:r>
            <w:r w:rsidR="004227EA">
              <w:rPr>
                <w:noProof/>
                <w:webHidden/>
              </w:rPr>
              <w:fldChar w:fldCharType="begin"/>
            </w:r>
            <w:r w:rsidR="004227EA">
              <w:rPr>
                <w:noProof/>
                <w:webHidden/>
              </w:rPr>
              <w:instrText xml:space="preserve"> PAGEREF _Toc107916327 \h </w:instrText>
            </w:r>
            <w:r w:rsidR="004227EA">
              <w:rPr>
                <w:noProof/>
                <w:webHidden/>
              </w:rPr>
            </w:r>
            <w:r w:rsidR="004227EA">
              <w:rPr>
                <w:noProof/>
                <w:webHidden/>
              </w:rPr>
              <w:fldChar w:fldCharType="separate"/>
            </w:r>
            <w:r w:rsidR="004227EA">
              <w:rPr>
                <w:noProof/>
                <w:webHidden/>
              </w:rPr>
              <w:t>56</w:t>
            </w:r>
            <w:r w:rsidR="004227EA">
              <w:rPr>
                <w:noProof/>
                <w:webHidden/>
              </w:rPr>
              <w:fldChar w:fldCharType="end"/>
            </w:r>
          </w:hyperlink>
        </w:p>
        <w:p w14:paraId="5C23315A" w14:textId="28D5CC3E" w:rsidR="004227EA" w:rsidRDefault="00000000">
          <w:pPr>
            <w:pStyle w:val="TOC1"/>
            <w:tabs>
              <w:tab w:val="right" w:leader="dot" w:pos="8494"/>
            </w:tabs>
            <w:rPr>
              <w:rFonts w:asciiTheme="minorHAnsi" w:eastAsiaTheme="minorEastAsia" w:hAnsiTheme="minorHAnsi" w:cstheme="minorBidi"/>
              <w:b w:val="0"/>
              <w:bCs w:val="0"/>
              <w:caps w:val="0"/>
              <w:noProof/>
              <w:sz w:val="22"/>
              <w:szCs w:val="22"/>
              <w:lang w:eastAsia="lv-LV"/>
            </w:rPr>
          </w:pPr>
          <w:hyperlink w:anchor="_Toc107916328" w:history="1">
            <w:r w:rsidR="004227EA" w:rsidRPr="00671287">
              <w:rPr>
                <w:rStyle w:val="Hyperlink"/>
                <w:rFonts w:ascii="Times New Roman" w:eastAsia="Times New Roman" w:hAnsi="Times New Roman" w:cs="Times New Roman"/>
                <w:noProof/>
                <w:lang w:eastAsia="en-GB"/>
              </w:rPr>
              <w:t>PIELIKUMI</w:t>
            </w:r>
            <w:r w:rsidR="004227EA">
              <w:rPr>
                <w:noProof/>
                <w:webHidden/>
              </w:rPr>
              <w:tab/>
            </w:r>
            <w:r w:rsidR="004227EA">
              <w:rPr>
                <w:noProof/>
                <w:webHidden/>
              </w:rPr>
              <w:fldChar w:fldCharType="begin"/>
            </w:r>
            <w:r w:rsidR="004227EA">
              <w:rPr>
                <w:noProof/>
                <w:webHidden/>
              </w:rPr>
              <w:instrText xml:space="preserve"> PAGEREF _Toc107916328 \h </w:instrText>
            </w:r>
            <w:r w:rsidR="004227EA">
              <w:rPr>
                <w:noProof/>
                <w:webHidden/>
              </w:rPr>
            </w:r>
            <w:r w:rsidR="004227EA">
              <w:rPr>
                <w:noProof/>
                <w:webHidden/>
              </w:rPr>
              <w:fldChar w:fldCharType="separate"/>
            </w:r>
            <w:r w:rsidR="004227EA">
              <w:rPr>
                <w:noProof/>
                <w:webHidden/>
              </w:rPr>
              <w:t>59</w:t>
            </w:r>
            <w:r w:rsidR="004227EA">
              <w:rPr>
                <w:noProof/>
                <w:webHidden/>
              </w:rPr>
              <w:fldChar w:fldCharType="end"/>
            </w:r>
          </w:hyperlink>
        </w:p>
        <w:p w14:paraId="4D293511" w14:textId="4D0A1B96" w:rsidR="004227EA" w:rsidRDefault="00000000" w:rsidP="004227EA">
          <w:pPr>
            <w:pStyle w:val="TOC2"/>
            <w:rPr>
              <w:rFonts w:eastAsiaTheme="minorEastAsia" w:cstheme="minorBidi"/>
              <w:noProof/>
              <w:sz w:val="22"/>
              <w:szCs w:val="22"/>
              <w:lang w:eastAsia="lv-LV"/>
            </w:rPr>
          </w:pPr>
          <w:hyperlink w:anchor="_Toc107916329" w:history="1">
            <w:r w:rsidR="004227EA" w:rsidRPr="00671287">
              <w:rPr>
                <w:rStyle w:val="Hyperlink"/>
                <w:rFonts w:ascii="Times New Roman" w:hAnsi="Times New Roman" w:cs="Times New Roman"/>
                <w:noProof/>
              </w:rPr>
              <w:t>4.1. Dūņu apsaimniekošanas alternatīvu izvēles metodika</w:t>
            </w:r>
            <w:r w:rsidR="004227EA">
              <w:rPr>
                <w:noProof/>
                <w:webHidden/>
              </w:rPr>
              <w:tab/>
            </w:r>
            <w:r w:rsidR="004227EA">
              <w:rPr>
                <w:noProof/>
                <w:webHidden/>
              </w:rPr>
              <w:fldChar w:fldCharType="begin"/>
            </w:r>
            <w:r w:rsidR="004227EA">
              <w:rPr>
                <w:noProof/>
                <w:webHidden/>
              </w:rPr>
              <w:instrText xml:space="preserve"> PAGEREF _Toc107916329 \h </w:instrText>
            </w:r>
            <w:r w:rsidR="004227EA">
              <w:rPr>
                <w:noProof/>
                <w:webHidden/>
              </w:rPr>
            </w:r>
            <w:r w:rsidR="004227EA">
              <w:rPr>
                <w:noProof/>
                <w:webHidden/>
              </w:rPr>
              <w:fldChar w:fldCharType="separate"/>
            </w:r>
            <w:r w:rsidR="004227EA">
              <w:rPr>
                <w:noProof/>
                <w:webHidden/>
              </w:rPr>
              <w:t>60</w:t>
            </w:r>
            <w:r w:rsidR="004227EA">
              <w:rPr>
                <w:noProof/>
                <w:webHidden/>
              </w:rPr>
              <w:fldChar w:fldCharType="end"/>
            </w:r>
          </w:hyperlink>
        </w:p>
        <w:p w14:paraId="40E5B22E" w14:textId="68EFF521" w:rsidR="004227EA" w:rsidRDefault="00000000" w:rsidP="004227EA">
          <w:pPr>
            <w:pStyle w:val="TOC2"/>
            <w:rPr>
              <w:rFonts w:eastAsiaTheme="minorEastAsia" w:cstheme="minorBidi"/>
              <w:noProof/>
              <w:sz w:val="22"/>
              <w:szCs w:val="22"/>
              <w:lang w:eastAsia="lv-LV"/>
            </w:rPr>
          </w:pPr>
          <w:hyperlink w:anchor="_Toc107916330" w:history="1">
            <w:r w:rsidR="004227EA" w:rsidRPr="00671287">
              <w:rPr>
                <w:rStyle w:val="Hyperlink"/>
                <w:rFonts w:ascii="Times New Roman" w:hAnsi="Times New Roman" w:cs="Times New Roman"/>
                <w:noProof/>
              </w:rPr>
              <w:t>4.2. Detalizēts alternatīvu novērtējums notekūdeņu dūņu apsaimniekošanā, izmantojot pastāvošo infrastruktūru ārpus sps uzņēmumiem</w:t>
            </w:r>
            <w:r w:rsidR="004227EA">
              <w:rPr>
                <w:noProof/>
                <w:webHidden/>
              </w:rPr>
              <w:tab/>
            </w:r>
            <w:r w:rsidR="004227EA">
              <w:rPr>
                <w:noProof/>
                <w:webHidden/>
              </w:rPr>
              <w:fldChar w:fldCharType="begin"/>
            </w:r>
            <w:r w:rsidR="004227EA">
              <w:rPr>
                <w:noProof/>
                <w:webHidden/>
              </w:rPr>
              <w:instrText xml:space="preserve"> PAGEREF _Toc107916330 \h </w:instrText>
            </w:r>
            <w:r w:rsidR="004227EA">
              <w:rPr>
                <w:noProof/>
                <w:webHidden/>
              </w:rPr>
            </w:r>
            <w:r w:rsidR="004227EA">
              <w:rPr>
                <w:noProof/>
                <w:webHidden/>
              </w:rPr>
              <w:fldChar w:fldCharType="separate"/>
            </w:r>
            <w:r w:rsidR="004227EA">
              <w:rPr>
                <w:noProof/>
                <w:webHidden/>
              </w:rPr>
              <w:t>64</w:t>
            </w:r>
            <w:r w:rsidR="004227EA">
              <w:rPr>
                <w:noProof/>
                <w:webHidden/>
              </w:rPr>
              <w:fldChar w:fldCharType="end"/>
            </w:r>
          </w:hyperlink>
        </w:p>
        <w:p w14:paraId="46F162DB" w14:textId="56FDD93F" w:rsidR="004227EA" w:rsidRDefault="00000000" w:rsidP="004227EA">
          <w:pPr>
            <w:pStyle w:val="TOC2"/>
            <w:rPr>
              <w:rFonts w:eastAsiaTheme="minorEastAsia" w:cstheme="minorBidi"/>
              <w:noProof/>
              <w:sz w:val="22"/>
              <w:szCs w:val="22"/>
              <w:lang w:eastAsia="lv-LV"/>
            </w:rPr>
          </w:pPr>
          <w:hyperlink w:anchor="_Toc107916331" w:history="1">
            <w:r w:rsidR="004227EA" w:rsidRPr="00671287">
              <w:rPr>
                <w:rStyle w:val="Hyperlink"/>
                <w:rFonts w:ascii="Times New Roman" w:hAnsi="Times New Roman" w:cs="Times New Roman"/>
                <w:noProof/>
              </w:rPr>
              <w:t>4.3. Detalizēts notekūdeņu dūņu utilizācijas alternatīvu novērtējums</w:t>
            </w:r>
            <w:r w:rsidR="004227EA">
              <w:rPr>
                <w:noProof/>
                <w:webHidden/>
              </w:rPr>
              <w:tab/>
            </w:r>
            <w:r w:rsidR="004227EA">
              <w:rPr>
                <w:noProof/>
                <w:webHidden/>
              </w:rPr>
              <w:fldChar w:fldCharType="begin"/>
            </w:r>
            <w:r w:rsidR="004227EA">
              <w:rPr>
                <w:noProof/>
                <w:webHidden/>
              </w:rPr>
              <w:instrText xml:space="preserve"> PAGEREF _Toc107916331 \h </w:instrText>
            </w:r>
            <w:r w:rsidR="004227EA">
              <w:rPr>
                <w:noProof/>
                <w:webHidden/>
              </w:rPr>
            </w:r>
            <w:r w:rsidR="004227EA">
              <w:rPr>
                <w:noProof/>
                <w:webHidden/>
              </w:rPr>
              <w:fldChar w:fldCharType="separate"/>
            </w:r>
            <w:r w:rsidR="004227EA">
              <w:rPr>
                <w:noProof/>
                <w:webHidden/>
              </w:rPr>
              <w:t>79</w:t>
            </w:r>
            <w:r w:rsidR="004227EA">
              <w:rPr>
                <w:noProof/>
                <w:webHidden/>
              </w:rPr>
              <w:fldChar w:fldCharType="end"/>
            </w:r>
          </w:hyperlink>
        </w:p>
        <w:p w14:paraId="356A44B9" w14:textId="5D26F6DD" w:rsidR="004227EA" w:rsidRDefault="00000000" w:rsidP="004227EA">
          <w:pPr>
            <w:pStyle w:val="TOC2"/>
            <w:rPr>
              <w:rFonts w:eastAsiaTheme="minorEastAsia" w:cstheme="minorBidi"/>
              <w:noProof/>
              <w:sz w:val="22"/>
              <w:szCs w:val="22"/>
              <w:lang w:eastAsia="lv-LV"/>
            </w:rPr>
          </w:pPr>
          <w:hyperlink w:anchor="_Toc107916332" w:history="1">
            <w:r w:rsidR="004227EA" w:rsidRPr="00671287">
              <w:rPr>
                <w:rStyle w:val="Hyperlink"/>
                <w:rFonts w:ascii="Times New Roman" w:hAnsi="Times New Roman" w:cs="Times New Roman"/>
                <w:noProof/>
              </w:rPr>
              <w:t>4.4. Detalizēts notekūdeņu dūņu pārstrādes alternatīvu novērtējums</w:t>
            </w:r>
            <w:r w:rsidR="004227EA">
              <w:rPr>
                <w:noProof/>
                <w:webHidden/>
              </w:rPr>
              <w:tab/>
            </w:r>
            <w:r w:rsidR="004227EA">
              <w:rPr>
                <w:noProof/>
                <w:webHidden/>
              </w:rPr>
              <w:fldChar w:fldCharType="begin"/>
            </w:r>
            <w:r w:rsidR="004227EA">
              <w:rPr>
                <w:noProof/>
                <w:webHidden/>
              </w:rPr>
              <w:instrText xml:space="preserve"> PAGEREF _Toc107916332 \h </w:instrText>
            </w:r>
            <w:r w:rsidR="004227EA">
              <w:rPr>
                <w:noProof/>
                <w:webHidden/>
              </w:rPr>
            </w:r>
            <w:r w:rsidR="004227EA">
              <w:rPr>
                <w:noProof/>
                <w:webHidden/>
              </w:rPr>
              <w:fldChar w:fldCharType="separate"/>
            </w:r>
            <w:r w:rsidR="004227EA">
              <w:rPr>
                <w:noProof/>
                <w:webHidden/>
              </w:rPr>
              <w:t>93</w:t>
            </w:r>
            <w:r w:rsidR="004227EA">
              <w:rPr>
                <w:noProof/>
                <w:webHidden/>
              </w:rPr>
              <w:fldChar w:fldCharType="end"/>
            </w:r>
          </w:hyperlink>
        </w:p>
        <w:p w14:paraId="48DB4CE4" w14:textId="20412DCF" w:rsidR="004227EA" w:rsidRDefault="00000000" w:rsidP="004227EA">
          <w:pPr>
            <w:pStyle w:val="TOC2"/>
            <w:rPr>
              <w:rFonts w:eastAsiaTheme="minorEastAsia" w:cstheme="minorBidi"/>
              <w:noProof/>
              <w:sz w:val="22"/>
              <w:szCs w:val="22"/>
              <w:lang w:eastAsia="lv-LV"/>
            </w:rPr>
          </w:pPr>
          <w:hyperlink w:anchor="_Toc107916333" w:history="1">
            <w:r w:rsidR="004227EA" w:rsidRPr="00671287">
              <w:rPr>
                <w:rStyle w:val="Hyperlink"/>
                <w:rFonts w:ascii="Times New Roman" w:hAnsi="Times New Roman" w:cs="Times New Roman"/>
                <w:noProof/>
              </w:rPr>
              <w:t>4.5. Notekūdeņu dūņu apstrādes un centralizācijas alternatīvu novērtējums</w:t>
            </w:r>
            <w:r w:rsidR="004227EA">
              <w:rPr>
                <w:noProof/>
                <w:webHidden/>
              </w:rPr>
              <w:tab/>
            </w:r>
            <w:r w:rsidR="004227EA">
              <w:rPr>
                <w:noProof/>
                <w:webHidden/>
              </w:rPr>
              <w:fldChar w:fldCharType="begin"/>
            </w:r>
            <w:r w:rsidR="004227EA">
              <w:rPr>
                <w:noProof/>
                <w:webHidden/>
              </w:rPr>
              <w:instrText xml:space="preserve"> PAGEREF _Toc107916333 \h </w:instrText>
            </w:r>
            <w:r w:rsidR="004227EA">
              <w:rPr>
                <w:noProof/>
                <w:webHidden/>
              </w:rPr>
            </w:r>
            <w:r w:rsidR="004227EA">
              <w:rPr>
                <w:noProof/>
                <w:webHidden/>
              </w:rPr>
              <w:fldChar w:fldCharType="separate"/>
            </w:r>
            <w:r w:rsidR="004227EA">
              <w:rPr>
                <w:noProof/>
                <w:webHidden/>
              </w:rPr>
              <w:t>108</w:t>
            </w:r>
            <w:r w:rsidR="004227EA">
              <w:rPr>
                <w:noProof/>
                <w:webHidden/>
              </w:rPr>
              <w:fldChar w:fldCharType="end"/>
            </w:r>
          </w:hyperlink>
        </w:p>
        <w:p w14:paraId="20219EF2" w14:textId="581F00EE" w:rsidR="004227EA" w:rsidRDefault="00000000" w:rsidP="004227EA">
          <w:pPr>
            <w:pStyle w:val="TOC2"/>
            <w:rPr>
              <w:rFonts w:eastAsiaTheme="minorEastAsia" w:cstheme="minorBidi"/>
              <w:noProof/>
              <w:sz w:val="22"/>
              <w:szCs w:val="22"/>
              <w:lang w:eastAsia="lv-LV"/>
            </w:rPr>
          </w:pPr>
          <w:hyperlink w:anchor="_Toc107916334" w:history="1">
            <w:r w:rsidR="004227EA" w:rsidRPr="00671287">
              <w:rPr>
                <w:rStyle w:val="Hyperlink"/>
                <w:rFonts w:ascii="Times New Roman" w:hAnsi="Times New Roman" w:cs="Times New Roman"/>
                <w:noProof/>
              </w:rPr>
              <w:t>4.6. Detalizēts notekūdeņu dūņu apsaimniekošanas institucionālās pārvaldības alternatīvu novērtējums</w:t>
            </w:r>
            <w:r w:rsidR="004227EA">
              <w:rPr>
                <w:noProof/>
                <w:webHidden/>
              </w:rPr>
              <w:tab/>
            </w:r>
            <w:r w:rsidR="004227EA">
              <w:rPr>
                <w:noProof/>
                <w:webHidden/>
              </w:rPr>
              <w:fldChar w:fldCharType="begin"/>
            </w:r>
            <w:r w:rsidR="004227EA">
              <w:rPr>
                <w:noProof/>
                <w:webHidden/>
              </w:rPr>
              <w:instrText xml:space="preserve"> PAGEREF _Toc107916334 \h </w:instrText>
            </w:r>
            <w:r w:rsidR="004227EA">
              <w:rPr>
                <w:noProof/>
                <w:webHidden/>
              </w:rPr>
            </w:r>
            <w:r w:rsidR="004227EA">
              <w:rPr>
                <w:noProof/>
                <w:webHidden/>
              </w:rPr>
              <w:fldChar w:fldCharType="separate"/>
            </w:r>
            <w:r w:rsidR="004227EA">
              <w:rPr>
                <w:noProof/>
                <w:webHidden/>
              </w:rPr>
              <w:t>151</w:t>
            </w:r>
            <w:r w:rsidR="004227EA">
              <w:rPr>
                <w:noProof/>
                <w:webHidden/>
              </w:rPr>
              <w:fldChar w:fldCharType="end"/>
            </w:r>
          </w:hyperlink>
        </w:p>
        <w:p w14:paraId="44DB74C4" w14:textId="23BF2BE9" w:rsidR="004227EA" w:rsidRDefault="00000000" w:rsidP="004227EA">
          <w:pPr>
            <w:pStyle w:val="TOC2"/>
            <w:rPr>
              <w:rFonts w:eastAsiaTheme="minorEastAsia" w:cstheme="minorBidi"/>
              <w:noProof/>
              <w:sz w:val="22"/>
              <w:szCs w:val="22"/>
              <w:lang w:eastAsia="lv-LV"/>
            </w:rPr>
          </w:pPr>
          <w:hyperlink w:anchor="_Toc107916335" w:history="1">
            <w:r w:rsidR="004227EA" w:rsidRPr="00671287">
              <w:rPr>
                <w:rStyle w:val="Hyperlink"/>
                <w:rFonts w:ascii="Times New Roman" w:hAnsi="Times New Roman" w:cs="Times New Roman"/>
                <w:noProof/>
              </w:rPr>
              <w:t>4.7. Finanšu aprēķini “1. Dažādu notekūdeņu dūņu apstrādes veidu izmaksas”</w:t>
            </w:r>
            <w:r w:rsidR="004227EA">
              <w:rPr>
                <w:noProof/>
                <w:webHidden/>
              </w:rPr>
              <w:tab/>
            </w:r>
            <w:r w:rsidR="004227EA">
              <w:rPr>
                <w:noProof/>
                <w:webHidden/>
              </w:rPr>
              <w:fldChar w:fldCharType="begin"/>
            </w:r>
            <w:r w:rsidR="004227EA">
              <w:rPr>
                <w:noProof/>
                <w:webHidden/>
              </w:rPr>
              <w:instrText xml:space="preserve"> PAGEREF _Toc107916335 \h </w:instrText>
            </w:r>
            <w:r w:rsidR="004227EA">
              <w:rPr>
                <w:noProof/>
                <w:webHidden/>
              </w:rPr>
            </w:r>
            <w:r w:rsidR="004227EA">
              <w:rPr>
                <w:noProof/>
                <w:webHidden/>
              </w:rPr>
              <w:fldChar w:fldCharType="separate"/>
            </w:r>
            <w:r w:rsidR="004227EA">
              <w:rPr>
                <w:noProof/>
                <w:webHidden/>
              </w:rPr>
              <w:t>162</w:t>
            </w:r>
            <w:r w:rsidR="004227EA">
              <w:rPr>
                <w:noProof/>
                <w:webHidden/>
              </w:rPr>
              <w:fldChar w:fldCharType="end"/>
            </w:r>
          </w:hyperlink>
        </w:p>
        <w:p w14:paraId="321B6EA7" w14:textId="345E18AF" w:rsidR="004227EA" w:rsidRDefault="00000000" w:rsidP="004227EA">
          <w:pPr>
            <w:pStyle w:val="TOC2"/>
            <w:rPr>
              <w:rFonts w:eastAsiaTheme="minorEastAsia" w:cstheme="minorBidi"/>
              <w:noProof/>
              <w:sz w:val="22"/>
              <w:szCs w:val="22"/>
              <w:lang w:eastAsia="lv-LV"/>
            </w:rPr>
          </w:pPr>
          <w:hyperlink w:anchor="_Toc107916336" w:history="1">
            <w:r w:rsidR="004227EA" w:rsidRPr="00671287">
              <w:rPr>
                <w:rStyle w:val="Hyperlink"/>
                <w:rFonts w:ascii="Times New Roman" w:hAnsi="Times New Roman" w:cs="Times New Roman"/>
                <w:noProof/>
              </w:rPr>
              <w:t>4.8. Finanšu aprēķini “2. notekūdeņu dūņu apstrādes izmaksas pašvaldībās”</w:t>
            </w:r>
            <w:r w:rsidR="004227EA">
              <w:rPr>
                <w:noProof/>
                <w:webHidden/>
              </w:rPr>
              <w:tab/>
            </w:r>
            <w:r w:rsidR="004227EA">
              <w:rPr>
                <w:noProof/>
                <w:webHidden/>
              </w:rPr>
              <w:fldChar w:fldCharType="begin"/>
            </w:r>
            <w:r w:rsidR="004227EA">
              <w:rPr>
                <w:noProof/>
                <w:webHidden/>
              </w:rPr>
              <w:instrText xml:space="preserve"> PAGEREF _Toc107916336 \h </w:instrText>
            </w:r>
            <w:r w:rsidR="004227EA">
              <w:rPr>
                <w:noProof/>
                <w:webHidden/>
              </w:rPr>
            </w:r>
            <w:r w:rsidR="004227EA">
              <w:rPr>
                <w:noProof/>
                <w:webHidden/>
              </w:rPr>
              <w:fldChar w:fldCharType="separate"/>
            </w:r>
            <w:r w:rsidR="004227EA">
              <w:rPr>
                <w:noProof/>
                <w:webHidden/>
              </w:rPr>
              <w:t>167</w:t>
            </w:r>
            <w:r w:rsidR="004227EA">
              <w:rPr>
                <w:noProof/>
                <w:webHidden/>
              </w:rPr>
              <w:fldChar w:fldCharType="end"/>
            </w:r>
          </w:hyperlink>
        </w:p>
        <w:p w14:paraId="6170C246" w14:textId="5E02D95E" w:rsidR="004227EA" w:rsidRDefault="00000000" w:rsidP="004227EA">
          <w:pPr>
            <w:pStyle w:val="TOC2"/>
            <w:rPr>
              <w:rFonts w:eastAsiaTheme="minorEastAsia" w:cstheme="minorBidi"/>
              <w:noProof/>
              <w:sz w:val="22"/>
              <w:szCs w:val="22"/>
              <w:lang w:eastAsia="lv-LV"/>
            </w:rPr>
          </w:pPr>
          <w:hyperlink w:anchor="_Toc107916337" w:history="1">
            <w:r w:rsidR="004227EA" w:rsidRPr="00671287">
              <w:rPr>
                <w:rStyle w:val="Hyperlink"/>
                <w:rFonts w:ascii="Times New Roman" w:hAnsi="Times New Roman" w:cs="Times New Roman"/>
                <w:noProof/>
              </w:rPr>
              <w:t>4.9. Finanšu aprēķini “3. Uzturēšanas izmaksas notekūdeņu dūņu pārstrādē”</w:t>
            </w:r>
            <w:r w:rsidR="004227EA">
              <w:rPr>
                <w:noProof/>
                <w:webHidden/>
              </w:rPr>
              <w:tab/>
            </w:r>
            <w:r w:rsidR="004227EA">
              <w:rPr>
                <w:noProof/>
                <w:webHidden/>
              </w:rPr>
              <w:fldChar w:fldCharType="begin"/>
            </w:r>
            <w:r w:rsidR="004227EA">
              <w:rPr>
                <w:noProof/>
                <w:webHidden/>
              </w:rPr>
              <w:instrText xml:space="preserve"> PAGEREF _Toc107916337 \h </w:instrText>
            </w:r>
            <w:r w:rsidR="004227EA">
              <w:rPr>
                <w:noProof/>
                <w:webHidden/>
              </w:rPr>
            </w:r>
            <w:r w:rsidR="004227EA">
              <w:rPr>
                <w:noProof/>
                <w:webHidden/>
              </w:rPr>
              <w:fldChar w:fldCharType="separate"/>
            </w:r>
            <w:r w:rsidR="004227EA">
              <w:rPr>
                <w:noProof/>
                <w:webHidden/>
              </w:rPr>
              <w:t>168</w:t>
            </w:r>
            <w:r w:rsidR="004227EA">
              <w:rPr>
                <w:noProof/>
                <w:webHidden/>
              </w:rPr>
              <w:fldChar w:fldCharType="end"/>
            </w:r>
          </w:hyperlink>
        </w:p>
        <w:p w14:paraId="3DD9EDD1" w14:textId="283C3EFE" w:rsidR="004227EA" w:rsidRDefault="00000000" w:rsidP="004227EA">
          <w:pPr>
            <w:pStyle w:val="TOC2"/>
            <w:rPr>
              <w:rFonts w:eastAsiaTheme="minorEastAsia" w:cstheme="minorBidi"/>
              <w:noProof/>
              <w:sz w:val="22"/>
              <w:szCs w:val="22"/>
              <w:lang w:eastAsia="lv-LV"/>
            </w:rPr>
          </w:pPr>
          <w:hyperlink w:anchor="_Toc107916338" w:history="1">
            <w:r w:rsidR="004227EA" w:rsidRPr="00671287">
              <w:rPr>
                <w:rStyle w:val="Hyperlink"/>
                <w:rFonts w:ascii="Times New Roman" w:hAnsi="Times New Roman" w:cs="Times New Roman"/>
                <w:noProof/>
              </w:rPr>
              <w:t>4.10. Finanšu aprēķini “4. Kapitālās investīcijas notekūdeņu dūņu pārstrādē”</w:t>
            </w:r>
            <w:r w:rsidR="004227EA">
              <w:rPr>
                <w:noProof/>
                <w:webHidden/>
              </w:rPr>
              <w:tab/>
            </w:r>
            <w:r w:rsidR="004227EA">
              <w:rPr>
                <w:noProof/>
                <w:webHidden/>
              </w:rPr>
              <w:fldChar w:fldCharType="begin"/>
            </w:r>
            <w:r w:rsidR="004227EA">
              <w:rPr>
                <w:noProof/>
                <w:webHidden/>
              </w:rPr>
              <w:instrText xml:space="preserve"> PAGEREF _Toc107916338 \h </w:instrText>
            </w:r>
            <w:r w:rsidR="004227EA">
              <w:rPr>
                <w:noProof/>
                <w:webHidden/>
              </w:rPr>
            </w:r>
            <w:r w:rsidR="004227EA">
              <w:rPr>
                <w:noProof/>
                <w:webHidden/>
              </w:rPr>
              <w:fldChar w:fldCharType="separate"/>
            </w:r>
            <w:r w:rsidR="004227EA">
              <w:rPr>
                <w:noProof/>
                <w:webHidden/>
              </w:rPr>
              <w:t>173</w:t>
            </w:r>
            <w:r w:rsidR="004227EA">
              <w:rPr>
                <w:noProof/>
                <w:webHidden/>
              </w:rPr>
              <w:fldChar w:fldCharType="end"/>
            </w:r>
          </w:hyperlink>
        </w:p>
        <w:p w14:paraId="6C854476" w14:textId="57FDE655" w:rsidR="004227EA" w:rsidRDefault="00000000" w:rsidP="004227EA">
          <w:pPr>
            <w:pStyle w:val="TOC2"/>
            <w:rPr>
              <w:rFonts w:eastAsiaTheme="minorEastAsia" w:cstheme="minorBidi"/>
              <w:noProof/>
              <w:sz w:val="22"/>
              <w:szCs w:val="22"/>
              <w:lang w:eastAsia="lv-LV"/>
            </w:rPr>
          </w:pPr>
          <w:hyperlink w:anchor="_Toc107916339" w:history="1">
            <w:r w:rsidR="004227EA" w:rsidRPr="00671287">
              <w:rPr>
                <w:rStyle w:val="Hyperlink"/>
                <w:rFonts w:ascii="Times New Roman" w:hAnsi="Times New Roman" w:cs="Times New Roman"/>
                <w:noProof/>
              </w:rPr>
              <w:t>4.11. Stratēģijas ieviešanas plāna risku novērtējums</w:t>
            </w:r>
            <w:r w:rsidR="004227EA">
              <w:rPr>
                <w:noProof/>
                <w:webHidden/>
              </w:rPr>
              <w:tab/>
            </w:r>
            <w:r w:rsidR="004227EA">
              <w:rPr>
                <w:noProof/>
                <w:webHidden/>
              </w:rPr>
              <w:fldChar w:fldCharType="begin"/>
            </w:r>
            <w:r w:rsidR="004227EA">
              <w:rPr>
                <w:noProof/>
                <w:webHidden/>
              </w:rPr>
              <w:instrText xml:space="preserve"> PAGEREF _Toc107916339 \h </w:instrText>
            </w:r>
            <w:r w:rsidR="004227EA">
              <w:rPr>
                <w:noProof/>
                <w:webHidden/>
              </w:rPr>
            </w:r>
            <w:r w:rsidR="004227EA">
              <w:rPr>
                <w:noProof/>
                <w:webHidden/>
              </w:rPr>
              <w:fldChar w:fldCharType="separate"/>
            </w:r>
            <w:r w:rsidR="004227EA">
              <w:rPr>
                <w:noProof/>
                <w:webHidden/>
              </w:rPr>
              <w:t>179</w:t>
            </w:r>
            <w:r w:rsidR="004227EA">
              <w:rPr>
                <w:noProof/>
                <w:webHidden/>
              </w:rPr>
              <w:fldChar w:fldCharType="end"/>
            </w:r>
          </w:hyperlink>
        </w:p>
        <w:p w14:paraId="52B0C447" w14:textId="01A7B61F" w:rsidR="00674740" w:rsidRPr="00AF2B58" w:rsidRDefault="005B67F4" w:rsidP="00AF2B58">
          <w:pPr>
            <w:spacing w:line="240" w:lineRule="auto"/>
            <w:rPr>
              <w:rFonts w:ascii="Times New Roman" w:hAnsi="Times New Roman" w:cs="Times New Roman"/>
              <w:szCs w:val="24"/>
            </w:rPr>
          </w:pPr>
          <w:r w:rsidRPr="00AF2B58">
            <w:rPr>
              <w:rFonts w:ascii="Times New Roman" w:hAnsi="Times New Roman" w:cs="Times New Roman"/>
              <w:caps/>
              <w:szCs w:val="24"/>
            </w:rPr>
            <w:fldChar w:fldCharType="end"/>
          </w:r>
        </w:p>
      </w:sdtContent>
    </w:sdt>
    <w:p w14:paraId="6266B082" w14:textId="77777777" w:rsidR="00E563E0" w:rsidRPr="00175DD0" w:rsidRDefault="00E563E0" w:rsidP="00AF2B58">
      <w:pPr>
        <w:tabs>
          <w:tab w:val="left" w:pos="2805"/>
        </w:tabs>
        <w:spacing w:line="240" w:lineRule="auto"/>
        <w:sectPr w:rsidR="00E563E0" w:rsidRPr="00175DD0" w:rsidSect="007E349D">
          <w:headerReference w:type="default" r:id="rId8"/>
          <w:footerReference w:type="default" r:id="rId9"/>
          <w:pgSz w:w="11906" w:h="16838"/>
          <w:pgMar w:top="1134" w:right="1701" w:bottom="1134" w:left="1701" w:header="708" w:footer="708" w:gutter="0"/>
          <w:cols w:space="708"/>
          <w:docGrid w:linePitch="360"/>
        </w:sectPr>
      </w:pPr>
      <w:r w:rsidRPr="00AF2B58">
        <w:rPr>
          <w:rFonts w:ascii="Times New Roman" w:hAnsi="Times New Roman" w:cs="Times New Roman"/>
          <w:szCs w:val="24"/>
        </w:rPr>
        <w:tab/>
      </w:r>
    </w:p>
    <w:p w14:paraId="188E4777" w14:textId="017C3DB1" w:rsidR="00420B24" w:rsidRPr="007D4FC8" w:rsidRDefault="00361A97" w:rsidP="00361A97">
      <w:pPr>
        <w:pStyle w:val="Heading1"/>
        <w:spacing w:after="240"/>
        <w:rPr>
          <w:rFonts w:ascii="Times New Roman" w:eastAsia="Calibri" w:hAnsi="Times New Roman" w:cs="Times New Roman"/>
          <w:b/>
          <w:bCs/>
          <w:color w:val="auto"/>
          <w:sz w:val="24"/>
          <w:szCs w:val="24"/>
          <w:lang w:eastAsia="lv-LV"/>
        </w:rPr>
      </w:pPr>
      <w:bookmarkStart w:id="0" w:name="_Toc107916294"/>
      <w:r w:rsidRPr="007D4FC8">
        <w:rPr>
          <w:rFonts w:ascii="Times New Roman" w:eastAsia="Calibri" w:hAnsi="Times New Roman" w:cs="Times New Roman"/>
          <w:b/>
          <w:bCs/>
          <w:color w:val="auto"/>
          <w:sz w:val="24"/>
          <w:szCs w:val="24"/>
          <w:lang w:eastAsia="lv-LV"/>
        </w:rPr>
        <w:lastRenderedPageBreak/>
        <w:t>IEVADS</w:t>
      </w:r>
      <w:bookmarkEnd w:id="0"/>
    </w:p>
    <w:p w14:paraId="25586AB6" w14:textId="08AE5E83" w:rsidR="00361A97" w:rsidRPr="007D4FC8" w:rsidRDefault="003E5BA2" w:rsidP="00361A97">
      <w:pPr>
        <w:spacing w:before="120" w:after="120"/>
        <w:ind w:firstLine="720"/>
        <w:rPr>
          <w:rFonts w:ascii="Times New Roman" w:hAnsi="Times New Roman" w:cs="Times New Roman"/>
          <w:lang w:eastAsia="lv-LV"/>
        </w:rPr>
      </w:pPr>
      <w:r w:rsidRPr="007D4FC8">
        <w:rPr>
          <w:rFonts w:ascii="Times New Roman" w:hAnsi="Times New Roman" w:cs="Times New Roman"/>
          <w:lang w:eastAsia="lv-LV"/>
        </w:rPr>
        <w:t>S</w:t>
      </w:r>
      <w:r w:rsidR="00361A97" w:rsidRPr="007D4FC8">
        <w:rPr>
          <w:rFonts w:ascii="Times New Roman" w:hAnsi="Times New Roman" w:cs="Times New Roman"/>
          <w:lang w:eastAsia="lv-LV"/>
        </w:rPr>
        <w:t xml:space="preserve">tratēģijas izstrādes ietvaros </w:t>
      </w:r>
      <w:r w:rsidRPr="007D4FC8">
        <w:rPr>
          <w:rFonts w:ascii="Times New Roman" w:hAnsi="Times New Roman" w:cs="Times New Roman"/>
          <w:lang w:eastAsia="lv-LV"/>
        </w:rPr>
        <w:t>jānovērtē</w:t>
      </w:r>
      <w:r w:rsidR="00361A97" w:rsidRPr="007D4FC8">
        <w:rPr>
          <w:rFonts w:ascii="Times New Roman" w:hAnsi="Times New Roman" w:cs="Times New Roman"/>
          <w:lang w:eastAsia="lv-LV"/>
        </w:rPr>
        <w:t xml:space="preserve"> piemērotākos notekūdeņu dūņu apsaimniekošanas risinājumus Latvijas apstākļiem</w:t>
      </w:r>
      <w:r w:rsidRPr="007D4FC8">
        <w:rPr>
          <w:rFonts w:ascii="Times New Roman" w:hAnsi="Times New Roman" w:cs="Times New Roman"/>
          <w:lang w:eastAsia="lv-LV"/>
        </w:rPr>
        <w:t>, t</w:t>
      </w:r>
      <w:r w:rsidR="00361A97" w:rsidRPr="007D4FC8">
        <w:rPr>
          <w:rFonts w:ascii="Times New Roman" w:hAnsi="Times New Roman" w:cs="Times New Roman"/>
          <w:lang w:eastAsia="lv-LV"/>
        </w:rPr>
        <w:t xml:space="preserve">ādēļ nepieciešams veikt dažādu iespējamo apsaimniekošanas risinājumu savstarpēju salīdzināšanu, </w:t>
      </w:r>
      <w:r w:rsidRPr="007D4FC8">
        <w:rPr>
          <w:rFonts w:ascii="Times New Roman" w:hAnsi="Times New Roman" w:cs="Times New Roman"/>
          <w:lang w:eastAsia="lv-LV"/>
        </w:rPr>
        <w:t>apskatot</w:t>
      </w:r>
      <w:r w:rsidR="00361A97" w:rsidRPr="007D4FC8">
        <w:rPr>
          <w:rFonts w:ascii="Times New Roman" w:hAnsi="Times New Roman" w:cs="Times New Roman"/>
          <w:lang w:eastAsia="lv-LV"/>
        </w:rPr>
        <w:t xml:space="preserve"> to priekšrocības, trūkumus, izmaksas un riskus. Veicot dažādu alternatīvo risinājumu novērtējumu, ir izmantoti dati un secinājumi no </w:t>
      </w:r>
      <w:r w:rsidRPr="007D4FC8">
        <w:rPr>
          <w:rFonts w:ascii="Times New Roman" w:hAnsi="Times New Roman" w:cs="Times New Roman"/>
          <w:lang w:eastAsia="lv-LV"/>
        </w:rPr>
        <w:t>citiem Stratēģijas pielikumiem</w:t>
      </w:r>
      <w:r w:rsidR="00361A97" w:rsidRPr="007D4FC8">
        <w:rPr>
          <w:rFonts w:ascii="Times New Roman" w:hAnsi="Times New Roman" w:cs="Times New Roman"/>
          <w:lang w:eastAsia="lv-LV"/>
        </w:rPr>
        <w:t xml:space="preserve"> - “Notekūdeņu dūņu izmantošanas tiesiskais regulējums”, “Esošā situācija notekūdeņu dūņu apsaimniekošanas jomā” un “ES </w:t>
      </w:r>
      <w:r w:rsidR="00F2007F">
        <w:rPr>
          <w:rFonts w:ascii="Times New Roman" w:hAnsi="Times New Roman" w:cs="Times New Roman"/>
          <w:lang w:eastAsia="lv-LV"/>
        </w:rPr>
        <w:t>v</w:t>
      </w:r>
      <w:r w:rsidR="00361A97" w:rsidRPr="007D4FC8">
        <w:rPr>
          <w:rFonts w:ascii="Times New Roman" w:hAnsi="Times New Roman" w:cs="Times New Roman"/>
          <w:lang w:eastAsia="lv-LV"/>
        </w:rPr>
        <w:t>alstu pieredze notekūdeņu dūņu apsaimniekošanā”.</w:t>
      </w:r>
    </w:p>
    <w:p w14:paraId="1976E36C" w14:textId="3CA5BA0C" w:rsidR="00657E1D" w:rsidRPr="007D4FC8" w:rsidRDefault="003E5BA2" w:rsidP="003E5BA2">
      <w:pPr>
        <w:spacing w:before="120" w:after="120"/>
        <w:ind w:firstLine="720"/>
        <w:rPr>
          <w:rFonts w:ascii="Times New Roman" w:hAnsi="Times New Roman" w:cs="Times New Roman"/>
        </w:rPr>
      </w:pPr>
      <w:r w:rsidRPr="007D4FC8">
        <w:rPr>
          <w:rFonts w:ascii="Times New Roman" w:hAnsi="Times New Roman" w:cs="Times New Roman"/>
          <w:lang w:eastAsia="lv-LV"/>
        </w:rPr>
        <w:t xml:space="preserve">Notekūdeņu dūņu apsaimniekošanas ietvaros ir iespējamas dažādas darbības ar notekūdeņu dūņām. Viena no vairākām notekūdeņu dūņu apsaimniekošanas shēmām atrodama grāmatā “Sludge Treatment and Disposal” (2007.g.), un šāda shēma ir tulkota un adaptēta Stratēģijas vajadzībām </w:t>
      </w:r>
      <w:r w:rsidR="007D45CE">
        <w:rPr>
          <w:rFonts w:ascii="Times New Roman" w:hAnsi="Times New Roman" w:cs="Times New Roman"/>
          <w:lang w:eastAsia="lv-LV"/>
        </w:rPr>
        <w:t>(skat. 1.1. attēlu)</w:t>
      </w:r>
      <w:r w:rsidR="00AF7FB1">
        <w:rPr>
          <w:rFonts w:ascii="Times New Roman" w:hAnsi="Times New Roman" w:cs="Times New Roman"/>
          <w:lang w:eastAsia="lv-LV"/>
        </w:rPr>
        <w:t>.</w:t>
      </w:r>
    </w:p>
    <w:p w14:paraId="3AE46FA7" w14:textId="3F3D763E" w:rsidR="003E5BA2" w:rsidRPr="00175DD0" w:rsidRDefault="003E5BA2" w:rsidP="003E5BA2">
      <w:pPr>
        <w:spacing w:before="120" w:after="120"/>
        <w:jc w:val="center"/>
        <w:rPr>
          <w:rFonts w:ascii="Bahnschrift Light Condensed" w:eastAsia="Calibri" w:hAnsi="Bahnschrift Light Condensed" w:cs="Times New Roman"/>
          <w:sz w:val="28"/>
          <w:lang w:eastAsia="lv-LV"/>
        </w:rPr>
      </w:pPr>
      <w:r w:rsidRPr="00175DD0">
        <w:rPr>
          <w:rFonts w:ascii="Bahnschrift Light Condensed" w:eastAsia="Calibri" w:hAnsi="Bahnschrift Light Condensed" w:cs="Times New Roman"/>
          <w:noProof/>
          <w:sz w:val="28"/>
          <w:lang w:eastAsia="lv-LV"/>
        </w:rPr>
        <w:drawing>
          <wp:inline distT="0" distB="0" distL="0" distR="0" wp14:anchorId="65388EF0" wp14:editId="491FEF09">
            <wp:extent cx="5457391" cy="374400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7391" cy="3744000"/>
                    </a:xfrm>
                    <a:prstGeom prst="rect">
                      <a:avLst/>
                    </a:prstGeom>
                    <a:noFill/>
                  </pic:spPr>
                </pic:pic>
              </a:graphicData>
            </a:graphic>
          </wp:inline>
        </w:drawing>
      </w:r>
    </w:p>
    <w:p w14:paraId="58E7A203" w14:textId="1004D927" w:rsidR="00953546" w:rsidRPr="00B84EAB" w:rsidRDefault="00345B2E" w:rsidP="00953546">
      <w:pPr>
        <w:jc w:val="center"/>
        <w:rPr>
          <w:rFonts w:ascii="Times New Roman" w:hAnsi="Times New Roman" w:cs="Times New Roman"/>
          <w:iCs/>
          <w:szCs w:val="24"/>
        </w:rPr>
      </w:pPr>
      <w:r w:rsidRPr="00A14C5E">
        <w:rPr>
          <w:rFonts w:ascii="Times New Roman" w:hAnsi="Times New Roman" w:cs="Times New Roman"/>
          <w:b/>
          <w:szCs w:val="24"/>
        </w:rPr>
        <w:t>1.</w:t>
      </w:r>
      <w:r w:rsidR="000E5DF6">
        <w:rPr>
          <w:rFonts w:ascii="Times New Roman" w:hAnsi="Times New Roman" w:cs="Times New Roman"/>
          <w:b/>
          <w:szCs w:val="24"/>
        </w:rPr>
        <w:t>1.</w:t>
      </w:r>
      <w:r w:rsidRPr="00A14C5E">
        <w:rPr>
          <w:rFonts w:ascii="Times New Roman" w:hAnsi="Times New Roman" w:cs="Times New Roman"/>
          <w:b/>
          <w:szCs w:val="24"/>
        </w:rPr>
        <w:t>attēls.</w:t>
      </w:r>
      <w:r w:rsidRPr="00B84EAB">
        <w:rPr>
          <w:rFonts w:ascii="Times New Roman" w:hAnsi="Times New Roman" w:cs="Times New Roman"/>
          <w:iCs/>
          <w:szCs w:val="24"/>
        </w:rPr>
        <w:t xml:space="preserve"> Iespējamie notekūdeņu dūņu apsaimniekošanas procesi</w:t>
      </w:r>
    </w:p>
    <w:p w14:paraId="69EA7AA1" w14:textId="493F36BD" w:rsidR="00913BFA" w:rsidRDefault="00913BFA" w:rsidP="00A12F42">
      <w:pPr>
        <w:spacing w:after="60"/>
        <w:ind w:firstLine="720"/>
        <w:rPr>
          <w:rFonts w:ascii="Times New Roman" w:hAnsi="Times New Roman" w:cs="Times New Roman"/>
        </w:rPr>
      </w:pPr>
    </w:p>
    <w:p w14:paraId="00FF7464" w14:textId="5888E8E6" w:rsidR="00361A97" w:rsidRPr="007D4FC8" w:rsidRDefault="003E5BA2" w:rsidP="00A12F42">
      <w:pPr>
        <w:spacing w:after="60"/>
        <w:ind w:firstLine="720"/>
        <w:rPr>
          <w:rFonts w:ascii="Times New Roman" w:hAnsi="Times New Roman" w:cs="Times New Roman"/>
        </w:rPr>
        <w:sectPr w:rsidR="00361A97" w:rsidRPr="007D4FC8" w:rsidSect="007E349D">
          <w:pgSz w:w="11906" w:h="16838"/>
          <w:pgMar w:top="1134" w:right="1701" w:bottom="1134" w:left="1701" w:header="708" w:footer="708" w:gutter="0"/>
          <w:cols w:space="708"/>
          <w:docGrid w:linePitch="360"/>
        </w:sectPr>
      </w:pPr>
      <w:r w:rsidRPr="007D4FC8">
        <w:rPr>
          <w:rFonts w:ascii="Times New Roman" w:hAnsi="Times New Roman" w:cs="Times New Roman"/>
        </w:rPr>
        <w:t>Notekūdeņu dūņu</w:t>
      </w:r>
      <w:r w:rsidR="00361A97" w:rsidRPr="007D4FC8">
        <w:rPr>
          <w:rFonts w:ascii="Times New Roman" w:hAnsi="Times New Roman" w:cs="Times New Roman"/>
        </w:rPr>
        <w:t xml:space="preserve"> apsaimniekošanas alternatīv</w:t>
      </w:r>
      <w:r w:rsidRPr="007D4FC8">
        <w:rPr>
          <w:rFonts w:ascii="Times New Roman" w:hAnsi="Times New Roman" w:cs="Times New Roman"/>
        </w:rPr>
        <w:t>o</w:t>
      </w:r>
      <w:r w:rsidR="00361A97" w:rsidRPr="007D4FC8">
        <w:rPr>
          <w:rFonts w:ascii="Times New Roman" w:hAnsi="Times New Roman" w:cs="Times New Roman"/>
        </w:rPr>
        <w:t xml:space="preserve"> risinājumu novērtējuma mērķis ir rast labāko un Latvijas apstākļiem piemērotāko notekūdeņu dūņu apstrādes, pārstrādes, utilizācijas un centralizācijas risinājumu, kā arī identificēt notekūdeņu dūņu apsaimniekošanas institucionālās pārva</w:t>
      </w:r>
      <w:r w:rsidR="00093EF2">
        <w:rPr>
          <w:rFonts w:ascii="Times New Roman" w:hAnsi="Times New Roman" w:cs="Times New Roman"/>
        </w:rPr>
        <w:t>l</w:t>
      </w:r>
      <w:r w:rsidR="00361A97" w:rsidRPr="007D4FC8">
        <w:rPr>
          <w:rFonts w:ascii="Times New Roman" w:hAnsi="Times New Roman" w:cs="Times New Roman"/>
        </w:rPr>
        <w:t>dības risinājumu, kas veidotu Latvijas notekūdeņu dūņu apsaimniekošanas modeli.</w:t>
      </w:r>
      <w:r w:rsidR="00A12F42" w:rsidRPr="007D4FC8">
        <w:rPr>
          <w:rFonts w:ascii="Times New Roman" w:hAnsi="Times New Roman" w:cs="Times New Roman"/>
        </w:rPr>
        <w:t xml:space="preserve"> Katrs alternatīvu bloks ietver vairākus risinājumus, kas katrs vērtēts individuāli un kopsakarībā ar citiem risinājumiem.</w:t>
      </w:r>
    </w:p>
    <w:p w14:paraId="26DE6612" w14:textId="770BD053" w:rsidR="00DE4C5F" w:rsidRPr="00175DD0" w:rsidRDefault="000E5DF6" w:rsidP="00A24F18">
      <w:pPr>
        <w:ind w:firstLine="720"/>
        <w:rPr>
          <w:rFonts w:ascii="Bahnschrift Light Condensed" w:eastAsia="Calibri" w:hAnsi="Bahnschrift Light Condensed" w:cs="Times New Roman"/>
          <w:sz w:val="28"/>
          <w:lang w:eastAsia="lv-LV"/>
        </w:rPr>
      </w:pPr>
      <w:r w:rsidRPr="00175DD0">
        <w:rPr>
          <w:rFonts w:cstheme="minorHAnsi"/>
          <w:noProof/>
          <w:lang w:eastAsia="lv-LV"/>
        </w:rPr>
        <w:lastRenderedPageBreak/>
        <w:drawing>
          <wp:anchor distT="0" distB="0" distL="114300" distR="114300" simplePos="0" relativeHeight="251658268" behindDoc="0" locked="0" layoutInCell="1" allowOverlap="1" wp14:anchorId="78421297" wp14:editId="1B43F245">
            <wp:simplePos x="0" y="0"/>
            <wp:positionH relativeFrom="margin">
              <wp:align>center</wp:align>
            </wp:positionH>
            <wp:positionV relativeFrom="paragraph">
              <wp:posOffset>43132</wp:posOffset>
            </wp:positionV>
            <wp:extent cx="7069455" cy="5147945"/>
            <wp:effectExtent l="0" t="0" r="0" b="0"/>
            <wp:wrapTopAndBottom/>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69455" cy="5147945"/>
                    </a:xfrm>
                    <a:prstGeom prst="rect">
                      <a:avLst/>
                    </a:prstGeom>
                    <a:noFill/>
                  </pic:spPr>
                </pic:pic>
              </a:graphicData>
            </a:graphic>
            <wp14:sizeRelH relativeFrom="page">
              <wp14:pctWidth>0</wp14:pctWidth>
            </wp14:sizeRelH>
            <wp14:sizeRelV relativeFrom="page">
              <wp14:pctHeight>0</wp14:pctHeight>
            </wp14:sizeRelV>
          </wp:anchor>
        </w:drawing>
      </w:r>
      <w:r>
        <w:rPr>
          <w:b/>
          <w:noProof/>
          <w:lang w:eastAsia="lv-LV"/>
        </w:rPr>
        <mc:AlternateContent>
          <mc:Choice Requires="wps">
            <w:drawing>
              <wp:anchor distT="0" distB="0" distL="114300" distR="114300" simplePos="0" relativeHeight="251658267" behindDoc="0" locked="0" layoutInCell="1" allowOverlap="1" wp14:anchorId="407F0A65" wp14:editId="1826365F">
                <wp:simplePos x="0" y="0"/>
                <wp:positionH relativeFrom="margin">
                  <wp:align>center</wp:align>
                </wp:positionH>
                <wp:positionV relativeFrom="paragraph">
                  <wp:posOffset>5327315</wp:posOffset>
                </wp:positionV>
                <wp:extent cx="7729870" cy="323850"/>
                <wp:effectExtent l="0" t="0" r="4445" b="0"/>
                <wp:wrapNone/>
                <wp:docPr id="84" name="Text Box 84"/>
                <wp:cNvGraphicFramePr/>
                <a:graphic xmlns:a="http://schemas.openxmlformats.org/drawingml/2006/main">
                  <a:graphicData uri="http://schemas.microsoft.com/office/word/2010/wordprocessingShape">
                    <wps:wsp>
                      <wps:cNvSpPr txBox="1"/>
                      <wps:spPr>
                        <a:xfrm>
                          <a:off x="0" y="0"/>
                          <a:ext cx="7729870" cy="323850"/>
                        </a:xfrm>
                        <a:prstGeom prst="rect">
                          <a:avLst/>
                        </a:prstGeom>
                        <a:solidFill>
                          <a:sysClr val="window" lastClr="FFFFFF"/>
                        </a:solidFill>
                        <a:ln w="6350">
                          <a:noFill/>
                        </a:ln>
                        <a:effectLst/>
                      </wps:spPr>
                      <wps:txbx>
                        <w:txbxContent>
                          <w:p w14:paraId="67460342" w14:textId="3FF4E936" w:rsidR="000E5DF6" w:rsidRPr="00B84EAB" w:rsidRDefault="000E5DF6" w:rsidP="000E5DF6">
                            <w:pPr>
                              <w:jc w:val="center"/>
                              <w:rPr>
                                <w:rFonts w:ascii="Times New Roman" w:hAnsi="Times New Roman" w:cs="Times New Roman"/>
                                <w:b/>
                                <w:iCs/>
                                <w:szCs w:val="24"/>
                              </w:rPr>
                            </w:pPr>
                            <w:r>
                              <w:rPr>
                                <w:rFonts w:ascii="Times New Roman" w:hAnsi="Times New Roman" w:cs="Times New Roman"/>
                                <w:b/>
                                <w:szCs w:val="24"/>
                              </w:rPr>
                              <w:t>1.2</w:t>
                            </w:r>
                            <w:r w:rsidRPr="00A14C5E">
                              <w:rPr>
                                <w:rFonts w:ascii="Times New Roman" w:hAnsi="Times New Roman" w:cs="Times New Roman"/>
                                <w:b/>
                                <w:szCs w:val="24"/>
                              </w:rPr>
                              <w:t>.attēls.</w:t>
                            </w:r>
                            <w:r w:rsidRPr="00B84EAB">
                              <w:rPr>
                                <w:rFonts w:ascii="Times New Roman" w:hAnsi="Times New Roman" w:cs="Times New Roman"/>
                                <w:iCs/>
                                <w:szCs w:val="24"/>
                              </w:rPr>
                              <w:t xml:space="preserve"> Notekūdeņu dūņu apsaimniekošanas modeļa izvēlei vērtēto alternatīvu struktūra un sadalījums grupās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F0A65" id="_x0000_t202" coordsize="21600,21600" o:spt="202" path="m,l,21600r21600,l21600,xe">
                <v:stroke joinstyle="miter"/>
                <v:path gradientshapeok="t" o:connecttype="rect"/>
              </v:shapetype>
              <v:shape id="Text Box 84" o:spid="_x0000_s1026" type="#_x0000_t202" style="position:absolute;left:0;text-align:left;margin-left:0;margin-top:419.45pt;width:608.65pt;height:25.5pt;z-index:25165826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" fillcolor="window" stroked="f" strokeweight=".5pt">
                <v:textbox>
                  <w:txbxContent>
                    <w:p w14:paraId="67460342" w14:textId="3FF4E936" w:rsidR="000E5DF6" w:rsidRPr="00B84EAB" w:rsidRDefault="000E5DF6" w:rsidP="000E5DF6">
                      <w:pPr>
                        <w:jc w:val="center"/>
                        <w:rPr>
                          <w:rFonts w:ascii="Times New Roman" w:hAnsi="Times New Roman" w:cs="Times New Roman"/>
                          <w:b/>
                          <w:iCs/>
                          <w:szCs w:val="24"/>
                        </w:rPr>
                      </w:pPr>
                      <w:r>
                        <w:rPr>
                          <w:rFonts w:ascii="Times New Roman" w:hAnsi="Times New Roman" w:cs="Times New Roman"/>
                          <w:b/>
                          <w:szCs w:val="24"/>
                        </w:rPr>
                        <w:t>1.2</w:t>
                      </w:r>
                      <w:r w:rsidRPr="00A14C5E">
                        <w:rPr>
                          <w:rFonts w:ascii="Times New Roman" w:hAnsi="Times New Roman" w:cs="Times New Roman"/>
                          <w:b/>
                          <w:szCs w:val="24"/>
                        </w:rPr>
                        <w:t>.attēls.</w:t>
                      </w:r>
                      <w:r w:rsidRPr="00B84EAB">
                        <w:rPr>
                          <w:rFonts w:ascii="Times New Roman" w:hAnsi="Times New Roman" w:cs="Times New Roman"/>
                          <w:iCs/>
                          <w:szCs w:val="24"/>
                        </w:rPr>
                        <w:t xml:space="preserve"> Notekūdeņu dūņu apsaimniekošanas modeļa izvēlei vērtēto alternatīvu struktūra un sadalījums grupās</w:t>
                      </w:r>
                    </w:p>
                  </w:txbxContent>
                </v:textbox>
                <w10:wrap anchorx="margin"/>
              </v:shape>
            </w:pict>
          </mc:Fallback>
        </mc:AlternateContent>
      </w:r>
    </w:p>
    <w:p w14:paraId="6B0A294D" w14:textId="77777777" w:rsidR="00DE4C5F" w:rsidRPr="00175DD0" w:rsidRDefault="00DE4C5F" w:rsidP="00DE4C5F">
      <w:pPr>
        <w:rPr>
          <w:rFonts w:ascii="Bahnschrift Light Condensed" w:eastAsia="Calibri" w:hAnsi="Bahnschrift Light Condensed" w:cs="Times New Roman"/>
          <w:sz w:val="28"/>
          <w:lang w:eastAsia="lv-LV"/>
        </w:rPr>
        <w:sectPr w:rsidR="00DE4C5F" w:rsidRPr="00175DD0" w:rsidSect="007E349D">
          <w:pgSz w:w="16838" w:h="11906" w:orient="landscape"/>
          <w:pgMar w:top="1134" w:right="1701" w:bottom="1134" w:left="1701" w:header="708" w:footer="708" w:gutter="0"/>
          <w:cols w:space="708"/>
          <w:docGrid w:linePitch="360"/>
        </w:sectPr>
      </w:pPr>
    </w:p>
    <w:p w14:paraId="4687ABD4" w14:textId="20F20078" w:rsidR="00B60F59" w:rsidRDefault="00DE4C5F" w:rsidP="00B60F59">
      <w:pPr>
        <w:spacing w:after="0"/>
        <w:ind w:firstLine="851"/>
        <w:rPr>
          <w:rFonts w:ascii="Times New Roman" w:hAnsi="Times New Roman" w:cs="Times New Roman"/>
        </w:rPr>
      </w:pPr>
      <w:bookmarkStart w:id="1" w:name="_Hlk82097227"/>
      <w:r w:rsidRPr="007D4FC8">
        <w:rPr>
          <w:rFonts w:ascii="Times New Roman" w:hAnsi="Times New Roman" w:cs="Times New Roman"/>
        </w:rPr>
        <w:lastRenderedPageBreak/>
        <w:t xml:space="preserve">Latvijas notekūdeņu dūņu apsaimniekošanas alternatīvu novērtējumā primāri ir vērtēta iespēja notekūdeņu dūņu apsaimniekošanu nodot ārpakalpojumu sniedzējiem, kas dotu iespēju izmantot esošu infrastruktūru un izvairīties no papildus investīcijām jaunas infrastruktūras radīšanā. Tādējādi ir novērtētas vairākas notekūdeņu dūņu utilizācijas alternatīvas, no kurām ir atkarīgi trešajā posmā apskatītie notekūdeņu dūņu pārstrādes risinājumi. Kad </w:t>
      </w:r>
      <w:r w:rsidR="00D07E7A" w:rsidRPr="007D4FC8">
        <w:rPr>
          <w:rFonts w:ascii="Times New Roman" w:hAnsi="Times New Roman" w:cs="Times New Roman"/>
        </w:rPr>
        <w:t>tika</w:t>
      </w:r>
      <w:r w:rsidRPr="007D4FC8">
        <w:rPr>
          <w:rFonts w:ascii="Times New Roman" w:hAnsi="Times New Roman" w:cs="Times New Roman"/>
        </w:rPr>
        <w:t xml:space="preserve"> rasti labākie notekūdeņu dūņu utilizācijas un atbilstošākie pārstrādes risinājumi, ir izvērtētas iespējas notekūdeņu dūņu </w:t>
      </w:r>
      <w:r w:rsidR="00A12F42" w:rsidRPr="007D4FC8">
        <w:rPr>
          <w:rFonts w:ascii="Times New Roman" w:hAnsi="Times New Roman" w:cs="Times New Roman"/>
        </w:rPr>
        <w:t>apsaimniekošanu</w:t>
      </w:r>
      <w:r w:rsidRPr="007D4FC8">
        <w:rPr>
          <w:rFonts w:ascii="Times New Roman" w:hAnsi="Times New Roman" w:cs="Times New Roman"/>
        </w:rPr>
        <w:t xml:space="preserve"> veikt dažādos centralizācijas līmeņos. </w:t>
      </w:r>
      <w:r w:rsidR="00D07E7A" w:rsidRPr="007D4FC8">
        <w:rPr>
          <w:rFonts w:ascii="Times New Roman" w:hAnsi="Times New Roman" w:cs="Times New Roman"/>
        </w:rPr>
        <w:t>Notekūdeņu d</w:t>
      </w:r>
      <w:r w:rsidRPr="007D4FC8">
        <w:rPr>
          <w:rFonts w:ascii="Times New Roman" w:hAnsi="Times New Roman" w:cs="Times New Roman"/>
        </w:rPr>
        <w:t xml:space="preserve">ūņu pārstrādes centralizācija </w:t>
      </w:r>
      <w:r w:rsidR="00D07E7A" w:rsidRPr="007D4FC8">
        <w:rPr>
          <w:rFonts w:ascii="Times New Roman" w:hAnsi="Times New Roman" w:cs="Times New Roman"/>
        </w:rPr>
        <w:t xml:space="preserve">šī novērtējuma </w:t>
      </w:r>
      <w:r w:rsidRPr="007D4FC8">
        <w:rPr>
          <w:rFonts w:ascii="Times New Roman" w:hAnsi="Times New Roman" w:cs="Times New Roman"/>
        </w:rPr>
        <w:t xml:space="preserve">ietvaros nozīmē veidot notekūdeņu dūņu pārstrādes centrus, kuros koncentrējas lielāks notekūdeņu dūņu apjoms, kā rezultātā ir iespējams samazināt ar notekūdeņu dūņu pārstrādi saistītās izmaksas, un nodrošināt augstāku pārstrādāto </w:t>
      </w:r>
      <w:r w:rsidR="00D07E7A" w:rsidRPr="007D4FC8">
        <w:rPr>
          <w:rFonts w:ascii="Times New Roman" w:hAnsi="Times New Roman" w:cs="Times New Roman"/>
        </w:rPr>
        <w:t xml:space="preserve">notekūdeņu </w:t>
      </w:r>
      <w:r w:rsidRPr="007D4FC8">
        <w:rPr>
          <w:rFonts w:ascii="Times New Roman" w:hAnsi="Times New Roman" w:cs="Times New Roman"/>
        </w:rPr>
        <w:t xml:space="preserve">dūņu kvalitāti. Ņemot vērā </w:t>
      </w:r>
      <w:r w:rsidR="00D07E7A" w:rsidRPr="007D4FC8">
        <w:rPr>
          <w:rFonts w:ascii="Times New Roman" w:hAnsi="Times New Roman" w:cs="Times New Roman"/>
        </w:rPr>
        <w:t>izvēlētos</w:t>
      </w:r>
      <w:r w:rsidRPr="007D4FC8">
        <w:rPr>
          <w:rFonts w:ascii="Times New Roman" w:hAnsi="Times New Roman" w:cs="Times New Roman"/>
        </w:rPr>
        <w:t xml:space="preserve"> notekūdeņu dūņu utilizācijas, pārstrādes un centralizācijas risinājumu</w:t>
      </w:r>
      <w:r w:rsidR="00D07E7A" w:rsidRPr="007D4FC8">
        <w:rPr>
          <w:rFonts w:ascii="Times New Roman" w:hAnsi="Times New Roman" w:cs="Times New Roman"/>
        </w:rPr>
        <w:t>s</w:t>
      </w:r>
      <w:r w:rsidRPr="007D4FC8">
        <w:rPr>
          <w:rFonts w:ascii="Times New Roman" w:hAnsi="Times New Roman" w:cs="Times New Roman"/>
        </w:rPr>
        <w:t xml:space="preserve">, ir izskatīti dažādi notekūdeņu dūņu apsaimniekošanas institucionālās pārvaldības risinājumi, lai novērtētu, vai valsts notekūdeņu dūņu apsaimniekošanas stratēģijas ieviešanā nav nepieciešams </w:t>
      </w:r>
      <w:r w:rsidR="00A64E36">
        <w:rPr>
          <w:rFonts w:ascii="Times New Roman" w:hAnsi="Times New Roman" w:cs="Times New Roman"/>
        </w:rPr>
        <w:t>padarīt efektīvāku</w:t>
      </w:r>
      <w:r w:rsidRPr="007D4FC8">
        <w:rPr>
          <w:rFonts w:ascii="Times New Roman" w:hAnsi="Times New Roman" w:cs="Times New Roman"/>
        </w:rPr>
        <w:t xml:space="preserve"> un mainīt arī esošo </w:t>
      </w:r>
      <w:r w:rsidR="00D07E7A" w:rsidRPr="007D4FC8">
        <w:rPr>
          <w:rFonts w:ascii="Times New Roman" w:hAnsi="Times New Roman" w:cs="Times New Roman"/>
        </w:rPr>
        <w:t xml:space="preserve">notekūdeņu dūņu </w:t>
      </w:r>
      <w:r w:rsidRPr="007D4FC8">
        <w:rPr>
          <w:rFonts w:ascii="Times New Roman" w:hAnsi="Times New Roman" w:cs="Times New Roman"/>
        </w:rPr>
        <w:t>apsaimniekošanas institucionālo pārvaldību. Katra posma labākais alternatīvais risinājums kopā veido Latvijas notekūdeņu dūņu apsaimniekošanas modeli.</w:t>
      </w:r>
      <w:bookmarkStart w:id="2" w:name="_Toc82430143"/>
    </w:p>
    <w:p w14:paraId="6A65E171" w14:textId="77777777" w:rsidR="00B60F59" w:rsidRDefault="00B60F59" w:rsidP="00B60F59">
      <w:pPr>
        <w:spacing w:after="0"/>
        <w:ind w:firstLine="851"/>
        <w:rPr>
          <w:rFonts w:ascii="Times New Roman" w:hAnsi="Times New Roman" w:cs="Times New Roman"/>
        </w:rPr>
      </w:pPr>
    </w:p>
    <w:p w14:paraId="38CA4DC1" w14:textId="06B9623C" w:rsidR="00DE4C5F" w:rsidRDefault="00B60F59" w:rsidP="00B60F59">
      <w:pPr>
        <w:pStyle w:val="Heading1"/>
        <w:spacing w:before="0"/>
        <w:rPr>
          <w:rFonts w:ascii="Times New Roman" w:hAnsi="Times New Roman" w:cs="Times New Roman"/>
          <w:b/>
          <w:bCs/>
          <w:color w:val="auto"/>
          <w:sz w:val="24"/>
          <w:szCs w:val="24"/>
        </w:rPr>
      </w:pPr>
      <w:bookmarkStart w:id="3" w:name="_Toc107916295"/>
      <w:r w:rsidRPr="00B60F59">
        <w:rPr>
          <w:rFonts w:ascii="Times New Roman" w:hAnsi="Times New Roman" w:cs="Times New Roman"/>
          <w:b/>
          <w:bCs/>
          <w:color w:val="auto"/>
          <w:sz w:val="24"/>
          <w:szCs w:val="24"/>
        </w:rPr>
        <w:t xml:space="preserve">1. </w:t>
      </w:r>
      <w:r w:rsidR="00DE4C5F" w:rsidRPr="00B60F59">
        <w:rPr>
          <w:rFonts w:ascii="Times New Roman" w:hAnsi="Times New Roman" w:cs="Times New Roman"/>
          <w:b/>
          <w:bCs/>
          <w:color w:val="auto"/>
          <w:sz w:val="24"/>
          <w:szCs w:val="24"/>
        </w:rPr>
        <w:t>NOTEKŪDEŅU DŪŅU APSAIMNIEKOŠANAS ALTERNATĪVAS IZMANTOJOT PASTĀVOŠO INFRASTRUKTŪRU ĀRPUS SPS UZŅĒMUMIEM</w:t>
      </w:r>
      <w:bookmarkEnd w:id="2"/>
      <w:bookmarkEnd w:id="3"/>
    </w:p>
    <w:p w14:paraId="10FA45CE" w14:textId="77777777" w:rsidR="00B60F59" w:rsidRPr="00B60F59" w:rsidRDefault="00B60F59" w:rsidP="00B60F59">
      <w:pPr>
        <w:spacing w:after="0"/>
      </w:pPr>
    </w:p>
    <w:bookmarkEnd w:id="1"/>
    <w:p w14:paraId="78BDE5A4" w14:textId="0FF088B5" w:rsidR="00DA0DCD" w:rsidRDefault="00D07E7A" w:rsidP="00DA0DCD">
      <w:pPr>
        <w:pBdr>
          <w:top w:val="nil"/>
          <w:left w:val="nil"/>
          <w:bottom w:val="nil"/>
          <w:right w:val="nil"/>
          <w:between w:val="nil"/>
        </w:pBdr>
        <w:spacing w:after="0"/>
        <w:rPr>
          <w:rFonts w:ascii="Times New Roman" w:hAnsi="Times New Roman" w:cs="Times New Roman"/>
        </w:rPr>
      </w:pPr>
      <w:r w:rsidRPr="00B60F59">
        <w:rPr>
          <w:rFonts w:ascii="Times New Roman" w:hAnsi="Times New Roman" w:cs="Times New Roman"/>
        </w:rPr>
        <w:t>Stratēģijas</w:t>
      </w:r>
      <w:r w:rsidR="00DE4C5F" w:rsidRPr="00B60F59">
        <w:rPr>
          <w:rFonts w:ascii="Times New Roman" w:hAnsi="Times New Roman" w:cs="Times New Roman"/>
        </w:rPr>
        <w:t xml:space="preserve"> izstrādes laikā </w:t>
      </w:r>
      <w:r w:rsidRPr="00B60F59">
        <w:rPr>
          <w:rFonts w:ascii="Times New Roman" w:hAnsi="Times New Roman" w:cs="Times New Roman"/>
        </w:rPr>
        <w:t>tika</w:t>
      </w:r>
      <w:r w:rsidR="00DE4C5F" w:rsidRPr="00B60F59">
        <w:rPr>
          <w:rFonts w:ascii="Times New Roman" w:hAnsi="Times New Roman" w:cs="Times New Roman"/>
        </w:rPr>
        <w:t xml:space="preserve"> identificēts, ka visas notekūdeņu dūņas Latvijā varētu tikt apsaimniekotas, izmantojot </w:t>
      </w:r>
      <w:sdt>
        <w:sdtPr>
          <w:rPr>
            <w:rFonts w:ascii="Times New Roman" w:hAnsi="Times New Roman" w:cs="Times New Roman"/>
          </w:rPr>
          <w:tag w:val="goog_rdk_17"/>
          <w:id w:val="1381128247"/>
        </w:sdtPr>
        <w:sdtContent/>
      </w:sdt>
      <w:r w:rsidR="00DE4C5F" w:rsidRPr="00B60F59">
        <w:rPr>
          <w:rFonts w:ascii="Times New Roman" w:hAnsi="Times New Roman" w:cs="Times New Roman"/>
        </w:rPr>
        <w:t xml:space="preserve">divas jau pastāvošas, savstarpēji nesaistītas </w:t>
      </w:r>
      <w:r w:rsidRPr="00B60F59">
        <w:rPr>
          <w:rFonts w:ascii="Times New Roman" w:hAnsi="Times New Roman" w:cs="Times New Roman"/>
        </w:rPr>
        <w:t xml:space="preserve">infrastruktūras </w:t>
      </w:r>
      <w:r w:rsidR="00DE4C5F" w:rsidRPr="00B60F59">
        <w:rPr>
          <w:rFonts w:ascii="Times New Roman" w:hAnsi="Times New Roman" w:cs="Times New Roman"/>
        </w:rPr>
        <w:t>sistēmas. Viena no tām ir Latvijas atkritumu apsaimniekošanas sistēma</w:t>
      </w:r>
      <w:r w:rsidRPr="00B60F59">
        <w:rPr>
          <w:rFonts w:ascii="Times New Roman" w:hAnsi="Times New Roman" w:cs="Times New Roman"/>
        </w:rPr>
        <w:t xml:space="preserve"> un tās infrastruktūra</w:t>
      </w:r>
      <w:r w:rsidR="00DE4C5F" w:rsidRPr="00B60F59">
        <w:rPr>
          <w:rFonts w:ascii="Times New Roman" w:hAnsi="Times New Roman" w:cs="Times New Roman"/>
        </w:rPr>
        <w:t xml:space="preserve">, bet otra </w:t>
      </w:r>
      <w:r w:rsidRPr="00B60F59">
        <w:rPr>
          <w:rFonts w:ascii="Times New Roman" w:hAnsi="Times New Roman" w:cs="Times New Roman"/>
        </w:rPr>
        <w:t xml:space="preserve">- </w:t>
      </w:r>
      <w:r w:rsidR="00DE4C5F" w:rsidRPr="00B60F59">
        <w:rPr>
          <w:rFonts w:ascii="Times New Roman" w:hAnsi="Times New Roman" w:cs="Times New Roman"/>
        </w:rPr>
        <w:t xml:space="preserve"> lauksaimnieku organizāciju īpašumā esošo vairāk kā 40 biogāzes staciju tīkls. Abas sistēmas pie atbilstošiem nosacījumiem pirmšķietami varētu nodrošināt notekūdeņu dūņu apsaimniekošanu, ņemot vērā to tehniskos risinājumus un ģeogrāfisko izvietojumu. Papildus izvērtējumā iekļauta arī alternatīva, kas paredz, ka </w:t>
      </w:r>
      <w:r w:rsidRPr="00B60F59">
        <w:rPr>
          <w:rFonts w:ascii="Times New Roman" w:hAnsi="Times New Roman" w:cs="Times New Roman"/>
        </w:rPr>
        <w:t xml:space="preserve">notekūdeņu </w:t>
      </w:r>
      <w:r w:rsidR="00DE4C5F" w:rsidRPr="00B60F59">
        <w:rPr>
          <w:rFonts w:ascii="Times New Roman" w:hAnsi="Times New Roman" w:cs="Times New Roman"/>
        </w:rPr>
        <w:t xml:space="preserve">dūņu pārstrādi un utilizāciju nodrošina neatkarīgs, šobrīd nepastāvošs (neizveidots), privāta kapitāla uzņēmums, kas veic </w:t>
      </w:r>
      <w:r w:rsidRPr="00B60F59">
        <w:rPr>
          <w:rFonts w:ascii="Times New Roman" w:hAnsi="Times New Roman" w:cs="Times New Roman"/>
        </w:rPr>
        <w:t xml:space="preserve">notekūdeņu </w:t>
      </w:r>
      <w:r w:rsidR="00DE4C5F" w:rsidRPr="00B60F59">
        <w:rPr>
          <w:rFonts w:ascii="Times New Roman" w:hAnsi="Times New Roman" w:cs="Times New Roman"/>
        </w:rPr>
        <w:t>dūņu apsaimniekošanu kā ārpakalpojumu.</w:t>
      </w:r>
      <w:r w:rsidR="00C415FB" w:rsidRPr="00B60F59">
        <w:rPr>
          <w:rFonts w:ascii="Times New Roman" w:hAnsi="Times New Roman" w:cs="Times New Roman"/>
        </w:rPr>
        <w:t xml:space="preserve"> Izvērstu pastāvošo sistēmu izvērtējumu, kur varētu tikt apsaimniekotas Latvijas notekūdeņu dūņas, lasīt pielikumā 4.2. “Detalizēts alternatīvu novērtējums notekūdeņu dūņu apsaimniekošan</w:t>
      </w:r>
      <w:r w:rsidR="00BF0219">
        <w:rPr>
          <w:rFonts w:ascii="Times New Roman" w:hAnsi="Times New Roman" w:cs="Times New Roman"/>
        </w:rPr>
        <w:t>a</w:t>
      </w:r>
      <w:r w:rsidR="002E56EC">
        <w:rPr>
          <w:rFonts w:ascii="Times New Roman" w:hAnsi="Times New Roman" w:cs="Times New Roman"/>
        </w:rPr>
        <w:t>i</w:t>
      </w:r>
      <w:r w:rsidR="00C415FB" w:rsidRPr="00B60F59">
        <w:rPr>
          <w:rFonts w:ascii="Times New Roman" w:hAnsi="Times New Roman" w:cs="Times New Roman"/>
        </w:rPr>
        <w:t xml:space="preserve"> izmantojot pastāvošo infrastruktūru ārpus SPS uzņēmumiem”.  </w:t>
      </w:r>
      <w:bookmarkStart w:id="4" w:name="_Toc82430144"/>
    </w:p>
    <w:p w14:paraId="7B55F22D" w14:textId="1C215EFF" w:rsidR="00517447" w:rsidRDefault="00517447" w:rsidP="00DA0DCD">
      <w:pPr>
        <w:pBdr>
          <w:top w:val="nil"/>
          <w:left w:val="nil"/>
          <w:bottom w:val="nil"/>
          <w:right w:val="nil"/>
          <w:between w:val="nil"/>
        </w:pBdr>
        <w:spacing w:after="0"/>
        <w:rPr>
          <w:rFonts w:ascii="Times New Roman" w:hAnsi="Times New Roman" w:cs="Times New Roman"/>
        </w:rPr>
      </w:pPr>
    </w:p>
    <w:p w14:paraId="47462ED5" w14:textId="6341A74D" w:rsidR="00517447" w:rsidRDefault="00517447" w:rsidP="00DA0DCD">
      <w:pPr>
        <w:pBdr>
          <w:top w:val="nil"/>
          <w:left w:val="nil"/>
          <w:bottom w:val="nil"/>
          <w:right w:val="nil"/>
          <w:between w:val="nil"/>
        </w:pBdr>
        <w:spacing w:after="0"/>
        <w:rPr>
          <w:rFonts w:ascii="Times New Roman" w:hAnsi="Times New Roman" w:cs="Times New Roman"/>
        </w:rPr>
      </w:pPr>
    </w:p>
    <w:p w14:paraId="68BC0EA9" w14:textId="118B537F" w:rsidR="00517447" w:rsidRDefault="00517447" w:rsidP="00DA0DCD">
      <w:pPr>
        <w:pBdr>
          <w:top w:val="nil"/>
          <w:left w:val="nil"/>
          <w:bottom w:val="nil"/>
          <w:right w:val="nil"/>
          <w:between w:val="nil"/>
        </w:pBdr>
        <w:spacing w:after="0"/>
        <w:rPr>
          <w:rFonts w:ascii="Times New Roman" w:hAnsi="Times New Roman" w:cs="Times New Roman"/>
        </w:rPr>
      </w:pPr>
    </w:p>
    <w:p w14:paraId="290EEA68" w14:textId="77777777" w:rsidR="00517447" w:rsidRDefault="00517447" w:rsidP="00DA0DCD">
      <w:pPr>
        <w:pBdr>
          <w:top w:val="nil"/>
          <w:left w:val="nil"/>
          <w:bottom w:val="nil"/>
          <w:right w:val="nil"/>
          <w:between w:val="nil"/>
        </w:pBdr>
        <w:spacing w:after="0"/>
        <w:rPr>
          <w:rFonts w:ascii="Times New Roman" w:hAnsi="Times New Roman" w:cs="Times New Roman"/>
        </w:rPr>
      </w:pPr>
    </w:p>
    <w:p w14:paraId="67B9C3B3" w14:textId="0CF39C3F" w:rsidR="00DE4C5F" w:rsidRPr="00517447" w:rsidRDefault="00DE4C5F" w:rsidP="00517447">
      <w:pPr>
        <w:pStyle w:val="Heading2"/>
        <w:jc w:val="center"/>
        <w:rPr>
          <w:rFonts w:ascii="Times New Roman" w:hAnsi="Times New Roman" w:cs="Times New Roman"/>
          <w:b/>
          <w:bCs/>
          <w:color w:val="auto"/>
          <w:sz w:val="24"/>
          <w:szCs w:val="24"/>
        </w:rPr>
      </w:pPr>
      <w:bookmarkStart w:id="5" w:name="_Toc107916296"/>
      <w:r w:rsidRPr="00517447">
        <w:rPr>
          <w:rFonts w:ascii="Times New Roman" w:hAnsi="Times New Roman" w:cs="Times New Roman"/>
          <w:b/>
          <w:bCs/>
          <w:color w:val="auto"/>
          <w:sz w:val="24"/>
          <w:szCs w:val="24"/>
        </w:rPr>
        <w:t>A1. Alternatīva: Notekūdeņu dūņu apsaimniekošana atkritumu apsaimniekošanas sistēmā</w:t>
      </w:r>
      <w:bookmarkEnd w:id="4"/>
      <w:r w:rsidRPr="00517447">
        <w:rPr>
          <w:rFonts w:ascii="Times New Roman" w:hAnsi="Times New Roman" w:cs="Times New Roman"/>
          <w:b/>
          <w:bCs/>
          <w:color w:val="auto"/>
          <w:sz w:val="24"/>
          <w:szCs w:val="24"/>
          <w:vertAlign w:val="superscript"/>
        </w:rPr>
        <w:footnoteReference w:id="2"/>
      </w:r>
      <w:bookmarkEnd w:id="5"/>
    </w:p>
    <w:p w14:paraId="7D41CEDF" w14:textId="77777777" w:rsidR="00517447" w:rsidRDefault="00517447" w:rsidP="008F140E">
      <w:pPr>
        <w:ind w:firstLine="720"/>
      </w:pPr>
    </w:p>
    <w:p w14:paraId="5C958CA2" w14:textId="180DB811" w:rsidR="00DE4C5F" w:rsidRPr="00517447" w:rsidRDefault="00DE4C5F" w:rsidP="008F140E">
      <w:pPr>
        <w:ind w:firstLine="720"/>
        <w:rPr>
          <w:rFonts w:ascii="Times New Roman" w:hAnsi="Times New Roman" w:cs="Times New Roman"/>
          <w:szCs w:val="24"/>
        </w:rPr>
      </w:pPr>
      <w:r w:rsidRPr="00517447">
        <w:rPr>
          <w:rFonts w:ascii="Times New Roman" w:hAnsi="Times New Roman" w:cs="Times New Roman"/>
          <w:szCs w:val="24"/>
        </w:rPr>
        <w:t>Atbilstoši Ministru kabineta 2013. gada 25. jūnija noteikumiem Nr. 377 “Noteikumi par atkritumu apsaimniekošanas reģioniem” Latvijā ir izveidoti un patlaban darbojas 10 atkritumu apsaimniekošanas reģioni (1.</w:t>
      </w:r>
      <w:r w:rsidR="00F81EDB">
        <w:rPr>
          <w:rFonts w:ascii="Times New Roman" w:hAnsi="Times New Roman" w:cs="Times New Roman"/>
          <w:szCs w:val="24"/>
        </w:rPr>
        <w:t>1.1.</w:t>
      </w:r>
      <w:r w:rsidRPr="00517447">
        <w:rPr>
          <w:rFonts w:ascii="Times New Roman" w:hAnsi="Times New Roman" w:cs="Times New Roman"/>
          <w:szCs w:val="24"/>
        </w:rPr>
        <w:t>attēl</w:t>
      </w:r>
      <w:r w:rsidR="00023F3C">
        <w:rPr>
          <w:rFonts w:ascii="Times New Roman" w:hAnsi="Times New Roman" w:cs="Times New Roman"/>
          <w:szCs w:val="24"/>
        </w:rPr>
        <w:t>s</w:t>
      </w:r>
      <w:r w:rsidR="00F64F0C">
        <w:rPr>
          <w:rFonts w:ascii="Times New Roman" w:hAnsi="Times New Roman" w:cs="Times New Roman"/>
          <w:szCs w:val="24"/>
        </w:rPr>
        <w:t xml:space="preserve"> un 1.1.1. tabula</w:t>
      </w:r>
      <w:r w:rsidR="00D0081F">
        <w:rPr>
          <w:rFonts w:ascii="Times New Roman" w:hAnsi="Times New Roman" w:cs="Times New Roman"/>
          <w:szCs w:val="24"/>
        </w:rPr>
        <w:t xml:space="preserve">; </w:t>
      </w:r>
      <w:r w:rsidR="0035178C">
        <w:rPr>
          <w:rFonts w:ascii="Times New Roman" w:hAnsi="Times New Roman" w:cs="Times New Roman"/>
          <w:szCs w:val="24"/>
        </w:rPr>
        <w:t xml:space="preserve">2022. gada I </w:t>
      </w:r>
      <w:r w:rsidR="00EB70C9">
        <w:rPr>
          <w:rFonts w:ascii="Times New Roman" w:hAnsi="Times New Roman" w:cs="Times New Roman"/>
          <w:szCs w:val="24"/>
        </w:rPr>
        <w:t>ceturksnī</w:t>
      </w:r>
      <w:r w:rsidR="0035178C">
        <w:rPr>
          <w:rFonts w:ascii="Times New Roman" w:hAnsi="Times New Roman" w:cs="Times New Roman"/>
          <w:szCs w:val="24"/>
        </w:rPr>
        <w:t xml:space="preserve"> apstiprināšanas </w:t>
      </w:r>
      <w:r w:rsidR="0035178C">
        <w:rPr>
          <w:rFonts w:ascii="Times New Roman" w:hAnsi="Times New Roman" w:cs="Times New Roman"/>
          <w:szCs w:val="24"/>
        </w:rPr>
        <w:lastRenderedPageBreak/>
        <w:t xml:space="preserve">stadijā ir </w:t>
      </w:r>
      <w:r w:rsidR="00831470">
        <w:rPr>
          <w:rFonts w:ascii="Times New Roman" w:hAnsi="Times New Roman" w:cs="Times New Roman"/>
          <w:szCs w:val="24"/>
        </w:rPr>
        <w:t>MK</w:t>
      </w:r>
      <w:r w:rsidR="00B475CF">
        <w:rPr>
          <w:rFonts w:ascii="Times New Roman" w:hAnsi="Times New Roman" w:cs="Times New Roman"/>
          <w:szCs w:val="24"/>
        </w:rPr>
        <w:t xml:space="preserve"> </w:t>
      </w:r>
      <w:r w:rsidR="00831470">
        <w:rPr>
          <w:rFonts w:ascii="Times New Roman" w:hAnsi="Times New Roman" w:cs="Times New Roman"/>
          <w:szCs w:val="24"/>
        </w:rPr>
        <w:t xml:space="preserve">noteikumi </w:t>
      </w:r>
      <w:r w:rsidR="00B475CF">
        <w:rPr>
          <w:rFonts w:ascii="Times New Roman" w:hAnsi="Times New Roman" w:cs="Times New Roman"/>
          <w:szCs w:val="24"/>
        </w:rPr>
        <w:t>“</w:t>
      </w:r>
      <w:r w:rsidR="00B475CF" w:rsidRPr="00B475CF">
        <w:rPr>
          <w:rFonts w:ascii="Times New Roman" w:hAnsi="Times New Roman" w:cs="Times New Roman"/>
          <w:szCs w:val="24"/>
        </w:rPr>
        <w:t>Noteikumi par atkritumu apsaimniekošanas reģioniem</w:t>
      </w:r>
      <w:r w:rsidR="00B475CF">
        <w:rPr>
          <w:rFonts w:ascii="Times New Roman" w:hAnsi="Times New Roman" w:cs="Times New Roman"/>
          <w:szCs w:val="24"/>
        </w:rPr>
        <w:t>”</w:t>
      </w:r>
      <w:r w:rsidR="003C7A94">
        <w:rPr>
          <w:rFonts w:ascii="Times New Roman" w:hAnsi="Times New Roman" w:cs="Times New Roman"/>
          <w:szCs w:val="24"/>
        </w:rPr>
        <w:t>, kas paredz samazināt atkritumu apsaimniekošanas reģionu skaitu līdz pieciem</w:t>
      </w:r>
      <w:r w:rsidR="00667086">
        <w:rPr>
          <w:rFonts w:ascii="Times New Roman" w:hAnsi="Times New Roman" w:cs="Times New Roman"/>
          <w:szCs w:val="24"/>
        </w:rPr>
        <w:t>; šīs Stratēģijas izstrādes laikā minēti noteikumi vēl nav stājušies spēkā</w:t>
      </w:r>
      <w:r w:rsidRPr="00517447">
        <w:rPr>
          <w:rFonts w:ascii="Times New Roman" w:hAnsi="Times New Roman" w:cs="Times New Roman"/>
          <w:szCs w:val="24"/>
        </w:rPr>
        <w:t xml:space="preserve">). A1. alternatīvas ietvaros ir vērtētas iespējas notekūdeņu dūņas utilizēt, izmantojot šo atkritumu organizāciju apsaimniekošanā esošo infrastruktūru, kā </w:t>
      </w:r>
      <w:r w:rsidR="0075606F" w:rsidRPr="00517447">
        <w:rPr>
          <w:rFonts w:ascii="Times New Roman" w:hAnsi="Times New Roman" w:cs="Times New Roman"/>
          <w:noProof/>
          <w:color w:val="000000"/>
          <w:szCs w:val="24"/>
          <w:lang w:eastAsia="lv-LV"/>
        </w:rPr>
        <w:drawing>
          <wp:anchor distT="0" distB="0" distL="114300" distR="114300" simplePos="0" relativeHeight="251658240" behindDoc="1" locked="0" layoutInCell="1" allowOverlap="1" wp14:anchorId="23FAB3BC" wp14:editId="1CBF9EF7">
            <wp:simplePos x="0" y="0"/>
            <wp:positionH relativeFrom="page">
              <wp:posOffset>1306830</wp:posOffset>
            </wp:positionH>
            <wp:positionV relativeFrom="paragraph">
              <wp:posOffset>1045210</wp:posOffset>
            </wp:positionV>
            <wp:extent cx="5276850" cy="3638550"/>
            <wp:effectExtent l="0" t="0" r="0" b="0"/>
            <wp:wrapTight wrapText="bothSides">
              <wp:wrapPolygon edited="0">
                <wp:start x="0" y="0"/>
                <wp:lineTo x="0" y="21487"/>
                <wp:lineTo x="21522" y="21487"/>
                <wp:lineTo x="21522" y="0"/>
                <wp:lineTo x="0" y="0"/>
              </wp:wrapPolygon>
            </wp:wrapTight>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extLst>
                        <a:ext uri="{28A0092B-C50C-407E-A947-70E740481C1C}">
                          <a14:useLocalDpi xmlns:a14="http://schemas.microsoft.com/office/drawing/2010/main"/>
                        </a:ext>
                      </a:extLst>
                    </a:blip>
                    <a:srcRect/>
                    <a:stretch>
                      <a:fillRect/>
                    </a:stretch>
                  </pic:blipFill>
                  <pic:spPr>
                    <a:xfrm>
                      <a:off x="0" y="0"/>
                      <a:ext cx="5276850" cy="3638550"/>
                    </a:xfrm>
                    <a:prstGeom prst="rect">
                      <a:avLst/>
                    </a:prstGeom>
                    <a:ln/>
                  </pic:spPr>
                </pic:pic>
              </a:graphicData>
            </a:graphic>
            <wp14:sizeRelH relativeFrom="page">
              <wp14:pctWidth>0</wp14:pctWidth>
            </wp14:sizeRelH>
            <wp14:sizeRelV relativeFrom="page">
              <wp14:pctHeight>0</wp14:pctHeight>
            </wp14:sizeRelV>
          </wp:anchor>
        </w:drawing>
      </w:r>
      <w:r w:rsidRPr="00517447">
        <w:rPr>
          <w:rFonts w:ascii="Times New Roman" w:hAnsi="Times New Roman" w:cs="Times New Roman"/>
          <w:szCs w:val="24"/>
        </w:rPr>
        <w:t>arī pašvaldību un privāto komersantu izveidotos kompostēšanas laukumus.</w:t>
      </w:r>
    </w:p>
    <w:p w14:paraId="7040FE30" w14:textId="3EB03B9B" w:rsidR="00EE6694" w:rsidRPr="00517447" w:rsidRDefault="00EE6694" w:rsidP="00517447">
      <w:pPr>
        <w:spacing w:before="120" w:after="120"/>
        <w:ind w:firstLine="720"/>
        <w:jc w:val="center"/>
        <w:rPr>
          <w:rFonts w:ascii="Times New Roman" w:hAnsi="Times New Roman" w:cs="Times New Roman"/>
          <w:b/>
          <w:bCs/>
          <w:iCs/>
          <w:szCs w:val="24"/>
        </w:rPr>
      </w:pPr>
      <w:r w:rsidRPr="00517447">
        <w:rPr>
          <w:rFonts w:ascii="Times New Roman" w:hAnsi="Times New Roman" w:cs="Times New Roman"/>
          <w:b/>
          <w:bCs/>
          <w:iCs/>
          <w:szCs w:val="24"/>
        </w:rPr>
        <w:t>1</w:t>
      </w:r>
      <w:r w:rsidR="00F81EDB">
        <w:rPr>
          <w:rFonts w:ascii="Times New Roman" w:hAnsi="Times New Roman" w:cs="Times New Roman"/>
          <w:b/>
          <w:bCs/>
          <w:iCs/>
          <w:szCs w:val="24"/>
        </w:rPr>
        <w:t>.1.1</w:t>
      </w:r>
      <w:r w:rsidR="00532A06">
        <w:rPr>
          <w:rFonts w:ascii="Times New Roman" w:hAnsi="Times New Roman" w:cs="Times New Roman"/>
          <w:b/>
          <w:bCs/>
          <w:iCs/>
          <w:szCs w:val="24"/>
        </w:rPr>
        <w:t>.</w:t>
      </w:r>
      <w:r w:rsidRPr="00517447">
        <w:rPr>
          <w:rFonts w:ascii="Times New Roman" w:hAnsi="Times New Roman" w:cs="Times New Roman"/>
          <w:b/>
          <w:bCs/>
          <w:iCs/>
          <w:szCs w:val="24"/>
        </w:rPr>
        <w:t>attēls</w:t>
      </w:r>
      <w:r w:rsidR="00517447">
        <w:rPr>
          <w:rFonts w:ascii="Times New Roman" w:hAnsi="Times New Roman" w:cs="Times New Roman"/>
          <w:b/>
          <w:bCs/>
          <w:iCs/>
          <w:szCs w:val="24"/>
        </w:rPr>
        <w:t xml:space="preserve">. </w:t>
      </w:r>
      <w:r w:rsidRPr="00517447">
        <w:rPr>
          <w:rFonts w:ascii="Times New Roman" w:hAnsi="Times New Roman" w:cs="Times New Roman"/>
          <w:iCs/>
          <w:szCs w:val="24"/>
        </w:rPr>
        <w:t>Atkritumu apsaimniekošanas reģioni un atkritumu poligoni Latvijā  (01.09.2020.)</w:t>
      </w:r>
    </w:p>
    <w:p w14:paraId="08646164" w14:textId="161B762B" w:rsidR="00EE6694" w:rsidRPr="00175DD0" w:rsidRDefault="00C2531E" w:rsidP="00EA4F75">
      <w:pPr>
        <w:spacing w:after="0"/>
        <w:jc w:val="right"/>
      </w:pPr>
      <w:r>
        <w:t>1.1.1. tabula</w:t>
      </w:r>
      <w:r w:rsidR="00EA4F75">
        <w:tab/>
      </w:r>
    </w:p>
    <w:tbl>
      <w:tblPr>
        <w:tblpPr w:leftFromText="180" w:rightFromText="180" w:vertAnchor="text" w:tblpXSpec="center" w:tblpY="1"/>
        <w:tblOverlap w:val="neve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126"/>
        <w:gridCol w:w="4111"/>
      </w:tblGrid>
      <w:tr w:rsidR="008F140E" w:rsidRPr="00517447" w14:paraId="62FBBB67" w14:textId="77777777" w:rsidTr="008F140E">
        <w:trPr>
          <w:trHeight w:val="420"/>
        </w:trPr>
        <w:tc>
          <w:tcPr>
            <w:tcW w:w="198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0DF8E6D0" w14:textId="77777777" w:rsidR="00DE4C5F" w:rsidRPr="00517447" w:rsidRDefault="00DE4C5F" w:rsidP="008F140E">
            <w:pPr>
              <w:spacing w:after="0"/>
              <w:jc w:val="center"/>
              <w:rPr>
                <w:rFonts w:ascii="Times New Roman" w:eastAsia="Calibri" w:hAnsi="Times New Roman" w:cs="Times New Roman"/>
                <w:b/>
                <w:szCs w:val="20"/>
                <w:lang w:eastAsia="en-GB"/>
              </w:rPr>
            </w:pPr>
            <w:r w:rsidRPr="00517447">
              <w:rPr>
                <w:rFonts w:ascii="Times New Roman" w:eastAsia="Calibri" w:hAnsi="Times New Roman" w:cs="Times New Roman"/>
                <w:b/>
                <w:szCs w:val="20"/>
                <w:lang w:eastAsia="en-GB"/>
              </w:rPr>
              <w:t>AAR</w:t>
            </w:r>
          </w:p>
        </w:tc>
        <w:tc>
          <w:tcPr>
            <w:tcW w:w="212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0BB76DB" w14:textId="77777777" w:rsidR="00DE4C5F" w:rsidRPr="00517447" w:rsidRDefault="00DE4C5F" w:rsidP="008F140E">
            <w:pPr>
              <w:spacing w:after="0"/>
              <w:jc w:val="center"/>
              <w:rPr>
                <w:rFonts w:ascii="Times New Roman" w:eastAsia="Calibri" w:hAnsi="Times New Roman" w:cs="Times New Roman"/>
                <w:b/>
                <w:szCs w:val="20"/>
                <w:lang w:eastAsia="en-GB"/>
              </w:rPr>
            </w:pPr>
            <w:r w:rsidRPr="00517447">
              <w:rPr>
                <w:rFonts w:ascii="Times New Roman" w:eastAsia="Calibri" w:hAnsi="Times New Roman" w:cs="Times New Roman"/>
                <w:b/>
                <w:szCs w:val="20"/>
                <w:lang w:eastAsia="en-GB"/>
              </w:rPr>
              <w:t>Poligons</w:t>
            </w:r>
          </w:p>
        </w:tc>
        <w:tc>
          <w:tcPr>
            <w:tcW w:w="4111"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52CB795D" w14:textId="77777777" w:rsidR="00DE4C5F" w:rsidRPr="00517447" w:rsidRDefault="00DE4C5F" w:rsidP="008F140E">
            <w:pPr>
              <w:spacing w:after="0"/>
              <w:jc w:val="center"/>
              <w:rPr>
                <w:rFonts w:ascii="Times New Roman" w:eastAsia="Calibri" w:hAnsi="Times New Roman" w:cs="Times New Roman"/>
                <w:b/>
                <w:szCs w:val="20"/>
                <w:lang w:eastAsia="en-GB"/>
              </w:rPr>
            </w:pPr>
            <w:r w:rsidRPr="00517447">
              <w:rPr>
                <w:rFonts w:ascii="Times New Roman" w:eastAsia="Calibri" w:hAnsi="Times New Roman" w:cs="Times New Roman"/>
                <w:b/>
                <w:szCs w:val="20"/>
                <w:lang w:eastAsia="en-GB"/>
              </w:rPr>
              <w:t>Kompostēšanas laukums (R3A)m</w:t>
            </w:r>
            <w:r w:rsidRPr="00517447">
              <w:rPr>
                <w:rFonts w:ascii="Times New Roman" w:eastAsia="Calibri" w:hAnsi="Times New Roman" w:cs="Times New Roman"/>
                <w:b/>
                <w:szCs w:val="20"/>
                <w:vertAlign w:val="superscript"/>
                <w:lang w:eastAsia="en-GB"/>
              </w:rPr>
              <w:t>2</w:t>
            </w:r>
          </w:p>
        </w:tc>
      </w:tr>
      <w:tr w:rsidR="008F140E" w:rsidRPr="00517447" w14:paraId="408EE233" w14:textId="77777777" w:rsidTr="008F140E">
        <w:trPr>
          <w:trHeight w:val="300"/>
        </w:trPr>
        <w:tc>
          <w:tcPr>
            <w:tcW w:w="1980" w:type="dxa"/>
            <w:tcBorders>
              <w:top w:val="single" w:sz="4" w:space="0" w:color="000000"/>
              <w:left w:val="single" w:sz="4" w:space="0" w:color="595959"/>
              <w:bottom w:val="single" w:sz="4" w:space="0" w:color="595959"/>
              <w:right w:val="single" w:sz="4" w:space="0" w:color="595959"/>
            </w:tcBorders>
          </w:tcPr>
          <w:p w14:paraId="6E51375B"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Pierīga</w:t>
            </w:r>
          </w:p>
        </w:tc>
        <w:tc>
          <w:tcPr>
            <w:tcW w:w="2126" w:type="dxa"/>
            <w:tcBorders>
              <w:top w:val="single" w:sz="4" w:space="0" w:color="000000"/>
              <w:left w:val="single" w:sz="4" w:space="0" w:color="595959"/>
              <w:bottom w:val="single" w:sz="4" w:space="0" w:color="595959"/>
              <w:right w:val="single" w:sz="4" w:space="0" w:color="595959"/>
            </w:tcBorders>
            <w:shd w:val="clear" w:color="auto" w:fill="auto"/>
            <w:vAlign w:val="center"/>
          </w:tcPr>
          <w:p w14:paraId="3CC58F33"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Getliņi</w:t>
            </w:r>
          </w:p>
        </w:tc>
        <w:tc>
          <w:tcPr>
            <w:tcW w:w="4111" w:type="dxa"/>
            <w:tcBorders>
              <w:top w:val="single" w:sz="4" w:space="0" w:color="000000"/>
              <w:left w:val="single" w:sz="4" w:space="0" w:color="595959"/>
              <w:bottom w:val="single" w:sz="4" w:space="0" w:color="595959"/>
              <w:right w:val="single" w:sz="4" w:space="0" w:color="595959"/>
            </w:tcBorders>
          </w:tcPr>
          <w:p w14:paraId="02137C29"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 xml:space="preserve">1 400 </w:t>
            </w:r>
          </w:p>
        </w:tc>
      </w:tr>
      <w:tr w:rsidR="008F140E" w:rsidRPr="00517447" w14:paraId="74778FFC" w14:textId="77777777" w:rsidTr="008F140E">
        <w:trPr>
          <w:trHeight w:val="300"/>
        </w:trPr>
        <w:tc>
          <w:tcPr>
            <w:tcW w:w="1980" w:type="dxa"/>
            <w:tcBorders>
              <w:top w:val="nil"/>
              <w:left w:val="single" w:sz="4" w:space="0" w:color="595959"/>
              <w:bottom w:val="single" w:sz="4" w:space="0" w:color="595959"/>
              <w:right w:val="single" w:sz="4" w:space="0" w:color="595959"/>
            </w:tcBorders>
          </w:tcPr>
          <w:p w14:paraId="448885F0"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Ziemeļvidzeme</w:t>
            </w:r>
          </w:p>
        </w:tc>
        <w:tc>
          <w:tcPr>
            <w:tcW w:w="2126" w:type="dxa"/>
            <w:tcBorders>
              <w:top w:val="nil"/>
              <w:left w:val="single" w:sz="4" w:space="0" w:color="595959"/>
              <w:bottom w:val="single" w:sz="4" w:space="0" w:color="595959"/>
              <w:right w:val="single" w:sz="4" w:space="0" w:color="595959"/>
            </w:tcBorders>
            <w:shd w:val="clear" w:color="auto" w:fill="auto"/>
            <w:vAlign w:val="center"/>
          </w:tcPr>
          <w:p w14:paraId="448716A3"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Daibe</w:t>
            </w:r>
          </w:p>
        </w:tc>
        <w:tc>
          <w:tcPr>
            <w:tcW w:w="4111" w:type="dxa"/>
            <w:tcBorders>
              <w:top w:val="nil"/>
              <w:left w:val="single" w:sz="4" w:space="0" w:color="595959"/>
              <w:bottom w:val="single" w:sz="4" w:space="0" w:color="595959"/>
              <w:right w:val="single" w:sz="4" w:space="0" w:color="595959"/>
            </w:tcBorders>
          </w:tcPr>
          <w:p w14:paraId="0D7C4BE0"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5 600</w:t>
            </w:r>
          </w:p>
        </w:tc>
      </w:tr>
      <w:tr w:rsidR="008F140E" w:rsidRPr="00517447" w14:paraId="55FBF39A" w14:textId="77777777" w:rsidTr="008F140E">
        <w:trPr>
          <w:trHeight w:val="315"/>
        </w:trPr>
        <w:tc>
          <w:tcPr>
            <w:tcW w:w="1980" w:type="dxa"/>
            <w:tcBorders>
              <w:top w:val="nil"/>
              <w:left w:val="single" w:sz="4" w:space="0" w:color="595959"/>
              <w:bottom w:val="single" w:sz="4" w:space="0" w:color="595959"/>
              <w:right w:val="single" w:sz="4" w:space="0" w:color="595959"/>
            </w:tcBorders>
          </w:tcPr>
          <w:p w14:paraId="29DBBEEB"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Ventspils</w:t>
            </w:r>
          </w:p>
        </w:tc>
        <w:tc>
          <w:tcPr>
            <w:tcW w:w="2126" w:type="dxa"/>
            <w:tcBorders>
              <w:top w:val="nil"/>
              <w:left w:val="single" w:sz="4" w:space="0" w:color="595959"/>
              <w:bottom w:val="single" w:sz="4" w:space="0" w:color="595959"/>
              <w:right w:val="single" w:sz="4" w:space="0" w:color="595959"/>
            </w:tcBorders>
            <w:shd w:val="clear" w:color="auto" w:fill="auto"/>
            <w:vAlign w:val="center"/>
          </w:tcPr>
          <w:p w14:paraId="6E380753"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Pentuļi</w:t>
            </w:r>
          </w:p>
        </w:tc>
        <w:tc>
          <w:tcPr>
            <w:tcW w:w="4111" w:type="dxa"/>
            <w:tcBorders>
              <w:top w:val="nil"/>
              <w:left w:val="single" w:sz="4" w:space="0" w:color="595959"/>
              <w:bottom w:val="single" w:sz="4" w:space="0" w:color="595959"/>
              <w:right w:val="single" w:sz="4" w:space="0" w:color="595959"/>
            </w:tcBorders>
          </w:tcPr>
          <w:p w14:paraId="767DDFB4"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1 700</w:t>
            </w:r>
          </w:p>
        </w:tc>
      </w:tr>
      <w:tr w:rsidR="008F140E" w:rsidRPr="00517447" w14:paraId="3C960AB7" w14:textId="77777777" w:rsidTr="008F140E">
        <w:trPr>
          <w:trHeight w:val="300"/>
        </w:trPr>
        <w:tc>
          <w:tcPr>
            <w:tcW w:w="1980" w:type="dxa"/>
            <w:tcBorders>
              <w:top w:val="nil"/>
              <w:left w:val="single" w:sz="4" w:space="0" w:color="595959"/>
              <w:bottom w:val="single" w:sz="4" w:space="0" w:color="595959"/>
              <w:right w:val="single" w:sz="4" w:space="0" w:color="595959"/>
            </w:tcBorders>
          </w:tcPr>
          <w:p w14:paraId="3DBD347C"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Dienvidlatgale</w:t>
            </w:r>
          </w:p>
        </w:tc>
        <w:tc>
          <w:tcPr>
            <w:tcW w:w="2126" w:type="dxa"/>
            <w:tcBorders>
              <w:top w:val="nil"/>
              <w:left w:val="single" w:sz="4" w:space="0" w:color="595959"/>
              <w:bottom w:val="single" w:sz="4" w:space="0" w:color="595959"/>
              <w:right w:val="single" w:sz="4" w:space="0" w:color="595959"/>
            </w:tcBorders>
            <w:shd w:val="clear" w:color="auto" w:fill="auto"/>
            <w:vAlign w:val="center"/>
          </w:tcPr>
          <w:p w14:paraId="1E935536"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Cinīši</w:t>
            </w:r>
          </w:p>
        </w:tc>
        <w:tc>
          <w:tcPr>
            <w:tcW w:w="4111" w:type="dxa"/>
            <w:tcBorders>
              <w:top w:val="nil"/>
              <w:left w:val="single" w:sz="4" w:space="0" w:color="595959"/>
              <w:bottom w:val="single" w:sz="4" w:space="0" w:color="595959"/>
              <w:right w:val="single" w:sz="4" w:space="0" w:color="595959"/>
            </w:tcBorders>
          </w:tcPr>
          <w:p w14:paraId="1538BC21"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1 600</w:t>
            </w:r>
          </w:p>
        </w:tc>
      </w:tr>
      <w:tr w:rsidR="008F140E" w:rsidRPr="00517447" w14:paraId="3700D534" w14:textId="77777777" w:rsidTr="008F140E">
        <w:trPr>
          <w:trHeight w:val="300"/>
        </w:trPr>
        <w:tc>
          <w:tcPr>
            <w:tcW w:w="1980" w:type="dxa"/>
            <w:tcBorders>
              <w:top w:val="nil"/>
              <w:left w:val="single" w:sz="4" w:space="0" w:color="595959"/>
              <w:bottom w:val="single" w:sz="4" w:space="0" w:color="595959"/>
              <w:right w:val="single" w:sz="4" w:space="0" w:color="595959"/>
            </w:tcBorders>
          </w:tcPr>
          <w:p w14:paraId="6325E851"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Piejūra</w:t>
            </w:r>
          </w:p>
        </w:tc>
        <w:tc>
          <w:tcPr>
            <w:tcW w:w="2126" w:type="dxa"/>
            <w:tcBorders>
              <w:top w:val="nil"/>
              <w:left w:val="single" w:sz="4" w:space="0" w:color="595959"/>
              <w:bottom w:val="single" w:sz="4" w:space="0" w:color="595959"/>
              <w:right w:val="single" w:sz="4" w:space="0" w:color="595959"/>
            </w:tcBorders>
            <w:shd w:val="clear" w:color="auto" w:fill="auto"/>
            <w:vAlign w:val="center"/>
          </w:tcPr>
          <w:p w14:paraId="404E6376"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Janvāri</w:t>
            </w:r>
          </w:p>
        </w:tc>
        <w:tc>
          <w:tcPr>
            <w:tcW w:w="4111" w:type="dxa"/>
            <w:tcBorders>
              <w:top w:val="nil"/>
              <w:left w:val="single" w:sz="4" w:space="0" w:color="595959"/>
              <w:bottom w:val="single" w:sz="4" w:space="0" w:color="595959"/>
              <w:right w:val="single" w:sz="4" w:space="0" w:color="595959"/>
            </w:tcBorders>
          </w:tcPr>
          <w:p w14:paraId="1A4A7F42"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5 000</w:t>
            </w:r>
          </w:p>
        </w:tc>
      </w:tr>
      <w:tr w:rsidR="008F140E" w:rsidRPr="00517447" w14:paraId="79BD8A21" w14:textId="77777777" w:rsidTr="00603B7B">
        <w:trPr>
          <w:trHeight w:val="300"/>
        </w:trPr>
        <w:tc>
          <w:tcPr>
            <w:tcW w:w="1980" w:type="dxa"/>
            <w:tcBorders>
              <w:top w:val="nil"/>
              <w:left w:val="single" w:sz="4" w:space="0" w:color="595959"/>
              <w:bottom w:val="single" w:sz="4" w:space="0" w:color="auto"/>
              <w:right w:val="single" w:sz="4" w:space="0" w:color="595959"/>
            </w:tcBorders>
          </w:tcPr>
          <w:p w14:paraId="35FFF7A5"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Zemgale</w:t>
            </w:r>
          </w:p>
        </w:tc>
        <w:tc>
          <w:tcPr>
            <w:tcW w:w="2126" w:type="dxa"/>
            <w:tcBorders>
              <w:top w:val="nil"/>
              <w:left w:val="single" w:sz="4" w:space="0" w:color="595959"/>
              <w:bottom w:val="single" w:sz="4" w:space="0" w:color="auto"/>
              <w:right w:val="single" w:sz="4" w:space="0" w:color="595959"/>
            </w:tcBorders>
            <w:shd w:val="clear" w:color="auto" w:fill="auto"/>
            <w:vAlign w:val="center"/>
          </w:tcPr>
          <w:p w14:paraId="37CC40EB"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Brakšķi</w:t>
            </w:r>
          </w:p>
        </w:tc>
        <w:tc>
          <w:tcPr>
            <w:tcW w:w="4111" w:type="dxa"/>
            <w:tcBorders>
              <w:top w:val="nil"/>
              <w:left w:val="single" w:sz="4" w:space="0" w:color="595959"/>
              <w:bottom w:val="single" w:sz="4" w:space="0" w:color="auto"/>
              <w:right w:val="single" w:sz="4" w:space="0" w:color="595959"/>
            </w:tcBorders>
          </w:tcPr>
          <w:p w14:paraId="31E35841"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2 600</w:t>
            </w:r>
          </w:p>
        </w:tc>
      </w:tr>
      <w:tr w:rsidR="008F140E" w:rsidRPr="00517447" w14:paraId="68FBA6F6" w14:textId="77777777" w:rsidTr="00603B7B">
        <w:trPr>
          <w:trHeight w:val="300"/>
        </w:trPr>
        <w:tc>
          <w:tcPr>
            <w:tcW w:w="1980" w:type="dxa"/>
            <w:tcBorders>
              <w:top w:val="single" w:sz="4" w:space="0" w:color="auto"/>
              <w:left w:val="single" w:sz="4" w:space="0" w:color="auto"/>
              <w:bottom w:val="single" w:sz="4" w:space="0" w:color="auto"/>
              <w:right w:val="single" w:sz="4" w:space="0" w:color="auto"/>
            </w:tcBorders>
          </w:tcPr>
          <w:p w14:paraId="77690FFE"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Liepāja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49774CB"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Ķīvītes</w:t>
            </w:r>
          </w:p>
        </w:tc>
        <w:tc>
          <w:tcPr>
            <w:tcW w:w="4111" w:type="dxa"/>
            <w:tcBorders>
              <w:top w:val="single" w:sz="4" w:space="0" w:color="auto"/>
              <w:left w:val="single" w:sz="4" w:space="0" w:color="auto"/>
              <w:bottom w:val="single" w:sz="4" w:space="0" w:color="auto"/>
              <w:right w:val="single" w:sz="4" w:space="0" w:color="auto"/>
            </w:tcBorders>
          </w:tcPr>
          <w:p w14:paraId="11684A6B"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0</w:t>
            </w:r>
          </w:p>
        </w:tc>
      </w:tr>
      <w:tr w:rsidR="008F140E" w:rsidRPr="00517447" w14:paraId="5C5723DE" w14:textId="77777777" w:rsidTr="00603B7B">
        <w:trPr>
          <w:trHeight w:val="300"/>
        </w:trPr>
        <w:tc>
          <w:tcPr>
            <w:tcW w:w="1980" w:type="dxa"/>
            <w:tcBorders>
              <w:top w:val="single" w:sz="4" w:space="0" w:color="auto"/>
              <w:left w:val="single" w:sz="4" w:space="0" w:color="595959"/>
              <w:bottom w:val="single" w:sz="4" w:space="0" w:color="595959"/>
              <w:right w:val="single" w:sz="4" w:space="0" w:color="595959"/>
            </w:tcBorders>
          </w:tcPr>
          <w:p w14:paraId="19411F22"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Vidusdaugava</w:t>
            </w:r>
          </w:p>
        </w:tc>
        <w:tc>
          <w:tcPr>
            <w:tcW w:w="2126" w:type="dxa"/>
            <w:tcBorders>
              <w:top w:val="single" w:sz="4" w:space="0" w:color="auto"/>
              <w:left w:val="single" w:sz="4" w:space="0" w:color="595959"/>
              <w:bottom w:val="single" w:sz="4" w:space="0" w:color="595959"/>
              <w:right w:val="single" w:sz="4" w:space="0" w:color="595959"/>
            </w:tcBorders>
            <w:shd w:val="clear" w:color="auto" w:fill="auto"/>
            <w:vAlign w:val="center"/>
          </w:tcPr>
          <w:p w14:paraId="7254272D"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Dziļā vāda</w:t>
            </w:r>
          </w:p>
        </w:tc>
        <w:tc>
          <w:tcPr>
            <w:tcW w:w="4111" w:type="dxa"/>
            <w:tcBorders>
              <w:top w:val="single" w:sz="4" w:space="0" w:color="auto"/>
              <w:left w:val="single" w:sz="4" w:space="0" w:color="595959"/>
              <w:bottom w:val="single" w:sz="4" w:space="0" w:color="595959"/>
              <w:right w:val="single" w:sz="4" w:space="0" w:color="595959"/>
            </w:tcBorders>
          </w:tcPr>
          <w:p w14:paraId="216FE2A9"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8 000</w:t>
            </w:r>
          </w:p>
        </w:tc>
      </w:tr>
      <w:tr w:rsidR="008F140E" w:rsidRPr="00517447" w14:paraId="0E318485" w14:textId="77777777" w:rsidTr="008F140E">
        <w:trPr>
          <w:trHeight w:val="300"/>
        </w:trPr>
        <w:tc>
          <w:tcPr>
            <w:tcW w:w="1980" w:type="dxa"/>
            <w:tcBorders>
              <w:top w:val="nil"/>
              <w:left w:val="single" w:sz="4" w:space="0" w:color="595959"/>
              <w:bottom w:val="single" w:sz="4" w:space="0" w:color="595959"/>
              <w:right w:val="single" w:sz="4" w:space="0" w:color="595959"/>
            </w:tcBorders>
          </w:tcPr>
          <w:p w14:paraId="1607D783"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Austrumlatgale</w:t>
            </w:r>
          </w:p>
        </w:tc>
        <w:tc>
          <w:tcPr>
            <w:tcW w:w="2126" w:type="dxa"/>
            <w:tcBorders>
              <w:top w:val="nil"/>
              <w:left w:val="single" w:sz="4" w:space="0" w:color="595959"/>
              <w:bottom w:val="single" w:sz="4" w:space="0" w:color="595959"/>
              <w:right w:val="single" w:sz="4" w:space="0" w:color="595959"/>
            </w:tcBorders>
            <w:shd w:val="clear" w:color="auto" w:fill="auto"/>
            <w:vAlign w:val="center"/>
          </w:tcPr>
          <w:p w14:paraId="45E38A97"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Križevņiki</w:t>
            </w:r>
          </w:p>
        </w:tc>
        <w:tc>
          <w:tcPr>
            <w:tcW w:w="4111" w:type="dxa"/>
            <w:tcBorders>
              <w:top w:val="nil"/>
              <w:left w:val="single" w:sz="4" w:space="0" w:color="595959"/>
              <w:bottom w:val="single" w:sz="4" w:space="0" w:color="595959"/>
              <w:right w:val="single" w:sz="4" w:space="0" w:color="595959"/>
            </w:tcBorders>
          </w:tcPr>
          <w:p w14:paraId="4548A011"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4 400</w:t>
            </w:r>
          </w:p>
        </w:tc>
      </w:tr>
      <w:tr w:rsidR="008F140E" w:rsidRPr="00517447" w14:paraId="419D8095" w14:textId="77777777" w:rsidTr="008F140E">
        <w:trPr>
          <w:trHeight w:val="300"/>
        </w:trPr>
        <w:tc>
          <w:tcPr>
            <w:tcW w:w="1980" w:type="dxa"/>
            <w:tcBorders>
              <w:top w:val="nil"/>
              <w:left w:val="single" w:sz="4" w:space="0" w:color="595959"/>
              <w:bottom w:val="single" w:sz="4" w:space="0" w:color="595959"/>
              <w:right w:val="single" w:sz="4" w:space="0" w:color="595959"/>
            </w:tcBorders>
          </w:tcPr>
          <w:p w14:paraId="1CB59BB7"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Maliena</w:t>
            </w:r>
          </w:p>
        </w:tc>
        <w:tc>
          <w:tcPr>
            <w:tcW w:w="2126" w:type="dxa"/>
            <w:tcBorders>
              <w:top w:val="nil"/>
              <w:left w:val="single" w:sz="4" w:space="0" w:color="595959"/>
              <w:bottom w:val="single" w:sz="4" w:space="0" w:color="595959"/>
              <w:right w:val="single" w:sz="4" w:space="0" w:color="595959"/>
            </w:tcBorders>
            <w:shd w:val="clear" w:color="auto" w:fill="auto"/>
            <w:vAlign w:val="center"/>
          </w:tcPr>
          <w:p w14:paraId="7E237433"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Kaudzītes</w:t>
            </w:r>
          </w:p>
        </w:tc>
        <w:tc>
          <w:tcPr>
            <w:tcW w:w="4111" w:type="dxa"/>
            <w:tcBorders>
              <w:top w:val="nil"/>
              <w:left w:val="single" w:sz="4" w:space="0" w:color="595959"/>
              <w:bottom w:val="single" w:sz="4" w:space="0" w:color="595959"/>
              <w:right w:val="single" w:sz="4" w:space="0" w:color="595959"/>
            </w:tcBorders>
          </w:tcPr>
          <w:p w14:paraId="312DB5A0" w14:textId="77777777" w:rsidR="00DE4C5F" w:rsidRPr="00517447" w:rsidRDefault="00DE4C5F" w:rsidP="008F140E">
            <w:pPr>
              <w:spacing w:after="0"/>
              <w:jc w:val="center"/>
              <w:rPr>
                <w:rFonts w:ascii="Times New Roman" w:eastAsia="Calibri" w:hAnsi="Times New Roman" w:cs="Times New Roman"/>
                <w:szCs w:val="20"/>
                <w:lang w:eastAsia="en-GB"/>
              </w:rPr>
            </w:pPr>
            <w:r w:rsidRPr="00517447">
              <w:rPr>
                <w:rFonts w:ascii="Times New Roman" w:eastAsia="Calibri" w:hAnsi="Times New Roman" w:cs="Times New Roman"/>
                <w:szCs w:val="20"/>
                <w:lang w:eastAsia="en-GB"/>
              </w:rPr>
              <w:t>3 500</w:t>
            </w:r>
          </w:p>
        </w:tc>
      </w:tr>
    </w:tbl>
    <w:p w14:paraId="525ABC94" w14:textId="77777777" w:rsidR="008F140E" w:rsidRPr="00AA6E32" w:rsidRDefault="008F140E" w:rsidP="008F140E">
      <w:pPr>
        <w:spacing w:before="120" w:after="120"/>
        <w:ind w:firstLine="720"/>
        <w:rPr>
          <w:rFonts w:ascii="Times New Roman" w:hAnsi="Times New Roman" w:cs="Times New Roman"/>
        </w:rPr>
      </w:pPr>
      <w:r w:rsidRPr="00AA6E32">
        <w:rPr>
          <w:rFonts w:ascii="Times New Roman" w:hAnsi="Times New Roman" w:cs="Times New Roman"/>
        </w:rPr>
        <w:t xml:space="preserve">Katram AAR ir izveidots vismaz viens atkritumu apglabāšanas poligons, kurā ir izveidota infrastruktūra bioloģiski noārdāmo atkritumu kompostēšanai (atkritumu reģenerācijas </w:t>
      </w:r>
      <w:r w:rsidRPr="00AA6E32">
        <w:rPr>
          <w:rFonts w:ascii="Times New Roman" w:hAnsi="Times New Roman" w:cs="Times New Roman"/>
        </w:rPr>
        <w:lastRenderedPageBreak/>
        <w:t>veida apakškods - R3A</w:t>
      </w:r>
      <w:r w:rsidRPr="00AA6E32">
        <w:rPr>
          <w:rStyle w:val="FootnoteReference"/>
          <w:rFonts w:ascii="Times New Roman" w:hAnsi="Times New Roman" w:cs="Times New Roman"/>
        </w:rPr>
        <w:footnoteReference w:id="3"/>
      </w:r>
      <w:r w:rsidRPr="00AA6E32">
        <w:rPr>
          <w:rFonts w:ascii="Times New Roman" w:hAnsi="Times New Roman" w:cs="Times New Roman"/>
        </w:rPr>
        <w:t>) - kompostēšanas laukums, kas pēc tehniskajiem parametriem varētu būt piemērots arī notekūdeņu dūņu, kā bioloģiski noārdāma ražošanas atlikuma kompostēšanai.</w:t>
      </w:r>
    </w:p>
    <w:p w14:paraId="7E015B8B" w14:textId="77777777" w:rsidR="008F140E" w:rsidRPr="00AA6E32" w:rsidRDefault="008F140E" w:rsidP="008F140E">
      <w:pPr>
        <w:spacing w:before="120" w:after="120"/>
        <w:ind w:firstLine="720"/>
        <w:rPr>
          <w:rFonts w:ascii="Times New Roman" w:hAnsi="Times New Roman" w:cs="Times New Roman"/>
        </w:rPr>
      </w:pPr>
      <w:r w:rsidRPr="00AA6E32">
        <w:rPr>
          <w:rFonts w:ascii="Times New Roman" w:hAnsi="Times New Roman" w:cs="Times New Roman"/>
        </w:rPr>
        <w:t xml:space="preserve">Atkritumu poligonu darbībai izsniegtajās atļaujās norādītās kompostēšanas laukumu potenciālās jaudas ir </w:t>
      </w:r>
      <w:sdt>
        <w:sdtPr>
          <w:rPr>
            <w:rFonts w:ascii="Times New Roman" w:hAnsi="Times New Roman" w:cs="Times New Roman"/>
          </w:rPr>
          <w:tag w:val="goog_rdk_18"/>
          <w:id w:val="1356473061"/>
        </w:sdtPr>
        <w:sdtContent/>
      </w:sdt>
      <w:r w:rsidRPr="00AA6E32">
        <w:rPr>
          <w:rFonts w:ascii="Times New Roman" w:hAnsi="Times New Roman" w:cs="Times New Roman"/>
        </w:rPr>
        <w:t xml:space="preserve">nedaudz virs 100 tūkst. tonnu gadā, tomēr tās netiek izmantotas pilnā apmērā. </w:t>
      </w:r>
      <w:r w:rsidRPr="00AA6E32">
        <w:rPr>
          <w:rFonts w:ascii="Times New Roman" w:hAnsi="Times New Roman" w:cs="Times New Roman"/>
          <w:highlight w:val="white"/>
        </w:rPr>
        <w:t xml:space="preserve">Atkritumu kompostēšanas laukumi ir izvietoti arī ārpus sadzīves atkritumu poligoniem. To kopējā kompostēšanas jauda sasniedz 34 tūkst.tonnu/gadā. </w:t>
      </w:r>
      <w:r w:rsidRPr="00AA6E32">
        <w:rPr>
          <w:rFonts w:ascii="Times New Roman" w:hAnsi="Times New Roman" w:cs="Times New Roman"/>
        </w:rPr>
        <w:t xml:space="preserve">Ārpus poligoniem kompostēšanas laukumi ir izveidoti Piejūras, Pierīgas un Vidusdaugavas AAR. </w:t>
      </w:r>
    </w:p>
    <w:p w14:paraId="1521E546" w14:textId="77777777" w:rsidR="008F140E" w:rsidRPr="00AA6E32" w:rsidRDefault="008F140E" w:rsidP="008F140E">
      <w:pPr>
        <w:spacing w:before="120" w:after="120"/>
        <w:ind w:firstLine="720"/>
        <w:rPr>
          <w:rFonts w:ascii="Times New Roman" w:hAnsi="Times New Roman" w:cs="Times New Roman"/>
        </w:rPr>
      </w:pPr>
      <w:r w:rsidRPr="00AA6E32">
        <w:rPr>
          <w:rFonts w:ascii="Times New Roman" w:hAnsi="Times New Roman" w:cs="Times New Roman"/>
        </w:rPr>
        <w:t>Papildus ir izveidots arī bīstamo atkritumu poligons „Zebrene”, kas atrodas Dobeles novada Zebrenes pagastā, kas ir vienīgā bīstamo atkritumu apglabāšanas vieta Latvijā. Šī ir vienīgā vieta Latvijā, kur var tikt apglabātas 5.klases notekūdeņu dūņas.</w:t>
      </w:r>
    </w:p>
    <w:p w14:paraId="2B81E10B" w14:textId="0D4AA382" w:rsidR="00662945" w:rsidRDefault="00023F3C" w:rsidP="00023F3C">
      <w:pPr>
        <w:pBdr>
          <w:top w:val="nil"/>
          <w:left w:val="nil"/>
          <w:bottom w:val="nil"/>
          <w:right w:val="nil"/>
          <w:between w:val="nil"/>
        </w:pBdr>
        <w:spacing w:after="0"/>
        <w:ind w:firstLine="709"/>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53" behindDoc="0" locked="0" layoutInCell="1" hidden="0" allowOverlap="1" wp14:anchorId="3CE738F1" wp14:editId="612DD5F8">
                <wp:simplePos x="0" y="0"/>
                <wp:positionH relativeFrom="margin">
                  <wp:align>center</wp:align>
                </wp:positionH>
                <wp:positionV relativeFrom="paragraph">
                  <wp:posOffset>3603673</wp:posOffset>
                </wp:positionV>
                <wp:extent cx="5372735" cy="1762125"/>
                <wp:effectExtent l="19050" t="19050" r="18415" b="28575"/>
                <wp:wrapSquare wrapText="bothSides" distT="45720" distB="45720" distL="114300" distR="114300"/>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762125"/>
                        </a:xfrm>
                        <a:prstGeom prst="rect">
                          <a:avLst/>
                        </a:prstGeom>
                        <a:solidFill>
                          <a:srgbClr val="FFFFFF"/>
                        </a:solidFill>
                        <a:ln w="38100">
                          <a:solidFill>
                            <a:srgbClr val="FFC000"/>
                          </a:solidFill>
                          <a:miter lim="800000"/>
                          <a:headEnd/>
                          <a:tailEnd/>
                        </a:ln>
                      </wps:spPr>
                      <wps:txbx>
                        <w:txbxContent>
                          <w:p w14:paraId="7DAD1A17" w14:textId="191F02B7" w:rsidR="00662945" w:rsidRPr="007E349D" w:rsidRDefault="007E349D" w:rsidP="00662945">
                            <w:pPr>
                              <w:rPr>
                                <w:rFonts w:ascii="Times New Roman" w:hAnsi="Times New Roman" w:cs="Times New Roman"/>
                                <w:b/>
                                <w:bCs/>
                                <w:color w:val="44546A" w:themeColor="text2"/>
                              </w:rPr>
                            </w:pPr>
                            <w:r w:rsidRPr="007E349D">
                              <w:rPr>
                                <w:rFonts w:ascii="Times New Roman" w:hAnsi="Times New Roman" w:cs="Times New Roman"/>
                                <w:b/>
                                <w:bCs/>
                                <w:color w:val="44546A" w:themeColor="text2"/>
                              </w:rPr>
                              <w:t>Latvijas atkritumu apsaimniekošanas sistēma šobrīd nevar piedāvāt gatavu un uzreiz izmantojamu notekūdeņu dūņu apsaimniekošanas risinājumu, bet nododot notekūdeņu dūņas pārstrādei esošajos kompostēšanas laukumos, situāciju notekūdeņu dūņu apsaimniekošanas jomā būtiski neuzlabos, jo pārstrādei nododamo notekūdeņu dūņu apjoms būtu neliels. Vienlaikus atkritumu apsaimniekošanas jomā ir sagaidāmas būtiskas izmaiņas, kas var mainīt kopējo situāciju un samazināt iespējas notekūdeņu dūņas apsaimniekot atkritumu apsaimniekošanas sistēmā.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738F1" id="Text Box 38" o:spid="_x0000_s1027" type="#_x0000_t202" style="position:absolute;left:0;text-align:left;margin-left:0;margin-top:283.75pt;width:423.05pt;height:138.75pt;z-index:25165825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" strokecolor="#ffc000" strokeweight="3pt">
                <v:textbox>
                  <w:txbxContent>
                    <w:p w14:paraId="7DAD1A17" w14:textId="191F02B7" w:rsidR="00662945" w:rsidRPr="007E349D" w:rsidRDefault="007E349D" w:rsidP="00662945">
                      <w:pPr>
                        <w:rPr>
                          <w:rFonts w:ascii="Times New Roman" w:hAnsi="Times New Roman" w:cs="Times New Roman"/>
                          <w:b/>
                          <w:bCs/>
                          <w:color w:val="44546A" w:themeColor="text2"/>
                        </w:rPr>
                      </w:pPr>
                      <w:r w:rsidRPr="007E349D">
                        <w:rPr>
                          <w:rFonts w:ascii="Times New Roman" w:hAnsi="Times New Roman" w:cs="Times New Roman"/>
                          <w:b/>
                          <w:bCs/>
                          <w:color w:val="44546A" w:themeColor="text2"/>
                        </w:rPr>
                        <w:t>Latvijas atkritumu apsaimniekošanas sistēma šobrīd nevar piedāvāt gatavu un uzreiz izmantojamu notekūdeņu dūņu apsaimniekošanas risinājumu, bet nododot notekūdeņu dūņas pārstrādei esošajos kompostēšanas laukumos, situāciju notekūdeņu dūņu apsaimniekošanas jomā būtiski neuzlabos, jo pārstrādei nododamo notekūdeņu dūņu apjoms būtu neliels. Vienlaikus atkritumu apsaimniekošanas jomā ir sagaidāmas būtiskas izmaiņas, kas var mainīt kopējo situāciju un samazināt iespējas notekūdeņu dūņas apsaimniekot atkritumu apsaimniekošanas sistēmā.</w:t>
                      </w:r>
                    </w:p>
                  </w:txbxContent>
                </v:textbox>
                <w10:wrap type="square" anchorx="margin"/>
              </v:shape>
            </w:pict>
          </mc:Fallback>
        </mc:AlternateContent>
      </w:r>
      <w:r w:rsidR="008F140E" w:rsidRPr="00AA6E32">
        <w:rPr>
          <w:rFonts w:ascii="Times New Roman" w:hAnsi="Times New Roman" w:cs="Times New Roman"/>
        </w:rPr>
        <w:t xml:space="preserve">Izskatot alternatīvu par notekūdeņu dūņu pārstrādi esošajos atkritumu kompostēšanas laukumos secināms, ka notekūdeņu dūņas pirms nogādāšanas kompostēšanas laukumos būtu mehāniski jāatūdeņo (jāveic to sākotnējā apstrāde), sasniedzot iespējami augstāku sausnas daudzumu dūņās. No notekūdeņu dūņu atūdeņošanas viedokļa, </w:t>
      </w:r>
      <w:sdt>
        <w:sdtPr>
          <w:rPr>
            <w:rFonts w:ascii="Times New Roman" w:hAnsi="Times New Roman" w:cs="Times New Roman"/>
          </w:rPr>
          <w:tag w:val="goog_rdk_19"/>
          <w:id w:val="-1267764396"/>
        </w:sdtPr>
        <w:sdtContent/>
      </w:sdt>
      <w:r w:rsidR="008F140E" w:rsidRPr="00AA6E32">
        <w:rPr>
          <w:rFonts w:ascii="Times New Roman" w:hAnsi="Times New Roman" w:cs="Times New Roman"/>
        </w:rPr>
        <w:t xml:space="preserve">ekonomiski pamatoti, pie tipiskos gadījumos izmantotajiem tehnoloģiskajiem risinājumiem, ir </w:t>
      </w:r>
      <w:r w:rsidR="00D07E7A" w:rsidRPr="00AA6E32">
        <w:rPr>
          <w:rFonts w:ascii="Times New Roman" w:hAnsi="Times New Roman" w:cs="Times New Roman"/>
        </w:rPr>
        <w:t xml:space="preserve">notekūdeņu </w:t>
      </w:r>
      <w:r w:rsidR="008F140E" w:rsidRPr="00AA6E32">
        <w:rPr>
          <w:rFonts w:ascii="Times New Roman" w:hAnsi="Times New Roman" w:cs="Times New Roman"/>
        </w:rPr>
        <w:t>dūņas atūdeņot līdz vidēji 18% sausnai</w:t>
      </w:r>
      <w:r w:rsidR="008F140E" w:rsidRPr="00AA6E32">
        <w:rPr>
          <w:rStyle w:val="FootnoteReference"/>
          <w:rFonts w:ascii="Times New Roman" w:hAnsi="Times New Roman" w:cs="Times New Roman"/>
        </w:rPr>
        <w:footnoteReference w:id="4"/>
      </w:r>
      <w:r w:rsidR="008F140E" w:rsidRPr="00AA6E32">
        <w:rPr>
          <w:rFonts w:ascii="Times New Roman" w:hAnsi="Times New Roman" w:cs="Times New Roman"/>
        </w:rPr>
        <w:t xml:space="preserve">, kas ir optimāls sasniegtās sausnas apjoms ņemot vērā ieguldītos resursus un sagaidāmos transportēšanas izdevumus. Šādā gadījumā kopējā atkritumu poligoniem nododamā notekūdeņu dūņu masa (ar 18% sausni) būtu aptuveni 66 700 t/gadā (neskaitot BAS </w:t>
      </w:r>
      <w:r w:rsidR="00D07E7A" w:rsidRPr="00AA6E32">
        <w:rPr>
          <w:rFonts w:ascii="Times New Roman" w:hAnsi="Times New Roman" w:cs="Times New Roman"/>
        </w:rPr>
        <w:t>“</w:t>
      </w:r>
      <w:r w:rsidR="008F140E" w:rsidRPr="00AA6E32">
        <w:rPr>
          <w:rFonts w:ascii="Times New Roman" w:hAnsi="Times New Roman" w:cs="Times New Roman"/>
        </w:rPr>
        <w:t>Daugavgrīva</w:t>
      </w:r>
      <w:r w:rsidR="00D07E7A" w:rsidRPr="00AA6E32">
        <w:rPr>
          <w:rFonts w:ascii="Times New Roman" w:hAnsi="Times New Roman" w:cs="Times New Roman"/>
        </w:rPr>
        <w:t>”</w:t>
      </w:r>
      <w:r w:rsidR="008F140E" w:rsidRPr="00AA6E32">
        <w:rPr>
          <w:rFonts w:ascii="Times New Roman" w:hAnsi="Times New Roman" w:cs="Times New Roman"/>
        </w:rPr>
        <w:t xml:space="preserve"> notekūdeņu dūņas), kas sasniegtu aptuveni 50% no kopējās visu kompostēšanas lauku jaudas. Ņemot vērā, ka Direktīva 2018/850/ES paredz, ka dalībvalstīm līdz 2023. gada 31. decembrim jānodrošina BNA atdalīšana un pārstrāde rašanās vietā, vai dalīta savākšana, nodrošinot, ka BNA nav sajaukti ar citiem atkritumu veidiem, kam nav BNA līdzīgas bioloģiskās noārdīšanās un kompostēšanās īpašības, secināms, ka esošās kompostēšanas laukumu un  vietu jaudas, visticamāk būs nepietiekamas, lai tajās pārstrād</w:t>
      </w:r>
      <w:r w:rsidR="00C3306B" w:rsidRPr="00AA6E32">
        <w:rPr>
          <w:rFonts w:ascii="Times New Roman" w:hAnsi="Times New Roman" w:cs="Times New Roman"/>
        </w:rPr>
        <w:t>āt</w:t>
      </w:r>
      <w:r w:rsidR="008F140E" w:rsidRPr="00AA6E32">
        <w:rPr>
          <w:rFonts w:ascii="Times New Roman" w:hAnsi="Times New Roman" w:cs="Times New Roman"/>
        </w:rPr>
        <w:t>u arī notekūdeņu dūņas.</w:t>
      </w:r>
      <w:r w:rsidR="00937B53" w:rsidRPr="00AA6E32">
        <w:rPr>
          <w:rFonts w:ascii="Times New Roman" w:hAnsi="Times New Roman" w:cs="Times New Roman"/>
        </w:rPr>
        <w:t xml:space="preserve"> </w:t>
      </w:r>
      <w:r w:rsidR="00ED181F" w:rsidRPr="00AA6E32">
        <w:rPr>
          <w:rFonts w:ascii="Times New Roman" w:hAnsi="Times New Roman" w:cs="Times New Roman"/>
        </w:rPr>
        <w:t>Vienlaikus šīs alternatīvas gadījumā būtu nepieciešams pārvadāt arī lielajās pilsētās radītās notekūdeņu dūņas, kas veidotu būtisku transportēšanas izmaksu pieaugumu.</w:t>
      </w:r>
      <w:bookmarkStart w:id="6" w:name="_Toc82430145"/>
    </w:p>
    <w:p w14:paraId="66FBD543" w14:textId="77777777" w:rsidR="00023F3C" w:rsidRPr="00023F3C" w:rsidRDefault="00023F3C" w:rsidP="00023F3C">
      <w:pPr>
        <w:pBdr>
          <w:top w:val="nil"/>
          <w:left w:val="nil"/>
          <w:bottom w:val="nil"/>
          <w:right w:val="nil"/>
          <w:between w:val="nil"/>
        </w:pBdr>
        <w:spacing w:after="0"/>
        <w:ind w:firstLine="709"/>
        <w:rPr>
          <w:rFonts w:ascii="Times New Roman" w:hAnsi="Times New Roman" w:cs="Times New Roman"/>
        </w:rPr>
      </w:pPr>
    </w:p>
    <w:p w14:paraId="0F861A5C" w14:textId="5D3B9CCF" w:rsidR="00C3306B" w:rsidRPr="007E349D" w:rsidRDefault="00C3306B" w:rsidP="007E349D">
      <w:pPr>
        <w:pStyle w:val="Heading2"/>
        <w:spacing w:before="120"/>
        <w:jc w:val="center"/>
        <w:rPr>
          <w:rFonts w:ascii="Times New Roman" w:hAnsi="Times New Roman" w:cs="Times New Roman"/>
          <w:b/>
          <w:bCs/>
          <w:color w:val="auto"/>
          <w:sz w:val="24"/>
          <w:szCs w:val="24"/>
        </w:rPr>
      </w:pPr>
      <w:bookmarkStart w:id="7" w:name="_Toc107916297"/>
      <w:r w:rsidRPr="007E349D">
        <w:rPr>
          <w:rFonts w:ascii="Times New Roman" w:hAnsi="Times New Roman" w:cs="Times New Roman"/>
          <w:b/>
          <w:bCs/>
          <w:color w:val="auto"/>
          <w:sz w:val="24"/>
          <w:szCs w:val="24"/>
        </w:rPr>
        <w:lastRenderedPageBreak/>
        <w:t>A2. Alternatīva: Notekūdeņu dūņu apsaimniekošana lauksaimniecības organizāciju infrastruktūrā</w:t>
      </w:r>
      <w:bookmarkEnd w:id="6"/>
      <w:bookmarkEnd w:id="7"/>
    </w:p>
    <w:p w14:paraId="52FBA629" w14:textId="77777777" w:rsidR="007E349D" w:rsidRPr="006F4545" w:rsidRDefault="007E349D" w:rsidP="007E349D">
      <w:pPr>
        <w:rPr>
          <w:rFonts w:ascii="Times New Roman" w:hAnsi="Times New Roman" w:cs="Times New Roman"/>
        </w:rPr>
      </w:pPr>
    </w:p>
    <w:p w14:paraId="26ADE396" w14:textId="200CB1CD" w:rsidR="00C3306B" w:rsidRPr="00175DD0" w:rsidRDefault="00C3306B" w:rsidP="00D07E7A">
      <w:pPr>
        <w:tabs>
          <w:tab w:val="center" w:pos="0"/>
        </w:tabs>
        <w:spacing w:after="0"/>
        <w:rPr>
          <w:rFonts w:ascii="Bahnschrift Light Condensed" w:eastAsia="Calibri" w:hAnsi="Bahnschrift Light Condensed" w:cs="Times New Roman"/>
          <w:sz w:val="28"/>
          <w:lang w:eastAsia="lv-LV"/>
        </w:rPr>
      </w:pPr>
      <w:r w:rsidRPr="006F4545">
        <w:rPr>
          <w:rFonts w:ascii="Times New Roman" w:hAnsi="Times New Roman" w:cs="Times New Roman"/>
        </w:rPr>
        <w:tab/>
        <w:t xml:space="preserve">Novērtējot iespējas notekūdeņu dūņas apsaimniekot, izmantojot dažādu lauksaimnieku organizāciju īpašumā esošās biogāzes stacijas, secināts, ka jau šobrīd būtiska daļa Latvijas notekūdeņu dūņu tiek apstrādātas biogāzes stacijās (skat. </w:t>
      </w:r>
      <w:r w:rsidR="00011C1A">
        <w:rPr>
          <w:rFonts w:ascii="Times New Roman" w:hAnsi="Times New Roman" w:cs="Times New Roman"/>
        </w:rPr>
        <w:t xml:space="preserve">Stratēģijas </w:t>
      </w:r>
      <w:r w:rsidR="0093337A" w:rsidRPr="006F4545">
        <w:rPr>
          <w:rFonts w:ascii="Times New Roman" w:hAnsi="Times New Roman" w:cs="Times New Roman"/>
        </w:rPr>
        <w:t>1.pielikumu</w:t>
      </w:r>
      <w:r w:rsidRPr="006F4545">
        <w:rPr>
          <w:rFonts w:ascii="Times New Roman" w:hAnsi="Times New Roman" w:cs="Times New Roman"/>
        </w:rPr>
        <w:t xml:space="preserve"> “Esošā situācija notekūdeņu dūņu apsaimniekošanas jomā”), t.sk tajās, kas pieder lauksaimnieku organizācijām. Lauksaimnieku organizāciju biogāzes staciju tīkls nav izvietots vienmērīgi pa visu valsts teritoriju (</w:t>
      </w:r>
      <w:r w:rsidR="00D07E7A" w:rsidRPr="006F4545">
        <w:rPr>
          <w:rFonts w:ascii="Times New Roman" w:hAnsi="Times New Roman" w:cs="Times New Roman"/>
        </w:rPr>
        <w:t>stacijas</w:t>
      </w:r>
      <w:r w:rsidRPr="006F4545">
        <w:rPr>
          <w:rFonts w:ascii="Times New Roman" w:hAnsi="Times New Roman" w:cs="Times New Roman"/>
        </w:rPr>
        <w:t xml:space="preserve"> </w:t>
      </w:r>
      <w:r w:rsidR="00D07E7A" w:rsidRPr="006F4545">
        <w:rPr>
          <w:rFonts w:ascii="Times New Roman" w:hAnsi="Times New Roman" w:cs="Times New Roman"/>
        </w:rPr>
        <w:t xml:space="preserve">nav </w:t>
      </w:r>
      <w:r w:rsidRPr="006F4545">
        <w:rPr>
          <w:rFonts w:ascii="Times New Roman" w:hAnsi="Times New Roman" w:cs="Times New Roman"/>
        </w:rPr>
        <w:t>Kurzemes ziemeļ</w:t>
      </w:r>
      <w:r w:rsidR="00D07E7A" w:rsidRPr="006F4545">
        <w:rPr>
          <w:rFonts w:ascii="Times New Roman" w:hAnsi="Times New Roman" w:cs="Times New Roman"/>
        </w:rPr>
        <w:t>os</w:t>
      </w:r>
      <w:r w:rsidRPr="006F4545">
        <w:rPr>
          <w:rFonts w:ascii="Times New Roman" w:hAnsi="Times New Roman" w:cs="Times New Roman"/>
        </w:rPr>
        <w:t xml:space="preserve"> un centrālajā daļā), tomēr </w:t>
      </w:r>
      <w:sdt>
        <w:sdtPr>
          <w:rPr>
            <w:rFonts w:ascii="Times New Roman" w:hAnsi="Times New Roman" w:cs="Times New Roman"/>
          </w:rPr>
          <w:tag w:val="goog_rdk_25"/>
          <w:id w:val="-1338461166"/>
        </w:sdtPr>
        <w:sdtContent/>
      </w:sdt>
      <w:r w:rsidRPr="006F4545">
        <w:rPr>
          <w:rFonts w:ascii="Times New Roman" w:hAnsi="Times New Roman" w:cs="Times New Roman"/>
        </w:rPr>
        <w:t>kopumā tās atrodas visos Latvijas reģionos</w:t>
      </w:r>
      <w:r w:rsidR="007D45CE">
        <w:rPr>
          <w:rFonts w:ascii="Times New Roman" w:hAnsi="Times New Roman" w:cs="Times New Roman"/>
        </w:rPr>
        <w:t xml:space="preserve"> (skat. 1.1.2. attēlu)</w:t>
      </w:r>
      <w:r w:rsidRPr="006F4545">
        <w:rPr>
          <w:rFonts w:ascii="Times New Roman" w:hAnsi="Times New Roman" w:cs="Times New Roman"/>
        </w:rPr>
        <w:t>. Papildus būtiska lauksaimnieku organizāciju priekšrocība ir plaš</w:t>
      </w:r>
      <w:r w:rsidR="00D07E7A" w:rsidRPr="006F4545">
        <w:rPr>
          <w:rFonts w:ascii="Times New Roman" w:hAnsi="Times New Roman" w:cs="Times New Roman"/>
        </w:rPr>
        <w:t>u</w:t>
      </w:r>
      <w:r w:rsidRPr="006F4545">
        <w:rPr>
          <w:rFonts w:ascii="Times New Roman" w:hAnsi="Times New Roman" w:cs="Times New Roman"/>
        </w:rPr>
        <w:t xml:space="preserve"> lauksaimniecībā izmantojamo zemju </w:t>
      </w:r>
      <w:r w:rsidR="00D07E7A" w:rsidRPr="006F4545">
        <w:rPr>
          <w:rFonts w:ascii="Times New Roman" w:hAnsi="Times New Roman" w:cs="Times New Roman"/>
        </w:rPr>
        <w:t xml:space="preserve">pieejamība </w:t>
      </w:r>
      <w:r w:rsidRPr="006F4545">
        <w:rPr>
          <w:rFonts w:ascii="Times New Roman" w:hAnsi="Times New Roman" w:cs="Times New Roman"/>
        </w:rPr>
        <w:t xml:space="preserve">pārstrādāto </w:t>
      </w:r>
      <w:r w:rsidR="00D07E7A" w:rsidRPr="006F4545">
        <w:rPr>
          <w:rFonts w:ascii="Times New Roman" w:hAnsi="Times New Roman" w:cs="Times New Roman"/>
        </w:rPr>
        <w:t xml:space="preserve">notekūdeņu </w:t>
      </w:r>
      <w:r w:rsidRPr="006F4545">
        <w:rPr>
          <w:rFonts w:ascii="Times New Roman" w:hAnsi="Times New Roman" w:cs="Times New Roman"/>
        </w:rPr>
        <w:t>dūņu gala utilizācijai – iestrādei augsnē</w:t>
      </w:r>
      <w:r w:rsidR="00D07E7A" w:rsidRPr="006F4545">
        <w:rPr>
          <w:rFonts w:ascii="Times New Roman" w:hAnsi="Times New Roman" w:cs="Times New Roman"/>
        </w:rPr>
        <w:t xml:space="preserve">, kamēr </w:t>
      </w:r>
      <w:r w:rsidRPr="006F4545">
        <w:rPr>
          <w:rFonts w:ascii="Times New Roman" w:hAnsi="Times New Roman" w:cs="Times New Roman"/>
        </w:rPr>
        <w:t xml:space="preserve">SPS </w:t>
      </w:r>
      <w:r w:rsidR="00D07E7A" w:rsidRPr="006F4545">
        <w:rPr>
          <w:rFonts w:ascii="Times New Roman" w:hAnsi="Times New Roman" w:cs="Times New Roman"/>
        </w:rPr>
        <w:t xml:space="preserve">ietvaros </w:t>
      </w:r>
      <w:r w:rsidRPr="006F4545">
        <w:rPr>
          <w:rFonts w:ascii="Times New Roman" w:hAnsi="Times New Roman" w:cs="Times New Roman"/>
        </w:rPr>
        <w:t>pārstrādātu notekūdeņ</w:t>
      </w:r>
      <w:r w:rsidR="00D07E7A" w:rsidRPr="006F4545">
        <w:rPr>
          <w:rFonts w:ascii="Times New Roman" w:hAnsi="Times New Roman" w:cs="Times New Roman"/>
        </w:rPr>
        <w:t>u</w:t>
      </w:r>
      <w:r w:rsidRPr="006F4545">
        <w:rPr>
          <w:rFonts w:ascii="Times New Roman" w:hAnsi="Times New Roman" w:cs="Times New Roman"/>
        </w:rPr>
        <w:t xml:space="preserve"> dūņu gala utilizācijas vieta ir galvenais izaicinājums.</w:t>
      </w:r>
    </w:p>
    <w:p w14:paraId="7800B2C0" w14:textId="77777777" w:rsidR="00C3306B" w:rsidRPr="00175DD0" w:rsidRDefault="008E330A" w:rsidP="00D07E7A">
      <w:pPr>
        <w:spacing w:after="0"/>
        <w:jc w:val="center"/>
        <w:rPr>
          <w:rFonts w:ascii="Bahnschrift Light Condensed" w:eastAsia="Calibri" w:hAnsi="Bahnschrift Light Condensed" w:cs="Times New Roman"/>
          <w:sz w:val="28"/>
          <w:lang w:eastAsia="lv-LV"/>
        </w:rPr>
      </w:pPr>
      <w:r w:rsidRPr="00175DD0">
        <w:rPr>
          <w:noProof/>
          <w:lang w:eastAsia="lv-LV"/>
        </w:rPr>
        <w:drawing>
          <wp:inline distT="0" distB="0" distL="0" distR="0" wp14:anchorId="269BF5A8" wp14:editId="0BEBD25B">
            <wp:extent cx="4889291" cy="3312000"/>
            <wp:effectExtent l="0" t="0" r="698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6218" t="22014" r="16077" b="20536"/>
                    <a:stretch/>
                  </pic:blipFill>
                  <pic:spPr bwMode="auto">
                    <a:xfrm>
                      <a:off x="0" y="0"/>
                      <a:ext cx="4889291" cy="3312000"/>
                    </a:xfrm>
                    <a:prstGeom prst="rect">
                      <a:avLst/>
                    </a:prstGeom>
                    <a:ln>
                      <a:noFill/>
                    </a:ln>
                    <a:extLst>
                      <a:ext uri="{53640926-AAD7-44D8-BBD7-CCE9431645EC}">
                        <a14:shadowObscured xmlns:a14="http://schemas.microsoft.com/office/drawing/2010/main"/>
                      </a:ext>
                    </a:extLst>
                  </pic:spPr>
                </pic:pic>
              </a:graphicData>
            </a:graphic>
          </wp:inline>
        </w:drawing>
      </w:r>
    </w:p>
    <w:p w14:paraId="4DD677F8" w14:textId="7F27E3D2" w:rsidR="00C3306B" w:rsidRPr="005336A7" w:rsidRDefault="00F81EDB" w:rsidP="005336A7">
      <w:pPr>
        <w:spacing w:after="0"/>
        <w:jc w:val="center"/>
        <w:rPr>
          <w:rFonts w:ascii="Times New Roman" w:eastAsia="Calibri" w:hAnsi="Times New Roman" w:cs="Times New Roman"/>
          <w:iCs/>
          <w:szCs w:val="24"/>
          <w:lang w:eastAsia="lv-LV"/>
        </w:rPr>
      </w:pPr>
      <w:r>
        <w:rPr>
          <w:rFonts w:ascii="Times New Roman" w:hAnsi="Times New Roman" w:cs="Times New Roman"/>
          <w:b/>
          <w:bCs/>
          <w:iCs/>
          <w:szCs w:val="24"/>
        </w:rPr>
        <w:t>1.1.</w:t>
      </w:r>
      <w:r w:rsidR="00C3306B" w:rsidRPr="005336A7">
        <w:rPr>
          <w:rFonts w:ascii="Times New Roman" w:hAnsi="Times New Roman" w:cs="Times New Roman"/>
          <w:b/>
          <w:bCs/>
          <w:iCs/>
          <w:szCs w:val="24"/>
        </w:rPr>
        <w:t>2.attēls</w:t>
      </w:r>
      <w:r w:rsidR="006F4545" w:rsidRPr="005336A7">
        <w:rPr>
          <w:rFonts w:ascii="Times New Roman" w:hAnsi="Times New Roman" w:cs="Times New Roman"/>
          <w:b/>
          <w:bCs/>
          <w:iCs/>
          <w:szCs w:val="24"/>
        </w:rPr>
        <w:t>.</w:t>
      </w:r>
      <w:r w:rsidR="00C3306B" w:rsidRPr="005336A7">
        <w:rPr>
          <w:rFonts w:ascii="Times New Roman" w:hAnsi="Times New Roman" w:cs="Times New Roman"/>
          <w:b/>
          <w:bCs/>
          <w:iCs/>
          <w:szCs w:val="24"/>
        </w:rPr>
        <w:t xml:space="preserve"> </w:t>
      </w:r>
      <w:r w:rsidR="00C3306B" w:rsidRPr="005336A7">
        <w:rPr>
          <w:rFonts w:ascii="Times New Roman" w:hAnsi="Times New Roman" w:cs="Times New Roman"/>
          <w:iCs/>
          <w:szCs w:val="24"/>
        </w:rPr>
        <w:t>Biogāzes staciju izvietojums Latvijā</w:t>
      </w:r>
      <w:r w:rsidR="00C3306B" w:rsidRPr="005336A7">
        <w:rPr>
          <w:rStyle w:val="FootnoteReference"/>
          <w:rFonts w:ascii="Times New Roman" w:hAnsi="Times New Roman" w:cs="Times New Roman"/>
          <w:iCs/>
          <w:szCs w:val="24"/>
        </w:rPr>
        <w:footnoteReference w:id="5"/>
      </w:r>
    </w:p>
    <w:p w14:paraId="566264D8" w14:textId="11B5A4DC" w:rsidR="00361A97" w:rsidRDefault="00C3306B" w:rsidP="00596AB6">
      <w:pPr>
        <w:spacing w:before="120" w:after="120"/>
        <w:ind w:firstLine="720"/>
        <w:rPr>
          <w:rFonts w:ascii="Times New Roman" w:hAnsi="Times New Roman" w:cs="Times New Roman"/>
        </w:rPr>
      </w:pPr>
      <w:r w:rsidRPr="005336A7">
        <w:rPr>
          <w:rFonts w:ascii="Times New Roman" w:hAnsi="Times New Roman" w:cs="Times New Roman"/>
        </w:rPr>
        <w:t>Kopējās Latvijas biogāzes staciju uzstādītās elektroenerģijas jaudas ir aptuveni 56 MW</w:t>
      </w:r>
      <w:r w:rsidRPr="005336A7">
        <w:rPr>
          <w:rStyle w:val="FootnoteReference"/>
          <w:rFonts w:ascii="Times New Roman" w:hAnsi="Times New Roman" w:cs="Times New Roman"/>
        </w:rPr>
        <w:footnoteReference w:id="6"/>
      </w:r>
      <w:r w:rsidRPr="005336A7">
        <w:rPr>
          <w:rFonts w:ascii="Times New Roman" w:hAnsi="Times New Roman" w:cs="Times New Roman"/>
        </w:rPr>
        <w:t xml:space="preserve"> un tas vidēji 30 reizes pārsniedz Latvijas notekūdeņu dūņu apsaimniekošanai nepieciešamās jaudas (skat. alternatīvu C3). Tomēr nākotnē pastāv būtiski riski esošās biogāzes staciju infrastruktūras pastāvēšanai ilgtermiņā</w:t>
      </w:r>
      <w:r w:rsidRPr="005336A7">
        <w:rPr>
          <w:rStyle w:val="FootnoteReference"/>
          <w:rFonts w:ascii="Times New Roman" w:hAnsi="Times New Roman" w:cs="Times New Roman"/>
        </w:rPr>
        <w:footnoteReference w:id="7"/>
      </w:r>
      <w:r w:rsidRPr="005336A7">
        <w:rPr>
          <w:rFonts w:ascii="Times New Roman" w:hAnsi="Times New Roman" w:cs="Times New Roman"/>
        </w:rPr>
        <w:t xml:space="preserve">, kas saistīts ar valsts vēlmi mazināt OIK ietvaros iepirktās elektroenerģijas ietekmi uz elektroenerģijas patēriņa gala tarifu. Šīs politikas ietvaros ir plānots būtiski samazināt vai pārtraukt atbalstu par elektroenerģiju, kas iegūta biogāzes sadedzināšanas rezultātā, kā rezultātā šādu biogāzes staciju uzturēšana jau var kļūt </w:t>
      </w:r>
      <w:bookmarkStart w:id="8" w:name="_Hlk115441244"/>
      <w:r w:rsidRPr="005336A7">
        <w:rPr>
          <w:rFonts w:ascii="Times New Roman" w:hAnsi="Times New Roman" w:cs="Times New Roman"/>
        </w:rPr>
        <w:t xml:space="preserve">ekonomiski </w:t>
      </w:r>
      <w:r w:rsidRPr="005336A7">
        <w:rPr>
          <w:rFonts w:ascii="Times New Roman" w:hAnsi="Times New Roman" w:cs="Times New Roman"/>
        </w:rPr>
        <w:lastRenderedPageBreak/>
        <w:t xml:space="preserve">neizdevīga. Ja situācija attīstīsies atbilstoši šobrīd prognozētajam, </w:t>
      </w:r>
      <w:r w:rsidR="00182E45">
        <w:rPr>
          <w:rFonts w:ascii="Times New Roman" w:hAnsi="Times New Roman" w:cs="Times New Roman"/>
        </w:rPr>
        <w:t>pastāv risks</w:t>
      </w:r>
      <w:r w:rsidRPr="005336A7">
        <w:rPr>
          <w:rFonts w:ascii="Times New Roman" w:hAnsi="Times New Roman" w:cs="Times New Roman"/>
        </w:rPr>
        <w:t>, ka</w:t>
      </w:r>
      <w:bookmarkEnd w:id="8"/>
      <w:r w:rsidRPr="005336A7">
        <w:rPr>
          <w:rFonts w:ascii="Times New Roman" w:hAnsi="Times New Roman" w:cs="Times New Roman"/>
        </w:rPr>
        <w:t xml:space="preserve"> </w:t>
      </w:r>
      <w:r w:rsidR="005A3E72" w:rsidRPr="007E349D">
        <w:rPr>
          <w:rFonts w:ascii="Times New Roman" w:hAnsi="Times New Roman" w:cs="Times New Roman"/>
          <w:noProof/>
          <w:szCs w:val="24"/>
          <w:lang w:eastAsia="lv-LV"/>
        </w:rPr>
        <mc:AlternateContent>
          <mc:Choice Requires="wps">
            <w:drawing>
              <wp:anchor distT="45720" distB="45720" distL="114300" distR="114300" simplePos="0" relativeHeight="251658254" behindDoc="0" locked="0" layoutInCell="1" hidden="0" allowOverlap="1" wp14:anchorId="1D985E97" wp14:editId="2F9A2132">
                <wp:simplePos x="0" y="0"/>
                <wp:positionH relativeFrom="margin">
                  <wp:posOffset>193675</wp:posOffset>
                </wp:positionH>
                <wp:positionV relativeFrom="paragraph">
                  <wp:posOffset>635635</wp:posOffset>
                </wp:positionV>
                <wp:extent cx="5372735" cy="1809750"/>
                <wp:effectExtent l="19050" t="19050" r="18415" b="19050"/>
                <wp:wrapSquare wrapText="bothSides" distT="45720" distB="45720" distL="114300" distR="114300"/>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809750"/>
                        </a:xfrm>
                        <a:prstGeom prst="rect">
                          <a:avLst/>
                        </a:prstGeom>
                        <a:solidFill>
                          <a:srgbClr val="FFFFFF"/>
                        </a:solidFill>
                        <a:ln w="38100">
                          <a:solidFill>
                            <a:srgbClr val="FFC000"/>
                          </a:solidFill>
                          <a:miter lim="800000"/>
                          <a:headEnd/>
                          <a:tailEnd/>
                        </a:ln>
                      </wps:spPr>
                      <wps:txbx>
                        <w:txbxContent>
                          <w:p w14:paraId="04E4F5F8" w14:textId="77777777" w:rsidR="00596AB6" w:rsidRPr="00BA7AEF" w:rsidRDefault="00596AB6" w:rsidP="00596AB6">
                            <w:pPr>
                              <w:spacing w:after="0"/>
                              <w:rPr>
                                <w:rFonts w:ascii="Times New Roman" w:eastAsia="Calibri" w:hAnsi="Times New Roman" w:cs="Times New Roman"/>
                                <w:b/>
                                <w:iCs/>
                                <w:color w:val="1F4E79" w:themeColor="accent1" w:themeShade="80"/>
                                <w:sz w:val="28"/>
                                <w:lang w:eastAsia="lv-LV"/>
                              </w:rPr>
                            </w:pPr>
                            <w:r w:rsidRPr="00BA7AEF">
                              <w:rPr>
                                <w:rFonts w:ascii="Times New Roman" w:hAnsi="Times New Roman" w:cs="Times New Roman"/>
                                <w:b/>
                                <w:iCs/>
                                <w:color w:val="1F4E79" w:themeColor="accent1" w:themeShade="80"/>
                              </w:rPr>
                              <w:t>Nav iespējams paredzēt un nodrošināt šādas alternatīvas stabilu un nepārtrauktu darbību ilgtermiņā, kā arī salīdzinot ar esošo situāciju, būtiski pieaugs notekūdeņu dūņu transportēšanas izmaksas, jo esošās biogāzes stacijas neatrodas lielajās pilsētās, kur veidojas lielākā notekūdeņu dūņu masa. Uz šo alternatīvu nav iespējams balstīt Latvijas notekūdeņu dūņu apsaimniekošanas stratēģiju, vienlaikus neizslēdzot iespēju, ka pie citiem nosacījumiem un dažādos reģionos biogāzes stacijas var turpināt pieņemt pārstrādei notekūdeņu dūņas no atsevišķām NAI.</w:t>
                            </w:r>
                          </w:p>
                          <w:p w14:paraId="288746EF" w14:textId="34DC5CE8" w:rsidR="00596AB6" w:rsidRPr="007E349D" w:rsidRDefault="00596AB6" w:rsidP="00596AB6">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85E97" id="Text Box 42" o:spid="_x0000_s1028" type="#_x0000_t202" style="position:absolute;left:0;text-align:left;margin-left:15.25pt;margin-top:50.05pt;width:423.05pt;height:14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" strokecolor="#ffc000" strokeweight="3pt">
                <v:textbox>
                  <w:txbxContent>
                    <w:p w14:paraId="04E4F5F8" w14:textId="77777777" w:rsidR="00596AB6" w:rsidRPr="00BA7AEF" w:rsidRDefault="00596AB6" w:rsidP="00596AB6">
                      <w:pPr>
                        <w:spacing w:after="0"/>
                        <w:rPr>
                          <w:rFonts w:ascii="Times New Roman" w:eastAsia="Calibri" w:hAnsi="Times New Roman" w:cs="Times New Roman"/>
                          <w:b/>
                          <w:iCs/>
                          <w:color w:val="1F4E79" w:themeColor="accent1" w:themeShade="80"/>
                          <w:sz w:val="28"/>
                          <w:lang w:eastAsia="lv-LV"/>
                        </w:rPr>
                      </w:pPr>
                      <w:r w:rsidRPr="00BA7AEF">
                        <w:rPr>
                          <w:rFonts w:ascii="Times New Roman" w:hAnsi="Times New Roman" w:cs="Times New Roman"/>
                          <w:b/>
                          <w:iCs/>
                          <w:color w:val="1F4E79" w:themeColor="accent1" w:themeShade="80"/>
                        </w:rPr>
                        <w:t>Nav iespējams paredzēt un nodrošināt šādas alternatīvas stabilu un nepārtrauktu darbību ilgtermiņā, kā arī salīdzinot ar esošo situāciju, būtiski pieaugs notekūdeņu dūņu transportēšanas izmaksas, jo esošās biogāzes stacijas neatrodas lielajās pilsētās, kur veidojas lielākā notekūdeņu dūņu masa. Uz šo alternatīvu nav iespējams balstīt Latvijas notekūdeņu dūņu apsaimniekošanas stratēģiju, vienlaikus neizslēdzot iespēju, ka pie citiem nosacījumiem un dažādos reģionos biogāzes stacijas var turpināt pieņemt pārstrādei notekūdeņu dūņas no atsevišķām NAI.</w:t>
                      </w:r>
                    </w:p>
                    <w:p w14:paraId="288746EF" w14:textId="34DC5CE8" w:rsidR="00596AB6" w:rsidRPr="007E349D" w:rsidRDefault="00596AB6" w:rsidP="00596AB6">
                      <w:pPr>
                        <w:rPr>
                          <w:rFonts w:ascii="Times New Roman" w:hAnsi="Times New Roman" w:cs="Times New Roman"/>
                          <w:b/>
                          <w:bCs/>
                          <w:color w:val="44546A" w:themeColor="text2"/>
                        </w:rPr>
                      </w:pPr>
                    </w:p>
                  </w:txbxContent>
                </v:textbox>
                <w10:wrap type="square" anchorx="margin"/>
              </v:shape>
            </w:pict>
          </mc:Fallback>
        </mc:AlternateContent>
      </w:r>
      <w:bookmarkStart w:id="9" w:name="_Hlk115441254"/>
      <w:r w:rsidRPr="005336A7">
        <w:rPr>
          <w:rFonts w:ascii="Times New Roman" w:hAnsi="Times New Roman" w:cs="Times New Roman"/>
        </w:rPr>
        <w:t xml:space="preserve">daļa biogāzes staciju īpašnieku </w:t>
      </w:r>
      <w:r w:rsidR="00182E45">
        <w:rPr>
          <w:rFonts w:ascii="Times New Roman" w:hAnsi="Times New Roman" w:cs="Times New Roman"/>
        </w:rPr>
        <w:t>laika gaitā</w:t>
      </w:r>
      <w:r w:rsidRPr="005336A7">
        <w:rPr>
          <w:rFonts w:ascii="Times New Roman" w:hAnsi="Times New Roman" w:cs="Times New Roman"/>
        </w:rPr>
        <w:t xml:space="preserve"> </w:t>
      </w:r>
      <w:r w:rsidR="006906BD">
        <w:rPr>
          <w:rFonts w:ascii="Times New Roman" w:hAnsi="Times New Roman" w:cs="Times New Roman"/>
        </w:rPr>
        <w:t>var pārtraukt</w:t>
      </w:r>
      <w:r w:rsidRPr="005336A7">
        <w:rPr>
          <w:rFonts w:ascii="Times New Roman" w:hAnsi="Times New Roman" w:cs="Times New Roman"/>
        </w:rPr>
        <w:t xml:space="preserve"> staciju ekspluatāciju un uzturēšanu</w:t>
      </w:r>
      <w:bookmarkEnd w:id="9"/>
      <w:r w:rsidRPr="005336A7">
        <w:rPr>
          <w:rFonts w:ascii="Times New Roman" w:hAnsi="Times New Roman" w:cs="Times New Roman"/>
        </w:rPr>
        <w:t>.</w:t>
      </w:r>
    </w:p>
    <w:p w14:paraId="2A0B3A75" w14:textId="315410B3" w:rsidR="00596AB6" w:rsidRPr="00596AB6" w:rsidRDefault="00596AB6" w:rsidP="00596AB6">
      <w:pPr>
        <w:spacing w:after="0"/>
        <w:ind w:firstLine="720"/>
        <w:rPr>
          <w:rFonts w:ascii="Times New Roman" w:hAnsi="Times New Roman" w:cs="Times New Roman"/>
        </w:rPr>
      </w:pPr>
    </w:p>
    <w:p w14:paraId="17C385CB" w14:textId="2A34C6F7" w:rsidR="00C3306B" w:rsidRDefault="00C3306B" w:rsidP="00596AB6">
      <w:pPr>
        <w:pStyle w:val="Heading2"/>
        <w:spacing w:before="0"/>
        <w:jc w:val="center"/>
        <w:rPr>
          <w:rFonts w:ascii="Times New Roman" w:hAnsi="Times New Roman" w:cs="Times New Roman"/>
          <w:b/>
          <w:bCs/>
          <w:color w:val="auto"/>
          <w:sz w:val="24"/>
          <w:szCs w:val="24"/>
        </w:rPr>
      </w:pPr>
      <w:bookmarkStart w:id="10" w:name="_Toc82430146"/>
      <w:bookmarkStart w:id="11" w:name="_Toc107916298"/>
      <w:r w:rsidRPr="00596AB6">
        <w:rPr>
          <w:rFonts w:ascii="Times New Roman" w:hAnsi="Times New Roman" w:cs="Times New Roman"/>
          <w:b/>
          <w:bCs/>
          <w:color w:val="auto"/>
          <w:sz w:val="24"/>
          <w:szCs w:val="24"/>
        </w:rPr>
        <w:t>A3. Alternatīva: Notekūdeņu dūņu apsaimniekošanu veic jaunizveidots ārpakalpojuma sniedzējs</w:t>
      </w:r>
      <w:bookmarkEnd w:id="10"/>
      <w:bookmarkEnd w:id="11"/>
    </w:p>
    <w:p w14:paraId="1F504EAF" w14:textId="77777777" w:rsidR="00596AB6" w:rsidRPr="00596AB6" w:rsidRDefault="00596AB6" w:rsidP="00596AB6"/>
    <w:p w14:paraId="42F06F9F" w14:textId="4E9FB06B" w:rsidR="00C3306B" w:rsidRPr="00596AB6" w:rsidRDefault="00C3306B" w:rsidP="00596AB6">
      <w:pPr>
        <w:spacing w:after="0"/>
        <w:ind w:firstLine="720"/>
        <w:rPr>
          <w:rFonts w:ascii="Times New Roman" w:hAnsi="Times New Roman" w:cs="Times New Roman"/>
        </w:rPr>
      </w:pPr>
      <w:r w:rsidRPr="00596AB6">
        <w:rPr>
          <w:rFonts w:ascii="Times New Roman" w:hAnsi="Times New Roman" w:cs="Times New Roman"/>
        </w:rPr>
        <w:t xml:space="preserve">Alternatīvu salīdzināšanas ietvaros ir izvērtēta arī iespēja, ka notekūdeņu dūņu apsaimniekošanu Latvijā veic </w:t>
      </w:r>
      <w:sdt>
        <w:sdtPr>
          <w:rPr>
            <w:rFonts w:ascii="Times New Roman" w:hAnsi="Times New Roman" w:cs="Times New Roman"/>
          </w:rPr>
          <w:tag w:val="goog_rdk_29"/>
          <w:id w:val="-1959100606"/>
        </w:sdtPr>
        <w:sdtContent/>
      </w:sdt>
      <w:sdt>
        <w:sdtPr>
          <w:rPr>
            <w:rFonts w:ascii="Times New Roman" w:hAnsi="Times New Roman" w:cs="Times New Roman"/>
          </w:rPr>
          <w:tag w:val="goog_rdk_30"/>
          <w:id w:val="1915736402"/>
        </w:sdtPr>
        <w:sdtContent/>
      </w:sdt>
      <w:r w:rsidRPr="00596AB6">
        <w:rPr>
          <w:rFonts w:ascii="Times New Roman" w:hAnsi="Times New Roman" w:cs="Times New Roman"/>
        </w:rPr>
        <w:t xml:space="preserve">privāts investors, kas nodrošinātu </w:t>
      </w:r>
      <w:r w:rsidR="00ED181F" w:rsidRPr="00596AB6">
        <w:rPr>
          <w:rFonts w:ascii="Times New Roman" w:hAnsi="Times New Roman" w:cs="Times New Roman"/>
        </w:rPr>
        <w:t xml:space="preserve">notekūdeņu </w:t>
      </w:r>
      <w:r w:rsidRPr="00596AB6">
        <w:rPr>
          <w:rFonts w:ascii="Times New Roman" w:hAnsi="Times New Roman" w:cs="Times New Roman"/>
        </w:rPr>
        <w:t>dūņu pārstrādes un utilizācijas pakalpojumus visā Latvijā kā ārpakalpojumu.</w:t>
      </w:r>
    </w:p>
    <w:p w14:paraId="40B5F2B8" w14:textId="1353BAB5" w:rsidR="002805EA" w:rsidRPr="005A3E72" w:rsidRDefault="005A3E72" w:rsidP="005A3E72">
      <w:pPr>
        <w:spacing w:before="120" w:after="120"/>
        <w:ind w:firstLine="720"/>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55" behindDoc="0" locked="0" layoutInCell="1" hidden="0" allowOverlap="1" wp14:anchorId="3010F23A" wp14:editId="2CE74F27">
                <wp:simplePos x="0" y="0"/>
                <wp:positionH relativeFrom="margin">
                  <wp:align>center</wp:align>
                </wp:positionH>
                <wp:positionV relativeFrom="paragraph">
                  <wp:posOffset>1594856</wp:posOffset>
                </wp:positionV>
                <wp:extent cx="5372735" cy="1390650"/>
                <wp:effectExtent l="19050" t="19050" r="18415" b="19050"/>
                <wp:wrapSquare wrapText="bothSides" distT="45720" distB="45720" distL="114300" distR="114300"/>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390650"/>
                        </a:xfrm>
                        <a:prstGeom prst="rect">
                          <a:avLst/>
                        </a:prstGeom>
                        <a:solidFill>
                          <a:srgbClr val="FFFFFF"/>
                        </a:solidFill>
                        <a:ln w="38100">
                          <a:solidFill>
                            <a:srgbClr val="FFC000"/>
                          </a:solidFill>
                          <a:miter lim="800000"/>
                          <a:headEnd/>
                          <a:tailEnd/>
                        </a:ln>
                      </wps:spPr>
                      <wps:txbx>
                        <w:txbxContent>
                          <w:p w14:paraId="54451F49" w14:textId="77777777" w:rsidR="002805EA" w:rsidRPr="00BA7AEF" w:rsidRDefault="002805EA" w:rsidP="002805EA">
                            <w:pPr>
                              <w:rPr>
                                <w:rFonts w:ascii="Times New Roman" w:eastAsia="Calibri" w:hAnsi="Times New Roman" w:cs="Times New Roman"/>
                                <w:iCs/>
                                <w:color w:val="1F4E79" w:themeColor="accent1" w:themeShade="80"/>
                                <w:sz w:val="28"/>
                                <w:lang w:eastAsia="lv-LV"/>
                              </w:rPr>
                            </w:pPr>
                            <w:r w:rsidRPr="00BA7AEF">
                              <w:rPr>
                                <w:rFonts w:ascii="Times New Roman" w:hAnsi="Times New Roman" w:cs="Times New Roman"/>
                                <w:b/>
                                <w:iCs/>
                                <w:color w:val="1F4E79" w:themeColor="accent1" w:themeShade="80"/>
                              </w:rPr>
                              <w:t>Stratēģijas izstrādes laikā netika konstatēts tāds notekūdeņu dūņu pārstrādes un utilizācijas veids, kas būtu īstenojams uz komercdarbības un konkurētspējīgas uzņēmējdarbības principiem. Tāpēc ir paredzams, ka šāda privāta notekūdeņu dūņu apsaimniekotāja izveide nav iespējama un ņemot vērā augstāk minētos apstākļus, šī alternatīva nav izmantojama kā Latvijas notekūdeņu dūņu apsaimniekošanas stratēģiskais attīstības virziens</w:t>
                            </w:r>
                            <w:r w:rsidRPr="00BA7AEF">
                              <w:rPr>
                                <w:rFonts w:ascii="Times New Roman" w:hAnsi="Times New Roman" w:cs="Times New Roman"/>
                                <w:iCs/>
                                <w:color w:val="1F4E79" w:themeColor="accent1" w:themeShade="80"/>
                              </w:rPr>
                              <w:t>.</w:t>
                            </w:r>
                          </w:p>
                          <w:p w14:paraId="28DC2F53" w14:textId="77777777" w:rsidR="002805EA" w:rsidRPr="007E349D" w:rsidRDefault="002805EA" w:rsidP="002805EA">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0F23A" id="Text Box 47" o:spid="_x0000_s1029" type="#_x0000_t202" style="position:absolute;left:0;text-align:left;margin-left:0;margin-top:125.6pt;width:423.05pt;height:109.5pt;z-index:25165825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" strokecolor="#ffc000" strokeweight="3pt">
                <v:textbox>
                  <w:txbxContent>
                    <w:p w14:paraId="54451F49" w14:textId="77777777" w:rsidR="002805EA" w:rsidRPr="00BA7AEF" w:rsidRDefault="002805EA" w:rsidP="002805EA">
                      <w:pPr>
                        <w:rPr>
                          <w:rFonts w:ascii="Times New Roman" w:eastAsia="Calibri" w:hAnsi="Times New Roman" w:cs="Times New Roman"/>
                          <w:iCs/>
                          <w:color w:val="1F4E79" w:themeColor="accent1" w:themeShade="80"/>
                          <w:sz w:val="28"/>
                          <w:lang w:eastAsia="lv-LV"/>
                        </w:rPr>
                      </w:pPr>
                      <w:r w:rsidRPr="00BA7AEF">
                        <w:rPr>
                          <w:rFonts w:ascii="Times New Roman" w:hAnsi="Times New Roman" w:cs="Times New Roman"/>
                          <w:b/>
                          <w:iCs/>
                          <w:color w:val="1F4E79" w:themeColor="accent1" w:themeShade="80"/>
                        </w:rPr>
                        <w:t>Stratēģijas izstrādes laikā netika konstatēts tāds notekūdeņu dūņu pārstrādes un utilizācijas veids, kas būtu īstenojams uz komercdarbības un konkurētspējīgas uzņēmējdarbības principiem. Tāpēc ir paredzams, ka šāda privāta notekūdeņu dūņu apsaimniekotāja izveide nav iespējama un ņemot vērā augstāk minētos apstākļus, šī alternatīva nav izmantojama kā Latvijas notekūdeņu dūņu apsaimniekošanas stratēģiskais attīstības virziens</w:t>
                      </w:r>
                      <w:r w:rsidRPr="00BA7AEF">
                        <w:rPr>
                          <w:rFonts w:ascii="Times New Roman" w:hAnsi="Times New Roman" w:cs="Times New Roman"/>
                          <w:iCs/>
                          <w:color w:val="1F4E79" w:themeColor="accent1" w:themeShade="80"/>
                        </w:rPr>
                        <w:t>.</w:t>
                      </w:r>
                    </w:p>
                    <w:p w14:paraId="28DC2F53" w14:textId="77777777" w:rsidR="002805EA" w:rsidRPr="007E349D" w:rsidRDefault="002805EA" w:rsidP="002805EA">
                      <w:pPr>
                        <w:rPr>
                          <w:rFonts w:ascii="Times New Roman" w:hAnsi="Times New Roman" w:cs="Times New Roman"/>
                          <w:b/>
                          <w:bCs/>
                          <w:color w:val="44546A" w:themeColor="text2"/>
                        </w:rPr>
                      </w:pPr>
                    </w:p>
                  </w:txbxContent>
                </v:textbox>
                <w10:wrap type="square" anchorx="margin"/>
              </v:shape>
            </w:pict>
          </mc:Fallback>
        </mc:AlternateContent>
      </w:r>
      <w:r w:rsidR="00C3306B" w:rsidRPr="00596AB6">
        <w:rPr>
          <w:rFonts w:ascii="Times New Roman" w:hAnsi="Times New Roman" w:cs="Times New Roman"/>
        </w:rPr>
        <w:t xml:space="preserve">Apskatītā alternatīva, </w:t>
      </w:r>
      <w:r w:rsidR="00ED181F" w:rsidRPr="00596AB6">
        <w:rPr>
          <w:rFonts w:ascii="Times New Roman" w:hAnsi="Times New Roman" w:cs="Times New Roman"/>
        </w:rPr>
        <w:t>kurā</w:t>
      </w:r>
      <w:r w:rsidR="00C3306B" w:rsidRPr="00596AB6">
        <w:rPr>
          <w:rFonts w:ascii="Times New Roman" w:hAnsi="Times New Roman" w:cs="Times New Roman"/>
        </w:rPr>
        <w:t xml:space="preserve"> notekūdeņu dūņu apsaimniekošanu par konkurētspējīgām cenām var piedāvāt privāts investors, ir iespējama tikai pie nosacījuma, ka</w:t>
      </w:r>
      <w:r w:rsidR="00ED181F" w:rsidRPr="00596AB6">
        <w:rPr>
          <w:rFonts w:ascii="Times New Roman" w:hAnsi="Times New Roman" w:cs="Times New Roman"/>
        </w:rPr>
        <w:t xml:space="preserve"> notekūdeņu </w:t>
      </w:r>
      <w:r w:rsidR="00C3306B" w:rsidRPr="00596AB6">
        <w:rPr>
          <w:rFonts w:ascii="Times New Roman" w:hAnsi="Times New Roman" w:cs="Times New Roman"/>
        </w:rPr>
        <w:t xml:space="preserve">dūņu apsaimniekošanas uzņēmumam ir pašam pieejama pilnvērtīga apsaimniekošanas </w:t>
      </w:r>
      <w:r w:rsidR="00ED181F" w:rsidRPr="00596AB6">
        <w:rPr>
          <w:rFonts w:ascii="Times New Roman" w:hAnsi="Times New Roman" w:cs="Times New Roman"/>
        </w:rPr>
        <w:t>infrastruktūra</w:t>
      </w:r>
      <w:r w:rsidR="00C3306B" w:rsidRPr="00596AB6">
        <w:rPr>
          <w:rFonts w:ascii="Times New Roman" w:hAnsi="Times New Roman" w:cs="Times New Roman"/>
        </w:rPr>
        <w:t xml:space="preserve"> un tam ir zināmas </w:t>
      </w:r>
      <w:r w:rsidR="00ED181F" w:rsidRPr="00596AB6">
        <w:rPr>
          <w:rFonts w:ascii="Times New Roman" w:hAnsi="Times New Roman" w:cs="Times New Roman"/>
        </w:rPr>
        <w:t xml:space="preserve">visas notekūdeņu </w:t>
      </w:r>
      <w:r w:rsidR="00C3306B" w:rsidRPr="00596AB6">
        <w:rPr>
          <w:rFonts w:ascii="Times New Roman" w:hAnsi="Times New Roman" w:cs="Times New Roman"/>
        </w:rPr>
        <w:t xml:space="preserve">dūņu apsaimniekošanas izmaksas. Ja </w:t>
      </w:r>
      <w:r w:rsidR="00ED181F" w:rsidRPr="00596AB6">
        <w:rPr>
          <w:rFonts w:ascii="Times New Roman" w:hAnsi="Times New Roman" w:cs="Times New Roman"/>
        </w:rPr>
        <w:t xml:space="preserve">rodas </w:t>
      </w:r>
      <w:r w:rsidR="00C3306B" w:rsidRPr="00596AB6">
        <w:rPr>
          <w:rFonts w:ascii="Times New Roman" w:hAnsi="Times New Roman" w:cs="Times New Roman"/>
        </w:rPr>
        <w:t>privāt</w:t>
      </w:r>
      <w:r w:rsidR="00ED181F" w:rsidRPr="00596AB6">
        <w:rPr>
          <w:rFonts w:ascii="Times New Roman" w:hAnsi="Times New Roman" w:cs="Times New Roman"/>
        </w:rPr>
        <w:t>s</w:t>
      </w:r>
      <w:r w:rsidR="00C3306B" w:rsidRPr="00596AB6">
        <w:rPr>
          <w:rFonts w:ascii="Times New Roman" w:hAnsi="Times New Roman" w:cs="Times New Roman"/>
        </w:rPr>
        <w:t xml:space="preserve"> investors, kas var nodrošināt notekūdeņu dūņu pārstrādi un utilizāciju par konkurētspējīgām cenām, tad SPS būtu jānodod notekūdeņu dūņu apsaimniekošana šāda</w:t>
      </w:r>
      <w:r w:rsidR="00ED181F" w:rsidRPr="00596AB6">
        <w:rPr>
          <w:rFonts w:ascii="Times New Roman" w:hAnsi="Times New Roman" w:cs="Times New Roman"/>
        </w:rPr>
        <w:t>m uzņēmuma</w:t>
      </w:r>
      <w:r w:rsidR="00C3306B" w:rsidRPr="00596AB6">
        <w:rPr>
          <w:rFonts w:ascii="Times New Roman" w:hAnsi="Times New Roman" w:cs="Times New Roman"/>
        </w:rPr>
        <w:t xml:space="preserve">, taču uz šīs </w:t>
      </w:r>
      <w:r w:rsidR="00ED181F" w:rsidRPr="00596AB6">
        <w:rPr>
          <w:rFonts w:ascii="Times New Roman" w:hAnsi="Times New Roman" w:cs="Times New Roman"/>
        </w:rPr>
        <w:t>S</w:t>
      </w:r>
      <w:r w:rsidR="00C3306B" w:rsidRPr="00596AB6">
        <w:rPr>
          <w:rFonts w:ascii="Times New Roman" w:hAnsi="Times New Roman" w:cs="Times New Roman"/>
        </w:rPr>
        <w:t>tratēģijas izstrādes laiku šāds investors nav identificējams.</w:t>
      </w:r>
    </w:p>
    <w:p w14:paraId="4A602148" w14:textId="5A386635" w:rsidR="00FA39BF" w:rsidRPr="002805EA" w:rsidRDefault="00FA39BF" w:rsidP="00ED181F">
      <w:pPr>
        <w:tabs>
          <w:tab w:val="left" w:pos="6630"/>
        </w:tabs>
        <w:spacing w:before="240"/>
        <w:jc w:val="center"/>
        <w:rPr>
          <w:rFonts w:ascii="Times New Roman" w:hAnsi="Times New Roman" w:cs="Times New Roman"/>
          <w:b/>
          <w:bCs/>
          <w:szCs w:val="24"/>
          <w:u w:val="single"/>
        </w:rPr>
      </w:pPr>
      <w:r w:rsidRPr="002805EA">
        <w:rPr>
          <w:rFonts w:ascii="Times New Roman" w:hAnsi="Times New Roman" w:cs="Times New Roman"/>
          <w:b/>
          <w:bCs/>
          <w:szCs w:val="24"/>
          <w:u w:val="single"/>
        </w:rPr>
        <w:t>Secinājumi par notekūdeņu dūņu apsaimniekošanu ārpakalpojumā</w:t>
      </w:r>
    </w:p>
    <w:p w14:paraId="64E99E85" w14:textId="2FCD1EA6" w:rsidR="00FA39BF" w:rsidRPr="002805EA" w:rsidRDefault="00FA39BF" w:rsidP="00FA39BF">
      <w:pPr>
        <w:spacing w:before="120" w:after="120"/>
        <w:ind w:firstLine="720"/>
        <w:rPr>
          <w:rFonts w:ascii="Times New Roman" w:hAnsi="Times New Roman" w:cs="Times New Roman"/>
          <w:szCs w:val="24"/>
        </w:rPr>
      </w:pPr>
      <w:r w:rsidRPr="002805EA">
        <w:rPr>
          <w:rFonts w:ascii="Times New Roman" w:hAnsi="Times New Roman" w:cs="Times New Roman"/>
          <w:szCs w:val="24"/>
        </w:rPr>
        <w:t xml:space="preserve">Visiem notekūdeņu dūņu pārstrādes un utilizācijas ārpakalpojumu risinājumiem ir atšķirīgi, bet vienlaikus būtiski ierobežojumi. Notekūdeņu dūņu apsaimniekošanā izmantot lauksaimnieku organizāciju biogāzes staciju tīklu ir ļoti laba iespēja, ja tiek rasts risinājums, kurā esošais biogāzes staciju tīkls spēj pastāvēt ilgtermiņā arī bez OIK maksājumu atbalsta. </w:t>
      </w:r>
      <w:r w:rsidRPr="002805EA">
        <w:rPr>
          <w:rFonts w:ascii="Times New Roman" w:hAnsi="Times New Roman" w:cs="Times New Roman"/>
          <w:b/>
          <w:color w:val="1F4E79" w:themeColor="accent1" w:themeShade="80"/>
          <w:szCs w:val="24"/>
        </w:rPr>
        <w:t>Šobrīd ir neiespējami prognozēt lauksaimnieku organizāciju biogāzes staciju darbībā gaidāmās izmaiņas un izmaiņu rezultātus, līdz ar to Latvijas notekūdeņu dūņu apsaimniekošanas stratēģija nav veidojama balstoties tikai uz lauksaimnieku organizāciju biogāzes staciju tīklu.</w:t>
      </w:r>
      <w:r w:rsidRPr="002805EA">
        <w:rPr>
          <w:rFonts w:ascii="Times New Roman" w:hAnsi="Times New Roman" w:cs="Times New Roman"/>
          <w:szCs w:val="24"/>
        </w:rPr>
        <w:t xml:space="preserve"> Tomēr tas ir izmantojams, kā laba alternatīva</w:t>
      </w:r>
      <w:r w:rsidR="00ED181F" w:rsidRPr="002805EA">
        <w:rPr>
          <w:rFonts w:ascii="Times New Roman" w:hAnsi="Times New Roman" w:cs="Times New Roman"/>
          <w:szCs w:val="24"/>
        </w:rPr>
        <w:t xml:space="preserve">, īpaši </w:t>
      </w:r>
      <w:r w:rsidR="00ED181F" w:rsidRPr="002805EA">
        <w:rPr>
          <w:rFonts w:ascii="Times New Roman" w:hAnsi="Times New Roman" w:cs="Times New Roman"/>
          <w:szCs w:val="24"/>
        </w:rPr>
        <w:lastRenderedPageBreak/>
        <w:t xml:space="preserve">lokālos </w:t>
      </w:r>
      <w:r w:rsidR="00E7547A" w:rsidRPr="002805EA">
        <w:rPr>
          <w:rFonts w:ascii="Times New Roman" w:hAnsi="Times New Roman" w:cs="Times New Roman"/>
          <w:szCs w:val="24"/>
        </w:rPr>
        <w:t>gadījumos</w:t>
      </w:r>
      <w:r w:rsidRPr="002805EA">
        <w:rPr>
          <w:rFonts w:ascii="Times New Roman" w:hAnsi="Times New Roman" w:cs="Times New Roman"/>
          <w:szCs w:val="24"/>
        </w:rPr>
        <w:t>, kas veicina konkurenci starp dažādiem notekūdeņu apsaimniekošanas risinājumiem.</w:t>
      </w:r>
    </w:p>
    <w:p w14:paraId="71734C93" w14:textId="4CF15516" w:rsidR="00FA39BF" w:rsidRPr="002805EA" w:rsidRDefault="00FA39BF" w:rsidP="00FA39BF">
      <w:pPr>
        <w:spacing w:before="120" w:after="120"/>
        <w:ind w:firstLine="720"/>
        <w:rPr>
          <w:rFonts w:ascii="Times New Roman" w:hAnsi="Times New Roman" w:cs="Times New Roman"/>
          <w:szCs w:val="24"/>
        </w:rPr>
      </w:pPr>
      <w:r w:rsidRPr="002805EA">
        <w:rPr>
          <w:rFonts w:ascii="Times New Roman" w:hAnsi="Times New Roman" w:cs="Times New Roman"/>
          <w:szCs w:val="24"/>
        </w:rPr>
        <w:t xml:space="preserve">Arī atkritumu organizāciju un pašvaldību izveidotie BNA kompostēšanas laukumi pilnībā neatbilst notekūdeņu dūņu apsaimniekošanas vajadzībām. </w:t>
      </w:r>
      <w:r w:rsidRPr="002805EA">
        <w:rPr>
          <w:rFonts w:ascii="Times New Roman" w:hAnsi="Times New Roman" w:cs="Times New Roman"/>
          <w:b/>
          <w:color w:val="1F4E79" w:themeColor="accent1" w:themeShade="80"/>
          <w:szCs w:val="24"/>
        </w:rPr>
        <w:t>Ir nepieciešams laiks un lieli finanšu ieguldījumi, lai esošo BNA kompostēšanas laukumu tīklu piemērotu notekūdeņu dūņu apsaimniekošanas vajadzībām. Pat ja to izdotos paveikt, pastāvētu citi būtiski riski, lai Latvijas notekūdeņu dūņu apsaimniekošanas sistēmu varētu balstītu uz citām juridiskām personām (ne SPS) piederošu kompostēšanas laukumu tīklu.</w:t>
      </w:r>
      <w:r w:rsidRPr="002805EA">
        <w:rPr>
          <w:rFonts w:ascii="Times New Roman" w:hAnsi="Times New Roman" w:cs="Times New Roman"/>
          <w:szCs w:val="24"/>
        </w:rPr>
        <w:t xml:space="preserve"> Dažādo valstī esoši BNA kompostēšanas laukumu piedāvātie pakalpojumi ir izmantojami kā laba </w:t>
      </w:r>
      <w:r w:rsidR="00ED181F" w:rsidRPr="002805EA">
        <w:rPr>
          <w:rFonts w:ascii="Times New Roman" w:hAnsi="Times New Roman" w:cs="Times New Roman"/>
          <w:szCs w:val="24"/>
        </w:rPr>
        <w:t xml:space="preserve">lokālā </w:t>
      </w:r>
      <w:r w:rsidRPr="002805EA">
        <w:rPr>
          <w:rFonts w:ascii="Times New Roman" w:hAnsi="Times New Roman" w:cs="Times New Roman"/>
          <w:szCs w:val="24"/>
        </w:rPr>
        <w:t>alternatīva, kas veicina konkurenci starp dažādiem dūņu apsaimniekošanas risinājumiem.</w:t>
      </w:r>
      <w:r w:rsidR="00ED181F" w:rsidRPr="002805EA">
        <w:rPr>
          <w:rFonts w:ascii="Times New Roman" w:hAnsi="Times New Roman" w:cs="Times New Roman"/>
          <w:szCs w:val="24"/>
        </w:rPr>
        <w:t xml:space="preserve"> Vienlaikus jāņem vērā, ka esošie BNA kompostēšanas tehnoloģiskie risinājumi nav paredzēti tādas bioloģiski noārdāmās masas kā notekūdeņu dūņas, kurās 80% masas veido ūdens, pārstrādei.</w:t>
      </w:r>
    </w:p>
    <w:p w14:paraId="6F4D91B2" w14:textId="457C6B99" w:rsidR="00FA39BF" w:rsidRPr="002805EA" w:rsidRDefault="00FA39BF" w:rsidP="00FA39BF">
      <w:pPr>
        <w:spacing w:before="120" w:after="120"/>
        <w:ind w:firstLine="720"/>
        <w:rPr>
          <w:rFonts w:ascii="Times New Roman" w:hAnsi="Times New Roman" w:cs="Times New Roman"/>
          <w:szCs w:val="24"/>
        </w:rPr>
      </w:pPr>
      <w:r w:rsidRPr="002805EA">
        <w:rPr>
          <w:rFonts w:ascii="Times New Roman" w:hAnsi="Times New Roman" w:cs="Times New Roman"/>
          <w:szCs w:val="24"/>
        </w:rPr>
        <w:t xml:space="preserve">Privātā kapitāla </w:t>
      </w:r>
      <w:r w:rsidR="00ED181F" w:rsidRPr="002805EA">
        <w:rPr>
          <w:rFonts w:ascii="Times New Roman" w:hAnsi="Times New Roman" w:cs="Times New Roman"/>
        </w:rPr>
        <w:t xml:space="preserve">notekūdeņu </w:t>
      </w:r>
      <w:r w:rsidRPr="002805EA">
        <w:rPr>
          <w:rFonts w:ascii="Times New Roman" w:hAnsi="Times New Roman" w:cs="Times New Roman"/>
          <w:szCs w:val="24"/>
        </w:rPr>
        <w:t>dūņu pārstrādes centru risinājums faktiski nav iespējams, jo nav prognozējams laiks, kad varētu rasties atbilstošs privātais investoru, turklāt pastāv augsts risks, ka risinājuma izmaksas būs būtiski augstākas</w:t>
      </w:r>
      <w:r w:rsidR="00ED181F" w:rsidRPr="002805EA">
        <w:rPr>
          <w:rFonts w:ascii="Times New Roman" w:hAnsi="Times New Roman" w:cs="Times New Roman"/>
          <w:szCs w:val="24"/>
        </w:rPr>
        <w:t>,</w:t>
      </w:r>
      <w:r w:rsidRPr="002805EA">
        <w:rPr>
          <w:rFonts w:ascii="Times New Roman" w:hAnsi="Times New Roman" w:cs="Times New Roman"/>
          <w:szCs w:val="24"/>
        </w:rPr>
        <w:t xml:space="preserve"> salīdzinot ar citiem ārpakalpojumu alternatīviem risinājumiem. </w:t>
      </w:r>
      <w:r w:rsidRPr="002805EA">
        <w:rPr>
          <w:rFonts w:ascii="Times New Roman" w:hAnsi="Times New Roman" w:cs="Times New Roman"/>
          <w:b/>
          <w:color w:val="1F4E79" w:themeColor="accent1" w:themeShade="80"/>
          <w:szCs w:val="24"/>
        </w:rPr>
        <w:t xml:space="preserve">Privāta kapitāla </w:t>
      </w:r>
      <w:r w:rsidR="00ED181F" w:rsidRPr="002805EA">
        <w:rPr>
          <w:rFonts w:ascii="Times New Roman" w:hAnsi="Times New Roman" w:cs="Times New Roman"/>
          <w:b/>
          <w:color w:val="1F4E79" w:themeColor="accent1" w:themeShade="80"/>
          <w:szCs w:val="24"/>
        </w:rPr>
        <w:t xml:space="preserve">notekūdeņu </w:t>
      </w:r>
      <w:r w:rsidRPr="002805EA">
        <w:rPr>
          <w:rFonts w:ascii="Times New Roman" w:hAnsi="Times New Roman" w:cs="Times New Roman"/>
          <w:b/>
          <w:color w:val="1F4E79" w:themeColor="accent1" w:themeShade="80"/>
          <w:szCs w:val="24"/>
        </w:rPr>
        <w:t xml:space="preserve">dūņu pārstrādes centru risinājums bez valsts atbalsta un iejaukšanās šajā brīdī nav iespējams, kā rezultātā </w:t>
      </w:r>
      <w:r w:rsidR="00ED181F" w:rsidRPr="002805EA">
        <w:rPr>
          <w:rFonts w:ascii="Times New Roman" w:hAnsi="Times New Roman" w:cs="Times New Roman"/>
          <w:b/>
          <w:color w:val="1F4E79" w:themeColor="accent1" w:themeShade="80"/>
          <w:szCs w:val="24"/>
        </w:rPr>
        <w:t>tas nav</w:t>
      </w:r>
      <w:r w:rsidRPr="002805EA">
        <w:rPr>
          <w:rFonts w:ascii="Times New Roman" w:hAnsi="Times New Roman" w:cs="Times New Roman"/>
          <w:b/>
          <w:color w:val="1F4E79" w:themeColor="accent1" w:themeShade="80"/>
          <w:szCs w:val="24"/>
        </w:rPr>
        <w:t xml:space="preserve"> piemērots Latvijas apstākļiem.</w:t>
      </w:r>
      <w:r w:rsidRPr="002805EA">
        <w:rPr>
          <w:rFonts w:ascii="Times New Roman" w:hAnsi="Times New Roman" w:cs="Times New Roman"/>
          <w:szCs w:val="24"/>
        </w:rPr>
        <w:t xml:space="preserve"> </w:t>
      </w:r>
    </w:p>
    <w:p w14:paraId="634E641B" w14:textId="090B6169" w:rsidR="002805EA" w:rsidRDefault="00FA39BF" w:rsidP="002805EA">
      <w:pPr>
        <w:tabs>
          <w:tab w:val="left" w:pos="0"/>
        </w:tabs>
        <w:spacing w:before="120" w:after="120"/>
        <w:rPr>
          <w:rFonts w:ascii="Times New Roman" w:eastAsia="Calibri" w:hAnsi="Times New Roman" w:cs="Times New Roman"/>
          <w:sz w:val="28"/>
          <w:lang w:eastAsia="lv-LV"/>
        </w:rPr>
      </w:pPr>
      <w:r w:rsidRPr="002805EA">
        <w:rPr>
          <w:rFonts w:ascii="Times New Roman" w:hAnsi="Times New Roman" w:cs="Times New Roman"/>
          <w:szCs w:val="24"/>
        </w:rPr>
        <w:tab/>
        <w:t xml:space="preserve">Kopumā, veicot minēto alternatīvo ārpakalpojumu alternatīvu salīdzināšanu secināts, ka </w:t>
      </w:r>
      <w:r w:rsidRPr="002805EA">
        <w:rPr>
          <w:rFonts w:ascii="Times New Roman" w:hAnsi="Times New Roman" w:cs="Times New Roman"/>
          <w:b/>
          <w:color w:val="1F4E79" w:themeColor="accent1" w:themeShade="80"/>
          <w:szCs w:val="24"/>
        </w:rPr>
        <w:t>Latvijas notekūdeņu dūņu apsaimniekošanas stratēģiju nav iespējams veidot balstot</w:t>
      </w:r>
      <w:r w:rsidR="00ED181F" w:rsidRPr="002805EA">
        <w:rPr>
          <w:rFonts w:ascii="Times New Roman" w:hAnsi="Times New Roman" w:cs="Times New Roman"/>
          <w:b/>
          <w:color w:val="1F4E79" w:themeColor="accent1" w:themeShade="80"/>
          <w:szCs w:val="24"/>
        </w:rPr>
        <w:t>ies</w:t>
      </w:r>
      <w:r w:rsidRPr="002805EA">
        <w:rPr>
          <w:rFonts w:ascii="Times New Roman" w:hAnsi="Times New Roman" w:cs="Times New Roman"/>
          <w:b/>
          <w:color w:val="1F4E79" w:themeColor="accent1" w:themeShade="80"/>
          <w:szCs w:val="24"/>
        </w:rPr>
        <w:t xml:space="preserve"> uz ārpakalpojumu sniedzēju piedāvātiem risinājumie</w:t>
      </w:r>
      <w:r w:rsidR="006E5E65">
        <w:rPr>
          <w:rFonts w:ascii="Times New Roman" w:hAnsi="Times New Roman" w:cs="Times New Roman"/>
          <w:b/>
          <w:color w:val="1F4E79" w:themeColor="accent1" w:themeShade="80"/>
          <w:szCs w:val="24"/>
        </w:rPr>
        <w:t>m</w:t>
      </w:r>
      <w:r w:rsidR="00ED181F" w:rsidRPr="002805EA">
        <w:rPr>
          <w:rFonts w:ascii="Times New Roman" w:hAnsi="Times New Roman" w:cs="Times New Roman"/>
          <w:b/>
          <w:color w:val="1F4E79" w:themeColor="accent1" w:themeShade="80"/>
          <w:szCs w:val="24"/>
        </w:rPr>
        <w:t xml:space="preserve">, </w:t>
      </w:r>
      <w:r w:rsidR="00ED181F" w:rsidRPr="006E5E65">
        <w:rPr>
          <w:rFonts w:ascii="Times New Roman" w:hAnsi="Times New Roman" w:cs="Times New Roman"/>
          <w:bCs/>
          <w:szCs w:val="24"/>
        </w:rPr>
        <w:t>l</w:t>
      </w:r>
      <w:r w:rsidRPr="006E5E65">
        <w:rPr>
          <w:rFonts w:ascii="Times New Roman" w:hAnsi="Times New Roman" w:cs="Times New Roman"/>
          <w:bCs/>
          <w:szCs w:val="24"/>
        </w:rPr>
        <w:t>īd</w:t>
      </w:r>
      <w:r w:rsidRPr="002805EA">
        <w:rPr>
          <w:rFonts w:ascii="Times New Roman" w:hAnsi="Times New Roman" w:cs="Times New Roman"/>
          <w:szCs w:val="24"/>
        </w:rPr>
        <w:t>z ar to ir nepieciešams izskatīt notekūdeņu dūņu apsaimniekošanas stratēģijas alternatīvu, kurā paši SPS veic notekūdeņu dūņu apsaimniekošanu sniegto ūdenssaimniecības pakalpojumu ietvaros.</w:t>
      </w:r>
      <w:r w:rsidRPr="002805EA">
        <w:rPr>
          <w:rFonts w:ascii="Times New Roman" w:eastAsia="Calibri" w:hAnsi="Times New Roman" w:cs="Times New Roman"/>
          <w:sz w:val="28"/>
          <w:lang w:eastAsia="lv-LV"/>
        </w:rPr>
        <w:tab/>
      </w:r>
      <w:bookmarkStart w:id="12" w:name="_Toc82430147"/>
    </w:p>
    <w:p w14:paraId="2C759C34" w14:textId="49AEC432" w:rsidR="006D0B3A" w:rsidRPr="006D0B3A" w:rsidRDefault="008105EA" w:rsidP="002805EA">
      <w:pPr>
        <w:tabs>
          <w:tab w:val="left" w:pos="0"/>
        </w:tabs>
        <w:spacing w:before="120" w:after="120"/>
        <w:rPr>
          <w:rFonts w:ascii="Times New Roman" w:eastAsia="Calibri" w:hAnsi="Times New Roman" w:cs="Times New Roman"/>
          <w:szCs w:val="24"/>
          <w:lang w:eastAsia="lv-LV"/>
        </w:rPr>
      </w:pPr>
      <w:r>
        <w:rPr>
          <w:rFonts w:ascii="Times New Roman" w:eastAsia="Calibri" w:hAnsi="Times New Roman" w:cs="Times New Roman"/>
          <w:szCs w:val="24"/>
          <w:lang w:eastAsia="lv-LV"/>
        </w:rPr>
        <w:tab/>
      </w:r>
      <w:r w:rsidR="006D0B3A" w:rsidRPr="006D0B3A">
        <w:rPr>
          <w:rFonts w:ascii="Times New Roman" w:eastAsia="Calibri" w:hAnsi="Times New Roman" w:cs="Times New Roman"/>
          <w:szCs w:val="24"/>
          <w:lang w:eastAsia="lv-LV"/>
        </w:rPr>
        <w:t xml:space="preserve">Visu alternatīvu izvērtējums </w:t>
      </w:r>
      <w:r w:rsidR="006D0B3A" w:rsidRPr="002B3F0F">
        <w:rPr>
          <w:rFonts w:ascii="Times New Roman" w:eastAsia="Calibri" w:hAnsi="Times New Roman" w:cs="Times New Roman"/>
          <w:szCs w:val="24"/>
          <w:lang w:eastAsia="lv-LV"/>
        </w:rPr>
        <w:t xml:space="preserve">apkopots </w:t>
      </w:r>
      <w:r w:rsidR="002B3F0F" w:rsidRPr="002B3F0F">
        <w:rPr>
          <w:rFonts w:ascii="Times New Roman" w:eastAsia="Calibri" w:hAnsi="Times New Roman" w:cs="Times New Roman"/>
          <w:szCs w:val="24"/>
          <w:lang w:eastAsia="lv-LV"/>
        </w:rPr>
        <w:t>1.1.3</w:t>
      </w:r>
      <w:r w:rsidR="006D0B3A" w:rsidRPr="00E73B7B">
        <w:rPr>
          <w:rFonts w:ascii="Times New Roman" w:eastAsia="Calibri" w:hAnsi="Times New Roman" w:cs="Times New Roman"/>
          <w:szCs w:val="24"/>
          <w:lang w:eastAsia="lv-LV"/>
        </w:rPr>
        <w:t>. attēlā.</w:t>
      </w:r>
      <w:r w:rsidR="006D0B3A" w:rsidRPr="006D0B3A">
        <w:rPr>
          <w:rFonts w:ascii="Times New Roman" w:eastAsia="Calibri" w:hAnsi="Times New Roman" w:cs="Times New Roman"/>
          <w:szCs w:val="24"/>
          <w:lang w:eastAsia="lv-LV"/>
        </w:rPr>
        <w:t xml:space="preserve"> </w:t>
      </w:r>
    </w:p>
    <w:p w14:paraId="0C791164" w14:textId="77777777" w:rsidR="001D7449" w:rsidRPr="005F3D08" w:rsidRDefault="001D7449" w:rsidP="001D7449">
      <w:pPr>
        <w:rPr>
          <w:szCs w:val="24"/>
        </w:rPr>
      </w:pPr>
    </w:p>
    <w:p w14:paraId="6DCD8C02" w14:textId="77777777" w:rsidR="00485943" w:rsidRDefault="00485943" w:rsidP="00485943">
      <w:pPr>
        <w:rPr>
          <w:szCs w:val="24"/>
        </w:rPr>
        <w:sectPr w:rsidR="00485943" w:rsidSect="00953546">
          <w:pgSz w:w="11906" w:h="16838"/>
          <w:pgMar w:top="1134" w:right="1134" w:bottom="1134" w:left="1701" w:header="709" w:footer="709" w:gutter="0"/>
          <w:cols w:space="708"/>
          <w:docGrid w:linePitch="360"/>
        </w:sectPr>
      </w:pPr>
    </w:p>
    <w:p w14:paraId="56B73EC0" w14:textId="04829EEA" w:rsidR="001D7449" w:rsidRPr="00952532" w:rsidRDefault="0060769F" w:rsidP="001D7449">
      <w:pPr>
        <w:rPr>
          <w:szCs w:val="24"/>
        </w:rPr>
      </w:pPr>
      <w:r>
        <w:rPr>
          <w:rFonts w:cstheme="minorHAnsi"/>
          <w:noProof/>
          <w:lang w:eastAsia="lv-LV"/>
        </w:rPr>
        <w:lastRenderedPageBreak/>
        <w:drawing>
          <wp:anchor distT="0" distB="0" distL="114300" distR="114300" simplePos="0" relativeHeight="251658261" behindDoc="0" locked="0" layoutInCell="1" allowOverlap="1" wp14:anchorId="1F27BAC0" wp14:editId="2301F5F0">
            <wp:simplePos x="0" y="0"/>
            <wp:positionH relativeFrom="margin">
              <wp:align>center</wp:align>
            </wp:positionH>
            <wp:positionV relativeFrom="paragraph">
              <wp:posOffset>84455</wp:posOffset>
            </wp:positionV>
            <wp:extent cx="8991600" cy="5414792"/>
            <wp:effectExtent l="0" t="0" r="0" b="0"/>
            <wp:wrapNone/>
            <wp:docPr id="99" name="Picture 99" descr="Tex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Text, timelin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91600" cy="5414792"/>
                    </a:xfrm>
                    <a:prstGeom prst="rect">
                      <a:avLst/>
                    </a:prstGeom>
                    <a:noFill/>
                  </pic:spPr>
                </pic:pic>
              </a:graphicData>
            </a:graphic>
            <wp14:sizeRelH relativeFrom="margin">
              <wp14:pctWidth>0</wp14:pctWidth>
            </wp14:sizeRelH>
            <wp14:sizeRelV relativeFrom="margin">
              <wp14:pctHeight>0</wp14:pctHeight>
            </wp14:sizeRelV>
          </wp:anchor>
        </w:drawing>
      </w:r>
    </w:p>
    <w:p w14:paraId="4EEF23CA" w14:textId="77777777" w:rsidR="001D7449" w:rsidRPr="00952532" w:rsidRDefault="001D7449" w:rsidP="001D7449">
      <w:pPr>
        <w:rPr>
          <w:szCs w:val="24"/>
        </w:rPr>
      </w:pPr>
    </w:p>
    <w:p w14:paraId="473CE6A2" w14:textId="77777777" w:rsidR="001D7449" w:rsidRPr="00952532" w:rsidRDefault="001D7449" w:rsidP="001D7449">
      <w:pPr>
        <w:rPr>
          <w:szCs w:val="24"/>
        </w:rPr>
      </w:pPr>
    </w:p>
    <w:p w14:paraId="06689E0F" w14:textId="77777777" w:rsidR="001D7449" w:rsidRPr="00952532" w:rsidRDefault="001D7449" w:rsidP="001D7449">
      <w:pPr>
        <w:rPr>
          <w:szCs w:val="24"/>
        </w:rPr>
      </w:pPr>
    </w:p>
    <w:p w14:paraId="76846AAE" w14:textId="77777777" w:rsidR="001D7449" w:rsidRPr="00952532" w:rsidRDefault="001D7449" w:rsidP="001D7449">
      <w:pPr>
        <w:rPr>
          <w:szCs w:val="24"/>
        </w:rPr>
      </w:pPr>
    </w:p>
    <w:p w14:paraId="50FD8F1E" w14:textId="77777777" w:rsidR="001D7449" w:rsidRPr="00952532" w:rsidRDefault="001D7449" w:rsidP="001D7449">
      <w:pPr>
        <w:rPr>
          <w:szCs w:val="24"/>
        </w:rPr>
      </w:pPr>
    </w:p>
    <w:p w14:paraId="2A68601F" w14:textId="77777777" w:rsidR="001D7449" w:rsidRPr="00952532" w:rsidRDefault="001D7449" w:rsidP="001D7449">
      <w:pPr>
        <w:rPr>
          <w:szCs w:val="24"/>
        </w:rPr>
      </w:pPr>
    </w:p>
    <w:p w14:paraId="013C4029" w14:textId="77777777" w:rsidR="001D7449" w:rsidRPr="00952532" w:rsidRDefault="001D7449" w:rsidP="001D7449">
      <w:pPr>
        <w:rPr>
          <w:szCs w:val="24"/>
        </w:rPr>
      </w:pPr>
    </w:p>
    <w:p w14:paraId="7F760F86" w14:textId="77777777" w:rsidR="001D7449" w:rsidRPr="00952532" w:rsidRDefault="001D7449" w:rsidP="001D7449">
      <w:pPr>
        <w:rPr>
          <w:szCs w:val="24"/>
        </w:rPr>
      </w:pPr>
    </w:p>
    <w:p w14:paraId="6F3E9571" w14:textId="77777777" w:rsidR="001D7449" w:rsidRPr="00952532" w:rsidRDefault="001D7449" w:rsidP="001D7449">
      <w:pPr>
        <w:rPr>
          <w:szCs w:val="24"/>
        </w:rPr>
      </w:pPr>
    </w:p>
    <w:p w14:paraId="4EF80EE7" w14:textId="77777777" w:rsidR="001D7449" w:rsidRDefault="001D7449" w:rsidP="001D7449">
      <w:pPr>
        <w:rPr>
          <w:szCs w:val="24"/>
        </w:rPr>
      </w:pPr>
    </w:p>
    <w:p w14:paraId="49A43DA6" w14:textId="77777777" w:rsidR="0060769F" w:rsidRDefault="0060769F" w:rsidP="001D7449">
      <w:pPr>
        <w:rPr>
          <w:szCs w:val="24"/>
        </w:rPr>
      </w:pPr>
    </w:p>
    <w:p w14:paraId="27B3305D" w14:textId="77777777" w:rsidR="0060769F" w:rsidRDefault="0060769F" w:rsidP="001D7449">
      <w:pPr>
        <w:rPr>
          <w:szCs w:val="24"/>
        </w:rPr>
      </w:pPr>
    </w:p>
    <w:p w14:paraId="331BA934" w14:textId="77777777" w:rsidR="0060769F" w:rsidRPr="00952532" w:rsidRDefault="0060769F" w:rsidP="001D7449">
      <w:pPr>
        <w:rPr>
          <w:szCs w:val="24"/>
        </w:rPr>
      </w:pPr>
    </w:p>
    <w:p w14:paraId="6B7A6676" w14:textId="77777777" w:rsidR="00A65A4B" w:rsidRDefault="001D7449" w:rsidP="001D7449">
      <w:pPr>
        <w:tabs>
          <w:tab w:val="left" w:pos="0"/>
        </w:tabs>
        <w:spacing w:before="120" w:after="120"/>
        <w:rPr>
          <w:szCs w:val="24"/>
        </w:rPr>
        <w:sectPr w:rsidR="00A65A4B" w:rsidSect="003154F2">
          <w:pgSz w:w="16838" w:h="11906" w:orient="landscape"/>
          <w:pgMar w:top="993" w:right="1134" w:bottom="567" w:left="1134" w:header="709" w:footer="709" w:gutter="0"/>
          <w:cols w:space="708"/>
          <w:docGrid w:linePitch="360"/>
        </w:sectPr>
      </w:pPr>
      <w:r>
        <w:rPr>
          <w:b/>
          <w:noProof/>
          <w:lang w:eastAsia="lv-LV"/>
        </w:rPr>
        <mc:AlternateContent>
          <mc:Choice Requires="wps">
            <w:drawing>
              <wp:anchor distT="0" distB="0" distL="114300" distR="114300" simplePos="0" relativeHeight="251658262" behindDoc="0" locked="0" layoutInCell="1" allowOverlap="1" wp14:anchorId="4DF72EB8" wp14:editId="1EC82947">
                <wp:simplePos x="0" y="0"/>
                <wp:positionH relativeFrom="margin">
                  <wp:align>center</wp:align>
                </wp:positionH>
                <wp:positionV relativeFrom="paragraph">
                  <wp:posOffset>905510</wp:posOffset>
                </wp:positionV>
                <wp:extent cx="7729870" cy="352425"/>
                <wp:effectExtent l="0" t="0" r="4445" b="9525"/>
                <wp:wrapNone/>
                <wp:docPr id="128" name="Text Box 128"/>
                <wp:cNvGraphicFramePr/>
                <a:graphic xmlns:a="http://schemas.openxmlformats.org/drawingml/2006/main">
                  <a:graphicData uri="http://schemas.microsoft.com/office/word/2010/wordprocessingShape">
                    <wps:wsp>
                      <wps:cNvSpPr txBox="1"/>
                      <wps:spPr>
                        <a:xfrm>
                          <a:off x="0" y="0"/>
                          <a:ext cx="7729870" cy="352425"/>
                        </a:xfrm>
                        <a:prstGeom prst="rect">
                          <a:avLst/>
                        </a:prstGeom>
                        <a:solidFill>
                          <a:sysClr val="window" lastClr="FFFFFF"/>
                        </a:solidFill>
                        <a:ln w="6350">
                          <a:noFill/>
                        </a:ln>
                        <a:effectLst/>
                      </wps:spPr>
                      <wps:txbx>
                        <w:txbxContent>
                          <w:p w14:paraId="370E500A" w14:textId="1586ACB1" w:rsidR="001D7449" w:rsidRPr="005F28F0" w:rsidRDefault="001D7449" w:rsidP="001D7449">
                            <w:pPr>
                              <w:jc w:val="center"/>
                              <w:rPr>
                                <w:rFonts w:ascii="Times New Roman" w:hAnsi="Times New Roman" w:cs="Times New Roman"/>
                                <w:iCs/>
                                <w:szCs w:val="24"/>
                              </w:rPr>
                            </w:pPr>
                            <w:r w:rsidRPr="002B3F0F">
                              <w:rPr>
                                <w:rFonts w:ascii="Times New Roman" w:hAnsi="Times New Roman" w:cs="Times New Roman"/>
                                <w:b/>
                                <w:bCs/>
                                <w:iCs/>
                                <w:szCs w:val="24"/>
                              </w:rPr>
                              <w:t>1</w:t>
                            </w:r>
                            <w:r w:rsidR="002B3F0F" w:rsidRPr="002B3F0F">
                              <w:rPr>
                                <w:rFonts w:ascii="Times New Roman" w:hAnsi="Times New Roman" w:cs="Times New Roman"/>
                                <w:b/>
                                <w:bCs/>
                                <w:iCs/>
                                <w:szCs w:val="24"/>
                              </w:rPr>
                              <w:t>.1.3</w:t>
                            </w:r>
                            <w:r w:rsidRPr="002B3F0F">
                              <w:rPr>
                                <w:rFonts w:ascii="Times New Roman" w:hAnsi="Times New Roman" w:cs="Times New Roman"/>
                                <w:b/>
                                <w:bCs/>
                                <w:iCs/>
                                <w:szCs w:val="24"/>
                              </w:rPr>
                              <w:t>.attēls.</w:t>
                            </w:r>
                            <w:r w:rsidRPr="005F28F0">
                              <w:rPr>
                                <w:rFonts w:ascii="Times New Roman" w:hAnsi="Times New Roman" w:cs="Times New Roman"/>
                                <w:b/>
                                <w:bCs/>
                                <w:iCs/>
                                <w:szCs w:val="24"/>
                              </w:rPr>
                              <w:t xml:space="preserve"> </w:t>
                            </w:r>
                            <w:r w:rsidRPr="005F28F0">
                              <w:rPr>
                                <w:rFonts w:ascii="Times New Roman" w:hAnsi="Times New Roman" w:cs="Times New Roman"/>
                                <w:iCs/>
                                <w:szCs w:val="24"/>
                              </w:rPr>
                              <w:t>Alternatīvu grupas “A” izvērtējuma kopsavilkums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72EB8" id="Text Box 128" o:spid="_x0000_s1030" type="#_x0000_t202" style="position:absolute;left:0;text-align:left;margin-left:0;margin-top:71.3pt;width:608.65pt;height:27.75pt;z-index:25165826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" fillcolor="window" stroked="f" strokeweight=".5pt">
                <v:textbox>
                  <w:txbxContent>
                    <w:p w14:paraId="370E500A" w14:textId="1586ACB1" w:rsidR="001D7449" w:rsidRPr="005F28F0" w:rsidRDefault="001D7449" w:rsidP="001D7449">
                      <w:pPr>
                        <w:jc w:val="center"/>
                        <w:rPr>
                          <w:rFonts w:ascii="Times New Roman" w:hAnsi="Times New Roman" w:cs="Times New Roman"/>
                          <w:iCs/>
                          <w:szCs w:val="24"/>
                        </w:rPr>
                      </w:pPr>
                      <w:r w:rsidRPr="002B3F0F">
                        <w:rPr>
                          <w:rFonts w:ascii="Times New Roman" w:hAnsi="Times New Roman" w:cs="Times New Roman"/>
                          <w:b/>
                          <w:bCs/>
                          <w:iCs/>
                          <w:szCs w:val="24"/>
                        </w:rPr>
                        <w:t>1</w:t>
                      </w:r>
                      <w:r w:rsidR="002B3F0F" w:rsidRPr="002B3F0F">
                        <w:rPr>
                          <w:rFonts w:ascii="Times New Roman" w:hAnsi="Times New Roman" w:cs="Times New Roman"/>
                          <w:b/>
                          <w:bCs/>
                          <w:iCs/>
                          <w:szCs w:val="24"/>
                        </w:rPr>
                        <w:t>.1.3</w:t>
                      </w:r>
                      <w:r w:rsidRPr="002B3F0F">
                        <w:rPr>
                          <w:rFonts w:ascii="Times New Roman" w:hAnsi="Times New Roman" w:cs="Times New Roman"/>
                          <w:b/>
                          <w:bCs/>
                          <w:iCs/>
                          <w:szCs w:val="24"/>
                        </w:rPr>
                        <w:t>.attēls.</w:t>
                      </w:r>
                      <w:r w:rsidRPr="005F28F0">
                        <w:rPr>
                          <w:rFonts w:ascii="Times New Roman" w:hAnsi="Times New Roman" w:cs="Times New Roman"/>
                          <w:b/>
                          <w:bCs/>
                          <w:iCs/>
                          <w:szCs w:val="24"/>
                        </w:rPr>
                        <w:t xml:space="preserve"> </w:t>
                      </w:r>
                      <w:r w:rsidRPr="005F28F0">
                        <w:rPr>
                          <w:rFonts w:ascii="Times New Roman" w:hAnsi="Times New Roman" w:cs="Times New Roman"/>
                          <w:iCs/>
                          <w:szCs w:val="24"/>
                        </w:rPr>
                        <w:t>Alternatīvu grupas “A” izvērtējuma kopsavilkums</w:t>
                      </w:r>
                    </w:p>
                  </w:txbxContent>
                </v:textbox>
                <w10:wrap anchorx="margin"/>
              </v:shape>
            </w:pict>
          </mc:Fallback>
        </mc:AlternateContent>
      </w:r>
      <w:r>
        <w:rPr>
          <w:szCs w:val="24"/>
        </w:rPr>
        <w:tab/>
      </w:r>
    </w:p>
    <w:p w14:paraId="2D4C1B18" w14:textId="1D60A1B1" w:rsidR="00E12656" w:rsidRDefault="00E12656" w:rsidP="001D7449">
      <w:pPr>
        <w:tabs>
          <w:tab w:val="left" w:pos="0"/>
        </w:tabs>
        <w:spacing w:before="120" w:after="120"/>
        <w:rPr>
          <w:rFonts w:ascii="Times New Roman" w:eastAsia="Calibri" w:hAnsi="Times New Roman" w:cs="Times New Roman"/>
          <w:sz w:val="28"/>
          <w:lang w:eastAsia="lv-LV"/>
        </w:rPr>
      </w:pPr>
    </w:p>
    <w:p w14:paraId="6336586F" w14:textId="46FC9CA3" w:rsidR="002805EA" w:rsidRPr="002805EA" w:rsidRDefault="00146EE2" w:rsidP="00A65A4B">
      <w:pPr>
        <w:pStyle w:val="Heading1"/>
      </w:pPr>
      <w:bookmarkStart w:id="13" w:name="_Toc107916299"/>
      <w:r>
        <w:rPr>
          <w:rFonts w:ascii="Times New Roman" w:eastAsia="Calibri" w:hAnsi="Times New Roman" w:cs="Times New Roman"/>
          <w:b/>
          <w:bCs/>
          <w:color w:val="auto"/>
          <w:sz w:val="24"/>
          <w:szCs w:val="24"/>
          <w:lang w:eastAsia="lv-LV"/>
        </w:rPr>
        <w:t xml:space="preserve">2. </w:t>
      </w:r>
      <w:r w:rsidR="00FA39BF" w:rsidRPr="002805EA">
        <w:rPr>
          <w:rFonts w:ascii="Times New Roman" w:hAnsi="Times New Roman" w:cs="Times New Roman"/>
          <w:b/>
          <w:bCs/>
          <w:color w:val="auto"/>
          <w:sz w:val="24"/>
          <w:szCs w:val="24"/>
        </w:rPr>
        <w:t>NOTEKŪDEŅU DŪŅU UTILIZĀCIJAS ALTERNATĪVU NOVĒRTĒJUMS</w:t>
      </w:r>
      <w:bookmarkEnd w:id="12"/>
      <w:bookmarkEnd w:id="13"/>
    </w:p>
    <w:p w14:paraId="428795F1" w14:textId="16D00B42" w:rsidR="008E5D4A" w:rsidRDefault="00FA39BF" w:rsidP="00A61F27">
      <w:pPr>
        <w:pBdr>
          <w:top w:val="nil"/>
          <w:left w:val="nil"/>
          <w:bottom w:val="nil"/>
          <w:right w:val="nil"/>
          <w:between w:val="nil"/>
        </w:pBdr>
        <w:spacing w:after="0"/>
        <w:ind w:left="48"/>
        <w:rPr>
          <w:rFonts w:ascii="Times New Roman" w:hAnsi="Times New Roman" w:cs="Times New Roman"/>
        </w:rPr>
      </w:pPr>
      <w:r w:rsidRPr="00146EE2">
        <w:rPr>
          <w:rFonts w:ascii="Times New Roman" w:hAnsi="Times New Roman" w:cs="Times New Roman"/>
        </w:rPr>
        <w:t>Tā kā šobrīd nav piemērotu risinājumu attiecībā uz Latvijas notekūdeņu dūņu apsaimniekošanas nodošanu ārpakalpojuma sniedzējiem ir nepieciešams novērtēt risinājumus, kuros SPS ir atbildīgi par notekūdeņu dūņu atbilstošu apsaimniekošanu</w:t>
      </w:r>
      <w:r w:rsidR="00ED181F" w:rsidRPr="00146EE2">
        <w:rPr>
          <w:rFonts w:ascii="Times New Roman" w:hAnsi="Times New Roman" w:cs="Times New Roman"/>
        </w:rPr>
        <w:t xml:space="preserve"> esošo sabiedrisko pakalpojumu ietvaros</w:t>
      </w:r>
      <w:r w:rsidRPr="00146EE2">
        <w:rPr>
          <w:rFonts w:ascii="Times New Roman" w:hAnsi="Times New Roman" w:cs="Times New Roman"/>
        </w:rPr>
        <w:t xml:space="preserve">. Lai rastu Latvijas apstākļiem labāko notekūdeņu dūņu apsaimniekošanas modeli sākotnēji </w:t>
      </w:r>
      <w:r w:rsidR="00ED181F" w:rsidRPr="00146EE2">
        <w:rPr>
          <w:rFonts w:ascii="Times New Roman" w:hAnsi="Times New Roman" w:cs="Times New Roman"/>
        </w:rPr>
        <w:t>tika</w:t>
      </w:r>
      <w:r w:rsidRPr="00146EE2">
        <w:rPr>
          <w:rFonts w:ascii="Times New Roman" w:hAnsi="Times New Roman" w:cs="Times New Roman"/>
        </w:rPr>
        <w:t xml:space="preserve"> veikta dažādu pārstrādātu notekūdeņu dūņu utilizācijas iespēju novērtēšana, kas ietekmē</w:t>
      </w:r>
      <w:r w:rsidR="00ED181F" w:rsidRPr="00146EE2">
        <w:rPr>
          <w:rFonts w:ascii="Times New Roman" w:hAnsi="Times New Roman" w:cs="Times New Roman"/>
        </w:rPr>
        <w:t xml:space="preserve"> notekūdeņu</w:t>
      </w:r>
      <w:r w:rsidRPr="00146EE2">
        <w:rPr>
          <w:rFonts w:ascii="Times New Roman" w:hAnsi="Times New Roman" w:cs="Times New Roman"/>
        </w:rPr>
        <w:t xml:space="preserve"> dūņu apstrādes un pārstrādes risinājumu izvēli.</w:t>
      </w:r>
      <w:r w:rsidR="008E5D4A" w:rsidRPr="00146EE2">
        <w:rPr>
          <w:rFonts w:ascii="Times New Roman" w:hAnsi="Times New Roman" w:cs="Times New Roman"/>
        </w:rPr>
        <w:t xml:space="preserve"> Izvērstu </w:t>
      </w:r>
      <w:r w:rsidR="000247F7" w:rsidRPr="00146EE2">
        <w:rPr>
          <w:rFonts w:ascii="Times New Roman" w:hAnsi="Times New Roman" w:cs="Times New Roman"/>
        </w:rPr>
        <w:t>notekūdeņu dūņu utilizācijas alternatīvu</w:t>
      </w:r>
      <w:r w:rsidR="008E5D4A" w:rsidRPr="00146EE2">
        <w:rPr>
          <w:rFonts w:ascii="Times New Roman" w:hAnsi="Times New Roman" w:cs="Times New Roman"/>
        </w:rPr>
        <w:t xml:space="preserve"> izvērtējumu</w:t>
      </w:r>
      <w:r w:rsidR="000247F7" w:rsidRPr="00146EE2">
        <w:rPr>
          <w:rFonts w:ascii="Times New Roman" w:hAnsi="Times New Roman" w:cs="Times New Roman"/>
        </w:rPr>
        <w:t xml:space="preserve"> </w:t>
      </w:r>
      <w:r w:rsidR="00673858" w:rsidRPr="00146EE2">
        <w:rPr>
          <w:rFonts w:ascii="Times New Roman" w:hAnsi="Times New Roman" w:cs="Times New Roman"/>
        </w:rPr>
        <w:t xml:space="preserve">skatīt </w:t>
      </w:r>
      <w:r w:rsidR="008E5D4A" w:rsidRPr="00146EE2">
        <w:rPr>
          <w:rFonts w:ascii="Times New Roman" w:hAnsi="Times New Roman" w:cs="Times New Roman"/>
        </w:rPr>
        <w:t xml:space="preserve">pielikumā 4.3. “Detalizēts notekūdeņu dūņu utilizācijas alternatīvu novērtējums”.  </w:t>
      </w:r>
    </w:p>
    <w:p w14:paraId="464C9900" w14:textId="77777777" w:rsidR="00A61F27" w:rsidRPr="00146EE2" w:rsidRDefault="00A61F27" w:rsidP="00A61F27">
      <w:pPr>
        <w:pBdr>
          <w:top w:val="nil"/>
          <w:left w:val="nil"/>
          <w:bottom w:val="nil"/>
          <w:right w:val="nil"/>
          <w:between w:val="nil"/>
        </w:pBdr>
        <w:spacing w:after="0"/>
        <w:ind w:left="48"/>
        <w:rPr>
          <w:rFonts w:ascii="Times New Roman" w:hAnsi="Times New Roman" w:cs="Times New Roman"/>
        </w:rPr>
      </w:pPr>
    </w:p>
    <w:p w14:paraId="66901910" w14:textId="03966D6B" w:rsidR="00FA39BF" w:rsidRDefault="00FA39BF" w:rsidP="00A61F27">
      <w:pPr>
        <w:pStyle w:val="Heading2"/>
        <w:spacing w:before="0"/>
        <w:jc w:val="center"/>
        <w:rPr>
          <w:rFonts w:ascii="Times New Roman" w:hAnsi="Times New Roman" w:cs="Times New Roman"/>
          <w:b/>
          <w:bCs/>
          <w:color w:val="auto"/>
          <w:sz w:val="24"/>
          <w:szCs w:val="24"/>
        </w:rPr>
      </w:pPr>
      <w:bookmarkStart w:id="14" w:name="_Toc82430148"/>
      <w:bookmarkStart w:id="15" w:name="_Toc107916300"/>
      <w:r w:rsidRPr="00A61F27">
        <w:rPr>
          <w:rFonts w:ascii="Times New Roman" w:hAnsi="Times New Roman" w:cs="Times New Roman"/>
          <w:b/>
          <w:bCs/>
          <w:color w:val="auto"/>
          <w:sz w:val="24"/>
          <w:szCs w:val="24"/>
        </w:rPr>
        <w:t>B1. Alternatīva: Pārstrādātu notekūdeņu dūņu iestrāde augsnē</w:t>
      </w:r>
      <w:bookmarkEnd w:id="14"/>
      <w:bookmarkEnd w:id="15"/>
    </w:p>
    <w:p w14:paraId="3CF0623C" w14:textId="77777777" w:rsidR="00A61F27" w:rsidRPr="00A61F27" w:rsidRDefault="00A61F27" w:rsidP="00A61F27">
      <w:pPr>
        <w:rPr>
          <w:rFonts w:ascii="Times New Roman" w:hAnsi="Times New Roman" w:cs="Times New Roman"/>
        </w:rPr>
      </w:pPr>
    </w:p>
    <w:p w14:paraId="411E64D6" w14:textId="76E8F98E" w:rsidR="00FA39BF" w:rsidRPr="00A61F27" w:rsidRDefault="00FA39BF" w:rsidP="00A61F27">
      <w:pPr>
        <w:spacing w:after="0"/>
        <w:ind w:firstLine="720"/>
        <w:rPr>
          <w:rFonts w:ascii="Times New Roman" w:hAnsi="Times New Roman" w:cs="Times New Roman"/>
          <w:szCs w:val="24"/>
        </w:rPr>
      </w:pPr>
      <w:r w:rsidRPr="00A61F27">
        <w:rPr>
          <w:rFonts w:ascii="Times New Roman" w:hAnsi="Times New Roman" w:cs="Times New Roman"/>
          <w:szCs w:val="24"/>
        </w:rPr>
        <w:t xml:space="preserve">Pārstrādātu notekūdeņu dūņu vai no tām radīta komposta iestrāde augsnē ir viena no populārākajām šobrīd izmantotajām notekūdeņu dūņu un tā komposta gala utilizācijas metodēm Latvijā (skat. </w:t>
      </w:r>
      <w:r w:rsidR="00011C1A">
        <w:rPr>
          <w:rFonts w:ascii="Times New Roman" w:hAnsi="Times New Roman" w:cs="Times New Roman"/>
          <w:szCs w:val="24"/>
        </w:rPr>
        <w:t xml:space="preserve">Stratēģijas </w:t>
      </w:r>
      <w:r w:rsidR="00C73789">
        <w:rPr>
          <w:rFonts w:ascii="Times New Roman" w:hAnsi="Times New Roman" w:cs="Times New Roman"/>
          <w:szCs w:val="24"/>
        </w:rPr>
        <w:t>2</w:t>
      </w:r>
      <w:r w:rsidR="008E5D4A" w:rsidRPr="00A61F27">
        <w:rPr>
          <w:rFonts w:ascii="Times New Roman" w:hAnsi="Times New Roman" w:cs="Times New Roman"/>
          <w:szCs w:val="24"/>
        </w:rPr>
        <w:t>.pielikumu</w:t>
      </w:r>
      <w:r w:rsidRPr="00A61F27">
        <w:rPr>
          <w:rFonts w:ascii="Times New Roman" w:hAnsi="Times New Roman" w:cs="Times New Roman"/>
          <w:szCs w:val="24"/>
        </w:rPr>
        <w:t xml:space="preserve"> “Esošā situācija notekūdeņu dūņu apsaimniekošanas jomā”). Lauksaimnieku organizācijas kopumā ir ieinteresētas ilgtermiņa sadarbībā un pārstrādātu notekūdeņu dūņu izmantošanā ar mērķi tās iestrādāt augsnē, lai uzlabotu lauksaimniecības zemju auglību. Ar notekūdeņu dūņām augsnē var tikt ienest</w:t>
      </w:r>
      <w:r w:rsidR="004C30E2" w:rsidRPr="00A61F27">
        <w:rPr>
          <w:rFonts w:ascii="Times New Roman" w:hAnsi="Times New Roman" w:cs="Times New Roman"/>
          <w:szCs w:val="24"/>
        </w:rPr>
        <w:t>i</w:t>
      </w:r>
      <w:r w:rsidRPr="00A61F27">
        <w:rPr>
          <w:rFonts w:ascii="Times New Roman" w:hAnsi="Times New Roman" w:cs="Times New Roman"/>
          <w:szCs w:val="24"/>
        </w:rPr>
        <w:t xml:space="preserve"> vērtīg</w:t>
      </w:r>
      <w:r w:rsidR="004C30E2" w:rsidRPr="00A61F27">
        <w:rPr>
          <w:rFonts w:ascii="Times New Roman" w:hAnsi="Times New Roman" w:cs="Times New Roman"/>
          <w:szCs w:val="24"/>
        </w:rPr>
        <w:t>i</w:t>
      </w:r>
      <w:r w:rsidRPr="00A61F27">
        <w:rPr>
          <w:rFonts w:ascii="Times New Roman" w:hAnsi="Times New Roman" w:cs="Times New Roman"/>
          <w:szCs w:val="24"/>
        </w:rPr>
        <w:t xml:space="preserve"> augu </w:t>
      </w:r>
      <w:r w:rsidR="004C3B42">
        <w:rPr>
          <w:rFonts w:ascii="Times New Roman" w:hAnsi="Times New Roman" w:cs="Times New Roman"/>
          <w:szCs w:val="24"/>
        </w:rPr>
        <w:t>barības vielas</w:t>
      </w:r>
      <w:r w:rsidR="004C30E2" w:rsidRPr="00A61F27">
        <w:rPr>
          <w:rFonts w:ascii="Times New Roman" w:hAnsi="Times New Roman" w:cs="Times New Roman"/>
          <w:szCs w:val="24"/>
        </w:rPr>
        <w:t xml:space="preserve"> </w:t>
      </w:r>
      <w:r w:rsidRPr="00A61F27">
        <w:rPr>
          <w:rFonts w:ascii="Times New Roman" w:hAnsi="Times New Roman" w:cs="Times New Roman"/>
          <w:szCs w:val="24"/>
        </w:rPr>
        <w:t xml:space="preserve">(fosfors, slāpeklis, kālijs), organiskās vielas, kā arī </w:t>
      </w:r>
      <w:sdt>
        <w:sdtPr>
          <w:rPr>
            <w:rFonts w:ascii="Times New Roman" w:hAnsi="Times New Roman" w:cs="Times New Roman"/>
            <w:szCs w:val="24"/>
          </w:rPr>
          <w:tag w:val="goog_rdk_45"/>
          <w:id w:val="589810793"/>
        </w:sdtPr>
        <w:sdtContent/>
      </w:sdt>
      <w:r w:rsidRPr="00A61F27">
        <w:rPr>
          <w:rFonts w:ascii="Times New Roman" w:hAnsi="Times New Roman" w:cs="Times New Roman"/>
          <w:szCs w:val="24"/>
        </w:rPr>
        <w:t xml:space="preserve">mikroelementi. No notekūdeņu dūņām veidotu kompostu ir iespējams izmantot dažādos labiekārtošanas darbos (puķu dobes un zaļās teritorijas pilsētās, ielu un ceļu nomalēs). Tāpat ir iespējama un pieļaujama arī </w:t>
      </w:r>
      <w:r w:rsidR="00673858" w:rsidRPr="00A61F27">
        <w:rPr>
          <w:rFonts w:ascii="Times New Roman" w:hAnsi="Times New Roman" w:cs="Times New Roman"/>
        </w:rPr>
        <w:t xml:space="preserve">notekūdeņu </w:t>
      </w:r>
      <w:r w:rsidRPr="00A61F27">
        <w:rPr>
          <w:rFonts w:ascii="Times New Roman" w:hAnsi="Times New Roman" w:cs="Times New Roman"/>
          <w:szCs w:val="24"/>
        </w:rPr>
        <w:t xml:space="preserve">dūņu </w:t>
      </w:r>
      <w:r w:rsidR="00673858" w:rsidRPr="00A61F27">
        <w:rPr>
          <w:rFonts w:ascii="Times New Roman" w:hAnsi="Times New Roman" w:cs="Times New Roman"/>
          <w:szCs w:val="24"/>
        </w:rPr>
        <w:t>iestrāde</w:t>
      </w:r>
      <w:r w:rsidRPr="00A61F27">
        <w:rPr>
          <w:rFonts w:ascii="Times New Roman" w:hAnsi="Times New Roman" w:cs="Times New Roman"/>
          <w:szCs w:val="24"/>
        </w:rPr>
        <w:t xml:space="preserve"> meža zemju augsnēs, vai degradētu teritoriju rekultivācijā.</w:t>
      </w:r>
    </w:p>
    <w:p w14:paraId="460F4068" w14:textId="4E2EED12" w:rsidR="00FA39BF" w:rsidRPr="00A61F27" w:rsidRDefault="00FA39BF" w:rsidP="00FA39BF">
      <w:pPr>
        <w:spacing w:before="120" w:after="120"/>
        <w:ind w:firstLine="720"/>
        <w:rPr>
          <w:rFonts w:ascii="Times New Roman" w:hAnsi="Times New Roman" w:cs="Times New Roman"/>
          <w:szCs w:val="24"/>
        </w:rPr>
      </w:pPr>
      <w:r w:rsidRPr="00A61F27">
        <w:rPr>
          <w:rFonts w:ascii="Times New Roman" w:hAnsi="Times New Roman" w:cs="Times New Roman"/>
          <w:szCs w:val="24"/>
        </w:rPr>
        <w:t xml:space="preserve">Lai notekūdeņu dūņas vai to komposts būtu pieprasīts lauksaimniecības zemju ielabošanas, mēslošanas līdzeklis, lauksaimnieku organizācijas </w:t>
      </w:r>
      <w:r w:rsidR="00673858" w:rsidRPr="00A61F27">
        <w:rPr>
          <w:rFonts w:ascii="Times New Roman" w:hAnsi="Times New Roman" w:cs="Times New Roman"/>
          <w:szCs w:val="24"/>
        </w:rPr>
        <w:t>S</w:t>
      </w:r>
      <w:r w:rsidRPr="00A61F27">
        <w:rPr>
          <w:rFonts w:ascii="Times New Roman" w:hAnsi="Times New Roman" w:cs="Times New Roman"/>
          <w:szCs w:val="24"/>
        </w:rPr>
        <w:t>tratēģijas izstrādes laikā ir norādījušas uz pārstrādātu</w:t>
      </w:r>
      <w:r w:rsidR="00673858" w:rsidRPr="00A61F27">
        <w:rPr>
          <w:rFonts w:ascii="Times New Roman" w:hAnsi="Times New Roman" w:cs="Times New Roman"/>
          <w:szCs w:val="24"/>
        </w:rPr>
        <w:t xml:space="preserve"> </w:t>
      </w:r>
      <w:r w:rsidR="00673858" w:rsidRPr="00A61F27">
        <w:rPr>
          <w:rFonts w:ascii="Times New Roman" w:hAnsi="Times New Roman" w:cs="Times New Roman"/>
        </w:rPr>
        <w:t>notekūdeņu</w:t>
      </w:r>
      <w:r w:rsidRPr="00A61F27">
        <w:rPr>
          <w:rFonts w:ascii="Times New Roman" w:hAnsi="Times New Roman" w:cs="Times New Roman"/>
          <w:szCs w:val="24"/>
        </w:rPr>
        <w:t xml:space="preserve"> dūņu īpašībām, kas būtu jāsasniedz, lai SPS varētu rēķināties ar droš</w:t>
      </w:r>
      <w:r w:rsidR="00673858" w:rsidRPr="00A61F27">
        <w:rPr>
          <w:rFonts w:ascii="Times New Roman" w:hAnsi="Times New Roman" w:cs="Times New Roman"/>
          <w:szCs w:val="24"/>
        </w:rPr>
        <w:t>u</w:t>
      </w:r>
      <w:r w:rsidRPr="00A61F27">
        <w:rPr>
          <w:rFonts w:ascii="Times New Roman" w:hAnsi="Times New Roman" w:cs="Times New Roman"/>
          <w:szCs w:val="24"/>
        </w:rPr>
        <w:t xml:space="preserve"> un stabilu ilgtermiņa pieprasījumu pēc pārstrādātām notekūdeņu dūņām:</w:t>
      </w:r>
    </w:p>
    <w:p w14:paraId="5226A761" w14:textId="7195C789" w:rsidR="00FA39BF" w:rsidRPr="00A61F27" w:rsidRDefault="00673858" w:rsidP="00673858">
      <w:pPr>
        <w:pStyle w:val="ListParagraph"/>
        <w:numPr>
          <w:ilvl w:val="0"/>
          <w:numId w:val="2"/>
        </w:numPr>
        <w:suppressAutoHyphens/>
        <w:autoSpaceDN w:val="0"/>
        <w:spacing w:after="0"/>
        <w:ind w:left="1134"/>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 xml:space="preserve">notekūdeņu </w:t>
      </w:r>
      <w:r w:rsidR="00FA39BF" w:rsidRPr="00A61F27">
        <w:rPr>
          <w:rFonts w:ascii="Times New Roman" w:hAnsi="Times New Roman" w:cs="Times New Roman"/>
          <w:sz w:val="24"/>
          <w:szCs w:val="24"/>
        </w:rPr>
        <w:t xml:space="preserve">dūņu sausnas apjomam </w:t>
      </w:r>
      <w:r w:rsidRPr="00A61F27">
        <w:rPr>
          <w:rFonts w:ascii="Times New Roman" w:hAnsi="Times New Roman" w:cs="Times New Roman"/>
          <w:sz w:val="24"/>
          <w:szCs w:val="24"/>
        </w:rPr>
        <w:t>pēc pārstrādes</w:t>
      </w:r>
      <w:r w:rsidR="00FA39BF" w:rsidRPr="00A61F27">
        <w:rPr>
          <w:rFonts w:ascii="Times New Roman" w:hAnsi="Times New Roman" w:cs="Times New Roman"/>
          <w:sz w:val="24"/>
          <w:szCs w:val="24"/>
        </w:rPr>
        <w:t xml:space="preserve"> jābūt lielākam par 25%;</w:t>
      </w:r>
    </w:p>
    <w:p w14:paraId="2FF006A9" w14:textId="73B38627" w:rsidR="00FA39BF" w:rsidRPr="00A61F27" w:rsidRDefault="00FA39BF" w:rsidP="00673858">
      <w:pPr>
        <w:pStyle w:val="ListParagraph"/>
        <w:numPr>
          <w:ilvl w:val="0"/>
          <w:numId w:val="2"/>
        </w:numPr>
        <w:suppressAutoHyphens/>
        <w:autoSpaceDN w:val="0"/>
        <w:spacing w:after="0"/>
        <w:ind w:left="1134"/>
        <w:contextualSpacing w:val="0"/>
        <w:jc w:val="both"/>
        <w:textAlignment w:val="baseline"/>
        <w:rPr>
          <w:rFonts w:ascii="Times New Roman" w:hAnsi="Times New Roman" w:cs="Times New Roman"/>
          <w:sz w:val="24"/>
          <w:szCs w:val="24"/>
        </w:rPr>
      </w:pPr>
      <w:r w:rsidRPr="00A61F27">
        <w:rPr>
          <w:rFonts w:ascii="Times New Roman" w:hAnsi="Times New Roman" w:cs="Times New Roman"/>
          <w:sz w:val="24"/>
          <w:szCs w:val="24"/>
        </w:rPr>
        <w:t xml:space="preserve">jānodrošina vienmērīgs, regulārs, nepārtraukts, ilgtermiņā prognozējams </w:t>
      </w:r>
      <w:r w:rsidR="00673858" w:rsidRPr="00A61F27">
        <w:rPr>
          <w:rFonts w:ascii="Times New Roman" w:hAnsi="Times New Roman" w:cs="Times New Roman"/>
          <w:sz w:val="24"/>
          <w:szCs w:val="24"/>
        </w:rPr>
        <w:t>notekūdeņu</w:t>
      </w:r>
      <w:r w:rsidR="00673858" w:rsidRPr="00A61F27">
        <w:rPr>
          <w:rFonts w:ascii="Times New Roman" w:hAnsi="Times New Roman" w:cs="Times New Roman"/>
        </w:rPr>
        <w:t xml:space="preserve"> </w:t>
      </w:r>
      <w:r w:rsidRPr="00A61F27">
        <w:rPr>
          <w:rFonts w:ascii="Times New Roman" w:hAnsi="Times New Roman" w:cs="Times New Roman"/>
          <w:sz w:val="24"/>
          <w:szCs w:val="24"/>
        </w:rPr>
        <w:t>dūņu apjoms, sastāvs, mikroelementu daudzums, kā arī jānodrošina iespēja noslēgt ilgtermiņa līgumus par sadarbību, lai būtu iespējams izstrādāt kultūraugu mēslošanas plānu</w:t>
      </w:r>
      <w:r w:rsidR="00673858" w:rsidRPr="00A61F27">
        <w:rPr>
          <w:rFonts w:ascii="Times New Roman" w:hAnsi="Times New Roman" w:cs="Times New Roman"/>
          <w:sz w:val="24"/>
          <w:szCs w:val="24"/>
        </w:rPr>
        <w:t>s</w:t>
      </w:r>
      <w:r w:rsidRPr="00A61F27">
        <w:rPr>
          <w:rFonts w:ascii="Times New Roman" w:hAnsi="Times New Roman" w:cs="Times New Roman"/>
          <w:sz w:val="24"/>
          <w:szCs w:val="24"/>
        </w:rPr>
        <w:t>;</w:t>
      </w:r>
    </w:p>
    <w:p w14:paraId="263C53BE" w14:textId="099DC009" w:rsidR="00FA39BF" w:rsidRPr="00A61F27" w:rsidRDefault="00FA39BF" w:rsidP="00673858">
      <w:pPr>
        <w:pStyle w:val="ListParagraph"/>
        <w:numPr>
          <w:ilvl w:val="0"/>
          <w:numId w:val="2"/>
        </w:numPr>
        <w:suppressAutoHyphens/>
        <w:autoSpaceDN w:val="0"/>
        <w:spacing w:after="0"/>
        <w:ind w:left="1134"/>
        <w:contextualSpacing w:val="0"/>
        <w:jc w:val="both"/>
        <w:textAlignment w:val="baseline"/>
        <w:rPr>
          <w:rFonts w:ascii="Times New Roman" w:hAnsi="Times New Roman" w:cs="Times New Roman"/>
          <w:sz w:val="24"/>
          <w:szCs w:val="24"/>
        </w:rPr>
      </w:pPr>
      <w:r w:rsidRPr="00A61F27">
        <w:rPr>
          <w:rFonts w:ascii="Times New Roman" w:hAnsi="Times New Roman" w:cs="Times New Roman"/>
          <w:sz w:val="24"/>
          <w:szCs w:val="24"/>
        </w:rPr>
        <w:t xml:space="preserve">nepieciešams papildināt un precizēt informāciju </w:t>
      </w:r>
      <w:r w:rsidR="00673858" w:rsidRPr="00A61F27">
        <w:rPr>
          <w:rFonts w:ascii="Times New Roman" w:hAnsi="Times New Roman" w:cs="Times New Roman"/>
          <w:sz w:val="24"/>
          <w:szCs w:val="24"/>
        </w:rPr>
        <w:t>notekūdeņu</w:t>
      </w:r>
      <w:r w:rsidR="00673858" w:rsidRPr="00A61F27">
        <w:rPr>
          <w:rFonts w:ascii="Times New Roman" w:hAnsi="Times New Roman" w:cs="Times New Roman"/>
        </w:rPr>
        <w:t xml:space="preserve"> </w:t>
      </w:r>
      <w:r w:rsidRPr="00A61F27">
        <w:rPr>
          <w:rFonts w:ascii="Times New Roman" w:hAnsi="Times New Roman" w:cs="Times New Roman"/>
          <w:sz w:val="24"/>
          <w:szCs w:val="24"/>
        </w:rPr>
        <w:t xml:space="preserve">dūņu </w:t>
      </w:r>
      <w:r w:rsidR="00673858" w:rsidRPr="00A61F27">
        <w:rPr>
          <w:rFonts w:ascii="Times New Roman" w:hAnsi="Times New Roman" w:cs="Times New Roman"/>
          <w:sz w:val="24"/>
          <w:szCs w:val="24"/>
        </w:rPr>
        <w:t xml:space="preserve">kvalitātes </w:t>
      </w:r>
      <w:r w:rsidRPr="00A61F27">
        <w:rPr>
          <w:rFonts w:ascii="Times New Roman" w:hAnsi="Times New Roman" w:cs="Times New Roman"/>
          <w:sz w:val="24"/>
          <w:szCs w:val="24"/>
        </w:rPr>
        <w:t>apliecībā</w:t>
      </w:r>
      <w:r w:rsidR="00673858" w:rsidRPr="00A61F27">
        <w:rPr>
          <w:rFonts w:ascii="Times New Roman" w:hAnsi="Times New Roman" w:cs="Times New Roman"/>
          <w:sz w:val="24"/>
          <w:szCs w:val="24"/>
        </w:rPr>
        <w:t>s</w:t>
      </w:r>
      <w:r w:rsidRPr="00A61F27">
        <w:rPr>
          <w:rFonts w:ascii="Times New Roman" w:hAnsi="Times New Roman" w:cs="Times New Roman"/>
          <w:sz w:val="24"/>
          <w:szCs w:val="24"/>
        </w:rPr>
        <w:t>, lai tā</w:t>
      </w:r>
      <w:r w:rsidR="00673858" w:rsidRPr="00A61F27">
        <w:rPr>
          <w:rFonts w:ascii="Times New Roman" w:hAnsi="Times New Roman" w:cs="Times New Roman"/>
          <w:sz w:val="24"/>
          <w:szCs w:val="24"/>
        </w:rPr>
        <w:t>s</w:t>
      </w:r>
      <w:r w:rsidRPr="00A61F27">
        <w:rPr>
          <w:rFonts w:ascii="Times New Roman" w:hAnsi="Times New Roman" w:cs="Times New Roman"/>
          <w:sz w:val="24"/>
          <w:szCs w:val="24"/>
        </w:rPr>
        <w:t xml:space="preserve"> sniegtu lauksaimniecības zemju mēslošanai nepieciešamo informāciju par </w:t>
      </w:r>
      <w:r w:rsidR="00673858" w:rsidRPr="00A61F27">
        <w:rPr>
          <w:rFonts w:ascii="Times New Roman" w:hAnsi="Times New Roman" w:cs="Times New Roman"/>
          <w:sz w:val="24"/>
          <w:szCs w:val="24"/>
        </w:rPr>
        <w:t>notekūdeņu</w:t>
      </w:r>
      <w:r w:rsidR="00673858" w:rsidRPr="00A61F27">
        <w:rPr>
          <w:rFonts w:ascii="Times New Roman" w:hAnsi="Times New Roman" w:cs="Times New Roman"/>
        </w:rPr>
        <w:t xml:space="preserve"> </w:t>
      </w:r>
      <w:r w:rsidRPr="00A61F27">
        <w:rPr>
          <w:rFonts w:ascii="Times New Roman" w:hAnsi="Times New Roman" w:cs="Times New Roman"/>
          <w:sz w:val="24"/>
          <w:szCs w:val="24"/>
        </w:rPr>
        <w:t xml:space="preserve">dūņu mitrumu, </w:t>
      </w:r>
      <w:r w:rsidR="004C30E2" w:rsidRPr="00A61F27">
        <w:rPr>
          <w:rFonts w:ascii="Times New Roman" w:hAnsi="Times New Roman" w:cs="Times New Roman"/>
          <w:sz w:val="24"/>
          <w:szCs w:val="24"/>
        </w:rPr>
        <w:t xml:space="preserve">augu barošanās elementu </w:t>
      </w:r>
      <w:r w:rsidRPr="00A61F27">
        <w:rPr>
          <w:rFonts w:ascii="Times New Roman" w:hAnsi="Times New Roman" w:cs="Times New Roman"/>
          <w:sz w:val="24"/>
          <w:szCs w:val="24"/>
        </w:rPr>
        <w:t>daudzum</w:t>
      </w:r>
      <w:r w:rsidR="008E5D4A" w:rsidRPr="00A61F27">
        <w:rPr>
          <w:rFonts w:ascii="Times New Roman" w:hAnsi="Times New Roman" w:cs="Times New Roman"/>
          <w:sz w:val="24"/>
          <w:szCs w:val="24"/>
        </w:rPr>
        <w:t>u</w:t>
      </w:r>
      <w:r w:rsidRPr="00A61F27">
        <w:rPr>
          <w:rFonts w:ascii="Times New Roman" w:hAnsi="Times New Roman" w:cs="Times New Roman"/>
          <w:sz w:val="24"/>
          <w:szCs w:val="24"/>
        </w:rPr>
        <w:t xml:space="preserve">, </w:t>
      </w:r>
      <w:sdt>
        <w:sdtPr>
          <w:rPr>
            <w:rFonts w:ascii="Times New Roman" w:hAnsi="Times New Roman" w:cs="Times New Roman"/>
            <w:sz w:val="24"/>
            <w:szCs w:val="24"/>
          </w:rPr>
          <w:tag w:val="goog_rdk_47"/>
          <w:id w:val="-1426176846"/>
        </w:sdtPr>
        <w:sdtContent/>
      </w:sdt>
      <w:r w:rsidRPr="00A61F27">
        <w:rPr>
          <w:rFonts w:ascii="Times New Roman" w:hAnsi="Times New Roman" w:cs="Times New Roman"/>
          <w:sz w:val="24"/>
          <w:szCs w:val="24"/>
        </w:rPr>
        <w:t>mikroelementu saturu u.c.;</w:t>
      </w:r>
    </w:p>
    <w:p w14:paraId="73656B66" w14:textId="541CD542" w:rsidR="00FA39BF" w:rsidRPr="00A61F27" w:rsidRDefault="00673858" w:rsidP="00673858">
      <w:pPr>
        <w:pStyle w:val="ListParagraph"/>
        <w:numPr>
          <w:ilvl w:val="0"/>
          <w:numId w:val="2"/>
        </w:numPr>
        <w:suppressAutoHyphens/>
        <w:autoSpaceDN w:val="0"/>
        <w:spacing w:after="0"/>
        <w:ind w:left="1134"/>
        <w:contextualSpacing w:val="0"/>
        <w:jc w:val="both"/>
        <w:textAlignment w:val="baseline"/>
        <w:rPr>
          <w:rFonts w:ascii="Times New Roman" w:hAnsi="Times New Roman" w:cs="Times New Roman"/>
          <w:sz w:val="24"/>
          <w:szCs w:val="24"/>
        </w:rPr>
      </w:pPr>
      <w:r w:rsidRPr="00A61F27">
        <w:rPr>
          <w:rFonts w:ascii="Times New Roman" w:hAnsi="Times New Roman" w:cs="Times New Roman"/>
          <w:sz w:val="24"/>
          <w:szCs w:val="24"/>
        </w:rPr>
        <w:t>notekūdeņu</w:t>
      </w:r>
      <w:r w:rsidRPr="00A61F27">
        <w:rPr>
          <w:rFonts w:ascii="Times New Roman" w:hAnsi="Times New Roman" w:cs="Times New Roman"/>
        </w:rPr>
        <w:t xml:space="preserve"> </w:t>
      </w:r>
      <w:r w:rsidR="00FA39BF" w:rsidRPr="00A61F27">
        <w:rPr>
          <w:rFonts w:ascii="Times New Roman" w:hAnsi="Times New Roman" w:cs="Times New Roman"/>
          <w:sz w:val="24"/>
          <w:szCs w:val="24"/>
        </w:rPr>
        <w:t xml:space="preserve">dūņu higienizācija pirms </w:t>
      </w:r>
      <w:r w:rsidRPr="00A61F27">
        <w:rPr>
          <w:rFonts w:ascii="Times New Roman" w:hAnsi="Times New Roman" w:cs="Times New Roman"/>
          <w:sz w:val="24"/>
          <w:szCs w:val="24"/>
        </w:rPr>
        <w:t>to</w:t>
      </w:r>
      <w:r w:rsidR="00FA39BF" w:rsidRPr="00A61F27">
        <w:rPr>
          <w:rFonts w:ascii="Times New Roman" w:hAnsi="Times New Roman" w:cs="Times New Roman"/>
          <w:sz w:val="24"/>
          <w:szCs w:val="24"/>
        </w:rPr>
        <w:t xml:space="preserve"> </w:t>
      </w:r>
      <w:r w:rsidRPr="00A61F27">
        <w:rPr>
          <w:rFonts w:ascii="Times New Roman" w:hAnsi="Times New Roman" w:cs="Times New Roman"/>
          <w:sz w:val="24"/>
          <w:szCs w:val="24"/>
        </w:rPr>
        <w:t>iestrādes lauksaimniecības zemēs</w:t>
      </w:r>
      <w:r w:rsidR="00FA39BF" w:rsidRPr="00A61F27">
        <w:rPr>
          <w:rFonts w:ascii="Times New Roman" w:hAnsi="Times New Roman" w:cs="Times New Roman"/>
          <w:sz w:val="24"/>
          <w:szCs w:val="24"/>
        </w:rPr>
        <w:t xml:space="preserve"> nav obligāti nepieciešama. Lielāku efektu nodrošinātu </w:t>
      </w:r>
      <w:r w:rsidRPr="00A61F27">
        <w:rPr>
          <w:rFonts w:ascii="Times New Roman" w:hAnsi="Times New Roman" w:cs="Times New Roman"/>
          <w:sz w:val="24"/>
          <w:szCs w:val="24"/>
        </w:rPr>
        <w:t xml:space="preserve">precīzs </w:t>
      </w:r>
      <w:r w:rsidR="00FA39BF" w:rsidRPr="00A61F27">
        <w:rPr>
          <w:rFonts w:ascii="Times New Roman" w:hAnsi="Times New Roman" w:cs="Times New Roman"/>
          <w:sz w:val="24"/>
          <w:szCs w:val="24"/>
        </w:rPr>
        <w:t xml:space="preserve">kultūraugu saraksts, kuru audzēšanā ir atļauta notekūdeņu dūņu izmantošana, norādot atļautos </w:t>
      </w:r>
      <w:r w:rsidRPr="00A61F27">
        <w:rPr>
          <w:rFonts w:ascii="Times New Roman" w:hAnsi="Times New Roman" w:cs="Times New Roman"/>
          <w:sz w:val="24"/>
          <w:szCs w:val="24"/>
        </w:rPr>
        <w:t>notekūdeņu</w:t>
      </w:r>
      <w:r w:rsidRPr="00A61F27">
        <w:rPr>
          <w:rFonts w:ascii="Times New Roman" w:hAnsi="Times New Roman" w:cs="Times New Roman"/>
        </w:rPr>
        <w:t xml:space="preserve"> </w:t>
      </w:r>
      <w:r w:rsidR="00FA39BF" w:rsidRPr="00A61F27">
        <w:rPr>
          <w:rFonts w:ascii="Times New Roman" w:hAnsi="Times New Roman" w:cs="Times New Roman"/>
          <w:sz w:val="24"/>
          <w:szCs w:val="24"/>
        </w:rPr>
        <w:t>dūņu iestrādes laikus</w:t>
      </w:r>
      <w:r w:rsidRPr="00A61F27">
        <w:rPr>
          <w:rFonts w:ascii="Times New Roman" w:hAnsi="Times New Roman" w:cs="Times New Roman"/>
          <w:sz w:val="24"/>
          <w:szCs w:val="24"/>
        </w:rPr>
        <w:t xml:space="preserve"> un apjomus</w:t>
      </w:r>
      <w:r w:rsidR="00FA39BF" w:rsidRPr="00A61F27">
        <w:rPr>
          <w:rFonts w:ascii="Times New Roman" w:hAnsi="Times New Roman" w:cs="Times New Roman"/>
          <w:sz w:val="24"/>
          <w:szCs w:val="24"/>
        </w:rPr>
        <w:t>;</w:t>
      </w:r>
    </w:p>
    <w:p w14:paraId="14D61DEB" w14:textId="58351315" w:rsidR="00FA39BF" w:rsidRPr="00A61F27" w:rsidRDefault="00673858" w:rsidP="00673858">
      <w:pPr>
        <w:pStyle w:val="ListParagraph"/>
        <w:numPr>
          <w:ilvl w:val="0"/>
          <w:numId w:val="2"/>
        </w:numPr>
        <w:suppressAutoHyphens/>
        <w:autoSpaceDN w:val="0"/>
        <w:spacing w:after="0"/>
        <w:ind w:left="1134"/>
        <w:contextualSpacing w:val="0"/>
        <w:jc w:val="both"/>
        <w:textAlignment w:val="baseline"/>
        <w:rPr>
          <w:rFonts w:ascii="Times New Roman" w:hAnsi="Times New Roman" w:cs="Times New Roman"/>
          <w:sz w:val="24"/>
          <w:szCs w:val="24"/>
        </w:rPr>
      </w:pPr>
      <w:r w:rsidRPr="00A61F27">
        <w:rPr>
          <w:rFonts w:ascii="Times New Roman" w:hAnsi="Times New Roman" w:cs="Times New Roman"/>
          <w:sz w:val="24"/>
          <w:szCs w:val="24"/>
        </w:rPr>
        <w:lastRenderedPageBreak/>
        <w:t xml:space="preserve">notekūdeņu </w:t>
      </w:r>
      <w:r w:rsidR="00FA39BF" w:rsidRPr="00A61F27">
        <w:rPr>
          <w:rFonts w:ascii="Times New Roman" w:hAnsi="Times New Roman" w:cs="Times New Roman"/>
          <w:sz w:val="24"/>
          <w:szCs w:val="24"/>
        </w:rPr>
        <w:t>dūņu izmantošanu lauksaimniecībā veicinātu vienota pakalpojuma piedāvājums, kura ietvaros pārstrādātas notekūdeņu dūņas tiek piedāvātas komplektā ar to iestrādi augsnē un nepieciešamās dokumentācijas sakārtošanu, tai skaitā lauksaimniecības zemju kvalitatīvā stāvokļa novērtējuma veikšanu;</w:t>
      </w:r>
    </w:p>
    <w:p w14:paraId="2EFEADA8" w14:textId="4BE8C60E" w:rsidR="00FA39BF" w:rsidRPr="00E709EA" w:rsidRDefault="00673858" w:rsidP="00E709EA">
      <w:pPr>
        <w:pStyle w:val="ListParagraph"/>
        <w:numPr>
          <w:ilvl w:val="0"/>
          <w:numId w:val="2"/>
        </w:numPr>
        <w:suppressAutoHyphens/>
        <w:autoSpaceDN w:val="0"/>
        <w:spacing w:after="0"/>
        <w:ind w:left="1134"/>
        <w:contextualSpacing w:val="0"/>
        <w:jc w:val="both"/>
        <w:textAlignment w:val="baseline"/>
        <w:rPr>
          <w:rFonts w:ascii="Times New Roman" w:hAnsi="Times New Roman" w:cs="Times New Roman"/>
        </w:rPr>
      </w:pPr>
      <w:r w:rsidRPr="00A61F27">
        <w:rPr>
          <w:rFonts w:ascii="Times New Roman" w:hAnsi="Times New Roman" w:cs="Times New Roman"/>
          <w:sz w:val="24"/>
          <w:szCs w:val="24"/>
        </w:rPr>
        <w:t xml:space="preserve">notekūdeņu </w:t>
      </w:r>
      <w:r w:rsidR="00FA39BF" w:rsidRPr="00A61F27">
        <w:rPr>
          <w:rFonts w:ascii="Times New Roman" w:hAnsi="Times New Roman" w:cs="Times New Roman"/>
          <w:sz w:val="24"/>
          <w:szCs w:val="24"/>
        </w:rPr>
        <w:t xml:space="preserve">dūņu komposta veidošana lauksaimniecības zemju mēslošanai nav obligāti nepieciešama, bet tā ir vēlama, ja </w:t>
      </w:r>
      <w:r w:rsidRPr="00A61F27">
        <w:rPr>
          <w:rFonts w:ascii="Times New Roman" w:hAnsi="Times New Roman" w:cs="Times New Roman"/>
          <w:sz w:val="24"/>
          <w:szCs w:val="24"/>
        </w:rPr>
        <w:t>to plānots</w:t>
      </w:r>
      <w:r w:rsidR="00FA39BF" w:rsidRPr="00A61F27">
        <w:rPr>
          <w:rFonts w:ascii="Times New Roman" w:hAnsi="Times New Roman" w:cs="Times New Roman"/>
          <w:sz w:val="24"/>
          <w:szCs w:val="24"/>
        </w:rPr>
        <w:t xml:space="preserve"> izmantot citos gala utilizācijas veidos – apzaļumošana, rekultivācija u.c.</w:t>
      </w:r>
    </w:p>
    <w:p w14:paraId="3C02D2D7" w14:textId="77777777" w:rsidR="00E709EA" w:rsidRPr="00A61F27" w:rsidRDefault="00E709EA" w:rsidP="00E709EA">
      <w:pPr>
        <w:pStyle w:val="ListParagraph"/>
        <w:suppressAutoHyphens/>
        <w:autoSpaceDN w:val="0"/>
        <w:spacing w:after="0"/>
        <w:ind w:left="1134"/>
        <w:contextualSpacing w:val="0"/>
        <w:jc w:val="both"/>
        <w:textAlignment w:val="baseline"/>
        <w:rPr>
          <w:rFonts w:ascii="Times New Roman" w:hAnsi="Times New Roman" w:cs="Times New Roman"/>
        </w:rPr>
      </w:pPr>
    </w:p>
    <w:p w14:paraId="7B58C2CB" w14:textId="5540E21C" w:rsidR="00746387" w:rsidRDefault="00746387" w:rsidP="00E709EA">
      <w:pPr>
        <w:pStyle w:val="Heading2"/>
        <w:spacing w:before="0"/>
        <w:jc w:val="center"/>
        <w:rPr>
          <w:rFonts w:ascii="Times New Roman" w:eastAsia="Times New Roman" w:hAnsi="Times New Roman" w:cs="Times New Roman"/>
          <w:b/>
          <w:bCs/>
          <w:color w:val="auto"/>
          <w:sz w:val="24"/>
          <w:szCs w:val="24"/>
          <w:lang w:eastAsia="en-GB"/>
        </w:rPr>
      </w:pPr>
      <w:bookmarkStart w:id="16" w:name="_Toc82430149"/>
      <w:bookmarkStart w:id="17" w:name="_Toc107916301"/>
      <w:r w:rsidRPr="00E709EA">
        <w:rPr>
          <w:rFonts w:ascii="Times New Roman" w:eastAsia="Times New Roman" w:hAnsi="Times New Roman" w:cs="Times New Roman"/>
          <w:b/>
          <w:bCs/>
          <w:color w:val="auto"/>
          <w:sz w:val="24"/>
          <w:szCs w:val="24"/>
          <w:lang w:eastAsia="en-GB"/>
        </w:rPr>
        <w:t>B2. Alternatīva: Pārstrādātu notekūdeņu dūņu dedzināšana</w:t>
      </w:r>
      <w:bookmarkEnd w:id="16"/>
      <w:bookmarkEnd w:id="17"/>
    </w:p>
    <w:p w14:paraId="352F21D1" w14:textId="77777777" w:rsidR="00E709EA" w:rsidRPr="00E709EA" w:rsidRDefault="00E709EA" w:rsidP="00E709EA">
      <w:pPr>
        <w:rPr>
          <w:rFonts w:ascii="Times New Roman" w:hAnsi="Times New Roman" w:cs="Times New Roman"/>
          <w:lang w:eastAsia="en-GB"/>
        </w:rPr>
      </w:pPr>
    </w:p>
    <w:p w14:paraId="1735F1DD" w14:textId="050FA12A" w:rsidR="004E2B46" w:rsidRDefault="00746387" w:rsidP="00BA7AEF">
      <w:pPr>
        <w:spacing w:after="0" w:line="259" w:lineRule="auto"/>
        <w:ind w:firstLine="720"/>
        <w:rPr>
          <w:rFonts w:ascii="Times New Roman" w:hAnsi="Times New Roman" w:cs="Times New Roman"/>
        </w:rPr>
      </w:pPr>
      <w:r w:rsidRPr="00E709EA">
        <w:rPr>
          <w:rFonts w:ascii="Times New Roman" w:hAnsi="Times New Roman" w:cs="Times New Roman"/>
        </w:rPr>
        <w:t>Alternatīva paredz iespēju veikt visu notekūdeņu dūņu dedzināšanu vai nu kā monosadedzināšanu, kad notekūdeņu dūņas tiek izmantotas kā vienīgais sadedzināmais materiāls, vai sadedzināšanu kopā ar citiem resursiem, radot jaunu produktu (cementa rūpniecība), vai kā līdzsadedzināšanu apkures iekārtās, ar mērķi iegūt enerģiju. Notekūdeņu dūņu dedzināšana nav MK noteikumos Nr.362 noteikts notekūdeņu dūņu utilizācijas vai apstrādes veids, bet ir viens no atkritumu utilizācijas veidiem, līdz ar to šāds</w:t>
      </w:r>
      <w:r w:rsidR="00673858" w:rsidRPr="00E709EA">
        <w:rPr>
          <w:rFonts w:ascii="Times New Roman" w:hAnsi="Times New Roman" w:cs="Times New Roman"/>
        </w:rPr>
        <w:t xml:space="preserve"> notekūdeņu</w:t>
      </w:r>
      <w:r w:rsidRPr="00E709EA">
        <w:rPr>
          <w:rFonts w:ascii="Times New Roman" w:hAnsi="Times New Roman" w:cs="Times New Roman"/>
        </w:rPr>
        <w:t xml:space="preserve"> dūņu pārstrādes veids būtu jāīsteno atbilstoši atkritumu apsaimniekošanas nozares nosacījumiem un tiesiskajam ietvaram.</w:t>
      </w:r>
    </w:p>
    <w:p w14:paraId="43A674B1" w14:textId="77777777" w:rsidR="00BA7AEF" w:rsidRPr="00E709EA" w:rsidRDefault="00BA7AEF" w:rsidP="00BA7AEF">
      <w:pPr>
        <w:spacing w:after="0" w:line="259" w:lineRule="auto"/>
        <w:ind w:firstLine="720"/>
        <w:rPr>
          <w:rFonts w:ascii="Times New Roman" w:hAnsi="Times New Roman" w:cs="Times New Roman"/>
        </w:rPr>
      </w:pPr>
    </w:p>
    <w:p w14:paraId="0B8C788A" w14:textId="4F071336" w:rsidR="00746387" w:rsidRDefault="00746387" w:rsidP="00BA7AEF">
      <w:pPr>
        <w:pStyle w:val="Heading3"/>
        <w:spacing w:before="0"/>
        <w:jc w:val="center"/>
        <w:rPr>
          <w:rFonts w:ascii="Times New Roman" w:eastAsia="Times New Roman" w:hAnsi="Times New Roman" w:cs="Times New Roman"/>
          <w:b/>
          <w:bCs/>
          <w:color w:val="auto"/>
          <w:sz w:val="24"/>
          <w:lang w:eastAsia="en-GB"/>
        </w:rPr>
      </w:pPr>
      <w:bookmarkStart w:id="18" w:name="_Toc82430150"/>
      <w:bookmarkStart w:id="19" w:name="_Toc107916302"/>
      <w:r w:rsidRPr="00692B4B">
        <w:rPr>
          <w:rFonts w:ascii="Times New Roman" w:eastAsia="Times New Roman" w:hAnsi="Times New Roman" w:cs="Times New Roman"/>
          <w:b/>
          <w:bCs/>
          <w:color w:val="auto"/>
          <w:sz w:val="24"/>
          <w:lang w:eastAsia="en-GB"/>
        </w:rPr>
        <w:t>B2.1. Alternatīva: Pārstrādātu notekūdeņu dūņu monodedzināšana</w:t>
      </w:r>
      <w:bookmarkEnd w:id="18"/>
      <w:bookmarkEnd w:id="19"/>
    </w:p>
    <w:p w14:paraId="5D78E27F" w14:textId="77777777" w:rsidR="00BA7AEF" w:rsidRPr="00BA7AEF" w:rsidRDefault="00BA7AEF" w:rsidP="00BA7AEF">
      <w:pPr>
        <w:spacing w:after="0"/>
        <w:rPr>
          <w:lang w:eastAsia="en-GB"/>
        </w:rPr>
      </w:pPr>
    </w:p>
    <w:p w14:paraId="26F90407" w14:textId="2741CEA0" w:rsidR="00746387" w:rsidRDefault="00746387" w:rsidP="00BA7AEF">
      <w:pPr>
        <w:spacing w:after="0" w:line="259" w:lineRule="auto"/>
        <w:ind w:firstLine="720"/>
        <w:rPr>
          <w:rFonts w:ascii="Times New Roman" w:hAnsi="Times New Roman" w:cs="Times New Roman"/>
        </w:rPr>
      </w:pPr>
      <w:r w:rsidRPr="00BA7AEF">
        <w:rPr>
          <w:rFonts w:ascii="Times New Roman" w:hAnsi="Times New Roman" w:cs="Times New Roman"/>
        </w:rPr>
        <w:t xml:space="preserve">Notekūdeņu dūņu monodedzināšanas iespējas Latvijā šobrīd nepastāv, jo nav izveidota neviena notekūdeņu dūņu monodedzināšanas iekārta, kuras darbību būtu iespējams novērtēt. Šādas iekārtas nav arī Lietuvā un Igaunijā, kur nepieciešamības gadījumā būtu iespējams veidot savstarpēju sadarbību. Ņemot vērā kopējo notekūdeņu dūņu daudzumu un izvietojumu Latvijā, tad </w:t>
      </w:r>
      <w:sdt>
        <w:sdtPr>
          <w:rPr>
            <w:rFonts w:ascii="Times New Roman" w:hAnsi="Times New Roman" w:cs="Times New Roman"/>
          </w:rPr>
          <w:tag w:val="goog_rdk_40"/>
          <w:id w:val="-1135176685"/>
        </w:sdtPr>
        <w:sdtContent/>
      </w:sdt>
      <w:r w:rsidRPr="00BA7AEF">
        <w:rPr>
          <w:rFonts w:ascii="Times New Roman" w:hAnsi="Times New Roman" w:cs="Times New Roman"/>
        </w:rPr>
        <w:t xml:space="preserve">pamatota varētu būt vienas šādas iekārtas izbūve Latvijas centrālajā daļā, jo aptuveni 40 – 50 % visu Latvijas notekūdeņu veidojas BAS </w:t>
      </w:r>
      <w:r w:rsidR="00673858" w:rsidRPr="00BA7AEF">
        <w:rPr>
          <w:rFonts w:ascii="Times New Roman" w:hAnsi="Times New Roman" w:cs="Times New Roman"/>
        </w:rPr>
        <w:t>“</w:t>
      </w:r>
      <w:r w:rsidRPr="00BA7AEF">
        <w:rPr>
          <w:rFonts w:ascii="Times New Roman" w:hAnsi="Times New Roman" w:cs="Times New Roman"/>
        </w:rPr>
        <w:t>Daugavgrīva</w:t>
      </w:r>
      <w:r w:rsidR="00673858" w:rsidRPr="00BA7AEF">
        <w:rPr>
          <w:rFonts w:ascii="Times New Roman" w:hAnsi="Times New Roman" w:cs="Times New Roman"/>
        </w:rPr>
        <w:t>”</w:t>
      </w:r>
      <w:r w:rsidRPr="00BA7AEF">
        <w:rPr>
          <w:rFonts w:ascii="Times New Roman" w:hAnsi="Times New Roman" w:cs="Times New Roman"/>
        </w:rPr>
        <w:t xml:space="preserve">, un notekūdeņu dūņu monosadedzināšanas iekārtu izbūve būtu jāveic šo NAI tuvumā. SIA “Rīgas ūdens” ir norādījis, ka tiek gatavots tehniski ekonomiskais pamatojums notekūdeņu dūņu pārstrādes un utilizācijas procesu organizēšanai BAS </w:t>
      </w:r>
      <w:r w:rsidR="00673858" w:rsidRPr="00BA7AEF">
        <w:rPr>
          <w:rFonts w:ascii="Times New Roman" w:hAnsi="Times New Roman" w:cs="Times New Roman"/>
        </w:rPr>
        <w:t>“</w:t>
      </w:r>
      <w:r w:rsidRPr="00BA7AEF">
        <w:rPr>
          <w:rFonts w:ascii="Times New Roman" w:hAnsi="Times New Roman" w:cs="Times New Roman"/>
        </w:rPr>
        <w:t>Daugavgrīva</w:t>
      </w:r>
      <w:r w:rsidR="00673858" w:rsidRPr="00BA7AEF">
        <w:rPr>
          <w:rFonts w:ascii="Times New Roman" w:hAnsi="Times New Roman" w:cs="Times New Roman"/>
        </w:rPr>
        <w:t>”</w:t>
      </w:r>
      <w:r w:rsidRPr="00BA7AEF">
        <w:rPr>
          <w:rFonts w:ascii="Times New Roman" w:hAnsi="Times New Roman" w:cs="Times New Roman"/>
        </w:rPr>
        <w:t xml:space="preserve">. Pirms nav veikts detalizēts novērtējums un aprēķini, šādas monodedzināšanas iekārtas izbūve BAS </w:t>
      </w:r>
      <w:r w:rsidR="00673858" w:rsidRPr="00BA7AEF">
        <w:rPr>
          <w:rFonts w:ascii="Times New Roman" w:hAnsi="Times New Roman" w:cs="Times New Roman"/>
        </w:rPr>
        <w:t>“</w:t>
      </w:r>
      <w:r w:rsidRPr="00BA7AEF">
        <w:rPr>
          <w:rFonts w:ascii="Times New Roman" w:hAnsi="Times New Roman" w:cs="Times New Roman"/>
        </w:rPr>
        <w:t>Daugavgrīva</w:t>
      </w:r>
      <w:r w:rsidR="00673858" w:rsidRPr="00BA7AEF">
        <w:rPr>
          <w:rFonts w:ascii="Times New Roman" w:hAnsi="Times New Roman" w:cs="Times New Roman"/>
        </w:rPr>
        <w:t>”</w:t>
      </w:r>
      <w:r w:rsidRPr="00BA7AEF">
        <w:rPr>
          <w:rFonts w:ascii="Times New Roman" w:hAnsi="Times New Roman" w:cs="Times New Roman"/>
        </w:rPr>
        <w:t xml:space="preserve"> teritorijā nav iespējama.</w:t>
      </w:r>
    </w:p>
    <w:p w14:paraId="22A0852D" w14:textId="77777777" w:rsidR="00BA7AEF" w:rsidRPr="00BA7AEF" w:rsidRDefault="00BA7AEF" w:rsidP="00BA7AEF">
      <w:pPr>
        <w:spacing w:after="0" w:line="259" w:lineRule="auto"/>
        <w:ind w:firstLine="720"/>
        <w:rPr>
          <w:rFonts w:ascii="Times New Roman" w:eastAsia="Calibri" w:hAnsi="Times New Roman" w:cs="Times New Roman"/>
          <w:sz w:val="28"/>
          <w:lang w:eastAsia="lv-LV"/>
        </w:rPr>
      </w:pPr>
    </w:p>
    <w:p w14:paraId="3A1C355E" w14:textId="4E944A92" w:rsidR="00746387" w:rsidRDefault="00746387" w:rsidP="00BA7AEF">
      <w:pPr>
        <w:pStyle w:val="Heading3"/>
        <w:spacing w:before="0"/>
        <w:jc w:val="center"/>
        <w:rPr>
          <w:rFonts w:ascii="Times New Roman" w:eastAsia="Times New Roman" w:hAnsi="Times New Roman" w:cs="Times New Roman"/>
          <w:b/>
          <w:bCs/>
          <w:color w:val="auto"/>
          <w:sz w:val="24"/>
          <w:lang w:eastAsia="en-GB"/>
        </w:rPr>
      </w:pPr>
      <w:bookmarkStart w:id="20" w:name="_Toc82430151"/>
      <w:bookmarkStart w:id="21" w:name="_Toc107916303"/>
      <w:r w:rsidRPr="00BA7AEF">
        <w:rPr>
          <w:rFonts w:ascii="Times New Roman" w:eastAsia="Times New Roman" w:hAnsi="Times New Roman" w:cs="Times New Roman"/>
          <w:b/>
          <w:bCs/>
          <w:color w:val="auto"/>
          <w:sz w:val="24"/>
          <w:lang w:eastAsia="en-GB"/>
        </w:rPr>
        <w:t>B2.2. Alternatīva: Pārstrādātu notekūdeņu dūņu līdzdedzināšana cementa rūpnīcā</w:t>
      </w:r>
      <w:bookmarkEnd w:id="20"/>
      <w:bookmarkEnd w:id="21"/>
    </w:p>
    <w:p w14:paraId="6693C1F6" w14:textId="77777777" w:rsidR="00BA7AEF" w:rsidRPr="00BA7AEF" w:rsidRDefault="00BA7AEF" w:rsidP="00BA7AEF">
      <w:pPr>
        <w:spacing w:after="0"/>
        <w:rPr>
          <w:lang w:eastAsia="en-GB"/>
        </w:rPr>
      </w:pPr>
    </w:p>
    <w:p w14:paraId="67383329" w14:textId="1311A4E3" w:rsidR="00BE1BDE" w:rsidRPr="00BA7AEF" w:rsidRDefault="00BE1BDE" w:rsidP="00BA7AEF">
      <w:pPr>
        <w:spacing w:after="0"/>
        <w:ind w:firstLine="720"/>
        <w:rPr>
          <w:rFonts w:ascii="Times New Roman" w:hAnsi="Times New Roman" w:cs="Times New Roman"/>
        </w:rPr>
      </w:pPr>
      <w:r w:rsidRPr="00BA7AEF">
        <w:rPr>
          <w:rFonts w:ascii="Times New Roman" w:hAnsi="Times New Roman" w:cs="Times New Roman"/>
        </w:rPr>
        <w:t xml:space="preserve">Pastāv iespējas notekūdeņu dūņas dedzināt kopā ar citām vielām cementa rūpnīcās cementa masas ražošanai. Viena no </w:t>
      </w:r>
      <w:r w:rsidR="00673858" w:rsidRPr="00BA7AEF">
        <w:rPr>
          <w:rFonts w:ascii="Times New Roman" w:hAnsi="Times New Roman" w:cs="Times New Roman"/>
        </w:rPr>
        <w:t>šādām</w:t>
      </w:r>
      <w:r w:rsidRPr="00BA7AEF">
        <w:rPr>
          <w:rFonts w:ascii="Times New Roman" w:hAnsi="Times New Roman" w:cs="Times New Roman"/>
        </w:rPr>
        <w:t xml:space="preserve"> rūpnīcām atrodas Brocēnos (aptuveni 110 km no Rīgas), bet otra Akmenē (Lietuva, aptuveni 130 km attālumā no Rīgas). Uzņēmumi izvirza </w:t>
      </w:r>
      <w:r w:rsidR="00673858" w:rsidRPr="00BA7AEF">
        <w:rPr>
          <w:rFonts w:ascii="Times New Roman" w:hAnsi="Times New Roman" w:cs="Times New Roman"/>
        </w:rPr>
        <w:t>precīzas</w:t>
      </w:r>
      <w:r w:rsidRPr="00BA7AEF">
        <w:rPr>
          <w:rFonts w:ascii="Times New Roman" w:hAnsi="Times New Roman" w:cs="Times New Roman"/>
        </w:rPr>
        <w:t xml:space="preserve"> notekūdeņu dūņu kvalitātes prasības pirms </w:t>
      </w:r>
      <w:r w:rsidR="008E5D4A" w:rsidRPr="00BA7AEF">
        <w:rPr>
          <w:rFonts w:ascii="Times New Roman" w:hAnsi="Times New Roman" w:cs="Times New Roman"/>
        </w:rPr>
        <w:t xml:space="preserve">notekūdeņu dūņu </w:t>
      </w:r>
      <w:r w:rsidRPr="00BA7AEF">
        <w:rPr>
          <w:rFonts w:ascii="Times New Roman" w:hAnsi="Times New Roman" w:cs="Times New Roman"/>
        </w:rPr>
        <w:t xml:space="preserve">pieņemšanas dedzināšanai attiecībā uz smago metālu daudzumu, sausnas daudzumu, </w:t>
      </w:r>
      <w:r w:rsidR="008E5D4A" w:rsidRPr="00BA7AEF">
        <w:rPr>
          <w:rFonts w:ascii="Times New Roman" w:hAnsi="Times New Roman" w:cs="Times New Roman"/>
        </w:rPr>
        <w:t xml:space="preserve">notekūdeņu </w:t>
      </w:r>
      <w:r w:rsidRPr="00BA7AEF">
        <w:rPr>
          <w:rFonts w:ascii="Times New Roman" w:hAnsi="Times New Roman" w:cs="Times New Roman"/>
        </w:rPr>
        <w:t xml:space="preserve">dūņu enerģētisko vērtību un citiem rādītājiem. Novērtējot izvirzītās prasības, </w:t>
      </w:r>
      <w:r w:rsidR="00673858" w:rsidRPr="00BA7AEF">
        <w:rPr>
          <w:rFonts w:ascii="Times New Roman" w:hAnsi="Times New Roman" w:cs="Times New Roman"/>
        </w:rPr>
        <w:t>secināts</w:t>
      </w:r>
      <w:r w:rsidRPr="00BA7AEF">
        <w:rPr>
          <w:rFonts w:ascii="Times New Roman" w:hAnsi="Times New Roman" w:cs="Times New Roman"/>
        </w:rPr>
        <w:t>, ka pārstrādātas Latvijas notekūdeņu dūņas izpildītu izvirzītās prasības un tās ir izmantojamas dedzināšanai cementa rūpnīcā. Turklāt jāņem vērā, ka</w:t>
      </w:r>
      <w:r w:rsidR="00673858" w:rsidRPr="00BA7AEF">
        <w:rPr>
          <w:rFonts w:ascii="Times New Roman" w:hAnsi="Times New Roman" w:cs="Times New Roman"/>
        </w:rPr>
        <w:t xml:space="preserve"> notekūdeņu</w:t>
      </w:r>
      <w:r w:rsidRPr="00BA7AEF">
        <w:rPr>
          <w:rFonts w:ascii="Times New Roman" w:hAnsi="Times New Roman" w:cs="Times New Roman"/>
        </w:rPr>
        <w:t xml:space="preserve"> dūņu </w:t>
      </w:r>
      <w:r w:rsidRPr="00BA7AEF">
        <w:rPr>
          <w:rFonts w:ascii="Times New Roman" w:hAnsi="Times New Roman" w:cs="Times New Roman"/>
        </w:rPr>
        <w:lastRenderedPageBreak/>
        <w:t>sadedzināšanas pelnus nav nepieciešams apglabāt vai citādi utilizēt, jo tie nonāk cementa sastāvā un tiek iebūvēti reizē ar cement</w:t>
      </w:r>
      <w:r w:rsidR="00673858" w:rsidRPr="00BA7AEF">
        <w:rPr>
          <w:rFonts w:ascii="Times New Roman" w:hAnsi="Times New Roman" w:cs="Times New Roman"/>
        </w:rPr>
        <w:t>a iestrādi būvdarbu laikā</w:t>
      </w:r>
      <w:r w:rsidRPr="00BA7AEF">
        <w:rPr>
          <w:rFonts w:ascii="Times New Roman" w:hAnsi="Times New Roman" w:cs="Times New Roman"/>
        </w:rPr>
        <w:t xml:space="preserve">. </w:t>
      </w:r>
    </w:p>
    <w:p w14:paraId="720F87D4" w14:textId="2C499DE8" w:rsidR="00BE1BDE" w:rsidRDefault="00BE1BDE" w:rsidP="00BA7AEF">
      <w:pPr>
        <w:spacing w:after="0"/>
        <w:ind w:firstLine="720"/>
        <w:rPr>
          <w:rFonts w:ascii="Times New Roman" w:hAnsi="Times New Roman" w:cs="Times New Roman"/>
        </w:rPr>
      </w:pPr>
      <w:r w:rsidRPr="00BA7AEF">
        <w:rPr>
          <w:rFonts w:ascii="Times New Roman" w:hAnsi="Times New Roman" w:cs="Times New Roman"/>
        </w:rPr>
        <w:t>Lai nodrošinātu atbilstoši pārstrādātu</w:t>
      </w:r>
      <w:r w:rsidR="00673858" w:rsidRPr="00BA7AEF">
        <w:rPr>
          <w:rFonts w:ascii="Times New Roman" w:hAnsi="Times New Roman" w:cs="Times New Roman"/>
        </w:rPr>
        <w:t xml:space="preserve"> notekūdeņu</w:t>
      </w:r>
      <w:r w:rsidRPr="00BA7AEF">
        <w:rPr>
          <w:rFonts w:ascii="Times New Roman" w:hAnsi="Times New Roman" w:cs="Times New Roman"/>
        </w:rPr>
        <w:t xml:space="preserve"> dūņu padošanu uz cementa rūpnīcas dedzināšanas krāsnīm, ir nepieciešamas izmaiņas rūpnīcas darbībā, k</w:t>
      </w:r>
      <w:r w:rsidR="00673858" w:rsidRPr="00BA7AEF">
        <w:rPr>
          <w:rFonts w:ascii="Times New Roman" w:hAnsi="Times New Roman" w:cs="Times New Roman"/>
        </w:rPr>
        <w:t>a</w:t>
      </w:r>
      <w:r w:rsidRPr="00BA7AEF">
        <w:rPr>
          <w:rFonts w:ascii="Times New Roman" w:hAnsi="Times New Roman" w:cs="Times New Roman"/>
        </w:rPr>
        <w:t xml:space="preserve">s prasa papildu investīcijas. Tāpat nepieciešams risināt jautājumus par smaku novēršanu, ar ko saskartos rūpnīcas, kad tiktu nodrošināta visu Latvijas notekūdeņu dūņu </w:t>
      </w:r>
      <w:r w:rsidR="00673858" w:rsidRPr="00BA7AEF">
        <w:rPr>
          <w:rFonts w:ascii="Times New Roman" w:hAnsi="Times New Roman" w:cs="Times New Roman"/>
        </w:rPr>
        <w:t>sa</w:t>
      </w:r>
      <w:r w:rsidRPr="00BA7AEF">
        <w:rPr>
          <w:rFonts w:ascii="Times New Roman" w:hAnsi="Times New Roman" w:cs="Times New Roman"/>
        </w:rPr>
        <w:t>dedzināšana</w:t>
      </w:r>
      <w:r w:rsidR="00673858" w:rsidRPr="00BA7AEF">
        <w:rPr>
          <w:rFonts w:ascii="Times New Roman" w:hAnsi="Times New Roman" w:cs="Times New Roman"/>
        </w:rPr>
        <w:t xml:space="preserve">, kas </w:t>
      </w:r>
      <w:r w:rsidRPr="00BA7AEF">
        <w:rPr>
          <w:rFonts w:ascii="Times New Roman" w:hAnsi="Times New Roman" w:cs="Times New Roman"/>
        </w:rPr>
        <w:t xml:space="preserve">būtu papildus izmaksas, </w:t>
      </w:r>
      <w:r w:rsidR="007B23A5" w:rsidRPr="00BA7AEF">
        <w:rPr>
          <w:rFonts w:ascii="Times New Roman" w:hAnsi="Times New Roman" w:cs="Times New Roman"/>
        </w:rPr>
        <w:t>kuras</w:t>
      </w:r>
      <w:r w:rsidRPr="00BA7AEF">
        <w:rPr>
          <w:rFonts w:ascii="Times New Roman" w:hAnsi="Times New Roman" w:cs="Times New Roman"/>
        </w:rPr>
        <w:t xml:space="preserve"> pilnā apmērā būtu jāsedz SPS nododot notekūdeņu dūņas. Papildus jāsedz arī dabas resursa nodokļa maksājumi un citi cementa rūpnīcas saistītie izdevumi, kas rastos </w:t>
      </w:r>
      <w:r w:rsidR="007B23A5" w:rsidRPr="00BA7AEF">
        <w:rPr>
          <w:rFonts w:ascii="Times New Roman" w:hAnsi="Times New Roman" w:cs="Times New Roman"/>
        </w:rPr>
        <w:t xml:space="preserve">notekūdeņu </w:t>
      </w:r>
      <w:r w:rsidRPr="00BA7AEF">
        <w:rPr>
          <w:rFonts w:ascii="Times New Roman" w:hAnsi="Times New Roman" w:cs="Times New Roman"/>
        </w:rPr>
        <w:t>dūņu dedzināšanas</w:t>
      </w:r>
      <w:r w:rsidR="0030237D" w:rsidRPr="0030237D">
        <w:rPr>
          <w:rFonts w:ascii="Times New Roman" w:hAnsi="Times New Roman" w:cs="Times New Roman"/>
        </w:rPr>
        <w:t xml:space="preserve"> </w:t>
      </w:r>
      <w:r w:rsidR="0030237D" w:rsidRPr="00BA7AEF">
        <w:rPr>
          <w:rFonts w:ascii="Times New Roman" w:hAnsi="Times New Roman" w:cs="Times New Roman"/>
        </w:rPr>
        <w:t>dēļ</w:t>
      </w:r>
      <w:r w:rsidRPr="00BA7AEF">
        <w:rPr>
          <w:rFonts w:ascii="Times New Roman" w:hAnsi="Times New Roman" w:cs="Times New Roman"/>
        </w:rPr>
        <w:t xml:space="preserve">. </w:t>
      </w:r>
      <w:r w:rsidR="007B23A5" w:rsidRPr="00BA7AEF">
        <w:rPr>
          <w:rFonts w:ascii="Times New Roman" w:hAnsi="Times New Roman" w:cs="Times New Roman"/>
        </w:rPr>
        <w:t xml:space="preserve">Ņemot vērā minēto, </w:t>
      </w:r>
      <w:r w:rsidRPr="00BA7AEF">
        <w:rPr>
          <w:rFonts w:ascii="Times New Roman" w:hAnsi="Times New Roman" w:cs="Times New Roman"/>
        </w:rPr>
        <w:t>maksu par pārstrādātu notekūdeņu dūņu dedzināšanu cementa rūpnīcā šajā brīdī nav iespējams</w:t>
      </w:r>
      <w:r w:rsidR="007B23A5" w:rsidRPr="00BA7AEF">
        <w:rPr>
          <w:rFonts w:ascii="Times New Roman" w:hAnsi="Times New Roman" w:cs="Times New Roman"/>
        </w:rPr>
        <w:t xml:space="preserve"> aprēķināt</w:t>
      </w:r>
      <w:r w:rsidRPr="00BA7AEF">
        <w:rPr>
          <w:rFonts w:ascii="Times New Roman" w:hAnsi="Times New Roman" w:cs="Times New Roman"/>
        </w:rPr>
        <w:t xml:space="preserve"> un to nevarēja nosaukt arī rūpnīcas pārstāvji, norādot, ka, lai šādu maksu aprēķinātu, sākotnēji ir jāgarantē noteikts pārstrādājamo notekūdeņu dūņu daudzums, attiecīgi kuram tiktu aprēķināta maksa, kā arī būtu jāslēdz ilgtermiņa sadarbības līgums par </w:t>
      </w:r>
      <w:r w:rsidR="007B23A5" w:rsidRPr="00BA7AEF">
        <w:rPr>
          <w:rFonts w:ascii="Times New Roman" w:hAnsi="Times New Roman" w:cs="Times New Roman"/>
        </w:rPr>
        <w:t xml:space="preserve">notekūdeņu </w:t>
      </w:r>
      <w:r w:rsidRPr="00BA7AEF">
        <w:rPr>
          <w:rFonts w:ascii="Times New Roman" w:hAnsi="Times New Roman" w:cs="Times New Roman"/>
        </w:rPr>
        <w:t xml:space="preserve">dūņu nodošanu. Papildus risku rada situācija, ka cementa rūpnīcas ir neatkarīga juridiska persona un tā var pieņemt pastāvīgus lēmumus arī par sadarbības izbeigšanu vai līguma grozīšanu, kas </w:t>
      </w:r>
      <w:r w:rsidR="007B23A5" w:rsidRPr="00BA7AEF">
        <w:rPr>
          <w:rFonts w:ascii="Times New Roman" w:hAnsi="Times New Roman" w:cs="Times New Roman"/>
        </w:rPr>
        <w:t>iz</w:t>
      </w:r>
      <w:r w:rsidRPr="00BA7AEF">
        <w:rPr>
          <w:rFonts w:ascii="Times New Roman" w:hAnsi="Times New Roman" w:cs="Times New Roman"/>
        </w:rPr>
        <w:t>mainītu pārstrādātu notekūdeņu dūņu nodošanas iespējas</w:t>
      </w:r>
      <w:r w:rsidR="007B23A5" w:rsidRPr="00BA7AEF">
        <w:rPr>
          <w:rFonts w:ascii="Times New Roman" w:hAnsi="Times New Roman" w:cs="Times New Roman"/>
        </w:rPr>
        <w:t xml:space="preserve"> un ietekmētu visu Latviju vienlaicīgi</w:t>
      </w:r>
      <w:r w:rsidRPr="00BA7AEF">
        <w:rPr>
          <w:rFonts w:ascii="Times New Roman" w:hAnsi="Times New Roman" w:cs="Times New Roman"/>
        </w:rPr>
        <w:t>. Turklāt visu notekūdeņu dūņu nodošana pārstrādei viena vai divu komersanta rokās, rada riskus par neierobežotu</w:t>
      </w:r>
      <w:r w:rsidR="007B23A5" w:rsidRPr="00BA7AEF">
        <w:rPr>
          <w:rFonts w:ascii="Times New Roman" w:hAnsi="Times New Roman" w:cs="Times New Roman"/>
        </w:rPr>
        <w:t xml:space="preserve"> un neietekmējamu</w:t>
      </w:r>
      <w:r w:rsidRPr="00BA7AEF">
        <w:rPr>
          <w:rFonts w:ascii="Times New Roman" w:hAnsi="Times New Roman" w:cs="Times New Roman"/>
        </w:rPr>
        <w:t xml:space="preserve"> peļņas daļas </w:t>
      </w:r>
      <w:r w:rsidR="007B23A5" w:rsidRPr="00BA7AEF">
        <w:rPr>
          <w:rFonts w:ascii="Times New Roman" w:hAnsi="Times New Roman" w:cs="Times New Roman"/>
        </w:rPr>
        <w:t>īpatsvaru</w:t>
      </w:r>
      <w:r w:rsidRPr="00BA7AEF">
        <w:rPr>
          <w:rFonts w:ascii="Times New Roman" w:hAnsi="Times New Roman" w:cs="Times New Roman"/>
        </w:rPr>
        <w:t xml:space="preserve"> pakalpojuma maksā.</w:t>
      </w:r>
    </w:p>
    <w:p w14:paraId="02F68437" w14:textId="77777777" w:rsidR="00BA7AEF" w:rsidRPr="00BA7AEF" w:rsidRDefault="00BA7AEF" w:rsidP="00BA7AEF">
      <w:pPr>
        <w:spacing w:after="0"/>
        <w:ind w:firstLine="720"/>
        <w:rPr>
          <w:rFonts w:ascii="Times New Roman" w:hAnsi="Times New Roman" w:cs="Times New Roman"/>
        </w:rPr>
      </w:pPr>
    </w:p>
    <w:p w14:paraId="58DACB59" w14:textId="08AFE479" w:rsidR="00BE1BDE" w:rsidRDefault="00BE1BDE" w:rsidP="00BA7AEF">
      <w:pPr>
        <w:pStyle w:val="Heading3"/>
        <w:spacing w:before="0"/>
        <w:jc w:val="center"/>
        <w:rPr>
          <w:rFonts w:ascii="Times New Roman" w:eastAsia="Times New Roman" w:hAnsi="Times New Roman" w:cs="Times New Roman"/>
          <w:b/>
          <w:bCs/>
          <w:color w:val="auto"/>
          <w:sz w:val="24"/>
          <w:lang w:eastAsia="en-GB"/>
        </w:rPr>
      </w:pPr>
      <w:bookmarkStart w:id="22" w:name="_Toc82430152"/>
      <w:bookmarkStart w:id="23" w:name="_Toc107916304"/>
      <w:r w:rsidRPr="00BA7AEF">
        <w:rPr>
          <w:rFonts w:ascii="Times New Roman" w:eastAsia="Times New Roman" w:hAnsi="Times New Roman" w:cs="Times New Roman"/>
          <w:b/>
          <w:bCs/>
          <w:color w:val="auto"/>
          <w:sz w:val="24"/>
          <w:lang w:eastAsia="en-GB"/>
        </w:rPr>
        <w:t>B2.3. Alternatīva: Pārstrādātu notekūdeņu dūņu līdzsadedzināšana siltuma ražošanai</w:t>
      </w:r>
      <w:bookmarkEnd w:id="22"/>
      <w:bookmarkEnd w:id="23"/>
    </w:p>
    <w:p w14:paraId="5EDCA828" w14:textId="77777777" w:rsidR="00BA7AEF" w:rsidRPr="00BA7AEF" w:rsidRDefault="00BA7AEF" w:rsidP="00BA7AEF">
      <w:pPr>
        <w:spacing w:after="0"/>
        <w:rPr>
          <w:lang w:eastAsia="en-GB"/>
        </w:rPr>
      </w:pPr>
    </w:p>
    <w:p w14:paraId="5CB7EE92" w14:textId="52FBC933" w:rsidR="00BE1BDE" w:rsidRPr="00BA7AEF" w:rsidRDefault="00BE1BDE" w:rsidP="00BA7AEF">
      <w:pPr>
        <w:spacing w:after="0"/>
        <w:ind w:firstLine="720"/>
        <w:rPr>
          <w:rFonts w:ascii="Times New Roman" w:hAnsi="Times New Roman" w:cs="Times New Roman"/>
        </w:rPr>
      </w:pPr>
      <w:r w:rsidRPr="00BA7AEF">
        <w:rPr>
          <w:rFonts w:ascii="Times New Roman" w:hAnsi="Times New Roman" w:cs="Times New Roman"/>
        </w:rPr>
        <w:t xml:space="preserve">Šīs alternatīvas ietvaros tiek apskatīta </w:t>
      </w:r>
      <w:r w:rsidR="00AA3A5A" w:rsidRPr="00BA7AEF">
        <w:rPr>
          <w:rFonts w:ascii="Times New Roman" w:hAnsi="Times New Roman" w:cs="Times New Roman"/>
        </w:rPr>
        <w:t xml:space="preserve">notekūdeņu </w:t>
      </w:r>
      <w:r w:rsidRPr="00BA7AEF">
        <w:rPr>
          <w:rFonts w:ascii="Times New Roman" w:hAnsi="Times New Roman" w:cs="Times New Roman"/>
        </w:rPr>
        <w:t>dūņu dedzināšana lielos apjomos, negranulētā veidā esošās vai jaunās apkur</w:t>
      </w:r>
      <w:r w:rsidR="00AA3A5A" w:rsidRPr="00BA7AEF">
        <w:rPr>
          <w:rFonts w:ascii="Times New Roman" w:hAnsi="Times New Roman" w:cs="Times New Roman"/>
        </w:rPr>
        <w:t>e</w:t>
      </w:r>
      <w:r w:rsidRPr="00BA7AEF">
        <w:rPr>
          <w:rFonts w:ascii="Times New Roman" w:hAnsi="Times New Roman" w:cs="Times New Roman"/>
        </w:rPr>
        <w:t>s iekārtās, kopā ar citiem kurināmā veidiem, iegūstot siltumenerģiju. Izvērtējot Lietuvas pieredzi, kur Viļņā ir izveidota</w:t>
      </w:r>
      <w:r w:rsidR="00AA3A5A" w:rsidRPr="00BA7AEF">
        <w:rPr>
          <w:rFonts w:ascii="Times New Roman" w:hAnsi="Times New Roman" w:cs="Times New Roman"/>
        </w:rPr>
        <w:t xml:space="preserve"> notekūdeņu</w:t>
      </w:r>
      <w:r w:rsidRPr="00BA7AEF">
        <w:rPr>
          <w:rFonts w:ascii="Times New Roman" w:hAnsi="Times New Roman" w:cs="Times New Roman"/>
        </w:rPr>
        <w:t xml:space="preserve"> dūņu žāvēšanas un granulēšanas iekārta (skat. nodaļu “ES valstu pieredze notekūdeņu dūņu apsaimniekošanā un utilizācijā”), tad šādu </w:t>
      </w:r>
      <w:sdt>
        <w:sdtPr>
          <w:rPr>
            <w:rFonts w:ascii="Times New Roman" w:hAnsi="Times New Roman" w:cs="Times New Roman"/>
          </w:rPr>
          <w:tag w:val="goog_rdk_43"/>
          <w:id w:val="426323362"/>
        </w:sdtPr>
        <w:sdtContent/>
      </w:sdt>
      <w:r w:rsidRPr="00BA7AEF">
        <w:rPr>
          <w:rFonts w:ascii="Times New Roman" w:hAnsi="Times New Roman" w:cs="Times New Roman"/>
        </w:rPr>
        <w:t xml:space="preserve">granulu ražošanas ir būtiskas </w:t>
      </w:r>
      <w:r w:rsidR="00AA3A5A" w:rsidRPr="00BA7AEF">
        <w:rPr>
          <w:rFonts w:ascii="Times New Roman" w:hAnsi="Times New Roman" w:cs="Times New Roman"/>
        </w:rPr>
        <w:t xml:space="preserve">papildus </w:t>
      </w:r>
      <w:r w:rsidRPr="00BA7AEF">
        <w:rPr>
          <w:rFonts w:ascii="Times New Roman" w:hAnsi="Times New Roman" w:cs="Times New Roman"/>
        </w:rPr>
        <w:t>izmaksas, kas nesniedz nozīmīgus ieguvumus. Ņemot vērā minēto, vienkāršāks u</w:t>
      </w:r>
      <w:r w:rsidR="00AA3A5A" w:rsidRPr="00BA7AEF">
        <w:rPr>
          <w:rFonts w:ascii="Times New Roman" w:hAnsi="Times New Roman" w:cs="Times New Roman"/>
        </w:rPr>
        <w:t>n</w:t>
      </w:r>
      <w:r w:rsidRPr="00BA7AEF">
        <w:rPr>
          <w:rFonts w:ascii="Times New Roman" w:hAnsi="Times New Roman" w:cs="Times New Roman"/>
        </w:rPr>
        <w:t xml:space="preserve"> izmaksu ziņā </w:t>
      </w:r>
      <w:r w:rsidR="00AA3A5A" w:rsidRPr="00BA7AEF">
        <w:rPr>
          <w:rFonts w:ascii="Times New Roman" w:hAnsi="Times New Roman" w:cs="Times New Roman"/>
        </w:rPr>
        <w:t>efektīvāks</w:t>
      </w:r>
      <w:r w:rsidRPr="00BA7AEF">
        <w:rPr>
          <w:rFonts w:ascii="Times New Roman" w:hAnsi="Times New Roman" w:cs="Times New Roman"/>
        </w:rPr>
        <w:t xml:space="preserve"> risinājums ir žāvētu </w:t>
      </w:r>
      <w:r w:rsidR="00AA3A5A" w:rsidRPr="00BA7AEF">
        <w:rPr>
          <w:rFonts w:ascii="Times New Roman" w:hAnsi="Times New Roman" w:cs="Times New Roman"/>
        </w:rPr>
        <w:t xml:space="preserve">notekūdeņu </w:t>
      </w:r>
      <w:r w:rsidRPr="00BA7AEF">
        <w:rPr>
          <w:rFonts w:ascii="Times New Roman" w:hAnsi="Times New Roman" w:cs="Times New Roman"/>
        </w:rPr>
        <w:t xml:space="preserve">dūņu (skat. alternatīvu D4.2.) dedzināšana negranulētā veidā dažādas jaudas katlu mājās kopā ar šķeldu. Veicot papildus ieguldījumus šādās katlu mājās, būtu iespējams nodrošināt notekūdeņu dūņu pieņemšanu sadedzināšanai un dūmgāzu kontrolei. </w:t>
      </w:r>
      <w:r w:rsidR="00AA3A5A" w:rsidRPr="00BA7AEF">
        <w:rPr>
          <w:rFonts w:ascii="Times New Roman" w:hAnsi="Times New Roman" w:cs="Times New Roman"/>
        </w:rPr>
        <w:t>A</w:t>
      </w:r>
      <w:r w:rsidRPr="00BA7AEF">
        <w:rPr>
          <w:rFonts w:ascii="Times New Roman" w:hAnsi="Times New Roman" w:cs="Times New Roman"/>
        </w:rPr>
        <w:t>lternatīva samazinātu žāvētu</w:t>
      </w:r>
      <w:r w:rsidR="00AA3A5A" w:rsidRPr="00BA7AEF">
        <w:rPr>
          <w:rFonts w:ascii="Times New Roman" w:hAnsi="Times New Roman" w:cs="Times New Roman"/>
        </w:rPr>
        <w:t xml:space="preserve"> notekūdeņu</w:t>
      </w:r>
      <w:r w:rsidRPr="00BA7AEF">
        <w:rPr>
          <w:rFonts w:ascii="Times New Roman" w:hAnsi="Times New Roman" w:cs="Times New Roman"/>
        </w:rPr>
        <w:t xml:space="preserve"> dūņu transportēšanas izmaksas uz vienu dedzināšanas punktu Latvijā (B2.1. alternatīva), bet paaugstināt</w:t>
      </w:r>
      <w:r w:rsidR="00AA3A5A" w:rsidRPr="00BA7AEF">
        <w:rPr>
          <w:rFonts w:ascii="Times New Roman" w:hAnsi="Times New Roman" w:cs="Times New Roman"/>
        </w:rPr>
        <w:t>u</w:t>
      </w:r>
      <w:r w:rsidRPr="00BA7AEF">
        <w:rPr>
          <w:rFonts w:ascii="Times New Roman" w:hAnsi="Times New Roman" w:cs="Times New Roman"/>
        </w:rPr>
        <w:t xml:space="preserve"> investīciju izmaksas, kas ir ieguldāmas vairākās katlu mājās visā Latvijā. Papildus, jāņem vērā, ka katlu mājām, kurās izmantotu notekūdeņu dūņas, pieaugtu uzraudzības un kontroles prasības, lai </w:t>
      </w:r>
      <w:r w:rsidR="00AA3A5A" w:rsidRPr="00BA7AEF">
        <w:rPr>
          <w:rFonts w:ascii="Times New Roman" w:hAnsi="Times New Roman" w:cs="Times New Roman"/>
        </w:rPr>
        <w:t>nodrošinātu</w:t>
      </w:r>
      <w:r w:rsidRPr="00BA7AEF">
        <w:rPr>
          <w:rFonts w:ascii="Times New Roman" w:hAnsi="Times New Roman" w:cs="Times New Roman"/>
        </w:rPr>
        <w:t xml:space="preserve"> dūmgāzu un pelnu kvalitāte</w:t>
      </w:r>
      <w:r w:rsidR="00AA3A5A" w:rsidRPr="00BA7AEF">
        <w:rPr>
          <w:rFonts w:ascii="Times New Roman" w:hAnsi="Times New Roman" w:cs="Times New Roman"/>
        </w:rPr>
        <w:t>s kontroli</w:t>
      </w:r>
      <w:r w:rsidRPr="00BA7AEF">
        <w:rPr>
          <w:rFonts w:ascii="Times New Roman" w:hAnsi="Times New Roman" w:cs="Times New Roman"/>
        </w:rPr>
        <w:t xml:space="preserve">. Pievestās </w:t>
      </w:r>
      <w:r w:rsidR="00AA3A5A" w:rsidRPr="00BA7AEF">
        <w:rPr>
          <w:rFonts w:ascii="Times New Roman" w:hAnsi="Times New Roman" w:cs="Times New Roman"/>
        </w:rPr>
        <w:t xml:space="preserve">notekūdeņu </w:t>
      </w:r>
      <w:r w:rsidRPr="00BA7AEF">
        <w:rPr>
          <w:rFonts w:ascii="Times New Roman" w:hAnsi="Times New Roman" w:cs="Times New Roman"/>
        </w:rPr>
        <w:t>dūņas katlu mājās radī</w:t>
      </w:r>
      <w:r w:rsidR="00AA3A5A" w:rsidRPr="00BA7AEF">
        <w:rPr>
          <w:rFonts w:ascii="Times New Roman" w:hAnsi="Times New Roman" w:cs="Times New Roman"/>
        </w:rPr>
        <w:t>s</w:t>
      </w:r>
      <w:r w:rsidRPr="00BA7AEF">
        <w:rPr>
          <w:rFonts w:ascii="Times New Roman" w:hAnsi="Times New Roman" w:cs="Times New Roman"/>
        </w:rPr>
        <w:t xml:space="preserve"> smakas un </w:t>
      </w:r>
      <w:r w:rsidR="00AA3A5A" w:rsidRPr="00BA7AEF">
        <w:rPr>
          <w:rFonts w:ascii="Times New Roman" w:hAnsi="Times New Roman" w:cs="Times New Roman"/>
        </w:rPr>
        <w:t>būs</w:t>
      </w:r>
      <w:r w:rsidRPr="00BA7AEF">
        <w:rPr>
          <w:rFonts w:ascii="Times New Roman" w:hAnsi="Times New Roman" w:cs="Times New Roman"/>
        </w:rPr>
        <w:t xml:space="preserve"> nepieciešams veikt ieguldījumus smaku mazināšanai un pilnveidot risinājumus </w:t>
      </w:r>
      <w:r w:rsidR="00AA3A5A" w:rsidRPr="00BA7AEF">
        <w:rPr>
          <w:rFonts w:ascii="Times New Roman" w:hAnsi="Times New Roman" w:cs="Times New Roman"/>
        </w:rPr>
        <w:t xml:space="preserve">notekūdeņu </w:t>
      </w:r>
      <w:r w:rsidRPr="00BA7AEF">
        <w:rPr>
          <w:rFonts w:ascii="Times New Roman" w:hAnsi="Times New Roman" w:cs="Times New Roman"/>
        </w:rPr>
        <w:t xml:space="preserve">dūņu uzglabāšanai, lai nodrošinātu to aizsardzību pret nokrišņiem un dažādu vielu emisiju. Esošo katlu māju īpašnieki un apsaimniekotāji neuzskata </w:t>
      </w:r>
      <w:r w:rsidR="00AA3A5A" w:rsidRPr="00BA7AEF">
        <w:rPr>
          <w:rFonts w:ascii="Times New Roman" w:hAnsi="Times New Roman" w:cs="Times New Roman"/>
        </w:rPr>
        <w:t xml:space="preserve">notekūdeņu </w:t>
      </w:r>
      <w:r w:rsidRPr="00BA7AEF">
        <w:rPr>
          <w:rFonts w:ascii="Times New Roman" w:hAnsi="Times New Roman" w:cs="Times New Roman"/>
        </w:rPr>
        <w:t>dūņu dedzināšanu par iespējamu un piemērotu alternatīvu, turklā</w:t>
      </w:r>
      <w:r w:rsidR="00AA3A5A" w:rsidRPr="00BA7AEF">
        <w:rPr>
          <w:rFonts w:ascii="Times New Roman" w:hAnsi="Times New Roman" w:cs="Times New Roman"/>
        </w:rPr>
        <w:t>t</w:t>
      </w:r>
      <w:r w:rsidRPr="00BA7AEF">
        <w:rPr>
          <w:rFonts w:ascii="Times New Roman" w:hAnsi="Times New Roman" w:cs="Times New Roman"/>
        </w:rPr>
        <w:t xml:space="preserve"> kopējais enerģijas ieguldījums </w:t>
      </w:r>
      <w:r w:rsidR="00AA3A5A" w:rsidRPr="00BA7AEF">
        <w:rPr>
          <w:rFonts w:ascii="Times New Roman" w:hAnsi="Times New Roman" w:cs="Times New Roman"/>
        </w:rPr>
        <w:t xml:space="preserve">notekūdeņu </w:t>
      </w:r>
      <w:r w:rsidRPr="00BA7AEF">
        <w:rPr>
          <w:rFonts w:ascii="Times New Roman" w:hAnsi="Times New Roman" w:cs="Times New Roman"/>
        </w:rPr>
        <w:t xml:space="preserve">dūņu apstrādei, žāvēšanai un nogādāšanai uz sadedzināšanas iekārtām pārsniegtu siltumenerģijas apjomu, ko no tām var iegūt. </w:t>
      </w:r>
      <w:r w:rsidR="00AA3A5A" w:rsidRPr="00BA7AEF">
        <w:rPr>
          <w:rFonts w:ascii="Times New Roman" w:hAnsi="Times New Roman" w:cs="Times New Roman"/>
        </w:rPr>
        <w:t>V</w:t>
      </w:r>
      <w:r w:rsidRPr="00BA7AEF">
        <w:rPr>
          <w:rFonts w:ascii="Times New Roman" w:hAnsi="Times New Roman" w:cs="Times New Roman"/>
        </w:rPr>
        <w:t>eicot</w:t>
      </w:r>
      <w:r w:rsidR="00AA3A5A" w:rsidRPr="00BA7AEF">
        <w:rPr>
          <w:rFonts w:ascii="Times New Roman" w:hAnsi="Times New Roman" w:cs="Times New Roman"/>
        </w:rPr>
        <w:t xml:space="preserve"> notekūdeņu</w:t>
      </w:r>
      <w:r w:rsidRPr="00BA7AEF">
        <w:rPr>
          <w:rFonts w:ascii="Times New Roman" w:hAnsi="Times New Roman" w:cs="Times New Roman"/>
        </w:rPr>
        <w:t xml:space="preserve"> dūņu dedzināšanu, apkures iekārtu operatoriem jārēķinās ar būtiskām administratīvām </w:t>
      </w:r>
      <w:r w:rsidRPr="00BA7AEF">
        <w:rPr>
          <w:rFonts w:ascii="Times New Roman" w:hAnsi="Times New Roman" w:cs="Times New Roman"/>
        </w:rPr>
        <w:lastRenderedPageBreak/>
        <w:t>prasīb</w:t>
      </w:r>
      <w:r w:rsidR="00B53769" w:rsidRPr="00BA7AEF">
        <w:rPr>
          <w:rFonts w:ascii="Times New Roman" w:hAnsi="Times New Roman" w:cs="Times New Roman"/>
        </w:rPr>
        <w:t>ām</w:t>
      </w:r>
      <w:r w:rsidRPr="00BA7AEF">
        <w:rPr>
          <w:rFonts w:ascii="Times New Roman" w:hAnsi="Times New Roman" w:cs="Times New Roman"/>
        </w:rPr>
        <w:t>, darba organizācijas un kontroles nosacījumu izmaiņām, ko, ņemot vērā, ka esošās šķeldas dedzināšanas katlu mājas vairumā gadījumu apsaimnieko nelieli uzņēmumi ar nepietiekošu profesionālo un pieredzes kapacitāti notekūdeņu dūņām līdzvērtīgu materiālu dedzināšanā, varētu būt grūti ievērot. Uzņēmumiem arī nepastāv motivācija vai interese uzņemties šāda veida papildus saistības, jo tās nav saistītas ar kādiem ekonomiskiem vai cita rakstura ieguvumiem.</w:t>
      </w:r>
    </w:p>
    <w:p w14:paraId="17483DB2" w14:textId="1B91CCD6" w:rsidR="004E2B46" w:rsidRDefault="00BA7AEF" w:rsidP="00670164">
      <w:pPr>
        <w:spacing w:before="120" w:after="120"/>
        <w:ind w:firstLine="720"/>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56" behindDoc="0" locked="0" layoutInCell="1" hidden="0" allowOverlap="1" wp14:anchorId="204E3A9B" wp14:editId="436BEA82">
                <wp:simplePos x="0" y="0"/>
                <wp:positionH relativeFrom="margin">
                  <wp:align>right</wp:align>
                </wp:positionH>
                <wp:positionV relativeFrom="paragraph">
                  <wp:posOffset>3524250</wp:posOffset>
                </wp:positionV>
                <wp:extent cx="5372735" cy="1181100"/>
                <wp:effectExtent l="19050" t="19050" r="18415" b="19050"/>
                <wp:wrapSquare wrapText="bothSides" distT="45720" distB="45720" distL="114300" distR="114300"/>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181100"/>
                        </a:xfrm>
                        <a:prstGeom prst="rect">
                          <a:avLst/>
                        </a:prstGeom>
                        <a:solidFill>
                          <a:srgbClr val="FFFFFF"/>
                        </a:solidFill>
                        <a:ln w="38100">
                          <a:solidFill>
                            <a:srgbClr val="FFC000"/>
                          </a:solidFill>
                          <a:miter lim="800000"/>
                          <a:headEnd/>
                          <a:tailEnd/>
                        </a:ln>
                      </wps:spPr>
                      <wps:txbx>
                        <w:txbxContent>
                          <w:p w14:paraId="77CE41E1" w14:textId="77777777" w:rsidR="00BA7AEF" w:rsidRPr="00BA7AEF" w:rsidRDefault="00BA7AEF" w:rsidP="00BA7AEF">
                            <w:pPr>
                              <w:spacing w:after="0"/>
                              <w:rPr>
                                <w:rFonts w:ascii="Times New Roman" w:eastAsia="Calibri" w:hAnsi="Times New Roman" w:cs="Times New Roman"/>
                                <w:iCs/>
                                <w:sz w:val="28"/>
                                <w:lang w:eastAsia="lv-LV"/>
                              </w:rPr>
                            </w:pPr>
                            <w:r w:rsidRPr="00BA7AEF">
                              <w:rPr>
                                <w:rFonts w:ascii="Times New Roman" w:hAnsi="Times New Roman" w:cs="Times New Roman"/>
                                <w:b/>
                                <w:iCs/>
                                <w:color w:val="1F4E79" w:themeColor="accent1" w:themeShade="80"/>
                              </w:rPr>
                              <w:t>Savstarpēji salīdzinot vairākas notekūdeņu dūņu dedzināšanas iespējas, kā labākais šī brīža risinājums ir uzskatāms risinājums par visu Latvijas notekūdeņu dūņu dedzināšanu cementa rūpnīcā, sadedzināšanas pelnus iekļaujot cementa sastāvā, taču šāds risinājums nav piemērots visas valsts notekūdeņu dūņu utilizācijai.</w:t>
                            </w:r>
                          </w:p>
                          <w:p w14:paraId="2D68F97F" w14:textId="77777777" w:rsidR="00BA7AEF" w:rsidRPr="007E349D" w:rsidRDefault="00BA7AEF" w:rsidP="00BA7AEF">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E3A9B" id="Text Box 49" o:spid="_x0000_s1031" type="#_x0000_t202" style="position:absolute;left:0;text-align:left;margin-left:371.85pt;margin-top:277.5pt;width:423.05pt;height:93pt;z-index:2516582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" strokecolor="#ffc000" strokeweight="3pt">
                <v:textbox>
                  <w:txbxContent>
                    <w:p w14:paraId="77CE41E1" w14:textId="77777777" w:rsidR="00BA7AEF" w:rsidRPr="00BA7AEF" w:rsidRDefault="00BA7AEF" w:rsidP="00BA7AEF">
                      <w:pPr>
                        <w:spacing w:after="0"/>
                        <w:rPr>
                          <w:rFonts w:ascii="Times New Roman" w:eastAsia="Calibri" w:hAnsi="Times New Roman" w:cs="Times New Roman"/>
                          <w:iCs/>
                          <w:sz w:val="28"/>
                          <w:lang w:eastAsia="lv-LV"/>
                        </w:rPr>
                      </w:pPr>
                      <w:r w:rsidRPr="00BA7AEF">
                        <w:rPr>
                          <w:rFonts w:ascii="Times New Roman" w:hAnsi="Times New Roman" w:cs="Times New Roman"/>
                          <w:b/>
                          <w:iCs/>
                          <w:color w:val="1F4E79" w:themeColor="accent1" w:themeShade="80"/>
                        </w:rPr>
                        <w:t>Savstarpēji salīdzinot vairākas notekūdeņu dūņu dedzināšanas iespējas, kā labākais šī brīža risinājums ir uzskatāms risinājums par visu Latvijas notekūdeņu dūņu dedzināšanu cementa rūpnīcā, sadedzināšanas pelnus iekļaujot cementa sastāvā, taču šāds risinājums nav piemērots visas valsts notekūdeņu dūņu utilizācijai.</w:t>
                      </w:r>
                    </w:p>
                    <w:p w14:paraId="2D68F97F" w14:textId="77777777" w:rsidR="00BA7AEF" w:rsidRPr="007E349D" w:rsidRDefault="00BA7AEF" w:rsidP="00BA7AEF">
                      <w:pPr>
                        <w:rPr>
                          <w:rFonts w:ascii="Times New Roman" w:hAnsi="Times New Roman" w:cs="Times New Roman"/>
                          <w:b/>
                          <w:bCs/>
                          <w:color w:val="44546A" w:themeColor="text2"/>
                        </w:rPr>
                      </w:pPr>
                    </w:p>
                  </w:txbxContent>
                </v:textbox>
                <w10:wrap type="square" anchorx="margin"/>
              </v:shape>
            </w:pict>
          </mc:Fallback>
        </mc:AlternateContent>
      </w:r>
      <w:r w:rsidR="00BE1BDE" w:rsidRPr="00BA7AEF">
        <w:rPr>
          <w:rFonts w:ascii="Times New Roman" w:hAnsi="Times New Roman" w:cs="Times New Roman"/>
        </w:rPr>
        <w:t xml:space="preserve">Papildus </w:t>
      </w:r>
      <w:r w:rsidR="00AA3A5A" w:rsidRPr="00BA7AEF">
        <w:rPr>
          <w:rFonts w:ascii="Times New Roman" w:hAnsi="Times New Roman" w:cs="Times New Roman"/>
        </w:rPr>
        <w:t xml:space="preserve">jāņem vērā, ka </w:t>
      </w:r>
      <w:r w:rsidR="00BE1BDE" w:rsidRPr="00BA7AEF">
        <w:rPr>
          <w:rFonts w:ascii="Times New Roman" w:hAnsi="Times New Roman" w:cs="Times New Roman"/>
        </w:rPr>
        <w:t xml:space="preserve">Latvijas atkritumu apsaimniekošanas valsts plānā 2021. - 2028. gads ir noteikts, ka šobrīd ieviešanas stadijā ir no atkritumiem iegūta kurināmā reģenerācijas iekārtu izbūve Ventspilī (plānotā jauda 15,5 tūkst.t./gadā) un Jelgavā (plānotā jauda 20-30 tūkst.t./gadā). </w:t>
      </w:r>
      <w:r w:rsidR="00AA3A5A" w:rsidRPr="00BA7AEF">
        <w:rPr>
          <w:rFonts w:ascii="Times New Roman" w:hAnsi="Times New Roman" w:cs="Times New Roman"/>
        </w:rPr>
        <w:t>P</w:t>
      </w:r>
      <w:r w:rsidR="00BE1BDE" w:rsidRPr="00BA7AEF">
        <w:rPr>
          <w:rFonts w:ascii="Times New Roman" w:hAnsi="Times New Roman" w:cs="Times New Roman"/>
        </w:rPr>
        <w:t xml:space="preserve">lānā </w:t>
      </w:r>
      <w:r w:rsidR="00AA3A5A" w:rsidRPr="00BA7AEF">
        <w:rPr>
          <w:rFonts w:ascii="Times New Roman" w:hAnsi="Times New Roman" w:cs="Times New Roman"/>
        </w:rPr>
        <w:t xml:space="preserve"> arī</w:t>
      </w:r>
      <w:r w:rsidR="00BE1BDE" w:rsidRPr="00BA7AEF">
        <w:rPr>
          <w:rFonts w:ascii="Times New Roman" w:hAnsi="Times New Roman" w:cs="Times New Roman"/>
        </w:rPr>
        <w:t xml:space="preserve"> ieteikts līdz 2035.gadam izbūvēt vēl </w:t>
      </w:r>
      <w:sdt>
        <w:sdtPr>
          <w:rPr>
            <w:rFonts w:ascii="Times New Roman" w:hAnsi="Times New Roman" w:cs="Times New Roman"/>
          </w:rPr>
          <w:tag w:val="goog_rdk_44"/>
          <w:id w:val="578256742"/>
        </w:sdtPr>
        <w:sdtContent/>
      </w:sdt>
      <w:r w:rsidR="00BE1BDE" w:rsidRPr="00BA7AEF">
        <w:rPr>
          <w:rFonts w:ascii="Times New Roman" w:hAnsi="Times New Roman" w:cs="Times New Roman"/>
        </w:rPr>
        <w:t>trīs jauna reģenerācijas iekārtas Rīgā, Vidzemē un Latgalē</w:t>
      </w:r>
      <w:r w:rsidR="00AA3A5A" w:rsidRPr="00BA7AEF">
        <w:rPr>
          <w:rFonts w:ascii="Times New Roman" w:hAnsi="Times New Roman" w:cs="Times New Roman"/>
        </w:rPr>
        <w:t>, ka</w:t>
      </w:r>
      <w:r w:rsidR="00BE1BDE" w:rsidRPr="00BA7AEF">
        <w:rPr>
          <w:rFonts w:ascii="Times New Roman" w:hAnsi="Times New Roman" w:cs="Times New Roman"/>
        </w:rPr>
        <w:t xml:space="preserve">s nozīmē, ka pēc 2035.gada teorētiski parādīsies iespēja notekūdeņu dūņas dedzināt arī kopā ar citiem atkritumiem lielākās apkures iekārtās, kas varētu būt piemērotas arī notekūdeņu dūņu dedzināšanai un kurās uzstādītā un izmantotā uzraudzības un kontroles sistēma būtu atbilstoša arī </w:t>
      </w:r>
      <w:r w:rsidR="00AA3A5A" w:rsidRPr="00BA7AEF">
        <w:rPr>
          <w:rFonts w:ascii="Times New Roman" w:hAnsi="Times New Roman" w:cs="Times New Roman"/>
        </w:rPr>
        <w:t xml:space="preserve">notekūdeņu </w:t>
      </w:r>
      <w:r w:rsidR="00BE1BDE" w:rsidRPr="00BA7AEF">
        <w:rPr>
          <w:rFonts w:ascii="Times New Roman" w:hAnsi="Times New Roman" w:cs="Times New Roman"/>
        </w:rPr>
        <w:t xml:space="preserve">dūņu dedzināšanai. Ja šāda infrastruktūra ap 2035.gadu valstī ir izbūvēta un kāda no jaunajām rūpnīcām piedāvā konkurētspējīgu </w:t>
      </w:r>
      <w:r w:rsidR="00AA3A5A" w:rsidRPr="00BA7AEF">
        <w:rPr>
          <w:rFonts w:ascii="Times New Roman" w:hAnsi="Times New Roman" w:cs="Times New Roman"/>
        </w:rPr>
        <w:t xml:space="preserve">notekūdeņu </w:t>
      </w:r>
      <w:r w:rsidR="00BE1BDE" w:rsidRPr="00BA7AEF">
        <w:rPr>
          <w:rFonts w:ascii="Times New Roman" w:hAnsi="Times New Roman" w:cs="Times New Roman"/>
        </w:rPr>
        <w:t xml:space="preserve">dūņu utilizācijas pakalpojumu, tad tuvākie un lielākie SPS var izvēlēties šādu alternatīvu, izbūvējot infrastruktūru </w:t>
      </w:r>
      <w:r w:rsidR="00AA3A5A" w:rsidRPr="00BA7AEF">
        <w:rPr>
          <w:rFonts w:ascii="Times New Roman" w:hAnsi="Times New Roman" w:cs="Times New Roman"/>
        </w:rPr>
        <w:t xml:space="preserve">notekūdeņu </w:t>
      </w:r>
      <w:r w:rsidR="00BE1BDE" w:rsidRPr="00BA7AEF">
        <w:rPr>
          <w:rFonts w:ascii="Times New Roman" w:hAnsi="Times New Roman" w:cs="Times New Roman"/>
        </w:rPr>
        <w:t xml:space="preserve">dūņu žāvēšanai. </w:t>
      </w:r>
      <w:r w:rsidR="00AA3A5A" w:rsidRPr="00BA7AEF">
        <w:rPr>
          <w:rFonts w:ascii="Times New Roman" w:hAnsi="Times New Roman" w:cs="Times New Roman"/>
        </w:rPr>
        <w:t>Neskatoties uz minēto,</w:t>
      </w:r>
      <w:r w:rsidR="00BE1BDE" w:rsidRPr="00BA7AEF">
        <w:rPr>
          <w:rFonts w:ascii="Times New Roman" w:hAnsi="Times New Roman" w:cs="Times New Roman"/>
        </w:rPr>
        <w:t xml:space="preserve"> šobrīd alternatīva nav piemērota un </w:t>
      </w:r>
      <w:r w:rsidR="00B53769" w:rsidRPr="00BA7AEF">
        <w:rPr>
          <w:rFonts w:ascii="Times New Roman" w:hAnsi="Times New Roman" w:cs="Times New Roman"/>
        </w:rPr>
        <w:t xml:space="preserve">nav </w:t>
      </w:r>
      <w:r w:rsidR="00BE1BDE" w:rsidRPr="00BA7AEF">
        <w:rPr>
          <w:rFonts w:ascii="Times New Roman" w:hAnsi="Times New Roman" w:cs="Times New Roman"/>
        </w:rPr>
        <w:t xml:space="preserve">izmantojama visu Latvijas notekūdeņu dūņu utilizācijas plānošanai, jo plānojot </w:t>
      </w:r>
      <w:r w:rsidR="00AA3A5A" w:rsidRPr="00BA7AEF">
        <w:rPr>
          <w:rFonts w:ascii="Times New Roman" w:hAnsi="Times New Roman" w:cs="Times New Roman"/>
        </w:rPr>
        <w:t>minēto atkritumu dedzināšanas</w:t>
      </w:r>
      <w:r w:rsidR="00BE1BDE" w:rsidRPr="00BA7AEF">
        <w:rPr>
          <w:rFonts w:ascii="Times New Roman" w:hAnsi="Times New Roman" w:cs="Times New Roman"/>
        </w:rPr>
        <w:t xml:space="preserve"> iekārtu jaudas atkritumu apsaimniekošanas valsts plānā, notekūdeņu dūņu daudzums netika ņemts vērā un nav paredzams, ka uzstādītās jaudas rezerves būs pietiekamas arī dūņu sadedzināšanai.</w:t>
      </w:r>
    </w:p>
    <w:p w14:paraId="6F80C5D6" w14:textId="77777777" w:rsidR="004E2B46" w:rsidRPr="00175DD0" w:rsidRDefault="004E2B46" w:rsidP="00657E1D">
      <w:pPr>
        <w:spacing w:after="160" w:line="259" w:lineRule="auto"/>
        <w:jc w:val="left"/>
        <w:rPr>
          <w:rFonts w:ascii="Bahnschrift Light Condensed" w:eastAsia="Calibri" w:hAnsi="Bahnschrift Light Condensed" w:cs="Times New Roman"/>
          <w:sz w:val="28"/>
          <w:lang w:eastAsia="lv-LV"/>
        </w:rPr>
      </w:pPr>
    </w:p>
    <w:p w14:paraId="3A328AAB" w14:textId="77777777" w:rsidR="000B7734" w:rsidRPr="00BA7AEF" w:rsidRDefault="000B7734" w:rsidP="00BA7AEF">
      <w:pPr>
        <w:pStyle w:val="Heading2"/>
        <w:spacing w:before="120" w:after="120"/>
        <w:jc w:val="center"/>
        <w:rPr>
          <w:rFonts w:ascii="Times New Roman" w:eastAsia="Times New Roman" w:hAnsi="Times New Roman" w:cs="Times New Roman"/>
          <w:b/>
          <w:bCs/>
          <w:color w:val="auto"/>
          <w:sz w:val="24"/>
          <w:szCs w:val="24"/>
          <w:lang w:eastAsia="en-GB"/>
        </w:rPr>
      </w:pPr>
      <w:bookmarkStart w:id="24" w:name="_Toc82430153"/>
      <w:bookmarkStart w:id="25" w:name="_Toc107916305"/>
      <w:r w:rsidRPr="00BA7AEF">
        <w:rPr>
          <w:rFonts w:ascii="Times New Roman" w:eastAsia="Times New Roman" w:hAnsi="Times New Roman" w:cs="Times New Roman"/>
          <w:b/>
          <w:bCs/>
          <w:color w:val="auto"/>
          <w:sz w:val="24"/>
          <w:szCs w:val="24"/>
          <w:lang w:eastAsia="en-GB"/>
        </w:rPr>
        <w:t>B3. Alternatīva: Notekūdeņu dūņu pārstrāde un gala izmantošana ar dažādām inovatīvām metodēm</w:t>
      </w:r>
      <w:bookmarkEnd w:id="24"/>
      <w:bookmarkEnd w:id="25"/>
    </w:p>
    <w:p w14:paraId="3FFE9990" w14:textId="245AD51A" w:rsidR="000B7734" w:rsidRPr="00BA7AEF" w:rsidRDefault="000B7734" w:rsidP="000B7734">
      <w:pPr>
        <w:spacing w:before="120" w:after="120"/>
        <w:ind w:firstLine="720"/>
        <w:rPr>
          <w:rFonts w:ascii="Times New Roman" w:hAnsi="Times New Roman" w:cs="Times New Roman"/>
        </w:rPr>
      </w:pPr>
      <w:r w:rsidRPr="00BA7AEF">
        <w:rPr>
          <w:rFonts w:ascii="Times New Roman" w:hAnsi="Times New Roman" w:cs="Times New Roman"/>
        </w:rPr>
        <w:t xml:space="preserve">Pastāv dažādi, tai skaitā inovatīvi risinājumi, kuru ietvaros notekūdeņu dūņas ir ātrāk pārstrādājamas vai tās ir izmantojamas kā izejvielas dažādu jaunu produktu (materiālu) ražošanā, vai ir iespējama tajās esošo </w:t>
      </w:r>
      <w:r w:rsidR="004C30E2" w:rsidRPr="00BA7AEF">
        <w:rPr>
          <w:rFonts w:ascii="Times New Roman" w:hAnsi="Times New Roman" w:cs="Times New Roman"/>
        </w:rPr>
        <w:t xml:space="preserve">augu barošanās elementu </w:t>
      </w:r>
      <w:r w:rsidRPr="00BA7AEF">
        <w:rPr>
          <w:rFonts w:ascii="Times New Roman" w:hAnsi="Times New Roman" w:cs="Times New Roman"/>
        </w:rPr>
        <w:t xml:space="preserve">atgūšana. </w:t>
      </w:r>
    </w:p>
    <w:p w14:paraId="2556022E" w14:textId="1B89B926" w:rsidR="000B7734" w:rsidRPr="00BA7AEF" w:rsidRDefault="000B7734" w:rsidP="000B7734">
      <w:pPr>
        <w:spacing w:before="120" w:after="120"/>
        <w:ind w:firstLine="720"/>
        <w:rPr>
          <w:rFonts w:ascii="Times New Roman" w:hAnsi="Times New Roman" w:cs="Times New Roman"/>
        </w:rPr>
      </w:pPr>
      <w:r w:rsidRPr="00BA7AEF">
        <w:rPr>
          <w:rFonts w:ascii="Times New Roman" w:hAnsi="Times New Roman" w:cs="Times New Roman"/>
        </w:rPr>
        <w:t xml:space="preserve">Notekūdeņu dūņu apstrādes procesu ir iespējams papildināt ar </w:t>
      </w:r>
      <w:r w:rsidR="00AA3A5A" w:rsidRPr="00BA7AEF">
        <w:rPr>
          <w:rFonts w:ascii="Times New Roman" w:hAnsi="Times New Roman" w:cs="Times New Roman"/>
        </w:rPr>
        <w:t xml:space="preserve">notekūdeņu </w:t>
      </w:r>
      <w:r w:rsidRPr="00BA7AEF">
        <w:rPr>
          <w:rFonts w:ascii="Times New Roman" w:hAnsi="Times New Roman" w:cs="Times New Roman"/>
        </w:rPr>
        <w:t>dūņu apstrādes KFO tehnoloģijām (</w:t>
      </w:r>
      <w:r w:rsidR="00AA3A5A" w:rsidRPr="00BA7AEF">
        <w:rPr>
          <w:rFonts w:ascii="Times New Roman" w:hAnsi="Times New Roman" w:cs="Times New Roman"/>
        </w:rPr>
        <w:t xml:space="preserve">notekūdeņu </w:t>
      </w:r>
      <w:r w:rsidRPr="00BA7AEF">
        <w:rPr>
          <w:rFonts w:ascii="Times New Roman" w:hAnsi="Times New Roman" w:cs="Times New Roman"/>
        </w:rPr>
        <w:t>dūņu kavitācija un fermentācija). Tehnoloģiju izplatītāji apliecina, ka šī tehnoloģija nodrošina lētāku un</w:t>
      </w:r>
      <w:r w:rsidR="00AA3A5A" w:rsidRPr="00BA7AEF">
        <w:rPr>
          <w:rFonts w:ascii="Times New Roman" w:hAnsi="Times New Roman" w:cs="Times New Roman"/>
        </w:rPr>
        <w:t xml:space="preserve"> </w:t>
      </w:r>
      <w:r w:rsidRPr="00BA7AEF">
        <w:rPr>
          <w:rFonts w:ascii="Times New Roman" w:hAnsi="Times New Roman" w:cs="Times New Roman"/>
        </w:rPr>
        <w:t xml:space="preserve">vienkāršāku </w:t>
      </w:r>
      <w:r w:rsidR="00AA3A5A" w:rsidRPr="00BA7AEF">
        <w:rPr>
          <w:rFonts w:ascii="Times New Roman" w:hAnsi="Times New Roman" w:cs="Times New Roman"/>
        </w:rPr>
        <w:t xml:space="preserve">notekūdeņu </w:t>
      </w:r>
      <w:r w:rsidRPr="00BA7AEF">
        <w:rPr>
          <w:rFonts w:ascii="Times New Roman" w:hAnsi="Times New Roman" w:cs="Times New Roman"/>
        </w:rPr>
        <w:t>dūņu pēcapstrādi</w:t>
      </w:r>
      <w:r w:rsidR="00AA3A5A" w:rsidRPr="00BA7AEF">
        <w:rPr>
          <w:rFonts w:ascii="Times New Roman" w:hAnsi="Times New Roman" w:cs="Times New Roman"/>
        </w:rPr>
        <w:t>, ka</w:t>
      </w:r>
      <w:r w:rsidRPr="00BA7AEF">
        <w:rPr>
          <w:rFonts w:ascii="Times New Roman" w:hAnsi="Times New Roman" w:cs="Times New Roman"/>
        </w:rPr>
        <w:t xml:space="preserve">s nozīmē, ka tehnoloģija </w:t>
      </w:r>
      <w:r w:rsidR="00AA3A5A" w:rsidRPr="00BA7AEF">
        <w:rPr>
          <w:rFonts w:ascii="Times New Roman" w:hAnsi="Times New Roman" w:cs="Times New Roman"/>
        </w:rPr>
        <w:t xml:space="preserve">notekūdeņu </w:t>
      </w:r>
      <w:r w:rsidRPr="00BA7AEF">
        <w:rPr>
          <w:rFonts w:ascii="Times New Roman" w:hAnsi="Times New Roman" w:cs="Times New Roman"/>
        </w:rPr>
        <w:t xml:space="preserve">dūņas nepārveido, bet maina tradicionālo apstrādes procesu. </w:t>
      </w:r>
      <w:r w:rsidR="00AA3A5A" w:rsidRPr="00BA7AEF">
        <w:rPr>
          <w:rFonts w:ascii="Times New Roman" w:hAnsi="Times New Roman" w:cs="Times New Roman"/>
        </w:rPr>
        <w:t>Notekūdeņu d</w:t>
      </w:r>
      <w:r w:rsidRPr="00BA7AEF">
        <w:rPr>
          <w:rFonts w:ascii="Times New Roman" w:hAnsi="Times New Roman" w:cs="Times New Roman"/>
        </w:rPr>
        <w:t>ūņu gala pārstrādes risinājumi (skat. alternatīvas C1., C2. un C3) joprojām ir nepieciešam</w:t>
      </w:r>
      <w:r w:rsidR="00B53769" w:rsidRPr="00BA7AEF">
        <w:rPr>
          <w:rFonts w:ascii="Times New Roman" w:hAnsi="Times New Roman" w:cs="Times New Roman"/>
        </w:rPr>
        <w:t>i</w:t>
      </w:r>
      <w:r w:rsidRPr="00BA7AEF">
        <w:rPr>
          <w:rFonts w:ascii="Times New Roman" w:hAnsi="Times New Roman" w:cs="Times New Roman"/>
        </w:rPr>
        <w:t xml:space="preserve">, kā arī ir jālemj par labāko notekūdeņu dūņu utilizācijas alternatīvu. Šādas </w:t>
      </w:r>
      <w:r w:rsidR="00AA3A5A" w:rsidRPr="00BA7AEF">
        <w:rPr>
          <w:rFonts w:ascii="Times New Roman" w:hAnsi="Times New Roman" w:cs="Times New Roman"/>
        </w:rPr>
        <w:t xml:space="preserve">notekūdeņu </w:t>
      </w:r>
      <w:r w:rsidRPr="00BA7AEF">
        <w:rPr>
          <w:rFonts w:ascii="Times New Roman" w:hAnsi="Times New Roman" w:cs="Times New Roman"/>
        </w:rPr>
        <w:t xml:space="preserve">dūņu apstrādes tehnoloģijas </w:t>
      </w:r>
      <w:r w:rsidRPr="00BA7AEF">
        <w:rPr>
          <w:rFonts w:ascii="Times New Roman" w:hAnsi="Times New Roman" w:cs="Times New Roman"/>
        </w:rPr>
        <w:lastRenderedPageBreak/>
        <w:t>tiek attīstītas jau kopš pagājušā gadsimta beigām, bet plaša t</w:t>
      </w:r>
      <w:r w:rsidR="00AA3A5A" w:rsidRPr="00BA7AEF">
        <w:rPr>
          <w:rFonts w:ascii="Times New Roman" w:hAnsi="Times New Roman" w:cs="Times New Roman"/>
        </w:rPr>
        <w:t>o</w:t>
      </w:r>
      <w:r w:rsidRPr="00BA7AEF">
        <w:rPr>
          <w:rFonts w:ascii="Times New Roman" w:hAnsi="Times New Roman" w:cs="Times New Roman"/>
        </w:rPr>
        <w:t xml:space="preserve"> pielietošana </w:t>
      </w:r>
      <w:r w:rsidR="00AA3A5A" w:rsidRPr="00BA7AEF">
        <w:rPr>
          <w:rFonts w:ascii="Times New Roman" w:hAnsi="Times New Roman" w:cs="Times New Roman"/>
        </w:rPr>
        <w:t>nav novērota</w:t>
      </w:r>
      <w:r w:rsidRPr="00BA7AEF">
        <w:rPr>
          <w:rFonts w:ascii="Times New Roman" w:hAnsi="Times New Roman" w:cs="Times New Roman"/>
        </w:rPr>
        <w:t>. Šād</w:t>
      </w:r>
      <w:r w:rsidR="00AA3A5A" w:rsidRPr="00BA7AEF">
        <w:rPr>
          <w:rFonts w:ascii="Times New Roman" w:hAnsi="Times New Roman" w:cs="Times New Roman"/>
        </w:rPr>
        <w:t>us</w:t>
      </w:r>
      <w:r w:rsidRPr="00BA7AEF">
        <w:rPr>
          <w:rFonts w:ascii="Times New Roman" w:hAnsi="Times New Roman" w:cs="Times New Roman"/>
        </w:rPr>
        <w:t xml:space="preserve"> </w:t>
      </w:r>
      <w:r w:rsidR="00AA3A5A" w:rsidRPr="00BA7AEF">
        <w:rPr>
          <w:rFonts w:ascii="Times New Roman" w:hAnsi="Times New Roman" w:cs="Times New Roman"/>
        </w:rPr>
        <w:t>tehnoloģiskos risinājumus</w:t>
      </w:r>
      <w:r w:rsidRPr="00BA7AEF">
        <w:rPr>
          <w:rFonts w:ascii="Times New Roman" w:hAnsi="Times New Roman" w:cs="Times New Roman"/>
        </w:rPr>
        <w:t xml:space="preserve"> piedāvā vairākas kompānijas</w:t>
      </w:r>
      <w:r w:rsidRPr="00BA7AEF">
        <w:rPr>
          <w:rStyle w:val="FootnoteReference"/>
          <w:rFonts w:ascii="Times New Roman" w:hAnsi="Times New Roman" w:cs="Times New Roman"/>
        </w:rPr>
        <w:footnoteReference w:id="8"/>
      </w:r>
      <w:r w:rsidRPr="00BA7AEF">
        <w:rPr>
          <w:rFonts w:ascii="Times New Roman" w:hAnsi="Times New Roman" w:cs="Times New Roman"/>
        </w:rPr>
        <w:t>.</w:t>
      </w:r>
    </w:p>
    <w:p w14:paraId="6F9E6285" w14:textId="29F1BB70" w:rsidR="000B7734" w:rsidRPr="00BA7AEF" w:rsidRDefault="000B7734" w:rsidP="000B7734">
      <w:pPr>
        <w:spacing w:before="120" w:after="120"/>
        <w:ind w:firstLine="720"/>
        <w:rPr>
          <w:rFonts w:ascii="Times New Roman" w:hAnsi="Times New Roman" w:cs="Times New Roman"/>
        </w:rPr>
      </w:pPr>
      <w:r w:rsidRPr="00BA7AEF">
        <w:rPr>
          <w:rFonts w:ascii="Times New Roman" w:hAnsi="Times New Roman" w:cs="Times New Roman"/>
        </w:rPr>
        <w:t xml:space="preserve">Latvijā ir pieejamas arī vairākas </w:t>
      </w:r>
      <w:r w:rsidR="008C3B65" w:rsidRPr="00BA7AEF">
        <w:rPr>
          <w:rFonts w:ascii="Times New Roman" w:hAnsi="Times New Roman" w:cs="Times New Roman"/>
        </w:rPr>
        <w:t xml:space="preserve">notekūdeņu </w:t>
      </w:r>
      <w:r w:rsidRPr="00BA7AEF">
        <w:rPr>
          <w:rFonts w:ascii="Times New Roman" w:hAnsi="Times New Roman" w:cs="Times New Roman"/>
        </w:rPr>
        <w:t>dūņu pārstrādes tehnoloģijas, k</w:t>
      </w:r>
      <w:r w:rsidR="008C3B65" w:rsidRPr="00BA7AEF">
        <w:rPr>
          <w:rFonts w:ascii="Times New Roman" w:hAnsi="Times New Roman" w:cs="Times New Roman"/>
        </w:rPr>
        <w:t xml:space="preserve">uras no notekūdeņu dūņām ļauj radīt komerciālus </w:t>
      </w:r>
      <w:r w:rsidRPr="00BA7AEF">
        <w:rPr>
          <w:rFonts w:ascii="Times New Roman" w:hAnsi="Times New Roman" w:cs="Times New Roman"/>
        </w:rPr>
        <w:t>gala produkt</w:t>
      </w:r>
      <w:r w:rsidR="008C3B65" w:rsidRPr="00BA7AEF">
        <w:rPr>
          <w:rFonts w:ascii="Times New Roman" w:hAnsi="Times New Roman" w:cs="Times New Roman"/>
        </w:rPr>
        <w:t>u</w:t>
      </w:r>
      <w:r w:rsidRPr="00BA7AEF">
        <w:rPr>
          <w:rFonts w:ascii="Times New Roman" w:hAnsi="Times New Roman" w:cs="Times New Roman"/>
        </w:rPr>
        <w:t>s, piemēram, būvmateriāl</w:t>
      </w:r>
      <w:r w:rsidR="008C3B65" w:rsidRPr="00BA7AEF">
        <w:rPr>
          <w:rFonts w:ascii="Times New Roman" w:hAnsi="Times New Roman" w:cs="Times New Roman"/>
        </w:rPr>
        <w:t>us</w:t>
      </w:r>
      <w:r w:rsidRPr="00BA7AEF">
        <w:rPr>
          <w:rFonts w:ascii="Times New Roman" w:hAnsi="Times New Roman" w:cs="Times New Roman"/>
        </w:rPr>
        <w:t>, iepakojum</w:t>
      </w:r>
      <w:r w:rsidR="008C3B65" w:rsidRPr="00BA7AEF">
        <w:rPr>
          <w:rFonts w:ascii="Times New Roman" w:hAnsi="Times New Roman" w:cs="Times New Roman"/>
        </w:rPr>
        <w:t>u</w:t>
      </w:r>
      <w:r w:rsidRPr="00BA7AEF">
        <w:rPr>
          <w:rFonts w:ascii="Times New Roman" w:hAnsi="Times New Roman" w:cs="Times New Roman"/>
        </w:rPr>
        <w:t>, mēslojum</w:t>
      </w:r>
      <w:r w:rsidR="008C3B65" w:rsidRPr="00BA7AEF">
        <w:rPr>
          <w:rFonts w:ascii="Times New Roman" w:hAnsi="Times New Roman" w:cs="Times New Roman"/>
        </w:rPr>
        <w:t>u</w:t>
      </w:r>
      <w:r w:rsidRPr="00BA7AEF">
        <w:rPr>
          <w:rFonts w:ascii="Times New Roman" w:hAnsi="Times New Roman" w:cs="Times New Roman"/>
        </w:rPr>
        <w:t xml:space="preserve"> vai cit</w:t>
      </w:r>
      <w:r w:rsidR="008C3B65" w:rsidRPr="00BA7AEF">
        <w:rPr>
          <w:rFonts w:ascii="Times New Roman" w:hAnsi="Times New Roman" w:cs="Times New Roman"/>
        </w:rPr>
        <w:t>us</w:t>
      </w:r>
      <w:r w:rsidRPr="00BA7AEF">
        <w:rPr>
          <w:rFonts w:ascii="Times New Roman" w:hAnsi="Times New Roman" w:cs="Times New Roman"/>
        </w:rPr>
        <w:t xml:space="preserve"> materiāls un </w:t>
      </w:r>
      <w:r w:rsidR="008C3B65" w:rsidRPr="00BA7AEF">
        <w:rPr>
          <w:rFonts w:ascii="Times New Roman" w:hAnsi="Times New Roman" w:cs="Times New Roman"/>
        </w:rPr>
        <w:t>š</w:t>
      </w:r>
      <w:r w:rsidRPr="00BA7AEF">
        <w:rPr>
          <w:rFonts w:ascii="Times New Roman" w:hAnsi="Times New Roman" w:cs="Times New Roman"/>
        </w:rPr>
        <w:t xml:space="preserve">ādas tehnoloģijas piedāvā </w:t>
      </w:r>
      <w:r w:rsidR="008C3B65" w:rsidRPr="00BA7AEF">
        <w:rPr>
          <w:rFonts w:ascii="Times New Roman" w:hAnsi="Times New Roman" w:cs="Times New Roman"/>
        </w:rPr>
        <w:t>dažādi uzņēmumi</w:t>
      </w:r>
      <w:r w:rsidRPr="00BA7AEF">
        <w:rPr>
          <w:rStyle w:val="FootnoteReference"/>
          <w:rFonts w:ascii="Times New Roman" w:hAnsi="Times New Roman" w:cs="Times New Roman"/>
        </w:rPr>
        <w:footnoteReference w:id="9"/>
      </w:r>
      <w:r w:rsidRPr="00BA7AEF">
        <w:rPr>
          <w:rFonts w:ascii="Times New Roman" w:hAnsi="Times New Roman" w:cs="Times New Roman"/>
        </w:rPr>
        <w:t xml:space="preserve">. Notekūdeņu dūņu stratēģijas izstrādes laikā ir vērtēti vairāki šādi alternatīvi piedāvājumi – būvmateriālu ražošana no notekūdeņu dūņām un pelniem, apkurē izmantojamu </w:t>
      </w:r>
      <w:r w:rsidR="008C3B65" w:rsidRPr="00BA7AEF">
        <w:rPr>
          <w:rFonts w:ascii="Times New Roman" w:hAnsi="Times New Roman" w:cs="Times New Roman"/>
        </w:rPr>
        <w:t xml:space="preserve">notekūdeņu </w:t>
      </w:r>
      <w:r w:rsidRPr="00BA7AEF">
        <w:rPr>
          <w:rFonts w:ascii="Times New Roman" w:hAnsi="Times New Roman" w:cs="Times New Roman"/>
        </w:rPr>
        <w:t xml:space="preserve">dūņu granulu ražošana, notekūdeņu dūņu hidrotermālā karbonizācija ar vai bez iespējām atgūt </w:t>
      </w:r>
      <w:r w:rsidR="004C30E2" w:rsidRPr="00BA7AEF">
        <w:rPr>
          <w:rFonts w:ascii="Times New Roman" w:hAnsi="Times New Roman" w:cs="Times New Roman"/>
        </w:rPr>
        <w:t>augu barošanās elementus</w:t>
      </w:r>
      <w:r w:rsidRPr="00BA7AEF">
        <w:rPr>
          <w:rFonts w:ascii="Times New Roman" w:hAnsi="Times New Roman" w:cs="Times New Roman"/>
        </w:rPr>
        <w:t xml:space="preserve"> u.c. </w:t>
      </w:r>
      <w:r w:rsidR="008C3B65" w:rsidRPr="00BA7AEF">
        <w:rPr>
          <w:rFonts w:ascii="Times New Roman" w:hAnsi="Times New Roman" w:cs="Times New Roman"/>
        </w:rPr>
        <w:t xml:space="preserve">notekūdeņu </w:t>
      </w:r>
      <w:r w:rsidRPr="00BA7AEF">
        <w:rPr>
          <w:rFonts w:ascii="Times New Roman" w:hAnsi="Times New Roman" w:cs="Times New Roman"/>
        </w:rPr>
        <w:t>dūņu pārstrādes tehnoloģijas.</w:t>
      </w:r>
    </w:p>
    <w:p w14:paraId="2A3670EB" w14:textId="56A985BC" w:rsidR="000B7734" w:rsidRPr="00BA7AEF" w:rsidRDefault="000B7734" w:rsidP="000B7734">
      <w:pPr>
        <w:spacing w:before="120" w:after="120"/>
        <w:ind w:firstLine="720"/>
        <w:rPr>
          <w:rFonts w:ascii="Times New Roman" w:hAnsi="Times New Roman" w:cs="Times New Roman"/>
        </w:rPr>
      </w:pPr>
      <w:r w:rsidRPr="00BA7AEF">
        <w:rPr>
          <w:rFonts w:ascii="Times New Roman" w:hAnsi="Times New Roman" w:cs="Times New Roman"/>
        </w:rPr>
        <w:t xml:space="preserve">Visas inovatīvās </w:t>
      </w:r>
      <w:r w:rsidR="008C3B65" w:rsidRPr="00BA7AEF">
        <w:rPr>
          <w:rFonts w:ascii="Times New Roman" w:hAnsi="Times New Roman" w:cs="Times New Roman"/>
        </w:rPr>
        <w:t xml:space="preserve">notekūdeņu </w:t>
      </w:r>
      <w:r w:rsidRPr="00BA7AEF">
        <w:rPr>
          <w:rFonts w:ascii="Times New Roman" w:hAnsi="Times New Roman" w:cs="Times New Roman"/>
        </w:rPr>
        <w:t>dūņu utilizācijas metodes paredz ļoti lielu (vērtējot pret vienkāršākām</w:t>
      </w:r>
      <w:r w:rsidR="008C3B65" w:rsidRPr="00BA7AEF">
        <w:rPr>
          <w:rFonts w:ascii="Times New Roman" w:hAnsi="Times New Roman" w:cs="Times New Roman"/>
        </w:rPr>
        <w:t xml:space="preserve"> notekūdeņu</w:t>
      </w:r>
      <w:r w:rsidRPr="00BA7AEF">
        <w:rPr>
          <w:rFonts w:ascii="Times New Roman" w:hAnsi="Times New Roman" w:cs="Times New Roman"/>
        </w:rPr>
        <w:t xml:space="preserve"> dūņu pārstrādes metodēm – alternatīvas C1. un C2.) energoresursu patēriņu. Piemēram, kurināmā</w:t>
      </w:r>
      <w:r w:rsidR="008C3B65" w:rsidRPr="00BA7AEF">
        <w:rPr>
          <w:rFonts w:ascii="Times New Roman" w:hAnsi="Times New Roman" w:cs="Times New Roman"/>
        </w:rPr>
        <w:t xml:space="preserve"> </w:t>
      </w:r>
      <w:r w:rsidRPr="00BA7AEF">
        <w:rPr>
          <w:rFonts w:ascii="Times New Roman" w:hAnsi="Times New Roman" w:cs="Times New Roman"/>
        </w:rPr>
        <w:t xml:space="preserve">granulu ražošanai ir nepieciešams pievadīt siltumu 100 grādu </w:t>
      </w:r>
      <w:r w:rsidR="008C3B65" w:rsidRPr="00BA7AEF">
        <w:rPr>
          <w:rFonts w:ascii="Times New Roman" w:hAnsi="Times New Roman" w:cs="Times New Roman"/>
        </w:rPr>
        <w:t>temperatūras sasniegšanai</w:t>
      </w:r>
      <w:r w:rsidRPr="00BA7AEF">
        <w:rPr>
          <w:rFonts w:ascii="Times New Roman" w:hAnsi="Times New Roman" w:cs="Times New Roman"/>
        </w:rPr>
        <w:t xml:space="preserve">, bet hidrotermālās karbonizācijas procesu </w:t>
      </w:r>
      <w:r w:rsidR="008C3B65" w:rsidRPr="00BA7AEF">
        <w:rPr>
          <w:rFonts w:ascii="Times New Roman" w:hAnsi="Times New Roman" w:cs="Times New Roman"/>
        </w:rPr>
        <w:t>jānodrošina</w:t>
      </w:r>
      <w:r w:rsidRPr="00BA7AEF">
        <w:rPr>
          <w:rFonts w:ascii="Times New Roman" w:hAnsi="Times New Roman" w:cs="Times New Roman"/>
        </w:rPr>
        <w:t xml:space="preserve"> līdz pat 300 grādu </w:t>
      </w:r>
      <w:r w:rsidR="008C3B65" w:rsidRPr="00BA7AEF">
        <w:rPr>
          <w:rFonts w:ascii="Times New Roman" w:hAnsi="Times New Roman" w:cs="Times New Roman"/>
        </w:rPr>
        <w:t xml:space="preserve">liela </w:t>
      </w:r>
      <w:r w:rsidRPr="00BA7AEF">
        <w:rPr>
          <w:rFonts w:ascii="Times New Roman" w:hAnsi="Times New Roman" w:cs="Times New Roman"/>
        </w:rPr>
        <w:t>temperatūru pie 140 bāru spiediena. Šādu</w:t>
      </w:r>
      <w:r w:rsidR="008C3B65" w:rsidRPr="00BA7AEF">
        <w:rPr>
          <w:rFonts w:ascii="Times New Roman" w:hAnsi="Times New Roman" w:cs="Times New Roman"/>
        </w:rPr>
        <w:t xml:space="preserve"> notekūdeņu</w:t>
      </w:r>
      <w:r w:rsidRPr="00BA7AEF">
        <w:rPr>
          <w:rFonts w:ascii="Times New Roman" w:hAnsi="Times New Roman" w:cs="Times New Roman"/>
        </w:rPr>
        <w:t xml:space="preserve"> dūņu pārstrādes apstākļu nodrošināšanai ir nepieciešams liels enerģijas apjoms, ku</w:t>
      </w:r>
      <w:r w:rsidR="008C3B65" w:rsidRPr="00BA7AEF">
        <w:rPr>
          <w:rFonts w:ascii="Times New Roman" w:hAnsi="Times New Roman" w:cs="Times New Roman"/>
        </w:rPr>
        <w:t>r</w:t>
      </w:r>
      <w:r w:rsidRPr="00BA7AEF">
        <w:rPr>
          <w:rFonts w:ascii="Times New Roman" w:hAnsi="Times New Roman" w:cs="Times New Roman"/>
        </w:rPr>
        <w:t>a izmaksas ir atkarīgas no pielietotā enerģijas avota un tā izmaksām reģionā. Arī piedāvātā</w:t>
      </w:r>
      <w:r w:rsidR="008C3B65" w:rsidRPr="00BA7AEF">
        <w:rPr>
          <w:rFonts w:ascii="Times New Roman" w:hAnsi="Times New Roman" w:cs="Times New Roman"/>
        </w:rPr>
        <w:t xml:space="preserve"> notekūdeņu</w:t>
      </w:r>
      <w:r w:rsidRPr="00BA7AEF">
        <w:rPr>
          <w:rFonts w:ascii="Times New Roman" w:hAnsi="Times New Roman" w:cs="Times New Roman"/>
        </w:rPr>
        <w:t xml:space="preserve"> dūņu pārstrāde būvmateriālos paredz būtisku pelnu masas pievienošan</w:t>
      </w:r>
      <w:r w:rsidR="008C3B65" w:rsidRPr="00BA7AEF">
        <w:rPr>
          <w:rFonts w:ascii="Times New Roman" w:hAnsi="Times New Roman" w:cs="Times New Roman"/>
        </w:rPr>
        <w:t>u</w:t>
      </w:r>
      <w:r w:rsidRPr="00BA7AEF">
        <w:rPr>
          <w:rFonts w:ascii="Times New Roman" w:hAnsi="Times New Roman" w:cs="Times New Roman"/>
        </w:rPr>
        <w:t xml:space="preserve"> un sajaukšanu kopā ar apstrādātām notekūdeņu dūņām. Tehnoloģiju izplatītājs paredz, ka arī pelni ir atkritums par kuru utilizāciju to īpašnieks ir gatavs piemaksāt, kā rezultātā rodas papildus ienākumi. Pārstrādes procesā rodas materiāls, kas ir līdzīgs betona šķembām un izmantojams dažādos pamatnes stiprināšanas darbos. </w:t>
      </w:r>
    </w:p>
    <w:p w14:paraId="0596B0BB" w14:textId="47F84496" w:rsidR="000B7734" w:rsidRPr="00BA7AEF" w:rsidRDefault="000B7734" w:rsidP="000B7734">
      <w:pPr>
        <w:spacing w:before="120" w:after="120"/>
        <w:ind w:firstLine="720"/>
        <w:rPr>
          <w:rFonts w:ascii="Times New Roman" w:hAnsi="Times New Roman" w:cs="Times New Roman"/>
        </w:rPr>
      </w:pPr>
      <w:r w:rsidRPr="00BA7AEF">
        <w:rPr>
          <w:rFonts w:ascii="Times New Roman" w:hAnsi="Times New Roman" w:cs="Times New Roman"/>
        </w:rPr>
        <w:t xml:space="preserve">Visos gadījumos alternatīvo risinājumu dzīvotspēja tiek balstīta uz pieņēmumu, ka notekūdeņu dūņu īpašnieks būs ieinteresēts maksāt salīdzinoši augstu maksu (vidējā maksa, kur to bija iespējams aprēķināt ir aptuveni 140 EUR/t par apstrādātu </w:t>
      </w:r>
      <w:r w:rsidR="008C3B65" w:rsidRPr="00BA7AEF">
        <w:rPr>
          <w:rFonts w:ascii="Times New Roman" w:hAnsi="Times New Roman" w:cs="Times New Roman"/>
        </w:rPr>
        <w:t xml:space="preserve">notekūdeņu </w:t>
      </w:r>
      <w:r w:rsidRPr="00BA7AEF">
        <w:rPr>
          <w:rFonts w:ascii="Times New Roman" w:hAnsi="Times New Roman" w:cs="Times New Roman"/>
        </w:rPr>
        <w:t>dūņu) par notekūdeņu dūņu utilizāciju. Visas piedāvātās tehnoloģijas ir inovatīvas, tās ir aizsargātas ar ražotāju patentiem un ti</w:t>
      </w:r>
      <w:r w:rsidR="008C3B65" w:rsidRPr="00BA7AEF">
        <w:rPr>
          <w:rFonts w:ascii="Times New Roman" w:hAnsi="Times New Roman" w:cs="Times New Roman"/>
        </w:rPr>
        <w:t>e</w:t>
      </w:r>
      <w:r w:rsidRPr="00BA7AEF">
        <w:rPr>
          <w:rFonts w:ascii="Times New Roman" w:hAnsi="Times New Roman" w:cs="Times New Roman"/>
        </w:rPr>
        <w:t>m ir iegūti dažādi ES kvalitātes apliecinoši sertifikāti, kā rezultātā ir prognozējamas augstas tehnoloģiju iegādes un uzturēšanas izmaksas. Tehnoloģiju izpētes gaitā ir ļoti grūti saņemt precīzu un detalizētu informāciju par piedāvātām tehnoloģijām un to īpašībām pirms nav parakstīti nodomu protokoli</w:t>
      </w:r>
      <w:r w:rsidR="008C3B65" w:rsidRPr="00BA7AEF">
        <w:rPr>
          <w:rFonts w:ascii="Times New Roman" w:hAnsi="Times New Roman" w:cs="Times New Roman"/>
        </w:rPr>
        <w:t xml:space="preserve"> par tehnoloģiju faktisko uzstādīšanu</w:t>
      </w:r>
      <w:r w:rsidRPr="00BA7AEF">
        <w:rPr>
          <w:rFonts w:ascii="Times New Roman" w:hAnsi="Times New Roman" w:cs="Times New Roman"/>
        </w:rPr>
        <w:t xml:space="preserve">. </w:t>
      </w:r>
    </w:p>
    <w:p w14:paraId="0106A2BF" w14:textId="21A85285" w:rsidR="000B7734" w:rsidRDefault="000B7734" w:rsidP="00BA7AEF">
      <w:pPr>
        <w:spacing w:after="0"/>
        <w:ind w:firstLine="720"/>
        <w:rPr>
          <w:rFonts w:ascii="Times New Roman" w:hAnsi="Times New Roman" w:cs="Times New Roman"/>
        </w:rPr>
      </w:pPr>
      <w:r w:rsidRPr="00BA7AEF">
        <w:rPr>
          <w:rFonts w:ascii="Times New Roman" w:hAnsi="Times New Roman" w:cs="Times New Roman"/>
        </w:rPr>
        <w:t xml:space="preserve">Vērtētajām inovatīvajām notekūdeņu dūņu utilizācijas metodēm iezīmējas arī kopēji trūkumi, kas ierobežo šādu tehnoloģiju izmantošanu - </w:t>
      </w:r>
      <w:r w:rsidR="008C3B65" w:rsidRPr="00BA7AEF">
        <w:rPr>
          <w:rFonts w:ascii="Times New Roman" w:hAnsi="Times New Roman" w:cs="Times New Roman"/>
        </w:rPr>
        <w:t xml:space="preserve">notekūdeņu </w:t>
      </w:r>
      <w:r w:rsidRPr="00BA7AEF">
        <w:rPr>
          <w:rFonts w:ascii="Times New Roman" w:hAnsi="Times New Roman" w:cs="Times New Roman"/>
        </w:rPr>
        <w:t xml:space="preserve">dūņu pārstrādes rezultātā papildus radītā produkta vērtība būtiski pārsniedz tirgū jau pieejamu, līdzīgu produktu vērtību. </w:t>
      </w:r>
      <w:r w:rsidR="008C3B65" w:rsidRPr="00BA7AEF">
        <w:rPr>
          <w:rFonts w:ascii="Times New Roman" w:hAnsi="Times New Roman" w:cs="Times New Roman"/>
        </w:rPr>
        <w:t>Notekūdeņu d</w:t>
      </w:r>
      <w:r w:rsidRPr="00BA7AEF">
        <w:rPr>
          <w:rFonts w:ascii="Times New Roman" w:hAnsi="Times New Roman" w:cs="Times New Roman"/>
        </w:rPr>
        <w:t xml:space="preserve">ūņu pārstrādes rezultātā no jauna radītais produkts nav ar būtiski labākām īpašībām, salīdzinājumā ar tirgū jau esošiem, </w:t>
      </w:r>
      <w:r w:rsidR="00ED5D6F" w:rsidRPr="00BA7AEF">
        <w:rPr>
          <w:rFonts w:ascii="Times New Roman" w:hAnsi="Times New Roman" w:cs="Times New Roman"/>
        </w:rPr>
        <w:t>komplementāriem</w:t>
      </w:r>
      <w:r w:rsidRPr="00BA7AEF">
        <w:rPr>
          <w:rFonts w:ascii="Times New Roman" w:hAnsi="Times New Roman" w:cs="Times New Roman"/>
        </w:rPr>
        <w:t xml:space="preserve"> produktiem. </w:t>
      </w:r>
      <w:r w:rsidR="0076515F" w:rsidRPr="00BA7AEF">
        <w:rPr>
          <w:rFonts w:ascii="Times New Roman" w:hAnsi="Times New Roman" w:cs="Times New Roman"/>
        </w:rPr>
        <w:t>Notekūdeņu</w:t>
      </w:r>
      <w:r w:rsidR="008C3B65" w:rsidRPr="00BA7AEF">
        <w:rPr>
          <w:rFonts w:ascii="Times New Roman" w:hAnsi="Times New Roman" w:cs="Times New Roman"/>
        </w:rPr>
        <w:t xml:space="preserve"> d</w:t>
      </w:r>
      <w:r w:rsidRPr="00BA7AEF">
        <w:rPr>
          <w:rFonts w:ascii="Times New Roman" w:hAnsi="Times New Roman" w:cs="Times New Roman"/>
        </w:rPr>
        <w:t xml:space="preserve">ūņu pārstrādes rezultātā radītajam jaunajam produktam ir jāveido jauns produkta noieta tirgus, kas ir papildus izmaksas un </w:t>
      </w:r>
      <w:r w:rsidR="008C3B65" w:rsidRPr="00BA7AEF">
        <w:rPr>
          <w:rFonts w:ascii="Times New Roman" w:hAnsi="Times New Roman" w:cs="Times New Roman"/>
        </w:rPr>
        <w:t xml:space="preserve">pastāv </w:t>
      </w:r>
      <w:r w:rsidRPr="00BA7AEF">
        <w:rPr>
          <w:rFonts w:ascii="Times New Roman" w:hAnsi="Times New Roman" w:cs="Times New Roman"/>
        </w:rPr>
        <w:t>būtiski</w:t>
      </w:r>
      <w:r w:rsidR="0030237D">
        <w:rPr>
          <w:rFonts w:ascii="Times New Roman" w:hAnsi="Times New Roman" w:cs="Times New Roman"/>
        </w:rPr>
        <w:t xml:space="preserve"> </w:t>
      </w:r>
      <w:r w:rsidR="0030237D" w:rsidRPr="00BA7AEF">
        <w:rPr>
          <w:rFonts w:ascii="Times New Roman" w:hAnsi="Times New Roman" w:cs="Times New Roman"/>
        </w:rPr>
        <w:t>riski</w:t>
      </w:r>
      <w:r w:rsidR="008C3B65" w:rsidRPr="00BA7AEF">
        <w:rPr>
          <w:rFonts w:ascii="Times New Roman" w:hAnsi="Times New Roman" w:cs="Times New Roman"/>
        </w:rPr>
        <w:t>, ja</w:t>
      </w:r>
      <w:r w:rsidRPr="00BA7AEF">
        <w:rPr>
          <w:rFonts w:ascii="Times New Roman" w:hAnsi="Times New Roman" w:cs="Times New Roman"/>
        </w:rPr>
        <w:t xml:space="preserve"> šādu noieta tirgu neizdodas izveidot. Daļa piedāvāto tehnoloģisko risinājumu ir uzskatāmi arī par eksperimentāliem (pieejamas vien atsevišķas pilotiekārtas) un tehnoloģiski ļoti sarežģītiem. Ņemot vērā veikto dažādu inovatīvu</w:t>
      </w:r>
      <w:r w:rsidR="008C3B65" w:rsidRPr="00BA7AEF">
        <w:rPr>
          <w:rFonts w:ascii="Times New Roman" w:hAnsi="Times New Roman" w:cs="Times New Roman"/>
        </w:rPr>
        <w:t xml:space="preserve"> notekūdeņu</w:t>
      </w:r>
      <w:r w:rsidRPr="00BA7AEF">
        <w:rPr>
          <w:rFonts w:ascii="Times New Roman" w:hAnsi="Times New Roman" w:cs="Times New Roman"/>
        </w:rPr>
        <w:t xml:space="preserve"> dūņu utilizācijas metožu </w:t>
      </w:r>
      <w:r w:rsidRPr="00BA7AEF">
        <w:rPr>
          <w:rFonts w:ascii="Times New Roman" w:hAnsi="Times New Roman" w:cs="Times New Roman"/>
        </w:rPr>
        <w:lastRenderedPageBreak/>
        <w:t>novērtējumu, neviens no tiem netika novērtēts kā perspektīvs un padziļināti analizējams Latvijas notekūdeņu dūņu utilizācijas risinājums.</w:t>
      </w:r>
    </w:p>
    <w:p w14:paraId="54632CF0" w14:textId="77777777" w:rsidR="00BA7AEF" w:rsidRPr="00BA7AEF" w:rsidRDefault="00BA7AEF" w:rsidP="00BA7AEF">
      <w:pPr>
        <w:spacing w:after="0"/>
        <w:ind w:firstLine="720"/>
        <w:rPr>
          <w:rFonts w:ascii="Times New Roman" w:hAnsi="Times New Roman" w:cs="Times New Roman"/>
        </w:rPr>
      </w:pPr>
    </w:p>
    <w:p w14:paraId="769E1E53" w14:textId="7BBFE7D9" w:rsidR="000B7734" w:rsidRDefault="000B7734" w:rsidP="00BA7AEF">
      <w:pPr>
        <w:pStyle w:val="Heading2"/>
        <w:spacing w:before="0"/>
        <w:jc w:val="center"/>
        <w:rPr>
          <w:rFonts w:ascii="Times New Roman" w:eastAsia="Times New Roman" w:hAnsi="Times New Roman" w:cs="Times New Roman"/>
          <w:b/>
          <w:bCs/>
          <w:color w:val="auto"/>
          <w:sz w:val="24"/>
          <w:szCs w:val="24"/>
          <w:lang w:eastAsia="en-GB"/>
        </w:rPr>
      </w:pPr>
      <w:bookmarkStart w:id="26" w:name="_Toc82430154"/>
      <w:bookmarkStart w:id="27" w:name="_Toc107916306"/>
      <w:r w:rsidRPr="00BA7AEF">
        <w:rPr>
          <w:rFonts w:ascii="Times New Roman" w:eastAsia="Times New Roman" w:hAnsi="Times New Roman" w:cs="Times New Roman"/>
          <w:b/>
          <w:bCs/>
          <w:color w:val="auto"/>
          <w:sz w:val="24"/>
          <w:szCs w:val="24"/>
          <w:lang w:eastAsia="en-GB"/>
        </w:rPr>
        <w:t>B4. Alternatīva: Pārstrādātu notekūdeņu dūņu apglabāšana atkritumu poligonos</w:t>
      </w:r>
      <w:bookmarkEnd w:id="26"/>
      <w:bookmarkEnd w:id="27"/>
    </w:p>
    <w:p w14:paraId="0C2E68EB" w14:textId="77777777" w:rsidR="00BA7AEF" w:rsidRPr="00BA7AEF" w:rsidRDefault="00BA7AEF" w:rsidP="00BA7AEF">
      <w:pPr>
        <w:spacing w:after="0"/>
        <w:rPr>
          <w:lang w:eastAsia="en-GB"/>
        </w:rPr>
      </w:pPr>
    </w:p>
    <w:p w14:paraId="2AFE450D" w14:textId="5BA3397A" w:rsidR="000B7734" w:rsidRDefault="000B7734" w:rsidP="00BA7AEF">
      <w:pPr>
        <w:spacing w:after="0"/>
        <w:ind w:firstLine="720"/>
        <w:rPr>
          <w:rFonts w:ascii="Times New Roman" w:hAnsi="Times New Roman" w:cs="Times New Roman"/>
        </w:rPr>
      </w:pPr>
      <w:r w:rsidRPr="00BA7AEF">
        <w:rPr>
          <w:rFonts w:ascii="Times New Roman" w:hAnsi="Times New Roman" w:cs="Times New Roman"/>
        </w:rPr>
        <w:t>Atbilstoši MK noteikumu Nr. 362. nosacījumiem ir iespējama apstrādātu notekūdeņu dūņu un notekūdeņu dūņu komposta apglabāšana atkritumu poligonos</w:t>
      </w:r>
      <w:r w:rsidR="008C3B65" w:rsidRPr="00BA7AEF">
        <w:rPr>
          <w:rFonts w:ascii="Times New Roman" w:hAnsi="Times New Roman" w:cs="Times New Roman"/>
        </w:rPr>
        <w:t xml:space="preserve"> un </w:t>
      </w:r>
      <w:r w:rsidRPr="00BA7AEF">
        <w:rPr>
          <w:rFonts w:ascii="Times New Roman" w:hAnsi="Times New Roman" w:cs="Times New Roman"/>
        </w:rPr>
        <w:t xml:space="preserve">šī alternatīva paredz, ka notekūdeņu dūņas kā atkritumi tiek nodoti apglabāšanai atkritumu poligonā atbilstoši nosacījumiem un maksai, kuru nosaka atkritumu apglabāšanas poligons ievērojot SPRK apstiprinātos atkritumu apglabāšanas tarifus. Uz notekūdeņu dūņu stratēģijas izstrādes brīdi </w:t>
      </w:r>
      <w:r w:rsidRPr="00562018">
        <w:rPr>
          <w:rFonts w:ascii="Times New Roman" w:hAnsi="Times New Roman" w:cs="Times New Roman"/>
        </w:rPr>
        <w:t>Latvijā ir 10 atkritumu apsaimniekošanas poligoni, no</w:t>
      </w:r>
      <w:r w:rsidRPr="00BA7AEF">
        <w:rPr>
          <w:rFonts w:ascii="Times New Roman" w:hAnsi="Times New Roman" w:cs="Times New Roman"/>
        </w:rPr>
        <w:t xml:space="preserve"> kuriem daļā ievesto atkritumu apjoms ir mazāks, par sākotnēji prognozēto.</w:t>
      </w:r>
    </w:p>
    <w:p w14:paraId="44AAB214" w14:textId="59279C46" w:rsidR="006035E7" w:rsidRPr="00BA7AEF" w:rsidRDefault="008202AA" w:rsidP="008202AA">
      <w:pPr>
        <w:spacing w:after="0"/>
        <w:ind w:firstLine="720"/>
        <w:rPr>
          <w:rFonts w:ascii="Times New Roman" w:hAnsi="Times New Roman" w:cs="Times New Roman"/>
        </w:rPr>
      </w:pPr>
      <w:r w:rsidRPr="001B0F02">
        <w:rPr>
          <w:rFonts w:ascii="Times New Roman" w:hAnsi="Times New Roman" w:cs="Times New Roman"/>
        </w:rPr>
        <w:t xml:space="preserve">Poligonu direktīva </w:t>
      </w:r>
      <w:r w:rsidR="006A300D" w:rsidRPr="001B0F02">
        <w:rPr>
          <w:rFonts w:ascii="Times New Roman" w:hAnsi="Times New Roman" w:cs="Times New Roman"/>
        </w:rPr>
        <w:t>(Eiropas P</w:t>
      </w:r>
      <w:r w:rsidR="0064163B" w:rsidRPr="001B0F02">
        <w:rPr>
          <w:rFonts w:ascii="Times New Roman" w:hAnsi="Times New Roman" w:cs="Times New Roman"/>
        </w:rPr>
        <w:t>arlamenta un Padomes direktīva</w:t>
      </w:r>
      <w:r w:rsidR="002117B4" w:rsidRPr="001B0F02">
        <w:rPr>
          <w:rFonts w:ascii="Times New Roman" w:hAnsi="Times New Roman" w:cs="Times New Roman"/>
        </w:rPr>
        <w:t xml:space="preserve"> </w:t>
      </w:r>
      <w:r w:rsidRPr="001B0F02">
        <w:rPr>
          <w:rFonts w:ascii="Times New Roman" w:hAnsi="Times New Roman" w:cs="Times New Roman"/>
        </w:rPr>
        <w:t>2018/850</w:t>
      </w:r>
      <w:r w:rsidR="00896E4C" w:rsidRPr="001B0F02">
        <w:rPr>
          <w:rFonts w:ascii="Times New Roman" w:hAnsi="Times New Roman" w:cs="Times New Roman"/>
        </w:rPr>
        <w:t xml:space="preserve">, </w:t>
      </w:r>
      <w:r w:rsidRPr="001B0F02">
        <w:rPr>
          <w:rFonts w:ascii="Times New Roman" w:hAnsi="Times New Roman" w:cs="Times New Roman"/>
        </w:rPr>
        <w:t>2018.</w:t>
      </w:r>
      <w:r w:rsidR="00896E4C" w:rsidRPr="001B0F02">
        <w:t> </w:t>
      </w:r>
      <w:r w:rsidRPr="001B0F02">
        <w:rPr>
          <w:rFonts w:ascii="Times New Roman" w:hAnsi="Times New Roman" w:cs="Times New Roman"/>
        </w:rPr>
        <w:t>gada 30. maijs</w:t>
      </w:r>
      <w:r w:rsidR="00896E4C" w:rsidRPr="001B0F02">
        <w:rPr>
          <w:rFonts w:ascii="Times New Roman" w:hAnsi="Times New Roman" w:cs="Times New Roman"/>
        </w:rPr>
        <w:t xml:space="preserve">, </w:t>
      </w:r>
      <w:r w:rsidRPr="001B0F02">
        <w:rPr>
          <w:rFonts w:ascii="Times New Roman" w:hAnsi="Times New Roman" w:cs="Times New Roman"/>
        </w:rPr>
        <w:t>ar ko groza Direktīvu 1999/31/EK par atkritumu poligoniem</w:t>
      </w:r>
      <w:r w:rsidR="001B0F02" w:rsidRPr="001B0F02">
        <w:rPr>
          <w:rFonts w:ascii="Times New Roman" w:hAnsi="Times New Roman" w:cs="Times New Roman"/>
        </w:rPr>
        <w:t>,</w:t>
      </w:r>
      <w:r w:rsidR="0074034B" w:rsidRPr="001B0F02">
        <w:rPr>
          <w:rFonts w:ascii="Times New Roman" w:hAnsi="Times New Roman" w:cs="Times New Roman"/>
        </w:rPr>
        <w:t xml:space="preserve"> nosaka būtisku atkritumu apglabāšanas samazināšanu</w:t>
      </w:r>
      <w:r w:rsidR="006D500E" w:rsidRPr="001B0F02">
        <w:rPr>
          <w:rFonts w:ascii="Times New Roman" w:hAnsi="Times New Roman" w:cs="Times New Roman"/>
        </w:rPr>
        <w:t xml:space="preserve">. </w:t>
      </w:r>
    </w:p>
    <w:p w14:paraId="34250054" w14:textId="51B7D8B1" w:rsidR="00BA7AEF" w:rsidRPr="00BA7AEF" w:rsidRDefault="00BA7AEF" w:rsidP="00BE5D9E">
      <w:pPr>
        <w:spacing w:before="120" w:after="120"/>
        <w:ind w:firstLine="720"/>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57" behindDoc="0" locked="0" layoutInCell="1" hidden="0" allowOverlap="1" wp14:anchorId="453D3B24" wp14:editId="5CAE3B3F">
                <wp:simplePos x="0" y="0"/>
                <wp:positionH relativeFrom="margin">
                  <wp:align>left</wp:align>
                </wp:positionH>
                <wp:positionV relativeFrom="paragraph">
                  <wp:posOffset>1063625</wp:posOffset>
                </wp:positionV>
                <wp:extent cx="5372735" cy="1047750"/>
                <wp:effectExtent l="19050" t="19050" r="18415" b="19050"/>
                <wp:wrapSquare wrapText="bothSides" distT="45720" distB="45720" distL="114300" distR="114300"/>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047750"/>
                        </a:xfrm>
                        <a:prstGeom prst="rect">
                          <a:avLst/>
                        </a:prstGeom>
                        <a:solidFill>
                          <a:srgbClr val="FFFFFF"/>
                        </a:solidFill>
                        <a:ln w="38100">
                          <a:solidFill>
                            <a:srgbClr val="FFC000"/>
                          </a:solidFill>
                          <a:miter lim="800000"/>
                          <a:headEnd/>
                          <a:tailEnd/>
                        </a:ln>
                      </wps:spPr>
                      <wps:txbx>
                        <w:txbxContent>
                          <w:p w14:paraId="3194AEB1" w14:textId="77777777" w:rsidR="00BA7AEF" w:rsidRPr="00BA7AEF" w:rsidRDefault="00BA7AEF" w:rsidP="00BA7AEF">
                            <w:pPr>
                              <w:spacing w:before="120" w:after="120"/>
                              <w:rPr>
                                <w:rFonts w:ascii="Times New Roman" w:eastAsia="Calibri" w:hAnsi="Times New Roman" w:cs="Times New Roman"/>
                                <w:iCs/>
                                <w:sz w:val="28"/>
                                <w:lang w:eastAsia="lv-LV"/>
                              </w:rPr>
                            </w:pPr>
                            <w:r w:rsidRPr="00BA7AEF">
                              <w:rPr>
                                <w:rFonts w:ascii="Times New Roman" w:hAnsi="Times New Roman" w:cs="Times New Roman"/>
                                <w:b/>
                                <w:iCs/>
                                <w:color w:val="1F4E79" w:themeColor="accent1" w:themeShade="80"/>
                              </w:rPr>
                              <w:t>Ņemot vērā alternatīvas neatbilstību ilgtspējīgas vides un tautsaimniecības attīstības mērķiem, kā arī prognozējamo aizliegumu tuvāko 10 gadu laikā noglabāt notekūdeņu dūņas atkritumu poligonos, šī dūņu utilizācijas alternatīva ir izslēdzama no tālākās vērtēšanas.</w:t>
                            </w:r>
                            <w:r w:rsidRPr="00BA7AEF">
                              <w:rPr>
                                <w:rFonts w:ascii="Times New Roman" w:hAnsi="Times New Roman" w:cs="Times New Roman"/>
                                <w:iCs/>
                                <w:color w:val="1F4E79" w:themeColor="accent1" w:themeShade="80"/>
                                <w:lang w:eastAsia="lv-LV"/>
                              </w:rPr>
                              <w:t xml:space="preserve"> </w:t>
                            </w:r>
                          </w:p>
                          <w:p w14:paraId="785EEEC2" w14:textId="77777777" w:rsidR="00BA7AEF" w:rsidRPr="007E349D" w:rsidRDefault="00BA7AEF" w:rsidP="00BA7AEF">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D3B24" id="Text Box 50" o:spid="_x0000_s1032" type="#_x0000_t202" style="position:absolute;left:0;text-align:left;margin-left:0;margin-top:83.75pt;width:423.05pt;height:82.5pt;z-index:25165825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" strokecolor="#ffc000" strokeweight="3pt">
                <v:textbox>
                  <w:txbxContent>
                    <w:p w14:paraId="3194AEB1" w14:textId="77777777" w:rsidR="00BA7AEF" w:rsidRPr="00BA7AEF" w:rsidRDefault="00BA7AEF" w:rsidP="00BA7AEF">
                      <w:pPr>
                        <w:spacing w:before="120" w:after="120"/>
                        <w:rPr>
                          <w:rFonts w:ascii="Times New Roman" w:eastAsia="Calibri" w:hAnsi="Times New Roman" w:cs="Times New Roman"/>
                          <w:iCs/>
                          <w:sz w:val="28"/>
                          <w:lang w:eastAsia="lv-LV"/>
                        </w:rPr>
                      </w:pPr>
                      <w:r w:rsidRPr="00BA7AEF">
                        <w:rPr>
                          <w:rFonts w:ascii="Times New Roman" w:hAnsi="Times New Roman" w:cs="Times New Roman"/>
                          <w:b/>
                          <w:iCs/>
                          <w:color w:val="1F4E79" w:themeColor="accent1" w:themeShade="80"/>
                        </w:rPr>
                        <w:t>Ņemot vērā alternatīvas neatbilstību ilgtspējīgas vides un tautsaimniecības attīstības mērķiem, kā arī prognozējamo aizliegumu tuvāko 10 gadu laikā noglabāt notekūdeņu dūņas atkritumu poligonos, šī dūņu utilizācijas alternatīva ir izslēdzama no tālākās vērtēšanas.</w:t>
                      </w:r>
                      <w:r w:rsidRPr="00BA7AEF">
                        <w:rPr>
                          <w:rFonts w:ascii="Times New Roman" w:hAnsi="Times New Roman" w:cs="Times New Roman"/>
                          <w:iCs/>
                          <w:color w:val="1F4E79" w:themeColor="accent1" w:themeShade="80"/>
                          <w:lang w:eastAsia="lv-LV"/>
                        </w:rPr>
                        <w:t xml:space="preserve"> </w:t>
                      </w:r>
                    </w:p>
                    <w:p w14:paraId="785EEEC2" w14:textId="77777777" w:rsidR="00BA7AEF" w:rsidRPr="007E349D" w:rsidRDefault="00BA7AEF" w:rsidP="00BA7AEF">
                      <w:pPr>
                        <w:rPr>
                          <w:rFonts w:ascii="Times New Roman" w:hAnsi="Times New Roman" w:cs="Times New Roman"/>
                          <w:b/>
                          <w:bCs/>
                          <w:color w:val="44546A" w:themeColor="text2"/>
                        </w:rPr>
                      </w:pPr>
                    </w:p>
                  </w:txbxContent>
                </v:textbox>
                <w10:wrap type="square" anchorx="margin"/>
              </v:shape>
            </w:pict>
          </mc:Fallback>
        </mc:AlternateContent>
      </w:r>
      <w:r w:rsidR="000B7734" w:rsidRPr="00BA7AEF">
        <w:rPr>
          <w:rFonts w:ascii="Times New Roman" w:hAnsi="Times New Roman" w:cs="Times New Roman"/>
        </w:rPr>
        <w:t>Kopumā alternatīvas ilgtspēju būtiski ietekmē ES izvirzītie mērķi par resursu atgūšanu no atkritumiem, kā arī diskusijas par to, ka ES pārskatāmā nākotnē varētu pilnībā aizliegt apglabāt tādus atkritumus, kas ir pārstrādājami, t.sk. notekūdeņu dūņas. Šī alternatīva ir arī pretrunā notekūdeņu dūņu stratēģijā izvirzītai Vīzijai un Misijai</w:t>
      </w:r>
      <w:r w:rsidR="008C3B65" w:rsidRPr="00BA7AEF">
        <w:rPr>
          <w:rFonts w:ascii="Times New Roman" w:hAnsi="Times New Roman" w:cs="Times New Roman"/>
        </w:rPr>
        <w:t>.</w:t>
      </w:r>
    </w:p>
    <w:p w14:paraId="2E1C57B4" w14:textId="111AC7B0" w:rsidR="004E2B46" w:rsidRPr="00BE5D9E" w:rsidRDefault="000B7734" w:rsidP="000B7734">
      <w:pPr>
        <w:spacing w:before="240" w:after="120"/>
        <w:ind w:firstLine="720"/>
        <w:rPr>
          <w:rFonts w:ascii="Times New Roman" w:eastAsia="Calibri" w:hAnsi="Times New Roman" w:cs="Times New Roman"/>
          <w:sz w:val="28"/>
          <w:lang w:eastAsia="lv-LV"/>
        </w:rPr>
      </w:pPr>
      <w:r w:rsidRPr="00BE5D9E">
        <w:rPr>
          <w:rFonts w:ascii="Times New Roman" w:hAnsi="Times New Roman" w:cs="Times New Roman"/>
        </w:rPr>
        <w:t>Notekūdeņu dūņas vai to komposts, kurās smago metālu koncentrācija atbilst piektajai klasei saskaņā ar MK noteikumu Nr.362</w:t>
      </w:r>
      <w:r w:rsidR="003D3033">
        <w:rPr>
          <w:rFonts w:ascii="Times New Roman" w:hAnsi="Times New Roman" w:cs="Times New Roman"/>
        </w:rPr>
        <w:t>,</w:t>
      </w:r>
      <w:r w:rsidRPr="00BE5D9E">
        <w:rPr>
          <w:rFonts w:ascii="Times New Roman" w:hAnsi="Times New Roman" w:cs="Times New Roman"/>
        </w:rPr>
        <w:t xml:space="preserve"> ir apglabājamas tikai bīstamo atkritumu poligonā. Šādiem gadījumiem nepastāv alternatīvu risinājumu, tāpēc visas 5.klases dūņas ir paredzēts utilizēt bīstamo atkritumu poligonā. Iepriekšējo 10 gadu laikā Latvijā nav konstatētas notekūdeņu dūņas, kuras atbilstu 5.</w:t>
      </w:r>
      <w:r w:rsidR="00B431B1">
        <w:rPr>
          <w:rFonts w:ascii="Times New Roman" w:hAnsi="Times New Roman" w:cs="Times New Roman"/>
        </w:rPr>
        <w:t xml:space="preserve"> </w:t>
      </w:r>
      <w:r w:rsidRPr="00BE5D9E">
        <w:rPr>
          <w:rFonts w:ascii="Times New Roman" w:hAnsi="Times New Roman" w:cs="Times New Roman"/>
        </w:rPr>
        <w:t>klasei un būtu utilizējamas bīstamo atkritumu poligonā.</w:t>
      </w:r>
    </w:p>
    <w:p w14:paraId="105D54FB" w14:textId="77777777" w:rsidR="000B7734" w:rsidRPr="00BE5D9E" w:rsidRDefault="000B7734" w:rsidP="00BE5D9E">
      <w:pPr>
        <w:spacing w:after="160" w:line="259" w:lineRule="auto"/>
        <w:jc w:val="center"/>
        <w:rPr>
          <w:rFonts w:ascii="Times New Roman" w:hAnsi="Times New Roman" w:cs="Times New Roman"/>
          <w:b/>
          <w:bCs/>
          <w:szCs w:val="24"/>
          <w:u w:val="single"/>
        </w:rPr>
      </w:pPr>
      <w:r w:rsidRPr="00BE5D9E">
        <w:rPr>
          <w:rFonts w:ascii="Times New Roman" w:hAnsi="Times New Roman" w:cs="Times New Roman"/>
          <w:b/>
          <w:bCs/>
          <w:szCs w:val="24"/>
          <w:u w:val="single"/>
        </w:rPr>
        <w:t>Secinājumi par pārstrādātu notekūdeņu dūņu utilizācijas alternatīvām</w:t>
      </w:r>
    </w:p>
    <w:p w14:paraId="6791EAB0" w14:textId="51510CF9" w:rsidR="000B7734" w:rsidRPr="00BE5D9E" w:rsidRDefault="000B7734" w:rsidP="000B7734">
      <w:pPr>
        <w:spacing w:before="240"/>
        <w:ind w:firstLine="720"/>
        <w:rPr>
          <w:rFonts w:ascii="Times New Roman" w:hAnsi="Times New Roman" w:cs="Times New Roman"/>
          <w:i/>
        </w:rPr>
      </w:pPr>
      <w:r w:rsidRPr="00BE5D9E">
        <w:rPr>
          <w:rFonts w:ascii="Times New Roman" w:hAnsi="Times New Roman" w:cs="Times New Roman"/>
        </w:rPr>
        <w:t>Novērtējot visus</w:t>
      </w:r>
      <w:r w:rsidR="008C3B65" w:rsidRPr="00BE5D9E">
        <w:rPr>
          <w:rFonts w:ascii="Times New Roman" w:hAnsi="Times New Roman" w:cs="Times New Roman"/>
        </w:rPr>
        <w:t xml:space="preserve"> notekūdeņu</w:t>
      </w:r>
      <w:r w:rsidRPr="00BE5D9E">
        <w:rPr>
          <w:rFonts w:ascii="Times New Roman" w:hAnsi="Times New Roman" w:cs="Times New Roman"/>
        </w:rPr>
        <w:t xml:space="preserve"> dūņu utilizācijas risinājumus, ir secināms, ka </w:t>
      </w:r>
      <w:r w:rsidRPr="00BE5D9E">
        <w:rPr>
          <w:rFonts w:ascii="Times New Roman" w:hAnsi="Times New Roman" w:cs="Times New Roman"/>
          <w:b/>
          <w:color w:val="1F4E79" w:themeColor="accent1" w:themeShade="80"/>
        </w:rPr>
        <w:t xml:space="preserve">pārstrādātu notekūdeņu dūņu iestrāde augsnē ir labākais, efektīvākais un piemērotākais </w:t>
      </w:r>
      <w:r w:rsidR="008C3B65" w:rsidRPr="00BE5D9E">
        <w:rPr>
          <w:rFonts w:ascii="Times New Roman" w:hAnsi="Times New Roman" w:cs="Times New Roman"/>
          <w:b/>
          <w:color w:val="1F4E79" w:themeColor="accent1" w:themeShade="80"/>
        </w:rPr>
        <w:t xml:space="preserve">notekūdeņu </w:t>
      </w:r>
      <w:r w:rsidRPr="00BE5D9E">
        <w:rPr>
          <w:rFonts w:ascii="Times New Roman" w:hAnsi="Times New Roman" w:cs="Times New Roman"/>
          <w:b/>
          <w:color w:val="1F4E79" w:themeColor="accent1" w:themeShade="80"/>
        </w:rPr>
        <w:t>dūņu utilizācijas risinājums. Augsnes bagātināšana ar pārstrādātām notekūdeņu dūņām veicina ilgtspējīgu lauksaimniecību, kā arī noturīgu, iekļaujošu un ilgtspējīgu ekonomikas izaugsmi</w:t>
      </w:r>
      <w:r w:rsidRPr="00BE5D9E">
        <w:rPr>
          <w:rFonts w:ascii="Times New Roman" w:hAnsi="Times New Roman" w:cs="Times New Roman"/>
        </w:rPr>
        <w:t xml:space="preserve"> </w:t>
      </w:r>
      <w:r w:rsidRPr="00BE5D9E">
        <w:rPr>
          <w:rFonts w:ascii="Times New Roman" w:hAnsi="Times New Roman" w:cs="Times New Roman"/>
          <w:i/>
        </w:rPr>
        <w:t>(ANO Ilgtspējīgas attīstības mērķis, nosaukumu “Transforming our world: the 2030 Agenda for Sustainable Development”)</w:t>
      </w:r>
      <w:r w:rsidRPr="00BE5D9E">
        <w:rPr>
          <w:rStyle w:val="FootnoteReference"/>
          <w:rFonts w:ascii="Times New Roman" w:hAnsi="Times New Roman" w:cs="Times New Roman"/>
          <w:i/>
        </w:rPr>
        <w:footnoteReference w:id="10"/>
      </w:r>
      <w:r w:rsidRPr="00BE5D9E">
        <w:rPr>
          <w:rFonts w:ascii="Times New Roman" w:hAnsi="Times New Roman" w:cs="Times New Roman"/>
        </w:rPr>
        <w:t xml:space="preserve">, </w:t>
      </w:r>
      <w:r w:rsidRPr="00BE5D9E">
        <w:rPr>
          <w:rFonts w:ascii="Times New Roman" w:hAnsi="Times New Roman" w:cs="Times New Roman"/>
          <w:b/>
          <w:color w:val="1F4E79" w:themeColor="accent1" w:themeShade="80"/>
        </w:rPr>
        <w:t>mazina atkritumu daudzumu, atgūst resursos ieslēpto ekonomisko vērtību, samazina ietekmi uz vidi un klimata pārmaiņām</w:t>
      </w:r>
      <w:r w:rsidR="00CF4AA9" w:rsidRPr="00BE5D9E">
        <w:rPr>
          <w:rFonts w:ascii="Times New Roman" w:hAnsi="Times New Roman" w:cs="Times New Roman"/>
          <w:b/>
          <w:color w:val="1F4E79" w:themeColor="accent1" w:themeShade="80"/>
        </w:rPr>
        <w:t xml:space="preserve">, ko rada </w:t>
      </w:r>
      <w:r w:rsidR="00CF4AA9" w:rsidRPr="00BE5D9E">
        <w:rPr>
          <w:rFonts w:ascii="Times New Roman" w:hAnsi="Times New Roman" w:cs="Times New Roman"/>
          <w:b/>
          <w:color w:val="1F4E79" w:themeColor="accent1" w:themeShade="80"/>
        </w:rPr>
        <w:lastRenderedPageBreak/>
        <w:t>minerālmēslojums</w:t>
      </w:r>
      <w:r w:rsidRPr="00BE5D9E">
        <w:rPr>
          <w:rFonts w:ascii="Times New Roman" w:hAnsi="Times New Roman" w:cs="Times New Roman"/>
        </w:rPr>
        <w:t xml:space="preserve"> </w:t>
      </w:r>
      <w:r w:rsidRPr="00BE5D9E">
        <w:rPr>
          <w:rFonts w:ascii="Times New Roman" w:hAnsi="Times New Roman" w:cs="Times New Roman"/>
          <w:i/>
        </w:rPr>
        <w:t>(Eiropas Zaļais kurss)</w:t>
      </w:r>
      <w:r w:rsidRPr="00BE5D9E">
        <w:rPr>
          <w:rStyle w:val="FootnoteReference"/>
          <w:rFonts w:ascii="Times New Roman" w:hAnsi="Times New Roman" w:cs="Times New Roman"/>
          <w:i/>
        </w:rPr>
        <w:footnoteReference w:id="11"/>
      </w:r>
      <w:r w:rsidRPr="00BE5D9E">
        <w:rPr>
          <w:rFonts w:ascii="Times New Roman" w:hAnsi="Times New Roman" w:cs="Times New Roman"/>
        </w:rPr>
        <w:t xml:space="preserve">, </w:t>
      </w:r>
      <w:r w:rsidRPr="00BE5D9E">
        <w:rPr>
          <w:rFonts w:ascii="Times New Roman" w:hAnsi="Times New Roman" w:cs="Times New Roman"/>
          <w:b/>
          <w:color w:val="1F4E79" w:themeColor="accent1" w:themeShade="80"/>
        </w:rPr>
        <w:t>nodrošina, ka materiāli, kurus var pārstrādāt, atkal atgriežas ekonomikā kā jaunas izejvielas un tādējādi palielina apgādes drošību</w:t>
      </w:r>
      <w:r w:rsidRPr="00BE5D9E">
        <w:rPr>
          <w:rFonts w:ascii="Times New Roman" w:hAnsi="Times New Roman" w:cs="Times New Roman"/>
        </w:rPr>
        <w:t xml:space="preserve"> </w:t>
      </w:r>
      <w:r w:rsidRPr="00BE5D9E">
        <w:rPr>
          <w:rFonts w:ascii="Times New Roman" w:hAnsi="Times New Roman" w:cs="Times New Roman"/>
          <w:i/>
        </w:rPr>
        <w:t>(ES Rīcības plāns pārejai uz aprites ekonomiku)</w:t>
      </w:r>
      <w:r w:rsidRPr="00BE5D9E">
        <w:rPr>
          <w:rStyle w:val="FootnoteReference"/>
          <w:rFonts w:ascii="Times New Roman" w:hAnsi="Times New Roman" w:cs="Times New Roman"/>
          <w:i/>
        </w:rPr>
        <w:footnoteReference w:id="12"/>
      </w:r>
      <w:r w:rsidRPr="00BE5D9E">
        <w:rPr>
          <w:rFonts w:ascii="Times New Roman" w:hAnsi="Times New Roman" w:cs="Times New Roman"/>
        </w:rPr>
        <w:t xml:space="preserve">, </w:t>
      </w:r>
      <w:r w:rsidRPr="00BE5D9E">
        <w:rPr>
          <w:rFonts w:ascii="Times New Roman" w:hAnsi="Times New Roman" w:cs="Times New Roman"/>
          <w:b/>
          <w:color w:val="1F4E79" w:themeColor="accent1" w:themeShade="80"/>
        </w:rPr>
        <w:t>nodrošina barības vielu ilgtspējīgāku izmantošanu un stimulē atgūto barības vielu tirgus</w:t>
      </w:r>
      <w:r w:rsidRPr="00BE5D9E">
        <w:rPr>
          <w:rFonts w:ascii="Times New Roman" w:hAnsi="Times New Roman" w:cs="Times New Roman"/>
        </w:rPr>
        <w:t xml:space="preserve"> </w:t>
      </w:r>
      <w:r w:rsidRPr="00BE5D9E">
        <w:rPr>
          <w:rFonts w:ascii="Times New Roman" w:hAnsi="Times New Roman" w:cs="Times New Roman"/>
          <w:i/>
        </w:rPr>
        <w:t>(Jauns aprites ekonomikas rīcības plāns. Par tīrāku un konkurētspējīgāku Eiropu</w:t>
      </w:r>
      <w:r w:rsidRPr="00BE5D9E">
        <w:rPr>
          <w:rFonts w:ascii="Times New Roman" w:hAnsi="Times New Roman" w:cs="Times New Roman"/>
          <w:i/>
          <w:color w:val="1F4E79" w:themeColor="accent1" w:themeShade="80"/>
        </w:rPr>
        <w:t>)</w:t>
      </w:r>
      <w:r w:rsidRPr="00BE5D9E">
        <w:rPr>
          <w:rStyle w:val="FootnoteReference"/>
          <w:rFonts w:ascii="Times New Roman" w:hAnsi="Times New Roman" w:cs="Times New Roman"/>
          <w:i/>
          <w:color w:val="1F4E79" w:themeColor="accent1" w:themeShade="80"/>
        </w:rPr>
        <w:footnoteReference w:id="13"/>
      </w:r>
      <w:r w:rsidRPr="00BE5D9E">
        <w:rPr>
          <w:rFonts w:ascii="Times New Roman" w:hAnsi="Times New Roman" w:cs="Times New Roman"/>
          <w:color w:val="1F4E79" w:themeColor="accent1" w:themeShade="80"/>
        </w:rPr>
        <w:t xml:space="preserve">. </w:t>
      </w:r>
      <w:r w:rsidR="008C3B65" w:rsidRPr="00BE5D9E">
        <w:rPr>
          <w:rFonts w:ascii="Times New Roman" w:hAnsi="Times New Roman" w:cs="Times New Roman"/>
          <w:b/>
          <w:color w:val="1F4E79" w:themeColor="accent1" w:themeShade="80"/>
        </w:rPr>
        <w:t>Notekūdeņu d</w:t>
      </w:r>
      <w:r w:rsidRPr="00BE5D9E">
        <w:rPr>
          <w:rFonts w:ascii="Times New Roman" w:hAnsi="Times New Roman" w:cs="Times New Roman"/>
          <w:b/>
          <w:color w:val="1F4E79" w:themeColor="accent1" w:themeShade="80"/>
        </w:rPr>
        <w:t>ūņu utilizācija ir jāveic atbildīgi, jo notekūdeņu dūņās esoš</w:t>
      </w:r>
      <w:r w:rsidR="004C30E2" w:rsidRPr="00BE5D9E">
        <w:rPr>
          <w:rFonts w:ascii="Times New Roman" w:hAnsi="Times New Roman" w:cs="Times New Roman"/>
          <w:b/>
          <w:color w:val="1F4E79" w:themeColor="accent1" w:themeShade="80"/>
        </w:rPr>
        <w:t>ie</w:t>
      </w:r>
      <w:r w:rsidRPr="00BE5D9E">
        <w:rPr>
          <w:rFonts w:ascii="Times New Roman" w:hAnsi="Times New Roman" w:cs="Times New Roman"/>
          <w:b/>
          <w:color w:val="1F4E79" w:themeColor="accent1" w:themeShade="80"/>
        </w:rPr>
        <w:t xml:space="preserve"> </w:t>
      </w:r>
      <w:r w:rsidR="004C30E2" w:rsidRPr="00BE5D9E">
        <w:rPr>
          <w:rFonts w:ascii="Times New Roman" w:hAnsi="Times New Roman" w:cs="Times New Roman"/>
          <w:b/>
          <w:color w:val="1F4E79" w:themeColor="accent1" w:themeShade="80"/>
        </w:rPr>
        <w:t xml:space="preserve">augu </w:t>
      </w:r>
      <w:r w:rsidR="00411379">
        <w:rPr>
          <w:rFonts w:ascii="Times New Roman" w:hAnsi="Times New Roman" w:cs="Times New Roman"/>
          <w:b/>
          <w:color w:val="1F4E79" w:themeColor="accent1" w:themeShade="80"/>
        </w:rPr>
        <w:t>barības vielas</w:t>
      </w:r>
      <w:r w:rsidRPr="00BE5D9E">
        <w:rPr>
          <w:rFonts w:ascii="Times New Roman" w:hAnsi="Times New Roman" w:cs="Times New Roman"/>
          <w:b/>
          <w:color w:val="1F4E79" w:themeColor="accent1" w:themeShade="80"/>
        </w:rPr>
        <w:t xml:space="preserve">, nedz smagie metāli, vai jebkādi citi piesārņojoši elementi nedrīkst radīt ietekmi uz apkārtējo vidi un </w:t>
      </w:r>
      <w:r w:rsidR="008C3B65" w:rsidRPr="00BE5D9E">
        <w:rPr>
          <w:rFonts w:ascii="Times New Roman" w:hAnsi="Times New Roman" w:cs="Times New Roman"/>
          <w:b/>
          <w:color w:val="1F4E79" w:themeColor="accent1" w:themeShade="80"/>
        </w:rPr>
        <w:t xml:space="preserve">notekūdeņu </w:t>
      </w:r>
      <w:r w:rsidRPr="00BE5D9E">
        <w:rPr>
          <w:rFonts w:ascii="Times New Roman" w:hAnsi="Times New Roman" w:cs="Times New Roman"/>
          <w:b/>
          <w:color w:val="1F4E79" w:themeColor="accent1" w:themeShade="80"/>
        </w:rPr>
        <w:t>dūņu kā resursa izmantošana ir lielā mērā skatāma kontekstā ar to kvalitātes un vides nekaitīguma parametriem</w:t>
      </w:r>
      <w:r w:rsidRPr="00BE5D9E">
        <w:rPr>
          <w:rFonts w:ascii="Times New Roman" w:hAnsi="Times New Roman" w:cs="Times New Roman"/>
          <w:i/>
          <w:color w:val="1F4E79" w:themeColor="accent1" w:themeShade="80"/>
        </w:rPr>
        <w:t xml:space="preserve"> </w:t>
      </w:r>
      <w:r w:rsidRPr="00BE5D9E">
        <w:rPr>
          <w:rFonts w:ascii="Times New Roman" w:hAnsi="Times New Roman" w:cs="Times New Roman"/>
          <w:i/>
        </w:rPr>
        <w:t>(Eiropas Zaļais kurss).</w:t>
      </w:r>
    </w:p>
    <w:p w14:paraId="5F4DB2D7" w14:textId="51727755" w:rsidR="000B4C05" w:rsidRDefault="000B7734" w:rsidP="000B4C05">
      <w:pPr>
        <w:spacing w:after="0"/>
        <w:ind w:firstLine="720"/>
        <w:rPr>
          <w:rFonts w:ascii="Times New Roman" w:hAnsi="Times New Roman" w:cs="Times New Roman"/>
        </w:rPr>
      </w:pPr>
      <w:r w:rsidRPr="00BE5D9E">
        <w:rPr>
          <w:rFonts w:ascii="Times New Roman" w:hAnsi="Times New Roman" w:cs="Times New Roman"/>
        </w:rPr>
        <w:t xml:space="preserve">Pārstrādātu </w:t>
      </w:r>
      <w:r w:rsidR="008C3B65" w:rsidRPr="00BE5D9E">
        <w:rPr>
          <w:rFonts w:ascii="Times New Roman" w:hAnsi="Times New Roman" w:cs="Times New Roman"/>
        </w:rPr>
        <w:t xml:space="preserve">notekūdeņu </w:t>
      </w:r>
      <w:r w:rsidRPr="00BE5D9E">
        <w:rPr>
          <w:rFonts w:ascii="Times New Roman" w:hAnsi="Times New Roman" w:cs="Times New Roman"/>
        </w:rPr>
        <w:t>dūņu iestrādes augsnē utilizācijas izmaksas ir ļoti zemas salīdzinājumā ar citiem izskatītiem alternatīviem</w:t>
      </w:r>
      <w:r w:rsidR="008C3B65" w:rsidRPr="00BE5D9E">
        <w:rPr>
          <w:rFonts w:ascii="Times New Roman" w:hAnsi="Times New Roman" w:cs="Times New Roman"/>
        </w:rPr>
        <w:t xml:space="preserve"> notekūdeņu </w:t>
      </w:r>
      <w:r w:rsidRPr="00BE5D9E">
        <w:rPr>
          <w:rFonts w:ascii="Times New Roman" w:hAnsi="Times New Roman" w:cs="Times New Roman"/>
        </w:rPr>
        <w:t xml:space="preserve">dūņu utilizācijas risinājumiem un jau šobrīd ir ES un LR normatīvo aktu regulējumam atbilstošs </w:t>
      </w:r>
      <w:r w:rsidRPr="00BE5D9E">
        <w:rPr>
          <w:rFonts w:ascii="Times New Roman" w:hAnsi="Times New Roman" w:cs="Times New Roman"/>
          <w:szCs w:val="24"/>
        </w:rPr>
        <w:t>risinājums</w:t>
      </w:r>
      <w:r w:rsidR="00CF4AA9" w:rsidRPr="00BE5D9E">
        <w:rPr>
          <w:rFonts w:ascii="Times New Roman" w:eastAsia="Calibri" w:hAnsi="Times New Roman" w:cs="Times New Roman"/>
          <w:szCs w:val="24"/>
          <w:lang w:eastAsia="lv-LV"/>
        </w:rPr>
        <w:t>. Vienlaikus</w:t>
      </w:r>
      <w:r w:rsidR="00CF4AA9" w:rsidRPr="00BE5D9E">
        <w:rPr>
          <w:rFonts w:ascii="Times New Roman" w:hAnsi="Times New Roman" w:cs="Times New Roman"/>
        </w:rPr>
        <w:t xml:space="preserve"> būtiski nodrošināt, ka pārstrādātu notekūdeņu dūņu iestrāde augsnē tiek veikta atbilstoši normatīvajos aktos paredzētajai kārtībai un tiek veikti visi tajos noteiktie kontroles un uzraudzības pasākumi, kas paredz </w:t>
      </w:r>
      <w:r w:rsidR="00A91FB7" w:rsidRPr="00BE5D9E">
        <w:rPr>
          <w:rFonts w:ascii="Times New Roman" w:hAnsi="Times New Roman" w:cs="Times New Roman"/>
        </w:rPr>
        <w:t>stingri</w:t>
      </w:r>
      <w:r w:rsidR="00CF4AA9" w:rsidRPr="00BE5D9E">
        <w:rPr>
          <w:rFonts w:ascii="Times New Roman" w:hAnsi="Times New Roman" w:cs="Times New Roman"/>
        </w:rPr>
        <w:t xml:space="preserve"> uzraudzīt pārstrādātu notekūdeņu dūņu kvalitāti, augsnes kvalitatīvo stāvokli, iestrādes laiku, nosacījumus un apstākļus.</w:t>
      </w:r>
      <w:bookmarkStart w:id="28" w:name="_Toc82430155"/>
    </w:p>
    <w:p w14:paraId="2E218A64" w14:textId="4B6B6FF2" w:rsidR="00EC79CB" w:rsidRDefault="006629FF" w:rsidP="000B4C05">
      <w:pPr>
        <w:spacing w:after="0"/>
        <w:ind w:firstLine="720"/>
        <w:rPr>
          <w:rFonts w:ascii="Times New Roman" w:hAnsi="Times New Roman" w:cs="Times New Roman"/>
        </w:rPr>
        <w:sectPr w:rsidR="00EC79CB" w:rsidSect="007E349D">
          <w:pgSz w:w="11906" w:h="16838"/>
          <w:pgMar w:top="1134" w:right="1701" w:bottom="1134" w:left="1701" w:header="708" w:footer="708" w:gutter="0"/>
          <w:cols w:space="708"/>
          <w:docGrid w:linePitch="360"/>
        </w:sectPr>
      </w:pPr>
      <w:r>
        <w:rPr>
          <w:rFonts w:ascii="Times New Roman" w:eastAsia="Calibri" w:hAnsi="Times New Roman" w:cs="Times New Roman"/>
          <w:szCs w:val="24"/>
          <w:lang w:eastAsia="lv-LV"/>
        </w:rPr>
        <w:t>Pār</w:t>
      </w:r>
      <w:r w:rsidRPr="002B3F0F">
        <w:rPr>
          <w:rFonts w:ascii="Times New Roman" w:eastAsia="Calibri" w:hAnsi="Times New Roman" w:cs="Times New Roman"/>
          <w:szCs w:val="24"/>
          <w:lang w:eastAsia="lv-LV"/>
        </w:rPr>
        <w:t>strādātu notekūdeņu dūņu u</w:t>
      </w:r>
      <w:r w:rsidR="002B026E" w:rsidRPr="002B3F0F">
        <w:rPr>
          <w:rFonts w:ascii="Times New Roman" w:eastAsia="Calibri" w:hAnsi="Times New Roman" w:cs="Times New Roman"/>
          <w:szCs w:val="24"/>
          <w:lang w:eastAsia="lv-LV"/>
        </w:rPr>
        <w:t>tilizācijas</w:t>
      </w:r>
      <w:r w:rsidR="008D5138" w:rsidRPr="002B3F0F">
        <w:rPr>
          <w:rFonts w:ascii="Times New Roman" w:eastAsia="Calibri" w:hAnsi="Times New Roman" w:cs="Times New Roman"/>
          <w:szCs w:val="24"/>
          <w:lang w:eastAsia="lv-LV"/>
        </w:rPr>
        <w:t xml:space="preserve"> B</w:t>
      </w:r>
      <w:r w:rsidR="002B026E" w:rsidRPr="002B3F0F">
        <w:rPr>
          <w:rFonts w:ascii="Times New Roman" w:eastAsia="Calibri" w:hAnsi="Times New Roman" w:cs="Times New Roman"/>
          <w:szCs w:val="24"/>
          <w:lang w:eastAsia="lv-LV"/>
        </w:rPr>
        <w:t xml:space="preserve"> alternatīvu izvērtējums apkopots </w:t>
      </w:r>
      <w:r w:rsidR="002B3F0F" w:rsidRPr="002B3F0F">
        <w:rPr>
          <w:rFonts w:ascii="Times New Roman" w:eastAsia="Calibri" w:hAnsi="Times New Roman" w:cs="Times New Roman"/>
          <w:szCs w:val="24"/>
          <w:lang w:eastAsia="lv-LV"/>
        </w:rPr>
        <w:t>2.1.</w:t>
      </w:r>
      <w:r w:rsidR="002B026E" w:rsidRPr="002B3F0F">
        <w:rPr>
          <w:rFonts w:ascii="Times New Roman" w:eastAsia="Calibri" w:hAnsi="Times New Roman" w:cs="Times New Roman"/>
          <w:szCs w:val="24"/>
          <w:lang w:eastAsia="lv-LV"/>
        </w:rPr>
        <w:t>1.</w:t>
      </w:r>
      <w:r w:rsidRPr="002B3F0F">
        <w:rPr>
          <w:rFonts w:ascii="Times New Roman" w:eastAsia="Calibri" w:hAnsi="Times New Roman" w:cs="Times New Roman"/>
          <w:szCs w:val="24"/>
          <w:lang w:eastAsia="lv-LV"/>
        </w:rPr>
        <w:t> </w:t>
      </w:r>
      <w:r w:rsidR="002B026E" w:rsidRPr="002B3F0F">
        <w:rPr>
          <w:rFonts w:ascii="Times New Roman" w:eastAsia="Calibri" w:hAnsi="Times New Roman" w:cs="Times New Roman"/>
          <w:szCs w:val="24"/>
          <w:lang w:eastAsia="lv-LV"/>
        </w:rPr>
        <w:t>attēlā.</w:t>
      </w:r>
      <w:r w:rsidR="002B026E">
        <w:rPr>
          <w:rFonts w:ascii="Times New Roman" w:eastAsia="Calibri" w:hAnsi="Times New Roman" w:cs="Times New Roman"/>
          <w:szCs w:val="24"/>
          <w:lang w:eastAsia="lv-LV"/>
        </w:rPr>
        <w:t xml:space="preserve"> </w:t>
      </w:r>
    </w:p>
    <w:p w14:paraId="77630E88" w14:textId="60429057" w:rsidR="005240D3" w:rsidRDefault="00A053D5" w:rsidP="000B4C05">
      <w:pPr>
        <w:spacing w:after="0"/>
        <w:ind w:firstLine="720"/>
        <w:rPr>
          <w:rFonts w:ascii="Times New Roman" w:hAnsi="Times New Roman" w:cs="Times New Roman"/>
        </w:rPr>
      </w:pPr>
      <w:r>
        <w:rPr>
          <w:noProof/>
        </w:rPr>
        <w:lastRenderedPageBreak/>
        <w:drawing>
          <wp:inline distT="0" distB="0" distL="0" distR="0" wp14:anchorId="74A83983" wp14:editId="74B3439C">
            <wp:extent cx="8860929" cy="4971600"/>
            <wp:effectExtent l="0" t="0" r="0" b="0"/>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60929" cy="4971600"/>
                    </a:xfrm>
                    <a:prstGeom prst="rect">
                      <a:avLst/>
                    </a:prstGeom>
                    <a:noFill/>
                  </pic:spPr>
                </pic:pic>
              </a:graphicData>
            </a:graphic>
          </wp:inline>
        </w:drawing>
      </w:r>
    </w:p>
    <w:p w14:paraId="3FE0CCE7" w14:textId="6221AF2D" w:rsidR="005240D3" w:rsidRDefault="008521E8" w:rsidP="000B4C05">
      <w:pPr>
        <w:spacing w:after="0"/>
        <w:ind w:firstLine="720"/>
        <w:rPr>
          <w:rFonts w:ascii="Times New Roman" w:hAnsi="Times New Roman" w:cs="Times New Roman"/>
        </w:rPr>
      </w:pPr>
      <w:r>
        <w:rPr>
          <w:b/>
          <w:noProof/>
          <w:lang w:eastAsia="lv-LV"/>
        </w:rPr>
        <mc:AlternateContent>
          <mc:Choice Requires="wps">
            <w:drawing>
              <wp:anchor distT="0" distB="0" distL="114300" distR="114300" simplePos="0" relativeHeight="251658263" behindDoc="0" locked="0" layoutInCell="1" allowOverlap="1" wp14:anchorId="105AD16F" wp14:editId="5FBD9FAE">
                <wp:simplePos x="0" y="0"/>
                <wp:positionH relativeFrom="margin">
                  <wp:align>center</wp:align>
                </wp:positionH>
                <wp:positionV relativeFrom="paragraph">
                  <wp:posOffset>217170</wp:posOffset>
                </wp:positionV>
                <wp:extent cx="7729855" cy="314325"/>
                <wp:effectExtent l="0" t="0" r="4445" b="9525"/>
                <wp:wrapNone/>
                <wp:docPr id="136" name="Text Box 136"/>
                <wp:cNvGraphicFramePr/>
                <a:graphic xmlns:a="http://schemas.openxmlformats.org/drawingml/2006/main">
                  <a:graphicData uri="http://schemas.microsoft.com/office/word/2010/wordprocessingShape">
                    <wps:wsp>
                      <wps:cNvSpPr txBox="1"/>
                      <wps:spPr>
                        <a:xfrm>
                          <a:off x="0" y="0"/>
                          <a:ext cx="7729855" cy="314325"/>
                        </a:xfrm>
                        <a:prstGeom prst="rect">
                          <a:avLst/>
                        </a:prstGeom>
                        <a:solidFill>
                          <a:sysClr val="window" lastClr="FFFFFF"/>
                        </a:solidFill>
                        <a:ln w="6350">
                          <a:noFill/>
                        </a:ln>
                        <a:effectLst/>
                      </wps:spPr>
                      <wps:txbx>
                        <w:txbxContent>
                          <w:p w14:paraId="5731059A" w14:textId="7FD7CB99" w:rsidR="008521E8" w:rsidRPr="005F28F0" w:rsidRDefault="002B3F0F" w:rsidP="008521E8">
                            <w:pPr>
                              <w:jc w:val="center"/>
                              <w:rPr>
                                <w:rFonts w:ascii="Times New Roman" w:hAnsi="Times New Roman" w:cs="Times New Roman"/>
                                <w:b/>
                                <w:iCs/>
                                <w:szCs w:val="24"/>
                              </w:rPr>
                            </w:pPr>
                            <w:r w:rsidRPr="002B3F0F">
                              <w:rPr>
                                <w:rFonts w:ascii="Times New Roman" w:hAnsi="Times New Roman" w:cs="Times New Roman"/>
                                <w:b/>
                                <w:bCs/>
                                <w:iCs/>
                                <w:szCs w:val="24"/>
                              </w:rPr>
                              <w:t>2.</w:t>
                            </w:r>
                            <w:r w:rsidR="008521E8" w:rsidRPr="002B3F0F">
                              <w:rPr>
                                <w:rFonts w:ascii="Times New Roman" w:hAnsi="Times New Roman" w:cs="Times New Roman"/>
                                <w:b/>
                                <w:bCs/>
                                <w:iCs/>
                                <w:szCs w:val="24"/>
                              </w:rPr>
                              <w:t>1</w:t>
                            </w:r>
                            <w:r w:rsidRPr="002B3F0F">
                              <w:rPr>
                                <w:rFonts w:ascii="Times New Roman" w:hAnsi="Times New Roman" w:cs="Times New Roman"/>
                                <w:b/>
                                <w:bCs/>
                                <w:iCs/>
                                <w:szCs w:val="24"/>
                              </w:rPr>
                              <w:t>.</w:t>
                            </w:r>
                            <w:r w:rsidR="008521E8" w:rsidRPr="002B3F0F">
                              <w:rPr>
                                <w:rFonts w:ascii="Times New Roman" w:hAnsi="Times New Roman" w:cs="Times New Roman"/>
                                <w:b/>
                                <w:bCs/>
                                <w:iCs/>
                                <w:szCs w:val="24"/>
                              </w:rPr>
                              <w:t>1.attēls.</w:t>
                            </w:r>
                            <w:r w:rsidR="008521E8" w:rsidRPr="005F28F0">
                              <w:rPr>
                                <w:rFonts w:ascii="Times New Roman" w:hAnsi="Times New Roman" w:cs="Times New Roman"/>
                                <w:iCs/>
                                <w:szCs w:val="24"/>
                              </w:rPr>
                              <w:t xml:space="preserve"> Alternatīvu grupas “B” izvērtējuma kopsavilkums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AD16F" id="Text Box 136" o:spid="_x0000_s1033" type="#_x0000_t202" style="position:absolute;left:0;text-align:left;margin-left:0;margin-top:17.1pt;width:608.65pt;height:24.75pt;z-index:25165826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" fillcolor="window" stroked="f" strokeweight=".5pt">
                <v:textbox>
                  <w:txbxContent>
                    <w:p w14:paraId="5731059A" w14:textId="7FD7CB99" w:rsidR="008521E8" w:rsidRPr="005F28F0" w:rsidRDefault="002B3F0F" w:rsidP="008521E8">
                      <w:pPr>
                        <w:jc w:val="center"/>
                        <w:rPr>
                          <w:rFonts w:ascii="Times New Roman" w:hAnsi="Times New Roman" w:cs="Times New Roman"/>
                          <w:b/>
                          <w:iCs/>
                          <w:szCs w:val="24"/>
                        </w:rPr>
                      </w:pPr>
                      <w:r w:rsidRPr="002B3F0F">
                        <w:rPr>
                          <w:rFonts w:ascii="Times New Roman" w:hAnsi="Times New Roman" w:cs="Times New Roman"/>
                          <w:b/>
                          <w:bCs/>
                          <w:iCs/>
                          <w:szCs w:val="24"/>
                        </w:rPr>
                        <w:t>2.</w:t>
                      </w:r>
                      <w:r w:rsidR="008521E8" w:rsidRPr="002B3F0F">
                        <w:rPr>
                          <w:rFonts w:ascii="Times New Roman" w:hAnsi="Times New Roman" w:cs="Times New Roman"/>
                          <w:b/>
                          <w:bCs/>
                          <w:iCs/>
                          <w:szCs w:val="24"/>
                        </w:rPr>
                        <w:t>1</w:t>
                      </w:r>
                      <w:r w:rsidRPr="002B3F0F">
                        <w:rPr>
                          <w:rFonts w:ascii="Times New Roman" w:hAnsi="Times New Roman" w:cs="Times New Roman"/>
                          <w:b/>
                          <w:bCs/>
                          <w:iCs/>
                          <w:szCs w:val="24"/>
                        </w:rPr>
                        <w:t>.</w:t>
                      </w:r>
                      <w:r w:rsidR="008521E8" w:rsidRPr="002B3F0F">
                        <w:rPr>
                          <w:rFonts w:ascii="Times New Roman" w:hAnsi="Times New Roman" w:cs="Times New Roman"/>
                          <w:b/>
                          <w:bCs/>
                          <w:iCs/>
                          <w:szCs w:val="24"/>
                        </w:rPr>
                        <w:t>1.attēls.</w:t>
                      </w:r>
                      <w:r w:rsidR="008521E8" w:rsidRPr="005F28F0">
                        <w:rPr>
                          <w:rFonts w:ascii="Times New Roman" w:hAnsi="Times New Roman" w:cs="Times New Roman"/>
                          <w:iCs/>
                          <w:szCs w:val="24"/>
                        </w:rPr>
                        <w:t xml:space="preserve"> Alternatīvu grupas “B” izvērtējuma kopsavilkums</w:t>
                      </w:r>
                    </w:p>
                  </w:txbxContent>
                </v:textbox>
                <w10:wrap anchorx="margin"/>
              </v:shape>
            </w:pict>
          </mc:Fallback>
        </mc:AlternateContent>
      </w:r>
    </w:p>
    <w:p w14:paraId="4026CCC0" w14:textId="77777777" w:rsidR="005240D3" w:rsidRDefault="005240D3" w:rsidP="000B4C05">
      <w:pPr>
        <w:spacing w:after="0"/>
        <w:ind w:firstLine="720"/>
        <w:rPr>
          <w:rFonts w:ascii="Times New Roman" w:hAnsi="Times New Roman" w:cs="Times New Roman"/>
        </w:rPr>
        <w:sectPr w:rsidR="005240D3" w:rsidSect="008521E8">
          <w:pgSz w:w="16838" w:h="11906" w:orient="landscape"/>
          <w:pgMar w:top="1701" w:right="1134" w:bottom="1701" w:left="1134" w:header="708" w:footer="708" w:gutter="0"/>
          <w:cols w:space="708"/>
          <w:docGrid w:linePitch="360"/>
        </w:sectPr>
      </w:pPr>
    </w:p>
    <w:p w14:paraId="4CE55B51" w14:textId="77777777" w:rsidR="000B4C05" w:rsidRDefault="000B4C05" w:rsidP="000B4C05">
      <w:pPr>
        <w:spacing w:after="0"/>
        <w:ind w:firstLine="720"/>
        <w:rPr>
          <w:rFonts w:ascii="Times New Roman" w:hAnsi="Times New Roman" w:cs="Times New Roman"/>
        </w:rPr>
      </w:pPr>
    </w:p>
    <w:p w14:paraId="47198684" w14:textId="671D04CA" w:rsidR="000B7734" w:rsidRPr="000B4C05" w:rsidRDefault="00501357" w:rsidP="000B4C05">
      <w:pPr>
        <w:pStyle w:val="Heading1"/>
        <w:spacing w:before="0"/>
        <w:rPr>
          <w:rFonts w:ascii="Times New Roman" w:eastAsia="Times New Roman" w:hAnsi="Times New Roman" w:cs="Times New Roman"/>
          <w:b/>
          <w:bCs/>
          <w:color w:val="auto"/>
          <w:sz w:val="24"/>
          <w:szCs w:val="24"/>
          <w:lang w:eastAsia="en-GB"/>
        </w:rPr>
      </w:pPr>
      <w:bookmarkStart w:id="29" w:name="_Toc107916307"/>
      <w:r w:rsidRPr="000B4C05">
        <w:rPr>
          <w:rFonts w:ascii="Times New Roman" w:eastAsia="Times New Roman" w:hAnsi="Times New Roman" w:cs="Times New Roman"/>
          <w:b/>
          <w:bCs/>
          <w:color w:val="auto"/>
          <w:sz w:val="24"/>
          <w:szCs w:val="24"/>
          <w:lang w:eastAsia="en-GB"/>
        </w:rPr>
        <w:t>3. NOTEKŪDEŅU DŪŅU PĀRSTRĀDES ALTERNATĪVU NOVĒRTĒJUMS</w:t>
      </w:r>
      <w:bookmarkEnd w:id="28"/>
      <w:bookmarkEnd w:id="29"/>
    </w:p>
    <w:p w14:paraId="44410440" w14:textId="77777777" w:rsidR="000B4C05" w:rsidRDefault="000B4C05" w:rsidP="000B4C05">
      <w:pPr>
        <w:spacing w:after="0"/>
        <w:ind w:firstLine="720"/>
        <w:rPr>
          <w:rFonts w:ascii="Times New Roman" w:hAnsi="Times New Roman" w:cs="Times New Roman"/>
        </w:rPr>
      </w:pPr>
    </w:p>
    <w:p w14:paraId="394A424E" w14:textId="3FE14D8A" w:rsidR="00135F1B" w:rsidRPr="00B7479D" w:rsidRDefault="00135F1B" w:rsidP="000B4C05">
      <w:pPr>
        <w:spacing w:after="0"/>
        <w:ind w:firstLine="720"/>
        <w:rPr>
          <w:rFonts w:ascii="Times New Roman" w:hAnsi="Times New Roman" w:cs="Times New Roman"/>
        </w:rPr>
      </w:pPr>
      <w:r w:rsidRPr="00B7479D">
        <w:rPr>
          <w:rFonts w:ascii="Times New Roman" w:hAnsi="Times New Roman" w:cs="Times New Roman"/>
        </w:rPr>
        <w:t xml:space="preserve">Izvērtējot notekūdeņu dūņu utilizācijas risinājumus, </w:t>
      </w:r>
      <w:r w:rsidR="00AB2062" w:rsidRPr="00B7479D">
        <w:rPr>
          <w:rFonts w:ascii="Times New Roman" w:hAnsi="Times New Roman" w:cs="Times New Roman"/>
        </w:rPr>
        <w:t>tika</w:t>
      </w:r>
      <w:r w:rsidRPr="00B7479D">
        <w:rPr>
          <w:rFonts w:ascii="Times New Roman" w:hAnsi="Times New Roman" w:cs="Times New Roman"/>
        </w:rPr>
        <w:t xml:space="preserve"> secināts, ka </w:t>
      </w:r>
      <w:r w:rsidR="00AB2062" w:rsidRPr="00B7479D">
        <w:rPr>
          <w:rFonts w:ascii="Times New Roman" w:hAnsi="Times New Roman" w:cs="Times New Roman"/>
        </w:rPr>
        <w:t>piemērotākais</w:t>
      </w:r>
      <w:r w:rsidRPr="00B7479D">
        <w:rPr>
          <w:rFonts w:ascii="Times New Roman" w:hAnsi="Times New Roman" w:cs="Times New Roman"/>
        </w:rPr>
        <w:t xml:space="preserve"> ilgtermiņa risinājums ir pārstrādātu </w:t>
      </w:r>
      <w:r w:rsidR="00AB2062" w:rsidRPr="00B7479D">
        <w:rPr>
          <w:rFonts w:ascii="Times New Roman" w:hAnsi="Times New Roman" w:cs="Times New Roman"/>
        </w:rPr>
        <w:t xml:space="preserve">notekūdeņu </w:t>
      </w:r>
      <w:r w:rsidRPr="00B7479D">
        <w:rPr>
          <w:rFonts w:ascii="Times New Roman" w:hAnsi="Times New Roman" w:cs="Times New Roman"/>
        </w:rPr>
        <w:t>dūņu vai tā komposta iestrāde augsnē. Līdz</w:t>
      </w:r>
      <w:r w:rsidR="00AB2062" w:rsidRPr="00B7479D">
        <w:rPr>
          <w:rFonts w:ascii="Times New Roman" w:hAnsi="Times New Roman" w:cs="Times New Roman"/>
        </w:rPr>
        <w:t xml:space="preserve"> </w:t>
      </w:r>
      <w:r w:rsidRPr="00B7479D">
        <w:rPr>
          <w:rFonts w:ascii="Times New Roman" w:hAnsi="Times New Roman" w:cs="Times New Roman"/>
        </w:rPr>
        <w:t xml:space="preserve">ar </w:t>
      </w:r>
      <w:r w:rsidR="00AB2062" w:rsidRPr="00B7479D">
        <w:rPr>
          <w:rFonts w:ascii="Times New Roman" w:hAnsi="Times New Roman" w:cs="Times New Roman"/>
        </w:rPr>
        <w:t>to</w:t>
      </w:r>
      <w:r w:rsidRPr="00B7479D">
        <w:rPr>
          <w:rFonts w:ascii="Times New Roman" w:hAnsi="Times New Roman" w:cs="Times New Roman"/>
        </w:rPr>
        <w:t xml:space="preserve"> notekūdeņu dūņu pārstrādes alternatīvu novērtējumā tiek </w:t>
      </w:r>
      <w:r w:rsidR="00AB2062" w:rsidRPr="00B7479D">
        <w:rPr>
          <w:rFonts w:ascii="Times New Roman" w:hAnsi="Times New Roman" w:cs="Times New Roman"/>
        </w:rPr>
        <w:t>apskatīt</w:t>
      </w:r>
      <w:r w:rsidR="00722CEC">
        <w:rPr>
          <w:rFonts w:ascii="Times New Roman" w:hAnsi="Times New Roman" w:cs="Times New Roman"/>
        </w:rPr>
        <w:t>i</w:t>
      </w:r>
      <w:r w:rsidRPr="00B7479D">
        <w:rPr>
          <w:rFonts w:ascii="Times New Roman" w:hAnsi="Times New Roman" w:cs="Times New Roman"/>
        </w:rPr>
        <w:t xml:space="preserve"> tādi</w:t>
      </w:r>
      <w:r w:rsidR="00AB2062" w:rsidRPr="00B7479D">
        <w:rPr>
          <w:rFonts w:ascii="Times New Roman" w:hAnsi="Times New Roman" w:cs="Times New Roman"/>
        </w:rPr>
        <w:t xml:space="preserve"> notekūdeņu</w:t>
      </w:r>
      <w:r w:rsidRPr="00B7479D">
        <w:rPr>
          <w:rFonts w:ascii="Times New Roman" w:hAnsi="Times New Roman" w:cs="Times New Roman"/>
        </w:rPr>
        <w:t xml:space="preserve"> dūņu pārstrādes risinājumi, kas nodrošina </w:t>
      </w:r>
      <w:r w:rsidR="00AB2062" w:rsidRPr="00B7479D">
        <w:rPr>
          <w:rFonts w:ascii="Times New Roman" w:hAnsi="Times New Roman" w:cs="Times New Roman"/>
        </w:rPr>
        <w:t xml:space="preserve">notekūdeņu </w:t>
      </w:r>
      <w:r w:rsidRPr="00B7479D">
        <w:rPr>
          <w:rFonts w:ascii="Times New Roman" w:hAnsi="Times New Roman" w:cs="Times New Roman"/>
        </w:rPr>
        <w:t xml:space="preserve">dūņu pārstrādi un sagatavošanu </w:t>
      </w:r>
      <w:sdt>
        <w:sdtPr>
          <w:rPr>
            <w:rFonts w:ascii="Times New Roman" w:hAnsi="Times New Roman" w:cs="Times New Roman"/>
          </w:rPr>
          <w:tag w:val="goog_rdk_57"/>
          <w:id w:val="-296768201"/>
        </w:sdtPr>
        <w:sdtContent/>
      </w:sdt>
      <w:r w:rsidR="00AB2062" w:rsidRPr="00B7479D">
        <w:rPr>
          <w:rFonts w:ascii="Times New Roman" w:hAnsi="Times New Roman" w:cs="Times New Roman"/>
        </w:rPr>
        <w:t>šādam notekūdeņu dūņu</w:t>
      </w:r>
      <w:r w:rsidRPr="00B7479D">
        <w:rPr>
          <w:rFonts w:ascii="Times New Roman" w:hAnsi="Times New Roman" w:cs="Times New Roman"/>
        </w:rPr>
        <w:t xml:space="preserve"> utilizācijas veid</w:t>
      </w:r>
      <w:r w:rsidR="00AB2062" w:rsidRPr="00B7479D">
        <w:rPr>
          <w:rFonts w:ascii="Times New Roman" w:hAnsi="Times New Roman" w:cs="Times New Roman"/>
        </w:rPr>
        <w:t>am</w:t>
      </w:r>
      <w:r w:rsidRPr="00B7479D">
        <w:rPr>
          <w:rFonts w:ascii="Times New Roman" w:hAnsi="Times New Roman" w:cs="Times New Roman"/>
        </w:rPr>
        <w:t>.</w:t>
      </w:r>
    </w:p>
    <w:p w14:paraId="70DE87B2" w14:textId="6EBFBDE5" w:rsidR="00135F1B" w:rsidRPr="00B7479D" w:rsidRDefault="00135F1B" w:rsidP="00135F1B">
      <w:pPr>
        <w:spacing w:before="120" w:after="120"/>
        <w:ind w:firstLine="720"/>
        <w:rPr>
          <w:rFonts w:ascii="Times New Roman" w:hAnsi="Times New Roman" w:cs="Times New Roman"/>
          <w:color w:val="000000"/>
        </w:rPr>
      </w:pPr>
      <w:r w:rsidRPr="00B7479D">
        <w:rPr>
          <w:rFonts w:ascii="Times New Roman" w:hAnsi="Times New Roman" w:cs="Times New Roman"/>
        </w:rPr>
        <w:t xml:space="preserve">Saskaņā ar MK noteikumu Nr. 362 prasībām, Latvijā ir iespējami vairāki notekūdeņu dūņu pārstrādes risinājumi, kas nodrošina notekūdeņu dūņu </w:t>
      </w:r>
      <w:r w:rsidR="00AB2062" w:rsidRPr="00B7479D">
        <w:rPr>
          <w:rFonts w:ascii="Times New Roman" w:hAnsi="Times New Roman" w:cs="Times New Roman"/>
        </w:rPr>
        <w:t>sagatavošanu</w:t>
      </w:r>
      <w:r w:rsidRPr="00B7479D">
        <w:rPr>
          <w:rFonts w:ascii="Times New Roman" w:hAnsi="Times New Roman" w:cs="Times New Roman"/>
        </w:rPr>
        <w:t xml:space="preserve"> iestrādei augsnē. Ekonomiskākie un izmaksu ziņā efektīvākie, kā arī tehnoloģiski vieni no vienkāršākajiem </w:t>
      </w:r>
      <w:r w:rsidR="00AB2062" w:rsidRPr="00B7479D">
        <w:rPr>
          <w:rFonts w:ascii="Times New Roman" w:hAnsi="Times New Roman" w:cs="Times New Roman"/>
        </w:rPr>
        <w:t xml:space="preserve">notekūdeņu </w:t>
      </w:r>
      <w:r w:rsidRPr="00B7479D">
        <w:rPr>
          <w:rFonts w:ascii="Times New Roman" w:hAnsi="Times New Roman" w:cs="Times New Roman"/>
        </w:rPr>
        <w:t>dūņu pārstrādes veidi</w:t>
      </w:r>
      <w:r w:rsidR="00AB2062" w:rsidRPr="00B7479D">
        <w:rPr>
          <w:rFonts w:ascii="Times New Roman" w:hAnsi="Times New Roman" w:cs="Times New Roman"/>
        </w:rPr>
        <w:t xml:space="preserve"> ir</w:t>
      </w:r>
      <w:r w:rsidRPr="00B7479D">
        <w:rPr>
          <w:rFonts w:ascii="Times New Roman" w:hAnsi="Times New Roman" w:cs="Times New Roman"/>
        </w:rPr>
        <w:t xml:space="preserve">: </w:t>
      </w:r>
    </w:p>
    <w:p w14:paraId="24089DF1" w14:textId="77777777" w:rsidR="00135F1B" w:rsidRPr="00B7479D" w:rsidRDefault="00135F1B" w:rsidP="008B1B4B">
      <w:pPr>
        <w:numPr>
          <w:ilvl w:val="0"/>
          <w:numId w:val="3"/>
        </w:numPr>
        <w:pBdr>
          <w:top w:val="nil"/>
          <w:left w:val="nil"/>
          <w:bottom w:val="nil"/>
          <w:right w:val="nil"/>
          <w:between w:val="nil"/>
        </w:pBdr>
        <w:spacing w:before="120" w:after="120"/>
        <w:ind w:left="1134"/>
        <w:rPr>
          <w:rFonts w:ascii="Times New Roman" w:hAnsi="Times New Roman" w:cs="Times New Roman"/>
          <w:b/>
          <w:color w:val="1F4E79" w:themeColor="accent1" w:themeShade="80"/>
        </w:rPr>
      </w:pPr>
      <w:r w:rsidRPr="00B7479D">
        <w:rPr>
          <w:rFonts w:ascii="Times New Roman" w:hAnsi="Times New Roman" w:cs="Times New Roman"/>
          <w:b/>
          <w:color w:val="1F4E79" w:themeColor="accent1" w:themeShade="80"/>
        </w:rPr>
        <w:t>Mehāniski atūdeņotu (apstrādātu) notekūdeņu dūņu izturēšana 12 mēnešus;</w:t>
      </w:r>
    </w:p>
    <w:p w14:paraId="799FFE24" w14:textId="77777777" w:rsidR="00135F1B" w:rsidRPr="00B7479D" w:rsidRDefault="00135F1B" w:rsidP="008B1B4B">
      <w:pPr>
        <w:numPr>
          <w:ilvl w:val="0"/>
          <w:numId w:val="3"/>
        </w:numPr>
        <w:pBdr>
          <w:top w:val="nil"/>
          <w:left w:val="nil"/>
          <w:bottom w:val="nil"/>
          <w:right w:val="nil"/>
          <w:between w:val="nil"/>
        </w:pBdr>
        <w:spacing w:before="120" w:after="120"/>
        <w:ind w:left="1134"/>
        <w:rPr>
          <w:rFonts w:ascii="Times New Roman" w:hAnsi="Times New Roman" w:cs="Times New Roman"/>
          <w:b/>
          <w:color w:val="1F4E79" w:themeColor="accent1" w:themeShade="80"/>
        </w:rPr>
      </w:pPr>
      <w:r w:rsidRPr="00B7479D">
        <w:rPr>
          <w:rFonts w:ascii="Times New Roman" w:hAnsi="Times New Roman" w:cs="Times New Roman"/>
          <w:b/>
          <w:color w:val="1F4E79" w:themeColor="accent1" w:themeShade="80"/>
        </w:rPr>
        <w:t xml:space="preserve">Mehāniski atūdeņotu (apstrādātu) notekūdeņu dūņu kompostēšana; </w:t>
      </w:r>
    </w:p>
    <w:p w14:paraId="09E591E2" w14:textId="2148BA85" w:rsidR="00135F1B" w:rsidRPr="00B7479D" w:rsidRDefault="00135F1B" w:rsidP="008B1B4B">
      <w:pPr>
        <w:numPr>
          <w:ilvl w:val="0"/>
          <w:numId w:val="3"/>
        </w:numPr>
        <w:pBdr>
          <w:top w:val="nil"/>
          <w:left w:val="nil"/>
          <w:bottom w:val="nil"/>
          <w:right w:val="nil"/>
          <w:between w:val="nil"/>
        </w:pBdr>
        <w:spacing w:before="120" w:after="120"/>
        <w:ind w:left="1134"/>
        <w:rPr>
          <w:rFonts w:ascii="Times New Roman" w:hAnsi="Times New Roman" w:cs="Times New Roman"/>
          <w:b/>
          <w:color w:val="1F4E79" w:themeColor="accent1" w:themeShade="80"/>
        </w:rPr>
      </w:pPr>
      <w:r w:rsidRPr="00B7479D">
        <w:rPr>
          <w:rFonts w:ascii="Times New Roman" w:hAnsi="Times New Roman" w:cs="Times New Roman"/>
          <w:b/>
          <w:color w:val="1F4E79" w:themeColor="accent1" w:themeShade="80"/>
        </w:rPr>
        <w:t>Iebiezinātu vai mehāniski atūdeņotu (apstrādātu) notekūdeņu dūņu mezof</w:t>
      </w:r>
      <w:r w:rsidR="00B431B1">
        <w:rPr>
          <w:rFonts w:ascii="Times New Roman" w:hAnsi="Times New Roman" w:cs="Times New Roman"/>
          <w:b/>
          <w:color w:val="1F4E79" w:themeColor="accent1" w:themeShade="80"/>
        </w:rPr>
        <w:t>i</w:t>
      </w:r>
      <w:r w:rsidRPr="00B7479D">
        <w:rPr>
          <w:rFonts w:ascii="Times New Roman" w:hAnsi="Times New Roman" w:cs="Times New Roman"/>
          <w:b/>
          <w:color w:val="1F4E79" w:themeColor="accent1" w:themeShade="80"/>
        </w:rPr>
        <w:t>lā anaerobā sadalīšana - biogāzes ražošana.</w:t>
      </w:r>
    </w:p>
    <w:p w14:paraId="5615F778" w14:textId="7E283330" w:rsidR="000B7734" w:rsidRPr="00B7479D" w:rsidRDefault="00AA40F3" w:rsidP="00AB2062">
      <w:pPr>
        <w:pBdr>
          <w:top w:val="nil"/>
          <w:left w:val="nil"/>
          <w:bottom w:val="nil"/>
          <w:right w:val="nil"/>
          <w:between w:val="nil"/>
        </w:pBdr>
        <w:ind w:left="48"/>
        <w:rPr>
          <w:rFonts w:ascii="Times New Roman" w:hAnsi="Times New Roman" w:cs="Times New Roman"/>
        </w:rPr>
      </w:pPr>
      <w:r w:rsidRPr="00B7479D">
        <w:rPr>
          <w:rFonts w:ascii="Times New Roman" w:hAnsi="Times New Roman" w:cs="Times New Roman"/>
        </w:rPr>
        <w:t>Izmaksu ziņā efektīvākā</w:t>
      </w:r>
      <w:r w:rsidR="00135F1B" w:rsidRPr="00B7479D">
        <w:rPr>
          <w:rFonts w:ascii="Times New Roman" w:hAnsi="Times New Roman" w:cs="Times New Roman"/>
        </w:rPr>
        <w:t xml:space="preserve"> un vienkāršākā </w:t>
      </w:r>
      <w:r w:rsidRPr="00B7479D">
        <w:rPr>
          <w:rFonts w:ascii="Times New Roman" w:hAnsi="Times New Roman" w:cs="Times New Roman"/>
        </w:rPr>
        <w:t xml:space="preserve">notekūdeņu </w:t>
      </w:r>
      <w:r w:rsidR="00135F1B" w:rsidRPr="00B7479D">
        <w:rPr>
          <w:rFonts w:ascii="Times New Roman" w:hAnsi="Times New Roman" w:cs="Times New Roman"/>
        </w:rPr>
        <w:t>dūņu pārstrādes</w:t>
      </w:r>
      <w:r w:rsidR="00135F1B" w:rsidRPr="00B7479D">
        <w:rPr>
          <w:rFonts w:ascii="Times New Roman" w:hAnsi="Times New Roman" w:cs="Times New Roman"/>
          <w:color w:val="000000"/>
        </w:rPr>
        <w:t xml:space="preserve"> </w:t>
      </w:r>
      <w:r w:rsidR="00135F1B" w:rsidRPr="00B7479D">
        <w:rPr>
          <w:rFonts w:ascii="Times New Roman" w:hAnsi="Times New Roman" w:cs="Times New Roman"/>
        </w:rPr>
        <w:t>tehnoloģija kopā ar ekonomisk</w:t>
      </w:r>
      <w:r w:rsidRPr="00B7479D">
        <w:rPr>
          <w:rFonts w:ascii="Times New Roman" w:hAnsi="Times New Roman" w:cs="Times New Roman"/>
        </w:rPr>
        <w:t>i izdevīgāko notekūdeņu</w:t>
      </w:r>
      <w:r w:rsidR="00135F1B" w:rsidRPr="00B7479D">
        <w:rPr>
          <w:rFonts w:ascii="Times New Roman" w:hAnsi="Times New Roman" w:cs="Times New Roman"/>
        </w:rPr>
        <w:t xml:space="preserve"> dūņu utilizācijas risinājumu nodrošinās arī izmaksu ziņā efektīvāko un kopumā piemērotāko </w:t>
      </w:r>
      <w:r w:rsidRPr="00B7479D">
        <w:rPr>
          <w:rFonts w:ascii="Times New Roman" w:hAnsi="Times New Roman" w:cs="Times New Roman"/>
        </w:rPr>
        <w:t xml:space="preserve">notekūdeņu </w:t>
      </w:r>
      <w:r w:rsidR="00135F1B" w:rsidRPr="00B7479D">
        <w:rPr>
          <w:rFonts w:ascii="Times New Roman" w:hAnsi="Times New Roman" w:cs="Times New Roman"/>
        </w:rPr>
        <w:t>dūņ</w:t>
      </w:r>
      <w:r w:rsidRPr="00B7479D">
        <w:rPr>
          <w:rFonts w:ascii="Times New Roman" w:hAnsi="Times New Roman" w:cs="Times New Roman"/>
        </w:rPr>
        <w:t>u</w:t>
      </w:r>
      <w:r w:rsidR="00135F1B" w:rsidRPr="00B7479D">
        <w:rPr>
          <w:rFonts w:ascii="Times New Roman" w:hAnsi="Times New Roman" w:cs="Times New Roman"/>
        </w:rPr>
        <w:t xml:space="preserve"> pārstrādes un utilizācijas alternatīvu.</w:t>
      </w:r>
      <w:r w:rsidR="000247F7" w:rsidRPr="00B7479D">
        <w:rPr>
          <w:rFonts w:ascii="Times New Roman" w:hAnsi="Times New Roman" w:cs="Times New Roman"/>
        </w:rPr>
        <w:t xml:space="preserve"> Izvērstu notekūdeņu dūņ</w:t>
      </w:r>
      <w:r w:rsidRPr="00B7479D">
        <w:rPr>
          <w:rFonts w:ascii="Times New Roman" w:hAnsi="Times New Roman" w:cs="Times New Roman"/>
        </w:rPr>
        <w:t>u</w:t>
      </w:r>
      <w:r w:rsidR="000247F7" w:rsidRPr="00B7479D">
        <w:rPr>
          <w:rFonts w:ascii="Times New Roman" w:hAnsi="Times New Roman" w:cs="Times New Roman"/>
        </w:rPr>
        <w:t xml:space="preserve"> pārstrādes alternatīvu izvērtējumu </w:t>
      </w:r>
      <w:r w:rsidRPr="00B7479D">
        <w:rPr>
          <w:rFonts w:ascii="Times New Roman" w:hAnsi="Times New Roman" w:cs="Times New Roman"/>
        </w:rPr>
        <w:t>skatīt</w:t>
      </w:r>
      <w:r w:rsidR="000247F7" w:rsidRPr="00B7479D">
        <w:rPr>
          <w:rFonts w:ascii="Times New Roman" w:hAnsi="Times New Roman" w:cs="Times New Roman"/>
        </w:rPr>
        <w:t xml:space="preserve"> pielikumā 4.4. “Detalizēts notekūdeņu dūņu pārstrādes alternatīvu novērtējums”.  </w:t>
      </w:r>
    </w:p>
    <w:p w14:paraId="23C39F45" w14:textId="3AE3C749" w:rsidR="00135F1B" w:rsidRPr="00B7479D" w:rsidRDefault="00135F1B" w:rsidP="00B7479D">
      <w:pPr>
        <w:pStyle w:val="Heading2"/>
        <w:spacing w:before="120" w:after="120"/>
        <w:jc w:val="center"/>
        <w:rPr>
          <w:rFonts w:ascii="Times New Roman" w:eastAsia="Times New Roman" w:hAnsi="Times New Roman" w:cs="Times New Roman"/>
          <w:b/>
          <w:bCs/>
          <w:color w:val="auto"/>
          <w:sz w:val="24"/>
          <w:szCs w:val="24"/>
          <w:lang w:eastAsia="en-GB"/>
        </w:rPr>
      </w:pPr>
      <w:bookmarkStart w:id="30" w:name="_Toc82430156"/>
      <w:bookmarkStart w:id="31" w:name="_Toc107916308"/>
      <w:r w:rsidRPr="00B7479D">
        <w:rPr>
          <w:rFonts w:ascii="Times New Roman" w:eastAsia="Times New Roman" w:hAnsi="Times New Roman" w:cs="Times New Roman"/>
          <w:b/>
          <w:bCs/>
          <w:color w:val="auto"/>
          <w:sz w:val="24"/>
          <w:szCs w:val="24"/>
          <w:lang w:eastAsia="en-GB"/>
        </w:rPr>
        <w:t>C1. Alternatīva: Mehāniski atūdeņotu (apstrādātu)</w:t>
      </w:r>
      <w:r w:rsidR="00AA40F3" w:rsidRPr="00B7479D">
        <w:rPr>
          <w:rFonts w:ascii="Times New Roman" w:eastAsia="Times New Roman" w:hAnsi="Times New Roman" w:cs="Times New Roman"/>
          <w:b/>
          <w:bCs/>
          <w:color w:val="auto"/>
          <w:sz w:val="24"/>
          <w:szCs w:val="24"/>
          <w:lang w:eastAsia="en-GB"/>
        </w:rPr>
        <w:t xml:space="preserve"> </w:t>
      </w:r>
      <w:r w:rsidR="00B431B1" w:rsidRPr="00B7479D">
        <w:rPr>
          <w:rFonts w:ascii="Times New Roman" w:eastAsia="Times New Roman" w:hAnsi="Times New Roman" w:cs="Times New Roman"/>
          <w:b/>
          <w:bCs/>
          <w:color w:val="auto"/>
          <w:sz w:val="24"/>
          <w:szCs w:val="24"/>
          <w:lang w:eastAsia="en-GB"/>
        </w:rPr>
        <w:t>notekūdeņu</w:t>
      </w:r>
      <w:r w:rsidRPr="00B7479D">
        <w:rPr>
          <w:rFonts w:ascii="Times New Roman" w:eastAsia="Times New Roman" w:hAnsi="Times New Roman" w:cs="Times New Roman"/>
          <w:b/>
          <w:bCs/>
          <w:color w:val="auto"/>
          <w:sz w:val="24"/>
          <w:szCs w:val="24"/>
          <w:lang w:eastAsia="en-GB"/>
        </w:rPr>
        <w:t xml:space="preserve"> dūņu izturēšana 12 mēnešus</w:t>
      </w:r>
      <w:bookmarkEnd w:id="30"/>
      <w:r w:rsidR="00AA40F3" w:rsidRPr="00B7479D">
        <w:rPr>
          <w:rFonts w:ascii="Times New Roman" w:eastAsia="Times New Roman" w:hAnsi="Times New Roman" w:cs="Times New Roman"/>
          <w:b/>
          <w:bCs/>
          <w:color w:val="auto"/>
          <w:sz w:val="24"/>
          <w:szCs w:val="24"/>
          <w:lang w:eastAsia="en-GB"/>
        </w:rPr>
        <w:t xml:space="preserve"> (aukstā fermentācija</w:t>
      </w:r>
      <w:r w:rsidR="00C8389B">
        <w:rPr>
          <w:rFonts w:ascii="Times New Roman" w:eastAsia="Times New Roman" w:hAnsi="Times New Roman" w:cs="Times New Roman"/>
          <w:b/>
          <w:bCs/>
          <w:color w:val="auto"/>
          <w:sz w:val="24"/>
          <w:szCs w:val="24"/>
          <w:lang w:eastAsia="en-GB"/>
        </w:rPr>
        <w:t>;</w:t>
      </w:r>
      <w:bookmarkEnd w:id="31"/>
      <w:r w:rsidR="00C8389B">
        <w:rPr>
          <w:rFonts w:ascii="Times New Roman" w:eastAsia="Times New Roman" w:hAnsi="Times New Roman" w:cs="Times New Roman"/>
          <w:b/>
          <w:bCs/>
          <w:color w:val="auto"/>
          <w:sz w:val="24"/>
          <w:szCs w:val="24"/>
          <w:lang w:eastAsia="en-GB"/>
        </w:rPr>
        <w:t xml:space="preserve"> skat. attēlu 3.1.1.)</w:t>
      </w:r>
    </w:p>
    <w:p w14:paraId="22C1EA64" w14:textId="71220876" w:rsidR="00135F1B" w:rsidRPr="00B7479D" w:rsidRDefault="00135F1B" w:rsidP="00EA6FC7">
      <w:pPr>
        <w:spacing w:before="120" w:after="120"/>
        <w:ind w:firstLine="720"/>
        <w:rPr>
          <w:rFonts w:ascii="Times New Roman" w:eastAsia="Calibri" w:hAnsi="Times New Roman" w:cs="Times New Roman"/>
          <w:sz w:val="28"/>
          <w:lang w:eastAsia="lv-LV"/>
        </w:rPr>
      </w:pPr>
      <w:r w:rsidRPr="00B7479D">
        <w:rPr>
          <w:rFonts w:ascii="Times New Roman" w:hAnsi="Times New Roman" w:cs="Times New Roman"/>
        </w:rPr>
        <w:t xml:space="preserve">Alternatīva paredz tādas darbības un tehnoloģiskos procesus, lai visas notekūdeņu dūņas pēc pārstrādes pilnībā atbilstu alternatīvas B1 “Pārstrādātu notekūdeņu dūņu iestrāde augsnē” ietvaros noteiktajām minimālajām pārstrādātu </w:t>
      </w:r>
      <w:r w:rsidR="00AA40F3" w:rsidRPr="00B7479D">
        <w:rPr>
          <w:rFonts w:ascii="Times New Roman" w:hAnsi="Times New Roman" w:cs="Times New Roman"/>
        </w:rPr>
        <w:t xml:space="preserve">notekūdeņu </w:t>
      </w:r>
      <w:r w:rsidRPr="00B7479D">
        <w:rPr>
          <w:rFonts w:ascii="Times New Roman" w:hAnsi="Times New Roman" w:cs="Times New Roman"/>
        </w:rPr>
        <w:t>dūņu īpašībām</w:t>
      </w:r>
      <w:r w:rsidR="00AA40F3" w:rsidRPr="00B7479D">
        <w:rPr>
          <w:rFonts w:ascii="Times New Roman" w:hAnsi="Times New Roman" w:cs="Times New Roman"/>
        </w:rPr>
        <w:t>, l</w:t>
      </w:r>
      <w:r w:rsidRPr="00B7479D">
        <w:rPr>
          <w:rFonts w:ascii="Times New Roman" w:hAnsi="Times New Roman" w:cs="Times New Roman"/>
        </w:rPr>
        <w:t xml:space="preserve">īdz ar to alternatīvas ietvaros ir veicamas noteiktas ar notekūdeņu dūņu pārstrādi saistītas darbības – skatīt 1.diagrammu. </w:t>
      </w:r>
    </w:p>
    <w:p w14:paraId="4536A474" w14:textId="0855AB0F" w:rsidR="00AA40F3" w:rsidRDefault="00B7479D" w:rsidP="00AA40F3">
      <w:pPr>
        <w:spacing w:before="120" w:after="120"/>
        <w:ind w:firstLine="720"/>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58" behindDoc="0" locked="0" layoutInCell="1" hidden="0" allowOverlap="1" wp14:anchorId="45910E8B" wp14:editId="0CE6E81E">
                <wp:simplePos x="0" y="0"/>
                <wp:positionH relativeFrom="margin">
                  <wp:align>right</wp:align>
                </wp:positionH>
                <wp:positionV relativeFrom="paragraph">
                  <wp:posOffset>1569720</wp:posOffset>
                </wp:positionV>
                <wp:extent cx="5372735" cy="800100"/>
                <wp:effectExtent l="19050" t="19050" r="18415" b="19050"/>
                <wp:wrapSquare wrapText="bothSides" distT="45720" distB="45720" distL="114300" distR="11430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800100"/>
                        </a:xfrm>
                        <a:prstGeom prst="rect">
                          <a:avLst/>
                        </a:prstGeom>
                        <a:solidFill>
                          <a:srgbClr val="FFFFFF"/>
                        </a:solidFill>
                        <a:ln w="38100">
                          <a:solidFill>
                            <a:srgbClr val="FFC000"/>
                          </a:solidFill>
                          <a:miter lim="800000"/>
                          <a:headEnd/>
                          <a:tailEnd/>
                        </a:ln>
                      </wps:spPr>
                      <wps:txbx>
                        <w:txbxContent>
                          <w:p w14:paraId="3196F931" w14:textId="77777777" w:rsidR="00B7479D" w:rsidRPr="00B7479D" w:rsidRDefault="00B7479D" w:rsidP="00B7479D">
                            <w:pPr>
                              <w:spacing w:after="120"/>
                              <w:rPr>
                                <w:rFonts w:ascii="Times New Roman" w:eastAsia="Calibri" w:hAnsi="Times New Roman" w:cs="Times New Roman"/>
                                <w:iCs/>
                                <w:color w:val="1F4E79" w:themeColor="accent1" w:themeShade="80"/>
                                <w:sz w:val="28"/>
                                <w:lang w:eastAsia="lv-LV"/>
                              </w:rPr>
                            </w:pPr>
                            <w:r w:rsidRPr="00B7479D">
                              <w:rPr>
                                <w:rFonts w:ascii="Times New Roman" w:hAnsi="Times New Roman" w:cs="Times New Roman"/>
                                <w:b/>
                                <w:iCs/>
                                <w:color w:val="1F4E79" w:themeColor="accent1" w:themeShade="80"/>
                              </w:rPr>
                              <w:t>NAI, kurās radītais notekūdeņu dūņu daudzums ir mazāks par 1 000 m</w:t>
                            </w:r>
                            <w:r w:rsidRPr="00B7479D">
                              <w:rPr>
                                <w:rFonts w:ascii="Times New Roman" w:hAnsi="Times New Roman" w:cs="Times New Roman"/>
                                <w:b/>
                                <w:iCs/>
                                <w:color w:val="1F4E79" w:themeColor="accent1" w:themeShade="80"/>
                                <w:vertAlign w:val="superscript"/>
                              </w:rPr>
                              <w:t>3</w:t>
                            </w:r>
                            <w:r w:rsidRPr="00B7479D">
                              <w:rPr>
                                <w:rFonts w:ascii="Times New Roman" w:hAnsi="Times New Roman" w:cs="Times New Roman"/>
                                <w:b/>
                                <w:iCs/>
                                <w:color w:val="1F4E79" w:themeColor="accent1" w:themeShade="80"/>
                              </w:rPr>
                              <w:t xml:space="preserve"> slapju notekūdeņu dūņu gadā, to mehāniska atūdeņošana un pārstrāde uz vietas nav ekonomiski pamatota un tā plānojama ārpus NAI, kurās tās radušās</w:t>
                            </w:r>
                            <w:r w:rsidRPr="00B7479D">
                              <w:rPr>
                                <w:rFonts w:ascii="Times New Roman" w:hAnsi="Times New Roman" w:cs="Times New Roman"/>
                                <w:iCs/>
                                <w:color w:val="1F4E79" w:themeColor="accent1" w:themeShade="80"/>
                              </w:rPr>
                              <w:t>.</w:t>
                            </w:r>
                          </w:p>
                          <w:p w14:paraId="0EF3164D" w14:textId="77777777" w:rsidR="00B7479D" w:rsidRPr="007E349D" w:rsidRDefault="00B7479D" w:rsidP="00B7479D">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10E8B" id="Text Box 1" o:spid="_x0000_s1034" type="#_x0000_t202" style="position:absolute;left:0;text-align:left;margin-left:371.85pt;margin-top:123.6pt;width:423.05pt;height:63pt;z-index:25165825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" strokecolor="#ffc000" strokeweight="3pt">
                <v:textbox>
                  <w:txbxContent>
                    <w:p w14:paraId="3196F931" w14:textId="77777777" w:rsidR="00B7479D" w:rsidRPr="00B7479D" w:rsidRDefault="00B7479D" w:rsidP="00B7479D">
                      <w:pPr>
                        <w:spacing w:after="120"/>
                        <w:rPr>
                          <w:rFonts w:ascii="Times New Roman" w:eastAsia="Calibri" w:hAnsi="Times New Roman" w:cs="Times New Roman"/>
                          <w:iCs/>
                          <w:color w:val="1F4E79" w:themeColor="accent1" w:themeShade="80"/>
                          <w:sz w:val="28"/>
                          <w:lang w:eastAsia="lv-LV"/>
                        </w:rPr>
                      </w:pPr>
                      <w:r w:rsidRPr="00B7479D">
                        <w:rPr>
                          <w:rFonts w:ascii="Times New Roman" w:hAnsi="Times New Roman" w:cs="Times New Roman"/>
                          <w:b/>
                          <w:iCs/>
                          <w:color w:val="1F4E79" w:themeColor="accent1" w:themeShade="80"/>
                        </w:rPr>
                        <w:t>NAI, kurās radītais notekūdeņu dūņu daudzums ir mazāks par 1 000 m</w:t>
                      </w:r>
                      <w:r w:rsidRPr="00B7479D">
                        <w:rPr>
                          <w:rFonts w:ascii="Times New Roman" w:hAnsi="Times New Roman" w:cs="Times New Roman"/>
                          <w:b/>
                          <w:iCs/>
                          <w:color w:val="1F4E79" w:themeColor="accent1" w:themeShade="80"/>
                          <w:vertAlign w:val="superscript"/>
                        </w:rPr>
                        <w:t>3</w:t>
                      </w:r>
                      <w:r w:rsidRPr="00B7479D">
                        <w:rPr>
                          <w:rFonts w:ascii="Times New Roman" w:hAnsi="Times New Roman" w:cs="Times New Roman"/>
                          <w:b/>
                          <w:iCs/>
                          <w:color w:val="1F4E79" w:themeColor="accent1" w:themeShade="80"/>
                        </w:rPr>
                        <w:t xml:space="preserve"> slapju notekūdeņu dūņu gadā, to mehāniska atūdeņošana un pārstrāde uz vietas nav ekonomiski pamatota un tā plānojama ārpus NAI, kurās tās radušās</w:t>
                      </w:r>
                      <w:r w:rsidRPr="00B7479D">
                        <w:rPr>
                          <w:rFonts w:ascii="Times New Roman" w:hAnsi="Times New Roman" w:cs="Times New Roman"/>
                          <w:iCs/>
                          <w:color w:val="1F4E79" w:themeColor="accent1" w:themeShade="80"/>
                        </w:rPr>
                        <w:t>.</w:t>
                      </w:r>
                    </w:p>
                    <w:p w14:paraId="0EF3164D" w14:textId="77777777" w:rsidR="00B7479D" w:rsidRPr="007E349D" w:rsidRDefault="00B7479D" w:rsidP="00B7479D">
                      <w:pPr>
                        <w:rPr>
                          <w:rFonts w:ascii="Times New Roman" w:hAnsi="Times New Roman" w:cs="Times New Roman"/>
                          <w:b/>
                          <w:bCs/>
                          <w:color w:val="44546A" w:themeColor="text2"/>
                        </w:rPr>
                      </w:pPr>
                    </w:p>
                  </w:txbxContent>
                </v:textbox>
                <w10:wrap type="square" anchorx="margin"/>
              </v:shape>
            </w:pict>
          </mc:Fallback>
        </mc:AlternateContent>
      </w:r>
      <w:r w:rsidR="00EA6FC7" w:rsidRPr="00B7479D">
        <w:rPr>
          <w:rFonts w:ascii="Times New Roman" w:hAnsi="Times New Roman" w:cs="Times New Roman"/>
        </w:rPr>
        <w:t xml:space="preserve">Stratēģijas izstrādes laikā novērtēts (skat. </w:t>
      </w:r>
      <w:r w:rsidR="001051E2">
        <w:rPr>
          <w:rFonts w:ascii="Times New Roman" w:hAnsi="Times New Roman" w:cs="Times New Roman"/>
        </w:rPr>
        <w:t xml:space="preserve">pielikumu Nr. 4.7. </w:t>
      </w:r>
      <w:r w:rsidR="00EA6FC7" w:rsidRPr="00B7479D">
        <w:rPr>
          <w:rFonts w:ascii="Times New Roman" w:hAnsi="Times New Roman" w:cs="Times New Roman"/>
        </w:rPr>
        <w:t xml:space="preserve"> </w:t>
      </w:r>
      <w:r w:rsidR="00EA6FC7" w:rsidRPr="00B7479D">
        <w:rPr>
          <w:rFonts w:ascii="Times New Roman" w:hAnsi="Times New Roman" w:cs="Times New Roman"/>
          <w:color w:val="000000"/>
        </w:rPr>
        <w:t>“Dažādu notekūdeņu dūņu apstrādes veidu izmaksas”</w:t>
      </w:r>
      <w:r w:rsidR="00EA6FC7" w:rsidRPr="00B7479D">
        <w:rPr>
          <w:rFonts w:ascii="Times New Roman" w:hAnsi="Times New Roman" w:cs="Times New Roman"/>
        </w:rPr>
        <w:t xml:space="preserve">), ka mazākais notekūdeņu dūņu apjoms, kuram ir pamatoti izbūvēt </w:t>
      </w:r>
      <w:r w:rsidR="00AA40F3" w:rsidRPr="00B7479D">
        <w:rPr>
          <w:rFonts w:ascii="Times New Roman" w:hAnsi="Times New Roman" w:cs="Times New Roman"/>
        </w:rPr>
        <w:t xml:space="preserve">notekūdeņu </w:t>
      </w:r>
      <w:r w:rsidR="00EA6FC7" w:rsidRPr="00B7479D">
        <w:rPr>
          <w:rFonts w:ascii="Times New Roman" w:hAnsi="Times New Roman" w:cs="Times New Roman"/>
        </w:rPr>
        <w:t>dūņu pārstrādes laukumu ir vismaz 1 000 m</w:t>
      </w:r>
      <w:r w:rsidR="00EA6FC7" w:rsidRPr="00B7479D">
        <w:rPr>
          <w:rFonts w:ascii="Times New Roman" w:hAnsi="Times New Roman" w:cs="Times New Roman"/>
          <w:vertAlign w:val="superscript"/>
        </w:rPr>
        <w:t>3</w:t>
      </w:r>
      <w:r w:rsidR="00EA6FC7" w:rsidRPr="00B7479D">
        <w:rPr>
          <w:rFonts w:ascii="Times New Roman" w:hAnsi="Times New Roman" w:cs="Times New Roman"/>
        </w:rPr>
        <w:t xml:space="preserve"> slapju </w:t>
      </w:r>
      <w:r w:rsidR="00AA40F3" w:rsidRPr="00B7479D">
        <w:rPr>
          <w:rFonts w:ascii="Times New Roman" w:hAnsi="Times New Roman" w:cs="Times New Roman"/>
        </w:rPr>
        <w:t xml:space="preserve">notekūdeņu </w:t>
      </w:r>
      <w:r w:rsidR="00EA6FC7" w:rsidRPr="00B7479D">
        <w:rPr>
          <w:rFonts w:ascii="Times New Roman" w:hAnsi="Times New Roman" w:cs="Times New Roman"/>
        </w:rPr>
        <w:t>dūņu gadā. Arī mehāniskās atūdeņošanas iekārtas ekonomiski pamatoti ir iegādāties un ekspluatēt, j</w:t>
      </w:r>
      <w:r w:rsidR="00AA40F3" w:rsidRPr="00B7479D">
        <w:rPr>
          <w:rFonts w:ascii="Times New Roman" w:hAnsi="Times New Roman" w:cs="Times New Roman"/>
        </w:rPr>
        <w:t>a</w:t>
      </w:r>
      <w:r w:rsidR="00EA6FC7" w:rsidRPr="00B7479D">
        <w:rPr>
          <w:rFonts w:ascii="Times New Roman" w:hAnsi="Times New Roman" w:cs="Times New Roman"/>
        </w:rPr>
        <w:t xml:space="preserve"> gadā apstrādājamais</w:t>
      </w:r>
      <w:r w:rsidR="00AA40F3" w:rsidRPr="00B7479D">
        <w:rPr>
          <w:rFonts w:ascii="Times New Roman" w:hAnsi="Times New Roman" w:cs="Times New Roman"/>
        </w:rPr>
        <w:t xml:space="preserve"> notekūdeņu</w:t>
      </w:r>
      <w:r w:rsidR="00EA6FC7" w:rsidRPr="00B7479D">
        <w:rPr>
          <w:rFonts w:ascii="Times New Roman" w:hAnsi="Times New Roman" w:cs="Times New Roman"/>
        </w:rPr>
        <w:t xml:space="preserve"> dūņu daudzums pārsniedz 1 000 m</w:t>
      </w:r>
      <w:r w:rsidR="00EA6FC7" w:rsidRPr="00B7479D">
        <w:rPr>
          <w:rFonts w:ascii="Times New Roman" w:hAnsi="Times New Roman" w:cs="Times New Roman"/>
          <w:vertAlign w:val="superscript"/>
        </w:rPr>
        <w:t>3</w:t>
      </w:r>
      <w:r w:rsidR="00EA6FC7" w:rsidRPr="00B7479D">
        <w:rPr>
          <w:rFonts w:ascii="Times New Roman" w:hAnsi="Times New Roman" w:cs="Times New Roman"/>
        </w:rPr>
        <w:t xml:space="preserve"> slapju </w:t>
      </w:r>
      <w:r w:rsidR="00AA40F3" w:rsidRPr="00B7479D">
        <w:rPr>
          <w:rFonts w:ascii="Times New Roman" w:hAnsi="Times New Roman" w:cs="Times New Roman"/>
        </w:rPr>
        <w:t xml:space="preserve">notekūdeņu </w:t>
      </w:r>
      <w:r w:rsidR="00EA6FC7" w:rsidRPr="00B7479D">
        <w:rPr>
          <w:rFonts w:ascii="Times New Roman" w:hAnsi="Times New Roman" w:cs="Times New Roman"/>
        </w:rPr>
        <w:t>dūņu (skat. pielikumu</w:t>
      </w:r>
      <w:r w:rsidR="000247F7" w:rsidRPr="00B7479D">
        <w:rPr>
          <w:rFonts w:ascii="Times New Roman" w:hAnsi="Times New Roman" w:cs="Times New Roman"/>
        </w:rPr>
        <w:t xml:space="preserve"> Nr.4.7.</w:t>
      </w:r>
      <w:r w:rsidR="00EA6FC7" w:rsidRPr="00B7479D">
        <w:rPr>
          <w:rFonts w:ascii="Times New Roman" w:hAnsi="Times New Roman" w:cs="Times New Roman"/>
        </w:rPr>
        <w:t xml:space="preserve"> </w:t>
      </w:r>
      <w:r w:rsidR="00EA6FC7" w:rsidRPr="00B7479D">
        <w:rPr>
          <w:rFonts w:ascii="Times New Roman" w:hAnsi="Times New Roman" w:cs="Times New Roman"/>
          <w:color w:val="000000"/>
        </w:rPr>
        <w:t>“Dažādu notekūdeņu dūņu apstrādes veidu izmaksas”</w:t>
      </w:r>
      <w:r w:rsidR="00EA6FC7" w:rsidRPr="00B7479D">
        <w:rPr>
          <w:rFonts w:ascii="Times New Roman" w:hAnsi="Times New Roman" w:cs="Times New Roman"/>
        </w:rPr>
        <w:t>).</w:t>
      </w:r>
    </w:p>
    <w:p w14:paraId="4FE07561" w14:textId="77777777" w:rsidR="00EA6FC7" w:rsidRPr="00175DD0" w:rsidRDefault="00EA6FC7" w:rsidP="00EA6FC7">
      <w:pPr>
        <w:rPr>
          <w:rFonts w:ascii="Bahnschrift Light Condensed" w:eastAsia="Calibri" w:hAnsi="Bahnschrift Light Condensed" w:cs="Times New Roman"/>
          <w:sz w:val="28"/>
          <w:lang w:eastAsia="lv-LV"/>
        </w:rPr>
      </w:pPr>
    </w:p>
    <w:p w14:paraId="7103EF3D" w14:textId="77777777" w:rsidR="00EA6FC7" w:rsidRPr="00175DD0" w:rsidRDefault="00135F1B" w:rsidP="00135F1B">
      <w:pPr>
        <w:rPr>
          <w:rFonts w:ascii="Bahnschrift Light Condensed" w:eastAsia="Calibri" w:hAnsi="Bahnschrift Light Condensed" w:cs="Times New Roman"/>
          <w:sz w:val="28"/>
          <w:lang w:eastAsia="lv-LV"/>
        </w:rPr>
      </w:pPr>
      <w:r w:rsidRPr="00175DD0">
        <w:rPr>
          <w:noProof/>
          <w:lang w:eastAsia="lv-LV"/>
        </w:rPr>
        <w:drawing>
          <wp:inline distT="0" distB="0" distL="0" distR="0" wp14:anchorId="2D085DC0" wp14:editId="579A189A">
            <wp:extent cx="5274310" cy="3738224"/>
            <wp:effectExtent l="38100" t="0" r="21590" b="15240"/>
            <wp:docPr id="44" name="Diagram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EFDF1AB" w14:textId="0170787C" w:rsidR="00EA6FC7" w:rsidRPr="00AE400E" w:rsidRDefault="002B3F0F" w:rsidP="002944E4">
      <w:pPr>
        <w:jc w:val="center"/>
        <w:rPr>
          <w:rFonts w:ascii="Times New Roman" w:hAnsi="Times New Roman" w:cs="Times New Roman"/>
          <w:b/>
          <w:bCs/>
          <w:iCs/>
          <w:szCs w:val="24"/>
        </w:rPr>
      </w:pPr>
      <w:r>
        <w:rPr>
          <w:rFonts w:ascii="Times New Roman" w:hAnsi="Times New Roman" w:cs="Times New Roman"/>
          <w:b/>
          <w:bCs/>
          <w:iCs/>
          <w:szCs w:val="24"/>
        </w:rPr>
        <w:t>3.1.</w:t>
      </w:r>
      <w:r w:rsidR="00AE400E" w:rsidRPr="00AE400E">
        <w:rPr>
          <w:rFonts w:ascii="Times New Roman" w:hAnsi="Times New Roman" w:cs="Times New Roman"/>
          <w:b/>
          <w:bCs/>
          <w:iCs/>
          <w:szCs w:val="24"/>
        </w:rPr>
        <w:t>1</w:t>
      </w:r>
      <w:r w:rsidR="00EA6FC7" w:rsidRPr="00AE400E">
        <w:rPr>
          <w:rFonts w:ascii="Times New Roman" w:hAnsi="Times New Roman" w:cs="Times New Roman"/>
          <w:b/>
          <w:bCs/>
          <w:iCs/>
          <w:szCs w:val="24"/>
        </w:rPr>
        <w:t>.</w:t>
      </w:r>
      <w:r w:rsidR="00AE400E" w:rsidRPr="00AE400E">
        <w:rPr>
          <w:rFonts w:ascii="Times New Roman" w:hAnsi="Times New Roman" w:cs="Times New Roman"/>
          <w:b/>
          <w:bCs/>
          <w:iCs/>
          <w:szCs w:val="24"/>
        </w:rPr>
        <w:t>attēls.</w:t>
      </w:r>
      <w:r w:rsidR="00EA6FC7" w:rsidRPr="00AE400E">
        <w:rPr>
          <w:rFonts w:ascii="Times New Roman" w:hAnsi="Times New Roman" w:cs="Times New Roman"/>
          <w:b/>
          <w:bCs/>
          <w:iCs/>
          <w:szCs w:val="24"/>
        </w:rPr>
        <w:t xml:space="preserve"> </w:t>
      </w:r>
      <w:r w:rsidR="00EA6FC7" w:rsidRPr="00B03766">
        <w:rPr>
          <w:rFonts w:ascii="Times New Roman" w:hAnsi="Times New Roman" w:cs="Times New Roman"/>
          <w:iCs/>
          <w:szCs w:val="24"/>
        </w:rPr>
        <w:t>Darbību apraksts mehāniski apstrādātu (atūdeņotu)</w:t>
      </w:r>
      <w:r w:rsidR="00AA40F3" w:rsidRPr="00B03766">
        <w:rPr>
          <w:rFonts w:ascii="Times New Roman" w:hAnsi="Times New Roman" w:cs="Times New Roman"/>
          <w:iCs/>
          <w:szCs w:val="24"/>
        </w:rPr>
        <w:t xml:space="preserve"> notekūdeņu</w:t>
      </w:r>
      <w:r w:rsidR="00EA6FC7" w:rsidRPr="00B03766">
        <w:rPr>
          <w:rFonts w:ascii="Times New Roman" w:hAnsi="Times New Roman" w:cs="Times New Roman"/>
          <w:iCs/>
          <w:szCs w:val="24"/>
        </w:rPr>
        <w:t xml:space="preserve"> dūņu izturēšanai 12 mēnešus.</w:t>
      </w:r>
    </w:p>
    <w:p w14:paraId="2F2D065D" w14:textId="611FD0E8" w:rsidR="00EA6FC7" w:rsidRPr="00B03766" w:rsidRDefault="00EA6FC7" w:rsidP="00B03766">
      <w:pPr>
        <w:pStyle w:val="Heading2"/>
        <w:spacing w:before="120" w:after="120"/>
        <w:jc w:val="center"/>
        <w:rPr>
          <w:rFonts w:ascii="Times New Roman" w:eastAsia="Times New Roman" w:hAnsi="Times New Roman" w:cs="Times New Roman"/>
          <w:b/>
          <w:bCs/>
          <w:color w:val="auto"/>
          <w:sz w:val="24"/>
          <w:szCs w:val="24"/>
          <w:lang w:eastAsia="en-GB"/>
        </w:rPr>
      </w:pPr>
      <w:bookmarkStart w:id="32" w:name="_Toc82430157"/>
      <w:bookmarkStart w:id="33" w:name="_Toc107916309"/>
      <w:r w:rsidRPr="00B03766">
        <w:rPr>
          <w:rFonts w:ascii="Times New Roman" w:eastAsia="Times New Roman" w:hAnsi="Times New Roman" w:cs="Times New Roman"/>
          <w:b/>
          <w:bCs/>
          <w:color w:val="auto"/>
          <w:sz w:val="24"/>
          <w:szCs w:val="24"/>
          <w:lang w:eastAsia="en-GB"/>
        </w:rPr>
        <w:t xml:space="preserve">C2. Alternatīva: Mehāniski atūdeņotu (apstrādātu) </w:t>
      </w:r>
      <w:r w:rsidR="00AA40F3" w:rsidRPr="00B03766">
        <w:rPr>
          <w:rFonts w:ascii="Times New Roman" w:eastAsia="Times New Roman" w:hAnsi="Times New Roman" w:cs="Times New Roman"/>
          <w:b/>
          <w:bCs/>
          <w:color w:val="auto"/>
          <w:sz w:val="24"/>
          <w:szCs w:val="24"/>
          <w:lang w:eastAsia="en-GB"/>
        </w:rPr>
        <w:t xml:space="preserve">notekūdeņu </w:t>
      </w:r>
      <w:r w:rsidRPr="00B03766">
        <w:rPr>
          <w:rFonts w:ascii="Times New Roman" w:eastAsia="Times New Roman" w:hAnsi="Times New Roman" w:cs="Times New Roman"/>
          <w:b/>
          <w:bCs/>
          <w:color w:val="auto"/>
          <w:sz w:val="24"/>
          <w:szCs w:val="24"/>
          <w:lang w:eastAsia="en-GB"/>
        </w:rPr>
        <w:t>dūņu kompostēšana</w:t>
      </w:r>
      <w:bookmarkEnd w:id="32"/>
      <w:bookmarkEnd w:id="33"/>
    </w:p>
    <w:p w14:paraId="6D59DE12" w14:textId="3E470B8B" w:rsidR="00EA6FC7" w:rsidRPr="00B03766" w:rsidRDefault="00EA6FC7" w:rsidP="00EA6FC7">
      <w:pPr>
        <w:spacing w:before="120" w:after="120"/>
        <w:ind w:firstLine="720"/>
        <w:rPr>
          <w:rFonts w:ascii="Times New Roman" w:hAnsi="Times New Roman" w:cs="Times New Roman"/>
        </w:rPr>
      </w:pPr>
      <w:r w:rsidRPr="00B03766">
        <w:rPr>
          <w:rFonts w:ascii="Times New Roman" w:hAnsi="Times New Roman" w:cs="Times New Roman"/>
        </w:rPr>
        <w:t xml:space="preserve">Alternatīva paredz darbības un tehnoloģiskos procesus, lai visas notekūdeņu dūņas pēc pārstrādes pilnībā atbilstu alternatīvas B1 “Pārstrādātu notekūdeņu dūņu iestrāde augsnē” ietvaros noteiktajām minimālajām pārstrādātu </w:t>
      </w:r>
      <w:r w:rsidR="00AA40F3" w:rsidRPr="00B03766">
        <w:rPr>
          <w:rFonts w:ascii="Times New Roman" w:hAnsi="Times New Roman" w:cs="Times New Roman"/>
        </w:rPr>
        <w:t xml:space="preserve">notekūdeņu </w:t>
      </w:r>
      <w:r w:rsidRPr="00B03766">
        <w:rPr>
          <w:rFonts w:ascii="Times New Roman" w:hAnsi="Times New Roman" w:cs="Times New Roman"/>
        </w:rPr>
        <w:t xml:space="preserve">dūņu īpašībām. Līdz ar to ir veicamas noteiktas ar notekūdeņu dūņu pārstrādi saistītas darbības – skatīt 2.diagrammu. </w:t>
      </w:r>
    </w:p>
    <w:p w14:paraId="19DE0CDC" w14:textId="40C6B72A" w:rsidR="00EA6FC7" w:rsidRPr="00B03766" w:rsidRDefault="00EA6FC7" w:rsidP="00AA40F3">
      <w:pPr>
        <w:spacing w:before="120" w:after="120"/>
        <w:ind w:firstLine="720"/>
        <w:rPr>
          <w:rFonts w:ascii="Times New Roman" w:hAnsi="Times New Roman" w:cs="Times New Roman"/>
        </w:rPr>
      </w:pPr>
      <w:r w:rsidRPr="00B03766">
        <w:rPr>
          <w:rFonts w:ascii="Times New Roman" w:hAnsi="Times New Roman" w:cs="Times New Roman"/>
        </w:rPr>
        <w:t>Stratēģijas izstrādes laikā ir novērtēts, ka mazākais notekūdeņu dūņu apjoms, kuram ir ekonomiski pamatoti veikt atbilstošu kompostēšanu ir vismaz 1 000 m</w:t>
      </w:r>
      <w:r w:rsidRPr="00B03766">
        <w:rPr>
          <w:rFonts w:ascii="Times New Roman" w:hAnsi="Times New Roman" w:cs="Times New Roman"/>
          <w:vertAlign w:val="superscript"/>
        </w:rPr>
        <w:t>3</w:t>
      </w:r>
      <w:r w:rsidRPr="00B03766">
        <w:rPr>
          <w:rFonts w:ascii="Times New Roman" w:hAnsi="Times New Roman" w:cs="Times New Roman"/>
        </w:rPr>
        <w:t xml:space="preserve"> slapju </w:t>
      </w:r>
      <w:r w:rsidR="00AA40F3" w:rsidRPr="00B03766">
        <w:rPr>
          <w:rFonts w:ascii="Times New Roman" w:hAnsi="Times New Roman" w:cs="Times New Roman"/>
        </w:rPr>
        <w:t xml:space="preserve">notekūdeņu </w:t>
      </w:r>
      <w:r w:rsidRPr="00B03766">
        <w:rPr>
          <w:rFonts w:ascii="Times New Roman" w:hAnsi="Times New Roman" w:cs="Times New Roman"/>
        </w:rPr>
        <w:t xml:space="preserve">dūņu gadā (skat. </w:t>
      </w:r>
      <w:r w:rsidR="001051E2" w:rsidRPr="00B03766">
        <w:rPr>
          <w:rFonts w:ascii="Times New Roman" w:hAnsi="Times New Roman" w:cs="Times New Roman"/>
        </w:rPr>
        <w:t>P</w:t>
      </w:r>
      <w:r w:rsidRPr="00B03766">
        <w:rPr>
          <w:rFonts w:ascii="Times New Roman" w:hAnsi="Times New Roman" w:cs="Times New Roman"/>
        </w:rPr>
        <w:t>ielikumu</w:t>
      </w:r>
      <w:r w:rsidR="001051E2">
        <w:rPr>
          <w:rFonts w:ascii="Times New Roman" w:hAnsi="Times New Roman" w:cs="Times New Roman"/>
        </w:rPr>
        <w:t xml:space="preserve"> Nr. 4.7.</w:t>
      </w:r>
      <w:r w:rsidRPr="00B03766">
        <w:rPr>
          <w:rFonts w:ascii="Times New Roman" w:hAnsi="Times New Roman" w:cs="Times New Roman"/>
        </w:rPr>
        <w:t xml:space="preserve"> </w:t>
      </w:r>
      <w:r w:rsidRPr="00B03766">
        <w:rPr>
          <w:rFonts w:ascii="Times New Roman" w:hAnsi="Times New Roman" w:cs="Times New Roman"/>
          <w:color w:val="000000"/>
        </w:rPr>
        <w:t>“Dažādu notekūdeņu dūņu apstrādes veidu izmaksas”</w:t>
      </w:r>
      <w:r w:rsidRPr="00B03766">
        <w:rPr>
          <w:rFonts w:ascii="Times New Roman" w:hAnsi="Times New Roman" w:cs="Times New Roman"/>
        </w:rPr>
        <w:t>). Šāds ierobežojums</w:t>
      </w:r>
      <w:r w:rsidR="00AA40F3" w:rsidRPr="00B03766">
        <w:rPr>
          <w:rFonts w:ascii="Times New Roman" w:hAnsi="Times New Roman" w:cs="Times New Roman"/>
        </w:rPr>
        <w:t xml:space="preserve"> </w:t>
      </w:r>
      <w:r w:rsidRPr="00B03766">
        <w:rPr>
          <w:rFonts w:ascii="Times New Roman" w:hAnsi="Times New Roman" w:cs="Times New Roman"/>
        </w:rPr>
        <w:t xml:space="preserve">primāri saistīts ar speciālās kompostēšanas tehnikas iegādi, kas ir dārga un ir efektīva pie liela pārstrādājamo </w:t>
      </w:r>
      <w:r w:rsidR="00AA40F3" w:rsidRPr="00B03766">
        <w:rPr>
          <w:rFonts w:ascii="Times New Roman" w:hAnsi="Times New Roman" w:cs="Times New Roman"/>
        </w:rPr>
        <w:t xml:space="preserve">notekūdeņu </w:t>
      </w:r>
      <w:r w:rsidRPr="00B03766">
        <w:rPr>
          <w:rFonts w:ascii="Times New Roman" w:hAnsi="Times New Roman" w:cs="Times New Roman"/>
        </w:rPr>
        <w:t>dūņu daudzuma, kā arī kompostēšanas prasībām, kas paredz, ka kaudzes iekšienē ir jānodrošina noteikts temperatūras režīms. Arī mehāniskās notekūdeņu dūņu atūdeņošanas iekārtas ekonomiski pamatoti ir iegādāties un ekspluatēt, ja gadā apstrādājamais</w:t>
      </w:r>
      <w:r w:rsidR="00AA40F3" w:rsidRPr="00B03766">
        <w:rPr>
          <w:rFonts w:ascii="Times New Roman" w:hAnsi="Times New Roman" w:cs="Times New Roman"/>
        </w:rPr>
        <w:t xml:space="preserve"> notekūdeņu</w:t>
      </w:r>
      <w:r w:rsidRPr="00B03766">
        <w:rPr>
          <w:rFonts w:ascii="Times New Roman" w:hAnsi="Times New Roman" w:cs="Times New Roman"/>
        </w:rPr>
        <w:t xml:space="preserve"> dūņu daudzums pārsniedz 1 000 m</w:t>
      </w:r>
      <w:r w:rsidRPr="00B03766">
        <w:rPr>
          <w:rFonts w:ascii="Times New Roman" w:hAnsi="Times New Roman" w:cs="Times New Roman"/>
          <w:vertAlign w:val="superscript"/>
        </w:rPr>
        <w:t>3</w:t>
      </w:r>
      <w:r w:rsidRPr="00B03766">
        <w:rPr>
          <w:rFonts w:ascii="Times New Roman" w:hAnsi="Times New Roman" w:cs="Times New Roman"/>
        </w:rPr>
        <w:t xml:space="preserve"> slapju </w:t>
      </w:r>
      <w:r w:rsidR="00AA40F3" w:rsidRPr="00B03766">
        <w:rPr>
          <w:rFonts w:ascii="Times New Roman" w:hAnsi="Times New Roman" w:cs="Times New Roman"/>
        </w:rPr>
        <w:t xml:space="preserve">notekūdeņu </w:t>
      </w:r>
      <w:r w:rsidRPr="00B03766">
        <w:rPr>
          <w:rFonts w:ascii="Times New Roman" w:hAnsi="Times New Roman" w:cs="Times New Roman"/>
        </w:rPr>
        <w:t>dūņu (skat. pielikumu</w:t>
      </w:r>
      <w:r w:rsidR="004C16A0" w:rsidRPr="00B03766">
        <w:rPr>
          <w:rFonts w:ascii="Times New Roman" w:hAnsi="Times New Roman" w:cs="Times New Roman"/>
        </w:rPr>
        <w:t xml:space="preserve"> Nr.</w:t>
      </w:r>
      <w:r w:rsidR="001051E2">
        <w:rPr>
          <w:rFonts w:ascii="Times New Roman" w:hAnsi="Times New Roman" w:cs="Times New Roman"/>
        </w:rPr>
        <w:t xml:space="preserve"> </w:t>
      </w:r>
      <w:r w:rsidR="004C16A0" w:rsidRPr="00B03766">
        <w:rPr>
          <w:rFonts w:ascii="Times New Roman" w:hAnsi="Times New Roman" w:cs="Times New Roman"/>
        </w:rPr>
        <w:t>4.7.</w:t>
      </w:r>
      <w:r w:rsidRPr="00B03766">
        <w:rPr>
          <w:rFonts w:ascii="Times New Roman" w:hAnsi="Times New Roman" w:cs="Times New Roman"/>
        </w:rPr>
        <w:t xml:space="preserve"> </w:t>
      </w:r>
      <w:r w:rsidRPr="00B03766">
        <w:rPr>
          <w:rFonts w:ascii="Times New Roman" w:hAnsi="Times New Roman" w:cs="Times New Roman"/>
          <w:color w:val="000000"/>
        </w:rPr>
        <w:t>“Dažādu notekūdeņu dūņu apstrādes veidu izmaksas”</w:t>
      </w:r>
      <w:r w:rsidRPr="00B03766">
        <w:rPr>
          <w:rFonts w:ascii="Times New Roman" w:hAnsi="Times New Roman" w:cs="Times New Roman"/>
        </w:rPr>
        <w:t xml:space="preserve">). </w:t>
      </w:r>
    </w:p>
    <w:p w14:paraId="76A01C73" w14:textId="77777777" w:rsidR="00EA6FC7" w:rsidRPr="00175DD0" w:rsidRDefault="00EA6FC7" w:rsidP="00EA6FC7">
      <w:pPr>
        <w:rPr>
          <w:rFonts w:ascii="Bahnschrift Light Condensed" w:eastAsia="Calibri" w:hAnsi="Bahnschrift Light Condensed" w:cs="Times New Roman"/>
          <w:sz w:val="28"/>
          <w:lang w:eastAsia="lv-LV"/>
        </w:rPr>
      </w:pPr>
      <w:r w:rsidRPr="00175DD0">
        <w:rPr>
          <w:noProof/>
          <w:lang w:eastAsia="lv-LV"/>
        </w:rPr>
        <w:lastRenderedPageBreak/>
        <w:drawing>
          <wp:inline distT="0" distB="0" distL="0" distR="0" wp14:anchorId="0DC38C52" wp14:editId="0483FD76">
            <wp:extent cx="5274310" cy="3840780"/>
            <wp:effectExtent l="19050" t="0" r="21590" b="2667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7706162" w14:textId="75496931" w:rsidR="00EA6FC7" w:rsidRPr="00B03766" w:rsidRDefault="00892F5A" w:rsidP="00B03766">
      <w:pPr>
        <w:jc w:val="center"/>
        <w:rPr>
          <w:rFonts w:ascii="Times New Roman" w:hAnsi="Times New Roman" w:cs="Times New Roman"/>
          <w:iCs/>
          <w:szCs w:val="24"/>
        </w:rPr>
      </w:pPr>
      <w:r>
        <w:rPr>
          <w:rFonts w:ascii="Times New Roman" w:hAnsi="Times New Roman" w:cs="Times New Roman"/>
          <w:b/>
          <w:bCs/>
          <w:iCs/>
          <w:szCs w:val="24"/>
        </w:rPr>
        <w:t>3.1.</w:t>
      </w:r>
      <w:r w:rsidR="00EA6FC7" w:rsidRPr="00B03766">
        <w:rPr>
          <w:rFonts w:ascii="Times New Roman" w:hAnsi="Times New Roman" w:cs="Times New Roman"/>
          <w:b/>
          <w:bCs/>
          <w:iCs/>
          <w:szCs w:val="24"/>
        </w:rPr>
        <w:t>2.</w:t>
      </w:r>
      <w:r w:rsidR="00B03766" w:rsidRPr="00B03766">
        <w:rPr>
          <w:rFonts w:ascii="Times New Roman" w:hAnsi="Times New Roman" w:cs="Times New Roman"/>
          <w:b/>
          <w:bCs/>
          <w:iCs/>
          <w:szCs w:val="24"/>
        </w:rPr>
        <w:t>attēls.</w:t>
      </w:r>
      <w:r w:rsidR="00B03766">
        <w:rPr>
          <w:rFonts w:ascii="Times New Roman" w:hAnsi="Times New Roman" w:cs="Times New Roman"/>
          <w:iCs/>
          <w:szCs w:val="24"/>
        </w:rPr>
        <w:t xml:space="preserve"> </w:t>
      </w:r>
      <w:r w:rsidR="00EA6FC7" w:rsidRPr="00B03766">
        <w:rPr>
          <w:rFonts w:ascii="Times New Roman" w:hAnsi="Times New Roman" w:cs="Times New Roman"/>
          <w:iCs/>
          <w:szCs w:val="24"/>
        </w:rPr>
        <w:t xml:space="preserve">Darbību apraksts mehāniski apstrādātu (atūdeņotu) </w:t>
      </w:r>
      <w:r w:rsidR="00AA40F3" w:rsidRPr="00B03766">
        <w:rPr>
          <w:rFonts w:ascii="Times New Roman" w:hAnsi="Times New Roman" w:cs="Times New Roman"/>
          <w:iCs/>
          <w:szCs w:val="24"/>
        </w:rPr>
        <w:t xml:space="preserve">notekūdeņu </w:t>
      </w:r>
      <w:r w:rsidR="00EA6FC7" w:rsidRPr="00B03766">
        <w:rPr>
          <w:rFonts w:ascii="Times New Roman" w:hAnsi="Times New Roman" w:cs="Times New Roman"/>
          <w:iCs/>
          <w:szCs w:val="24"/>
        </w:rPr>
        <w:t>dūņu kompostēšanai.</w:t>
      </w:r>
    </w:p>
    <w:p w14:paraId="2D54E550" w14:textId="5A635D42" w:rsidR="00EA6FC7" w:rsidRPr="00B03766" w:rsidRDefault="00A80590" w:rsidP="00B03766">
      <w:pPr>
        <w:pStyle w:val="Heading2"/>
        <w:spacing w:before="120" w:after="120"/>
        <w:jc w:val="center"/>
        <w:rPr>
          <w:rFonts w:ascii="Times New Roman" w:eastAsia="Times New Roman" w:hAnsi="Times New Roman" w:cs="Times New Roman"/>
          <w:b/>
          <w:bCs/>
          <w:color w:val="auto"/>
          <w:sz w:val="24"/>
          <w:szCs w:val="24"/>
          <w:lang w:eastAsia="en-GB"/>
        </w:rPr>
      </w:pPr>
      <w:bookmarkStart w:id="34" w:name="_Toc82430158"/>
      <w:bookmarkStart w:id="35" w:name="_Toc107916310"/>
      <w:r w:rsidRPr="00B03766">
        <w:rPr>
          <w:rFonts w:ascii="Times New Roman" w:eastAsia="Times New Roman" w:hAnsi="Times New Roman" w:cs="Times New Roman"/>
          <w:b/>
          <w:bCs/>
          <w:color w:val="auto"/>
          <w:sz w:val="24"/>
          <w:szCs w:val="24"/>
          <w:lang w:eastAsia="en-GB"/>
        </w:rPr>
        <w:t xml:space="preserve">C3. Alternatīva: Iebiezinātu vai mehāniski atūdeņotu (apstrādātu) notekūdeņu dūņu </w:t>
      </w:r>
      <w:r w:rsidR="00B431B1" w:rsidRPr="00B03766">
        <w:rPr>
          <w:rFonts w:ascii="Times New Roman" w:eastAsia="Times New Roman" w:hAnsi="Times New Roman" w:cs="Times New Roman"/>
          <w:b/>
          <w:bCs/>
          <w:color w:val="auto"/>
          <w:sz w:val="24"/>
          <w:szCs w:val="24"/>
          <w:lang w:eastAsia="en-GB"/>
        </w:rPr>
        <w:t>mezofilā</w:t>
      </w:r>
      <w:r w:rsidRPr="00B03766">
        <w:rPr>
          <w:rFonts w:ascii="Times New Roman" w:eastAsia="Times New Roman" w:hAnsi="Times New Roman" w:cs="Times New Roman"/>
          <w:b/>
          <w:bCs/>
          <w:color w:val="auto"/>
          <w:sz w:val="24"/>
          <w:szCs w:val="24"/>
          <w:lang w:eastAsia="en-GB"/>
        </w:rPr>
        <w:t xml:space="preserve"> anaerobā sadalīšana – biogāzes ražošana</w:t>
      </w:r>
      <w:bookmarkEnd w:id="34"/>
      <w:bookmarkEnd w:id="35"/>
      <w:r w:rsidR="00C8389B">
        <w:rPr>
          <w:rFonts w:ascii="Times New Roman" w:eastAsia="Times New Roman" w:hAnsi="Times New Roman" w:cs="Times New Roman"/>
          <w:b/>
          <w:bCs/>
          <w:color w:val="auto"/>
          <w:sz w:val="24"/>
          <w:szCs w:val="24"/>
          <w:lang w:eastAsia="en-GB"/>
        </w:rPr>
        <w:t xml:space="preserve"> (skat. attēlu 3.1.3.)</w:t>
      </w:r>
    </w:p>
    <w:p w14:paraId="2CEDF984" w14:textId="08E7B493" w:rsidR="00A80590" w:rsidRPr="00F3088D" w:rsidRDefault="00A80590" w:rsidP="00A80590">
      <w:pPr>
        <w:spacing w:before="120" w:after="120"/>
        <w:ind w:firstLine="720"/>
        <w:rPr>
          <w:rFonts w:ascii="Times New Roman" w:hAnsi="Times New Roman" w:cs="Times New Roman"/>
        </w:rPr>
      </w:pPr>
      <w:r w:rsidRPr="00F3088D">
        <w:rPr>
          <w:rFonts w:ascii="Times New Roman" w:hAnsi="Times New Roman" w:cs="Times New Roman"/>
        </w:rPr>
        <w:t>Notekūdeņu dūņu mezof</w:t>
      </w:r>
      <w:r w:rsidR="00B431B1">
        <w:rPr>
          <w:rFonts w:ascii="Times New Roman" w:hAnsi="Times New Roman" w:cs="Times New Roman"/>
        </w:rPr>
        <w:t>i</w:t>
      </w:r>
      <w:r w:rsidRPr="00F3088D">
        <w:rPr>
          <w:rFonts w:ascii="Times New Roman" w:hAnsi="Times New Roman" w:cs="Times New Roman"/>
        </w:rPr>
        <w:t xml:space="preserve">lās anaerobās sadalīšanas laikā tiek iegūta biogāze, kas tiek sadedzināta speciālā koģenerācijas iekārtā. </w:t>
      </w:r>
      <w:r w:rsidR="000F2B9B" w:rsidRPr="00F3088D">
        <w:rPr>
          <w:rFonts w:ascii="Times New Roman" w:hAnsi="Times New Roman" w:cs="Times New Roman"/>
        </w:rPr>
        <w:t>Notekūdeņu d</w:t>
      </w:r>
      <w:r w:rsidRPr="00F3088D">
        <w:rPr>
          <w:rFonts w:ascii="Times New Roman" w:hAnsi="Times New Roman" w:cs="Times New Roman"/>
        </w:rPr>
        <w:t xml:space="preserve">ūņu pārstrādes procesā tiek iegūta elektrība, siltums, kā arī pārstrādātas </w:t>
      </w:r>
      <w:r w:rsidR="000F2B9B" w:rsidRPr="00F3088D">
        <w:rPr>
          <w:rFonts w:ascii="Times New Roman" w:hAnsi="Times New Roman" w:cs="Times New Roman"/>
        </w:rPr>
        <w:t>notekūdeņu</w:t>
      </w:r>
      <w:r w:rsidRPr="00F3088D">
        <w:rPr>
          <w:rFonts w:ascii="Times New Roman" w:hAnsi="Times New Roman" w:cs="Times New Roman"/>
        </w:rPr>
        <w:t xml:space="preserve"> dūņas. Kopumā tehnoloģiskais process ir izmaksu ziņā ietilpīgs un tehnoloģiski sarežģīts. Vidējais</w:t>
      </w:r>
      <w:r w:rsidR="000F2B9B" w:rsidRPr="00F3088D">
        <w:rPr>
          <w:rFonts w:ascii="Times New Roman" w:hAnsi="Times New Roman" w:cs="Times New Roman"/>
        </w:rPr>
        <w:t xml:space="preserve"> notekūdeņu</w:t>
      </w:r>
      <w:r w:rsidRPr="00F3088D">
        <w:rPr>
          <w:rFonts w:ascii="Times New Roman" w:hAnsi="Times New Roman" w:cs="Times New Roman"/>
        </w:rPr>
        <w:t xml:space="preserve"> dūņu daudzums pie kāda alternatīvas ienākumi kļūst lielāki par izdevumiem ir virs 200 000 t slapju</w:t>
      </w:r>
      <w:r w:rsidR="000F2B9B" w:rsidRPr="00F3088D">
        <w:rPr>
          <w:rFonts w:ascii="Times New Roman" w:hAnsi="Times New Roman" w:cs="Times New Roman"/>
        </w:rPr>
        <w:t xml:space="preserve"> notekūdeņu </w:t>
      </w:r>
      <w:r w:rsidRPr="00F3088D">
        <w:rPr>
          <w:rFonts w:ascii="Times New Roman" w:hAnsi="Times New Roman" w:cs="Times New Roman"/>
        </w:rPr>
        <w:t xml:space="preserve">dūņu gadā, ja neskaita nepieciešamos izdevumus digestāta utilizācijai. Šāds </w:t>
      </w:r>
      <w:r w:rsidR="000F2B9B" w:rsidRPr="00F3088D">
        <w:rPr>
          <w:rFonts w:ascii="Times New Roman" w:hAnsi="Times New Roman" w:cs="Times New Roman"/>
        </w:rPr>
        <w:t>n</w:t>
      </w:r>
      <w:r w:rsidRPr="00F3088D">
        <w:rPr>
          <w:rFonts w:ascii="Times New Roman" w:hAnsi="Times New Roman" w:cs="Times New Roman"/>
        </w:rPr>
        <w:t xml:space="preserve">otekūdeņu dūņu apjoms vienuviet ir tikai BAS </w:t>
      </w:r>
      <w:r w:rsidR="000F2B9B" w:rsidRPr="00F3088D">
        <w:rPr>
          <w:rFonts w:ascii="Times New Roman" w:hAnsi="Times New Roman" w:cs="Times New Roman"/>
        </w:rPr>
        <w:t>“</w:t>
      </w:r>
      <w:r w:rsidRPr="00F3088D">
        <w:rPr>
          <w:rFonts w:ascii="Times New Roman" w:hAnsi="Times New Roman" w:cs="Times New Roman"/>
        </w:rPr>
        <w:t>Daugavgrīva</w:t>
      </w:r>
      <w:r w:rsidR="000F2B9B" w:rsidRPr="00F3088D">
        <w:rPr>
          <w:rFonts w:ascii="Times New Roman" w:hAnsi="Times New Roman" w:cs="Times New Roman"/>
        </w:rPr>
        <w:t>”</w:t>
      </w:r>
      <w:r w:rsidRPr="00F3088D">
        <w:rPr>
          <w:rFonts w:ascii="Times New Roman" w:hAnsi="Times New Roman" w:cs="Times New Roman"/>
        </w:rPr>
        <w:t xml:space="preserve">. Pie mazāka notekūdeņu dūņu apjoma dūņu mezofilā anaerobā sadalīšana prasa papildus izdevumus (līdzīgi kā visas citas </w:t>
      </w:r>
      <w:r w:rsidR="000F2B9B" w:rsidRPr="00F3088D">
        <w:rPr>
          <w:rFonts w:ascii="Times New Roman" w:hAnsi="Times New Roman" w:cs="Times New Roman"/>
        </w:rPr>
        <w:t xml:space="preserve">notekūdeņu </w:t>
      </w:r>
      <w:r w:rsidRPr="00F3088D">
        <w:rPr>
          <w:rFonts w:ascii="Times New Roman" w:hAnsi="Times New Roman" w:cs="Times New Roman"/>
        </w:rPr>
        <w:t>dūņu pārstrādes alternatīvas)</w:t>
      </w:r>
      <w:r w:rsidR="000F2B9B" w:rsidRPr="00F3088D">
        <w:rPr>
          <w:rFonts w:ascii="Times New Roman" w:hAnsi="Times New Roman" w:cs="Times New Roman"/>
        </w:rPr>
        <w:t>, tāpēc</w:t>
      </w:r>
      <w:r w:rsidR="00F94CAA">
        <w:rPr>
          <w:rFonts w:ascii="Times New Roman" w:hAnsi="Times New Roman" w:cs="Times New Roman"/>
        </w:rPr>
        <w:t>,</w:t>
      </w:r>
      <w:r w:rsidR="000F2B9B" w:rsidRPr="00F3088D">
        <w:rPr>
          <w:rFonts w:ascii="Times New Roman" w:hAnsi="Times New Roman" w:cs="Times New Roman"/>
        </w:rPr>
        <w:t xml:space="preserve"> l</w:t>
      </w:r>
      <w:r w:rsidRPr="00F3088D">
        <w:rPr>
          <w:rFonts w:ascii="Times New Roman" w:hAnsi="Times New Roman" w:cs="Times New Roman"/>
        </w:rPr>
        <w:t xml:space="preserve">ai sasniegtu 200 000 t slapju </w:t>
      </w:r>
      <w:r w:rsidR="000F2B9B" w:rsidRPr="00F3088D">
        <w:rPr>
          <w:rFonts w:ascii="Times New Roman" w:hAnsi="Times New Roman" w:cs="Times New Roman"/>
        </w:rPr>
        <w:t xml:space="preserve">notekūdeņu </w:t>
      </w:r>
      <w:r w:rsidRPr="00F3088D">
        <w:rPr>
          <w:rFonts w:ascii="Times New Roman" w:hAnsi="Times New Roman" w:cs="Times New Roman"/>
        </w:rPr>
        <w:t>dūņu robežu</w:t>
      </w:r>
      <w:r w:rsidR="00F94CAA">
        <w:rPr>
          <w:rFonts w:ascii="Times New Roman" w:hAnsi="Times New Roman" w:cs="Times New Roman"/>
        </w:rPr>
        <w:t>,</w:t>
      </w:r>
      <w:r w:rsidRPr="00F3088D">
        <w:rPr>
          <w:rFonts w:ascii="Times New Roman" w:hAnsi="Times New Roman" w:cs="Times New Roman"/>
        </w:rPr>
        <w:t xml:space="preserve"> tās ir </w:t>
      </w:r>
      <w:r w:rsidR="000F2B9B" w:rsidRPr="00F3088D">
        <w:rPr>
          <w:rFonts w:ascii="Times New Roman" w:hAnsi="Times New Roman" w:cs="Times New Roman"/>
        </w:rPr>
        <w:t>nepieciešams</w:t>
      </w:r>
      <w:r w:rsidRPr="00F3088D">
        <w:rPr>
          <w:rFonts w:ascii="Times New Roman" w:hAnsi="Times New Roman" w:cs="Times New Roman"/>
        </w:rPr>
        <w:t xml:space="preserve"> </w:t>
      </w:r>
      <w:r w:rsidR="000F2B9B" w:rsidRPr="00F3088D">
        <w:rPr>
          <w:rFonts w:ascii="Times New Roman" w:hAnsi="Times New Roman" w:cs="Times New Roman"/>
        </w:rPr>
        <w:t>koncentrēt</w:t>
      </w:r>
      <w:r w:rsidRPr="00F3088D">
        <w:rPr>
          <w:rFonts w:ascii="Times New Roman" w:hAnsi="Times New Roman" w:cs="Times New Roman"/>
        </w:rPr>
        <w:t xml:space="preserve">, sasniedzot nepieciešamo notekūdeņu dūņu daudzumu vienā pārstrādes vietā (skatīt D4 alternatīvu). </w:t>
      </w:r>
    </w:p>
    <w:p w14:paraId="408A136C" w14:textId="6CEC62E6" w:rsidR="00A80590" w:rsidRPr="00F3088D" w:rsidRDefault="00A80590" w:rsidP="00A80590">
      <w:pPr>
        <w:spacing w:before="120" w:after="120"/>
        <w:ind w:firstLine="720"/>
        <w:rPr>
          <w:rFonts w:ascii="Times New Roman" w:hAnsi="Times New Roman" w:cs="Times New Roman"/>
        </w:rPr>
      </w:pPr>
      <w:r w:rsidRPr="00F3088D">
        <w:rPr>
          <w:rFonts w:ascii="Times New Roman" w:hAnsi="Times New Roman" w:cs="Times New Roman"/>
        </w:rPr>
        <w:t xml:space="preserve">Alternatīva paredz tādas darbības un tehnoloģiskos procesus, lai visas notekūdeņu dūņas pēc pārstrādes pilnībā atbilstu alternatīvas B1 “Pārstrādātu notekūdeņu dūņu iestrāde augsnē” ietvaros noteiktajām minimālajām pārstrādātu </w:t>
      </w:r>
      <w:r w:rsidR="000F2B9B" w:rsidRPr="00F3088D">
        <w:rPr>
          <w:rFonts w:ascii="Times New Roman" w:hAnsi="Times New Roman" w:cs="Times New Roman"/>
        </w:rPr>
        <w:t xml:space="preserve">notekūdeņu </w:t>
      </w:r>
      <w:r w:rsidRPr="00F3088D">
        <w:rPr>
          <w:rFonts w:ascii="Times New Roman" w:hAnsi="Times New Roman" w:cs="Times New Roman"/>
        </w:rPr>
        <w:t>dūņu īpašībām. Līdz ar to alternatīvas ietvaros ir veicamas šādas ar notekūdeņu dūņu pārstrādi saistītas darbības:</w:t>
      </w:r>
    </w:p>
    <w:p w14:paraId="0C17E13E" w14:textId="77777777" w:rsidR="00A80590" w:rsidRPr="00175DD0" w:rsidRDefault="00A80590" w:rsidP="00EA6FC7">
      <w:pPr>
        <w:rPr>
          <w:rFonts w:ascii="Bahnschrift Light Condensed" w:eastAsia="Calibri" w:hAnsi="Bahnschrift Light Condensed" w:cs="Times New Roman"/>
          <w:sz w:val="28"/>
          <w:lang w:eastAsia="lv-LV"/>
        </w:rPr>
      </w:pPr>
      <w:r w:rsidRPr="00175DD0">
        <w:rPr>
          <w:noProof/>
          <w:lang w:eastAsia="lv-LV"/>
        </w:rPr>
        <w:lastRenderedPageBreak/>
        <w:drawing>
          <wp:inline distT="0" distB="0" distL="0" distR="0" wp14:anchorId="4B9AA07C" wp14:editId="3D9364ED">
            <wp:extent cx="5274310" cy="3076681"/>
            <wp:effectExtent l="19050" t="0" r="21590" b="9525"/>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B28B42F" w14:textId="7ADBF104" w:rsidR="00A80590" w:rsidRPr="00F3088D" w:rsidRDefault="00892F5A" w:rsidP="00C13122">
      <w:pPr>
        <w:jc w:val="center"/>
        <w:rPr>
          <w:rFonts w:ascii="Times New Roman" w:hAnsi="Times New Roman" w:cs="Times New Roman"/>
          <w:iCs/>
          <w:szCs w:val="24"/>
        </w:rPr>
      </w:pPr>
      <w:r>
        <w:rPr>
          <w:rFonts w:ascii="Times New Roman" w:hAnsi="Times New Roman" w:cs="Times New Roman"/>
          <w:b/>
          <w:bCs/>
          <w:iCs/>
          <w:szCs w:val="24"/>
        </w:rPr>
        <w:t>3.1.</w:t>
      </w:r>
      <w:r w:rsidR="00A80590" w:rsidRPr="00C13122">
        <w:rPr>
          <w:rFonts w:ascii="Times New Roman" w:hAnsi="Times New Roman" w:cs="Times New Roman"/>
          <w:b/>
          <w:bCs/>
          <w:iCs/>
          <w:szCs w:val="24"/>
        </w:rPr>
        <w:t>3.</w:t>
      </w:r>
      <w:r w:rsidR="00F3088D" w:rsidRPr="00C13122">
        <w:rPr>
          <w:rFonts w:ascii="Times New Roman" w:hAnsi="Times New Roman" w:cs="Times New Roman"/>
          <w:b/>
          <w:bCs/>
          <w:iCs/>
          <w:szCs w:val="24"/>
        </w:rPr>
        <w:t>attēls.</w:t>
      </w:r>
      <w:r w:rsidR="00A80590" w:rsidRPr="00F3088D">
        <w:rPr>
          <w:rFonts w:ascii="Times New Roman" w:hAnsi="Times New Roman" w:cs="Times New Roman"/>
          <w:iCs/>
          <w:szCs w:val="24"/>
        </w:rPr>
        <w:t xml:space="preserve"> Darbību apraksts iebiezinātu vai mehāniski apstrādātu (atūdeņotu) </w:t>
      </w:r>
      <w:r w:rsidR="000F2B9B" w:rsidRPr="00F3088D">
        <w:rPr>
          <w:rFonts w:ascii="Times New Roman" w:hAnsi="Times New Roman" w:cs="Times New Roman"/>
          <w:iCs/>
          <w:szCs w:val="24"/>
        </w:rPr>
        <w:t xml:space="preserve">notekūdeņu </w:t>
      </w:r>
      <w:r w:rsidR="00A80590" w:rsidRPr="00F3088D">
        <w:rPr>
          <w:rFonts w:ascii="Times New Roman" w:hAnsi="Times New Roman" w:cs="Times New Roman"/>
          <w:iCs/>
          <w:szCs w:val="24"/>
        </w:rPr>
        <w:t>dūņu mezof</w:t>
      </w:r>
      <w:r w:rsidR="00B431B1">
        <w:rPr>
          <w:rFonts w:ascii="Times New Roman" w:hAnsi="Times New Roman" w:cs="Times New Roman"/>
          <w:iCs/>
          <w:szCs w:val="24"/>
        </w:rPr>
        <w:t>i</w:t>
      </w:r>
      <w:r w:rsidR="00A80590" w:rsidRPr="00F3088D">
        <w:rPr>
          <w:rFonts w:ascii="Times New Roman" w:hAnsi="Times New Roman" w:cs="Times New Roman"/>
          <w:iCs/>
          <w:szCs w:val="24"/>
        </w:rPr>
        <w:t>lai anaerobai sadalīšanai – biogāzes ražošanai.</w:t>
      </w:r>
    </w:p>
    <w:p w14:paraId="33952C71" w14:textId="4FB19783" w:rsidR="00A80590" w:rsidRPr="006375BB" w:rsidRDefault="00A80590" w:rsidP="000F2B9B">
      <w:pPr>
        <w:spacing w:before="120" w:after="0"/>
        <w:ind w:firstLine="720"/>
        <w:rPr>
          <w:rFonts w:ascii="Times New Roman" w:hAnsi="Times New Roman" w:cs="Times New Roman"/>
        </w:rPr>
      </w:pPr>
      <w:r w:rsidRPr="006375BB">
        <w:rPr>
          <w:rFonts w:ascii="Times New Roman" w:hAnsi="Times New Roman" w:cs="Times New Roman"/>
        </w:rPr>
        <w:t xml:space="preserve">Pēc </w:t>
      </w:r>
      <w:r w:rsidR="000F2B9B" w:rsidRPr="006375BB">
        <w:rPr>
          <w:rFonts w:ascii="Times New Roman" w:hAnsi="Times New Roman" w:cs="Times New Roman"/>
        </w:rPr>
        <w:t xml:space="preserve">notekūdeņu </w:t>
      </w:r>
      <w:r w:rsidRPr="006375BB">
        <w:rPr>
          <w:rFonts w:ascii="Times New Roman" w:hAnsi="Times New Roman" w:cs="Times New Roman"/>
        </w:rPr>
        <w:t xml:space="preserve">dūņu fermentēšanas iegūto digestātu (4% sausna) līdzīgi kā slapjas </w:t>
      </w:r>
      <w:r w:rsidR="000F2B9B" w:rsidRPr="006375BB">
        <w:rPr>
          <w:rFonts w:ascii="Times New Roman" w:hAnsi="Times New Roman" w:cs="Times New Roman"/>
        </w:rPr>
        <w:t xml:space="preserve">notekūdeņu </w:t>
      </w:r>
      <w:r w:rsidRPr="006375BB">
        <w:rPr>
          <w:rFonts w:ascii="Times New Roman" w:hAnsi="Times New Roman" w:cs="Times New Roman"/>
        </w:rPr>
        <w:t xml:space="preserve">dūņas ir iespējams mehāniski atūdeņot </w:t>
      </w:r>
      <w:sdt>
        <w:sdtPr>
          <w:rPr>
            <w:rFonts w:ascii="Times New Roman" w:hAnsi="Times New Roman" w:cs="Times New Roman"/>
          </w:rPr>
          <w:tag w:val="goog_rdk_62"/>
          <w:id w:val="529618428"/>
        </w:sdtPr>
        <w:sdtContent/>
      </w:sdt>
      <w:r w:rsidRPr="006375BB">
        <w:rPr>
          <w:rFonts w:ascii="Times New Roman" w:hAnsi="Times New Roman" w:cs="Times New Roman"/>
        </w:rPr>
        <w:t>līdz sausnas saturam 23 -25%. Atūdeņoto</w:t>
      </w:r>
      <w:r w:rsidR="000F2B9B" w:rsidRPr="006375BB">
        <w:rPr>
          <w:rFonts w:ascii="Times New Roman" w:hAnsi="Times New Roman" w:cs="Times New Roman"/>
        </w:rPr>
        <w:t xml:space="preserve"> </w:t>
      </w:r>
      <w:r w:rsidRPr="006375BB">
        <w:rPr>
          <w:rFonts w:ascii="Times New Roman" w:hAnsi="Times New Roman" w:cs="Times New Roman"/>
        </w:rPr>
        <w:t>masu ir iespējams izvietot segtos</w:t>
      </w:r>
      <w:r w:rsidR="000F2B9B" w:rsidRPr="006375BB">
        <w:rPr>
          <w:rFonts w:ascii="Times New Roman" w:hAnsi="Times New Roman" w:cs="Times New Roman"/>
        </w:rPr>
        <w:t xml:space="preserve"> notekūdeņu</w:t>
      </w:r>
      <w:r w:rsidRPr="006375BB">
        <w:rPr>
          <w:rFonts w:ascii="Times New Roman" w:hAnsi="Times New Roman" w:cs="Times New Roman"/>
        </w:rPr>
        <w:t xml:space="preserve"> dūņu uzglabāšanas laukos</w:t>
      </w:r>
      <w:r w:rsidR="000F2B9B" w:rsidRPr="006375BB">
        <w:rPr>
          <w:rFonts w:ascii="Times New Roman" w:hAnsi="Times New Roman" w:cs="Times New Roman"/>
        </w:rPr>
        <w:t xml:space="preserve"> </w:t>
      </w:r>
      <w:r w:rsidRPr="006375BB">
        <w:rPr>
          <w:rFonts w:ascii="Times New Roman" w:hAnsi="Times New Roman" w:cs="Times New Roman"/>
        </w:rPr>
        <w:t>un papildus pārstrāde</w:t>
      </w:r>
      <w:r w:rsidR="000F2B9B" w:rsidRPr="006375BB">
        <w:rPr>
          <w:rFonts w:ascii="Times New Roman" w:hAnsi="Times New Roman" w:cs="Times New Roman"/>
        </w:rPr>
        <w:t xml:space="preserve">s darbības </w:t>
      </w:r>
      <w:r w:rsidRPr="006375BB">
        <w:rPr>
          <w:rFonts w:ascii="Times New Roman" w:hAnsi="Times New Roman" w:cs="Times New Roman"/>
        </w:rPr>
        <w:t>nav nepieciešama</w:t>
      </w:r>
      <w:r w:rsidR="000F2B9B" w:rsidRPr="006375BB">
        <w:rPr>
          <w:rFonts w:ascii="Times New Roman" w:hAnsi="Times New Roman" w:cs="Times New Roman"/>
        </w:rPr>
        <w:t>s</w:t>
      </w:r>
      <w:r w:rsidR="00393897" w:rsidRPr="006375BB">
        <w:rPr>
          <w:rFonts w:ascii="Times New Roman" w:hAnsi="Times New Roman" w:cs="Times New Roman"/>
        </w:rPr>
        <w:t xml:space="preserve">. </w:t>
      </w:r>
      <w:r w:rsidR="000F2B9B" w:rsidRPr="006375BB">
        <w:rPr>
          <w:rFonts w:ascii="Times New Roman" w:hAnsi="Times New Roman" w:cs="Times New Roman"/>
        </w:rPr>
        <w:t>Notekūdeņu d</w:t>
      </w:r>
      <w:r w:rsidRPr="006375BB">
        <w:rPr>
          <w:rFonts w:ascii="Times New Roman" w:hAnsi="Times New Roman" w:cs="Times New Roman"/>
        </w:rPr>
        <w:t xml:space="preserve">ūņas dūņu laukos var </w:t>
      </w:r>
      <w:r w:rsidR="000F2B9B" w:rsidRPr="006375BB">
        <w:rPr>
          <w:rFonts w:ascii="Times New Roman" w:hAnsi="Times New Roman" w:cs="Times New Roman"/>
        </w:rPr>
        <w:t xml:space="preserve">tikt </w:t>
      </w:r>
      <w:r w:rsidRPr="006375BB">
        <w:rPr>
          <w:rFonts w:ascii="Times New Roman" w:hAnsi="Times New Roman" w:cs="Times New Roman"/>
        </w:rPr>
        <w:t>uzglabāt</w:t>
      </w:r>
      <w:r w:rsidR="000F2B9B" w:rsidRPr="006375BB">
        <w:rPr>
          <w:rFonts w:ascii="Times New Roman" w:hAnsi="Times New Roman" w:cs="Times New Roman"/>
        </w:rPr>
        <w:t>as</w:t>
      </w:r>
      <w:r w:rsidRPr="006375BB">
        <w:rPr>
          <w:rFonts w:ascii="Times New Roman" w:hAnsi="Times New Roman" w:cs="Times New Roman"/>
        </w:rPr>
        <w:t xml:space="preserve"> lielās kaudzēs, līdz brīdim, kad atbilstoši likumdošanā noteiktajām prasībām pārstrādāt</w:t>
      </w:r>
      <w:r w:rsidR="000F2B9B" w:rsidRPr="006375BB">
        <w:rPr>
          <w:rFonts w:ascii="Times New Roman" w:hAnsi="Times New Roman" w:cs="Times New Roman"/>
        </w:rPr>
        <w:t>o notekūdeņu</w:t>
      </w:r>
      <w:r w:rsidRPr="006375BB">
        <w:rPr>
          <w:rFonts w:ascii="Times New Roman" w:hAnsi="Times New Roman" w:cs="Times New Roman"/>
        </w:rPr>
        <w:t xml:space="preserve"> dūņu masu ir iespējams </w:t>
      </w:r>
      <w:r w:rsidR="000F2B9B" w:rsidRPr="006375BB">
        <w:rPr>
          <w:rFonts w:ascii="Times New Roman" w:hAnsi="Times New Roman" w:cs="Times New Roman"/>
        </w:rPr>
        <w:t>iestrādāt</w:t>
      </w:r>
      <w:r w:rsidRPr="006375BB">
        <w:rPr>
          <w:rFonts w:ascii="Times New Roman" w:hAnsi="Times New Roman" w:cs="Times New Roman"/>
        </w:rPr>
        <w:t xml:space="preserve"> </w:t>
      </w:r>
      <w:r w:rsidR="000F2B9B" w:rsidRPr="006375BB">
        <w:rPr>
          <w:rFonts w:ascii="Times New Roman" w:hAnsi="Times New Roman" w:cs="Times New Roman"/>
        </w:rPr>
        <w:t>augsnē</w:t>
      </w:r>
      <w:r w:rsidRPr="006375BB">
        <w:rPr>
          <w:rFonts w:ascii="Times New Roman" w:hAnsi="Times New Roman" w:cs="Times New Roman"/>
        </w:rPr>
        <w:t xml:space="preserve">. </w:t>
      </w:r>
      <w:r w:rsidR="000F2B9B" w:rsidRPr="006375BB">
        <w:rPr>
          <w:rFonts w:ascii="Times New Roman" w:hAnsi="Times New Roman" w:cs="Times New Roman"/>
        </w:rPr>
        <w:t>Notekūdeņu d</w:t>
      </w:r>
      <w:r w:rsidR="00393897" w:rsidRPr="006375BB">
        <w:rPr>
          <w:rFonts w:ascii="Times New Roman" w:hAnsi="Times New Roman" w:cs="Times New Roman"/>
        </w:rPr>
        <w:t>ūņu mezofīla anaeroba sadalīšana</w:t>
      </w:r>
      <w:r w:rsidRPr="006375BB">
        <w:rPr>
          <w:rFonts w:ascii="Times New Roman" w:hAnsi="Times New Roman" w:cs="Times New Roman"/>
        </w:rPr>
        <w:t xml:space="preserve"> būtiski samazina slēgtu </w:t>
      </w:r>
      <w:r w:rsidR="000F2B9B" w:rsidRPr="006375BB">
        <w:rPr>
          <w:rFonts w:ascii="Times New Roman" w:hAnsi="Times New Roman" w:cs="Times New Roman"/>
        </w:rPr>
        <w:t xml:space="preserve">notekūdeņu </w:t>
      </w:r>
      <w:r w:rsidRPr="006375BB">
        <w:rPr>
          <w:rFonts w:ascii="Times New Roman" w:hAnsi="Times New Roman" w:cs="Times New Roman"/>
        </w:rPr>
        <w:t>dūņu lauku platības un izbūves izmaksas</w:t>
      </w:r>
      <w:r w:rsidR="000F2B9B" w:rsidRPr="006375BB">
        <w:rPr>
          <w:rFonts w:ascii="Times New Roman" w:hAnsi="Times New Roman" w:cs="Times New Roman"/>
        </w:rPr>
        <w:t>,</w:t>
      </w:r>
      <w:r w:rsidRPr="006375BB">
        <w:rPr>
          <w:rFonts w:ascii="Times New Roman" w:hAnsi="Times New Roman" w:cs="Times New Roman"/>
        </w:rPr>
        <w:t xml:space="preserve"> salīdzinot ar alternatīvām C1 un C2. </w:t>
      </w:r>
    </w:p>
    <w:p w14:paraId="7CD6BBD2" w14:textId="62BA1CD7" w:rsidR="00A80590" w:rsidRPr="006375BB" w:rsidRDefault="000F2B9B" w:rsidP="00A80590">
      <w:pPr>
        <w:spacing w:before="120" w:after="120"/>
        <w:ind w:firstLine="720"/>
        <w:rPr>
          <w:rFonts w:ascii="Times New Roman" w:hAnsi="Times New Roman" w:cs="Times New Roman"/>
        </w:rPr>
      </w:pPr>
      <w:r w:rsidRPr="006375BB">
        <w:rPr>
          <w:rFonts w:ascii="Times New Roman" w:hAnsi="Times New Roman" w:cs="Times New Roman"/>
        </w:rPr>
        <w:t>Neskatoties uz alternatīvas priekšrocībām jāņem vērā, ka d</w:t>
      </w:r>
      <w:r w:rsidR="00A80590" w:rsidRPr="006375BB">
        <w:rPr>
          <w:rFonts w:ascii="Times New Roman" w:hAnsi="Times New Roman" w:cs="Times New Roman"/>
        </w:rPr>
        <w:t>igestāt</w:t>
      </w:r>
      <w:r w:rsidRPr="006375BB">
        <w:rPr>
          <w:rFonts w:ascii="Times New Roman" w:hAnsi="Times New Roman" w:cs="Times New Roman"/>
        </w:rPr>
        <w:t>a</w:t>
      </w:r>
      <w:r w:rsidR="00A80590" w:rsidRPr="006375BB">
        <w:rPr>
          <w:rFonts w:ascii="Times New Roman" w:hAnsi="Times New Roman" w:cs="Times New Roman"/>
        </w:rPr>
        <w:t xml:space="preserve"> atūdeņo</w:t>
      </w:r>
      <w:r w:rsidRPr="006375BB">
        <w:rPr>
          <w:rFonts w:ascii="Times New Roman" w:hAnsi="Times New Roman" w:cs="Times New Roman"/>
        </w:rPr>
        <w:t>šanas laikā</w:t>
      </w:r>
      <w:r w:rsidR="00A80590" w:rsidRPr="006375BB">
        <w:rPr>
          <w:rFonts w:ascii="Times New Roman" w:hAnsi="Times New Roman" w:cs="Times New Roman"/>
        </w:rPr>
        <w:t xml:space="preserve"> veidojas piesārņots ūdens - fugāts, ar ļoti </w:t>
      </w:r>
      <w:r w:rsidRPr="006375BB">
        <w:rPr>
          <w:rFonts w:ascii="Times New Roman" w:hAnsi="Times New Roman" w:cs="Times New Roman"/>
        </w:rPr>
        <w:t>augstu</w:t>
      </w:r>
      <w:r w:rsidR="00A80590" w:rsidRPr="006375BB">
        <w:rPr>
          <w:rFonts w:ascii="Times New Roman" w:hAnsi="Times New Roman" w:cs="Times New Roman"/>
        </w:rPr>
        <w:t xml:space="preserve"> slāpekļa un fosfora saturu. Šādu ūdeni dabā novadīt nav iespējams un ir </w:t>
      </w:r>
      <w:r w:rsidRPr="006375BB">
        <w:rPr>
          <w:rFonts w:ascii="Times New Roman" w:hAnsi="Times New Roman" w:cs="Times New Roman"/>
        </w:rPr>
        <w:t xml:space="preserve">jāveic tā </w:t>
      </w:r>
      <w:r w:rsidR="00A80590" w:rsidRPr="006375BB">
        <w:rPr>
          <w:rFonts w:ascii="Times New Roman" w:hAnsi="Times New Roman" w:cs="Times New Roman"/>
        </w:rPr>
        <w:t xml:space="preserve">papildus </w:t>
      </w:r>
      <w:r w:rsidRPr="006375BB">
        <w:rPr>
          <w:rFonts w:ascii="Times New Roman" w:hAnsi="Times New Roman" w:cs="Times New Roman"/>
        </w:rPr>
        <w:t>attīrīšana</w:t>
      </w:r>
      <w:r w:rsidR="00A80590" w:rsidRPr="006375BB">
        <w:rPr>
          <w:rFonts w:ascii="Times New Roman" w:hAnsi="Times New Roman" w:cs="Times New Roman"/>
        </w:rPr>
        <w:t xml:space="preserve">. </w:t>
      </w:r>
      <w:r w:rsidRPr="006375BB">
        <w:rPr>
          <w:rFonts w:ascii="Times New Roman" w:hAnsi="Times New Roman" w:cs="Times New Roman"/>
        </w:rPr>
        <w:t>Ērtākais fugāta</w:t>
      </w:r>
      <w:r w:rsidR="00A80590" w:rsidRPr="006375BB">
        <w:rPr>
          <w:rFonts w:ascii="Times New Roman" w:hAnsi="Times New Roman" w:cs="Times New Roman"/>
        </w:rPr>
        <w:t xml:space="preserve"> attīrīšanas veids </w:t>
      </w:r>
      <w:r w:rsidRPr="006375BB">
        <w:rPr>
          <w:rFonts w:ascii="Times New Roman" w:hAnsi="Times New Roman" w:cs="Times New Roman"/>
        </w:rPr>
        <w:t>būtu to</w:t>
      </w:r>
      <w:r w:rsidR="00A80590" w:rsidRPr="006375BB">
        <w:rPr>
          <w:rFonts w:ascii="Times New Roman" w:hAnsi="Times New Roman" w:cs="Times New Roman"/>
        </w:rPr>
        <w:t xml:space="preserve"> novadīt atpakaļ NAI, kas atrodas blakus biogāzes stacijai, atkārtotai bioloģiskai attīrīšana</w:t>
      </w:r>
      <w:r w:rsidRPr="006375BB">
        <w:rPr>
          <w:rFonts w:ascii="Times New Roman" w:hAnsi="Times New Roman" w:cs="Times New Roman"/>
        </w:rPr>
        <w:t>i, taču, ja</w:t>
      </w:r>
      <w:r w:rsidR="00A80590" w:rsidRPr="006375BB">
        <w:rPr>
          <w:rFonts w:ascii="Times New Roman" w:hAnsi="Times New Roman" w:cs="Times New Roman"/>
        </w:rPr>
        <w:t xml:space="preserve"> esošo NAI </w:t>
      </w:r>
      <w:r w:rsidRPr="006375BB">
        <w:rPr>
          <w:rFonts w:ascii="Times New Roman" w:hAnsi="Times New Roman" w:cs="Times New Roman"/>
        </w:rPr>
        <w:t xml:space="preserve">attīrīšanas </w:t>
      </w:r>
      <w:r w:rsidR="00A80590" w:rsidRPr="006375BB">
        <w:rPr>
          <w:rFonts w:ascii="Times New Roman" w:hAnsi="Times New Roman" w:cs="Times New Roman"/>
        </w:rPr>
        <w:t>jauda nav pietiekama, lai attīrītu papildus piesārņojuma apjomu, blakus biogāzes stacijai jā</w:t>
      </w:r>
      <w:r w:rsidRPr="006375BB">
        <w:rPr>
          <w:rFonts w:ascii="Times New Roman" w:hAnsi="Times New Roman" w:cs="Times New Roman"/>
        </w:rPr>
        <w:t>iz</w:t>
      </w:r>
      <w:r w:rsidR="00A80590" w:rsidRPr="006375BB">
        <w:rPr>
          <w:rFonts w:ascii="Times New Roman" w:hAnsi="Times New Roman" w:cs="Times New Roman"/>
        </w:rPr>
        <w:t xml:space="preserve">būvē atsevišķs bioloģisko NAI attīrīšanas bloks, tikai fugāta attīrīšanai. </w:t>
      </w:r>
      <w:sdt>
        <w:sdtPr>
          <w:rPr>
            <w:rFonts w:ascii="Times New Roman" w:hAnsi="Times New Roman" w:cs="Times New Roman"/>
          </w:rPr>
          <w:tag w:val="goog_rdk_63"/>
          <w:id w:val="1229108771"/>
        </w:sdtPr>
        <w:sdtContent/>
      </w:sdt>
      <w:r w:rsidRPr="006375BB">
        <w:rPr>
          <w:rFonts w:ascii="Times New Roman" w:hAnsi="Times New Roman" w:cs="Times New Roman"/>
        </w:rPr>
        <w:t>F</w:t>
      </w:r>
      <w:r w:rsidR="00A80590" w:rsidRPr="006375BB">
        <w:rPr>
          <w:rFonts w:ascii="Times New Roman" w:hAnsi="Times New Roman" w:cs="Times New Roman"/>
        </w:rPr>
        <w:t>ugāta ūdens attīrīšanas izmaksas ir ļoti augstas un pārsniedz biogāzes stacijas būvniecības un uzturēšanas izmaksas</w:t>
      </w:r>
      <w:r w:rsidR="003C279E">
        <w:rPr>
          <w:rFonts w:ascii="Times New Roman" w:hAnsi="Times New Roman" w:cs="Times New Roman"/>
        </w:rPr>
        <w:t>. M</w:t>
      </w:r>
      <w:r w:rsidR="00A80590" w:rsidRPr="006375BB">
        <w:rPr>
          <w:rFonts w:ascii="Times New Roman" w:hAnsi="Times New Roman" w:cs="Times New Roman"/>
        </w:rPr>
        <w:t xml:space="preserve">inēto izmaksu dēļ esošajās </w:t>
      </w:r>
      <w:r w:rsidRPr="006375BB">
        <w:rPr>
          <w:rFonts w:ascii="Times New Roman" w:hAnsi="Times New Roman" w:cs="Times New Roman"/>
        </w:rPr>
        <w:t xml:space="preserve">lauksaimniecības </w:t>
      </w:r>
      <w:r w:rsidR="00A80590" w:rsidRPr="006375BB">
        <w:rPr>
          <w:rFonts w:ascii="Times New Roman" w:hAnsi="Times New Roman" w:cs="Times New Roman"/>
        </w:rPr>
        <w:t>biogāzes stacijās digestāts netiek atūdeņots, bet t</w:t>
      </w:r>
      <w:r w:rsidRPr="006375BB">
        <w:rPr>
          <w:rFonts w:ascii="Times New Roman" w:hAnsi="Times New Roman" w:cs="Times New Roman"/>
        </w:rPr>
        <w:t>iek</w:t>
      </w:r>
      <w:r w:rsidR="00A80590" w:rsidRPr="006375BB">
        <w:rPr>
          <w:rFonts w:ascii="Times New Roman" w:hAnsi="Times New Roman" w:cs="Times New Roman"/>
        </w:rPr>
        <w:t xml:space="preserve"> izmanto</w:t>
      </w:r>
      <w:r w:rsidRPr="006375BB">
        <w:rPr>
          <w:rFonts w:ascii="Times New Roman" w:hAnsi="Times New Roman" w:cs="Times New Roman"/>
        </w:rPr>
        <w:t>ts</w:t>
      </w:r>
      <w:r w:rsidR="00A80590" w:rsidRPr="006375BB">
        <w:rPr>
          <w:rFonts w:ascii="Times New Roman" w:hAnsi="Times New Roman" w:cs="Times New Roman"/>
        </w:rPr>
        <w:t xml:space="preserve"> kā gala produkt</w:t>
      </w:r>
      <w:r w:rsidRPr="006375BB">
        <w:rPr>
          <w:rFonts w:ascii="Times New Roman" w:hAnsi="Times New Roman" w:cs="Times New Roman"/>
        </w:rPr>
        <w:t>s</w:t>
      </w:r>
      <w:r w:rsidR="00A80590" w:rsidRPr="006375BB">
        <w:rPr>
          <w:rFonts w:ascii="Times New Roman" w:hAnsi="Times New Roman" w:cs="Times New Roman"/>
        </w:rPr>
        <w:t xml:space="preserve"> un iestrādā</w:t>
      </w:r>
      <w:r w:rsidRPr="006375BB">
        <w:rPr>
          <w:rFonts w:ascii="Times New Roman" w:hAnsi="Times New Roman" w:cs="Times New Roman"/>
        </w:rPr>
        <w:t>ts</w:t>
      </w:r>
      <w:r w:rsidR="00A80590" w:rsidRPr="006375BB">
        <w:rPr>
          <w:rFonts w:ascii="Times New Roman" w:hAnsi="Times New Roman" w:cs="Times New Roman"/>
        </w:rPr>
        <w:t xml:space="preserve"> augsnē šķidrā veidā. </w:t>
      </w:r>
    </w:p>
    <w:p w14:paraId="6E7A06BA" w14:textId="18F13DA6" w:rsidR="00CD3F91" w:rsidRDefault="00A80590" w:rsidP="00037F8F">
      <w:pPr>
        <w:spacing w:after="0"/>
        <w:ind w:firstLine="720"/>
        <w:rPr>
          <w:rFonts w:ascii="Times New Roman" w:hAnsi="Times New Roman" w:cs="Times New Roman"/>
        </w:rPr>
      </w:pPr>
      <w:r w:rsidRPr="006375BB">
        <w:rPr>
          <w:rFonts w:ascii="Times New Roman" w:hAnsi="Times New Roman" w:cs="Times New Roman"/>
        </w:rPr>
        <w:t xml:space="preserve">Notekūdeņu dūņu pārstrāde lielās biogāzes stacijās sniedz ieņēmumus, kas ilgtermiņā sedz biogāzes stacijas izbūves izmaksas, taču sarežģītais digestāta utilizācijas process prasa lielus papildu izdevumus, kā rezultātā </w:t>
      </w:r>
      <w:r w:rsidR="000F2B9B" w:rsidRPr="006375BB">
        <w:rPr>
          <w:rFonts w:ascii="Times New Roman" w:hAnsi="Times New Roman" w:cs="Times New Roman"/>
        </w:rPr>
        <w:t xml:space="preserve">alternatīvā </w:t>
      </w:r>
      <w:r w:rsidRPr="006375BB">
        <w:rPr>
          <w:rFonts w:ascii="Times New Roman" w:hAnsi="Times New Roman" w:cs="Times New Roman"/>
        </w:rPr>
        <w:t>netiek sasniegts būtisks ekonomiskais efekts.</w:t>
      </w:r>
    </w:p>
    <w:p w14:paraId="79D6BF1A" w14:textId="3E6E3252" w:rsidR="00B431B1" w:rsidRDefault="00B431B1" w:rsidP="00037F8F">
      <w:pPr>
        <w:spacing w:after="0"/>
        <w:ind w:firstLine="720"/>
        <w:rPr>
          <w:rFonts w:ascii="Times New Roman" w:hAnsi="Times New Roman" w:cs="Times New Roman"/>
        </w:rPr>
      </w:pPr>
    </w:p>
    <w:p w14:paraId="248D4098" w14:textId="59F3C1A9" w:rsidR="00B431B1" w:rsidRDefault="00B431B1" w:rsidP="00037F8F">
      <w:pPr>
        <w:spacing w:after="0"/>
        <w:ind w:firstLine="720"/>
        <w:rPr>
          <w:rFonts w:ascii="Times New Roman" w:hAnsi="Times New Roman" w:cs="Times New Roman"/>
        </w:rPr>
      </w:pPr>
    </w:p>
    <w:p w14:paraId="7759644E" w14:textId="77777777" w:rsidR="00B431B1" w:rsidRDefault="00B431B1" w:rsidP="00037F8F">
      <w:pPr>
        <w:spacing w:after="0"/>
        <w:ind w:firstLine="720"/>
        <w:rPr>
          <w:rFonts w:ascii="Times New Roman" w:hAnsi="Times New Roman" w:cs="Times New Roman"/>
        </w:rPr>
      </w:pPr>
    </w:p>
    <w:p w14:paraId="172FF068" w14:textId="77777777" w:rsidR="00037F8F" w:rsidRPr="00037F8F" w:rsidRDefault="00037F8F" w:rsidP="00037F8F">
      <w:pPr>
        <w:spacing w:after="0"/>
        <w:ind w:firstLine="720"/>
        <w:rPr>
          <w:rFonts w:ascii="Times New Roman" w:hAnsi="Times New Roman" w:cs="Times New Roman"/>
        </w:rPr>
      </w:pPr>
    </w:p>
    <w:p w14:paraId="24A56B32" w14:textId="77777777" w:rsidR="00A80590" w:rsidRPr="00CD3F91" w:rsidRDefault="00286685" w:rsidP="00037F8F">
      <w:pPr>
        <w:spacing w:after="0"/>
        <w:jc w:val="center"/>
        <w:rPr>
          <w:rFonts w:ascii="Times New Roman" w:hAnsi="Times New Roman" w:cs="Times New Roman"/>
          <w:b/>
          <w:bCs/>
          <w:szCs w:val="24"/>
          <w:u w:val="single"/>
        </w:rPr>
      </w:pPr>
      <w:r w:rsidRPr="00CD3F91">
        <w:rPr>
          <w:rFonts w:ascii="Times New Roman" w:hAnsi="Times New Roman" w:cs="Times New Roman"/>
          <w:b/>
          <w:bCs/>
          <w:szCs w:val="24"/>
          <w:u w:val="single"/>
        </w:rPr>
        <w:lastRenderedPageBreak/>
        <w:t>Secinājumi par notekūdeņu dūņu pārstrādes alternatīvām</w:t>
      </w:r>
    </w:p>
    <w:p w14:paraId="559B54D2" w14:textId="77777777" w:rsidR="00037F8F" w:rsidRDefault="00037F8F" w:rsidP="00037F8F">
      <w:pPr>
        <w:spacing w:after="0"/>
        <w:ind w:firstLine="720"/>
        <w:rPr>
          <w:rFonts w:ascii="Times New Roman" w:hAnsi="Times New Roman" w:cs="Times New Roman"/>
        </w:rPr>
      </w:pPr>
    </w:p>
    <w:p w14:paraId="418CFE3B" w14:textId="65ED246D" w:rsidR="00D172A4" w:rsidRPr="007D282A" w:rsidRDefault="002523AE" w:rsidP="00037F8F">
      <w:pPr>
        <w:spacing w:after="0"/>
        <w:ind w:firstLine="720"/>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59" behindDoc="0" locked="0" layoutInCell="1" hidden="0" allowOverlap="1" wp14:anchorId="497BBD50" wp14:editId="4EAB5471">
                <wp:simplePos x="0" y="0"/>
                <wp:positionH relativeFrom="margin">
                  <wp:align>right</wp:align>
                </wp:positionH>
                <wp:positionV relativeFrom="paragraph">
                  <wp:posOffset>453390</wp:posOffset>
                </wp:positionV>
                <wp:extent cx="5372735" cy="1247775"/>
                <wp:effectExtent l="19050" t="19050" r="18415" b="28575"/>
                <wp:wrapSquare wrapText="bothSides" distT="45720" distB="45720" distL="114300" distR="11430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247775"/>
                        </a:xfrm>
                        <a:prstGeom prst="rect">
                          <a:avLst/>
                        </a:prstGeom>
                        <a:solidFill>
                          <a:srgbClr val="FFFFFF"/>
                        </a:solidFill>
                        <a:ln w="38100">
                          <a:solidFill>
                            <a:srgbClr val="FFC000"/>
                          </a:solidFill>
                          <a:miter lim="800000"/>
                          <a:headEnd/>
                          <a:tailEnd/>
                        </a:ln>
                      </wps:spPr>
                      <wps:txbx>
                        <w:txbxContent>
                          <w:p w14:paraId="36435D86" w14:textId="6CB34749" w:rsidR="00D172A4" w:rsidRPr="00D172A4" w:rsidRDefault="00D172A4" w:rsidP="00D172A4">
                            <w:pPr>
                              <w:spacing w:before="120" w:after="120"/>
                              <w:rPr>
                                <w:rFonts w:ascii="Times New Roman" w:hAnsi="Times New Roman" w:cs="Times New Roman"/>
                                <w:b/>
                                <w:iCs/>
                                <w:color w:val="1F4E79" w:themeColor="accent1" w:themeShade="80"/>
                              </w:rPr>
                            </w:pPr>
                            <w:r w:rsidRPr="00D172A4">
                              <w:rPr>
                                <w:rFonts w:ascii="Times New Roman" w:hAnsi="Times New Roman" w:cs="Times New Roman"/>
                                <w:b/>
                                <w:iCs/>
                                <w:color w:val="1F4E79" w:themeColor="accent1" w:themeShade="80"/>
                              </w:rPr>
                              <w:t xml:space="preserve">Būtiski labāki un tehniski vienkāršāki notekūdeņu dūņu pārstrādes risinājumi ir mehāniski atūdeņotu dūņu izturēšana 12 mēnešus (aukstā fermentācija) un notekūdeņu dūņu kompostēšana. Šāda notekūdeņu dūņu pārstrāde veicina otrreizējo izejmateriālu un blakusproduktu vienoto tirgu un veicina notekūdeņu dūņās esošo augu </w:t>
                            </w:r>
                            <w:r w:rsidR="00344D87">
                              <w:rPr>
                                <w:rFonts w:ascii="Times New Roman" w:hAnsi="Times New Roman" w:cs="Times New Roman"/>
                                <w:b/>
                                <w:iCs/>
                                <w:color w:val="1F4E79" w:themeColor="accent1" w:themeShade="80"/>
                              </w:rPr>
                              <w:t>barības vielu</w:t>
                            </w:r>
                            <w:r w:rsidRPr="00D172A4">
                              <w:rPr>
                                <w:rFonts w:ascii="Times New Roman" w:hAnsi="Times New Roman" w:cs="Times New Roman"/>
                                <w:b/>
                                <w:iCs/>
                                <w:color w:val="1F4E79" w:themeColor="accent1" w:themeShade="80"/>
                              </w:rPr>
                              <w:t xml:space="preserve"> atkārtotu izmantošanu.</w:t>
                            </w:r>
                          </w:p>
                          <w:p w14:paraId="3C91890C" w14:textId="77777777" w:rsidR="00D172A4" w:rsidRPr="00B7479D" w:rsidRDefault="00D172A4" w:rsidP="00D172A4">
                            <w:pPr>
                              <w:spacing w:after="120"/>
                              <w:rPr>
                                <w:rFonts w:ascii="Times New Roman" w:eastAsia="Calibri" w:hAnsi="Times New Roman" w:cs="Times New Roman"/>
                                <w:iCs/>
                                <w:color w:val="1F4E79" w:themeColor="accent1" w:themeShade="80"/>
                                <w:sz w:val="28"/>
                                <w:lang w:eastAsia="lv-LV"/>
                              </w:rPr>
                            </w:pPr>
                          </w:p>
                          <w:p w14:paraId="3841EF17" w14:textId="77777777" w:rsidR="00D172A4" w:rsidRPr="007E349D" w:rsidRDefault="00D172A4" w:rsidP="00D172A4">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BBD50" id="Text Box 2" o:spid="_x0000_s1035" type="#_x0000_t202" style="position:absolute;left:0;text-align:left;margin-left:371.85pt;margin-top:35.7pt;width:423.05pt;height:98.25pt;z-index:25165825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" strokecolor="#ffc000" strokeweight="3pt">
                <v:textbox>
                  <w:txbxContent>
                    <w:p w14:paraId="36435D86" w14:textId="6CB34749" w:rsidR="00D172A4" w:rsidRPr="00D172A4" w:rsidRDefault="00D172A4" w:rsidP="00D172A4">
                      <w:pPr>
                        <w:spacing w:before="120" w:after="120"/>
                        <w:rPr>
                          <w:rFonts w:ascii="Times New Roman" w:hAnsi="Times New Roman" w:cs="Times New Roman"/>
                          <w:b/>
                          <w:iCs/>
                          <w:color w:val="1F4E79" w:themeColor="accent1" w:themeShade="80"/>
                        </w:rPr>
                      </w:pPr>
                      <w:r w:rsidRPr="00D172A4">
                        <w:rPr>
                          <w:rFonts w:ascii="Times New Roman" w:hAnsi="Times New Roman" w:cs="Times New Roman"/>
                          <w:b/>
                          <w:iCs/>
                          <w:color w:val="1F4E79" w:themeColor="accent1" w:themeShade="80"/>
                        </w:rPr>
                        <w:t xml:space="preserve">Būtiski labāki un tehniski vienkāršāki notekūdeņu dūņu pārstrādes risinājumi ir mehāniski atūdeņotu dūņu izturēšana 12 mēnešus (aukstā fermentācija) un notekūdeņu dūņu kompostēšana. Šāda notekūdeņu dūņu pārstrāde veicina otrreizējo izejmateriālu un blakusproduktu vienoto tirgu un veicina notekūdeņu dūņās esošo augu </w:t>
                      </w:r>
                      <w:r w:rsidR="00344D87">
                        <w:rPr>
                          <w:rFonts w:ascii="Times New Roman" w:hAnsi="Times New Roman" w:cs="Times New Roman"/>
                          <w:b/>
                          <w:iCs/>
                          <w:color w:val="1F4E79" w:themeColor="accent1" w:themeShade="80"/>
                        </w:rPr>
                        <w:t>barības vielu</w:t>
                      </w:r>
                      <w:r w:rsidRPr="00D172A4">
                        <w:rPr>
                          <w:rFonts w:ascii="Times New Roman" w:hAnsi="Times New Roman" w:cs="Times New Roman"/>
                          <w:b/>
                          <w:iCs/>
                          <w:color w:val="1F4E79" w:themeColor="accent1" w:themeShade="80"/>
                        </w:rPr>
                        <w:t xml:space="preserve"> atkārtotu izmantošanu.</w:t>
                      </w:r>
                    </w:p>
                    <w:p w14:paraId="3C91890C" w14:textId="77777777" w:rsidR="00D172A4" w:rsidRPr="00B7479D" w:rsidRDefault="00D172A4" w:rsidP="00D172A4">
                      <w:pPr>
                        <w:spacing w:after="120"/>
                        <w:rPr>
                          <w:rFonts w:ascii="Times New Roman" w:eastAsia="Calibri" w:hAnsi="Times New Roman" w:cs="Times New Roman"/>
                          <w:iCs/>
                          <w:color w:val="1F4E79" w:themeColor="accent1" w:themeShade="80"/>
                          <w:sz w:val="28"/>
                          <w:lang w:eastAsia="lv-LV"/>
                        </w:rPr>
                      </w:pPr>
                    </w:p>
                    <w:p w14:paraId="3841EF17" w14:textId="77777777" w:rsidR="00D172A4" w:rsidRPr="007E349D" w:rsidRDefault="00D172A4" w:rsidP="00D172A4">
                      <w:pPr>
                        <w:rPr>
                          <w:rFonts w:ascii="Times New Roman" w:hAnsi="Times New Roman" w:cs="Times New Roman"/>
                          <w:b/>
                          <w:bCs/>
                          <w:color w:val="44546A" w:themeColor="text2"/>
                        </w:rPr>
                      </w:pPr>
                    </w:p>
                  </w:txbxContent>
                </v:textbox>
                <w10:wrap type="square" anchorx="margin"/>
              </v:shape>
            </w:pict>
          </mc:Fallback>
        </mc:AlternateContent>
      </w:r>
      <w:r w:rsidR="00286685" w:rsidRPr="00CD3F91">
        <w:rPr>
          <w:rFonts w:ascii="Times New Roman" w:hAnsi="Times New Roman" w:cs="Times New Roman"/>
        </w:rPr>
        <w:t>Notekūdeņu dūņu pārstrādē ir apskatīti risinājumi, kas nodrošina iegūtā produkta izmantošanu augsnes bagātināšanai.</w:t>
      </w:r>
    </w:p>
    <w:p w14:paraId="2AB65CAF" w14:textId="61C9A606" w:rsidR="00154DD6" w:rsidRPr="002523AE" w:rsidRDefault="00154DD6" w:rsidP="00154DD6">
      <w:pPr>
        <w:spacing w:before="120" w:after="120"/>
        <w:ind w:firstLine="720"/>
        <w:rPr>
          <w:rFonts w:ascii="Times New Roman" w:eastAsia="Calibri" w:hAnsi="Times New Roman" w:cs="Times New Roman"/>
          <w:lang w:eastAsia="lv-LV"/>
        </w:rPr>
      </w:pPr>
      <w:r w:rsidRPr="002523AE">
        <w:rPr>
          <w:rFonts w:ascii="Times New Roman" w:eastAsia="Calibri" w:hAnsi="Times New Roman" w:cs="Times New Roman"/>
          <w:lang w:eastAsia="lv-LV"/>
        </w:rPr>
        <w:t>Risinājums par</w:t>
      </w:r>
      <w:r w:rsidR="00942C04" w:rsidRPr="002523AE">
        <w:rPr>
          <w:rFonts w:ascii="Times New Roman" w:eastAsia="Calibri" w:hAnsi="Times New Roman" w:cs="Times New Roman"/>
          <w:lang w:eastAsia="lv-LV"/>
        </w:rPr>
        <w:t xml:space="preserve"> </w:t>
      </w:r>
      <w:r w:rsidR="00942C04" w:rsidRPr="002523AE">
        <w:rPr>
          <w:rFonts w:ascii="Times New Roman" w:hAnsi="Times New Roman" w:cs="Times New Roman"/>
        </w:rPr>
        <w:t>notekūdeņu</w:t>
      </w:r>
      <w:r w:rsidRPr="002523AE">
        <w:rPr>
          <w:rFonts w:ascii="Times New Roman" w:eastAsia="Calibri" w:hAnsi="Times New Roman" w:cs="Times New Roman"/>
          <w:lang w:eastAsia="lv-LV"/>
        </w:rPr>
        <w:t xml:space="preserve"> dūņu mezof</w:t>
      </w:r>
      <w:r w:rsidR="00B431B1">
        <w:rPr>
          <w:rFonts w:ascii="Times New Roman" w:eastAsia="Calibri" w:hAnsi="Times New Roman" w:cs="Times New Roman"/>
          <w:lang w:eastAsia="lv-LV"/>
        </w:rPr>
        <w:t>i</w:t>
      </w:r>
      <w:r w:rsidRPr="002523AE">
        <w:rPr>
          <w:rFonts w:ascii="Times New Roman" w:eastAsia="Calibri" w:hAnsi="Times New Roman" w:cs="Times New Roman"/>
          <w:lang w:eastAsia="lv-LV"/>
        </w:rPr>
        <w:t xml:space="preserve">lu anaerobu pārstrādi var tikt </w:t>
      </w:r>
      <w:r w:rsidR="00942C04" w:rsidRPr="002523AE">
        <w:rPr>
          <w:rFonts w:ascii="Times New Roman" w:eastAsia="Calibri" w:hAnsi="Times New Roman" w:cs="Times New Roman"/>
          <w:lang w:eastAsia="lv-LV"/>
        </w:rPr>
        <w:t>izmantots lokāli</w:t>
      </w:r>
      <w:r w:rsidRPr="002523AE">
        <w:rPr>
          <w:rFonts w:ascii="Times New Roman" w:eastAsia="Calibri" w:hAnsi="Times New Roman" w:cs="Times New Roman"/>
          <w:lang w:eastAsia="lv-LV"/>
        </w:rPr>
        <w:t xml:space="preserve"> vietās, kur tiek rasti efektīvi digestāta izmantošanas risinājumi. Lai arī </w:t>
      </w:r>
      <w:r w:rsidR="00942C04" w:rsidRPr="002523AE">
        <w:rPr>
          <w:rFonts w:ascii="Times New Roman" w:hAnsi="Times New Roman" w:cs="Times New Roman"/>
        </w:rPr>
        <w:t xml:space="preserve">notekūdeņu </w:t>
      </w:r>
      <w:r w:rsidRPr="002523AE">
        <w:rPr>
          <w:rFonts w:ascii="Times New Roman" w:eastAsia="Calibri" w:hAnsi="Times New Roman" w:cs="Times New Roman"/>
          <w:lang w:eastAsia="lv-LV"/>
        </w:rPr>
        <w:t xml:space="preserve">dūņu </w:t>
      </w:r>
      <w:r w:rsidR="00B431B1" w:rsidRPr="002523AE">
        <w:rPr>
          <w:rFonts w:ascii="Times New Roman" w:eastAsia="Calibri" w:hAnsi="Times New Roman" w:cs="Times New Roman"/>
          <w:lang w:eastAsia="lv-LV"/>
        </w:rPr>
        <w:t>mezofilā</w:t>
      </w:r>
      <w:r w:rsidRPr="002523AE">
        <w:rPr>
          <w:rFonts w:ascii="Times New Roman" w:eastAsia="Calibri" w:hAnsi="Times New Roman" w:cs="Times New Roman"/>
          <w:lang w:eastAsia="lv-LV"/>
        </w:rPr>
        <w:t xml:space="preserve"> anaerobā pārstrāde pēc vairākiem salīdzinošiem kritērijiem tiek vērtēta sliktāk, tomēr līdzšinējā lauksaimnieku organizāciju pieredze liecina, ka pie konkrētiem apstākļiem tas var būt ļoti </w:t>
      </w:r>
      <w:r w:rsidR="00942C04" w:rsidRPr="002523AE">
        <w:rPr>
          <w:rFonts w:ascii="Times New Roman" w:eastAsia="Calibri" w:hAnsi="Times New Roman" w:cs="Times New Roman"/>
          <w:lang w:eastAsia="lv-LV"/>
        </w:rPr>
        <w:t>efektīvs notekūdeņu</w:t>
      </w:r>
      <w:r w:rsidRPr="002523AE">
        <w:rPr>
          <w:rFonts w:ascii="Times New Roman" w:eastAsia="Calibri" w:hAnsi="Times New Roman" w:cs="Times New Roman"/>
          <w:lang w:eastAsia="lv-LV"/>
        </w:rPr>
        <w:t xml:space="preserve"> dūņu pārstrādes veids, īpaši gadījumos, kad iegūto digestātu ir iespējams izkliedēt šķidrā veidā tuvu biogāzes stacijai</w:t>
      </w:r>
      <w:r w:rsidR="00942C04" w:rsidRPr="002523AE">
        <w:rPr>
          <w:rFonts w:ascii="Times New Roman" w:eastAsia="Calibri" w:hAnsi="Times New Roman" w:cs="Times New Roman"/>
          <w:lang w:eastAsia="lv-LV"/>
        </w:rPr>
        <w:t>.</w:t>
      </w:r>
    </w:p>
    <w:p w14:paraId="310E6710" w14:textId="035323EE" w:rsidR="00154DD6" w:rsidRPr="002523AE" w:rsidRDefault="00154DD6" w:rsidP="00154DD6">
      <w:pPr>
        <w:spacing w:before="120" w:after="120"/>
        <w:ind w:firstLine="720"/>
        <w:rPr>
          <w:rFonts w:ascii="Times New Roman" w:eastAsia="Calibri" w:hAnsi="Times New Roman" w:cs="Times New Roman"/>
          <w:lang w:eastAsia="lv-LV"/>
        </w:rPr>
      </w:pPr>
      <w:r w:rsidRPr="002523AE">
        <w:rPr>
          <w:rFonts w:ascii="Times New Roman" w:eastAsia="Calibri" w:hAnsi="Times New Roman" w:cs="Times New Roman"/>
          <w:lang w:eastAsia="lv-LV"/>
        </w:rPr>
        <w:t xml:space="preserve">Visas norādītās </w:t>
      </w:r>
      <w:r w:rsidR="00942C04" w:rsidRPr="002523AE">
        <w:rPr>
          <w:rFonts w:ascii="Times New Roman" w:hAnsi="Times New Roman" w:cs="Times New Roman"/>
        </w:rPr>
        <w:t xml:space="preserve">notekūdeņu </w:t>
      </w:r>
      <w:r w:rsidRPr="002523AE">
        <w:rPr>
          <w:rFonts w:ascii="Times New Roman" w:eastAsia="Calibri" w:hAnsi="Times New Roman" w:cs="Times New Roman"/>
          <w:lang w:eastAsia="lv-LV"/>
        </w:rPr>
        <w:t>dūņu pārstrādes metodes jau šobrīd ir atbilstošas, bieži izmantotas un paredzēta</w:t>
      </w:r>
      <w:r w:rsidR="00942C04" w:rsidRPr="002523AE">
        <w:rPr>
          <w:rFonts w:ascii="Times New Roman" w:eastAsia="Calibri" w:hAnsi="Times New Roman" w:cs="Times New Roman"/>
          <w:lang w:eastAsia="lv-LV"/>
        </w:rPr>
        <w:t>s</w:t>
      </w:r>
      <w:r w:rsidRPr="002523AE">
        <w:rPr>
          <w:rFonts w:ascii="Times New Roman" w:eastAsia="Calibri" w:hAnsi="Times New Roman" w:cs="Times New Roman"/>
          <w:lang w:eastAsia="lv-LV"/>
        </w:rPr>
        <w:t xml:space="preserve"> nacionālajos normatīvajos aktos par notekūdeņu dūņu apsaimniekošanu.</w:t>
      </w:r>
    </w:p>
    <w:p w14:paraId="2CF9C822" w14:textId="77777777" w:rsidR="007A2F0C" w:rsidRDefault="00154DD6" w:rsidP="004A1E83">
      <w:pPr>
        <w:spacing w:after="0"/>
        <w:ind w:firstLine="720"/>
        <w:rPr>
          <w:rFonts w:ascii="Times New Roman" w:eastAsia="Calibri" w:hAnsi="Times New Roman" w:cs="Times New Roman"/>
          <w:lang w:eastAsia="lv-LV"/>
        </w:rPr>
      </w:pPr>
      <w:r w:rsidRPr="002523AE">
        <w:rPr>
          <w:rFonts w:ascii="Times New Roman" w:eastAsia="Calibri" w:hAnsi="Times New Roman" w:cs="Times New Roman"/>
          <w:lang w:eastAsia="lv-LV"/>
        </w:rPr>
        <w:t xml:space="preserve">Stratēģijas izstrādes laikā konstatēts, ka nav veikti pietiekami detalizēti zinātniski pētījumi par dažādo notekūdeņu dūņu pārstrādes metožu ietekmi uz notekūdeņu dūņu sastāvā esošajām vielām un to izmaiņām. Veicot atbilstošus pētījumus būtu iespējams uzlabot piedāvātās </w:t>
      </w:r>
      <w:r w:rsidR="00942C04" w:rsidRPr="002523AE">
        <w:rPr>
          <w:rFonts w:ascii="Times New Roman" w:hAnsi="Times New Roman" w:cs="Times New Roman"/>
        </w:rPr>
        <w:t xml:space="preserve">notekūdeņu </w:t>
      </w:r>
      <w:r w:rsidRPr="002523AE">
        <w:rPr>
          <w:rFonts w:ascii="Times New Roman" w:eastAsia="Calibri" w:hAnsi="Times New Roman" w:cs="Times New Roman"/>
          <w:lang w:eastAsia="lv-LV"/>
        </w:rPr>
        <w:t xml:space="preserve">dūņu apstrādes metodes, gan uzlabojot </w:t>
      </w:r>
      <w:r w:rsidR="00942C04" w:rsidRPr="002523AE">
        <w:rPr>
          <w:rFonts w:ascii="Times New Roman" w:eastAsia="Calibri" w:hAnsi="Times New Roman" w:cs="Times New Roman"/>
          <w:lang w:eastAsia="lv-LV"/>
        </w:rPr>
        <w:t>to</w:t>
      </w:r>
      <w:r w:rsidRPr="002523AE">
        <w:rPr>
          <w:rFonts w:ascii="Times New Roman" w:eastAsia="Calibri" w:hAnsi="Times New Roman" w:cs="Times New Roman"/>
          <w:lang w:eastAsia="lv-LV"/>
        </w:rPr>
        <w:t xml:space="preserve"> pārstrādes procesu aprakstus, gan ieviešot papildus risinājumus, kas iespējams mainītu pārstrādātu </w:t>
      </w:r>
      <w:r w:rsidR="00942C04" w:rsidRPr="002523AE">
        <w:rPr>
          <w:rFonts w:ascii="Times New Roman" w:hAnsi="Times New Roman" w:cs="Times New Roman"/>
        </w:rPr>
        <w:t xml:space="preserve">notekūdeņu </w:t>
      </w:r>
      <w:r w:rsidRPr="002523AE">
        <w:rPr>
          <w:rFonts w:ascii="Times New Roman" w:eastAsia="Calibri" w:hAnsi="Times New Roman" w:cs="Times New Roman"/>
          <w:lang w:eastAsia="lv-LV"/>
        </w:rPr>
        <w:t>dūņu sastāvu un nodrošinātu atbilstošāku to utilizāciju un ietekmes efektivitāti iestrādājot augsnē.</w:t>
      </w:r>
      <w:bookmarkStart w:id="36" w:name="_Toc82430159"/>
    </w:p>
    <w:p w14:paraId="592DA3D1" w14:textId="1288F7C7" w:rsidR="008D5138" w:rsidRDefault="000E2EFD" w:rsidP="004A1E83">
      <w:pPr>
        <w:spacing w:after="0"/>
        <w:ind w:firstLine="720"/>
        <w:rPr>
          <w:rFonts w:ascii="Times New Roman" w:eastAsia="Calibri" w:hAnsi="Times New Roman" w:cs="Times New Roman"/>
          <w:lang w:eastAsia="lv-LV"/>
        </w:rPr>
        <w:sectPr w:rsidR="008D5138" w:rsidSect="007E349D">
          <w:pgSz w:w="11906" w:h="16838"/>
          <w:pgMar w:top="1134" w:right="1701" w:bottom="1134" w:left="1701" w:header="708" w:footer="708" w:gutter="0"/>
          <w:cols w:space="708"/>
          <w:docGrid w:linePitch="360"/>
        </w:sectPr>
      </w:pPr>
      <w:r>
        <w:rPr>
          <w:rFonts w:ascii="Times New Roman" w:eastAsia="Calibri" w:hAnsi="Times New Roman" w:cs="Times New Roman"/>
          <w:szCs w:val="24"/>
          <w:lang w:eastAsia="lv-LV"/>
        </w:rPr>
        <w:t>Notekūdeņu</w:t>
      </w:r>
      <w:r w:rsidR="00A35A04">
        <w:rPr>
          <w:rFonts w:ascii="Times New Roman" w:eastAsia="Calibri" w:hAnsi="Times New Roman" w:cs="Times New Roman"/>
          <w:szCs w:val="24"/>
          <w:lang w:eastAsia="lv-LV"/>
        </w:rPr>
        <w:t xml:space="preserve"> dūņu pārstrādes alternatīvu</w:t>
      </w:r>
      <w:r w:rsidR="008D5138">
        <w:rPr>
          <w:rFonts w:ascii="Times New Roman" w:eastAsia="Calibri" w:hAnsi="Times New Roman" w:cs="Times New Roman"/>
          <w:szCs w:val="24"/>
          <w:lang w:eastAsia="lv-LV"/>
        </w:rPr>
        <w:t xml:space="preserve"> C </w:t>
      </w:r>
      <w:r w:rsidR="008D5138" w:rsidRPr="006D0B3A">
        <w:rPr>
          <w:rFonts w:ascii="Times New Roman" w:eastAsia="Calibri" w:hAnsi="Times New Roman" w:cs="Times New Roman"/>
          <w:szCs w:val="24"/>
          <w:lang w:eastAsia="lv-LV"/>
        </w:rPr>
        <w:t xml:space="preserve">izvērtējums </w:t>
      </w:r>
      <w:r w:rsidR="008D5138" w:rsidRPr="00892F5A">
        <w:rPr>
          <w:rFonts w:ascii="Times New Roman" w:eastAsia="Calibri" w:hAnsi="Times New Roman" w:cs="Times New Roman"/>
          <w:szCs w:val="24"/>
          <w:lang w:eastAsia="lv-LV"/>
        </w:rPr>
        <w:t xml:space="preserve">apkopots </w:t>
      </w:r>
      <w:r w:rsidR="00892F5A" w:rsidRPr="00892F5A">
        <w:rPr>
          <w:rFonts w:ascii="Times New Roman" w:eastAsia="Calibri" w:hAnsi="Times New Roman" w:cs="Times New Roman"/>
          <w:szCs w:val="24"/>
          <w:lang w:eastAsia="lv-LV"/>
        </w:rPr>
        <w:t>3.1.4</w:t>
      </w:r>
      <w:r w:rsidR="008D5138" w:rsidRPr="00892F5A">
        <w:rPr>
          <w:rFonts w:ascii="Times New Roman" w:eastAsia="Calibri" w:hAnsi="Times New Roman" w:cs="Times New Roman"/>
          <w:szCs w:val="24"/>
          <w:lang w:eastAsia="lv-LV"/>
        </w:rPr>
        <w:t>.attēlā.</w:t>
      </w:r>
      <w:r w:rsidR="008D5138">
        <w:rPr>
          <w:rFonts w:ascii="Times New Roman" w:eastAsia="Calibri" w:hAnsi="Times New Roman" w:cs="Times New Roman"/>
          <w:szCs w:val="24"/>
          <w:lang w:eastAsia="lv-LV"/>
        </w:rPr>
        <w:t xml:space="preserve"> </w:t>
      </w:r>
    </w:p>
    <w:p w14:paraId="15D859E9" w14:textId="27CD13CF" w:rsidR="007A2F0C" w:rsidRDefault="001360BD" w:rsidP="004A1E83">
      <w:pPr>
        <w:spacing w:after="0"/>
        <w:ind w:firstLine="720"/>
        <w:rPr>
          <w:rFonts w:ascii="Times New Roman" w:eastAsia="Calibri" w:hAnsi="Times New Roman" w:cs="Times New Roman"/>
          <w:lang w:eastAsia="lv-LV"/>
        </w:rPr>
      </w:pPr>
      <w:r>
        <w:rPr>
          <w:noProof/>
        </w:rPr>
        <w:lastRenderedPageBreak/>
        <w:drawing>
          <wp:inline distT="0" distB="0" distL="0" distR="0" wp14:anchorId="017DA30D" wp14:editId="4BE4DBB3">
            <wp:extent cx="8863120" cy="4848225"/>
            <wp:effectExtent l="0" t="0" r="0" b="0"/>
            <wp:docPr id="258" name="Picture 25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descr="Timeline&#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67580" cy="4850665"/>
                    </a:xfrm>
                    <a:prstGeom prst="rect">
                      <a:avLst/>
                    </a:prstGeom>
                    <a:noFill/>
                  </pic:spPr>
                </pic:pic>
              </a:graphicData>
            </a:graphic>
          </wp:inline>
        </w:drawing>
      </w:r>
    </w:p>
    <w:p w14:paraId="5447FF3A" w14:textId="61E5B169" w:rsidR="007A2F0C" w:rsidRDefault="003D1529" w:rsidP="004A1E83">
      <w:pPr>
        <w:spacing w:after="0"/>
        <w:ind w:firstLine="720"/>
        <w:rPr>
          <w:rFonts w:ascii="Times New Roman" w:eastAsia="Calibri" w:hAnsi="Times New Roman" w:cs="Times New Roman"/>
          <w:lang w:eastAsia="lv-LV"/>
        </w:rPr>
      </w:pPr>
      <w:r>
        <w:rPr>
          <w:b/>
          <w:noProof/>
          <w:lang w:eastAsia="lv-LV"/>
        </w:rPr>
        <mc:AlternateContent>
          <mc:Choice Requires="wps">
            <w:drawing>
              <wp:anchor distT="0" distB="0" distL="114300" distR="114300" simplePos="0" relativeHeight="251658264" behindDoc="0" locked="0" layoutInCell="1" allowOverlap="1" wp14:anchorId="389EED44" wp14:editId="65D73F1F">
                <wp:simplePos x="0" y="0"/>
                <wp:positionH relativeFrom="margin">
                  <wp:align>center</wp:align>
                </wp:positionH>
                <wp:positionV relativeFrom="paragraph">
                  <wp:posOffset>4445</wp:posOffset>
                </wp:positionV>
                <wp:extent cx="7729855" cy="323850"/>
                <wp:effectExtent l="0" t="0" r="4445" b="0"/>
                <wp:wrapNone/>
                <wp:docPr id="264" name="Text Box 264"/>
                <wp:cNvGraphicFramePr/>
                <a:graphic xmlns:a="http://schemas.openxmlformats.org/drawingml/2006/main">
                  <a:graphicData uri="http://schemas.microsoft.com/office/word/2010/wordprocessingShape">
                    <wps:wsp>
                      <wps:cNvSpPr txBox="1"/>
                      <wps:spPr>
                        <a:xfrm>
                          <a:off x="0" y="0"/>
                          <a:ext cx="7729855" cy="323850"/>
                        </a:xfrm>
                        <a:prstGeom prst="rect">
                          <a:avLst/>
                        </a:prstGeom>
                        <a:solidFill>
                          <a:sysClr val="window" lastClr="FFFFFF"/>
                        </a:solidFill>
                        <a:ln w="6350">
                          <a:noFill/>
                        </a:ln>
                        <a:effectLst/>
                      </wps:spPr>
                      <wps:txbx>
                        <w:txbxContent>
                          <w:p w14:paraId="675E376B" w14:textId="0D586A7C" w:rsidR="003D1529" w:rsidRPr="005F28F0" w:rsidRDefault="00892F5A" w:rsidP="003D1529">
                            <w:pPr>
                              <w:jc w:val="center"/>
                              <w:rPr>
                                <w:rFonts w:ascii="Times New Roman" w:hAnsi="Times New Roman" w:cs="Times New Roman"/>
                                <w:b/>
                                <w:iCs/>
                                <w:szCs w:val="24"/>
                              </w:rPr>
                            </w:pPr>
                            <w:r w:rsidRPr="00892F5A">
                              <w:rPr>
                                <w:rFonts w:ascii="Times New Roman" w:hAnsi="Times New Roman" w:cs="Times New Roman"/>
                                <w:b/>
                                <w:bCs/>
                                <w:iCs/>
                                <w:szCs w:val="24"/>
                              </w:rPr>
                              <w:t>3.</w:t>
                            </w:r>
                            <w:r w:rsidR="003D1529" w:rsidRPr="00892F5A">
                              <w:rPr>
                                <w:rFonts w:ascii="Times New Roman" w:hAnsi="Times New Roman" w:cs="Times New Roman"/>
                                <w:b/>
                                <w:bCs/>
                                <w:iCs/>
                                <w:szCs w:val="24"/>
                              </w:rPr>
                              <w:t>1</w:t>
                            </w:r>
                            <w:r w:rsidRPr="00892F5A">
                              <w:rPr>
                                <w:rFonts w:ascii="Times New Roman" w:hAnsi="Times New Roman" w:cs="Times New Roman"/>
                                <w:b/>
                                <w:bCs/>
                                <w:iCs/>
                                <w:szCs w:val="24"/>
                              </w:rPr>
                              <w:t>.4</w:t>
                            </w:r>
                            <w:r w:rsidR="003D1529" w:rsidRPr="00892F5A">
                              <w:rPr>
                                <w:rFonts w:ascii="Times New Roman" w:hAnsi="Times New Roman" w:cs="Times New Roman"/>
                                <w:b/>
                                <w:bCs/>
                                <w:iCs/>
                                <w:szCs w:val="24"/>
                              </w:rPr>
                              <w:t>.attēls.</w:t>
                            </w:r>
                            <w:r w:rsidR="003D1529" w:rsidRPr="00892F5A">
                              <w:rPr>
                                <w:rFonts w:ascii="Times New Roman" w:hAnsi="Times New Roman" w:cs="Times New Roman"/>
                                <w:iCs/>
                                <w:szCs w:val="24"/>
                              </w:rPr>
                              <w:t xml:space="preserve"> Alternatīvu</w:t>
                            </w:r>
                            <w:r w:rsidR="003D1529" w:rsidRPr="005F28F0">
                              <w:rPr>
                                <w:rFonts w:ascii="Times New Roman" w:hAnsi="Times New Roman" w:cs="Times New Roman"/>
                                <w:iCs/>
                                <w:szCs w:val="24"/>
                              </w:rPr>
                              <w:t xml:space="preserve"> grupas “C” izvērtējuma kopsavilkums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EED44" id="Text Box 264" o:spid="_x0000_s1036" type="#_x0000_t202" style="position:absolute;left:0;text-align:left;margin-left:0;margin-top:.35pt;width:608.65pt;height:25.5pt;z-index:251658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" fillcolor="window" stroked="f" strokeweight=".5pt">
                <v:textbox>
                  <w:txbxContent>
                    <w:p w14:paraId="675E376B" w14:textId="0D586A7C" w:rsidR="003D1529" w:rsidRPr="005F28F0" w:rsidRDefault="00892F5A" w:rsidP="003D1529">
                      <w:pPr>
                        <w:jc w:val="center"/>
                        <w:rPr>
                          <w:rFonts w:ascii="Times New Roman" w:hAnsi="Times New Roman" w:cs="Times New Roman"/>
                          <w:b/>
                          <w:iCs/>
                          <w:szCs w:val="24"/>
                        </w:rPr>
                      </w:pPr>
                      <w:r w:rsidRPr="00892F5A">
                        <w:rPr>
                          <w:rFonts w:ascii="Times New Roman" w:hAnsi="Times New Roman" w:cs="Times New Roman"/>
                          <w:b/>
                          <w:bCs/>
                          <w:iCs/>
                          <w:szCs w:val="24"/>
                        </w:rPr>
                        <w:t>3.</w:t>
                      </w:r>
                      <w:r w:rsidR="003D1529" w:rsidRPr="00892F5A">
                        <w:rPr>
                          <w:rFonts w:ascii="Times New Roman" w:hAnsi="Times New Roman" w:cs="Times New Roman"/>
                          <w:b/>
                          <w:bCs/>
                          <w:iCs/>
                          <w:szCs w:val="24"/>
                        </w:rPr>
                        <w:t>1</w:t>
                      </w:r>
                      <w:r w:rsidRPr="00892F5A">
                        <w:rPr>
                          <w:rFonts w:ascii="Times New Roman" w:hAnsi="Times New Roman" w:cs="Times New Roman"/>
                          <w:b/>
                          <w:bCs/>
                          <w:iCs/>
                          <w:szCs w:val="24"/>
                        </w:rPr>
                        <w:t>.4</w:t>
                      </w:r>
                      <w:r w:rsidR="003D1529" w:rsidRPr="00892F5A">
                        <w:rPr>
                          <w:rFonts w:ascii="Times New Roman" w:hAnsi="Times New Roman" w:cs="Times New Roman"/>
                          <w:b/>
                          <w:bCs/>
                          <w:iCs/>
                          <w:szCs w:val="24"/>
                        </w:rPr>
                        <w:t>.attēls.</w:t>
                      </w:r>
                      <w:r w:rsidR="003D1529" w:rsidRPr="00892F5A">
                        <w:rPr>
                          <w:rFonts w:ascii="Times New Roman" w:hAnsi="Times New Roman" w:cs="Times New Roman"/>
                          <w:iCs/>
                          <w:szCs w:val="24"/>
                        </w:rPr>
                        <w:t xml:space="preserve"> Alternatīvu</w:t>
                      </w:r>
                      <w:r w:rsidR="003D1529" w:rsidRPr="005F28F0">
                        <w:rPr>
                          <w:rFonts w:ascii="Times New Roman" w:hAnsi="Times New Roman" w:cs="Times New Roman"/>
                          <w:iCs/>
                          <w:szCs w:val="24"/>
                        </w:rPr>
                        <w:t xml:space="preserve"> grupas “C” izvērtējuma kopsavilkums</w:t>
                      </w:r>
                    </w:p>
                  </w:txbxContent>
                </v:textbox>
                <w10:wrap anchorx="margin"/>
              </v:shape>
            </w:pict>
          </mc:Fallback>
        </mc:AlternateContent>
      </w:r>
    </w:p>
    <w:p w14:paraId="17AEEEB8" w14:textId="77777777" w:rsidR="007A2F0C" w:rsidRDefault="007A2F0C" w:rsidP="004A1E83">
      <w:pPr>
        <w:spacing w:after="0"/>
        <w:ind w:firstLine="720"/>
        <w:rPr>
          <w:rFonts w:ascii="Times New Roman" w:eastAsia="Calibri" w:hAnsi="Times New Roman" w:cs="Times New Roman"/>
          <w:lang w:eastAsia="lv-LV"/>
        </w:rPr>
      </w:pPr>
    </w:p>
    <w:p w14:paraId="1E0268C1" w14:textId="1D7474BB" w:rsidR="007A2F0C" w:rsidRDefault="007A2F0C" w:rsidP="004A1E83">
      <w:pPr>
        <w:spacing w:after="0"/>
        <w:ind w:firstLine="720"/>
        <w:rPr>
          <w:rFonts w:ascii="Times New Roman" w:eastAsia="Calibri" w:hAnsi="Times New Roman" w:cs="Times New Roman"/>
          <w:lang w:eastAsia="lv-LV"/>
        </w:rPr>
        <w:sectPr w:rsidR="007A2F0C" w:rsidSect="007A2F0C">
          <w:pgSz w:w="16838" w:h="11906" w:orient="landscape"/>
          <w:pgMar w:top="1701" w:right="1134" w:bottom="1701" w:left="1134" w:header="708" w:footer="708" w:gutter="0"/>
          <w:cols w:space="708"/>
          <w:docGrid w:linePitch="360"/>
        </w:sectPr>
      </w:pPr>
    </w:p>
    <w:p w14:paraId="3CC87FE5" w14:textId="77777777" w:rsidR="004A1E83" w:rsidRPr="004A1E83" w:rsidRDefault="004A1E83" w:rsidP="004A1E83">
      <w:pPr>
        <w:pStyle w:val="Heading1"/>
        <w:spacing w:before="0"/>
        <w:rPr>
          <w:rFonts w:ascii="Times New Roman" w:eastAsia="Calibri" w:hAnsi="Times New Roman" w:cs="Times New Roman"/>
          <w:lang w:eastAsia="lv-LV"/>
        </w:rPr>
      </w:pPr>
    </w:p>
    <w:p w14:paraId="6B7CB6C5" w14:textId="72DF3F44" w:rsidR="00AC180A" w:rsidRPr="004A1E83" w:rsidRDefault="00AC180A" w:rsidP="004A1E83">
      <w:pPr>
        <w:pStyle w:val="Heading1"/>
        <w:spacing w:before="0"/>
        <w:rPr>
          <w:rFonts w:ascii="Times New Roman" w:eastAsia="Times New Roman" w:hAnsi="Times New Roman" w:cs="Times New Roman"/>
          <w:b/>
          <w:bCs/>
          <w:szCs w:val="24"/>
          <w:lang w:eastAsia="en-GB"/>
        </w:rPr>
      </w:pPr>
      <w:bookmarkStart w:id="37" w:name="_Toc107916311"/>
      <w:r w:rsidRPr="004A1E83">
        <w:rPr>
          <w:rFonts w:ascii="Times New Roman" w:eastAsia="Times New Roman" w:hAnsi="Times New Roman" w:cs="Times New Roman"/>
          <w:b/>
          <w:bCs/>
          <w:color w:val="auto"/>
          <w:sz w:val="24"/>
          <w:szCs w:val="24"/>
          <w:lang w:eastAsia="en-GB"/>
        </w:rPr>
        <w:t>4. NOTEKŪDEŅU DŪŅU APSTRĀDES UN CENTRALIZĀCIJAS ALTERNATĪVU NOVĒRTĒJUMS</w:t>
      </w:r>
      <w:bookmarkEnd w:id="36"/>
      <w:bookmarkEnd w:id="37"/>
    </w:p>
    <w:p w14:paraId="798B140D" w14:textId="77777777" w:rsidR="004A1E83" w:rsidRPr="002523AE" w:rsidRDefault="004A1E83" w:rsidP="004A1E83">
      <w:pPr>
        <w:spacing w:after="0"/>
        <w:ind w:firstLine="720"/>
        <w:rPr>
          <w:rFonts w:ascii="Times New Roman" w:eastAsia="Times New Roman" w:hAnsi="Times New Roman" w:cs="Times New Roman"/>
          <w:b/>
          <w:bCs/>
          <w:szCs w:val="24"/>
          <w:lang w:eastAsia="en-GB"/>
        </w:rPr>
      </w:pPr>
    </w:p>
    <w:p w14:paraId="2A7C8F51" w14:textId="22E56705" w:rsidR="00C044AC" w:rsidRPr="002523AE" w:rsidRDefault="00AC180A" w:rsidP="004A1E83">
      <w:pPr>
        <w:pBdr>
          <w:top w:val="nil"/>
          <w:left w:val="nil"/>
          <w:bottom w:val="nil"/>
          <w:right w:val="nil"/>
          <w:between w:val="nil"/>
        </w:pBdr>
        <w:spacing w:after="0"/>
        <w:ind w:left="48"/>
        <w:rPr>
          <w:rFonts w:ascii="Times New Roman" w:hAnsi="Times New Roman" w:cs="Times New Roman"/>
        </w:rPr>
      </w:pPr>
      <w:r w:rsidRPr="002523AE">
        <w:rPr>
          <w:rFonts w:ascii="Times New Roman" w:hAnsi="Times New Roman" w:cs="Times New Roman"/>
        </w:rPr>
        <w:t xml:space="preserve">Novērtējot pārstrādātu notekūdeņu dūņu kvalitātes prasības pirms izvēlētā utilizācijas veida (skat. alternatīvu B1 “Pārstrādātu notekūdeņu dūņu iestrāde augsnē”), </w:t>
      </w:r>
      <w:r w:rsidR="002F13E6" w:rsidRPr="002523AE">
        <w:rPr>
          <w:rFonts w:ascii="Times New Roman" w:hAnsi="Times New Roman" w:cs="Times New Roman"/>
        </w:rPr>
        <w:t>tika</w:t>
      </w:r>
      <w:r w:rsidRPr="002523AE">
        <w:rPr>
          <w:rFonts w:ascii="Times New Roman" w:hAnsi="Times New Roman" w:cs="Times New Roman"/>
        </w:rPr>
        <w:t xml:space="preserve"> konstatēts, ka tās nav iespējams nodrošināt pie katras no 921 </w:t>
      </w:r>
      <w:r w:rsidR="002F13E6" w:rsidRPr="002523AE">
        <w:rPr>
          <w:rFonts w:ascii="Times New Roman" w:hAnsi="Times New Roman" w:cs="Times New Roman"/>
        </w:rPr>
        <w:t>S</w:t>
      </w:r>
      <w:r w:rsidRPr="002523AE">
        <w:rPr>
          <w:rFonts w:ascii="Times New Roman" w:hAnsi="Times New Roman" w:cs="Times New Roman"/>
        </w:rPr>
        <w:t xml:space="preserve">tratēģijas izstrādes tvērumā iekļautajām NAI. Notekūdeņu dūņu pārstrādes alternatīvu novērtējums (skat. alternatīvu C1, C2 un C3) norāda, ka </w:t>
      </w:r>
      <w:r w:rsidR="002F13E6" w:rsidRPr="002523AE">
        <w:rPr>
          <w:rFonts w:ascii="Times New Roman" w:hAnsi="Times New Roman" w:cs="Times New Roman"/>
        </w:rPr>
        <w:t>racionāla notekūdeņu</w:t>
      </w:r>
      <w:r w:rsidRPr="002523AE">
        <w:rPr>
          <w:rFonts w:ascii="Times New Roman" w:hAnsi="Times New Roman" w:cs="Times New Roman"/>
        </w:rPr>
        <w:t xml:space="preserve"> dūņu apstrāde un pārstrāde ir uzsākama pie minimālā </w:t>
      </w:r>
      <w:r w:rsidR="002F13E6" w:rsidRPr="002523AE">
        <w:rPr>
          <w:rFonts w:ascii="Times New Roman" w:hAnsi="Times New Roman" w:cs="Times New Roman"/>
        </w:rPr>
        <w:t xml:space="preserve">notekūdeņu </w:t>
      </w:r>
      <w:r w:rsidRPr="002523AE">
        <w:rPr>
          <w:rFonts w:ascii="Times New Roman" w:hAnsi="Times New Roman" w:cs="Times New Roman"/>
        </w:rPr>
        <w:t>dūņu daudzuma - 1 000 m</w:t>
      </w:r>
      <w:r w:rsidRPr="002523AE">
        <w:rPr>
          <w:rFonts w:ascii="Times New Roman" w:hAnsi="Times New Roman" w:cs="Times New Roman"/>
          <w:vertAlign w:val="superscript"/>
        </w:rPr>
        <w:t>3</w:t>
      </w:r>
      <w:r w:rsidRPr="002523AE">
        <w:rPr>
          <w:rFonts w:ascii="Times New Roman" w:hAnsi="Times New Roman" w:cs="Times New Roman"/>
        </w:rPr>
        <w:t xml:space="preserve"> slapju (1% sausna) </w:t>
      </w:r>
      <w:r w:rsidR="002F13E6" w:rsidRPr="002523AE">
        <w:rPr>
          <w:rFonts w:ascii="Times New Roman" w:hAnsi="Times New Roman" w:cs="Times New Roman"/>
        </w:rPr>
        <w:t xml:space="preserve">notekūdeņu </w:t>
      </w:r>
      <w:r w:rsidRPr="002523AE">
        <w:rPr>
          <w:rFonts w:ascii="Times New Roman" w:hAnsi="Times New Roman" w:cs="Times New Roman"/>
        </w:rPr>
        <w:t>dūņu gadā vai vidēji 3 m</w:t>
      </w:r>
      <w:r w:rsidRPr="002523AE">
        <w:rPr>
          <w:rFonts w:ascii="Times New Roman" w:hAnsi="Times New Roman" w:cs="Times New Roman"/>
          <w:vertAlign w:val="superscript"/>
        </w:rPr>
        <w:t>3</w:t>
      </w:r>
      <w:r w:rsidRPr="002523AE">
        <w:rPr>
          <w:rFonts w:ascii="Times New Roman" w:hAnsi="Times New Roman" w:cs="Times New Roman"/>
        </w:rPr>
        <w:t xml:space="preserve"> slapju dūņu dienā. Tomēr arī pie 1 000 m</w:t>
      </w:r>
      <w:r w:rsidRPr="002523AE">
        <w:rPr>
          <w:rFonts w:ascii="Times New Roman" w:hAnsi="Times New Roman" w:cs="Times New Roman"/>
          <w:vertAlign w:val="superscript"/>
        </w:rPr>
        <w:t>3</w:t>
      </w:r>
      <w:r w:rsidRPr="002523AE">
        <w:rPr>
          <w:rFonts w:ascii="Times New Roman" w:hAnsi="Times New Roman" w:cs="Times New Roman"/>
        </w:rPr>
        <w:t xml:space="preserve"> slapju (1% sausna) </w:t>
      </w:r>
      <w:r w:rsidR="002F13E6" w:rsidRPr="002523AE">
        <w:rPr>
          <w:rFonts w:ascii="Times New Roman" w:hAnsi="Times New Roman" w:cs="Times New Roman"/>
        </w:rPr>
        <w:t xml:space="preserve">notekūdeņu </w:t>
      </w:r>
      <w:r w:rsidRPr="002523AE">
        <w:rPr>
          <w:rFonts w:ascii="Times New Roman" w:hAnsi="Times New Roman" w:cs="Times New Roman"/>
        </w:rPr>
        <w:t>dūņu gadā pārstrādāt</w:t>
      </w:r>
      <w:r w:rsidR="002F13E6" w:rsidRPr="002523AE">
        <w:rPr>
          <w:rFonts w:ascii="Times New Roman" w:hAnsi="Times New Roman" w:cs="Times New Roman"/>
        </w:rPr>
        <w:t>o</w:t>
      </w:r>
      <w:r w:rsidRPr="002523AE">
        <w:rPr>
          <w:rFonts w:ascii="Times New Roman" w:hAnsi="Times New Roman" w:cs="Times New Roman"/>
        </w:rPr>
        <w:t xml:space="preserve"> dūņu gala iznākums (30% sausna) būs aptuveni 33 t pārstrādātu dūņu (divas nepilnas kravas automašīnas) gadā, kas </w:t>
      </w:r>
      <w:r w:rsidR="002F13E6" w:rsidRPr="002523AE">
        <w:rPr>
          <w:rFonts w:ascii="Times New Roman" w:hAnsi="Times New Roman" w:cs="Times New Roman"/>
        </w:rPr>
        <w:t>vērtējams, kā</w:t>
      </w:r>
      <w:r w:rsidRPr="002523AE">
        <w:rPr>
          <w:rFonts w:ascii="Times New Roman" w:hAnsi="Times New Roman" w:cs="Times New Roman"/>
        </w:rPr>
        <w:t xml:space="preserve"> ļoti mazs apjoms. </w:t>
      </w:r>
      <w:r w:rsidR="002F13E6" w:rsidRPr="002523AE">
        <w:rPr>
          <w:rFonts w:ascii="Times New Roman" w:hAnsi="Times New Roman" w:cs="Times New Roman"/>
        </w:rPr>
        <w:t>S</w:t>
      </w:r>
      <w:r w:rsidRPr="002523AE">
        <w:rPr>
          <w:rFonts w:ascii="Times New Roman" w:hAnsi="Times New Roman" w:cs="Times New Roman"/>
        </w:rPr>
        <w:t xml:space="preserve">tratēģijas ietvaros </w:t>
      </w:r>
      <w:r w:rsidR="002F13E6" w:rsidRPr="002523AE">
        <w:rPr>
          <w:rFonts w:ascii="Times New Roman" w:hAnsi="Times New Roman" w:cs="Times New Roman"/>
        </w:rPr>
        <w:t>tika</w:t>
      </w:r>
      <w:r w:rsidRPr="002523AE">
        <w:rPr>
          <w:rFonts w:ascii="Times New Roman" w:hAnsi="Times New Roman" w:cs="Times New Roman"/>
        </w:rPr>
        <w:t xml:space="preserve"> veikts aprēķins par visu notekūdeņu dūņu apstrādi, pārstrādi un centralizāciju dažāda lieluma notekūdeņu dūņu pārstrādes centros, kas izvietoti pie esošām NAI, lai novērtētu efektīvāko </w:t>
      </w:r>
      <w:r w:rsidR="002F13E6" w:rsidRPr="002523AE">
        <w:rPr>
          <w:rFonts w:ascii="Times New Roman" w:hAnsi="Times New Roman" w:cs="Times New Roman"/>
        </w:rPr>
        <w:t xml:space="preserve">notekūdeņu </w:t>
      </w:r>
      <w:r w:rsidRPr="002523AE">
        <w:rPr>
          <w:rFonts w:ascii="Times New Roman" w:hAnsi="Times New Roman" w:cs="Times New Roman"/>
        </w:rPr>
        <w:t>dūņu pārstrādes centru skaitu.</w:t>
      </w:r>
      <w:r w:rsidR="00C044AC" w:rsidRPr="002523AE">
        <w:rPr>
          <w:rFonts w:ascii="Times New Roman" w:hAnsi="Times New Roman" w:cs="Times New Roman"/>
        </w:rPr>
        <w:t xml:space="preserve"> Izvērstu notekūdeņu dūņu centralizācijas alternatīvu novērtējumu </w:t>
      </w:r>
      <w:r w:rsidR="002F13E6" w:rsidRPr="002523AE">
        <w:rPr>
          <w:rFonts w:ascii="Times New Roman" w:hAnsi="Times New Roman" w:cs="Times New Roman"/>
        </w:rPr>
        <w:t>skatīt</w:t>
      </w:r>
      <w:r w:rsidR="00C044AC" w:rsidRPr="002523AE">
        <w:rPr>
          <w:rFonts w:ascii="Times New Roman" w:hAnsi="Times New Roman" w:cs="Times New Roman"/>
        </w:rPr>
        <w:t xml:space="preserve"> pielikumā 4.5. “Detalizēts </w:t>
      </w:r>
      <w:r w:rsidR="002F13E6" w:rsidRPr="002523AE">
        <w:rPr>
          <w:rFonts w:ascii="Times New Roman" w:hAnsi="Times New Roman" w:cs="Times New Roman"/>
        </w:rPr>
        <w:t xml:space="preserve">notekūdeņu </w:t>
      </w:r>
      <w:r w:rsidR="00C044AC" w:rsidRPr="002523AE">
        <w:rPr>
          <w:rFonts w:ascii="Times New Roman" w:hAnsi="Times New Roman" w:cs="Times New Roman"/>
        </w:rPr>
        <w:t xml:space="preserve">dūņu apstrādes un centralizācijas alternatīvu novērtējums”. </w:t>
      </w:r>
    </w:p>
    <w:p w14:paraId="0792D1B3" w14:textId="77777777" w:rsidR="00AC180A" w:rsidRPr="002523AE" w:rsidRDefault="00AC180A" w:rsidP="00AC180A">
      <w:pPr>
        <w:jc w:val="center"/>
        <w:rPr>
          <w:rFonts w:ascii="Times New Roman" w:hAnsi="Times New Roman" w:cs="Times New Roman"/>
          <w:b/>
          <w:bCs/>
          <w:szCs w:val="24"/>
          <w:u w:val="single"/>
        </w:rPr>
      </w:pPr>
      <w:r w:rsidRPr="002523AE">
        <w:rPr>
          <w:rFonts w:ascii="Times New Roman" w:hAnsi="Times New Roman" w:cs="Times New Roman"/>
          <w:b/>
          <w:bCs/>
          <w:szCs w:val="24"/>
          <w:u w:val="single"/>
        </w:rPr>
        <w:t>Notekūdeņu dūņu centralizācija un apstrāde 41 pašvaldības robežās</w:t>
      </w:r>
    </w:p>
    <w:p w14:paraId="26836724" w14:textId="77777777" w:rsidR="00AC180A" w:rsidRPr="002523AE" w:rsidRDefault="00AC180A" w:rsidP="00AC180A">
      <w:pPr>
        <w:spacing w:before="120" w:after="120"/>
        <w:ind w:firstLine="720"/>
        <w:rPr>
          <w:rFonts w:ascii="Times New Roman" w:hAnsi="Times New Roman" w:cs="Times New Roman"/>
        </w:rPr>
      </w:pPr>
      <w:r w:rsidRPr="002523AE">
        <w:rPr>
          <w:rFonts w:ascii="Times New Roman" w:hAnsi="Times New Roman" w:cs="Times New Roman"/>
        </w:rPr>
        <w:t xml:space="preserve">Visi turpmāk apskatītie, dažādie notekūdeņu dūņu centralizācijas varianti paredz vienotu pamata risinājumu – pašvaldības administratīvajā teritorijā (robežu situācijā pēc ATR 2021.gadā) radītās notekūdeņu dūņas primāri tiek centralizētas attiecīgās pašvaldības lielākajās NAI, par ko lēmumu pieņem pašvaldība sadarbībā ar SPS. </w:t>
      </w:r>
    </w:p>
    <w:p w14:paraId="1A18A2E0" w14:textId="46DD6F09" w:rsidR="00AC180A" w:rsidRPr="002523AE" w:rsidRDefault="00AC180A" w:rsidP="00AC180A">
      <w:pPr>
        <w:spacing w:before="120" w:after="120"/>
        <w:ind w:firstLine="720"/>
        <w:rPr>
          <w:rFonts w:ascii="Times New Roman" w:hAnsi="Times New Roman" w:cs="Times New Roman"/>
        </w:rPr>
      </w:pPr>
      <w:r w:rsidRPr="002523AE">
        <w:rPr>
          <w:rFonts w:ascii="Times New Roman" w:hAnsi="Times New Roman" w:cs="Times New Roman"/>
        </w:rPr>
        <w:t xml:space="preserve">Stratēģijas izstrādes ietvaros ir veikts izmaksu salīdzinājums (skat. pielikumu </w:t>
      </w:r>
      <w:r w:rsidR="00AA7E9F" w:rsidRPr="002523AE">
        <w:rPr>
          <w:rFonts w:ascii="Times New Roman" w:hAnsi="Times New Roman" w:cs="Times New Roman"/>
        </w:rPr>
        <w:t xml:space="preserve">Nr.4.7. </w:t>
      </w:r>
      <w:r w:rsidRPr="002523AE">
        <w:rPr>
          <w:rFonts w:ascii="Times New Roman" w:hAnsi="Times New Roman" w:cs="Times New Roman"/>
          <w:color w:val="000000"/>
        </w:rPr>
        <w:t>“Dažādu notekūdeņu dūņu apstrādes veidu izmaksas”</w:t>
      </w:r>
      <w:r w:rsidRPr="002523AE">
        <w:rPr>
          <w:rFonts w:ascii="Times New Roman" w:hAnsi="Times New Roman" w:cs="Times New Roman"/>
        </w:rPr>
        <w:t xml:space="preserve">), lai novērtētu, kādas konsistences dūņas (slapjas ar 1% sausni vai mehāniski atūdeņotas ar 18% sausni) ir izdevīgāk transportēt un cik lielā attālumā. Ņemot vērā veiktos aprēķinus, ir secināts, ka neatkarīgi no </w:t>
      </w:r>
      <w:r w:rsidR="002F13E6" w:rsidRPr="002523AE">
        <w:rPr>
          <w:rFonts w:ascii="Times New Roman" w:hAnsi="Times New Roman" w:cs="Times New Roman"/>
        </w:rPr>
        <w:t xml:space="preserve">notekūdeņu </w:t>
      </w:r>
      <w:r w:rsidRPr="002523AE">
        <w:rPr>
          <w:rFonts w:ascii="Times New Roman" w:hAnsi="Times New Roman" w:cs="Times New Roman"/>
        </w:rPr>
        <w:t>dūņu transportēšanas attāluma vienas pašvaldības ietvaros, ja viena NAI radītais slapj</w:t>
      </w:r>
      <w:r w:rsidR="002F13E6" w:rsidRPr="002523AE">
        <w:rPr>
          <w:rFonts w:ascii="Times New Roman" w:hAnsi="Times New Roman" w:cs="Times New Roman"/>
        </w:rPr>
        <w:t xml:space="preserve">o notekūdeņu </w:t>
      </w:r>
      <w:r w:rsidRPr="002523AE">
        <w:rPr>
          <w:rFonts w:ascii="Times New Roman" w:hAnsi="Times New Roman" w:cs="Times New Roman"/>
        </w:rPr>
        <w:t>dūņu daudzums ir mazāks par 1 000 m</w:t>
      </w:r>
      <w:r w:rsidRPr="002523AE">
        <w:rPr>
          <w:rFonts w:ascii="Times New Roman" w:hAnsi="Times New Roman" w:cs="Times New Roman"/>
          <w:vertAlign w:val="superscript"/>
        </w:rPr>
        <w:t>3</w:t>
      </w:r>
      <w:r w:rsidRPr="002523AE">
        <w:rPr>
          <w:rFonts w:ascii="Times New Roman" w:hAnsi="Times New Roman" w:cs="Times New Roman"/>
        </w:rPr>
        <w:t xml:space="preserve"> gadā, </w:t>
      </w:r>
      <w:r w:rsidR="002F13E6" w:rsidRPr="002523AE">
        <w:rPr>
          <w:rFonts w:ascii="Times New Roman" w:hAnsi="Times New Roman" w:cs="Times New Roman"/>
        </w:rPr>
        <w:t>tās</w:t>
      </w:r>
      <w:r w:rsidRPr="002523AE">
        <w:rPr>
          <w:rFonts w:ascii="Times New Roman" w:hAnsi="Times New Roman" w:cs="Times New Roman"/>
        </w:rPr>
        <w:t xml:space="preserve"> ekonomiski izdevīgāk ir transportēt šķidrā veidā, bet, ja slapj</w:t>
      </w:r>
      <w:r w:rsidR="002F13E6" w:rsidRPr="002523AE">
        <w:rPr>
          <w:rFonts w:ascii="Times New Roman" w:hAnsi="Times New Roman" w:cs="Times New Roman"/>
        </w:rPr>
        <w:t>o notekūdeņu</w:t>
      </w:r>
      <w:r w:rsidRPr="002523AE">
        <w:rPr>
          <w:rFonts w:ascii="Times New Roman" w:hAnsi="Times New Roman" w:cs="Times New Roman"/>
        </w:rPr>
        <w:t xml:space="preserve"> dūņu apjoms ir lielāks par 1 000 m</w:t>
      </w:r>
      <w:r w:rsidRPr="002523AE">
        <w:rPr>
          <w:rFonts w:ascii="Times New Roman" w:hAnsi="Times New Roman" w:cs="Times New Roman"/>
          <w:vertAlign w:val="superscript"/>
        </w:rPr>
        <w:t>3</w:t>
      </w:r>
      <w:r w:rsidRPr="002523AE">
        <w:rPr>
          <w:rFonts w:ascii="Times New Roman" w:hAnsi="Times New Roman" w:cs="Times New Roman"/>
        </w:rPr>
        <w:t xml:space="preserve"> gadā, </w:t>
      </w:r>
      <w:r w:rsidR="002F13E6" w:rsidRPr="002523AE">
        <w:rPr>
          <w:rFonts w:ascii="Times New Roman" w:hAnsi="Times New Roman" w:cs="Times New Roman"/>
        </w:rPr>
        <w:t>tās</w:t>
      </w:r>
      <w:r w:rsidRPr="002523AE">
        <w:rPr>
          <w:rFonts w:ascii="Times New Roman" w:hAnsi="Times New Roman" w:cs="Times New Roman"/>
        </w:rPr>
        <w:t xml:space="preserve"> pirms transportēšanas ir nepieciešams mehāniski atūdeņot (apstrādāt). Stratēģijas izstrādes gaitā katra pašvaldība </w:t>
      </w:r>
      <w:r w:rsidR="002F13E6" w:rsidRPr="002523AE">
        <w:rPr>
          <w:rFonts w:ascii="Times New Roman" w:hAnsi="Times New Roman" w:cs="Times New Roman"/>
        </w:rPr>
        <w:t>tika</w:t>
      </w:r>
      <w:r w:rsidRPr="002523AE">
        <w:rPr>
          <w:rFonts w:ascii="Times New Roman" w:hAnsi="Times New Roman" w:cs="Times New Roman"/>
        </w:rPr>
        <w:t xml:space="preserve"> </w:t>
      </w:r>
      <w:r w:rsidR="002F13E6" w:rsidRPr="002523AE">
        <w:rPr>
          <w:rFonts w:ascii="Times New Roman" w:hAnsi="Times New Roman" w:cs="Times New Roman"/>
        </w:rPr>
        <w:t>ap</w:t>
      </w:r>
      <w:r w:rsidRPr="002523AE">
        <w:rPr>
          <w:rFonts w:ascii="Times New Roman" w:hAnsi="Times New Roman" w:cs="Times New Roman"/>
        </w:rPr>
        <w:t xml:space="preserve">skatīta atsevišķi un novērtēts notekūdeņu dūņu apjoms katrās NAI individuāli, kā arī ir novērtēts potenciālais transportēšanas attālums un izmaksas uz lielākajām pašvaldības NAI (skat. pielikumu </w:t>
      </w:r>
      <w:r w:rsidR="00AA7E9F" w:rsidRPr="002523AE">
        <w:rPr>
          <w:rFonts w:ascii="Times New Roman" w:hAnsi="Times New Roman" w:cs="Times New Roman"/>
        </w:rPr>
        <w:t xml:space="preserve">Nr.4.8. </w:t>
      </w:r>
      <w:r w:rsidRPr="002523AE">
        <w:rPr>
          <w:rFonts w:ascii="Times New Roman" w:hAnsi="Times New Roman" w:cs="Times New Roman"/>
          <w:color w:val="000000"/>
        </w:rPr>
        <w:t xml:space="preserve">“Notekūdeņu dūņu apstrādes izmaksas </w:t>
      </w:r>
      <w:r w:rsidRPr="002523AE">
        <w:rPr>
          <w:rFonts w:ascii="Times New Roman" w:hAnsi="Times New Roman" w:cs="Times New Roman"/>
        </w:rPr>
        <w:t>pašvaldībās</w:t>
      </w:r>
      <w:r w:rsidRPr="002523AE">
        <w:rPr>
          <w:rFonts w:ascii="Times New Roman" w:hAnsi="Times New Roman" w:cs="Times New Roman"/>
          <w:color w:val="000000"/>
        </w:rPr>
        <w:t>”</w:t>
      </w:r>
      <w:r w:rsidRPr="002523AE">
        <w:rPr>
          <w:rFonts w:ascii="Times New Roman" w:hAnsi="Times New Roman" w:cs="Times New Roman"/>
        </w:rPr>
        <w:t xml:space="preserve">). </w:t>
      </w:r>
    </w:p>
    <w:p w14:paraId="3E2D3A33" w14:textId="7C57331F" w:rsidR="00AC180A" w:rsidRPr="002523AE" w:rsidRDefault="00AC180A" w:rsidP="00AC180A">
      <w:pPr>
        <w:spacing w:before="120" w:after="120"/>
        <w:ind w:firstLine="720"/>
        <w:rPr>
          <w:rFonts w:ascii="Times New Roman" w:hAnsi="Times New Roman" w:cs="Times New Roman"/>
        </w:rPr>
      </w:pPr>
      <w:r w:rsidRPr="002523AE">
        <w:rPr>
          <w:rFonts w:ascii="Times New Roman" w:hAnsi="Times New Roman" w:cs="Times New Roman"/>
        </w:rPr>
        <w:t xml:space="preserve">Lai nodrošinātu </w:t>
      </w:r>
      <w:r w:rsidR="00AA7E9F" w:rsidRPr="002523AE">
        <w:rPr>
          <w:rFonts w:ascii="Times New Roman" w:hAnsi="Times New Roman" w:cs="Times New Roman"/>
        </w:rPr>
        <w:t>visu slapjo notekūdeņu dūņu atūdeņošanu līdz 18% sausnai un nogādāšanu uz pašvaldības lielākajām NAI</w:t>
      </w:r>
      <w:r w:rsidRPr="002523AE">
        <w:rPr>
          <w:rFonts w:ascii="Times New Roman" w:hAnsi="Times New Roman" w:cs="Times New Roman"/>
        </w:rPr>
        <w:t>, tad atbilstošas sistēmas izveidošana</w:t>
      </w:r>
      <w:r w:rsidR="00AA7E9F" w:rsidRPr="002523AE">
        <w:rPr>
          <w:rFonts w:ascii="Times New Roman" w:hAnsi="Times New Roman" w:cs="Times New Roman"/>
        </w:rPr>
        <w:t>i</w:t>
      </w:r>
      <w:r w:rsidRPr="002523AE">
        <w:rPr>
          <w:rFonts w:ascii="Times New Roman" w:hAnsi="Times New Roman" w:cs="Times New Roman"/>
        </w:rPr>
        <w:t xml:space="preserve"> ir nepieciešamas investīcijas 24,3 milj. EUR apjomā, bet </w:t>
      </w:r>
      <w:r w:rsidR="00716E93" w:rsidRPr="002523AE">
        <w:rPr>
          <w:rFonts w:ascii="Times New Roman" w:hAnsi="Times New Roman" w:cs="Times New Roman"/>
        </w:rPr>
        <w:t xml:space="preserve">sistēmas </w:t>
      </w:r>
      <w:r w:rsidRPr="002523AE">
        <w:rPr>
          <w:rFonts w:ascii="Times New Roman" w:hAnsi="Times New Roman" w:cs="Times New Roman"/>
        </w:rPr>
        <w:t>uzturēšana izmaksās aptuveni 1,2 milj. EUR</w:t>
      </w:r>
      <w:r w:rsidR="00716E93" w:rsidRPr="002523AE">
        <w:rPr>
          <w:rFonts w:ascii="Times New Roman" w:hAnsi="Times New Roman" w:cs="Times New Roman"/>
        </w:rPr>
        <w:t>/gadā</w:t>
      </w:r>
      <w:r w:rsidRPr="002523AE">
        <w:rPr>
          <w:rFonts w:ascii="Times New Roman" w:hAnsi="Times New Roman" w:cs="Times New Roman"/>
        </w:rPr>
        <w:t xml:space="preserve">. </w:t>
      </w:r>
    </w:p>
    <w:p w14:paraId="681E93A9" w14:textId="3EDAD041" w:rsidR="00AC180A" w:rsidRPr="002523AE" w:rsidRDefault="00AC180A" w:rsidP="00EA14ED">
      <w:pPr>
        <w:spacing w:before="120" w:after="120"/>
        <w:ind w:firstLine="720"/>
        <w:rPr>
          <w:rFonts w:ascii="Times New Roman" w:hAnsi="Times New Roman" w:cs="Times New Roman"/>
        </w:rPr>
      </w:pPr>
      <w:r w:rsidRPr="002523AE">
        <w:rPr>
          <w:rFonts w:ascii="Times New Roman" w:hAnsi="Times New Roman" w:cs="Times New Roman"/>
        </w:rPr>
        <w:t>Arī pēc visu notekūdeņu dūņu nogādāšanas uz attiecīgā novada lielākajām NAI būs pašvaldības, kur kopējais slapju notekūdeņu dūņu apjoms būs mazāks par 1 000 m</w:t>
      </w:r>
      <w:r w:rsidRPr="002523AE">
        <w:rPr>
          <w:rFonts w:ascii="Times New Roman" w:hAnsi="Times New Roman" w:cs="Times New Roman"/>
          <w:vertAlign w:val="superscript"/>
        </w:rPr>
        <w:t>3</w:t>
      </w:r>
      <w:r w:rsidRPr="002523AE">
        <w:rPr>
          <w:rFonts w:ascii="Times New Roman" w:hAnsi="Times New Roman" w:cs="Times New Roman"/>
        </w:rPr>
        <w:t xml:space="preserve"> gadā, kas pēc </w:t>
      </w:r>
      <w:r w:rsidR="00716E93" w:rsidRPr="002523AE">
        <w:rPr>
          <w:rFonts w:ascii="Times New Roman" w:hAnsi="Times New Roman" w:cs="Times New Roman"/>
        </w:rPr>
        <w:t>to</w:t>
      </w:r>
      <w:r w:rsidRPr="002523AE">
        <w:rPr>
          <w:rFonts w:ascii="Times New Roman" w:hAnsi="Times New Roman" w:cs="Times New Roman"/>
        </w:rPr>
        <w:t xml:space="preserve"> mehāniskas atūdeņošanas (18% sausna) būs mazāks par 55 t gadā. Šādu </w:t>
      </w:r>
      <w:r w:rsidR="00716E93" w:rsidRPr="002523AE">
        <w:rPr>
          <w:rFonts w:ascii="Times New Roman" w:hAnsi="Times New Roman" w:cs="Times New Roman"/>
        </w:rPr>
        <w:lastRenderedPageBreak/>
        <w:t xml:space="preserve">notekūdeņu </w:t>
      </w:r>
      <w:r w:rsidRPr="002523AE">
        <w:rPr>
          <w:rFonts w:ascii="Times New Roman" w:hAnsi="Times New Roman" w:cs="Times New Roman"/>
        </w:rPr>
        <w:t>dūņu</w:t>
      </w:r>
      <w:r w:rsidR="00716E93" w:rsidRPr="002523AE">
        <w:rPr>
          <w:rFonts w:ascii="Times New Roman" w:hAnsi="Times New Roman" w:cs="Times New Roman"/>
        </w:rPr>
        <w:t xml:space="preserve"> masu</w:t>
      </w:r>
      <w:r w:rsidRPr="002523AE">
        <w:rPr>
          <w:rFonts w:ascii="Times New Roman" w:hAnsi="Times New Roman" w:cs="Times New Roman"/>
        </w:rPr>
        <w:t xml:space="preserve"> ir viegli pārvest trīs kravas </w:t>
      </w:r>
      <w:r w:rsidR="00716E93" w:rsidRPr="002523AE">
        <w:rPr>
          <w:rFonts w:ascii="Times New Roman" w:hAnsi="Times New Roman" w:cs="Times New Roman"/>
        </w:rPr>
        <w:t>auto</w:t>
      </w:r>
      <w:r w:rsidRPr="002523AE">
        <w:rPr>
          <w:rFonts w:ascii="Times New Roman" w:hAnsi="Times New Roman" w:cs="Times New Roman"/>
        </w:rPr>
        <w:t xml:space="preserve">mašīnās, līdz ar to tas ir uzskatāms par </w:t>
      </w:r>
      <w:r w:rsidR="000E2EFD" w:rsidRPr="002523AE">
        <w:rPr>
          <w:rFonts w:ascii="Times New Roman" w:hAnsi="Times New Roman" w:cs="Times New Roman"/>
        </w:rPr>
        <w:t>pārāk</w:t>
      </w:r>
      <w:r w:rsidR="00716E93" w:rsidRPr="002523AE">
        <w:rPr>
          <w:rFonts w:ascii="Times New Roman" w:hAnsi="Times New Roman" w:cs="Times New Roman"/>
        </w:rPr>
        <w:t xml:space="preserve"> mazu</w:t>
      </w:r>
      <w:r w:rsidRPr="002523AE">
        <w:rPr>
          <w:rFonts w:ascii="Times New Roman" w:hAnsi="Times New Roman" w:cs="Times New Roman"/>
        </w:rPr>
        <w:t xml:space="preserve"> apjomu, lai plānotu to pārstrādi attiecīgajās NAI. Tādas pašvaldības, saskaņā ar izmantotajiem statistikas datiem būs, piemēram, Balvu, Rēzeknes un Ventspils novadi, tāpat vairākām</w:t>
      </w:r>
      <w:r w:rsidR="00716E93" w:rsidRPr="002523AE">
        <w:rPr>
          <w:rFonts w:ascii="Times New Roman" w:hAnsi="Times New Roman" w:cs="Times New Roman"/>
        </w:rPr>
        <w:t xml:space="preserve"> citām</w:t>
      </w:r>
      <w:r w:rsidRPr="002523AE">
        <w:rPr>
          <w:rFonts w:ascii="Times New Roman" w:hAnsi="Times New Roman" w:cs="Times New Roman"/>
        </w:rPr>
        <w:t xml:space="preserve"> pašvaldībām kopējais savāktais slapjo</w:t>
      </w:r>
      <w:r w:rsidR="00716E93" w:rsidRPr="002523AE">
        <w:rPr>
          <w:rFonts w:ascii="Times New Roman" w:hAnsi="Times New Roman" w:cs="Times New Roman"/>
        </w:rPr>
        <w:t xml:space="preserve"> notekūdeņu</w:t>
      </w:r>
      <w:r w:rsidRPr="002523AE">
        <w:rPr>
          <w:rFonts w:ascii="Times New Roman" w:hAnsi="Times New Roman" w:cs="Times New Roman"/>
        </w:rPr>
        <w:t xml:space="preserve"> dūņu apjoms tikai nedaudz pārsniegs 1 000 m</w:t>
      </w:r>
      <w:r w:rsidRPr="002523AE">
        <w:rPr>
          <w:rFonts w:ascii="Times New Roman" w:hAnsi="Times New Roman" w:cs="Times New Roman"/>
          <w:vertAlign w:val="superscript"/>
        </w:rPr>
        <w:t>3</w:t>
      </w:r>
      <w:r w:rsidRPr="002523AE">
        <w:rPr>
          <w:rFonts w:ascii="Times New Roman" w:hAnsi="Times New Roman" w:cs="Times New Roman"/>
        </w:rPr>
        <w:t xml:space="preserve"> gadā. </w:t>
      </w:r>
      <w:r w:rsidR="00716E93" w:rsidRPr="002523AE">
        <w:rPr>
          <w:rFonts w:ascii="Times New Roman" w:hAnsi="Times New Roman" w:cs="Times New Roman"/>
        </w:rPr>
        <w:t>P</w:t>
      </w:r>
      <w:r w:rsidRPr="002523AE">
        <w:rPr>
          <w:rFonts w:ascii="Times New Roman" w:hAnsi="Times New Roman" w:cs="Times New Roman"/>
        </w:rPr>
        <w:t xml:space="preserve">ārstrādei tik mazā apjomā būtu jāiegulda proporcionāli lieli finanšu resursi un arī iegūtais pārstrādātu </w:t>
      </w:r>
      <w:r w:rsidR="00716E93" w:rsidRPr="002523AE">
        <w:rPr>
          <w:rFonts w:ascii="Times New Roman" w:hAnsi="Times New Roman" w:cs="Times New Roman"/>
        </w:rPr>
        <w:t xml:space="preserve">notekūdeņu </w:t>
      </w:r>
      <w:r w:rsidRPr="002523AE">
        <w:rPr>
          <w:rFonts w:ascii="Times New Roman" w:hAnsi="Times New Roman" w:cs="Times New Roman"/>
        </w:rPr>
        <w:t>dūņu gala produkts nav pilnībā atbilstošs lauksaimnieku organizāciju prasībām,</w:t>
      </w:r>
      <w:r w:rsidR="00716E93" w:rsidRPr="002523AE">
        <w:rPr>
          <w:rFonts w:ascii="Times New Roman" w:hAnsi="Times New Roman" w:cs="Times New Roman"/>
        </w:rPr>
        <w:t xml:space="preserve"> </w:t>
      </w:r>
      <w:r w:rsidRPr="002523AE">
        <w:rPr>
          <w:rFonts w:ascii="Times New Roman" w:hAnsi="Times New Roman" w:cs="Times New Roman"/>
        </w:rPr>
        <w:t xml:space="preserve">kas prasa stabilus, drošus un ilgtermiņā prognozējamus notekūdeņu dūņu apjomus. Ņemot vērā minētos apstākļus </w:t>
      </w:r>
      <w:r w:rsidR="00716E93" w:rsidRPr="002523AE">
        <w:rPr>
          <w:rFonts w:ascii="Times New Roman" w:hAnsi="Times New Roman" w:cs="Times New Roman"/>
        </w:rPr>
        <w:t>S</w:t>
      </w:r>
      <w:r w:rsidRPr="002523AE">
        <w:rPr>
          <w:rFonts w:ascii="Times New Roman" w:hAnsi="Times New Roman" w:cs="Times New Roman"/>
        </w:rPr>
        <w:t xml:space="preserve">tratēģijas izstrādes ietvaros tiek vērtēta iespēja notekūdeņu dūņu pārstrādi veikt lielākos notekūdeņu dūņu pārstrādes centros, kuros ir iespējams izveidot pārstrādātu </w:t>
      </w:r>
      <w:r w:rsidR="006A6AFB" w:rsidRPr="002523AE">
        <w:rPr>
          <w:rFonts w:ascii="Times New Roman" w:hAnsi="Times New Roman" w:cs="Times New Roman"/>
        </w:rPr>
        <w:t xml:space="preserve">notekūdeņu </w:t>
      </w:r>
      <w:r w:rsidRPr="002523AE">
        <w:rPr>
          <w:rFonts w:ascii="Times New Roman" w:hAnsi="Times New Roman" w:cs="Times New Roman"/>
        </w:rPr>
        <w:t>dūņu masu, kas atbilst gala patērētāju – lauksaimnieku organizāciju prasībām,</w:t>
      </w:r>
      <w:r w:rsidR="006A6AFB" w:rsidRPr="002523AE">
        <w:rPr>
          <w:rFonts w:ascii="Times New Roman" w:hAnsi="Times New Roman" w:cs="Times New Roman"/>
        </w:rPr>
        <w:t xml:space="preserve"> </w:t>
      </w:r>
      <w:r w:rsidRPr="002523AE">
        <w:rPr>
          <w:rFonts w:ascii="Times New Roman" w:hAnsi="Times New Roman" w:cs="Times New Roman"/>
        </w:rPr>
        <w:t xml:space="preserve">kā arī nodrošina augstāko notekūdeņu dūņu pārstrādes efektivitāti. </w:t>
      </w:r>
      <w:r w:rsidR="006A6AFB" w:rsidRPr="002523AE">
        <w:rPr>
          <w:rFonts w:ascii="Times New Roman" w:hAnsi="Times New Roman" w:cs="Times New Roman"/>
        </w:rPr>
        <w:t>Notekūdeņu d</w:t>
      </w:r>
      <w:r w:rsidRPr="002523AE">
        <w:rPr>
          <w:rFonts w:ascii="Times New Roman" w:hAnsi="Times New Roman" w:cs="Times New Roman"/>
        </w:rPr>
        <w:t xml:space="preserve">ūņu apjoma centralizācijas gadījumā lielos pārstrādes centros ir jārēķinās ar </w:t>
      </w:r>
      <w:r w:rsidR="006A6AFB" w:rsidRPr="002523AE">
        <w:rPr>
          <w:rFonts w:ascii="Times New Roman" w:hAnsi="Times New Roman" w:cs="Times New Roman"/>
        </w:rPr>
        <w:t xml:space="preserve">notekūdeņu </w:t>
      </w:r>
      <w:r w:rsidRPr="002523AE">
        <w:rPr>
          <w:rFonts w:ascii="Times New Roman" w:hAnsi="Times New Roman" w:cs="Times New Roman"/>
        </w:rPr>
        <w:t xml:space="preserve">dūņu transportēšanas izmaksām gan transportējot </w:t>
      </w:r>
      <w:r w:rsidR="006A6AFB" w:rsidRPr="002523AE">
        <w:rPr>
          <w:rFonts w:ascii="Times New Roman" w:hAnsi="Times New Roman" w:cs="Times New Roman"/>
        </w:rPr>
        <w:t xml:space="preserve">notekūdeņu </w:t>
      </w:r>
      <w:r w:rsidRPr="002523AE">
        <w:rPr>
          <w:rFonts w:ascii="Times New Roman" w:hAnsi="Times New Roman" w:cs="Times New Roman"/>
        </w:rPr>
        <w:t>dūņas uz pārstrādes centr</w:t>
      </w:r>
      <w:r w:rsidR="006A6AFB" w:rsidRPr="002523AE">
        <w:rPr>
          <w:rFonts w:ascii="Times New Roman" w:hAnsi="Times New Roman" w:cs="Times New Roman"/>
        </w:rPr>
        <w:t>u</w:t>
      </w:r>
      <w:r w:rsidRPr="002523AE">
        <w:rPr>
          <w:rFonts w:ascii="Times New Roman" w:hAnsi="Times New Roman" w:cs="Times New Roman"/>
        </w:rPr>
        <w:t>, gan transportējot pārstrādāt</w:t>
      </w:r>
      <w:r w:rsidR="006A6AFB" w:rsidRPr="002523AE">
        <w:rPr>
          <w:rFonts w:ascii="Times New Roman" w:hAnsi="Times New Roman" w:cs="Times New Roman"/>
        </w:rPr>
        <w:t>ās notekūdeņu</w:t>
      </w:r>
      <w:r w:rsidRPr="002523AE">
        <w:rPr>
          <w:rFonts w:ascii="Times New Roman" w:hAnsi="Times New Roman" w:cs="Times New Roman"/>
        </w:rPr>
        <w:t xml:space="preserve"> dūņas uz gala utilizācijas vietu, tomēr pārstrādes kopējās izmaksas samazina efektīvāka pārstrādes centru darbība, kā arī ir sagaidāma augstāka un stabilāka pārstrādāto </w:t>
      </w:r>
      <w:r w:rsidR="006A6AFB" w:rsidRPr="002523AE">
        <w:rPr>
          <w:rFonts w:ascii="Times New Roman" w:hAnsi="Times New Roman" w:cs="Times New Roman"/>
        </w:rPr>
        <w:t xml:space="preserve">notekūdeņu </w:t>
      </w:r>
      <w:r w:rsidRPr="002523AE">
        <w:rPr>
          <w:rFonts w:ascii="Times New Roman" w:hAnsi="Times New Roman" w:cs="Times New Roman"/>
        </w:rPr>
        <w:t>dūņu kvalitāte</w:t>
      </w:r>
      <w:r w:rsidR="006A6AFB" w:rsidRPr="002523AE">
        <w:rPr>
          <w:rFonts w:ascii="Times New Roman" w:hAnsi="Times New Roman" w:cs="Times New Roman"/>
        </w:rPr>
        <w:t>.</w:t>
      </w:r>
    </w:p>
    <w:p w14:paraId="7813B220" w14:textId="77777777" w:rsidR="00AC180A" w:rsidRPr="002523AE" w:rsidRDefault="00EA14ED" w:rsidP="00EA14ED">
      <w:pPr>
        <w:jc w:val="center"/>
        <w:rPr>
          <w:rFonts w:ascii="Times New Roman" w:hAnsi="Times New Roman" w:cs="Times New Roman"/>
          <w:b/>
          <w:bCs/>
          <w:szCs w:val="24"/>
          <w:u w:val="single"/>
        </w:rPr>
      </w:pPr>
      <w:r w:rsidRPr="002523AE">
        <w:rPr>
          <w:rFonts w:ascii="Times New Roman" w:hAnsi="Times New Roman" w:cs="Times New Roman"/>
          <w:b/>
          <w:bCs/>
          <w:szCs w:val="24"/>
          <w:u w:val="single"/>
        </w:rPr>
        <w:t>Notekūdeņu dūņu centralizācijas alternatīvu novērtējums</w:t>
      </w:r>
    </w:p>
    <w:p w14:paraId="26A57FDF" w14:textId="77777777" w:rsidR="00EA14ED" w:rsidRPr="002523AE" w:rsidRDefault="00EA14ED" w:rsidP="00EA14ED">
      <w:pPr>
        <w:spacing w:before="120" w:after="120"/>
        <w:ind w:firstLine="720"/>
        <w:rPr>
          <w:rFonts w:ascii="Times New Roman" w:hAnsi="Times New Roman" w:cs="Times New Roman"/>
        </w:rPr>
      </w:pPr>
      <w:r w:rsidRPr="002523AE">
        <w:rPr>
          <w:rFonts w:ascii="Times New Roman" w:hAnsi="Times New Roman" w:cs="Times New Roman"/>
        </w:rPr>
        <w:t>Notekūdeņu dūņu centralizācijas alternatīvu novērtējumu laikā ir izskatīti četri notekūdeņu dūņu pārstrādes centru izveides varianti:</w:t>
      </w:r>
    </w:p>
    <w:p w14:paraId="3627466F" w14:textId="77777777" w:rsidR="00EA14ED" w:rsidRPr="002523AE" w:rsidRDefault="00EA14ED" w:rsidP="006A6AFB">
      <w:pPr>
        <w:numPr>
          <w:ilvl w:val="0"/>
          <w:numId w:val="4"/>
        </w:numPr>
        <w:pBdr>
          <w:top w:val="nil"/>
          <w:left w:val="nil"/>
          <w:bottom w:val="nil"/>
          <w:right w:val="nil"/>
          <w:between w:val="nil"/>
        </w:pBdr>
        <w:spacing w:after="0"/>
        <w:ind w:left="1134"/>
        <w:rPr>
          <w:rFonts w:ascii="Times New Roman" w:hAnsi="Times New Roman" w:cs="Times New Roman"/>
        </w:rPr>
      </w:pPr>
      <w:r w:rsidRPr="002523AE">
        <w:rPr>
          <w:rFonts w:ascii="Times New Roman" w:hAnsi="Times New Roman" w:cs="Times New Roman"/>
          <w:color w:val="000000"/>
        </w:rPr>
        <w:t>Notekūdeņu dūņu pārstrāde 41 notekūdeņu dūņu pārstrādes centrā;</w:t>
      </w:r>
    </w:p>
    <w:p w14:paraId="1BC5E18D" w14:textId="77777777" w:rsidR="00EA14ED" w:rsidRPr="002523AE" w:rsidRDefault="00EA14ED" w:rsidP="006A6AFB">
      <w:pPr>
        <w:numPr>
          <w:ilvl w:val="0"/>
          <w:numId w:val="4"/>
        </w:numPr>
        <w:pBdr>
          <w:top w:val="nil"/>
          <w:left w:val="nil"/>
          <w:bottom w:val="nil"/>
          <w:right w:val="nil"/>
          <w:between w:val="nil"/>
        </w:pBdr>
        <w:spacing w:after="0"/>
        <w:ind w:left="1134"/>
        <w:rPr>
          <w:rFonts w:ascii="Times New Roman" w:hAnsi="Times New Roman" w:cs="Times New Roman"/>
        </w:rPr>
      </w:pPr>
      <w:r w:rsidRPr="002523AE">
        <w:rPr>
          <w:rFonts w:ascii="Times New Roman" w:hAnsi="Times New Roman" w:cs="Times New Roman"/>
          <w:color w:val="000000"/>
        </w:rPr>
        <w:t>Notekūdeņu dūņu pārstrāde 30 notekūdeņu dūņu pārstrādes centros;</w:t>
      </w:r>
    </w:p>
    <w:p w14:paraId="116A8DCE" w14:textId="77777777" w:rsidR="00EA14ED" w:rsidRPr="002523AE" w:rsidRDefault="00EA14ED" w:rsidP="006A6AFB">
      <w:pPr>
        <w:numPr>
          <w:ilvl w:val="0"/>
          <w:numId w:val="4"/>
        </w:numPr>
        <w:pBdr>
          <w:top w:val="nil"/>
          <w:left w:val="nil"/>
          <w:bottom w:val="nil"/>
          <w:right w:val="nil"/>
          <w:between w:val="nil"/>
        </w:pBdr>
        <w:spacing w:after="0"/>
        <w:ind w:left="1134"/>
        <w:rPr>
          <w:rFonts w:ascii="Times New Roman" w:hAnsi="Times New Roman" w:cs="Times New Roman"/>
        </w:rPr>
      </w:pPr>
      <w:r w:rsidRPr="002523AE">
        <w:rPr>
          <w:rFonts w:ascii="Times New Roman" w:hAnsi="Times New Roman" w:cs="Times New Roman"/>
          <w:color w:val="000000"/>
        </w:rPr>
        <w:t>Notekūdeņu dūņu pārstrāde 16 notekūdeņu dūņu pārstrādes centros;</w:t>
      </w:r>
    </w:p>
    <w:p w14:paraId="05E8B497" w14:textId="1016B9E9" w:rsidR="001C6077" w:rsidRPr="006E129D" w:rsidRDefault="00EA14ED" w:rsidP="001C6077">
      <w:pPr>
        <w:numPr>
          <w:ilvl w:val="0"/>
          <w:numId w:val="4"/>
        </w:numPr>
        <w:pBdr>
          <w:top w:val="nil"/>
          <w:left w:val="nil"/>
          <w:bottom w:val="nil"/>
          <w:right w:val="nil"/>
          <w:between w:val="nil"/>
        </w:pBdr>
        <w:spacing w:after="0"/>
        <w:ind w:left="1134"/>
        <w:rPr>
          <w:rFonts w:ascii="Times New Roman" w:hAnsi="Times New Roman" w:cs="Times New Roman"/>
        </w:rPr>
      </w:pPr>
      <w:r w:rsidRPr="002523AE">
        <w:rPr>
          <w:rFonts w:ascii="Times New Roman" w:hAnsi="Times New Roman" w:cs="Times New Roman"/>
          <w:color w:val="000000"/>
        </w:rPr>
        <w:t>Notekūdeņu dūņu pārstrāde 5 notekūdeņu dūņu pārstrādes centros.</w:t>
      </w:r>
      <w:bookmarkStart w:id="38" w:name="_Toc82430160"/>
    </w:p>
    <w:p w14:paraId="1745EF90" w14:textId="77777777" w:rsidR="006E129D" w:rsidRDefault="006E129D" w:rsidP="006E129D">
      <w:pPr>
        <w:pBdr>
          <w:top w:val="nil"/>
          <w:left w:val="nil"/>
          <w:bottom w:val="nil"/>
          <w:right w:val="nil"/>
          <w:between w:val="nil"/>
        </w:pBdr>
        <w:spacing w:after="0"/>
        <w:rPr>
          <w:rFonts w:ascii="Times New Roman" w:hAnsi="Times New Roman" w:cs="Times New Roman"/>
          <w:color w:val="000000"/>
        </w:rPr>
      </w:pPr>
    </w:p>
    <w:p w14:paraId="49335EA3" w14:textId="6E456C41" w:rsidR="006E129D" w:rsidRDefault="00CE5E66" w:rsidP="006E129D">
      <w:pPr>
        <w:pBdr>
          <w:top w:val="nil"/>
          <w:left w:val="nil"/>
          <w:bottom w:val="nil"/>
          <w:right w:val="nil"/>
          <w:between w:val="nil"/>
        </w:pBdr>
        <w:spacing w:after="0"/>
        <w:rPr>
          <w:rFonts w:ascii="Times New Roman" w:hAnsi="Times New Roman" w:cs="Times New Roman"/>
        </w:rPr>
      </w:pPr>
      <w:r>
        <w:rPr>
          <w:rFonts w:ascii="Times New Roman" w:hAnsi="Times New Roman" w:cs="Times New Roman"/>
        </w:rPr>
        <w:t xml:space="preserve">Vērtējot notekūdeņu dūņu </w:t>
      </w:r>
      <w:r w:rsidRPr="001E21ED">
        <w:rPr>
          <w:rFonts w:ascii="Times New Roman" w:hAnsi="Times New Roman" w:cs="Times New Roman"/>
          <w:u w:val="single"/>
        </w:rPr>
        <w:t>centralizācijas alternatīvas</w:t>
      </w:r>
      <w:r>
        <w:rPr>
          <w:rFonts w:ascii="Times New Roman" w:hAnsi="Times New Roman" w:cs="Times New Roman"/>
        </w:rPr>
        <w:t xml:space="preserve">, </w:t>
      </w:r>
      <w:r w:rsidR="00247D83">
        <w:rPr>
          <w:rFonts w:ascii="Times New Roman" w:hAnsi="Times New Roman" w:cs="Times New Roman"/>
        </w:rPr>
        <w:t>netika ietverta BAS “Daugavgrīva”, jo tās no</w:t>
      </w:r>
      <w:r w:rsidR="001E21ED">
        <w:rPr>
          <w:rFonts w:ascii="Times New Roman" w:hAnsi="Times New Roman" w:cs="Times New Roman"/>
        </w:rPr>
        <w:t>v</w:t>
      </w:r>
      <w:r w:rsidR="00247D83">
        <w:rPr>
          <w:rFonts w:ascii="Times New Roman" w:hAnsi="Times New Roman" w:cs="Times New Roman"/>
        </w:rPr>
        <w:t>ietojum</w:t>
      </w:r>
      <w:r w:rsidR="00523E25">
        <w:rPr>
          <w:rFonts w:ascii="Times New Roman" w:hAnsi="Times New Roman" w:cs="Times New Roman"/>
        </w:rPr>
        <w:t>s</w:t>
      </w:r>
      <w:r w:rsidR="00247D83">
        <w:rPr>
          <w:rFonts w:ascii="Times New Roman" w:hAnsi="Times New Roman" w:cs="Times New Roman"/>
        </w:rPr>
        <w:t xml:space="preserve"> </w:t>
      </w:r>
      <w:r w:rsidR="005D7F51">
        <w:rPr>
          <w:rFonts w:ascii="Times New Roman" w:hAnsi="Times New Roman" w:cs="Times New Roman"/>
        </w:rPr>
        <w:t>un kapacitātes rezerv</w:t>
      </w:r>
      <w:r w:rsidR="00523E25">
        <w:rPr>
          <w:rFonts w:ascii="Times New Roman" w:hAnsi="Times New Roman" w:cs="Times New Roman"/>
        </w:rPr>
        <w:t>es</w:t>
      </w:r>
      <w:r w:rsidR="005D7F51">
        <w:rPr>
          <w:rFonts w:ascii="Times New Roman" w:hAnsi="Times New Roman" w:cs="Times New Roman"/>
        </w:rPr>
        <w:t xml:space="preserve"> nepieļauj </w:t>
      </w:r>
      <w:r w:rsidR="007258DC">
        <w:rPr>
          <w:rFonts w:ascii="Times New Roman" w:hAnsi="Times New Roman" w:cs="Times New Roman"/>
        </w:rPr>
        <w:t>citu</w:t>
      </w:r>
      <w:r w:rsidR="005D7F51">
        <w:rPr>
          <w:rFonts w:ascii="Times New Roman" w:hAnsi="Times New Roman" w:cs="Times New Roman"/>
        </w:rPr>
        <w:t xml:space="preserve"> </w:t>
      </w:r>
      <w:r w:rsidR="007258DC">
        <w:rPr>
          <w:rFonts w:ascii="Times New Roman" w:hAnsi="Times New Roman" w:cs="Times New Roman"/>
        </w:rPr>
        <w:t>NAI</w:t>
      </w:r>
      <w:r w:rsidR="005D7F51">
        <w:rPr>
          <w:rFonts w:ascii="Times New Roman" w:hAnsi="Times New Roman" w:cs="Times New Roman"/>
        </w:rPr>
        <w:t xml:space="preserve"> dūņu pieņemšanu</w:t>
      </w:r>
      <w:r w:rsidR="00FD31A6">
        <w:rPr>
          <w:rFonts w:ascii="Times New Roman" w:hAnsi="Times New Roman" w:cs="Times New Roman"/>
        </w:rPr>
        <w:t xml:space="preserve">. BAS “Daugavgrīva” </w:t>
      </w:r>
      <w:r w:rsidR="007258DC">
        <w:rPr>
          <w:rFonts w:ascii="Times New Roman" w:hAnsi="Times New Roman" w:cs="Times New Roman"/>
        </w:rPr>
        <w:t>pārstrādā savā teritorijā rādītās dūņas</w:t>
      </w:r>
      <w:r w:rsidR="005314BF">
        <w:rPr>
          <w:rFonts w:ascii="Times New Roman" w:hAnsi="Times New Roman" w:cs="Times New Roman"/>
        </w:rPr>
        <w:t xml:space="preserve"> un ir valsts lielākais dūņu pārstrādātājs, taču tā nevar būt dūņu pieņemšanas centrs. </w:t>
      </w:r>
      <w:r w:rsidR="007258DC">
        <w:rPr>
          <w:rFonts w:ascii="Times New Roman" w:hAnsi="Times New Roman" w:cs="Times New Roman"/>
        </w:rPr>
        <w:t xml:space="preserve"> </w:t>
      </w:r>
    </w:p>
    <w:p w14:paraId="52E6E9F9" w14:textId="77777777" w:rsidR="00EA31DD" w:rsidRPr="00EA31DD" w:rsidRDefault="00EA31DD" w:rsidP="00EA31DD">
      <w:pPr>
        <w:pBdr>
          <w:top w:val="nil"/>
          <w:left w:val="nil"/>
          <w:bottom w:val="nil"/>
          <w:right w:val="nil"/>
          <w:between w:val="nil"/>
        </w:pBdr>
        <w:spacing w:after="0"/>
        <w:ind w:left="1134"/>
        <w:rPr>
          <w:rFonts w:ascii="Times New Roman" w:hAnsi="Times New Roman" w:cs="Times New Roman"/>
        </w:rPr>
      </w:pPr>
    </w:p>
    <w:p w14:paraId="4B64AAB2" w14:textId="77777777" w:rsidR="00EA14ED" w:rsidRPr="00423790" w:rsidRDefault="00EA14ED" w:rsidP="00423790">
      <w:pPr>
        <w:pStyle w:val="Heading2"/>
        <w:spacing w:before="120" w:after="120"/>
        <w:jc w:val="center"/>
        <w:rPr>
          <w:rFonts w:ascii="Times New Roman" w:eastAsia="Times New Roman" w:hAnsi="Times New Roman" w:cs="Times New Roman"/>
          <w:b/>
          <w:bCs/>
          <w:color w:val="auto"/>
          <w:sz w:val="24"/>
          <w:szCs w:val="24"/>
          <w:lang w:eastAsia="en-GB"/>
        </w:rPr>
      </w:pPr>
      <w:bookmarkStart w:id="39" w:name="_Toc107916312"/>
      <w:r w:rsidRPr="00423790">
        <w:rPr>
          <w:rFonts w:ascii="Times New Roman" w:eastAsia="Times New Roman" w:hAnsi="Times New Roman" w:cs="Times New Roman"/>
          <w:b/>
          <w:bCs/>
          <w:color w:val="auto"/>
          <w:sz w:val="24"/>
          <w:szCs w:val="24"/>
          <w:lang w:eastAsia="en-GB"/>
        </w:rPr>
        <w:t>D1. Alternatīva: Notekūdeņu dūņu pārstrāde 41 notekūdeņu dūņu pārstrādes centrā</w:t>
      </w:r>
      <w:bookmarkEnd w:id="38"/>
      <w:bookmarkEnd w:id="39"/>
    </w:p>
    <w:p w14:paraId="6FF53E16" w14:textId="739A4FEC" w:rsidR="00EA14ED" w:rsidRPr="00423790" w:rsidRDefault="00EA14ED" w:rsidP="001C6077">
      <w:pPr>
        <w:spacing w:before="120" w:after="120"/>
        <w:ind w:firstLine="720"/>
        <w:rPr>
          <w:rFonts w:ascii="Times New Roman" w:eastAsia="Calibri" w:hAnsi="Times New Roman" w:cs="Times New Roman"/>
          <w:sz w:val="28"/>
          <w:lang w:eastAsia="lv-LV"/>
        </w:rPr>
      </w:pPr>
      <w:r w:rsidRPr="00423790">
        <w:rPr>
          <w:rFonts w:ascii="Times New Roman" w:hAnsi="Times New Roman" w:cs="Times New Roman"/>
        </w:rPr>
        <w:t xml:space="preserve">41 notekūdeņu dūņu pārstrādes centra alternatīva paredz, ka katrā Latvijas pašvaldībā tiek veidots viens notekūdeņu dūņu pārstrādes centrs pie pašvaldības lielākajām NAI. Par centru tiek izvēlētas pašvaldības lielākās NAI, jo tur veidojas lielākais notekūdeņu dūņu apjoms, kas samazina kopējās transportēšanas izmaksas pašvaldības ietvaros, salīdzinot ar situāciju, ja tiek izvēlēta cita </w:t>
      </w:r>
      <w:r w:rsidR="004F023B" w:rsidRPr="00423790">
        <w:rPr>
          <w:rFonts w:ascii="Times New Roman" w:hAnsi="Times New Roman" w:cs="Times New Roman"/>
        </w:rPr>
        <w:t xml:space="preserve">notekūdeņu </w:t>
      </w:r>
      <w:r w:rsidRPr="00423790">
        <w:rPr>
          <w:rFonts w:ascii="Times New Roman" w:hAnsi="Times New Roman" w:cs="Times New Roman"/>
        </w:rPr>
        <w:t>dūņu pārstrādes vieta. Papildus pašvaldības lielākajās NAI bū</w:t>
      </w:r>
      <w:r w:rsidR="004F023B" w:rsidRPr="00423790">
        <w:rPr>
          <w:rFonts w:ascii="Times New Roman" w:hAnsi="Times New Roman" w:cs="Times New Roman"/>
        </w:rPr>
        <w:t>s</w:t>
      </w:r>
      <w:r w:rsidRPr="00423790">
        <w:rPr>
          <w:rFonts w:ascii="Times New Roman" w:hAnsi="Times New Roman" w:cs="Times New Roman"/>
        </w:rPr>
        <w:t xml:space="preserve"> izvietotas arī notekūdeņu dūņu mehāniskās atūdeņošanas iekārtas, kurās varēs atūdeņot no citām pašvaldības NAI ievestās slapjās </w:t>
      </w:r>
      <w:r w:rsidR="004F023B" w:rsidRPr="00423790">
        <w:rPr>
          <w:rFonts w:ascii="Times New Roman" w:hAnsi="Times New Roman" w:cs="Times New Roman"/>
        </w:rPr>
        <w:t xml:space="preserve">notekūdeņu </w:t>
      </w:r>
      <w:r w:rsidRPr="00423790">
        <w:rPr>
          <w:rFonts w:ascii="Times New Roman" w:hAnsi="Times New Roman" w:cs="Times New Roman"/>
        </w:rPr>
        <w:t>dūņas</w:t>
      </w:r>
      <w:r w:rsidR="004F023B" w:rsidRPr="00423790">
        <w:rPr>
          <w:rFonts w:ascii="Times New Roman" w:hAnsi="Times New Roman" w:cs="Times New Roman"/>
        </w:rPr>
        <w:t>. T</w:t>
      </w:r>
      <w:r w:rsidRPr="00423790">
        <w:rPr>
          <w:rFonts w:ascii="Times New Roman" w:hAnsi="Times New Roman" w:cs="Times New Roman"/>
        </w:rPr>
        <w:t xml:space="preserve">āpat pie pašvaldības lielākajām NAI visticamāk ir gan </w:t>
      </w:r>
      <w:r w:rsidR="004F023B" w:rsidRPr="00423790">
        <w:rPr>
          <w:rFonts w:ascii="Times New Roman" w:hAnsi="Times New Roman" w:cs="Times New Roman"/>
        </w:rPr>
        <w:t xml:space="preserve">notekūdeņu </w:t>
      </w:r>
      <w:r w:rsidRPr="00423790">
        <w:rPr>
          <w:rFonts w:ascii="Times New Roman" w:hAnsi="Times New Roman" w:cs="Times New Roman"/>
        </w:rPr>
        <w:t>dūņu pārstrādes centra izveidei nepieciešamā teritorija, gan kvalitatīvāks esošo cilvēkresursu nodrošinājums.</w:t>
      </w:r>
      <w:r w:rsidR="004F023B" w:rsidRPr="00423790">
        <w:rPr>
          <w:rFonts w:ascii="Times New Roman" w:hAnsi="Times New Roman" w:cs="Times New Roman"/>
        </w:rPr>
        <w:t xml:space="preserve"> </w:t>
      </w:r>
      <w:r w:rsidRPr="00423790">
        <w:rPr>
          <w:rFonts w:ascii="Times New Roman" w:hAnsi="Times New Roman" w:cs="Times New Roman"/>
        </w:rPr>
        <w:t xml:space="preserve">Alternatīvas aprēķinu ietvaros ir pieņemts, ka visas pašvaldības teritorijā radītās sadzīves notekūdeņu dūņas nonāk pārstrādes centrā, kur tās </w:t>
      </w:r>
      <w:r w:rsidRPr="00423790">
        <w:rPr>
          <w:rFonts w:ascii="Times New Roman" w:hAnsi="Times New Roman" w:cs="Times New Roman"/>
        </w:rPr>
        <w:lastRenderedPageBreak/>
        <w:t xml:space="preserve">tiek atbilstoši pārstrādātas (skat. 3.nodaļu). Pēc pārstrādes, tām tiek veiktas kvalitātes analīzes un tiek nogādātas lauksaimniekiem gala utilizācijai (skat. </w:t>
      </w:r>
      <w:r w:rsidR="00982590">
        <w:rPr>
          <w:rFonts w:ascii="Times New Roman" w:hAnsi="Times New Roman" w:cs="Times New Roman"/>
        </w:rPr>
        <w:t>4.1.1</w:t>
      </w:r>
      <w:r w:rsidRPr="00423790">
        <w:rPr>
          <w:rFonts w:ascii="Times New Roman" w:hAnsi="Times New Roman" w:cs="Times New Roman"/>
        </w:rPr>
        <w:t xml:space="preserve">.attēlu </w:t>
      </w:r>
      <w:r w:rsidRPr="00423790">
        <w:rPr>
          <w:rFonts w:ascii="Times New Roman" w:hAnsi="Times New Roman" w:cs="Times New Roman"/>
          <w:color w:val="000000"/>
        </w:rPr>
        <w:t>“41 notekūdeņu dūņu pārstrādes centrs Latvijā”</w:t>
      </w:r>
      <w:r w:rsidRPr="00423790">
        <w:rPr>
          <w:rFonts w:ascii="Times New Roman" w:hAnsi="Times New Roman" w:cs="Times New Roman"/>
        </w:rPr>
        <w:t>).</w:t>
      </w:r>
    </w:p>
    <w:p w14:paraId="2E5BC083" w14:textId="71C80C94" w:rsidR="001C6077" w:rsidRPr="00423790" w:rsidRDefault="001C6077" w:rsidP="001C6077">
      <w:pPr>
        <w:spacing w:before="120" w:after="120"/>
        <w:ind w:firstLine="720"/>
        <w:rPr>
          <w:rFonts w:ascii="Times New Roman" w:hAnsi="Times New Roman" w:cs="Times New Roman"/>
        </w:rPr>
      </w:pPr>
      <w:r w:rsidRPr="00423790">
        <w:rPr>
          <w:rFonts w:ascii="Times New Roman" w:hAnsi="Times New Roman" w:cs="Times New Roman"/>
        </w:rPr>
        <w:t xml:space="preserve">Veidojot katrā pašvaldībā vienu notekūdeņu dūņu pārstrādes centru, kopējās ikgadējās notekūdeņu dūņu pārstrādes izmaksas </w:t>
      </w:r>
      <w:r w:rsidR="00000199" w:rsidRPr="00423790">
        <w:rPr>
          <w:rFonts w:ascii="Times New Roman" w:hAnsi="Times New Roman" w:cs="Times New Roman"/>
        </w:rPr>
        <w:t>tika</w:t>
      </w:r>
      <w:r w:rsidRPr="00423790">
        <w:rPr>
          <w:rFonts w:ascii="Times New Roman" w:hAnsi="Times New Roman" w:cs="Times New Roman"/>
        </w:rPr>
        <w:t xml:space="preserve"> aprēķinātas aptuveni 4,1 milj. EUR gadā, savukārt kopējās nepieciešamās kapitālās investīcijas sistēmas izveidošanai </w:t>
      </w:r>
      <w:r w:rsidR="00000199" w:rsidRPr="00423790">
        <w:rPr>
          <w:rFonts w:ascii="Times New Roman" w:hAnsi="Times New Roman" w:cs="Times New Roman"/>
        </w:rPr>
        <w:t>tika</w:t>
      </w:r>
      <w:r w:rsidRPr="00423790">
        <w:rPr>
          <w:rFonts w:ascii="Times New Roman" w:hAnsi="Times New Roman" w:cs="Times New Roman"/>
        </w:rPr>
        <w:t xml:space="preserve"> aprēķinātas aptuveni 52,9 milj. EUR (Detalizētus aprēķinus skatīt pielikumā</w:t>
      </w:r>
      <w:r w:rsidR="00171A11" w:rsidRPr="00423790">
        <w:rPr>
          <w:rFonts w:ascii="Times New Roman" w:hAnsi="Times New Roman" w:cs="Times New Roman"/>
        </w:rPr>
        <w:t xml:space="preserve"> Nr.4.9. “Uzturēšanas izmaksas notekūdeņu dūņu pārstrādē”</w:t>
      </w:r>
      <w:r w:rsidRPr="00423790">
        <w:rPr>
          <w:rFonts w:ascii="Times New Roman" w:hAnsi="Times New Roman" w:cs="Times New Roman"/>
        </w:rPr>
        <w:t>).</w:t>
      </w:r>
    </w:p>
    <w:p w14:paraId="10F5386F" w14:textId="77777777" w:rsidR="001C6077" w:rsidRPr="00175DD0" w:rsidRDefault="001C6077" w:rsidP="001C6077"/>
    <w:p w14:paraId="2A82C1CF" w14:textId="77777777" w:rsidR="001C6077" w:rsidRPr="00175DD0" w:rsidRDefault="001C6077" w:rsidP="001C6077">
      <w:pPr>
        <w:sectPr w:rsidR="001C6077" w:rsidRPr="00175DD0" w:rsidSect="007E349D">
          <w:pgSz w:w="11906" w:h="16838"/>
          <w:pgMar w:top="1134" w:right="1701" w:bottom="1134" w:left="1701" w:header="708" w:footer="708" w:gutter="0"/>
          <w:cols w:space="708"/>
          <w:docGrid w:linePitch="360"/>
        </w:sectPr>
      </w:pPr>
    </w:p>
    <w:p w14:paraId="7551E09D" w14:textId="77777777" w:rsidR="001C6077" w:rsidRPr="00175DD0" w:rsidRDefault="001C6077" w:rsidP="001C6077">
      <w:r w:rsidRPr="00175DD0">
        <w:rPr>
          <w:noProof/>
          <w:lang w:eastAsia="lv-LV"/>
        </w:rPr>
        <w:lastRenderedPageBreak/>
        <w:drawing>
          <wp:anchor distT="0" distB="0" distL="114300" distR="114300" simplePos="0" relativeHeight="251658241" behindDoc="1" locked="0" layoutInCell="1" allowOverlap="1" wp14:anchorId="07168B61" wp14:editId="462A08ED">
            <wp:simplePos x="0" y="0"/>
            <wp:positionH relativeFrom="margin">
              <wp:align>center</wp:align>
            </wp:positionH>
            <wp:positionV relativeFrom="paragraph">
              <wp:posOffset>-419100</wp:posOffset>
            </wp:positionV>
            <wp:extent cx="8296275" cy="5872246"/>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296275" cy="58722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22CCA3" w14:textId="77777777" w:rsidR="001C6077" w:rsidRPr="00175DD0" w:rsidRDefault="001C6077" w:rsidP="001C6077">
      <w:r w:rsidRPr="00175DD0">
        <w:rPr>
          <w:noProof/>
          <w:lang w:eastAsia="lv-LV"/>
        </w:rPr>
        <mc:AlternateContent>
          <mc:Choice Requires="wps">
            <w:drawing>
              <wp:anchor distT="0" distB="0" distL="114300" distR="114300" simplePos="0" relativeHeight="251658242" behindDoc="0" locked="0" layoutInCell="1" allowOverlap="1" wp14:anchorId="66B20AE5" wp14:editId="1456EB08">
                <wp:simplePos x="0" y="0"/>
                <wp:positionH relativeFrom="margin">
                  <wp:align>center</wp:align>
                </wp:positionH>
                <wp:positionV relativeFrom="paragraph">
                  <wp:posOffset>4970145</wp:posOffset>
                </wp:positionV>
                <wp:extent cx="7077075" cy="2971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7077075"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652F51" w14:textId="5CB6F0F7" w:rsidR="00603B7B" w:rsidRPr="004A1E83" w:rsidRDefault="00982590" w:rsidP="004A1E83">
                            <w:pPr>
                              <w:jc w:val="center"/>
                              <w:rPr>
                                <w:rFonts w:ascii="Times New Roman" w:hAnsi="Times New Roman" w:cs="Times New Roman"/>
                                <w:iCs/>
                                <w:szCs w:val="24"/>
                              </w:rPr>
                            </w:pPr>
                            <w:r>
                              <w:rPr>
                                <w:rFonts w:ascii="Times New Roman" w:hAnsi="Times New Roman" w:cs="Times New Roman"/>
                                <w:b/>
                                <w:bCs/>
                                <w:iCs/>
                                <w:szCs w:val="24"/>
                              </w:rPr>
                              <w:t>4.1.1</w:t>
                            </w:r>
                            <w:r w:rsidR="00603B7B" w:rsidRPr="004A1E83">
                              <w:rPr>
                                <w:rFonts w:ascii="Times New Roman" w:hAnsi="Times New Roman" w:cs="Times New Roman"/>
                                <w:b/>
                                <w:bCs/>
                                <w:iCs/>
                                <w:szCs w:val="24"/>
                              </w:rPr>
                              <w:t>.attēls</w:t>
                            </w:r>
                            <w:r w:rsidR="004A1E83" w:rsidRPr="004A1E83">
                              <w:rPr>
                                <w:rFonts w:ascii="Times New Roman" w:hAnsi="Times New Roman" w:cs="Times New Roman"/>
                                <w:b/>
                                <w:bCs/>
                                <w:iCs/>
                                <w:szCs w:val="24"/>
                              </w:rPr>
                              <w:t>.</w:t>
                            </w:r>
                            <w:r w:rsidR="00603B7B" w:rsidRPr="004A1E83">
                              <w:rPr>
                                <w:rFonts w:ascii="Times New Roman" w:hAnsi="Times New Roman" w:cs="Times New Roman"/>
                                <w:iCs/>
                                <w:szCs w:val="24"/>
                              </w:rPr>
                              <w:t xml:space="preserve"> 41 notekūdeņu dūņu pārstrādes centra izvietojums Latvijā.</w:t>
                            </w:r>
                          </w:p>
                          <w:p w14:paraId="51D52FA9" w14:textId="77777777" w:rsidR="00603B7B" w:rsidRDefault="00603B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B20AE5" id="Text Box 26" o:spid="_x0000_s1037" type="#_x0000_t202" style="position:absolute;left:0;text-align:left;margin-left:0;margin-top:391.35pt;width:557.25pt;height:23.4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" filled="f" stroked="f" strokeweight=".5pt">
                <v:textbox>
                  <w:txbxContent>
                    <w:p w14:paraId="71652F51" w14:textId="5CB6F0F7" w:rsidR="00603B7B" w:rsidRPr="004A1E83" w:rsidRDefault="00982590" w:rsidP="004A1E83">
                      <w:pPr>
                        <w:jc w:val="center"/>
                        <w:rPr>
                          <w:rFonts w:ascii="Times New Roman" w:hAnsi="Times New Roman" w:cs="Times New Roman"/>
                          <w:iCs/>
                          <w:szCs w:val="24"/>
                        </w:rPr>
                      </w:pPr>
                      <w:r>
                        <w:rPr>
                          <w:rFonts w:ascii="Times New Roman" w:hAnsi="Times New Roman" w:cs="Times New Roman"/>
                          <w:b/>
                          <w:bCs/>
                          <w:iCs/>
                          <w:szCs w:val="24"/>
                        </w:rPr>
                        <w:t>4.1.1</w:t>
                      </w:r>
                      <w:r w:rsidR="00603B7B" w:rsidRPr="004A1E83">
                        <w:rPr>
                          <w:rFonts w:ascii="Times New Roman" w:hAnsi="Times New Roman" w:cs="Times New Roman"/>
                          <w:b/>
                          <w:bCs/>
                          <w:iCs/>
                          <w:szCs w:val="24"/>
                        </w:rPr>
                        <w:t>.attēls</w:t>
                      </w:r>
                      <w:r w:rsidR="004A1E83" w:rsidRPr="004A1E83">
                        <w:rPr>
                          <w:rFonts w:ascii="Times New Roman" w:hAnsi="Times New Roman" w:cs="Times New Roman"/>
                          <w:b/>
                          <w:bCs/>
                          <w:iCs/>
                          <w:szCs w:val="24"/>
                        </w:rPr>
                        <w:t>.</w:t>
                      </w:r>
                      <w:r w:rsidR="00603B7B" w:rsidRPr="004A1E83">
                        <w:rPr>
                          <w:rFonts w:ascii="Times New Roman" w:hAnsi="Times New Roman" w:cs="Times New Roman"/>
                          <w:iCs/>
                          <w:szCs w:val="24"/>
                        </w:rPr>
                        <w:t xml:space="preserve"> 41 notekūdeņu dūņu pārstrādes centra izvietojums Latvijā.</w:t>
                      </w:r>
                    </w:p>
                    <w:p w14:paraId="51D52FA9" w14:textId="77777777" w:rsidR="00603B7B" w:rsidRDefault="00603B7B"/>
                  </w:txbxContent>
                </v:textbox>
                <w10:wrap anchorx="margin"/>
              </v:shape>
            </w:pict>
          </mc:Fallback>
        </mc:AlternateContent>
      </w:r>
    </w:p>
    <w:p w14:paraId="0F116EBF" w14:textId="77777777" w:rsidR="001C6077" w:rsidRPr="00175DD0" w:rsidRDefault="001C6077" w:rsidP="001C6077">
      <w:pPr>
        <w:sectPr w:rsidR="001C6077" w:rsidRPr="00175DD0" w:rsidSect="007E349D">
          <w:pgSz w:w="16838" w:h="11906" w:orient="landscape"/>
          <w:pgMar w:top="1134" w:right="1701" w:bottom="1134" w:left="1701" w:header="708" w:footer="708" w:gutter="0"/>
          <w:cols w:space="708"/>
          <w:docGrid w:linePitch="360"/>
        </w:sectPr>
      </w:pPr>
    </w:p>
    <w:p w14:paraId="2AD24D96" w14:textId="77777777" w:rsidR="001C6077" w:rsidRPr="000D10A3" w:rsidRDefault="001C6077" w:rsidP="000D10A3">
      <w:pPr>
        <w:pStyle w:val="Heading2"/>
        <w:spacing w:before="0"/>
        <w:jc w:val="center"/>
        <w:rPr>
          <w:rFonts w:ascii="Times New Roman" w:eastAsia="Times New Roman" w:hAnsi="Times New Roman" w:cs="Times New Roman"/>
          <w:b/>
          <w:bCs/>
          <w:color w:val="auto"/>
          <w:sz w:val="24"/>
          <w:szCs w:val="24"/>
          <w:lang w:eastAsia="en-GB"/>
        </w:rPr>
      </w:pPr>
      <w:bookmarkStart w:id="40" w:name="_Toc82430161"/>
      <w:bookmarkStart w:id="41" w:name="_Toc107916313"/>
      <w:r w:rsidRPr="000D10A3">
        <w:rPr>
          <w:rFonts w:ascii="Times New Roman" w:eastAsia="Times New Roman" w:hAnsi="Times New Roman" w:cs="Times New Roman"/>
          <w:b/>
          <w:bCs/>
          <w:color w:val="auto"/>
          <w:sz w:val="24"/>
          <w:szCs w:val="24"/>
          <w:lang w:eastAsia="en-GB"/>
        </w:rPr>
        <w:lastRenderedPageBreak/>
        <w:t>D2. Alternatīva: Notekūdeņu dūņu pārstrāde 30 dūņu pārstrādes centros</w:t>
      </w:r>
      <w:bookmarkEnd w:id="40"/>
      <w:bookmarkEnd w:id="41"/>
    </w:p>
    <w:p w14:paraId="6DCD06BD" w14:textId="77777777" w:rsidR="000D10A3" w:rsidRDefault="000D10A3" w:rsidP="000D10A3">
      <w:pPr>
        <w:spacing w:after="0"/>
        <w:ind w:firstLine="720"/>
        <w:rPr>
          <w:rFonts w:ascii="Times New Roman" w:hAnsi="Times New Roman" w:cs="Times New Roman"/>
        </w:rPr>
      </w:pPr>
    </w:p>
    <w:p w14:paraId="60F72FCF" w14:textId="166CFA5A" w:rsidR="001C6077" w:rsidRPr="000D10A3" w:rsidRDefault="001C6077" w:rsidP="000D10A3">
      <w:pPr>
        <w:spacing w:after="0"/>
        <w:ind w:firstLine="720"/>
        <w:rPr>
          <w:rFonts w:ascii="Times New Roman" w:hAnsi="Times New Roman" w:cs="Times New Roman"/>
        </w:rPr>
      </w:pPr>
      <w:r w:rsidRPr="000D10A3">
        <w:rPr>
          <w:rFonts w:ascii="Times New Roman" w:hAnsi="Times New Roman" w:cs="Times New Roman"/>
        </w:rPr>
        <w:t xml:space="preserve">Izvērtējot 41 pārstrādes centru alternatīvu un tās aprēķinu rezultātus, </w:t>
      </w:r>
      <w:r w:rsidR="004F023B" w:rsidRPr="000D10A3">
        <w:rPr>
          <w:rFonts w:ascii="Times New Roman" w:hAnsi="Times New Roman" w:cs="Times New Roman"/>
        </w:rPr>
        <w:t>tika</w:t>
      </w:r>
      <w:r w:rsidRPr="000D10A3">
        <w:rPr>
          <w:rFonts w:ascii="Times New Roman" w:hAnsi="Times New Roman" w:cs="Times New Roman"/>
        </w:rPr>
        <w:t xml:space="preserve"> konstatēts, ka 16 centros slapju </w:t>
      </w:r>
      <w:r w:rsidR="004F023B" w:rsidRPr="000D10A3">
        <w:rPr>
          <w:rFonts w:ascii="Times New Roman" w:hAnsi="Times New Roman" w:cs="Times New Roman"/>
        </w:rPr>
        <w:t xml:space="preserve">notekūdeņu </w:t>
      </w:r>
      <w:r w:rsidRPr="000D10A3">
        <w:rPr>
          <w:rFonts w:ascii="Times New Roman" w:hAnsi="Times New Roman" w:cs="Times New Roman"/>
        </w:rPr>
        <w:t xml:space="preserve">dūņu apjoms ir mazāks par 10 000 t gadā. </w:t>
      </w:r>
      <w:r w:rsidR="004F023B" w:rsidRPr="000D10A3">
        <w:rPr>
          <w:rFonts w:ascii="Times New Roman" w:hAnsi="Times New Roman" w:cs="Times New Roman"/>
        </w:rPr>
        <w:t>Notekūdeņu d</w:t>
      </w:r>
      <w:r w:rsidRPr="000D10A3">
        <w:rPr>
          <w:rFonts w:ascii="Times New Roman" w:hAnsi="Times New Roman" w:cs="Times New Roman"/>
        </w:rPr>
        <w:t xml:space="preserve">ūņu pārstrādes un utilizācijas izmaksas šādos </w:t>
      </w:r>
      <w:r w:rsidR="004F023B" w:rsidRPr="000D10A3">
        <w:rPr>
          <w:rFonts w:ascii="Times New Roman" w:hAnsi="Times New Roman" w:cs="Times New Roman"/>
        </w:rPr>
        <w:t>nelielos</w:t>
      </w:r>
      <w:r w:rsidRPr="000D10A3">
        <w:rPr>
          <w:rFonts w:ascii="Times New Roman" w:hAnsi="Times New Roman" w:cs="Times New Roman"/>
        </w:rPr>
        <w:t xml:space="preserve"> centros </w:t>
      </w:r>
      <w:r w:rsidR="004F023B" w:rsidRPr="000D10A3">
        <w:rPr>
          <w:rFonts w:ascii="Times New Roman" w:hAnsi="Times New Roman" w:cs="Times New Roman"/>
        </w:rPr>
        <w:t>tika</w:t>
      </w:r>
      <w:r w:rsidRPr="000D10A3">
        <w:rPr>
          <w:rFonts w:ascii="Times New Roman" w:hAnsi="Times New Roman" w:cs="Times New Roman"/>
        </w:rPr>
        <w:t xml:space="preserve"> aprēķinātas 77,00 EUR</w:t>
      </w:r>
      <w:r w:rsidR="004F023B" w:rsidRPr="000D10A3">
        <w:rPr>
          <w:rFonts w:ascii="Times New Roman" w:hAnsi="Times New Roman" w:cs="Times New Roman"/>
        </w:rPr>
        <w:t>/</w:t>
      </w:r>
      <w:r w:rsidRPr="000D10A3">
        <w:rPr>
          <w:rFonts w:ascii="Times New Roman" w:hAnsi="Times New Roman" w:cs="Times New Roman"/>
        </w:rPr>
        <w:t xml:space="preserve">t un vairāk (skat. pielikumu </w:t>
      </w:r>
      <w:r w:rsidR="00171A11" w:rsidRPr="000D10A3">
        <w:rPr>
          <w:rFonts w:ascii="Times New Roman" w:hAnsi="Times New Roman" w:cs="Times New Roman"/>
        </w:rPr>
        <w:t xml:space="preserve">Nr.4.9. </w:t>
      </w:r>
      <w:r w:rsidRPr="000D10A3">
        <w:rPr>
          <w:rFonts w:ascii="Times New Roman" w:hAnsi="Times New Roman" w:cs="Times New Roman"/>
        </w:rPr>
        <w:t xml:space="preserve">“Uzturēšanas izmaksas notekūdeņu dūņu pārstrādē”), kas vērtējamas, kā ļoti augstas izmaksas un būtiski sadārdzinātu kanalizācijas pakalpojumu tarifu mazu kanalizācijas </w:t>
      </w:r>
      <w:r w:rsidR="00EE6694" w:rsidRPr="000D10A3">
        <w:rPr>
          <w:rFonts w:ascii="Times New Roman" w:hAnsi="Times New Roman" w:cs="Times New Roman"/>
        </w:rPr>
        <w:t>sistēmu</w:t>
      </w:r>
      <w:r w:rsidRPr="000D10A3">
        <w:rPr>
          <w:rFonts w:ascii="Times New Roman" w:hAnsi="Times New Roman" w:cs="Times New Roman"/>
        </w:rPr>
        <w:t xml:space="preserve"> gadījumā. Līdz ar to </w:t>
      </w:r>
      <w:r w:rsidR="004F023B" w:rsidRPr="000D10A3">
        <w:rPr>
          <w:rFonts w:ascii="Times New Roman" w:hAnsi="Times New Roman" w:cs="Times New Roman"/>
        </w:rPr>
        <w:t>tika</w:t>
      </w:r>
      <w:r w:rsidRPr="000D10A3">
        <w:rPr>
          <w:rFonts w:ascii="Times New Roman" w:hAnsi="Times New Roman" w:cs="Times New Roman"/>
        </w:rPr>
        <w:t xml:space="preserve"> </w:t>
      </w:r>
      <w:r w:rsidR="004F023B" w:rsidRPr="000D10A3">
        <w:rPr>
          <w:rFonts w:ascii="Times New Roman" w:hAnsi="Times New Roman" w:cs="Times New Roman"/>
        </w:rPr>
        <w:t>apskatīts risinājums, kas paredz</w:t>
      </w:r>
      <w:r w:rsidRPr="000D10A3">
        <w:rPr>
          <w:rFonts w:ascii="Times New Roman" w:hAnsi="Times New Roman" w:cs="Times New Roman"/>
        </w:rPr>
        <w:t xml:space="preserve"> mazāko centru pievienošanu tuvākajam lielākajam </w:t>
      </w:r>
      <w:r w:rsidR="004F023B" w:rsidRPr="000D10A3">
        <w:rPr>
          <w:rFonts w:ascii="Times New Roman" w:hAnsi="Times New Roman" w:cs="Times New Roman"/>
        </w:rPr>
        <w:t xml:space="preserve">notekūdeņu dūņu </w:t>
      </w:r>
      <w:r w:rsidRPr="000D10A3">
        <w:rPr>
          <w:rFonts w:ascii="Times New Roman" w:hAnsi="Times New Roman" w:cs="Times New Roman"/>
        </w:rPr>
        <w:t xml:space="preserve">centram, jo pārvedamais </w:t>
      </w:r>
      <w:r w:rsidR="004F023B" w:rsidRPr="000D10A3">
        <w:rPr>
          <w:rFonts w:ascii="Times New Roman" w:hAnsi="Times New Roman" w:cs="Times New Roman"/>
        </w:rPr>
        <w:t xml:space="preserve">notekūdeņu </w:t>
      </w:r>
      <w:r w:rsidRPr="000D10A3">
        <w:rPr>
          <w:rFonts w:ascii="Times New Roman" w:hAnsi="Times New Roman" w:cs="Times New Roman"/>
        </w:rPr>
        <w:t xml:space="preserve">dūņu apjoms ir neliels, kā rezultātā transportēšanas izmaksu pieaugums </w:t>
      </w:r>
      <w:r w:rsidR="004F023B" w:rsidRPr="000D10A3">
        <w:rPr>
          <w:rFonts w:ascii="Times New Roman" w:hAnsi="Times New Roman" w:cs="Times New Roman"/>
        </w:rPr>
        <w:t>prognozējams</w:t>
      </w:r>
      <w:r w:rsidRPr="000D10A3">
        <w:rPr>
          <w:rFonts w:ascii="Times New Roman" w:hAnsi="Times New Roman" w:cs="Times New Roman"/>
        </w:rPr>
        <w:t xml:space="preserve"> mazāks salīdzinājumā </w:t>
      </w:r>
      <w:r w:rsidR="004F023B" w:rsidRPr="000D10A3">
        <w:rPr>
          <w:rFonts w:ascii="Times New Roman" w:hAnsi="Times New Roman" w:cs="Times New Roman"/>
        </w:rPr>
        <w:t>pret</w:t>
      </w:r>
      <w:r w:rsidRPr="000D10A3">
        <w:rPr>
          <w:rFonts w:ascii="Times New Roman" w:hAnsi="Times New Roman" w:cs="Times New Roman"/>
        </w:rPr>
        <w:t xml:space="preserve"> uzturēšanas izmaksu ietaupījumu.</w:t>
      </w:r>
    </w:p>
    <w:p w14:paraId="05F1FA82" w14:textId="4B07602B" w:rsidR="001C6077" w:rsidRPr="000D10A3" w:rsidRDefault="001C6077" w:rsidP="001C6077">
      <w:pPr>
        <w:spacing w:before="120" w:after="120"/>
        <w:ind w:firstLine="720"/>
        <w:rPr>
          <w:rFonts w:ascii="Times New Roman" w:hAnsi="Times New Roman" w:cs="Times New Roman"/>
        </w:rPr>
      </w:pPr>
      <w:r w:rsidRPr="000D10A3">
        <w:rPr>
          <w:rFonts w:ascii="Times New Roman" w:hAnsi="Times New Roman" w:cs="Times New Roman"/>
        </w:rPr>
        <w:t xml:space="preserve">Veicot aprēķinus </w:t>
      </w:r>
      <w:r w:rsidR="004F023B" w:rsidRPr="000D10A3">
        <w:rPr>
          <w:rFonts w:ascii="Times New Roman" w:hAnsi="Times New Roman" w:cs="Times New Roman"/>
        </w:rPr>
        <w:t>tika</w:t>
      </w:r>
      <w:r w:rsidRPr="000D10A3">
        <w:rPr>
          <w:rFonts w:ascii="Times New Roman" w:hAnsi="Times New Roman" w:cs="Times New Roman"/>
        </w:rPr>
        <w:t xml:space="preserve"> noteikta “vārtu maks</w:t>
      </w:r>
      <w:r w:rsidR="00AD19B4">
        <w:rPr>
          <w:rFonts w:ascii="Times New Roman" w:hAnsi="Times New Roman" w:cs="Times New Roman"/>
        </w:rPr>
        <w:t>a</w:t>
      </w:r>
      <w:r w:rsidRPr="000D10A3">
        <w:rPr>
          <w:rFonts w:ascii="Times New Roman" w:hAnsi="Times New Roman" w:cs="Times New Roman"/>
        </w:rPr>
        <w:t>”, kas būtu jāmaksā mazāka</w:t>
      </w:r>
      <w:r w:rsidR="00171A11" w:rsidRPr="000D10A3">
        <w:rPr>
          <w:rFonts w:ascii="Times New Roman" w:hAnsi="Times New Roman" w:cs="Times New Roman"/>
        </w:rPr>
        <w:t>jam</w:t>
      </w:r>
      <w:r w:rsidRPr="000D10A3">
        <w:rPr>
          <w:rFonts w:ascii="Times New Roman" w:hAnsi="Times New Roman" w:cs="Times New Roman"/>
        </w:rPr>
        <w:t xml:space="preserve"> </w:t>
      </w:r>
      <w:r w:rsidR="00171A11" w:rsidRPr="000D10A3">
        <w:rPr>
          <w:rFonts w:ascii="Times New Roman" w:hAnsi="Times New Roman" w:cs="Times New Roman"/>
        </w:rPr>
        <w:t>SPS</w:t>
      </w:r>
      <w:r w:rsidRPr="000D10A3">
        <w:rPr>
          <w:rFonts w:ascii="Times New Roman" w:hAnsi="Times New Roman" w:cs="Times New Roman"/>
        </w:rPr>
        <w:t xml:space="preserve"> nododot savas apstrādātās</w:t>
      </w:r>
      <w:r w:rsidR="004F023B" w:rsidRPr="000D10A3">
        <w:rPr>
          <w:rFonts w:ascii="Times New Roman" w:hAnsi="Times New Roman" w:cs="Times New Roman"/>
        </w:rPr>
        <w:t xml:space="preserve"> notekūdeņu</w:t>
      </w:r>
      <w:r w:rsidRPr="000D10A3">
        <w:rPr>
          <w:rFonts w:ascii="Times New Roman" w:hAnsi="Times New Roman" w:cs="Times New Roman"/>
        </w:rPr>
        <w:t xml:space="preserve"> dūņas pārstrādei un utilizācijai blakus esošās pašvaldības pārstrādes centrā. Mazo</w:t>
      </w:r>
      <w:r w:rsidR="004F023B" w:rsidRPr="000D10A3">
        <w:rPr>
          <w:rFonts w:ascii="Times New Roman" w:hAnsi="Times New Roman" w:cs="Times New Roman"/>
        </w:rPr>
        <w:t xml:space="preserve">s </w:t>
      </w:r>
      <w:r w:rsidRPr="000D10A3">
        <w:rPr>
          <w:rFonts w:ascii="Times New Roman" w:hAnsi="Times New Roman" w:cs="Times New Roman"/>
        </w:rPr>
        <w:t>pārstrādes centr</w:t>
      </w:r>
      <w:r w:rsidR="004F023B" w:rsidRPr="000D10A3">
        <w:rPr>
          <w:rFonts w:ascii="Times New Roman" w:hAnsi="Times New Roman" w:cs="Times New Roman"/>
        </w:rPr>
        <w:t>os</w:t>
      </w:r>
      <w:r w:rsidRPr="000D10A3">
        <w:rPr>
          <w:rFonts w:ascii="Times New Roman" w:hAnsi="Times New Roman" w:cs="Times New Roman"/>
        </w:rPr>
        <w:t xml:space="preserve"> (līdz 10 000 m</w:t>
      </w:r>
      <w:r w:rsidRPr="000D10A3">
        <w:rPr>
          <w:rFonts w:ascii="Times New Roman" w:hAnsi="Times New Roman" w:cs="Times New Roman"/>
          <w:vertAlign w:val="superscript"/>
        </w:rPr>
        <w:t xml:space="preserve">3 </w:t>
      </w:r>
      <w:r w:rsidRPr="000D10A3">
        <w:rPr>
          <w:rFonts w:ascii="Times New Roman" w:hAnsi="Times New Roman" w:cs="Times New Roman"/>
        </w:rPr>
        <w:t>slapju</w:t>
      </w:r>
      <w:r w:rsidR="004F023B" w:rsidRPr="000D10A3">
        <w:rPr>
          <w:rFonts w:ascii="Times New Roman" w:hAnsi="Times New Roman" w:cs="Times New Roman"/>
        </w:rPr>
        <w:t xml:space="preserve"> notekūdeņu</w:t>
      </w:r>
      <w:r w:rsidRPr="000D10A3">
        <w:rPr>
          <w:rFonts w:ascii="Times New Roman" w:hAnsi="Times New Roman" w:cs="Times New Roman"/>
        </w:rPr>
        <w:t xml:space="preserve"> dūņu</w:t>
      </w:r>
      <w:r w:rsidR="004F023B" w:rsidRPr="000D10A3">
        <w:rPr>
          <w:rFonts w:ascii="Times New Roman" w:hAnsi="Times New Roman" w:cs="Times New Roman"/>
        </w:rPr>
        <w:t xml:space="preserve"> </w:t>
      </w:r>
      <w:r w:rsidRPr="000D10A3">
        <w:rPr>
          <w:rFonts w:ascii="Times New Roman" w:hAnsi="Times New Roman" w:cs="Times New Roman"/>
        </w:rPr>
        <w:t xml:space="preserve">gadā) </w:t>
      </w:r>
      <w:r w:rsidR="004F023B" w:rsidRPr="000D10A3">
        <w:rPr>
          <w:rFonts w:ascii="Times New Roman" w:hAnsi="Times New Roman" w:cs="Times New Roman"/>
        </w:rPr>
        <w:t>notekūdeņu dūņu</w:t>
      </w:r>
      <w:r w:rsidRPr="000D10A3">
        <w:rPr>
          <w:rFonts w:ascii="Times New Roman" w:hAnsi="Times New Roman" w:cs="Times New Roman"/>
        </w:rPr>
        <w:t xml:space="preserve"> pā</w:t>
      </w:r>
      <w:r w:rsidR="004F023B" w:rsidRPr="000D10A3">
        <w:rPr>
          <w:rFonts w:ascii="Times New Roman" w:hAnsi="Times New Roman" w:cs="Times New Roman"/>
        </w:rPr>
        <w:t>r</w:t>
      </w:r>
      <w:r w:rsidRPr="000D10A3">
        <w:rPr>
          <w:rFonts w:ascii="Times New Roman" w:hAnsi="Times New Roman" w:cs="Times New Roman"/>
        </w:rPr>
        <w:t xml:space="preserve">strādes izmaksas </w:t>
      </w:r>
      <w:r w:rsidR="004F023B" w:rsidRPr="000D10A3">
        <w:rPr>
          <w:rFonts w:ascii="Times New Roman" w:hAnsi="Times New Roman" w:cs="Times New Roman"/>
        </w:rPr>
        <w:t>tika</w:t>
      </w:r>
      <w:r w:rsidRPr="000D10A3">
        <w:rPr>
          <w:rFonts w:ascii="Times New Roman" w:hAnsi="Times New Roman" w:cs="Times New Roman"/>
        </w:rPr>
        <w:t xml:space="preserve"> aprēķinātas 77,00 EUR </w:t>
      </w:r>
      <w:r w:rsidR="004F023B" w:rsidRPr="000D10A3">
        <w:rPr>
          <w:rFonts w:ascii="Times New Roman" w:hAnsi="Times New Roman" w:cs="Times New Roman"/>
        </w:rPr>
        <w:t xml:space="preserve">par vienu tonnu </w:t>
      </w:r>
      <w:r w:rsidRPr="000D10A3">
        <w:rPr>
          <w:rFonts w:ascii="Times New Roman" w:hAnsi="Times New Roman" w:cs="Times New Roman"/>
        </w:rPr>
        <w:t>mehāniski atūdeņotu (18% sausna)</w:t>
      </w:r>
      <w:r w:rsidR="004F023B" w:rsidRPr="000D10A3">
        <w:rPr>
          <w:rFonts w:ascii="Times New Roman" w:hAnsi="Times New Roman" w:cs="Times New Roman"/>
        </w:rPr>
        <w:t xml:space="preserve"> notekūdeņu</w:t>
      </w:r>
      <w:r w:rsidRPr="000D10A3">
        <w:rPr>
          <w:rFonts w:ascii="Times New Roman" w:hAnsi="Times New Roman" w:cs="Times New Roman"/>
        </w:rPr>
        <w:t xml:space="preserve"> dūņu. Kopumā </w:t>
      </w:r>
      <w:r w:rsidR="004F023B" w:rsidRPr="000D10A3">
        <w:rPr>
          <w:rFonts w:ascii="Times New Roman" w:hAnsi="Times New Roman" w:cs="Times New Roman"/>
        </w:rPr>
        <w:t>veicot dažādu centrus skaita ietekmes modelēšanu tika</w:t>
      </w:r>
      <w:r w:rsidRPr="000D10A3">
        <w:rPr>
          <w:rFonts w:ascii="Times New Roman" w:hAnsi="Times New Roman" w:cs="Times New Roman"/>
        </w:rPr>
        <w:t xml:space="preserve"> novērota tendence</w:t>
      </w:r>
      <w:r w:rsidR="004F023B" w:rsidRPr="000D10A3">
        <w:rPr>
          <w:rFonts w:ascii="Times New Roman" w:hAnsi="Times New Roman" w:cs="Times New Roman"/>
        </w:rPr>
        <w:t xml:space="preserve">, ka jo </w:t>
      </w:r>
      <w:r w:rsidRPr="000D10A3">
        <w:rPr>
          <w:rFonts w:ascii="Times New Roman" w:hAnsi="Times New Roman" w:cs="Times New Roman"/>
        </w:rPr>
        <w:t xml:space="preserve">mazāks ir </w:t>
      </w:r>
      <w:r w:rsidR="004F023B" w:rsidRPr="000D10A3">
        <w:rPr>
          <w:rFonts w:ascii="Times New Roman" w:hAnsi="Times New Roman" w:cs="Times New Roman"/>
        </w:rPr>
        <w:t>notekūdeņu dūņu</w:t>
      </w:r>
      <w:r w:rsidRPr="000D10A3">
        <w:rPr>
          <w:rFonts w:ascii="Times New Roman" w:hAnsi="Times New Roman" w:cs="Times New Roman"/>
        </w:rPr>
        <w:t xml:space="preserve"> pārstrādes centrs, jo augstākas ir pārstrādes izmaksas. </w:t>
      </w:r>
      <w:r w:rsidR="004F023B" w:rsidRPr="000D10A3">
        <w:rPr>
          <w:rFonts w:ascii="Times New Roman" w:hAnsi="Times New Roman" w:cs="Times New Roman"/>
        </w:rPr>
        <w:t>Tādējādi arī tika aprēķināts</w:t>
      </w:r>
      <w:r w:rsidRPr="000D10A3">
        <w:rPr>
          <w:rFonts w:ascii="Times New Roman" w:hAnsi="Times New Roman" w:cs="Times New Roman"/>
        </w:rPr>
        <w:t>, ka</w:t>
      </w:r>
      <w:r w:rsidR="004F023B" w:rsidRPr="000D10A3">
        <w:rPr>
          <w:rFonts w:ascii="Times New Roman" w:hAnsi="Times New Roman" w:cs="Times New Roman"/>
        </w:rPr>
        <w:t xml:space="preserve"> 11 no</w:t>
      </w:r>
      <w:r w:rsidRPr="000D10A3">
        <w:rPr>
          <w:rFonts w:ascii="Times New Roman" w:hAnsi="Times New Roman" w:cs="Times New Roman"/>
        </w:rPr>
        <w:t xml:space="preserve"> minēt</w:t>
      </w:r>
      <w:r w:rsidR="004F023B" w:rsidRPr="000D10A3">
        <w:rPr>
          <w:rFonts w:ascii="Times New Roman" w:hAnsi="Times New Roman" w:cs="Times New Roman"/>
        </w:rPr>
        <w:t>ajiem</w:t>
      </w:r>
      <w:r w:rsidRPr="000D10A3">
        <w:rPr>
          <w:rFonts w:ascii="Times New Roman" w:hAnsi="Times New Roman" w:cs="Times New Roman"/>
        </w:rPr>
        <w:t xml:space="preserve"> 16 </w:t>
      </w:r>
      <w:r w:rsidR="004F023B" w:rsidRPr="000D10A3">
        <w:rPr>
          <w:rFonts w:ascii="Times New Roman" w:hAnsi="Times New Roman" w:cs="Times New Roman"/>
        </w:rPr>
        <w:t>nelielo</w:t>
      </w:r>
      <w:r w:rsidRPr="000D10A3">
        <w:rPr>
          <w:rFonts w:ascii="Times New Roman" w:hAnsi="Times New Roman" w:cs="Times New Roman"/>
        </w:rPr>
        <w:t xml:space="preserve"> pārstrādes centru gadījumā, zemākas </w:t>
      </w:r>
      <w:r w:rsidR="004F023B" w:rsidRPr="000D10A3">
        <w:rPr>
          <w:rFonts w:ascii="Times New Roman" w:hAnsi="Times New Roman" w:cs="Times New Roman"/>
        </w:rPr>
        <w:t xml:space="preserve">notekūdeņu </w:t>
      </w:r>
      <w:r w:rsidRPr="000D10A3">
        <w:rPr>
          <w:rFonts w:ascii="Times New Roman" w:hAnsi="Times New Roman" w:cs="Times New Roman"/>
        </w:rPr>
        <w:t>dūņu pārstrādes un utilizācijas izmaksas veidotos, ja</w:t>
      </w:r>
      <w:r w:rsidR="004F023B" w:rsidRPr="000D10A3">
        <w:rPr>
          <w:rFonts w:ascii="Times New Roman" w:hAnsi="Times New Roman" w:cs="Times New Roman"/>
        </w:rPr>
        <w:t xml:space="preserve"> notekūdeņu</w:t>
      </w:r>
      <w:r w:rsidRPr="000D10A3">
        <w:rPr>
          <w:rFonts w:ascii="Times New Roman" w:hAnsi="Times New Roman" w:cs="Times New Roman"/>
        </w:rPr>
        <w:t xml:space="preserve"> dūņas pārved uz tuvāko lielāko pārstrādes centru</w:t>
      </w:r>
      <w:r w:rsidR="004F023B" w:rsidRPr="000D10A3">
        <w:rPr>
          <w:rFonts w:ascii="Times New Roman" w:hAnsi="Times New Roman" w:cs="Times New Roman"/>
        </w:rPr>
        <w:t xml:space="preserve"> un rezultātā </w:t>
      </w:r>
      <w:r w:rsidRPr="000D10A3">
        <w:rPr>
          <w:rFonts w:ascii="Times New Roman" w:hAnsi="Times New Roman" w:cs="Times New Roman"/>
        </w:rPr>
        <w:t>veidotos 30</w:t>
      </w:r>
      <w:r w:rsidR="004F023B" w:rsidRPr="000D10A3">
        <w:rPr>
          <w:rFonts w:ascii="Times New Roman" w:hAnsi="Times New Roman" w:cs="Times New Roman"/>
        </w:rPr>
        <w:t xml:space="preserve"> notekūdeņu</w:t>
      </w:r>
      <w:r w:rsidRPr="000D10A3">
        <w:rPr>
          <w:rFonts w:ascii="Times New Roman" w:hAnsi="Times New Roman" w:cs="Times New Roman"/>
        </w:rPr>
        <w:t xml:space="preserve"> dūņu pārstrādes centri visā Latvijā. Pārējo mazo pārstrādes centru gadījumā slapj</w:t>
      </w:r>
      <w:r w:rsidR="004F023B" w:rsidRPr="000D10A3">
        <w:rPr>
          <w:rFonts w:ascii="Times New Roman" w:hAnsi="Times New Roman" w:cs="Times New Roman"/>
        </w:rPr>
        <w:t>o notekūdeņu</w:t>
      </w:r>
      <w:r w:rsidRPr="000D10A3">
        <w:rPr>
          <w:rFonts w:ascii="Times New Roman" w:hAnsi="Times New Roman" w:cs="Times New Roman"/>
        </w:rPr>
        <w:t xml:space="preserve"> dūņu daudzums gadā </w:t>
      </w:r>
      <w:r w:rsidR="004F023B" w:rsidRPr="000D10A3">
        <w:rPr>
          <w:rFonts w:ascii="Times New Roman" w:hAnsi="Times New Roman" w:cs="Times New Roman"/>
        </w:rPr>
        <w:t>prognozējams</w:t>
      </w:r>
      <w:r w:rsidRPr="000D10A3">
        <w:rPr>
          <w:rFonts w:ascii="Times New Roman" w:hAnsi="Times New Roman" w:cs="Times New Roman"/>
        </w:rPr>
        <w:t xml:space="preserve"> starp 9 000 – 10 000 m</w:t>
      </w:r>
      <w:r w:rsidRPr="000D10A3">
        <w:rPr>
          <w:rFonts w:ascii="Times New Roman" w:hAnsi="Times New Roman" w:cs="Times New Roman"/>
          <w:vertAlign w:val="superscript"/>
        </w:rPr>
        <w:t>3</w:t>
      </w:r>
      <w:r w:rsidRPr="000D10A3">
        <w:rPr>
          <w:rFonts w:ascii="Times New Roman" w:hAnsi="Times New Roman" w:cs="Times New Roman"/>
        </w:rPr>
        <w:t xml:space="preserve"> gadā, kā rezultātā pie “vārtu maksas” 77,00 EUR par vienu tonnu mehāniski atūdeņotu dūņu nodošanas pārstrādei un transportēšanas, izmaksas ir lielākas par sagaidāmo izmaksu ietaupījumu. </w:t>
      </w:r>
    </w:p>
    <w:p w14:paraId="2F240CB1" w14:textId="49041E81" w:rsidR="001C6077" w:rsidRPr="000D10A3" w:rsidRDefault="001C6077" w:rsidP="001C6077">
      <w:pPr>
        <w:spacing w:before="120" w:after="120"/>
        <w:ind w:firstLine="720"/>
        <w:rPr>
          <w:rFonts w:ascii="Times New Roman" w:hAnsi="Times New Roman" w:cs="Times New Roman"/>
        </w:rPr>
      </w:pPr>
      <w:r w:rsidRPr="000D10A3">
        <w:rPr>
          <w:rFonts w:ascii="Times New Roman" w:hAnsi="Times New Roman" w:cs="Times New Roman"/>
        </w:rPr>
        <w:t>“Vārtu maksa” 77,00 EUR veidojas pie alternatīv</w:t>
      </w:r>
      <w:r w:rsidR="00AD19B4">
        <w:rPr>
          <w:rFonts w:ascii="Times New Roman" w:hAnsi="Times New Roman" w:cs="Times New Roman"/>
        </w:rPr>
        <w:t>as</w:t>
      </w:r>
      <w:r w:rsidRPr="000D10A3">
        <w:rPr>
          <w:rFonts w:ascii="Times New Roman" w:hAnsi="Times New Roman" w:cs="Times New Roman"/>
        </w:rPr>
        <w:t xml:space="preserve"> salīdzinājumā izvēlētajiem izmaksu pieņēmumiem un ir izmantojama, kā salīdzinām</w:t>
      </w:r>
      <w:r w:rsidR="00171A11" w:rsidRPr="000D10A3">
        <w:rPr>
          <w:rFonts w:ascii="Times New Roman" w:hAnsi="Times New Roman" w:cs="Times New Roman"/>
        </w:rPr>
        <w:t>ā</w:t>
      </w:r>
      <w:r w:rsidRPr="000D10A3">
        <w:rPr>
          <w:rFonts w:ascii="Times New Roman" w:hAnsi="Times New Roman" w:cs="Times New Roman"/>
        </w:rPr>
        <w:t xml:space="preserve"> vērtība, nevis precīza prognozējamā </w:t>
      </w:r>
      <w:r w:rsidR="00000199" w:rsidRPr="000D10A3">
        <w:rPr>
          <w:rFonts w:ascii="Times New Roman" w:hAnsi="Times New Roman" w:cs="Times New Roman"/>
        </w:rPr>
        <w:t xml:space="preserve">pakalpojuma </w:t>
      </w:r>
      <w:r w:rsidRPr="000D10A3">
        <w:rPr>
          <w:rFonts w:ascii="Times New Roman" w:hAnsi="Times New Roman" w:cs="Times New Roman"/>
        </w:rPr>
        <w:t xml:space="preserve">maksa. Faktiskā vārtu maksa veidosies katrā pārstrādes centrā individuāli, ņemot vērā faktiskās infrastruktūras izbūves un uzturēšanas izmaksas un faktisko </w:t>
      </w:r>
      <w:r w:rsidR="00000199" w:rsidRPr="000D10A3">
        <w:rPr>
          <w:rFonts w:ascii="Times New Roman" w:hAnsi="Times New Roman" w:cs="Times New Roman"/>
        </w:rPr>
        <w:t xml:space="preserve">notekūdeņu </w:t>
      </w:r>
      <w:r w:rsidRPr="000D10A3">
        <w:rPr>
          <w:rFonts w:ascii="Times New Roman" w:hAnsi="Times New Roman" w:cs="Times New Roman"/>
        </w:rPr>
        <w:t>dūņu apjomu. Notekūdeņu dūņu pārstrādes centru ģeogrāfisko izvietojumu skatīt 4.</w:t>
      </w:r>
      <w:r w:rsidR="008E64F6">
        <w:rPr>
          <w:rFonts w:ascii="Times New Roman" w:hAnsi="Times New Roman" w:cs="Times New Roman"/>
        </w:rPr>
        <w:t>1.2.</w:t>
      </w:r>
      <w:r w:rsidRPr="000D10A3">
        <w:rPr>
          <w:rFonts w:ascii="Times New Roman" w:hAnsi="Times New Roman" w:cs="Times New Roman"/>
        </w:rPr>
        <w:t>attēlā “30 notekūdeņu dūņu pārstrādes centru izvietojums Latvijā”</w:t>
      </w:r>
      <w:r w:rsidR="00AD19B4">
        <w:rPr>
          <w:rFonts w:ascii="Times New Roman" w:hAnsi="Times New Roman" w:cs="Times New Roman"/>
        </w:rPr>
        <w:t>.</w:t>
      </w:r>
    </w:p>
    <w:p w14:paraId="63EC2CB5" w14:textId="3BE96A9E" w:rsidR="001C6077" w:rsidRPr="00175DD0" w:rsidRDefault="001C6077" w:rsidP="00000199">
      <w:pPr>
        <w:spacing w:before="120" w:after="120"/>
        <w:ind w:firstLine="720"/>
        <w:rPr>
          <w:lang w:eastAsia="lv-LV"/>
        </w:rPr>
        <w:sectPr w:rsidR="001C6077" w:rsidRPr="00175DD0" w:rsidSect="007E349D">
          <w:pgSz w:w="11906" w:h="16838"/>
          <w:pgMar w:top="1134" w:right="1701" w:bottom="1134" w:left="1701" w:header="708" w:footer="708" w:gutter="0"/>
          <w:cols w:space="708"/>
          <w:docGrid w:linePitch="360"/>
        </w:sectPr>
      </w:pPr>
      <w:r w:rsidRPr="000D10A3">
        <w:rPr>
          <w:rFonts w:ascii="Times New Roman" w:hAnsi="Times New Roman" w:cs="Times New Roman"/>
        </w:rPr>
        <w:t xml:space="preserve">Jāņem vērā, ka alternatīvas gadījumā tiek pieņemts, ka pašvaldību ietvaros visas notekūdeņu dūņas joprojām tiek centralizētas pašvaldības lielākajās NAI, no kurienes tās tiek nogādātās pārstrādei tuvāk esošajā pārstrādes centrā. Mazāko pašvaldību centrā savākto apstrādāto </w:t>
      </w:r>
      <w:r w:rsidR="00000199" w:rsidRPr="000D10A3">
        <w:rPr>
          <w:rFonts w:ascii="Times New Roman" w:hAnsi="Times New Roman" w:cs="Times New Roman"/>
        </w:rPr>
        <w:t xml:space="preserve">notekūdeņu </w:t>
      </w:r>
      <w:r w:rsidRPr="000D10A3">
        <w:rPr>
          <w:rFonts w:ascii="Times New Roman" w:hAnsi="Times New Roman" w:cs="Times New Roman"/>
        </w:rPr>
        <w:t xml:space="preserve">dūņu apjoms tiek transportēts uz pārstrādes centru, līdzko </w:t>
      </w:r>
      <w:r w:rsidR="00000199" w:rsidRPr="000D10A3">
        <w:rPr>
          <w:rFonts w:ascii="Times New Roman" w:hAnsi="Times New Roman" w:cs="Times New Roman"/>
        </w:rPr>
        <w:t xml:space="preserve">notekūdeņu </w:t>
      </w:r>
      <w:r w:rsidRPr="000D10A3">
        <w:rPr>
          <w:rFonts w:ascii="Times New Roman" w:hAnsi="Times New Roman" w:cs="Times New Roman"/>
        </w:rPr>
        <w:t>dūņu pārvadāšanas transports ir piepildīts, neatkarīgi no tā, cik braucienu veidojas viena gada laikā.</w:t>
      </w:r>
    </w:p>
    <w:p w14:paraId="767BFF8E" w14:textId="77777777" w:rsidR="001C6077" w:rsidRPr="00175DD0" w:rsidRDefault="001138C2" w:rsidP="001C6077">
      <w:pPr>
        <w:rPr>
          <w:lang w:eastAsia="lv-LV"/>
        </w:rPr>
      </w:pPr>
      <w:r w:rsidRPr="00175DD0">
        <w:rPr>
          <w:noProof/>
          <w:lang w:eastAsia="lv-LV"/>
        </w:rPr>
        <w:lastRenderedPageBreak/>
        <w:drawing>
          <wp:anchor distT="0" distB="0" distL="114300" distR="114300" simplePos="0" relativeHeight="251658243" behindDoc="1" locked="0" layoutInCell="1" allowOverlap="1" wp14:anchorId="08BDCF8B" wp14:editId="74CFB13A">
            <wp:simplePos x="0" y="0"/>
            <wp:positionH relativeFrom="margin">
              <wp:align>center</wp:align>
            </wp:positionH>
            <wp:positionV relativeFrom="paragraph">
              <wp:posOffset>-438150</wp:posOffset>
            </wp:positionV>
            <wp:extent cx="8410575" cy="5952947"/>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10575" cy="59529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07E8B2" w14:textId="77777777" w:rsidR="001C6077" w:rsidRPr="00175DD0" w:rsidRDefault="001138C2" w:rsidP="001C6077">
      <w:pPr>
        <w:rPr>
          <w:lang w:eastAsia="lv-LV"/>
        </w:rPr>
      </w:pPr>
      <w:r w:rsidRPr="00175DD0">
        <w:rPr>
          <w:noProof/>
          <w:lang w:eastAsia="lv-LV"/>
        </w:rPr>
        <mc:AlternateContent>
          <mc:Choice Requires="wps">
            <w:drawing>
              <wp:anchor distT="0" distB="0" distL="114300" distR="114300" simplePos="0" relativeHeight="251658244" behindDoc="0" locked="0" layoutInCell="1" allowOverlap="1" wp14:anchorId="5ECF04F1" wp14:editId="56C27376">
                <wp:simplePos x="0" y="0"/>
                <wp:positionH relativeFrom="margin">
                  <wp:align>center</wp:align>
                </wp:positionH>
                <wp:positionV relativeFrom="paragraph">
                  <wp:posOffset>5114925</wp:posOffset>
                </wp:positionV>
                <wp:extent cx="7077075" cy="28956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07707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219631" w14:textId="7F0221AA" w:rsidR="00603B7B" w:rsidRPr="000D10A3" w:rsidRDefault="00603B7B" w:rsidP="000D10A3">
                            <w:pPr>
                              <w:jc w:val="center"/>
                              <w:rPr>
                                <w:rFonts w:ascii="Times New Roman" w:hAnsi="Times New Roman" w:cs="Times New Roman"/>
                                <w:iCs/>
                                <w:szCs w:val="24"/>
                              </w:rPr>
                            </w:pPr>
                            <w:r w:rsidRPr="000D10A3">
                              <w:rPr>
                                <w:rFonts w:ascii="Times New Roman" w:hAnsi="Times New Roman" w:cs="Times New Roman"/>
                                <w:b/>
                                <w:bCs/>
                                <w:iCs/>
                                <w:szCs w:val="24"/>
                              </w:rPr>
                              <w:t>4.</w:t>
                            </w:r>
                            <w:r w:rsidR="008E64F6">
                              <w:rPr>
                                <w:rFonts w:ascii="Times New Roman" w:hAnsi="Times New Roman" w:cs="Times New Roman"/>
                                <w:b/>
                                <w:bCs/>
                                <w:iCs/>
                                <w:szCs w:val="24"/>
                              </w:rPr>
                              <w:t>1.2.</w:t>
                            </w:r>
                            <w:r w:rsidRPr="000D10A3">
                              <w:rPr>
                                <w:rFonts w:ascii="Times New Roman" w:hAnsi="Times New Roman" w:cs="Times New Roman"/>
                                <w:b/>
                                <w:bCs/>
                                <w:iCs/>
                                <w:szCs w:val="24"/>
                              </w:rPr>
                              <w:t>attēls</w:t>
                            </w:r>
                            <w:r w:rsidR="000D10A3" w:rsidRPr="000D10A3">
                              <w:rPr>
                                <w:rFonts w:ascii="Times New Roman" w:hAnsi="Times New Roman" w:cs="Times New Roman"/>
                                <w:b/>
                                <w:bCs/>
                                <w:iCs/>
                                <w:szCs w:val="24"/>
                              </w:rPr>
                              <w:t>.</w:t>
                            </w:r>
                            <w:r w:rsidRPr="000D10A3">
                              <w:rPr>
                                <w:rFonts w:ascii="Times New Roman" w:hAnsi="Times New Roman" w:cs="Times New Roman"/>
                                <w:iCs/>
                                <w:szCs w:val="24"/>
                              </w:rPr>
                              <w:t xml:space="preserve"> 30 notekūdeņu dūņu pārstrādes centru izvietojums Latvijā.</w:t>
                            </w:r>
                          </w:p>
                          <w:p w14:paraId="3E8BC5D2" w14:textId="77777777" w:rsidR="00603B7B" w:rsidRDefault="00603B7B" w:rsidP="001138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F04F1" id="Text Box 27" o:spid="_x0000_s1038" type="#_x0000_t202" style="position:absolute;left:0;text-align:left;margin-left:0;margin-top:402.75pt;width:557.25pt;height:22.8pt;z-index:2516582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" filled="f" stroked="f" strokeweight=".5pt">
                <v:textbox>
                  <w:txbxContent>
                    <w:p w14:paraId="57219631" w14:textId="7F0221AA" w:rsidR="00603B7B" w:rsidRPr="000D10A3" w:rsidRDefault="00603B7B" w:rsidP="000D10A3">
                      <w:pPr>
                        <w:jc w:val="center"/>
                        <w:rPr>
                          <w:rFonts w:ascii="Times New Roman" w:hAnsi="Times New Roman" w:cs="Times New Roman"/>
                          <w:iCs/>
                          <w:szCs w:val="24"/>
                        </w:rPr>
                      </w:pPr>
                      <w:r w:rsidRPr="000D10A3">
                        <w:rPr>
                          <w:rFonts w:ascii="Times New Roman" w:hAnsi="Times New Roman" w:cs="Times New Roman"/>
                          <w:b/>
                          <w:bCs/>
                          <w:iCs/>
                          <w:szCs w:val="24"/>
                        </w:rPr>
                        <w:t>4.</w:t>
                      </w:r>
                      <w:r w:rsidR="008E64F6">
                        <w:rPr>
                          <w:rFonts w:ascii="Times New Roman" w:hAnsi="Times New Roman" w:cs="Times New Roman"/>
                          <w:b/>
                          <w:bCs/>
                          <w:iCs/>
                          <w:szCs w:val="24"/>
                        </w:rPr>
                        <w:t>1.2.</w:t>
                      </w:r>
                      <w:r w:rsidRPr="000D10A3">
                        <w:rPr>
                          <w:rFonts w:ascii="Times New Roman" w:hAnsi="Times New Roman" w:cs="Times New Roman"/>
                          <w:b/>
                          <w:bCs/>
                          <w:iCs/>
                          <w:szCs w:val="24"/>
                        </w:rPr>
                        <w:t>attēls</w:t>
                      </w:r>
                      <w:r w:rsidR="000D10A3" w:rsidRPr="000D10A3">
                        <w:rPr>
                          <w:rFonts w:ascii="Times New Roman" w:hAnsi="Times New Roman" w:cs="Times New Roman"/>
                          <w:b/>
                          <w:bCs/>
                          <w:iCs/>
                          <w:szCs w:val="24"/>
                        </w:rPr>
                        <w:t>.</w:t>
                      </w:r>
                      <w:r w:rsidRPr="000D10A3">
                        <w:rPr>
                          <w:rFonts w:ascii="Times New Roman" w:hAnsi="Times New Roman" w:cs="Times New Roman"/>
                          <w:iCs/>
                          <w:szCs w:val="24"/>
                        </w:rPr>
                        <w:t xml:space="preserve"> 30 notekūdeņu dūņu pārstrādes centru izvietojums Latvijā.</w:t>
                      </w:r>
                    </w:p>
                    <w:p w14:paraId="3E8BC5D2" w14:textId="77777777" w:rsidR="00603B7B" w:rsidRDefault="00603B7B" w:rsidP="001138C2"/>
                  </w:txbxContent>
                </v:textbox>
                <w10:wrap anchorx="margin"/>
              </v:shape>
            </w:pict>
          </mc:Fallback>
        </mc:AlternateContent>
      </w:r>
    </w:p>
    <w:p w14:paraId="60769CC0" w14:textId="77777777" w:rsidR="001138C2" w:rsidRPr="00175DD0" w:rsidRDefault="001138C2" w:rsidP="001C6077">
      <w:pPr>
        <w:rPr>
          <w:lang w:eastAsia="lv-LV"/>
        </w:rPr>
        <w:sectPr w:rsidR="001138C2" w:rsidRPr="00175DD0" w:rsidSect="007E349D">
          <w:pgSz w:w="16838" w:h="11906" w:orient="landscape"/>
          <w:pgMar w:top="1134" w:right="1701" w:bottom="1134" w:left="1701" w:header="708" w:footer="708" w:gutter="0"/>
          <w:cols w:space="708"/>
          <w:docGrid w:linePitch="360"/>
        </w:sectPr>
      </w:pPr>
    </w:p>
    <w:p w14:paraId="41685268" w14:textId="632E5265" w:rsidR="004E53E3" w:rsidRDefault="004E53E3" w:rsidP="003557AD">
      <w:pPr>
        <w:spacing w:after="0"/>
        <w:ind w:firstLine="720"/>
        <w:rPr>
          <w:rFonts w:ascii="Times New Roman" w:hAnsi="Times New Roman" w:cs="Times New Roman"/>
        </w:rPr>
      </w:pPr>
      <w:r w:rsidRPr="001D1E9D">
        <w:rPr>
          <w:rFonts w:ascii="Times New Roman" w:hAnsi="Times New Roman" w:cs="Times New Roman"/>
        </w:rPr>
        <w:lastRenderedPageBreak/>
        <w:t xml:space="preserve">Nodrošinot notekūdeņu dūņu pārstrādi 30 pārstrādes centros visā Latvijā, kopējās ikgadējās notekūdeņu dūņu pārstrādes izmaksas </w:t>
      </w:r>
      <w:r w:rsidR="00000199" w:rsidRPr="001D1E9D">
        <w:rPr>
          <w:rFonts w:ascii="Times New Roman" w:hAnsi="Times New Roman" w:cs="Times New Roman"/>
        </w:rPr>
        <w:t>tika</w:t>
      </w:r>
      <w:r w:rsidRPr="001D1E9D">
        <w:rPr>
          <w:rFonts w:ascii="Times New Roman" w:hAnsi="Times New Roman" w:cs="Times New Roman"/>
        </w:rPr>
        <w:t xml:space="preserve"> aprēķinātas aptuveni 3,94 milj</w:t>
      </w:r>
      <w:r w:rsidR="000E2EFD">
        <w:rPr>
          <w:rFonts w:ascii="Times New Roman" w:hAnsi="Times New Roman" w:cs="Times New Roman"/>
        </w:rPr>
        <w:t>.</w:t>
      </w:r>
      <w:r w:rsidRPr="001D1E9D">
        <w:rPr>
          <w:rFonts w:ascii="Times New Roman" w:hAnsi="Times New Roman" w:cs="Times New Roman"/>
        </w:rPr>
        <w:t xml:space="preserve"> EUR gadā, savukārt kopējās nepieciešamās kapitālās investīcijas sistēmas izveidošanai </w:t>
      </w:r>
      <w:r w:rsidR="00000199" w:rsidRPr="001D1E9D">
        <w:rPr>
          <w:rFonts w:ascii="Times New Roman" w:hAnsi="Times New Roman" w:cs="Times New Roman"/>
        </w:rPr>
        <w:t>tika</w:t>
      </w:r>
      <w:r w:rsidRPr="001D1E9D">
        <w:rPr>
          <w:rFonts w:ascii="Times New Roman" w:hAnsi="Times New Roman" w:cs="Times New Roman"/>
        </w:rPr>
        <w:t xml:space="preserve"> aprēķinātas aptuveni 48,67 milj</w:t>
      </w:r>
      <w:r w:rsidR="000E2EFD">
        <w:rPr>
          <w:rFonts w:ascii="Times New Roman" w:hAnsi="Times New Roman" w:cs="Times New Roman"/>
        </w:rPr>
        <w:t>.</w:t>
      </w:r>
      <w:r w:rsidRPr="001D1E9D">
        <w:rPr>
          <w:rFonts w:ascii="Times New Roman" w:hAnsi="Times New Roman" w:cs="Times New Roman"/>
        </w:rPr>
        <w:t xml:space="preserve"> EUR, kas ir mazāk nekā D1 alternatīvas gadījumā (</w:t>
      </w:r>
      <w:r w:rsidR="00000199" w:rsidRPr="001D1E9D">
        <w:rPr>
          <w:rFonts w:ascii="Times New Roman" w:hAnsi="Times New Roman" w:cs="Times New Roman"/>
        </w:rPr>
        <w:t>d</w:t>
      </w:r>
      <w:r w:rsidRPr="001D1E9D">
        <w:rPr>
          <w:rFonts w:ascii="Times New Roman" w:hAnsi="Times New Roman" w:cs="Times New Roman"/>
        </w:rPr>
        <w:t>etalizēt</w:t>
      </w:r>
      <w:r w:rsidR="00000199" w:rsidRPr="001D1E9D">
        <w:rPr>
          <w:rFonts w:ascii="Times New Roman" w:hAnsi="Times New Roman" w:cs="Times New Roman"/>
        </w:rPr>
        <w:t>us</w:t>
      </w:r>
      <w:r w:rsidRPr="001D1E9D">
        <w:rPr>
          <w:rFonts w:ascii="Times New Roman" w:hAnsi="Times New Roman" w:cs="Times New Roman"/>
        </w:rPr>
        <w:t xml:space="preserve"> aprēķinus skatīt </w:t>
      </w:r>
      <w:r w:rsidR="009E0607">
        <w:rPr>
          <w:rFonts w:ascii="Times New Roman" w:hAnsi="Times New Roman" w:cs="Times New Roman"/>
        </w:rPr>
        <w:t>4.9</w:t>
      </w:r>
      <w:r w:rsidRPr="001D1E9D">
        <w:rPr>
          <w:rFonts w:ascii="Times New Roman" w:hAnsi="Times New Roman" w:cs="Times New Roman"/>
        </w:rPr>
        <w:t xml:space="preserve">. </w:t>
      </w:r>
      <w:r w:rsidRPr="003557AD">
        <w:rPr>
          <w:rFonts w:ascii="Times New Roman" w:hAnsi="Times New Roman" w:cs="Times New Roman"/>
        </w:rPr>
        <w:t>pielikum</w:t>
      </w:r>
      <w:r w:rsidR="009E0607">
        <w:rPr>
          <w:rFonts w:ascii="Times New Roman" w:hAnsi="Times New Roman" w:cs="Times New Roman"/>
        </w:rPr>
        <w:t>a 4.9.2. tabulā</w:t>
      </w:r>
      <w:r w:rsidRPr="003557AD">
        <w:rPr>
          <w:rFonts w:ascii="Times New Roman" w:hAnsi="Times New Roman" w:cs="Times New Roman"/>
        </w:rPr>
        <w:t>).</w:t>
      </w:r>
    </w:p>
    <w:p w14:paraId="0F2B9CE4" w14:textId="77777777" w:rsidR="003557AD" w:rsidRPr="003557AD" w:rsidRDefault="003557AD" w:rsidP="003557AD">
      <w:pPr>
        <w:spacing w:after="0"/>
        <w:ind w:firstLine="720"/>
        <w:rPr>
          <w:rFonts w:ascii="Times New Roman" w:hAnsi="Times New Roman" w:cs="Times New Roman"/>
          <w:lang w:eastAsia="lv-LV"/>
        </w:rPr>
      </w:pPr>
    </w:p>
    <w:p w14:paraId="5A2E45C2" w14:textId="77777777" w:rsidR="004E53E3" w:rsidRPr="003557AD" w:rsidRDefault="004E53E3" w:rsidP="003557AD">
      <w:pPr>
        <w:pStyle w:val="Heading2"/>
        <w:spacing w:before="0"/>
        <w:jc w:val="center"/>
        <w:rPr>
          <w:rFonts w:ascii="Times New Roman" w:eastAsia="Times New Roman" w:hAnsi="Times New Roman" w:cs="Times New Roman"/>
          <w:b/>
          <w:bCs/>
          <w:color w:val="auto"/>
          <w:sz w:val="24"/>
          <w:szCs w:val="24"/>
          <w:lang w:eastAsia="en-GB"/>
        </w:rPr>
      </w:pPr>
      <w:bookmarkStart w:id="42" w:name="_Toc82430162"/>
      <w:bookmarkStart w:id="43" w:name="_Toc107916314"/>
      <w:r w:rsidRPr="003557AD">
        <w:rPr>
          <w:rFonts w:ascii="Times New Roman" w:eastAsia="Times New Roman" w:hAnsi="Times New Roman" w:cs="Times New Roman"/>
          <w:b/>
          <w:bCs/>
          <w:color w:val="auto"/>
          <w:sz w:val="24"/>
          <w:szCs w:val="24"/>
          <w:lang w:eastAsia="en-GB"/>
        </w:rPr>
        <w:t>D3. Alternatīva: Notekūdeņu dūņu pārstrāde 16 notekūdeņu dūņu pārstrādes centros</w:t>
      </w:r>
      <w:bookmarkEnd w:id="42"/>
      <w:bookmarkEnd w:id="43"/>
    </w:p>
    <w:p w14:paraId="6D8B5A61" w14:textId="77777777" w:rsidR="003557AD" w:rsidRDefault="003557AD" w:rsidP="003557AD">
      <w:pPr>
        <w:spacing w:after="0"/>
        <w:ind w:firstLine="720"/>
        <w:rPr>
          <w:rFonts w:ascii="Times New Roman" w:hAnsi="Times New Roman" w:cs="Times New Roman"/>
          <w:lang w:eastAsia="lv-LV"/>
        </w:rPr>
      </w:pPr>
    </w:p>
    <w:p w14:paraId="3C37057C" w14:textId="3E1319CC" w:rsidR="004E53E3" w:rsidRPr="003557AD" w:rsidRDefault="004E53E3" w:rsidP="003557AD">
      <w:pPr>
        <w:spacing w:after="0"/>
        <w:ind w:firstLine="720"/>
        <w:rPr>
          <w:rFonts w:ascii="Times New Roman" w:hAnsi="Times New Roman" w:cs="Times New Roman"/>
          <w:lang w:eastAsia="lv-LV"/>
        </w:rPr>
      </w:pPr>
      <w:r w:rsidRPr="003557AD">
        <w:rPr>
          <w:rFonts w:ascii="Times New Roman" w:hAnsi="Times New Roman" w:cs="Times New Roman"/>
          <w:lang w:eastAsia="lv-LV"/>
        </w:rPr>
        <w:t xml:space="preserve">Izstrādājot 30 </w:t>
      </w:r>
      <w:r w:rsidR="00000199" w:rsidRPr="003557AD">
        <w:rPr>
          <w:rFonts w:ascii="Times New Roman" w:hAnsi="Times New Roman" w:cs="Times New Roman"/>
          <w:lang w:eastAsia="lv-LV"/>
        </w:rPr>
        <w:t xml:space="preserve">notekūdeņu dūņu </w:t>
      </w:r>
      <w:r w:rsidRPr="003557AD">
        <w:rPr>
          <w:rFonts w:ascii="Times New Roman" w:hAnsi="Times New Roman" w:cs="Times New Roman"/>
          <w:lang w:eastAsia="lv-LV"/>
        </w:rPr>
        <w:t xml:space="preserve">pārstrādes centru risinājumu par pamatu </w:t>
      </w:r>
      <w:r w:rsidR="00000199" w:rsidRPr="003557AD">
        <w:rPr>
          <w:rFonts w:ascii="Times New Roman" w:hAnsi="Times New Roman" w:cs="Times New Roman"/>
          <w:lang w:eastAsia="lv-LV"/>
        </w:rPr>
        <w:t>tika</w:t>
      </w:r>
      <w:r w:rsidRPr="003557AD">
        <w:rPr>
          <w:rFonts w:ascii="Times New Roman" w:hAnsi="Times New Roman" w:cs="Times New Roman"/>
          <w:lang w:eastAsia="lv-LV"/>
        </w:rPr>
        <w:t xml:space="preserve"> ņemts </w:t>
      </w:r>
      <w:r w:rsidR="00000199" w:rsidRPr="003557AD">
        <w:rPr>
          <w:rFonts w:ascii="Times New Roman" w:hAnsi="Times New Roman" w:cs="Times New Roman"/>
        </w:rPr>
        <w:t xml:space="preserve">notekūdeņu </w:t>
      </w:r>
      <w:r w:rsidRPr="003557AD">
        <w:rPr>
          <w:rFonts w:ascii="Times New Roman" w:hAnsi="Times New Roman" w:cs="Times New Roman"/>
          <w:lang w:eastAsia="lv-LV"/>
        </w:rPr>
        <w:t xml:space="preserve">dūņu utilizācijas izmaksu ietaupījums mazākajos pārstrādes centros, kuros </w:t>
      </w:r>
      <w:r w:rsidR="00000199" w:rsidRPr="003557AD">
        <w:rPr>
          <w:rFonts w:ascii="Times New Roman" w:hAnsi="Times New Roman" w:cs="Times New Roman"/>
        </w:rPr>
        <w:t xml:space="preserve">notekūdeņu </w:t>
      </w:r>
      <w:r w:rsidRPr="003557AD">
        <w:rPr>
          <w:rFonts w:ascii="Times New Roman" w:hAnsi="Times New Roman" w:cs="Times New Roman"/>
          <w:lang w:eastAsia="lv-LV"/>
        </w:rPr>
        <w:t xml:space="preserve">dūņu apjoms ir neliels efektīvai </w:t>
      </w:r>
      <w:r w:rsidR="00000199" w:rsidRPr="003557AD">
        <w:rPr>
          <w:rFonts w:ascii="Times New Roman" w:hAnsi="Times New Roman" w:cs="Times New Roman"/>
          <w:lang w:eastAsia="lv-LV"/>
        </w:rPr>
        <w:t>to</w:t>
      </w:r>
      <w:r w:rsidRPr="003557AD">
        <w:rPr>
          <w:rFonts w:ascii="Times New Roman" w:hAnsi="Times New Roman" w:cs="Times New Roman"/>
          <w:lang w:eastAsia="lv-LV"/>
        </w:rPr>
        <w:t xml:space="preserve"> pārstrādei. Centralizējot notekūdeņu dūņas lielos pārstrādes centros “vārtu maksa” </w:t>
      </w:r>
      <w:r w:rsidR="00000199" w:rsidRPr="003557AD">
        <w:rPr>
          <w:rFonts w:ascii="Times New Roman" w:hAnsi="Times New Roman" w:cs="Times New Roman"/>
          <w:lang w:eastAsia="lv-LV"/>
        </w:rPr>
        <w:t>tiktu</w:t>
      </w:r>
      <w:r w:rsidRPr="003557AD">
        <w:rPr>
          <w:rFonts w:ascii="Times New Roman" w:hAnsi="Times New Roman" w:cs="Times New Roman"/>
          <w:lang w:eastAsia="lv-LV"/>
        </w:rPr>
        <w:t xml:space="preserve"> aprēķināta pēc izmaksu segšanas principa</w:t>
      </w:r>
      <w:r w:rsidR="00000199" w:rsidRPr="003557AD">
        <w:rPr>
          <w:rFonts w:ascii="Times New Roman" w:hAnsi="Times New Roman" w:cs="Times New Roman"/>
          <w:lang w:eastAsia="lv-LV"/>
        </w:rPr>
        <w:t xml:space="preserve"> un v</w:t>
      </w:r>
      <w:r w:rsidRPr="003557AD">
        <w:rPr>
          <w:rFonts w:ascii="Times New Roman" w:hAnsi="Times New Roman" w:cs="Times New Roman"/>
          <w:lang w:eastAsia="lv-LV"/>
        </w:rPr>
        <w:t>eidojot lielus notekūdeņu dūņu pārstrādes centrus, “vārtu maksa” samazinās, jo efektīvāk tiek izmantota</w:t>
      </w:r>
      <w:r w:rsidR="00000199" w:rsidRPr="003557AD">
        <w:rPr>
          <w:rFonts w:ascii="Times New Roman" w:hAnsi="Times New Roman" w:cs="Times New Roman"/>
          <w:lang w:eastAsia="lv-LV"/>
        </w:rPr>
        <w:t>s</w:t>
      </w:r>
      <w:r w:rsidRPr="003557AD">
        <w:rPr>
          <w:rFonts w:ascii="Times New Roman" w:hAnsi="Times New Roman" w:cs="Times New Roman"/>
          <w:lang w:eastAsia="lv-LV"/>
        </w:rPr>
        <w:t xml:space="preserve"> centros koncentrētās tehnoloģiskās vienības. Veicot papildus aprēķinus </w:t>
      </w:r>
      <w:r w:rsidR="00000199" w:rsidRPr="003557AD">
        <w:rPr>
          <w:rFonts w:ascii="Times New Roman" w:hAnsi="Times New Roman" w:cs="Times New Roman"/>
          <w:lang w:eastAsia="lv-LV"/>
        </w:rPr>
        <w:t>tika</w:t>
      </w:r>
      <w:r w:rsidRPr="003557AD">
        <w:rPr>
          <w:rFonts w:ascii="Times New Roman" w:hAnsi="Times New Roman" w:cs="Times New Roman"/>
          <w:lang w:eastAsia="lv-LV"/>
        </w:rPr>
        <w:t xml:space="preserve"> secināts, ka ekonomiski izdevīgākais risinājums ir</w:t>
      </w:r>
      <w:r w:rsidR="00000199" w:rsidRPr="003557AD">
        <w:rPr>
          <w:rFonts w:ascii="Times New Roman" w:hAnsi="Times New Roman" w:cs="Times New Roman"/>
          <w:lang w:eastAsia="lv-LV"/>
        </w:rPr>
        <w:t xml:space="preserve"> </w:t>
      </w:r>
      <w:r w:rsidR="00000199" w:rsidRPr="003557AD">
        <w:rPr>
          <w:rFonts w:ascii="Times New Roman" w:hAnsi="Times New Roman" w:cs="Times New Roman"/>
        </w:rPr>
        <w:t>notekūdeņu</w:t>
      </w:r>
      <w:r w:rsidRPr="003557AD">
        <w:rPr>
          <w:rFonts w:ascii="Times New Roman" w:hAnsi="Times New Roman" w:cs="Times New Roman"/>
          <w:lang w:eastAsia="lv-LV"/>
        </w:rPr>
        <w:t xml:space="preserve"> dūņu centralizācija 16 dūņu pārstrādes centros, kuros vidējā </w:t>
      </w:r>
      <w:r w:rsidR="00000199" w:rsidRPr="003557AD">
        <w:rPr>
          <w:rFonts w:ascii="Times New Roman" w:hAnsi="Times New Roman" w:cs="Times New Roman"/>
        </w:rPr>
        <w:t xml:space="preserve">notekūdeņu </w:t>
      </w:r>
      <w:r w:rsidRPr="003557AD">
        <w:rPr>
          <w:rFonts w:ascii="Times New Roman" w:hAnsi="Times New Roman" w:cs="Times New Roman"/>
          <w:lang w:eastAsia="lv-LV"/>
        </w:rPr>
        <w:t xml:space="preserve">dūņu pārstrādes “vārtu maksa” </w:t>
      </w:r>
      <w:r w:rsidR="00000199" w:rsidRPr="003557AD">
        <w:rPr>
          <w:rFonts w:ascii="Times New Roman" w:hAnsi="Times New Roman" w:cs="Times New Roman"/>
          <w:lang w:eastAsia="lv-LV"/>
        </w:rPr>
        <w:t>būtu</w:t>
      </w:r>
      <w:r w:rsidRPr="003557AD">
        <w:rPr>
          <w:rFonts w:ascii="Times New Roman" w:hAnsi="Times New Roman" w:cs="Times New Roman"/>
          <w:lang w:eastAsia="lv-LV"/>
        </w:rPr>
        <w:t xml:space="preserve"> 40,00 EUR par vienu tonnu mehāniski atūdeņotu (18% sausna)</w:t>
      </w:r>
      <w:r w:rsidR="00000199" w:rsidRPr="003557AD">
        <w:rPr>
          <w:rFonts w:ascii="Times New Roman" w:hAnsi="Times New Roman" w:cs="Times New Roman"/>
          <w:lang w:eastAsia="lv-LV"/>
        </w:rPr>
        <w:t xml:space="preserve"> </w:t>
      </w:r>
      <w:r w:rsidR="00000199" w:rsidRPr="003557AD">
        <w:rPr>
          <w:rFonts w:ascii="Times New Roman" w:hAnsi="Times New Roman" w:cs="Times New Roman"/>
        </w:rPr>
        <w:t>notekūdeņu</w:t>
      </w:r>
      <w:r w:rsidRPr="003557AD">
        <w:rPr>
          <w:rFonts w:ascii="Times New Roman" w:hAnsi="Times New Roman" w:cs="Times New Roman"/>
          <w:lang w:eastAsia="lv-LV"/>
        </w:rPr>
        <w:t xml:space="preserve"> dūņu. Šādā gadījumā tiek sasniegts lielākais ekonomiskais efekts, ņemot vēr</w:t>
      </w:r>
      <w:r w:rsidR="00000199" w:rsidRPr="003557AD">
        <w:rPr>
          <w:rFonts w:ascii="Times New Roman" w:hAnsi="Times New Roman" w:cs="Times New Roman"/>
          <w:lang w:eastAsia="lv-LV"/>
        </w:rPr>
        <w:t xml:space="preserve">ā </w:t>
      </w:r>
      <w:r w:rsidR="00000199" w:rsidRPr="003557AD">
        <w:rPr>
          <w:rFonts w:ascii="Times New Roman" w:hAnsi="Times New Roman" w:cs="Times New Roman"/>
        </w:rPr>
        <w:t>notekūdeņu</w:t>
      </w:r>
      <w:r w:rsidRPr="003557AD">
        <w:rPr>
          <w:rFonts w:ascii="Times New Roman" w:hAnsi="Times New Roman" w:cs="Times New Roman"/>
          <w:lang w:eastAsia="lv-LV"/>
        </w:rPr>
        <w:t xml:space="preserve"> dūņu transportēšanas izmaksas pret nepieciešamajām ikgadējām pārstrādes centru uzturēšanas izmaksām. 16 centru ģeogrāfisko izvietojumu valsts mērogā skatīt </w:t>
      </w:r>
      <w:r w:rsidR="009231A0">
        <w:rPr>
          <w:rFonts w:ascii="Times New Roman" w:hAnsi="Times New Roman" w:cs="Times New Roman"/>
          <w:lang w:eastAsia="lv-LV"/>
        </w:rPr>
        <w:t>4.1.3.</w:t>
      </w:r>
      <w:r w:rsidR="006E6B15">
        <w:rPr>
          <w:rFonts w:ascii="Times New Roman" w:hAnsi="Times New Roman" w:cs="Times New Roman"/>
          <w:lang w:eastAsia="lv-LV"/>
        </w:rPr>
        <w:t> </w:t>
      </w:r>
      <w:r w:rsidRPr="003557AD">
        <w:rPr>
          <w:rFonts w:ascii="Times New Roman" w:hAnsi="Times New Roman" w:cs="Times New Roman"/>
          <w:lang w:eastAsia="lv-LV"/>
        </w:rPr>
        <w:t>attēlā “16 notekūdeņu dūņu pārstrāde centru izvietojums Latvijā”.</w:t>
      </w:r>
    </w:p>
    <w:p w14:paraId="25DA3001" w14:textId="0E351CEB" w:rsidR="004E53E3" w:rsidRPr="003557AD" w:rsidRDefault="004E53E3" w:rsidP="004E53E3">
      <w:pPr>
        <w:spacing w:before="120" w:after="120"/>
        <w:ind w:firstLine="720"/>
        <w:rPr>
          <w:rFonts w:ascii="Times New Roman" w:hAnsi="Times New Roman" w:cs="Times New Roman"/>
          <w:lang w:eastAsia="lv-LV"/>
        </w:rPr>
      </w:pPr>
      <w:r w:rsidRPr="003557AD">
        <w:rPr>
          <w:rFonts w:ascii="Times New Roman" w:hAnsi="Times New Roman" w:cs="Times New Roman"/>
          <w:lang w:eastAsia="lv-LV"/>
        </w:rPr>
        <w:t xml:space="preserve">Līdzīgi kā 30 centru alternatīvas gadījumā arī šajā gadījumā tiek pieņemts, ka sākotnēji visas </w:t>
      </w:r>
      <w:r w:rsidR="00000199" w:rsidRPr="003557AD">
        <w:rPr>
          <w:rFonts w:ascii="Times New Roman" w:hAnsi="Times New Roman" w:cs="Times New Roman"/>
        </w:rPr>
        <w:t xml:space="preserve">notekūdeņu </w:t>
      </w:r>
      <w:r w:rsidRPr="003557AD">
        <w:rPr>
          <w:rFonts w:ascii="Times New Roman" w:hAnsi="Times New Roman" w:cs="Times New Roman"/>
          <w:lang w:eastAsia="lv-LV"/>
        </w:rPr>
        <w:t>dūņas tiek centralizētas attiecīgās pašvaldības centrā un tikai pēc to atūdeņošanas (apstrādes) tās tie</w:t>
      </w:r>
      <w:r w:rsidR="00000199" w:rsidRPr="003557AD">
        <w:rPr>
          <w:rFonts w:ascii="Times New Roman" w:hAnsi="Times New Roman" w:cs="Times New Roman"/>
          <w:lang w:eastAsia="lv-LV"/>
        </w:rPr>
        <w:t>k</w:t>
      </w:r>
      <w:r w:rsidRPr="003557AD">
        <w:rPr>
          <w:rFonts w:ascii="Times New Roman" w:hAnsi="Times New Roman" w:cs="Times New Roman"/>
          <w:lang w:eastAsia="lv-LV"/>
        </w:rPr>
        <w:t xml:space="preserve"> pārvestas uz lielāku pārstrādes centru. </w:t>
      </w:r>
      <w:r w:rsidR="00000199" w:rsidRPr="003557AD">
        <w:rPr>
          <w:rFonts w:ascii="Times New Roman" w:hAnsi="Times New Roman" w:cs="Times New Roman"/>
          <w:lang w:eastAsia="lv-LV"/>
        </w:rPr>
        <w:t>Notekūdeņu d</w:t>
      </w:r>
      <w:r w:rsidRPr="003557AD">
        <w:rPr>
          <w:rFonts w:ascii="Times New Roman" w:hAnsi="Times New Roman" w:cs="Times New Roman"/>
          <w:lang w:eastAsia="lv-LV"/>
        </w:rPr>
        <w:t xml:space="preserve">ūņu transportēšanas biežums nav ierobežots un tās tiek izvestas tiklīdz attiecīgā transporta vienība ir piepildīta, līdz ar to netiek plānota atūdeņotu </w:t>
      </w:r>
      <w:r w:rsidR="00000199" w:rsidRPr="003557AD">
        <w:rPr>
          <w:rFonts w:ascii="Times New Roman" w:hAnsi="Times New Roman" w:cs="Times New Roman"/>
        </w:rPr>
        <w:t xml:space="preserve">notekūdeņu </w:t>
      </w:r>
      <w:r w:rsidRPr="003557AD">
        <w:rPr>
          <w:rFonts w:ascii="Times New Roman" w:hAnsi="Times New Roman" w:cs="Times New Roman"/>
          <w:lang w:eastAsia="lv-LV"/>
        </w:rPr>
        <w:t>dūņu uzglabāšana attiecīgajā pašvaldības centrā.</w:t>
      </w:r>
    </w:p>
    <w:p w14:paraId="3E70548E" w14:textId="789F8DFC" w:rsidR="004E53E3" w:rsidRPr="003557AD" w:rsidRDefault="004E53E3" w:rsidP="004E53E3">
      <w:pPr>
        <w:spacing w:before="120" w:after="120"/>
        <w:ind w:firstLine="720"/>
        <w:rPr>
          <w:rFonts w:ascii="Times New Roman" w:hAnsi="Times New Roman" w:cs="Times New Roman"/>
          <w:lang w:eastAsia="lv-LV"/>
        </w:rPr>
      </w:pPr>
      <w:r w:rsidRPr="003557AD">
        <w:rPr>
          <w:rFonts w:ascii="Times New Roman" w:hAnsi="Times New Roman" w:cs="Times New Roman"/>
          <w:lang w:eastAsia="lv-LV"/>
        </w:rPr>
        <w:t>Pārstrādājot notekūdeņu dūņa</w:t>
      </w:r>
      <w:r w:rsidR="00000199" w:rsidRPr="003557AD">
        <w:rPr>
          <w:rFonts w:ascii="Times New Roman" w:hAnsi="Times New Roman" w:cs="Times New Roman"/>
          <w:lang w:eastAsia="lv-LV"/>
        </w:rPr>
        <w:t>s</w:t>
      </w:r>
      <w:r w:rsidRPr="003557AD">
        <w:rPr>
          <w:rFonts w:ascii="Times New Roman" w:hAnsi="Times New Roman" w:cs="Times New Roman"/>
          <w:lang w:eastAsia="lv-LV"/>
        </w:rPr>
        <w:t xml:space="preserve"> 16 pārstrādes centros visā Latvijā, kopējās ikgadējās notekūdeņu dūņu pārstrādes izmaksas </w:t>
      </w:r>
      <w:r w:rsidR="00000199" w:rsidRPr="003557AD">
        <w:rPr>
          <w:rFonts w:ascii="Times New Roman" w:hAnsi="Times New Roman" w:cs="Times New Roman"/>
          <w:lang w:eastAsia="lv-LV"/>
        </w:rPr>
        <w:t>tika</w:t>
      </w:r>
      <w:r w:rsidRPr="003557AD">
        <w:rPr>
          <w:rFonts w:ascii="Times New Roman" w:hAnsi="Times New Roman" w:cs="Times New Roman"/>
          <w:lang w:eastAsia="lv-LV"/>
        </w:rPr>
        <w:t xml:space="preserve"> aprēķinātas viszemākās un aplēstas 3,67 milj</w:t>
      </w:r>
      <w:r w:rsidR="006E6B15">
        <w:rPr>
          <w:rFonts w:ascii="Times New Roman" w:hAnsi="Times New Roman" w:cs="Times New Roman"/>
          <w:lang w:eastAsia="lv-LV"/>
        </w:rPr>
        <w:t>.</w:t>
      </w:r>
      <w:r w:rsidRPr="003557AD">
        <w:rPr>
          <w:rFonts w:ascii="Times New Roman" w:hAnsi="Times New Roman" w:cs="Times New Roman"/>
          <w:lang w:eastAsia="lv-LV"/>
        </w:rPr>
        <w:t xml:space="preserve"> EUR gadā, un arī kopējās nepieciešamās kapitālās investīcijas sistēmas izveidošanai </w:t>
      </w:r>
      <w:r w:rsidR="00000199" w:rsidRPr="003557AD">
        <w:rPr>
          <w:rFonts w:ascii="Times New Roman" w:hAnsi="Times New Roman" w:cs="Times New Roman"/>
          <w:lang w:eastAsia="lv-LV"/>
        </w:rPr>
        <w:t>tika</w:t>
      </w:r>
      <w:r w:rsidRPr="003557AD">
        <w:rPr>
          <w:rFonts w:ascii="Times New Roman" w:hAnsi="Times New Roman" w:cs="Times New Roman"/>
          <w:lang w:eastAsia="lv-LV"/>
        </w:rPr>
        <w:t xml:space="preserve"> aprēķinātas zemākās un veido 44,4 milj</w:t>
      </w:r>
      <w:r w:rsidR="006E6B15">
        <w:rPr>
          <w:rFonts w:ascii="Times New Roman" w:hAnsi="Times New Roman" w:cs="Times New Roman"/>
          <w:lang w:eastAsia="lv-LV"/>
        </w:rPr>
        <w:t>.</w:t>
      </w:r>
      <w:r w:rsidRPr="003557AD">
        <w:rPr>
          <w:rFonts w:ascii="Times New Roman" w:hAnsi="Times New Roman" w:cs="Times New Roman"/>
          <w:lang w:eastAsia="lv-LV"/>
        </w:rPr>
        <w:t xml:space="preserve"> EUR. (Detalizēti aprēķinus skatīt</w:t>
      </w:r>
      <w:r w:rsidR="00171A11" w:rsidRPr="003557AD">
        <w:rPr>
          <w:rFonts w:ascii="Times New Roman" w:hAnsi="Times New Roman" w:cs="Times New Roman"/>
          <w:lang w:eastAsia="lv-LV"/>
        </w:rPr>
        <w:t xml:space="preserve"> </w:t>
      </w:r>
      <w:r w:rsidRPr="003557AD">
        <w:rPr>
          <w:rFonts w:ascii="Times New Roman" w:hAnsi="Times New Roman" w:cs="Times New Roman"/>
          <w:lang w:eastAsia="lv-LV"/>
        </w:rPr>
        <w:t>pielikumā</w:t>
      </w:r>
      <w:r w:rsidR="00171A11" w:rsidRPr="003557AD">
        <w:rPr>
          <w:rFonts w:ascii="Times New Roman" w:hAnsi="Times New Roman" w:cs="Times New Roman"/>
          <w:lang w:eastAsia="lv-LV"/>
        </w:rPr>
        <w:t xml:space="preserve"> Nr.</w:t>
      </w:r>
      <w:r w:rsidR="00CD6A4C" w:rsidRPr="003557AD">
        <w:rPr>
          <w:rFonts w:ascii="Times New Roman" w:hAnsi="Times New Roman" w:cs="Times New Roman"/>
          <w:lang w:eastAsia="lv-LV"/>
        </w:rPr>
        <w:t xml:space="preserve">4.9. </w:t>
      </w:r>
      <w:r w:rsidR="00CD6A4C" w:rsidRPr="003557AD">
        <w:rPr>
          <w:rFonts w:ascii="Times New Roman" w:hAnsi="Times New Roman" w:cs="Times New Roman"/>
        </w:rPr>
        <w:t>“Uzturēšanas izmaksas notekūdeņu dūņu pārstrādē”</w:t>
      </w:r>
      <w:r w:rsidR="00186FF2">
        <w:rPr>
          <w:rFonts w:ascii="Times New Roman" w:hAnsi="Times New Roman" w:cs="Times New Roman"/>
        </w:rPr>
        <w:t xml:space="preserve"> 4.9.3.</w:t>
      </w:r>
      <w:r w:rsidR="00DC407B">
        <w:rPr>
          <w:rFonts w:ascii="Times New Roman" w:hAnsi="Times New Roman" w:cs="Times New Roman"/>
        </w:rPr>
        <w:t> </w:t>
      </w:r>
      <w:r w:rsidR="00186FF2">
        <w:rPr>
          <w:rFonts w:ascii="Times New Roman" w:hAnsi="Times New Roman" w:cs="Times New Roman"/>
        </w:rPr>
        <w:t>tabulā</w:t>
      </w:r>
      <w:r w:rsidRPr="003557AD">
        <w:rPr>
          <w:rFonts w:ascii="Times New Roman" w:hAnsi="Times New Roman" w:cs="Times New Roman"/>
          <w:lang w:eastAsia="lv-LV"/>
        </w:rPr>
        <w:t>).</w:t>
      </w:r>
    </w:p>
    <w:p w14:paraId="76689C48" w14:textId="77777777" w:rsidR="004E53E3" w:rsidRPr="00175DD0" w:rsidRDefault="004E53E3" w:rsidP="004E53E3">
      <w:pPr>
        <w:rPr>
          <w:lang w:eastAsia="lv-LV"/>
        </w:rPr>
      </w:pPr>
    </w:p>
    <w:p w14:paraId="2640680D" w14:textId="77777777" w:rsidR="004E53E3" w:rsidRPr="00175DD0" w:rsidRDefault="004E53E3" w:rsidP="004E53E3">
      <w:pPr>
        <w:rPr>
          <w:lang w:eastAsia="lv-LV"/>
        </w:rPr>
        <w:sectPr w:rsidR="004E53E3" w:rsidRPr="00175DD0" w:rsidSect="007E349D">
          <w:pgSz w:w="11906" w:h="16838"/>
          <w:pgMar w:top="1134" w:right="1701" w:bottom="1134" w:left="1701" w:header="708" w:footer="708" w:gutter="0"/>
          <w:cols w:space="708"/>
          <w:docGrid w:linePitch="360"/>
        </w:sectPr>
      </w:pPr>
    </w:p>
    <w:p w14:paraId="0FE471CC" w14:textId="77777777" w:rsidR="004E53E3" w:rsidRPr="00175DD0" w:rsidRDefault="00055E00" w:rsidP="004E53E3">
      <w:pPr>
        <w:rPr>
          <w:lang w:eastAsia="lv-LV"/>
        </w:rPr>
      </w:pPr>
      <w:r w:rsidRPr="00175DD0">
        <w:rPr>
          <w:noProof/>
          <w:lang w:eastAsia="lv-LV"/>
        </w:rPr>
        <w:lastRenderedPageBreak/>
        <mc:AlternateContent>
          <mc:Choice Requires="wps">
            <w:drawing>
              <wp:anchor distT="0" distB="0" distL="114300" distR="114300" simplePos="0" relativeHeight="251658246" behindDoc="0" locked="0" layoutInCell="1" allowOverlap="1" wp14:anchorId="02C8B01C" wp14:editId="406C4010">
                <wp:simplePos x="0" y="0"/>
                <wp:positionH relativeFrom="margin">
                  <wp:align>center</wp:align>
                </wp:positionH>
                <wp:positionV relativeFrom="paragraph">
                  <wp:posOffset>5433060</wp:posOffset>
                </wp:positionV>
                <wp:extent cx="7077075" cy="4572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077075" cy="457200"/>
                        </a:xfrm>
                        <a:prstGeom prst="rect">
                          <a:avLst/>
                        </a:prstGeom>
                        <a:noFill/>
                        <a:ln w="6350">
                          <a:noFill/>
                        </a:ln>
                        <a:effectLst/>
                      </wps:spPr>
                      <wps:txbx>
                        <w:txbxContent>
                          <w:p w14:paraId="52F3F846" w14:textId="254CDC04" w:rsidR="00603B7B" w:rsidRPr="00B222D0" w:rsidRDefault="003D01C1" w:rsidP="00B222D0">
                            <w:pPr>
                              <w:jc w:val="center"/>
                              <w:rPr>
                                <w:rFonts w:ascii="Times New Roman" w:hAnsi="Times New Roman" w:cs="Times New Roman"/>
                                <w:iCs/>
                                <w:szCs w:val="24"/>
                              </w:rPr>
                            </w:pPr>
                            <w:r>
                              <w:rPr>
                                <w:rFonts w:ascii="Times New Roman" w:hAnsi="Times New Roman" w:cs="Times New Roman"/>
                                <w:b/>
                                <w:bCs/>
                                <w:iCs/>
                                <w:szCs w:val="24"/>
                              </w:rPr>
                              <w:t>4.1.3</w:t>
                            </w:r>
                            <w:r w:rsidR="00603B7B" w:rsidRPr="00B222D0">
                              <w:rPr>
                                <w:rFonts w:ascii="Times New Roman" w:hAnsi="Times New Roman" w:cs="Times New Roman"/>
                                <w:b/>
                                <w:bCs/>
                                <w:iCs/>
                                <w:szCs w:val="24"/>
                              </w:rPr>
                              <w:t>.attēls</w:t>
                            </w:r>
                            <w:r w:rsidR="00B222D0" w:rsidRPr="00B222D0">
                              <w:rPr>
                                <w:rFonts w:ascii="Times New Roman" w:hAnsi="Times New Roman" w:cs="Times New Roman"/>
                                <w:b/>
                                <w:bCs/>
                                <w:iCs/>
                                <w:szCs w:val="24"/>
                              </w:rPr>
                              <w:t>.</w:t>
                            </w:r>
                            <w:r w:rsidR="00603B7B" w:rsidRPr="00B222D0">
                              <w:rPr>
                                <w:rFonts w:ascii="Times New Roman" w:hAnsi="Times New Roman" w:cs="Times New Roman"/>
                                <w:iCs/>
                                <w:szCs w:val="24"/>
                              </w:rPr>
                              <w:t xml:space="preserve"> 16 notekūdeņu dūņu pārstrādes centru izvietojums Latvijā</w:t>
                            </w:r>
                          </w:p>
                          <w:p w14:paraId="748885D2" w14:textId="77777777" w:rsidR="00603B7B" w:rsidRDefault="00603B7B" w:rsidP="00055E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C8B01C" id="Text Box 28" o:spid="_x0000_s1039" type="#_x0000_t202" style="position:absolute;left:0;text-align:left;margin-left:0;margin-top:427.8pt;width:557.25pt;height:36pt;z-index:25165824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" filled="f" stroked="f" strokeweight=".5pt">
                <v:textbox>
                  <w:txbxContent>
                    <w:p w14:paraId="52F3F846" w14:textId="254CDC04" w:rsidR="00603B7B" w:rsidRPr="00B222D0" w:rsidRDefault="003D01C1" w:rsidP="00B222D0">
                      <w:pPr>
                        <w:jc w:val="center"/>
                        <w:rPr>
                          <w:rFonts w:ascii="Times New Roman" w:hAnsi="Times New Roman" w:cs="Times New Roman"/>
                          <w:iCs/>
                          <w:szCs w:val="24"/>
                        </w:rPr>
                      </w:pPr>
                      <w:r>
                        <w:rPr>
                          <w:rFonts w:ascii="Times New Roman" w:hAnsi="Times New Roman" w:cs="Times New Roman"/>
                          <w:b/>
                          <w:bCs/>
                          <w:iCs/>
                          <w:szCs w:val="24"/>
                        </w:rPr>
                        <w:t>4.1.3</w:t>
                      </w:r>
                      <w:r w:rsidR="00603B7B" w:rsidRPr="00B222D0">
                        <w:rPr>
                          <w:rFonts w:ascii="Times New Roman" w:hAnsi="Times New Roman" w:cs="Times New Roman"/>
                          <w:b/>
                          <w:bCs/>
                          <w:iCs/>
                          <w:szCs w:val="24"/>
                        </w:rPr>
                        <w:t>.attēls</w:t>
                      </w:r>
                      <w:r w:rsidR="00B222D0" w:rsidRPr="00B222D0">
                        <w:rPr>
                          <w:rFonts w:ascii="Times New Roman" w:hAnsi="Times New Roman" w:cs="Times New Roman"/>
                          <w:b/>
                          <w:bCs/>
                          <w:iCs/>
                          <w:szCs w:val="24"/>
                        </w:rPr>
                        <w:t>.</w:t>
                      </w:r>
                      <w:r w:rsidR="00603B7B" w:rsidRPr="00B222D0">
                        <w:rPr>
                          <w:rFonts w:ascii="Times New Roman" w:hAnsi="Times New Roman" w:cs="Times New Roman"/>
                          <w:iCs/>
                          <w:szCs w:val="24"/>
                        </w:rPr>
                        <w:t xml:space="preserve"> 16 notekūdeņu dūņu pārstrādes centru izvietojums Latvijā</w:t>
                      </w:r>
                    </w:p>
                    <w:p w14:paraId="748885D2" w14:textId="77777777" w:rsidR="00603B7B" w:rsidRDefault="00603B7B" w:rsidP="00055E00"/>
                  </w:txbxContent>
                </v:textbox>
                <w10:wrap anchorx="margin"/>
              </v:shape>
            </w:pict>
          </mc:Fallback>
        </mc:AlternateContent>
      </w:r>
      <w:r w:rsidRPr="00175DD0">
        <w:rPr>
          <w:noProof/>
          <w:lang w:eastAsia="lv-LV"/>
        </w:rPr>
        <w:drawing>
          <wp:anchor distT="0" distB="0" distL="114300" distR="114300" simplePos="0" relativeHeight="251658245" behindDoc="1" locked="0" layoutInCell="1" allowOverlap="1" wp14:anchorId="194AEFB1" wp14:editId="6ADA1D7C">
            <wp:simplePos x="0" y="0"/>
            <wp:positionH relativeFrom="margin">
              <wp:align>left</wp:align>
            </wp:positionH>
            <wp:positionV relativeFrom="paragraph">
              <wp:posOffset>-447675</wp:posOffset>
            </wp:positionV>
            <wp:extent cx="8448675" cy="5979914"/>
            <wp:effectExtent l="0" t="0" r="0" b="190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61854" cy="59892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EE65FE" w14:textId="77777777" w:rsidR="004E53E3" w:rsidRPr="00175DD0" w:rsidRDefault="004E53E3" w:rsidP="004E53E3">
      <w:pPr>
        <w:rPr>
          <w:lang w:eastAsia="lv-LV"/>
        </w:rPr>
        <w:sectPr w:rsidR="004E53E3" w:rsidRPr="00175DD0" w:rsidSect="007E349D">
          <w:pgSz w:w="16838" w:h="11906" w:orient="landscape"/>
          <w:pgMar w:top="1134" w:right="1701" w:bottom="1134" w:left="1701" w:header="708" w:footer="708" w:gutter="0"/>
          <w:cols w:space="708"/>
          <w:docGrid w:linePitch="360"/>
        </w:sectPr>
      </w:pPr>
    </w:p>
    <w:p w14:paraId="59CB94AB" w14:textId="512D9847" w:rsidR="005924DB" w:rsidRDefault="005924DB" w:rsidP="00B222D0">
      <w:pPr>
        <w:pStyle w:val="Heading2"/>
        <w:spacing w:before="0"/>
        <w:jc w:val="center"/>
        <w:rPr>
          <w:rFonts w:ascii="Times New Roman" w:eastAsia="Times New Roman" w:hAnsi="Times New Roman" w:cs="Times New Roman"/>
          <w:b/>
          <w:bCs/>
          <w:color w:val="auto"/>
          <w:sz w:val="24"/>
          <w:szCs w:val="24"/>
          <w:lang w:eastAsia="en-GB"/>
        </w:rPr>
      </w:pPr>
      <w:bookmarkStart w:id="44" w:name="_Toc82430163"/>
      <w:bookmarkStart w:id="45" w:name="_Toc107916315"/>
      <w:r w:rsidRPr="00B222D0">
        <w:rPr>
          <w:rFonts w:ascii="Times New Roman" w:eastAsia="Times New Roman" w:hAnsi="Times New Roman" w:cs="Times New Roman"/>
          <w:b/>
          <w:bCs/>
          <w:color w:val="auto"/>
          <w:sz w:val="24"/>
          <w:szCs w:val="24"/>
          <w:lang w:eastAsia="en-GB"/>
        </w:rPr>
        <w:lastRenderedPageBreak/>
        <w:t>D4. Alternatīva: Notekūdeņu dūņu pārstrāde 5 notekūdeņu dūņu pārstrādes centros</w:t>
      </w:r>
      <w:bookmarkEnd w:id="44"/>
      <w:bookmarkEnd w:id="45"/>
    </w:p>
    <w:p w14:paraId="5D37ACA4" w14:textId="77777777" w:rsidR="00B222D0" w:rsidRPr="00B222D0" w:rsidRDefault="00B222D0" w:rsidP="00B222D0">
      <w:pPr>
        <w:spacing w:after="0"/>
        <w:rPr>
          <w:lang w:eastAsia="en-GB"/>
        </w:rPr>
      </w:pPr>
    </w:p>
    <w:p w14:paraId="72134454" w14:textId="2AFACDFB" w:rsidR="002E024E" w:rsidRPr="00B222D0" w:rsidRDefault="00566AC4" w:rsidP="00B222D0">
      <w:pPr>
        <w:spacing w:after="0"/>
        <w:ind w:firstLine="720"/>
        <w:rPr>
          <w:rFonts w:ascii="Times New Roman" w:hAnsi="Times New Roman" w:cs="Times New Roman"/>
        </w:rPr>
      </w:pPr>
      <w:r w:rsidRPr="00B222D0">
        <w:rPr>
          <w:rFonts w:ascii="Times New Roman" w:hAnsi="Times New Roman" w:cs="Times New Roman"/>
        </w:rPr>
        <w:t>Notekūdeņu d</w:t>
      </w:r>
      <w:r w:rsidR="002E024E" w:rsidRPr="00B222D0">
        <w:rPr>
          <w:rFonts w:ascii="Times New Roman" w:hAnsi="Times New Roman" w:cs="Times New Roman"/>
        </w:rPr>
        <w:t xml:space="preserve">ūņu centralizēšana 5 centros </w:t>
      </w:r>
      <w:r w:rsidRPr="00B222D0">
        <w:rPr>
          <w:rFonts w:ascii="Times New Roman" w:hAnsi="Times New Roman" w:cs="Times New Roman"/>
        </w:rPr>
        <w:t>tika</w:t>
      </w:r>
      <w:r w:rsidR="002E024E" w:rsidRPr="00B222D0">
        <w:rPr>
          <w:rFonts w:ascii="Times New Roman" w:hAnsi="Times New Roman" w:cs="Times New Roman"/>
        </w:rPr>
        <w:t xml:space="preserve"> izskatīta ar mērķi izvērtēt notekūdeņu dūņu pārstrādes izmaksas, izmantojot </w:t>
      </w:r>
      <w:r w:rsidRPr="00B222D0">
        <w:rPr>
          <w:rFonts w:ascii="Times New Roman" w:hAnsi="Times New Roman" w:cs="Times New Roman"/>
        </w:rPr>
        <w:t xml:space="preserve">notekūdeņu </w:t>
      </w:r>
      <w:r w:rsidR="002E024E" w:rsidRPr="00B222D0">
        <w:rPr>
          <w:rFonts w:ascii="Times New Roman" w:hAnsi="Times New Roman" w:cs="Times New Roman"/>
        </w:rPr>
        <w:t xml:space="preserve">dūņu </w:t>
      </w:r>
      <w:r w:rsidR="006E6B15" w:rsidRPr="00B222D0">
        <w:rPr>
          <w:rFonts w:ascii="Times New Roman" w:hAnsi="Times New Roman" w:cs="Times New Roman"/>
        </w:rPr>
        <w:t>mezofilo</w:t>
      </w:r>
      <w:r w:rsidR="002E024E" w:rsidRPr="00B222D0">
        <w:rPr>
          <w:rFonts w:ascii="Times New Roman" w:hAnsi="Times New Roman" w:cs="Times New Roman"/>
        </w:rPr>
        <w:t xml:space="preserve"> anaerobo sadalīšanu, jeb biogāzes iegūšanu un </w:t>
      </w:r>
      <w:r w:rsidRPr="00B222D0">
        <w:rPr>
          <w:rFonts w:ascii="Times New Roman" w:hAnsi="Times New Roman" w:cs="Times New Roman"/>
        </w:rPr>
        <w:t>pārliecināties par</w:t>
      </w:r>
      <w:r w:rsidR="002E024E" w:rsidRPr="00B222D0">
        <w:rPr>
          <w:rFonts w:ascii="Times New Roman" w:hAnsi="Times New Roman" w:cs="Times New Roman"/>
        </w:rPr>
        <w:t xml:space="preserve"> šādas alternatīvas iespējamību. Norādītais potenciālo </w:t>
      </w:r>
      <w:r w:rsidRPr="00B222D0">
        <w:rPr>
          <w:rFonts w:ascii="Times New Roman" w:hAnsi="Times New Roman" w:cs="Times New Roman"/>
        </w:rPr>
        <w:t xml:space="preserve">notekūdeņu </w:t>
      </w:r>
      <w:r w:rsidR="002E024E" w:rsidRPr="00B222D0">
        <w:rPr>
          <w:rFonts w:ascii="Times New Roman" w:hAnsi="Times New Roman" w:cs="Times New Roman"/>
        </w:rPr>
        <w:t xml:space="preserve">dūņu centru skaits – 5 centri aprēķināts kā efektīvākais, ņemot vērā, ka kopējais </w:t>
      </w:r>
      <w:r w:rsidRPr="00B222D0">
        <w:rPr>
          <w:rFonts w:ascii="Times New Roman" w:hAnsi="Times New Roman" w:cs="Times New Roman"/>
        </w:rPr>
        <w:t xml:space="preserve">notekūdeņu </w:t>
      </w:r>
      <w:r w:rsidR="002E024E" w:rsidRPr="00B222D0">
        <w:rPr>
          <w:rFonts w:ascii="Times New Roman" w:hAnsi="Times New Roman" w:cs="Times New Roman"/>
        </w:rPr>
        <w:t xml:space="preserve">dūņu apjoms Latvijā ir par mazu, lai izveidotu </w:t>
      </w:r>
      <w:r w:rsidRPr="00B222D0">
        <w:rPr>
          <w:rFonts w:ascii="Times New Roman" w:hAnsi="Times New Roman" w:cs="Times New Roman"/>
        </w:rPr>
        <w:t>lielāku centru skaitu, kurā uzstādītu biogāzes ieguves iekārtas</w:t>
      </w:r>
      <w:r w:rsidR="002E024E" w:rsidRPr="00B222D0">
        <w:rPr>
          <w:rFonts w:ascii="Times New Roman" w:hAnsi="Times New Roman" w:cs="Times New Roman"/>
        </w:rPr>
        <w:t xml:space="preserve"> (skat. C3.alternatīvu)</w:t>
      </w:r>
      <w:r w:rsidRPr="00B222D0">
        <w:rPr>
          <w:rFonts w:ascii="Times New Roman" w:hAnsi="Times New Roman" w:cs="Times New Roman"/>
        </w:rPr>
        <w:t>,</w:t>
      </w:r>
      <w:r w:rsidR="002E024E" w:rsidRPr="00B222D0">
        <w:rPr>
          <w:rFonts w:ascii="Times New Roman" w:hAnsi="Times New Roman" w:cs="Times New Roman"/>
        </w:rPr>
        <w:t xml:space="preserve"> </w:t>
      </w:r>
      <w:r w:rsidRPr="00B222D0">
        <w:rPr>
          <w:rFonts w:ascii="Times New Roman" w:hAnsi="Times New Roman" w:cs="Times New Roman"/>
        </w:rPr>
        <w:t>savukārt</w:t>
      </w:r>
      <w:r w:rsidR="002E024E" w:rsidRPr="00B222D0">
        <w:rPr>
          <w:rFonts w:ascii="Times New Roman" w:hAnsi="Times New Roman" w:cs="Times New Roman"/>
        </w:rPr>
        <w:t xml:space="preserve"> vēl lielāka centralizācija būtiski palielinātu transportēšanas izmaksas. Četri no pieciem </w:t>
      </w:r>
      <w:r w:rsidRPr="00B222D0">
        <w:rPr>
          <w:rFonts w:ascii="Times New Roman" w:hAnsi="Times New Roman" w:cs="Times New Roman"/>
        </w:rPr>
        <w:t xml:space="preserve">notekūdeņu </w:t>
      </w:r>
      <w:r w:rsidR="002E024E" w:rsidRPr="00B222D0">
        <w:rPr>
          <w:rFonts w:ascii="Times New Roman" w:hAnsi="Times New Roman" w:cs="Times New Roman"/>
        </w:rPr>
        <w:t xml:space="preserve">dūņu centriem </w:t>
      </w:r>
      <w:r w:rsidRPr="00B222D0">
        <w:rPr>
          <w:rFonts w:ascii="Times New Roman" w:hAnsi="Times New Roman" w:cs="Times New Roman"/>
        </w:rPr>
        <w:t>jāizvieto</w:t>
      </w:r>
      <w:r w:rsidR="002E024E" w:rsidRPr="00B222D0">
        <w:rPr>
          <w:rFonts w:ascii="Times New Roman" w:hAnsi="Times New Roman" w:cs="Times New Roman"/>
        </w:rPr>
        <w:t xml:space="preserve"> pie NAI ar lielāko notekūdeņu dūņu daudzumu - Ventspils, Jelgava, Daugavpils un Rēzekne, kas saistīts ar būtisko </w:t>
      </w:r>
      <w:r w:rsidRPr="00B222D0">
        <w:rPr>
          <w:rFonts w:ascii="Times New Roman" w:hAnsi="Times New Roman" w:cs="Times New Roman"/>
        </w:rPr>
        <w:t xml:space="preserve">notekūdeņu </w:t>
      </w:r>
      <w:r w:rsidR="002E024E" w:rsidRPr="00B222D0">
        <w:rPr>
          <w:rFonts w:ascii="Times New Roman" w:hAnsi="Times New Roman" w:cs="Times New Roman"/>
        </w:rPr>
        <w:t xml:space="preserve">dūņu apjomu, kas šajās NAI tiek radīts. Papildus aprēķinu ietvaros </w:t>
      </w:r>
      <w:r w:rsidRPr="00B222D0">
        <w:rPr>
          <w:rFonts w:ascii="Times New Roman" w:hAnsi="Times New Roman" w:cs="Times New Roman"/>
        </w:rPr>
        <w:t>tika</w:t>
      </w:r>
      <w:r w:rsidR="002E024E" w:rsidRPr="00B222D0">
        <w:rPr>
          <w:rFonts w:ascii="Times New Roman" w:hAnsi="Times New Roman" w:cs="Times New Roman"/>
        </w:rPr>
        <w:t xml:space="preserve"> paredzēt</w:t>
      </w:r>
      <w:r w:rsidRPr="00B222D0">
        <w:rPr>
          <w:rFonts w:ascii="Times New Roman" w:hAnsi="Times New Roman" w:cs="Times New Roman"/>
        </w:rPr>
        <w:t>s</w:t>
      </w:r>
      <w:r w:rsidR="002E024E" w:rsidRPr="00B222D0">
        <w:rPr>
          <w:rFonts w:ascii="Times New Roman" w:hAnsi="Times New Roman" w:cs="Times New Roman"/>
        </w:rPr>
        <w:t xml:space="preserve"> pārstrādes centrs Valmierā (pie NAI ar lielāko </w:t>
      </w:r>
      <w:r w:rsidRPr="00B222D0">
        <w:rPr>
          <w:rFonts w:ascii="Times New Roman" w:hAnsi="Times New Roman" w:cs="Times New Roman"/>
        </w:rPr>
        <w:t xml:space="preserve">notekūdeņu </w:t>
      </w:r>
      <w:r w:rsidR="002E024E" w:rsidRPr="00B222D0">
        <w:rPr>
          <w:rFonts w:ascii="Times New Roman" w:hAnsi="Times New Roman" w:cs="Times New Roman"/>
        </w:rPr>
        <w:t xml:space="preserve">dūņu apjomu reģionā), lai nodrošinātu Vidzemes reģiona notekūdeņu dūņu </w:t>
      </w:r>
      <w:r w:rsidR="006E6B15" w:rsidRPr="00B222D0">
        <w:rPr>
          <w:rFonts w:ascii="Times New Roman" w:hAnsi="Times New Roman" w:cs="Times New Roman"/>
        </w:rPr>
        <w:t>mezofilu</w:t>
      </w:r>
      <w:r w:rsidR="002E024E" w:rsidRPr="00B222D0">
        <w:rPr>
          <w:rFonts w:ascii="Times New Roman" w:hAnsi="Times New Roman" w:cs="Times New Roman"/>
        </w:rPr>
        <w:t xml:space="preserve"> anaerobu pārstrādi.</w:t>
      </w:r>
      <w:r w:rsidRPr="00B222D0">
        <w:rPr>
          <w:rFonts w:ascii="Times New Roman" w:hAnsi="Times New Roman" w:cs="Times New Roman"/>
        </w:rPr>
        <w:t xml:space="preserve"> </w:t>
      </w:r>
      <w:r w:rsidR="002E024E" w:rsidRPr="00B222D0">
        <w:rPr>
          <w:rFonts w:ascii="Times New Roman" w:hAnsi="Times New Roman" w:cs="Times New Roman"/>
        </w:rPr>
        <w:t xml:space="preserve">5 pārstrādes centru izvietojumu Latvijā skatīt </w:t>
      </w:r>
      <w:r w:rsidR="003E178E" w:rsidRPr="003E178E">
        <w:rPr>
          <w:rFonts w:ascii="Times New Roman" w:hAnsi="Times New Roman" w:cs="Times New Roman"/>
        </w:rPr>
        <w:t>4.1.4.</w:t>
      </w:r>
      <w:r w:rsidR="002E024E" w:rsidRPr="00B222D0">
        <w:rPr>
          <w:rFonts w:ascii="Times New Roman" w:hAnsi="Times New Roman" w:cs="Times New Roman"/>
        </w:rPr>
        <w:t>attēlu “5 notekūdeņu dūņu pārstrādes centru izvietojums Latvijā”. Ņemot vērā šo centru atrašanās vietas, notekūdeņu dūņas no 41 pašvaldības centra tiek vestas uz tuvāko no biogāzes stacijām, kā rezultātā veidojas dūņu centri ar būtiski  atšķirīgu pārstrādājamo notekūdeņu dūņu apjomu.</w:t>
      </w:r>
    </w:p>
    <w:p w14:paraId="68312D0B" w14:textId="6A18D2C4" w:rsidR="002E024E" w:rsidRPr="00B222D0" w:rsidRDefault="002E024E" w:rsidP="002E024E">
      <w:pPr>
        <w:spacing w:before="120" w:after="120"/>
        <w:ind w:firstLine="720"/>
        <w:rPr>
          <w:rFonts w:ascii="Times New Roman" w:hAnsi="Times New Roman" w:cs="Times New Roman"/>
        </w:rPr>
      </w:pPr>
      <w:r w:rsidRPr="00B222D0">
        <w:rPr>
          <w:rFonts w:ascii="Times New Roman" w:hAnsi="Times New Roman" w:cs="Times New Roman"/>
        </w:rPr>
        <w:t xml:space="preserve">Alternatīvas novērtējuma gaitā </w:t>
      </w:r>
      <w:r w:rsidR="00566AC4" w:rsidRPr="00B222D0">
        <w:rPr>
          <w:rFonts w:ascii="Times New Roman" w:hAnsi="Times New Roman" w:cs="Times New Roman"/>
        </w:rPr>
        <w:t>tika</w:t>
      </w:r>
      <w:r w:rsidRPr="00B222D0">
        <w:rPr>
          <w:rFonts w:ascii="Times New Roman" w:hAnsi="Times New Roman" w:cs="Times New Roman"/>
        </w:rPr>
        <w:t xml:space="preserve"> konstatēt</w:t>
      </w:r>
      <w:r w:rsidR="00AD19B4">
        <w:rPr>
          <w:rFonts w:ascii="Times New Roman" w:hAnsi="Times New Roman" w:cs="Times New Roman"/>
        </w:rPr>
        <w:t>i</w:t>
      </w:r>
      <w:r w:rsidRPr="00B222D0">
        <w:rPr>
          <w:rFonts w:ascii="Times New Roman" w:hAnsi="Times New Roman" w:cs="Times New Roman"/>
        </w:rPr>
        <w:t xml:space="preserve"> arī būtisk</w:t>
      </w:r>
      <w:r w:rsidR="00566AC4" w:rsidRPr="00B222D0">
        <w:rPr>
          <w:rFonts w:ascii="Times New Roman" w:hAnsi="Times New Roman" w:cs="Times New Roman"/>
        </w:rPr>
        <w:t>i</w:t>
      </w:r>
      <w:r w:rsidRPr="00B222D0">
        <w:rPr>
          <w:rFonts w:ascii="Times New Roman" w:hAnsi="Times New Roman" w:cs="Times New Roman"/>
        </w:rPr>
        <w:t xml:space="preserve"> vides risk</w:t>
      </w:r>
      <w:r w:rsidR="00566AC4" w:rsidRPr="00B222D0">
        <w:rPr>
          <w:rFonts w:ascii="Times New Roman" w:hAnsi="Times New Roman" w:cs="Times New Roman"/>
        </w:rPr>
        <w:t>i</w:t>
      </w:r>
      <w:r w:rsidRPr="00B222D0">
        <w:rPr>
          <w:rFonts w:ascii="Times New Roman" w:hAnsi="Times New Roman" w:cs="Times New Roman"/>
        </w:rPr>
        <w:t xml:space="preserve">, </w:t>
      </w:r>
      <w:r w:rsidR="00566AC4" w:rsidRPr="00B222D0">
        <w:rPr>
          <w:rFonts w:ascii="Times New Roman" w:hAnsi="Times New Roman" w:cs="Times New Roman"/>
        </w:rPr>
        <w:t>jo</w:t>
      </w:r>
      <w:r w:rsidRPr="00B222D0">
        <w:rPr>
          <w:rFonts w:ascii="Times New Roman" w:hAnsi="Times New Roman" w:cs="Times New Roman"/>
        </w:rPr>
        <w:t xml:space="preserve"> kopā ar pievest</w:t>
      </w:r>
      <w:r w:rsidR="00566AC4" w:rsidRPr="00B222D0">
        <w:rPr>
          <w:rFonts w:ascii="Times New Roman" w:hAnsi="Times New Roman" w:cs="Times New Roman"/>
        </w:rPr>
        <w:t>ajām notekūdeņu</w:t>
      </w:r>
      <w:r w:rsidRPr="00B222D0">
        <w:rPr>
          <w:rFonts w:ascii="Times New Roman" w:hAnsi="Times New Roman" w:cs="Times New Roman"/>
        </w:rPr>
        <w:t xml:space="preserve"> dūņām, vienuviet tiek koncentrētas arī</w:t>
      </w:r>
      <w:r w:rsidR="00566AC4" w:rsidRPr="00B222D0">
        <w:rPr>
          <w:rFonts w:ascii="Times New Roman" w:hAnsi="Times New Roman" w:cs="Times New Roman"/>
        </w:rPr>
        <w:t xml:space="preserve"> tajās</w:t>
      </w:r>
      <w:r w:rsidRPr="00B222D0">
        <w:rPr>
          <w:rFonts w:ascii="Times New Roman" w:hAnsi="Times New Roman" w:cs="Times New Roman"/>
        </w:rPr>
        <w:t xml:space="preserve"> esošās vielas - slāpeklis, fosfors un smagie metāli. Pēc </w:t>
      </w:r>
      <w:r w:rsidR="00A14B28" w:rsidRPr="00B222D0">
        <w:rPr>
          <w:rFonts w:ascii="Times New Roman" w:hAnsi="Times New Roman" w:cs="Times New Roman"/>
        </w:rPr>
        <w:t xml:space="preserve">notekūdeņu </w:t>
      </w:r>
      <w:r w:rsidRPr="00B222D0">
        <w:rPr>
          <w:rFonts w:ascii="Times New Roman" w:hAnsi="Times New Roman" w:cs="Times New Roman"/>
        </w:rPr>
        <w:t xml:space="preserve">dūņu pārstrādes biogāzē, papildus pievestās vielas izšķīstu ūdenī un tiktu koncentrētas pēc biogāzes </w:t>
      </w:r>
      <w:r w:rsidR="00A14B28" w:rsidRPr="00B222D0">
        <w:rPr>
          <w:rFonts w:ascii="Times New Roman" w:hAnsi="Times New Roman" w:cs="Times New Roman"/>
        </w:rPr>
        <w:t>ieguves iegūtajā</w:t>
      </w:r>
      <w:r w:rsidRPr="00B222D0">
        <w:rPr>
          <w:rFonts w:ascii="Times New Roman" w:hAnsi="Times New Roman" w:cs="Times New Roman"/>
        </w:rPr>
        <w:t xml:space="preserve"> masā – digestātā,</w:t>
      </w:r>
      <w:r w:rsidR="00A14B28" w:rsidRPr="00B222D0">
        <w:rPr>
          <w:rFonts w:ascii="Times New Roman" w:hAnsi="Times New Roman" w:cs="Times New Roman"/>
        </w:rPr>
        <w:t xml:space="preserve"> </w:t>
      </w:r>
      <w:r w:rsidRPr="00B222D0">
        <w:rPr>
          <w:rFonts w:ascii="Times New Roman" w:hAnsi="Times New Roman" w:cs="Times New Roman"/>
        </w:rPr>
        <w:t xml:space="preserve">kuru mehāniski atūdeņojot tiktu iegūta atūdeņotu </w:t>
      </w:r>
      <w:r w:rsidR="00A14B28" w:rsidRPr="00B222D0">
        <w:rPr>
          <w:rFonts w:ascii="Times New Roman" w:hAnsi="Times New Roman" w:cs="Times New Roman"/>
        </w:rPr>
        <w:t xml:space="preserve">notekūdeņu </w:t>
      </w:r>
      <w:r w:rsidRPr="00B222D0">
        <w:rPr>
          <w:rFonts w:ascii="Times New Roman" w:hAnsi="Times New Roman" w:cs="Times New Roman"/>
        </w:rPr>
        <w:t>dūņu mas</w:t>
      </w:r>
      <w:r w:rsidR="00A14B28" w:rsidRPr="00B222D0">
        <w:rPr>
          <w:rFonts w:ascii="Times New Roman" w:hAnsi="Times New Roman" w:cs="Times New Roman"/>
        </w:rPr>
        <w:t>a</w:t>
      </w:r>
      <w:r w:rsidRPr="00B222D0">
        <w:rPr>
          <w:rFonts w:ascii="Times New Roman" w:hAnsi="Times New Roman" w:cs="Times New Roman"/>
        </w:rPr>
        <w:t xml:space="preserve"> (23% sausna vai vairāk) un piesārņots ūdens – fugāts, kuru alternatīvas ietvaros paredzēts atgriezt attīrīšanai bioloģiskajās NAI. Tā kā papildus pievestais</w:t>
      </w:r>
      <w:r w:rsidR="00A14B28" w:rsidRPr="00B222D0">
        <w:rPr>
          <w:rFonts w:ascii="Times New Roman" w:hAnsi="Times New Roman" w:cs="Times New Roman"/>
        </w:rPr>
        <w:t xml:space="preserve"> notekūdeņu</w:t>
      </w:r>
      <w:r w:rsidRPr="00B222D0">
        <w:rPr>
          <w:rFonts w:ascii="Times New Roman" w:hAnsi="Times New Roman" w:cs="Times New Roman"/>
        </w:rPr>
        <w:t xml:space="preserve"> dūņu apjoms ir būtisks, arī papildus attīrīšanas slodze uz NAI </w:t>
      </w:r>
      <w:r w:rsidR="00A14B28" w:rsidRPr="00B222D0">
        <w:rPr>
          <w:rFonts w:ascii="Times New Roman" w:hAnsi="Times New Roman" w:cs="Times New Roman"/>
        </w:rPr>
        <w:t>paredzama ievērojama</w:t>
      </w:r>
      <w:r w:rsidRPr="00B222D0">
        <w:rPr>
          <w:rFonts w:ascii="Times New Roman" w:hAnsi="Times New Roman" w:cs="Times New Roman"/>
        </w:rPr>
        <w:t xml:space="preserve">, kas nav ņemta vērā un paredzēta projektējot un būvējot esošās NAI. </w:t>
      </w:r>
    </w:p>
    <w:p w14:paraId="4199F9CE" w14:textId="48025F40" w:rsidR="002E024E" w:rsidRPr="00B222D0" w:rsidRDefault="00A14B28" w:rsidP="002E024E">
      <w:pPr>
        <w:spacing w:before="120" w:after="120"/>
        <w:ind w:firstLine="720"/>
        <w:rPr>
          <w:rFonts w:ascii="Times New Roman" w:hAnsi="Times New Roman" w:cs="Times New Roman"/>
        </w:rPr>
      </w:pPr>
      <w:r w:rsidRPr="00B222D0">
        <w:rPr>
          <w:rFonts w:ascii="Times New Roman" w:hAnsi="Times New Roman" w:cs="Times New Roman"/>
        </w:rPr>
        <w:t>Ņemot vērā iepriekš minēto</w:t>
      </w:r>
      <w:r w:rsidR="002E024E" w:rsidRPr="00B222D0">
        <w:rPr>
          <w:rFonts w:ascii="Times New Roman" w:hAnsi="Times New Roman" w:cs="Times New Roman"/>
        </w:rPr>
        <w:t>, ka piemērotāk</w:t>
      </w:r>
      <w:r w:rsidRPr="00B222D0">
        <w:rPr>
          <w:rFonts w:ascii="Times New Roman" w:hAnsi="Times New Roman" w:cs="Times New Roman"/>
        </w:rPr>
        <w:t>ai</w:t>
      </w:r>
      <w:r w:rsidR="002E024E" w:rsidRPr="00B222D0">
        <w:rPr>
          <w:rFonts w:ascii="Times New Roman" w:hAnsi="Times New Roman" w:cs="Times New Roman"/>
        </w:rPr>
        <w:t xml:space="preserve">s risinājums būtu nevis lauku teritorijās veidot jaunas biogāzes stacijas, kas piederētu un kuras apsaimniekotu SPS, bet izmantot kādu no jau esošām vairāk kā 40 lauksaimnieku organizācijām piederošās biogāzes stacijās. Papildus esošo biogāzes staciju īpašniekiem, visticamāk pieder vai citādi ir pieejamas arī nepieciešamās lauksaimniecības zemju platības digestāta utilizācijai, kas nebūs pieejamas SPS. Lai arī </w:t>
      </w:r>
      <w:r w:rsidRPr="00B222D0">
        <w:rPr>
          <w:rFonts w:ascii="Times New Roman" w:hAnsi="Times New Roman" w:cs="Times New Roman"/>
        </w:rPr>
        <w:t xml:space="preserve">notekūdeņu </w:t>
      </w:r>
      <w:r w:rsidR="002E024E" w:rsidRPr="00B222D0">
        <w:rPr>
          <w:rFonts w:ascii="Times New Roman" w:hAnsi="Times New Roman" w:cs="Times New Roman"/>
        </w:rPr>
        <w:t>dūņu nodošana pārstrādei lauksaimnieku organizācijām vienlaicīgi atrisinātu ar</w:t>
      </w:r>
      <w:r w:rsidRPr="00B222D0">
        <w:rPr>
          <w:rFonts w:ascii="Times New Roman" w:hAnsi="Times New Roman" w:cs="Times New Roman"/>
        </w:rPr>
        <w:t>ī</w:t>
      </w:r>
      <w:r w:rsidR="002E024E" w:rsidRPr="00B222D0">
        <w:rPr>
          <w:rFonts w:ascii="Times New Roman" w:hAnsi="Times New Roman" w:cs="Times New Roman"/>
        </w:rPr>
        <w:t xml:space="preserve"> notekūdeņu dūņu utilizācijas problēmu, tomēr ļoti būtiskus un nepārvaldāmus riskus rada pie alternatīvas A2. veiktais novērtējums, ka šī sistēma esošajā apjomā ilgtermiņā var nepastāvēt un ar augstu iestāšanās varbūtību pastāv risks par tās likvidēšanu, darbības maiņu vai apstāšanos uz nezināmu laika periodu.</w:t>
      </w:r>
    </w:p>
    <w:p w14:paraId="4B112283" w14:textId="77777777" w:rsidR="005924DB" w:rsidRPr="00B222D0" w:rsidRDefault="005924DB" w:rsidP="005924DB">
      <w:pPr>
        <w:rPr>
          <w:rFonts w:ascii="Times New Roman" w:hAnsi="Times New Roman" w:cs="Times New Roman"/>
          <w:lang w:eastAsia="lv-LV"/>
        </w:rPr>
      </w:pPr>
    </w:p>
    <w:p w14:paraId="6B65CAC9" w14:textId="77777777" w:rsidR="002E024E" w:rsidRPr="00175DD0" w:rsidRDefault="002E024E" w:rsidP="005924DB">
      <w:pPr>
        <w:rPr>
          <w:lang w:eastAsia="lv-LV"/>
        </w:rPr>
        <w:sectPr w:rsidR="002E024E" w:rsidRPr="00175DD0" w:rsidSect="007E349D">
          <w:pgSz w:w="11906" w:h="16838"/>
          <w:pgMar w:top="1134" w:right="1701" w:bottom="1134" w:left="1701" w:header="708" w:footer="708" w:gutter="0"/>
          <w:cols w:space="708"/>
          <w:docGrid w:linePitch="360"/>
        </w:sectPr>
      </w:pPr>
    </w:p>
    <w:p w14:paraId="3B2180FF" w14:textId="77777777" w:rsidR="002E024E" w:rsidRPr="00175DD0" w:rsidRDefault="002E024E" w:rsidP="005924DB">
      <w:pPr>
        <w:rPr>
          <w:lang w:eastAsia="lv-LV"/>
        </w:rPr>
      </w:pPr>
      <w:r w:rsidRPr="00175DD0">
        <w:rPr>
          <w:noProof/>
          <w:lang w:eastAsia="lv-LV"/>
        </w:rPr>
        <w:lastRenderedPageBreak/>
        <mc:AlternateContent>
          <mc:Choice Requires="wps">
            <w:drawing>
              <wp:anchor distT="0" distB="0" distL="114300" distR="114300" simplePos="0" relativeHeight="251658248" behindDoc="0" locked="0" layoutInCell="1" allowOverlap="1" wp14:anchorId="4CAA0320" wp14:editId="65943EA8">
                <wp:simplePos x="0" y="0"/>
                <wp:positionH relativeFrom="margin">
                  <wp:align>center</wp:align>
                </wp:positionH>
                <wp:positionV relativeFrom="paragraph">
                  <wp:posOffset>5555615</wp:posOffset>
                </wp:positionV>
                <wp:extent cx="7077075" cy="39052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7077075" cy="390525"/>
                        </a:xfrm>
                        <a:prstGeom prst="rect">
                          <a:avLst/>
                        </a:prstGeom>
                        <a:noFill/>
                        <a:ln w="6350">
                          <a:noFill/>
                        </a:ln>
                        <a:effectLst/>
                      </wps:spPr>
                      <wps:txbx>
                        <w:txbxContent>
                          <w:p w14:paraId="155F5C38" w14:textId="6EF27BC7" w:rsidR="00603B7B" w:rsidRPr="000B4602" w:rsidRDefault="003E178E" w:rsidP="000B4602">
                            <w:pPr>
                              <w:jc w:val="center"/>
                              <w:rPr>
                                <w:rFonts w:ascii="Times New Roman" w:hAnsi="Times New Roman" w:cs="Times New Roman"/>
                                <w:iCs/>
                                <w:szCs w:val="24"/>
                              </w:rPr>
                            </w:pPr>
                            <w:r>
                              <w:rPr>
                                <w:rFonts w:ascii="Times New Roman" w:hAnsi="Times New Roman" w:cs="Times New Roman"/>
                                <w:b/>
                                <w:bCs/>
                                <w:iCs/>
                                <w:szCs w:val="24"/>
                              </w:rPr>
                              <w:t>4.1.4</w:t>
                            </w:r>
                            <w:r w:rsidR="00603B7B" w:rsidRPr="000B4602">
                              <w:rPr>
                                <w:rFonts w:ascii="Times New Roman" w:hAnsi="Times New Roman" w:cs="Times New Roman"/>
                                <w:b/>
                                <w:bCs/>
                                <w:iCs/>
                                <w:szCs w:val="24"/>
                              </w:rPr>
                              <w:t>.attēls</w:t>
                            </w:r>
                            <w:r w:rsidR="000B4602" w:rsidRPr="000B4602">
                              <w:rPr>
                                <w:rFonts w:ascii="Times New Roman" w:hAnsi="Times New Roman" w:cs="Times New Roman"/>
                                <w:b/>
                                <w:bCs/>
                                <w:iCs/>
                                <w:szCs w:val="24"/>
                              </w:rPr>
                              <w:t>.</w:t>
                            </w:r>
                            <w:r w:rsidR="000B4602">
                              <w:rPr>
                                <w:rFonts w:ascii="Times New Roman" w:hAnsi="Times New Roman" w:cs="Times New Roman"/>
                                <w:iCs/>
                                <w:szCs w:val="24"/>
                              </w:rPr>
                              <w:t xml:space="preserve"> </w:t>
                            </w:r>
                            <w:r w:rsidR="00603B7B" w:rsidRPr="000B4602">
                              <w:rPr>
                                <w:rFonts w:ascii="Times New Roman" w:hAnsi="Times New Roman" w:cs="Times New Roman"/>
                                <w:iCs/>
                                <w:szCs w:val="24"/>
                              </w:rPr>
                              <w:t>5 notekūdeņu dūņu pārstrādes centru izvietojums Latvijā</w:t>
                            </w:r>
                          </w:p>
                          <w:p w14:paraId="06617CDB" w14:textId="77777777" w:rsidR="00603B7B" w:rsidRDefault="00603B7B" w:rsidP="000B460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AA0320" id="Text Box 29" o:spid="_x0000_s1040" type="#_x0000_t202" style="position:absolute;left:0;text-align:left;margin-left:0;margin-top:437.45pt;width:557.25pt;height:30.75pt;z-index:251658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" filled="f" stroked="f" strokeweight=".5pt">
                <v:textbox>
                  <w:txbxContent>
                    <w:p w14:paraId="155F5C38" w14:textId="6EF27BC7" w:rsidR="00603B7B" w:rsidRPr="000B4602" w:rsidRDefault="003E178E" w:rsidP="000B4602">
                      <w:pPr>
                        <w:jc w:val="center"/>
                        <w:rPr>
                          <w:rFonts w:ascii="Times New Roman" w:hAnsi="Times New Roman" w:cs="Times New Roman"/>
                          <w:iCs/>
                          <w:szCs w:val="24"/>
                        </w:rPr>
                      </w:pPr>
                      <w:r>
                        <w:rPr>
                          <w:rFonts w:ascii="Times New Roman" w:hAnsi="Times New Roman" w:cs="Times New Roman"/>
                          <w:b/>
                          <w:bCs/>
                          <w:iCs/>
                          <w:szCs w:val="24"/>
                        </w:rPr>
                        <w:t>4.1.4</w:t>
                      </w:r>
                      <w:r w:rsidR="00603B7B" w:rsidRPr="000B4602">
                        <w:rPr>
                          <w:rFonts w:ascii="Times New Roman" w:hAnsi="Times New Roman" w:cs="Times New Roman"/>
                          <w:b/>
                          <w:bCs/>
                          <w:iCs/>
                          <w:szCs w:val="24"/>
                        </w:rPr>
                        <w:t>.attēls</w:t>
                      </w:r>
                      <w:r w:rsidR="000B4602" w:rsidRPr="000B4602">
                        <w:rPr>
                          <w:rFonts w:ascii="Times New Roman" w:hAnsi="Times New Roman" w:cs="Times New Roman"/>
                          <w:b/>
                          <w:bCs/>
                          <w:iCs/>
                          <w:szCs w:val="24"/>
                        </w:rPr>
                        <w:t>.</w:t>
                      </w:r>
                      <w:r w:rsidR="000B4602">
                        <w:rPr>
                          <w:rFonts w:ascii="Times New Roman" w:hAnsi="Times New Roman" w:cs="Times New Roman"/>
                          <w:iCs/>
                          <w:szCs w:val="24"/>
                        </w:rPr>
                        <w:t xml:space="preserve"> </w:t>
                      </w:r>
                      <w:r w:rsidR="00603B7B" w:rsidRPr="000B4602">
                        <w:rPr>
                          <w:rFonts w:ascii="Times New Roman" w:hAnsi="Times New Roman" w:cs="Times New Roman"/>
                          <w:iCs/>
                          <w:szCs w:val="24"/>
                        </w:rPr>
                        <w:t>5 notekūdeņu dūņu pārstrādes centru izvietojums Latvijā</w:t>
                      </w:r>
                    </w:p>
                    <w:p w14:paraId="06617CDB" w14:textId="77777777" w:rsidR="00603B7B" w:rsidRDefault="00603B7B" w:rsidP="000B4602">
                      <w:pPr>
                        <w:jc w:val="center"/>
                      </w:pPr>
                    </w:p>
                  </w:txbxContent>
                </v:textbox>
                <w10:wrap anchorx="margin"/>
              </v:shape>
            </w:pict>
          </mc:Fallback>
        </mc:AlternateContent>
      </w:r>
      <w:r w:rsidRPr="00175DD0">
        <w:rPr>
          <w:noProof/>
          <w:lang w:eastAsia="lv-LV"/>
        </w:rPr>
        <w:drawing>
          <wp:anchor distT="0" distB="0" distL="114300" distR="114300" simplePos="0" relativeHeight="251658247" behindDoc="1" locked="0" layoutInCell="1" allowOverlap="1" wp14:anchorId="01ECB094" wp14:editId="703ED356">
            <wp:simplePos x="0" y="0"/>
            <wp:positionH relativeFrom="margin">
              <wp:align>center</wp:align>
            </wp:positionH>
            <wp:positionV relativeFrom="paragraph">
              <wp:posOffset>-495300</wp:posOffset>
            </wp:positionV>
            <wp:extent cx="8543925" cy="6047331"/>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43925" cy="60473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5E99C5" w14:textId="77777777" w:rsidR="002E024E" w:rsidRPr="00175DD0" w:rsidRDefault="002E024E" w:rsidP="002E024E">
      <w:pPr>
        <w:rPr>
          <w:lang w:eastAsia="lv-LV"/>
        </w:rPr>
        <w:sectPr w:rsidR="002E024E" w:rsidRPr="00175DD0" w:rsidSect="007E349D">
          <w:pgSz w:w="16838" w:h="11906" w:orient="landscape"/>
          <w:pgMar w:top="1134" w:right="1701" w:bottom="1134" w:left="1701" w:header="708" w:footer="708" w:gutter="0"/>
          <w:cols w:space="708"/>
          <w:docGrid w:linePitch="360"/>
        </w:sectPr>
      </w:pPr>
    </w:p>
    <w:p w14:paraId="3B3DD9F5" w14:textId="521DACB5" w:rsidR="002E024E" w:rsidRDefault="002E024E" w:rsidP="001749A1">
      <w:pPr>
        <w:spacing w:after="0"/>
        <w:ind w:firstLine="720"/>
        <w:rPr>
          <w:rFonts w:ascii="Times New Roman" w:hAnsi="Times New Roman" w:cs="Times New Roman"/>
        </w:rPr>
      </w:pPr>
      <w:r w:rsidRPr="001749A1">
        <w:rPr>
          <w:rFonts w:ascii="Times New Roman" w:hAnsi="Times New Roman" w:cs="Times New Roman"/>
        </w:rPr>
        <w:lastRenderedPageBreak/>
        <w:t xml:space="preserve">Ņemot vērā dažādos iespējamos risinājumus rīcībai ar notekūdeņu dūņām pēc to pārstrādes biogāzes stacijās, detalizēti tiek izskatīta iespējas veikt notekūdeņu dūņu </w:t>
      </w:r>
      <w:r w:rsidR="006E6B15" w:rsidRPr="001749A1">
        <w:rPr>
          <w:rFonts w:ascii="Times New Roman" w:hAnsi="Times New Roman" w:cs="Times New Roman"/>
        </w:rPr>
        <w:t>mezofilu</w:t>
      </w:r>
      <w:r w:rsidRPr="001749A1">
        <w:rPr>
          <w:rFonts w:ascii="Times New Roman" w:hAnsi="Times New Roman" w:cs="Times New Roman"/>
        </w:rPr>
        <w:t xml:space="preserve"> anaerobu apstrādi pie reģiona lielākajām NAI, izveidojušos digestātu atūdeņot, bet fugātu attīrīt papildus izbūvētā bioloģiskā attīrīšanas ciklā. Pēc digestāta atūdeņošanas veidojas pārstrādātu </w:t>
      </w:r>
      <w:r w:rsidR="00A14B28" w:rsidRPr="001749A1">
        <w:rPr>
          <w:rFonts w:ascii="Times New Roman" w:hAnsi="Times New Roman" w:cs="Times New Roman"/>
        </w:rPr>
        <w:t xml:space="preserve">notekūdeņu </w:t>
      </w:r>
      <w:r w:rsidRPr="001749A1">
        <w:rPr>
          <w:rFonts w:ascii="Times New Roman" w:hAnsi="Times New Roman" w:cs="Times New Roman"/>
        </w:rPr>
        <w:t>dūņu masa, kurai alternatīvas ietvaros tiek izskatītas dažādas utilizācijas iespējas -  nodot lauksaimniekiem iestrādei augsnē, izmantot biogāzes dedzināšanā iegūt</w:t>
      </w:r>
      <w:r w:rsidR="00A14B28" w:rsidRPr="001749A1">
        <w:rPr>
          <w:rFonts w:ascii="Times New Roman" w:hAnsi="Times New Roman" w:cs="Times New Roman"/>
        </w:rPr>
        <w:t>o</w:t>
      </w:r>
      <w:r w:rsidRPr="001749A1">
        <w:rPr>
          <w:rFonts w:ascii="Times New Roman" w:hAnsi="Times New Roman" w:cs="Times New Roman"/>
        </w:rPr>
        <w:t xml:space="preserve"> lieko siltumu un </w:t>
      </w:r>
      <w:r w:rsidR="00A14B28" w:rsidRPr="001749A1">
        <w:rPr>
          <w:rFonts w:ascii="Times New Roman" w:hAnsi="Times New Roman" w:cs="Times New Roman"/>
        </w:rPr>
        <w:t xml:space="preserve">notekūdeņu </w:t>
      </w:r>
      <w:r w:rsidRPr="001749A1">
        <w:rPr>
          <w:rFonts w:ascii="Times New Roman" w:hAnsi="Times New Roman" w:cs="Times New Roman"/>
        </w:rPr>
        <w:t>dūņ</w:t>
      </w:r>
      <w:r w:rsidR="00A14B28" w:rsidRPr="001749A1">
        <w:rPr>
          <w:rFonts w:ascii="Times New Roman" w:hAnsi="Times New Roman" w:cs="Times New Roman"/>
        </w:rPr>
        <w:t>a</w:t>
      </w:r>
      <w:r w:rsidRPr="001749A1">
        <w:rPr>
          <w:rFonts w:ascii="Times New Roman" w:hAnsi="Times New Roman" w:cs="Times New Roman"/>
        </w:rPr>
        <w:t>s žāvēt ar mērķi tās sagatavot dedzināšanai siltumenerģijas ieguvei (skat. alternatīvu B2.3.), vai arī dūņas sagatavot cementa ražošanai (skat. alternatīvu B2.2.).</w:t>
      </w:r>
    </w:p>
    <w:p w14:paraId="5D663B57" w14:textId="77777777" w:rsidR="001749A1" w:rsidRPr="001749A1" w:rsidRDefault="001749A1" w:rsidP="001749A1">
      <w:pPr>
        <w:spacing w:after="0"/>
        <w:ind w:firstLine="720"/>
        <w:rPr>
          <w:rFonts w:ascii="Times New Roman" w:hAnsi="Times New Roman" w:cs="Times New Roman"/>
          <w:lang w:eastAsia="lv-LV"/>
        </w:rPr>
      </w:pPr>
    </w:p>
    <w:p w14:paraId="4EDF591B" w14:textId="20CD1392" w:rsidR="002E024E" w:rsidRPr="001749A1" w:rsidRDefault="002E024E" w:rsidP="001749A1">
      <w:pPr>
        <w:pStyle w:val="Heading3"/>
        <w:spacing w:before="0"/>
        <w:jc w:val="center"/>
        <w:rPr>
          <w:rFonts w:ascii="Times New Roman" w:eastAsia="Times New Roman" w:hAnsi="Times New Roman" w:cs="Times New Roman"/>
          <w:b/>
          <w:bCs/>
          <w:color w:val="auto"/>
          <w:sz w:val="24"/>
          <w:lang w:eastAsia="en-GB"/>
        </w:rPr>
      </w:pPr>
      <w:bookmarkStart w:id="46" w:name="_Toc82430164"/>
      <w:bookmarkStart w:id="47" w:name="_Toc107916316"/>
      <w:r w:rsidRPr="001749A1">
        <w:rPr>
          <w:rFonts w:ascii="Times New Roman" w:eastAsia="Times New Roman" w:hAnsi="Times New Roman" w:cs="Times New Roman"/>
          <w:b/>
          <w:bCs/>
          <w:color w:val="auto"/>
          <w:sz w:val="24"/>
          <w:lang w:eastAsia="en-GB"/>
        </w:rPr>
        <w:t>D4.1 Alternatīva:  Biogāzes ražošanas procesā iegūtā digestāta mehāniska atūdeņošana un fugāta ūdens attīrīšana papildus izbūvētos bioloģiskos notekūdeņu attīrīšanas blokos, atūdeņot</w:t>
      </w:r>
      <w:r w:rsidR="00B55DF9" w:rsidRPr="001749A1">
        <w:rPr>
          <w:rFonts w:ascii="Times New Roman" w:eastAsia="Times New Roman" w:hAnsi="Times New Roman" w:cs="Times New Roman"/>
          <w:b/>
          <w:bCs/>
          <w:color w:val="auto"/>
          <w:sz w:val="24"/>
          <w:lang w:eastAsia="en-GB"/>
        </w:rPr>
        <w:t>ās notekūdeņu</w:t>
      </w:r>
      <w:r w:rsidRPr="001749A1">
        <w:rPr>
          <w:rFonts w:ascii="Times New Roman" w:eastAsia="Times New Roman" w:hAnsi="Times New Roman" w:cs="Times New Roman"/>
          <w:b/>
          <w:bCs/>
          <w:color w:val="auto"/>
          <w:sz w:val="24"/>
          <w:lang w:eastAsia="en-GB"/>
        </w:rPr>
        <w:t xml:space="preserve"> dūņu masas iestrāde augsnē</w:t>
      </w:r>
      <w:bookmarkEnd w:id="46"/>
      <w:bookmarkEnd w:id="47"/>
    </w:p>
    <w:p w14:paraId="20A2DEB9" w14:textId="77777777" w:rsidR="001749A1" w:rsidRDefault="001749A1" w:rsidP="001749A1">
      <w:pPr>
        <w:spacing w:after="0"/>
        <w:ind w:firstLine="720"/>
        <w:rPr>
          <w:rFonts w:ascii="Times New Roman" w:hAnsi="Times New Roman" w:cs="Times New Roman"/>
        </w:rPr>
      </w:pPr>
    </w:p>
    <w:p w14:paraId="696A3720" w14:textId="35FF5D16" w:rsidR="002E024E" w:rsidRPr="001749A1" w:rsidRDefault="002E024E" w:rsidP="001749A1">
      <w:pPr>
        <w:spacing w:after="0"/>
        <w:ind w:firstLine="720"/>
        <w:rPr>
          <w:rFonts w:ascii="Times New Roman" w:hAnsi="Times New Roman" w:cs="Times New Roman"/>
        </w:rPr>
      </w:pPr>
      <w:r w:rsidRPr="001749A1">
        <w:rPr>
          <w:rFonts w:ascii="Times New Roman" w:hAnsi="Times New Roman" w:cs="Times New Roman"/>
        </w:rPr>
        <w:t xml:space="preserve">Apakšalternatīva paredz, ka pēc notekūdeņu dūņu pārstrādes biogāzes stacijās, </w:t>
      </w:r>
      <w:r w:rsidR="00B55DF9" w:rsidRPr="001749A1">
        <w:rPr>
          <w:rFonts w:ascii="Times New Roman" w:hAnsi="Times New Roman" w:cs="Times New Roman"/>
        </w:rPr>
        <w:t>radītais</w:t>
      </w:r>
      <w:r w:rsidRPr="001749A1">
        <w:rPr>
          <w:rFonts w:ascii="Times New Roman" w:hAnsi="Times New Roman" w:cs="Times New Roman"/>
        </w:rPr>
        <w:t xml:space="preserve"> digestāts tiek mehāniski atūdeņots</w:t>
      </w:r>
      <w:r w:rsidR="00B55DF9" w:rsidRPr="001749A1">
        <w:rPr>
          <w:rFonts w:ascii="Times New Roman" w:hAnsi="Times New Roman" w:cs="Times New Roman"/>
        </w:rPr>
        <w:t>,</w:t>
      </w:r>
      <w:r w:rsidRPr="001749A1">
        <w:rPr>
          <w:rFonts w:ascii="Times New Roman" w:hAnsi="Times New Roman" w:cs="Times New Roman"/>
        </w:rPr>
        <w:t xml:space="preserve"> iegūstot pārstrādātu </w:t>
      </w:r>
      <w:r w:rsidR="00B55DF9" w:rsidRPr="001749A1">
        <w:rPr>
          <w:rFonts w:ascii="Times New Roman" w:hAnsi="Times New Roman" w:cs="Times New Roman"/>
        </w:rPr>
        <w:t xml:space="preserve">notekūdeņu </w:t>
      </w:r>
      <w:r w:rsidRPr="001749A1">
        <w:rPr>
          <w:rFonts w:ascii="Times New Roman" w:hAnsi="Times New Roman" w:cs="Times New Roman"/>
        </w:rPr>
        <w:t xml:space="preserve">dūņu masu ar </w:t>
      </w:r>
      <w:r w:rsidR="00B55DF9" w:rsidRPr="001749A1">
        <w:rPr>
          <w:rFonts w:ascii="Times New Roman" w:hAnsi="Times New Roman" w:cs="Times New Roman"/>
        </w:rPr>
        <w:t xml:space="preserve">sausnas saturu </w:t>
      </w:r>
      <w:r w:rsidRPr="001749A1">
        <w:rPr>
          <w:rFonts w:ascii="Times New Roman" w:hAnsi="Times New Roman" w:cs="Times New Roman"/>
        </w:rPr>
        <w:t xml:space="preserve">23%, kas tiek pārvesta uzglabāšanai speciāli ierīkotā laukumā ar sienu, jumtu un smaku novēršanas sistēmu līdz brīdim, kad pārstrādāto </w:t>
      </w:r>
      <w:sdt>
        <w:sdtPr>
          <w:rPr>
            <w:rFonts w:ascii="Times New Roman" w:hAnsi="Times New Roman" w:cs="Times New Roman"/>
          </w:rPr>
          <w:tag w:val="goog_rdk_81"/>
          <w:id w:val="671156226"/>
        </w:sdtPr>
        <w:sdtContent/>
      </w:sdt>
      <w:r w:rsidRPr="001749A1">
        <w:rPr>
          <w:rFonts w:ascii="Times New Roman" w:hAnsi="Times New Roman" w:cs="Times New Roman"/>
        </w:rPr>
        <w:t xml:space="preserve">notekūdeņu dūņu masu ir iespējams izvest </w:t>
      </w:r>
      <w:r w:rsidR="00B55DF9" w:rsidRPr="001749A1">
        <w:rPr>
          <w:rFonts w:ascii="Times New Roman" w:hAnsi="Times New Roman" w:cs="Times New Roman"/>
        </w:rPr>
        <w:t>iestrādei augsnē.</w:t>
      </w:r>
      <w:r w:rsidRPr="001749A1">
        <w:rPr>
          <w:rFonts w:ascii="Times New Roman" w:hAnsi="Times New Roman" w:cs="Times New Roman"/>
        </w:rPr>
        <w:t xml:space="preserve"> Biogāzes</w:t>
      </w:r>
      <w:r w:rsidR="00B55DF9" w:rsidRPr="001749A1">
        <w:rPr>
          <w:rFonts w:ascii="Times New Roman" w:hAnsi="Times New Roman" w:cs="Times New Roman"/>
        </w:rPr>
        <w:t xml:space="preserve"> sadedzināšanas</w:t>
      </w:r>
      <w:r w:rsidRPr="001749A1">
        <w:rPr>
          <w:rFonts w:ascii="Times New Roman" w:hAnsi="Times New Roman" w:cs="Times New Roman"/>
        </w:rPr>
        <w:t xml:space="preserve"> procesā iegūtā </w:t>
      </w:r>
      <w:r w:rsidR="00B55DF9" w:rsidRPr="001749A1">
        <w:rPr>
          <w:rFonts w:ascii="Times New Roman" w:hAnsi="Times New Roman" w:cs="Times New Roman"/>
        </w:rPr>
        <w:t>elektroenerģija</w:t>
      </w:r>
      <w:r w:rsidRPr="001749A1">
        <w:rPr>
          <w:rFonts w:ascii="Times New Roman" w:hAnsi="Times New Roman" w:cs="Times New Roman"/>
        </w:rPr>
        <w:t xml:space="preserve"> tiek izmantota NAI darbība</w:t>
      </w:r>
      <w:r w:rsidR="00B55DF9" w:rsidRPr="001749A1">
        <w:rPr>
          <w:rFonts w:ascii="Times New Roman" w:hAnsi="Times New Roman" w:cs="Times New Roman"/>
        </w:rPr>
        <w:t>s nodrošināšanai</w:t>
      </w:r>
      <w:r w:rsidRPr="001749A1">
        <w:rPr>
          <w:rFonts w:ascii="Times New Roman" w:hAnsi="Times New Roman" w:cs="Times New Roman"/>
        </w:rPr>
        <w:t xml:space="preserve">, bet </w:t>
      </w:r>
      <w:r w:rsidR="00B55DF9" w:rsidRPr="001749A1">
        <w:rPr>
          <w:rFonts w:ascii="Times New Roman" w:hAnsi="Times New Roman" w:cs="Times New Roman"/>
        </w:rPr>
        <w:t>iegūtā</w:t>
      </w:r>
      <w:r w:rsidRPr="001749A1">
        <w:rPr>
          <w:rFonts w:ascii="Times New Roman" w:hAnsi="Times New Roman" w:cs="Times New Roman"/>
        </w:rPr>
        <w:t xml:space="preserve"> siltumenerģija tiek pārdota vai izmantota NAI ēku apkurināšanai. Lai aprēķinātu alternatīvas uzturēšanas un kapitālo investīciju izmaksas ir ņemtas vērā gan nepieciešamās izmaksas biogāzes stacijas būvniecībai un uzturēšanai, gan izmaksas fugāta attīrīšanai</w:t>
      </w:r>
      <w:r w:rsidR="00B55DF9" w:rsidRPr="001749A1">
        <w:rPr>
          <w:rFonts w:ascii="Times New Roman" w:hAnsi="Times New Roman" w:cs="Times New Roman"/>
        </w:rPr>
        <w:t xml:space="preserve"> un </w:t>
      </w:r>
      <w:r w:rsidRPr="001749A1">
        <w:rPr>
          <w:rFonts w:ascii="Times New Roman" w:hAnsi="Times New Roman" w:cs="Times New Roman"/>
        </w:rPr>
        <w:t xml:space="preserve">atbilstoši aprīkota </w:t>
      </w:r>
      <w:r w:rsidR="00B55DF9" w:rsidRPr="001749A1">
        <w:rPr>
          <w:rFonts w:ascii="Times New Roman" w:hAnsi="Times New Roman" w:cs="Times New Roman"/>
        </w:rPr>
        <w:t xml:space="preserve">notekūdeņu </w:t>
      </w:r>
      <w:r w:rsidRPr="001749A1">
        <w:rPr>
          <w:rFonts w:ascii="Times New Roman" w:hAnsi="Times New Roman" w:cs="Times New Roman"/>
        </w:rPr>
        <w:t xml:space="preserve">dūņu laukuma izveidošanai. Aprēķinos nav ietvertas izmaksas, kas varētu būt nepieciešamas, lai izveidotu savienojumu </w:t>
      </w:r>
      <w:r w:rsidR="00175DD0" w:rsidRPr="001749A1">
        <w:rPr>
          <w:rFonts w:ascii="Times New Roman" w:hAnsi="Times New Roman" w:cs="Times New Roman"/>
        </w:rPr>
        <w:t>siltumenerģijas</w:t>
      </w:r>
      <w:r w:rsidRPr="001749A1">
        <w:rPr>
          <w:rFonts w:ascii="Times New Roman" w:hAnsi="Times New Roman" w:cs="Times New Roman"/>
        </w:rPr>
        <w:t xml:space="preserve"> novadīšanai līdz siltumenerģijas patērētājiem</w:t>
      </w:r>
      <w:r w:rsidR="00175DD0" w:rsidRPr="001749A1">
        <w:rPr>
          <w:rFonts w:ascii="Times New Roman" w:hAnsi="Times New Roman" w:cs="Times New Roman"/>
        </w:rPr>
        <w:t xml:space="preserve"> ārpus NAI teritorijas</w:t>
      </w:r>
      <w:r w:rsidRPr="001749A1">
        <w:rPr>
          <w:rFonts w:ascii="Times New Roman" w:hAnsi="Times New Roman" w:cs="Times New Roman"/>
        </w:rPr>
        <w:t>.</w:t>
      </w:r>
    </w:p>
    <w:p w14:paraId="2AD1AA0E" w14:textId="206231CD" w:rsidR="002E024E" w:rsidRDefault="002E024E" w:rsidP="001749A1">
      <w:pPr>
        <w:spacing w:after="0"/>
        <w:ind w:firstLine="720"/>
        <w:rPr>
          <w:rFonts w:ascii="Times New Roman" w:hAnsi="Times New Roman" w:cs="Times New Roman"/>
        </w:rPr>
      </w:pPr>
      <w:r w:rsidRPr="001749A1">
        <w:rPr>
          <w:rFonts w:ascii="Times New Roman" w:hAnsi="Times New Roman" w:cs="Times New Roman"/>
        </w:rPr>
        <w:t xml:space="preserve">Apstrādājot notekūdeņu dūņas 5 biogāzes stacijās, kas būtu izvietotas pie </w:t>
      </w:r>
      <w:r w:rsidR="00175DD0" w:rsidRPr="001749A1">
        <w:rPr>
          <w:rFonts w:ascii="Times New Roman" w:hAnsi="Times New Roman" w:cs="Times New Roman"/>
        </w:rPr>
        <w:t xml:space="preserve">Latvijas </w:t>
      </w:r>
      <w:r w:rsidRPr="001749A1">
        <w:rPr>
          <w:rFonts w:ascii="Times New Roman" w:hAnsi="Times New Roman" w:cs="Times New Roman"/>
        </w:rPr>
        <w:t>lielākajām NAI,  kopējās ikgadējās notekūdeņu dūņu pārstrādes izmaksas būtu aptuveni 6,95 milj</w:t>
      </w:r>
      <w:r w:rsidR="006E6B15">
        <w:rPr>
          <w:rFonts w:ascii="Times New Roman" w:hAnsi="Times New Roman" w:cs="Times New Roman"/>
        </w:rPr>
        <w:t>.</w:t>
      </w:r>
      <w:r w:rsidRPr="001749A1">
        <w:rPr>
          <w:rFonts w:ascii="Times New Roman" w:hAnsi="Times New Roman" w:cs="Times New Roman"/>
        </w:rPr>
        <w:t xml:space="preserve"> EUR gadā, savukārt kopējās nepieciešamās kapitālās investīcijas sistēmas izveidošanai ir aptuveni 34,1 milj</w:t>
      </w:r>
      <w:r w:rsidR="006E6B15">
        <w:rPr>
          <w:rFonts w:ascii="Times New Roman" w:hAnsi="Times New Roman" w:cs="Times New Roman"/>
        </w:rPr>
        <w:t>.</w:t>
      </w:r>
      <w:r w:rsidRPr="001749A1">
        <w:rPr>
          <w:rFonts w:ascii="Times New Roman" w:hAnsi="Times New Roman" w:cs="Times New Roman"/>
        </w:rPr>
        <w:t xml:space="preserve"> EUR. (Detalizēt</w:t>
      </w:r>
      <w:r w:rsidR="00175DD0" w:rsidRPr="001749A1">
        <w:rPr>
          <w:rFonts w:ascii="Times New Roman" w:hAnsi="Times New Roman" w:cs="Times New Roman"/>
        </w:rPr>
        <w:t>u</w:t>
      </w:r>
      <w:r w:rsidRPr="001749A1">
        <w:rPr>
          <w:rFonts w:ascii="Times New Roman" w:hAnsi="Times New Roman" w:cs="Times New Roman"/>
        </w:rPr>
        <w:t xml:space="preserve"> aprēķinu skatīt pielikumā</w:t>
      </w:r>
      <w:r w:rsidR="00CD6A4C" w:rsidRPr="001749A1">
        <w:rPr>
          <w:rFonts w:ascii="Times New Roman" w:hAnsi="Times New Roman" w:cs="Times New Roman"/>
        </w:rPr>
        <w:t xml:space="preserve"> Nr.4.</w:t>
      </w:r>
      <w:r w:rsidR="00BC5756">
        <w:rPr>
          <w:rFonts w:ascii="Times New Roman" w:hAnsi="Times New Roman" w:cs="Times New Roman"/>
        </w:rPr>
        <w:t>10</w:t>
      </w:r>
      <w:r w:rsidR="00CD6A4C" w:rsidRPr="001749A1">
        <w:rPr>
          <w:rFonts w:ascii="Times New Roman" w:hAnsi="Times New Roman" w:cs="Times New Roman"/>
        </w:rPr>
        <w:t>. “</w:t>
      </w:r>
      <w:r w:rsidR="00914DE2" w:rsidRPr="00914DE2">
        <w:rPr>
          <w:rFonts w:ascii="Times New Roman" w:hAnsi="Times New Roman" w:cs="Times New Roman"/>
        </w:rPr>
        <w:t>Finanšu aprēķini “4. Kapitālās investīcijas notekūdeņu dūņu pārstrādē”</w:t>
      </w:r>
      <w:r w:rsidR="00D777EA">
        <w:rPr>
          <w:rFonts w:ascii="Times New Roman" w:hAnsi="Times New Roman" w:cs="Times New Roman"/>
        </w:rPr>
        <w:t>”</w:t>
      </w:r>
      <w:r w:rsidR="00BC5756">
        <w:rPr>
          <w:rFonts w:ascii="Times New Roman" w:hAnsi="Times New Roman" w:cs="Times New Roman"/>
        </w:rPr>
        <w:t xml:space="preserve"> tabulā 4.10.4.</w:t>
      </w:r>
      <w:r w:rsidRPr="001749A1">
        <w:rPr>
          <w:rFonts w:ascii="Times New Roman" w:hAnsi="Times New Roman" w:cs="Times New Roman"/>
        </w:rPr>
        <w:t>).</w:t>
      </w:r>
    </w:p>
    <w:p w14:paraId="2C6F617A" w14:textId="77777777" w:rsidR="001749A1" w:rsidRPr="001749A1" w:rsidRDefault="001749A1" w:rsidP="001749A1">
      <w:pPr>
        <w:spacing w:after="0"/>
        <w:ind w:firstLine="720"/>
        <w:rPr>
          <w:rFonts w:ascii="Times New Roman" w:hAnsi="Times New Roman" w:cs="Times New Roman"/>
          <w:lang w:eastAsia="lv-LV"/>
        </w:rPr>
      </w:pPr>
    </w:p>
    <w:p w14:paraId="4875B659" w14:textId="1205FA8C" w:rsidR="002E024E" w:rsidRPr="001749A1" w:rsidRDefault="002E024E" w:rsidP="001749A1">
      <w:pPr>
        <w:pStyle w:val="Heading3"/>
        <w:spacing w:before="0"/>
        <w:jc w:val="center"/>
        <w:rPr>
          <w:rFonts w:ascii="Times New Roman" w:eastAsia="Times New Roman" w:hAnsi="Times New Roman" w:cs="Times New Roman"/>
          <w:b/>
          <w:bCs/>
          <w:color w:val="auto"/>
          <w:sz w:val="24"/>
          <w:lang w:eastAsia="en-GB"/>
        </w:rPr>
      </w:pPr>
      <w:bookmarkStart w:id="48" w:name="_Toc82430165"/>
      <w:bookmarkStart w:id="49" w:name="_Toc107916317"/>
      <w:r w:rsidRPr="001749A1">
        <w:rPr>
          <w:rFonts w:ascii="Times New Roman" w:eastAsia="Times New Roman" w:hAnsi="Times New Roman" w:cs="Times New Roman"/>
          <w:b/>
          <w:bCs/>
          <w:color w:val="auto"/>
          <w:sz w:val="24"/>
          <w:lang w:eastAsia="en-GB"/>
        </w:rPr>
        <w:t xml:space="preserve">D4.2. Alternatīva: Biogāzes ražošanas procesā iegūtā digestāta mehāniska atūdeņošana, fugāta ūdens attīrīšana papildus izbūvētos bioloģiskos notekūdeņu attīrīšanas blokos un </w:t>
      </w:r>
      <w:r w:rsidR="00175DD0" w:rsidRPr="001749A1">
        <w:rPr>
          <w:rFonts w:ascii="Times New Roman" w:eastAsia="Times New Roman" w:hAnsi="Times New Roman" w:cs="Times New Roman"/>
          <w:b/>
          <w:bCs/>
          <w:color w:val="auto"/>
          <w:sz w:val="24"/>
          <w:lang w:eastAsia="en-GB"/>
        </w:rPr>
        <w:t xml:space="preserve">notekūdeņu </w:t>
      </w:r>
      <w:r w:rsidRPr="001749A1">
        <w:rPr>
          <w:rFonts w:ascii="Times New Roman" w:eastAsia="Times New Roman" w:hAnsi="Times New Roman" w:cs="Times New Roman"/>
          <w:b/>
          <w:bCs/>
          <w:color w:val="auto"/>
          <w:sz w:val="24"/>
          <w:lang w:eastAsia="en-GB"/>
        </w:rPr>
        <w:t>dūņu žāvēšana līdz 50% sausnai</w:t>
      </w:r>
      <w:bookmarkEnd w:id="48"/>
      <w:bookmarkEnd w:id="49"/>
    </w:p>
    <w:p w14:paraId="0D87C739" w14:textId="77777777" w:rsidR="001749A1" w:rsidRDefault="001749A1" w:rsidP="001749A1">
      <w:pPr>
        <w:spacing w:after="0"/>
        <w:ind w:firstLine="720"/>
      </w:pPr>
    </w:p>
    <w:p w14:paraId="66E1574F" w14:textId="0560C7F7" w:rsidR="002E024E" w:rsidRPr="001749A1" w:rsidRDefault="002E024E" w:rsidP="001749A1">
      <w:pPr>
        <w:spacing w:after="0"/>
        <w:ind w:firstLine="720"/>
        <w:rPr>
          <w:rFonts w:ascii="Times New Roman" w:hAnsi="Times New Roman" w:cs="Times New Roman"/>
        </w:rPr>
      </w:pPr>
      <w:r w:rsidRPr="001749A1">
        <w:rPr>
          <w:rFonts w:ascii="Times New Roman" w:hAnsi="Times New Roman" w:cs="Times New Roman"/>
        </w:rPr>
        <w:t>D4.2.apakšalternatīva paredz visas D4.1.</w:t>
      </w:r>
      <w:r w:rsidR="00175DD0" w:rsidRPr="001749A1">
        <w:rPr>
          <w:rFonts w:ascii="Times New Roman" w:hAnsi="Times New Roman" w:cs="Times New Roman"/>
        </w:rPr>
        <w:t>apakšalternatīvas pasākumus</w:t>
      </w:r>
      <w:r w:rsidRPr="001749A1">
        <w:rPr>
          <w:rFonts w:ascii="Times New Roman" w:hAnsi="Times New Roman" w:cs="Times New Roman"/>
        </w:rPr>
        <w:t>, izņemot pieņēmumu</w:t>
      </w:r>
      <w:r w:rsidR="00175DD0" w:rsidRPr="001749A1">
        <w:rPr>
          <w:rFonts w:ascii="Times New Roman" w:hAnsi="Times New Roman" w:cs="Times New Roman"/>
        </w:rPr>
        <w:t xml:space="preserve"> attiecībā uz siltumenerģijas izmantošanu. D4.2.apakšalternatīvas gadījumā pieņemts</w:t>
      </w:r>
      <w:r w:rsidRPr="001749A1">
        <w:rPr>
          <w:rFonts w:ascii="Times New Roman" w:hAnsi="Times New Roman" w:cs="Times New Roman"/>
        </w:rPr>
        <w:t>, ka koģenerācijas ceļā iegūt</w:t>
      </w:r>
      <w:r w:rsidR="00175DD0" w:rsidRPr="001749A1">
        <w:rPr>
          <w:rFonts w:ascii="Times New Roman" w:hAnsi="Times New Roman" w:cs="Times New Roman"/>
        </w:rPr>
        <w:t xml:space="preserve">o </w:t>
      </w:r>
      <w:r w:rsidRPr="001749A1">
        <w:rPr>
          <w:rFonts w:ascii="Times New Roman" w:hAnsi="Times New Roman" w:cs="Times New Roman"/>
        </w:rPr>
        <w:t>siltumenerģij</w:t>
      </w:r>
      <w:r w:rsidR="00AD19B4">
        <w:rPr>
          <w:rFonts w:ascii="Times New Roman" w:hAnsi="Times New Roman" w:cs="Times New Roman"/>
        </w:rPr>
        <w:t>u</w:t>
      </w:r>
      <w:r w:rsidRPr="001749A1">
        <w:rPr>
          <w:rFonts w:ascii="Times New Roman" w:hAnsi="Times New Roman" w:cs="Times New Roman"/>
        </w:rPr>
        <w:t xml:space="preserve"> nav iespējams pārdot, tāpēc t</w:t>
      </w:r>
      <w:r w:rsidR="00175DD0" w:rsidRPr="001749A1">
        <w:rPr>
          <w:rFonts w:ascii="Times New Roman" w:hAnsi="Times New Roman" w:cs="Times New Roman"/>
        </w:rPr>
        <w:t>ā tiek</w:t>
      </w:r>
      <w:r w:rsidRPr="001749A1">
        <w:rPr>
          <w:rFonts w:ascii="Times New Roman" w:hAnsi="Times New Roman" w:cs="Times New Roman"/>
        </w:rPr>
        <w:t xml:space="preserve"> izmanto</w:t>
      </w:r>
      <w:r w:rsidR="00175DD0" w:rsidRPr="001749A1">
        <w:rPr>
          <w:rFonts w:ascii="Times New Roman" w:hAnsi="Times New Roman" w:cs="Times New Roman"/>
        </w:rPr>
        <w:t>ta</w:t>
      </w:r>
      <w:r w:rsidRPr="001749A1">
        <w:rPr>
          <w:rFonts w:ascii="Times New Roman" w:hAnsi="Times New Roman" w:cs="Times New Roman"/>
        </w:rPr>
        <w:t xml:space="preserve"> </w:t>
      </w:r>
      <w:r w:rsidR="00175DD0" w:rsidRPr="001749A1">
        <w:rPr>
          <w:rFonts w:ascii="Times New Roman" w:hAnsi="Times New Roman" w:cs="Times New Roman"/>
        </w:rPr>
        <w:t xml:space="preserve">pārstrādāto </w:t>
      </w:r>
      <w:r w:rsidRPr="001749A1">
        <w:rPr>
          <w:rFonts w:ascii="Times New Roman" w:hAnsi="Times New Roman" w:cs="Times New Roman"/>
        </w:rPr>
        <w:t xml:space="preserve">notekūdeņu dūņu žāvēšanai, </w:t>
      </w:r>
      <w:sdt>
        <w:sdtPr>
          <w:rPr>
            <w:rFonts w:ascii="Times New Roman" w:hAnsi="Times New Roman" w:cs="Times New Roman"/>
          </w:rPr>
          <w:tag w:val="goog_rdk_83"/>
          <w:id w:val="1309131935"/>
        </w:sdtPr>
        <w:sdtContent/>
      </w:sdt>
      <w:r w:rsidRPr="001749A1">
        <w:rPr>
          <w:rFonts w:ascii="Times New Roman" w:hAnsi="Times New Roman" w:cs="Times New Roman"/>
        </w:rPr>
        <w:t xml:space="preserve">lai </w:t>
      </w:r>
      <w:r w:rsidR="00175DD0" w:rsidRPr="001749A1">
        <w:rPr>
          <w:rFonts w:ascii="Times New Roman" w:hAnsi="Times New Roman" w:cs="Times New Roman"/>
        </w:rPr>
        <w:t xml:space="preserve">to masā </w:t>
      </w:r>
      <w:r w:rsidRPr="001749A1">
        <w:rPr>
          <w:rFonts w:ascii="Times New Roman" w:hAnsi="Times New Roman" w:cs="Times New Roman"/>
        </w:rPr>
        <w:t xml:space="preserve">sasniegtu </w:t>
      </w:r>
      <w:r w:rsidR="00175DD0" w:rsidRPr="001749A1">
        <w:rPr>
          <w:rFonts w:ascii="Times New Roman" w:hAnsi="Times New Roman" w:cs="Times New Roman"/>
        </w:rPr>
        <w:t xml:space="preserve">sausnas saturu vismaz </w:t>
      </w:r>
      <w:r w:rsidRPr="001749A1">
        <w:rPr>
          <w:rFonts w:ascii="Times New Roman" w:hAnsi="Times New Roman" w:cs="Times New Roman"/>
        </w:rPr>
        <w:t xml:space="preserve">50%. Stratēģijas izstrādes gaitā </w:t>
      </w:r>
      <w:r w:rsidR="00175DD0" w:rsidRPr="001749A1">
        <w:rPr>
          <w:rFonts w:ascii="Times New Roman" w:hAnsi="Times New Roman" w:cs="Times New Roman"/>
        </w:rPr>
        <w:t>tika</w:t>
      </w:r>
      <w:r w:rsidRPr="001749A1">
        <w:rPr>
          <w:rFonts w:ascii="Times New Roman" w:hAnsi="Times New Roman" w:cs="Times New Roman"/>
        </w:rPr>
        <w:t xml:space="preserve"> konstatēts, ka pastāv augsti riski koģenerācijas rezultātā iegūtās siltumenerģijas komerciālai pārdošanai, jo NAI tuvumā </w:t>
      </w:r>
      <w:r w:rsidR="00175DD0" w:rsidRPr="001749A1">
        <w:rPr>
          <w:rFonts w:ascii="Times New Roman" w:hAnsi="Times New Roman" w:cs="Times New Roman"/>
        </w:rPr>
        <w:t>visbiežāk</w:t>
      </w:r>
      <w:r w:rsidRPr="001749A1">
        <w:rPr>
          <w:rFonts w:ascii="Times New Roman" w:hAnsi="Times New Roman" w:cs="Times New Roman"/>
        </w:rPr>
        <w:t xml:space="preserve"> nav lielu siltumenerģijas patērētāju, kā arī pieslēgumu izbūve līdz pilsēt</w:t>
      </w:r>
      <w:r w:rsidR="00175DD0" w:rsidRPr="001749A1">
        <w:rPr>
          <w:rFonts w:ascii="Times New Roman" w:hAnsi="Times New Roman" w:cs="Times New Roman"/>
        </w:rPr>
        <w:t>u</w:t>
      </w:r>
      <w:r w:rsidRPr="001749A1">
        <w:rPr>
          <w:rFonts w:ascii="Times New Roman" w:hAnsi="Times New Roman" w:cs="Times New Roman"/>
        </w:rPr>
        <w:t xml:space="preserve"> centralizēt</w:t>
      </w:r>
      <w:r w:rsidR="00175DD0" w:rsidRPr="001749A1">
        <w:rPr>
          <w:rFonts w:ascii="Times New Roman" w:hAnsi="Times New Roman" w:cs="Times New Roman"/>
        </w:rPr>
        <w:t>aj</w:t>
      </w:r>
      <w:r w:rsidRPr="001749A1">
        <w:rPr>
          <w:rFonts w:ascii="Times New Roman" w:hAnsi="Times New Roman" w:cs="Times New Roman"/>
        </w:rPr>
        <w:t xml:space="preserve">iem siltumapgādes tīkliem būs izmaksu ziņā </w:t>
      </w:r>
      <w:r w:rsidR="00175DD0" w:rsidRPr="001749A1">
        <w:rPr>
          <w:rFonts w:ascii="Times New Roman" w:hAnsi="Times New Roman" w:cs="Times New Roman"/>
        </w:rPr>
        <w:t>ļoti ietilpīgi</w:t>
      </w:r>
      <w:r w:rsidRPr="001749A1">
        <w:rPr>
          <w:rFonts w:ascii="Times New Roman" w:hAnsi="Times New Roman" w:cs="Times New Roman"/>
        </w:rPr>
        <w:t xml:space="preserve">. </w:t>
      </w:r>
      <w:r w:rsidR="00175DD0" w:rsidRPr="001749A1">
        <w:rPr>
          <w:rFonts w:ascii="Times New Roman" w:hAnsi="Times New Roman" w:cs="Times New Roman"/>
        </w:rPr>
        <w:t>Ņemot vērā šos aspektus tika izvērtēts</w:t>
      </w:r>
      <w:r w:rsidRPr="001749A1">
        <w:rPr>
          <w:rFonts w:ascii="Times New Roman" w:hAnsi="Times New Roman" w:cs="Times New Roman"/>
        </w:rPr>
        <w:t xml:space="preserve"> risinājums par siltumenerģijas </w:t>
      </w:r>
      <w:r w:rsidR="00175DD0" w:rsidRPr="001749A1">
        <w:rPr>
          <w:rFonts w:ascii="Times New Roman" w:hAnsi="Times New Roman" w:cs="Times New Roman"/>
        </w:rPr>
        <w:t>efektīvu</w:t>
      </w:r>
      <w:r w:rsidRPr="001749A1">
        <w:rPr>
          <w:rFonts w:ascii="Times New Roman" w:hAnsi="Times New Roman" w:cs="Times New Roman"/>
        </w:rPr>
        <w:t xml:space="preserve"> izmantošanu </w:t>
      </w:r>
      <w:r w:rsidR="00175DD0" w:rsidRPr="001749A1">
        <w:rPr>
          <w:rFonts w:ascii="Times New Roman" w:hAnsi="Times New Roman" w:cs="Times New Roman"/>
        </w:rPr>
        <w:t xml:space="preserve">uz vietas NAI, </w:t>
      </w:r>
      <w:r w:rsidR="00175DD0" w:rsidRPr="001749A1">
        <w:rPr>
          <w:rFonts w:ascii="Times New Roman" w:hAnsi="Times New Roman" w:cs="Times New Roman"/>
        </w:rPr>
        <w:lastRenderedPageBreak/>
        <w:t xml:space="preserve">nodrošinot notekūdeņu </w:t>
      </w:r>
      <w:r w:rsidRPr="001749A1">
        <w:rPr>
          <w:rFonts w:ascii="Times New Roman" w:hAnsi="Times New Roman" w:cs="Times New Roman"/>
        </w:rPr>
        <w:t xml:space="preserve">dūņu </w:t>
      </w:r>
      <w:r w:rsidR="00175DD0" w:rsidRPr="001749A1">
        <w:rPr>
          <w:rFonts w:ascii="Times New Roman" w:hAnsi="Times New Roman" w:cs="Times New Roman"/>
        </w:rPr>
        <w:t>žāvēšanu un iegūstot</w:t>
      </w:r>
      <w:r w:rsidRPr="001749A1">
        <w:rPr>
          <w:rFonts w:ascii="Times New Roman" w:hAnsi="Times New Roman" w:cs="Times New Roman"/>
        </w:rPr>
        <w:t xml:space="preserve"> augstāku sausnas saturu </w:t>
      </w:r>
      <w:r w:rsidR="00175DD0" w:rsidRPr="001749A1">
        <w:rPr>
          <w:rFonts w:ascii="Times New Roman" w:hAnsi="Times New Roman" w:cs="Times New Roman"/>
        </w:rPr>
        <w:t xml:space="preserve">to </w:t>
      </w:r>
      <w:r w:rsidRPr="001749A1">
        <w:rPr>
          <w:rFonts w:ascii="Times New Roman" w:hAnsi="Times New Roman" w:cs="Times New Roman"/>
        </w:rPr>
        <w:t xml:space="preserve">masā, </w:t>
      </w:r>
      <w:r w:rsidR="00175DD0" w:rsidRPr="001749A1">
        <w:rPr>
          <w:rFonts w:ascii="Times New Roman" w:hAnsi="Times New Roman" w:cs="Times New Roman"/>
        </w:rPr>
        <w:t>tādējādi samazinot</w:t>
      </w:r>
      <w:r w:rsidRPr="001749A1">
        <w:rPr>
          <w:rFonts w:ascii="Times New Roman" w:hAnsi="Times New Roman" w:cs="Times New Roman"/>
        </w:rPr>
        <w:t xml:space="preserve"> </w:t>
      </w:r>
      <w:r w:rsidR="00175DD0" w:rsidRPr="001749A1">
        <w:rPr>
          <w:rFonts w:ascii="Times New Roman" w:hAnsi="Times New Roman" w:cs="Times New Roman"/>
        </w:rPr>
        <w:t>notekūdeņu</w:t>
      </w:r>
      <w:r w:rsidRPr="001749A1">
        <w:rPr>
          <w:rFonts w:ascii="Times New Roman" w:hAnsi="Times New Roman" w:cs="Times New Roman"/>
        </w:rPr>
        <w:t xml:space="preserve"> dūņu pagaidu uzglabāšanas vietas izveid</w:t>
      </w:r>
      <w:r w:rsidR="00175DD0" w:rsidRPr="001749A1">
        <w:rPr>
          <w:rFonts w:ascii="Times New Roman" w:hAnsi="Times New Roman" w:cs="Times New Roman"/>
        </w:rPr>
        <w:t>es izmaksas</w:t>
      </w:r>
      <w:r w:rsidRPr="001749A1">
        <w:rPr>
          <w:rFonts w:ascii="Times New Roman" w:hAnsi="Times New Roman" w:cs="Times New Roman"/>
        </w:rPr>
        <w:t xml:space="preserve"> (mazāks apjoms, mazākas telpas), kā arī transportēšan</w:t>
      </w:r>
      <w:r w:rsidR="00175DD0" w:rsidRPr="001749A1">
        <w:rPr>
          <w:rFonts w:ascii="Times New Roman" w:hAnsi="Times New Roman" w:cs="Times New Roman"/>
        </w:rPr>
        <w:t>as izmaksas</w:t>
      </w:r>
      <w:r w:rsidRPr="001749A1">
        <w:rPr>
          <w:rFonts w:ascii="Times New Roman" w:hAnsi="Times New Roman" w:cs="Times New Roman"/>
        </w:rPr>
        <w:t xml:space="preserve"> uz utilizācijas vietām. </w:t>
      </w:r>
      <w:r w:rsidR="00175DD0" w:rsidRPr="001749A1">
        <w:rPr>
          <w:rFonts w:ascii="Times New Roman" w:hAnsi="Times New Roman" w:cs="Times New Roman"/>
        </w:rPr>
        <w:t>P</w:t>
      </w:r>
      <w:r w:rsidRPr="001749A1">
        <w:rPr>
          <w:rFonts w:ascii="Times New Roman" w:hAnsi="Times New Roman" w:cs="Times New Roman"/>
        </w:rPr>
        <w:t xml:space="preserve">ārstrādātas </w:t>
      </w:r>
      <w:r w:rsidR="00175DD0" w:rsidRPr="001749A1">
        <w:rPr>
          <w:rFonts w:ascii="Times New Roman" w:hAnsi="Times New Roman" w:cs="Times New Roman"/>
        </w:rPr>
        <w:t xml:space="preserve">notekūdeņu </w:t>
      </w:r>
      <w:r w:rsidRPr="001749A1">
        <w:rPr>
          <w:rFonts w:ascii="Times New Roman" w:hAnsi="Times New Roman" w:cs="Times New Roman"/>
        </w:rPr>
        <w:t xml:space="preserve">dūņas var tikt utilizētas arī atbilstoši alternatīvas B2.3. “Pārstrādātu notekūdeņu dūņu līdzsadedzināšana siltuma ražošanai” sniegtajam aprakstam. Vienlaikus alternatīvas izmaksas palielina </w:t>
      </w:r>
      <w:r w:rsidR="00175DD0" w:rsidRPr="001749A1">
        <w:rPr>
          <w:rFonts w:ascii="Times New Roman" w:hAnsi="Times New Roman" w:cs="Times New Roman"/>
        </w:rPr>
        <w:t xml:space="preserve">notekūdeņu </w:t>
      </w:r>
      <w:r w:rsidRPr="001749A1">
        <w:rPr>
          <w:rFonts w:ascii="Times New Roman" w:hAnsi="Times New Roman" w:cs="Times New Roman"/>
        </w:rPr>
        <w:t xml:space="preserve">dūņu žāvēšanas iekārtu iegāde, kā arī papildus siltumenerģijas iegūšana, jo biogāzes sadedzināšanas rezultātā </w:t>
      </w:r>
      <w:r w:rsidR="00175DD0" w:rsidRPr="001749A1">
        <w:rPr>
          <w:rFonts w:ascii="Times New Roman" w:hAnsi="Times New Roman" w:cs="Times New Roman"/>
        </w:rPr>
        <w:t>iegūtais</w:t>
      </w:r>
      <w:r w:rsidRPr="001749A1">
        <w:rPr>
          <w:rFonts w:ascii="Times New Roman" w:hAnsi="Times New Roman" w:cs="Times New Roman"/>
        </w:rPr>
        <w:t xml:space="preserve"> siltumenerģijas apjoms </w:t>
      </w:r>
      <w:r w:rsidR="00175DD0" w:rsidRPr="001749A1">
        <w:rPr>
          <w:rFonts w:ascii="Times New Roman" w:hAnsi="Times New Roman" w:cs="Times New Roman"/>
        </w:rPr>
        <w:t>nav pietiekams</w:t>
      </w:r>
      <w:r w:rsidRPr="001749A1">
        <w:rPr>
          <w:rFonts w:ascii="Times New Roman" w:hAnsi="Times New Roman" w:cs="Times New Roman"/>
        </w:rPr>
        <w:t>, lai izžāvēt</w:t>
      </w:r>
      <w:r w:rsidR="00175DD0" w:rsidRPr="001749A1">
        <w:rPr>
          <w:rFonts w:ascii="Times New Roman" w:hAnsi="Times New Roman" w:cs="Times New Roman"/>
        </w:rPr>
        <w:t>u pārstrādāto notekūdeņu dūņu masu</w:t>
      </w:r>
      <w:r w:rsidRPr="001749A1">
        <w:rPr>
          <w:rFonts w:ascii="Times New Roman" w:hAnsi="Times New Roman" w:cs="Times New Roman"/>
        </w:rPr>
        <w:t xml:space="preserve"> līdz 50% sausnai, </w:t>
      </w:r>
      <w:sdt>
        <w:sdtPr>
          <w:rPr>
            <w:rFonts w:ascii="Times New Roman" w:hAnsi="Times New Roman" w:cs="Times New Roman"/>
          </w:rPr>
          <w:tag w:val="goog_rdk_84"/>
          <w:id w:val="1487511668"/>
        </w:sdtPr>
        <w:sdtContent>
          <w:r w:rsidR="00175DD0" w:rsidRPr="001749A1">
            <w:rPr>
              <w:rFonts w:ascii="Times New Roman" w:hAnsi="Times New Roman" w:cs="Times New Roman"/>
            </w:rPr>
            <w:t>tādējādi radot</w:t>
          </w:r>
          <w:r w:rsidRPr="001749A1">
            <w:rPr>
              <w:rFonts w:ascii="Times New Roman" w:hAnsi="Times New Roman" w:cs="Times New Roman"/>
            </w:rPr>
            <w:t xml:space="preserve"> </w:t>
          </w:r>
        </w:sdtContent>
      </w:sdt>
      <w:r w:rsidRPr="001749A1">
        <w:rPr>
          <w:rFonts w:ascii="Times New Roman" w:hAnsi="Times New Roman" w:cs="Times New Roman"/>
        </w:rPr>
        <w:t xml:space="preserve"> nepiecieša</w:t>
      </w:r>
      <w:r w:rsidR="00175DD0" w:rsidRPr="001749A1">
        <w:rPr>
          <w:rFonts w:ascii="Times New Roman" w:hAnsi="Times New Roman" w:cs="Times New Roman"/>
        </w:rPr>
        <w:t>mību</w:t>
      </w:r>
      <w:r w:rsidRPr="001749A1">
        <w:rPr>
          <w:rFonts w:ascii="Times New Roman" w:hAnsi="Times New Roman" w:cs="Times New Roman"/>
        </w:rPr>
        <w:t xml:space="preserve"> </w:t>
      </w:r>
      <w:r w:rsidR="00175DD0" w:rsidRPr="001749A1">
        <w:rPr>
          <w:rFonts w:ascii="Times New Roman" w:hAnsi="Times New Roman" w:cs="Times New Roman"/>
        </w:rPr>
        <w:t>uzstādīt</w:t>
      </w:r>
      <w:r w:rsidRPr="001749A1">
        <w:rPr>
          <w:rFonts w:ascii="Times New Roman" w:hAnsi="Times New Roman" w:cs="Times New Roman"/>
        </w:rPr>
        <w:t xml:space="preserve"> gan papildus apkures iekārtas, gan </w:t>
      </w:r>
      <w:r w:rsidR="00175DD0" w:rsidRPr="001749A1">
        <w:rPr>
          <w:rFonts w:ascii="Times New Roman" w:hAnsi="Times New Roman" w:cs="Times New Roman"/>
        </w:rPr>
        <w:t>rēķināties ar</w:t>
      </w:r>
      <w:r w:rsidRPr="001749A1">
        <w:rPr>
          <w:rFonts w:ascii="Times New Roman" w:hAnsi="Times New Roman" w:cs="Times New Roman"/>
        </w:rPr>
        <w:t xml:space="preserve"> kurināmā (gāze, šķelda) iegādes, piegādes un uzglabāšanas izmaks</w:t>
      </w:r>
      <w:r w:rsidR="00175DD0" w:rsidRPr="001749A1">
        <w:rPr>
          <w:rFonts w:ascii="Times New Roman" w:hAnsi="Times New Roman" w:cs="Times New Roman"/>
        </w:rPr>
        <w:t>ām</w:t>
      </w:r>
      <w:r w:rsidRPr="001749A1">
        <w:rPr>
          <w:rFonts w:ascii="Times New Roman" w:hAnsi="Times New Roman" w:cs="Times New Roman"/>
        </w:rPr>
        <w:t>.</w:t>
      </w:r>
    </w:p>
    <w:p w14:paraId="6DDF6FE0" w14:textId="75DE8810" w:rsidR="002E024E" w:rsidRDefault="002E024E" w:rsidP="001749A1">
      <w:pPr>
        <w:spacing w:after="0"/>
        <w:ind w:firstLine="720"/>
        <w:rPr>
          <w:rFonts w:ascii="Times New Roman" w:hAnsi="Times New Roman" w:cs="Times New Roman"/>
        </w:rPr>
      </w:pPr>
      <w:r w:rsidRPr="001749A1">
        <w:rPr>
          <w:rFonts w:ascii="Times New Roman" w:hAnsi="Times New Roman" w:cs="Times New Roman"/>
        </w:rPr>
        <w:t xml:space="preserve">Apstrādājot notekūdeņu dūņas 5 biogāzes stacijās un tās pēc </w:t>
      </w:r>
      <w:r w:rsidR="00175DD0" w:rsidRPr="001749A1">
        <w:rPr>
          <w:rFonts w:ascii="Times New Roman" w:hAnsi="Times New Roman" w:cs="Times New Roman"/>
        </w:rPr>
        <w:t>pārstrādes</w:t>
      </w:r>
      <w:r w:rsidRPr="001749A1">
        <w:rPr>
          <w:rFonts w:ascii="Times New Roman" w:hAnsi="Times New Roman" w:cs="Times New Roman"/>
        </w:rPr>
        <w:t xml:space="preserve"> žāvējot, kopējās ikgadējās notekūdeņu dūņu pārstrādes izmaksas būtu aptuveni 8,62 milj</w:t>
      </w:r>
      <w:r w:rsidR="006042FA">
        <w:rPr>
          <w:rFonts w:ascii="Times New Roman" w:hAnsi="Times New Roman" w:cs="Times New Roman"/>
        </w:rPr>
        <w:t>.</w:t>
      </w:r>
      <w:r w:rsidRPr="001749A1">
        <w:rPr>
          <w:rFonts w:ascii="Times New Roman" w:hAnsi="Times New Roman" w:cs="Times New Roman"/>
        </w:rPr>
        <w:t xml:space="preserve"> EUR gadā, savukārt kopējās nepieciešamās kapitālās investīcijas sistēmas izveidošanai ir aptuveni 39,6 milj</w:t>
      </w:r>
      <w:r w:rsidR="006042FA">
        <w:rPr>
          <w:rFonts w:ascii="Times New Roman" w:hAnsi="Times New Roman" w:cs="Times New Roman"/>
        </w:rPr>
        <w:t>.</w:t>
      </w:r>
      <w:r w:rsidRPr="001749A1">
        <w:rPr>
          <w:rFonts w:ascii="Times New Roman" w:hAnsi="Times New Roman" w:cs="Times New Roman"/>
        </w:rPr>
        <w:t xml:space="preserve"> EUR, kas abās pozīcijās ir vairāk </w:t>
      </w:r>
      <w:r w:rsidR="00175DD0" w:rsidRPr="001749A1">
        <w:rPr>
          <w:rFonts w:ascii="Times New Roman" w:hAnsi="Times New Roman" w:cs="Times New Roman"/>
        </w:rPr>
        <w:t>ne</w:t>
      </w:r>
      <w:r w:rsidRPr="001749A1">
        <w:rPr>
          <w:rFonts w:ascii="Times New Roman" w:hAnsi="Times New Roman" w:cs="Times New Roman"/>
        </w:rPr>
        <w:t>kā D4.1.</w:t>
      </w:r>
      <w:r w:rsidR="00D777EA">
        <w:rPr>
          <w:rFonts w:ascii="Times New Roman" w:hAnsi="Times New Roman" w:cs="Times New Roman"/>
        </w:rPr>
        <w:t xml:space="preserve"> </w:t>
      </w:r>
      <w:r w:rsidRPr="001749A1">
        <w:rPr>
          <w:rFonts w:ascii="Times New Roman" w:hAnsi="Times New Roman" w:cs="Times New Roman"/>
        </w:rPr>
        <w:t>apakšalternatīva</w:t>
      </w:r>
      <w:r w:rsidR="00175DD0" w:rsidRPr="001749A1">
        <w:rPr>
          <w:rFonts w:ascii="Times New Roman" w:hAnsi="Times New Roman" w:cs="Times New Roman"/>
        </w:rPr>
        <w:t>i</w:t>
      </w:r>
      <w:r w:rsidRPr="001749A1">
        <w:rPr>
          <w:rFonts w:ascii="Times New Roman" w:hAnsi="Times New Roman" w:cs="Times New Roman"/>
        </w:rPr>
        <w:t>. (Detalizēt</w:t>
      </w:r>
      <w:r w:rsidR="00175DD0" w:rsidRPr="001749A1">
        <w:rPr>
          <w:rFonts w:ascii="Times New Roman" w:hAnsi="Times New Roman" w:cs="Times New Roman"/>
        </w:rPr>
        <w:t>u</w:t>
      </w:r>
      <w:r w:rsidRPr="001749A1">
        <w:rPr>
          <w:rFonts w:ascii="Times New Roman" w:hAnsi="Times New Roman" w:cs="Times New Roman"/>
        </w:rPr>
        <w:t xml:space="preserve"> aprēķinu skatīt pielikumā</w:t>
      </w:r>
      <w:r w:rsidR="00CD6A4C" w:rsidRPr="001749A1">
        <w:rPr>
          <w:rFonts w:ascii="Times New Roman" w:hAnsi="Times New Roman" w:cs="Times New Roman"/>
        </w:rPr>
        <w:t xml:space="preserve"> Nr.</w:t>
      </w:r>
      <w:r w:rsidR="00D777EA">
        <w:rPr>
          <w:rFonts w:ascii="Times New Roman" w:hAnsi="Times New Roman" w:cs="Times New Roman"/>
        </w:rPr>
        <w:t xml:space="preserve"> </w:t>
      </w:r>
      <w:r w:rsidR="00CD6A4C" w:rsidRPr="001749A1">
        <w:rPr>
          <w:rFonts w:ascii="Times New Roman" w:hAnsi="Times New Roman" w:cs="Times New Roman"/>
        </w:rPr>
        <w:t>4.</w:t>
      </w:r>
      <w:r w:rsidR="00765946">
        <w:rPr>
          <w:rFonts w:ascii="Times New Roman" w:hAnsi="Times New Roman" w:cs="Times New Roman"/>
        </w:rPr>
        <w:t>10</w:t>
      </w:r>
      <w:r w:rsidR="00CD6A4C" w:rsidRPr="001749A1">
        <w:rPr>
          <w:rFonts w:ascii="Times New Roman" w:hAnsi="Times New Roman" w:cs="Times New Roman"/>
        </w:rPr>
        <w:t xml:space="preserve">. </w:t>
      </w:r>
      <w:r w:rsidR="00765946" w:rsidRPr="00765946">
        <w:rPr>
          <w:rFonts w:ascii="Times New Roman" w:hAnsi="Times New Roman" w:cs="Times New Roman"/>
        </w:rPr>
        <w:t>Finanšu aprēķini “4. Kapitālās investīcijas notekūdeņu dūņu pārstrādē”</w:t>
      </w:r>
      <w:r w:rsidR="00000255">
        <w:rPr>
          <w:rFonts w:ascii="Times New Roman" w:hAnsi="Times New Roman" w:cs="Times New Roman"/>
        </w:rPr>
        <w:t>)</w:t>
      </w:r>
      <w:r w:rsidRPr="001749A1">
        <w:rPr>
          <w:rFonts w:ascii="Times New Roman" w:hAnsi="Times New Roman" w:cs="Times New Roman"/>
        </w:rPr>
        <w:t>.</w:t>
      </w:r>
    </w:p>
    <w:p w14:paraId="32AC9AE9" w14:textId="77777777" w:rsidR="001749A1" w:rsidRPr="001749A1" w:rsidRDefault="001749A1" w:rsidP="001749A1">
      <w:pPr>
        <w:spacing w:after="0"/>
        <w:ind w:firstLine="720"/>
        <w:rPr>
          <w:rFonts w:ascii="Times New Roman" w:hAnsi="Times New Roman" w:cs="Times New Roman"/>
          <w:lang w:eastAsia="lv-LV"/>
        </w:rPr>
      </w:pPr>
    </w:p>
    <w:p w14:paraId="2FD3E015" w14:textId="7B120197" w:rsidR="002E024E" w:rsidRPr="001749A1" w:rsidRDefault="002E024E" w:rsidP="001749A1">
      <w:pPr>
        <w:pStyle w:val="Heading3"/>
        <w:spacing w:before="0"/>
        <w:jc w:val="center"/>
        <w:rPr>
          <w:rFonts w:ascii="Times New Roman" w:eastAsia="Times New Roman" w:hAnsi="Times New Roman" w:cs="Times New Roman"/>
          <w:b/>
          <w:bCs/>
          <w:color w:val="auto"/>
          <w:sz w:val="24"/>
          <w:lang w:eastAsia="en-GB"/>
        </w:rPr>
      </w:pPr>
      <w:bookmarkStart w:id="50" w:name="_Toc82430166"/>
      <w:bookmarkStart w:id="51" w:name="_Toc107916318"/>
      <w:r w:rsidRPr="001749A1">
        <w:rPr>
          <w:rFonts w:ascii="Times New Roman" w:eastAsia="Times New Roman" w:hAnsi="Times New Roman" w:cs="Times New Roman"/>
          <w:b/>
          <w:bCs/>
          <w:color w:val="auto"/>
          <w:sz w:val="24"/>
          <w:lang w:eastAsia="en-GB"/>
        </w:rPr>
        <w:t>D4.3. Alternatīva: Biogāzes ražošanas procesā iegūtā digestāta mehāniska atūdeņošana, fugāta ūdens attīrīšana papildus izbūvētos bioloģiskos notekūdeņu attīrīšanas blokos</w:t>
      </w:r>
      <w:r w:rsidRPr="001749A1" w:rsidDel="00CE73A1">
        <w:rPr>
          <w:rFonts w:ascii="Times New Roman" w:eastAsia="Times New Roman" w:hAnsi="Times New Roman" w:cs="Times New Roman"/>
          <w:b/>
          <w:bCs/>
          <w:color w:val="auto"/>
          <w:sz w:val="24"/>
          <w:lang w:eastAsia="en-GB"/>
        </w:rPr>
        <w:t xml:space="preserve"> </w:t>
      </w:r>
      <w:r w:rsidRPr="001749A1">
        <w:rPr>
          <w:rFonts w:ascii="Times New Roman" w:eastAsia="Times New Roman" w:hAnsi="Times New Roman" w:cs="Times New Roman"/>
          <w:b/>
          <w:bCs/>
          <w:color w:val="auto"/>
          <w:sz w:val="24"/>
          <w:lang w:eastAsia="en-GB"/>
        </w:rPr>
        <w:t xml:space="preserve">un </w:t>
      </w:r>
      <w:r w:rsidR="00175DD0" w:rsidRPr="001749A1">
        <w:rPr>
          <w:rFonts w:ascii="Times New Roman" w:eastAsia="Times New Roman" w:hAnsi="Times New Roman" w:cs="Times New Roman"/>
          <w:b/>
          <w:bCs/>
          <w:color w:val="auto"/>
          <w:sz w:val="24"/>
          <w:lang w:eastAsia="en-GB"/>
        </w:rPr>
        <w:t xml:space="preserve">notekūdeņu </w:t>
      </w:r>
      <w:r w:rsidRPr="001749A1">
        <w:rPr>
          <w:rFonts w:ascii="Times New Roman" w:eastAsia="Times New Roman" w:hAnsi="Times New Roman" w:cs="Times New Roman"/>
          <w:b/>
          <w:bCs/>
          <w:color w:val="auto"/>
          <w:sz w:val="24"/>
          <w:lang w:eastAsia="en-GB"/>
        </w:rPr>
        <w:t>dūņu žāvēšana līdz 90% sausnai</w:t>
      </w:r>
      <w:bookmarkEnd w:id="50"/>
      <w:bookmarkEnd w:id="51"/>
    </w:p>
    <w:p w14:paraId="2DB4BCA5" w14:textId="77777777" w:rsidR="001749A1" w:rsidRDefault="001749A1" w:rsidP="001749A1">
      <w:pPr>
        <w:spacing w:after="0"/>
        <w:ind w:firstLine="720"/>
      </w:pPr>
    </w:p>
    <w:p w14:paraId="6E485B45" w14:textId="27E76BB8" w:rsidR="002E024E" w:rsidRPr="001749A1" w:rsidRDefault="002E024E" w:rsidP="001749A1">
      <w:pPr>
        <w:spacing w:after="0"/>
        <w:ind w:firstLine="720"/>
        <w:rPr>
          <w:rFonts w:ascii="Times New Roman" w:hAnsi="Times New Roman" w:cs="Times New Roman"/>
        </w:rPr>
      </w:pPr>
      <w:r w:rsidRPr="001749A1">
        <w:rPr>
          <w:rFonts w:ascii="Times New Roman" w:hAnsi="Times New Roman" w:cs="Times New Roman"/>
        </w:rPr>
        <w:t>Alternatīva paredz vis</w:t>
      </w:r>
      <w:r w:rsidR="00175DD0" w:rsidRPr="001749A1">
        <w:rPr>
          <w:rFonts w:ascii="Times New Roman" w:hAnsi="Times New Roman" w:cs="Times New Roman"/>
        </w:rPr>
        <w:t>u</w:t>
      </w:r>
      <w:r w:rsidRPr="001749A1">
        <w:rPr>
          <w:rFonts w:ascii="Times New Roman" w:hAnsi="Times New Roman" w:cs="Times New Roman"/>
        </w:rPr>
        <w:t>s D4.2.</w:t>
      </w:r>
      <w:r w:rsidR="00175DD0" w:rsidRPr="001749A1">
        <w:rPr>
          <w:rFonts w:ascii="Times New Roman" w:hAnsi="Times New Roman" w:cs="Times New Roman"/>
        </w:rPr>
        <w:t>apakš</w:t>
      </w:r>
      <w:r w:rsidRPr="001749A1">
        <w:rPr>
          <w:rFonts w:ascii="Times New Roman" w:hAnsi="Times New Roman" w:cs="Times New Roman"/>
        </w:rPr>
        <w:t>alternatīva</w:t>
      </w:r>
      <w:r w:rsidR="00175DD0" w:rsidRPr="001749A1">
        <w:rPr>
          <w:rFonts w:ascii="Times New Roman" w:hAnsi="Times New Roman" w:cs="Times New Roman"/>
        </w:rPr>
        <w:t>s pasākumus</w:t>
      </w:r>
      <w:r w:rsidRPr="001749A1">
        <w:rPr>
          <w:rFonts w:ascii="Times New Roman" w:hAnsi="Times New Roman" w:cs="Times New Roman"/>
        </w:rPr>
        <w:t xml:space="preserve">, bet </w:t>
      </w:r>
      <w:r w:rsidR="00175DD0" w:rsidRPr="001749A1">
        <w:rPr>
          <w:rFonts w:ascii="Times New Roman" w:hAnsi="Times New Roman" w:cs="Times New Roman"/>
        </w:rPr>
        <w:t xml:space="preserve">pārstrādātu notekūdeņu </w:t>
      </w:r>
      <w:r w:rsidRPr="001749A1">
        <w:rPr>
          <w:rFonts w:ascii="Times New Roman" w:hAnsi="Times New Roman" w:cs="Times New Roman"/>
        </w:rPr>
        <w:t>dūņu žāvēšana tiek veikta</w:t>
      </w:r>
      <w:r w:rsidR="00175DD0" w:rsidRPr="001749A1">
        <w:rPr>
          <w:rFonts w:ascii="Times New Roman" w:hAnsi="Times New Roman" w:cs="Times New Roman"/>
        </w:rPr>
        <w:t xml:space="preserve"> lai sasniegtu vismaz</w:t>
      </w:r>
      <w:r w:rsidRPr="001749A1">
        <w:rPr>
          <w:rFonts w:ascii="Times New Roman" w:hAnsi="Times New Roman" w:cs="Times New Roman"/>
        </w:rPr>
        <w:t xml:space="preserve"> 90% sausn</w:t>
      </w:r>
      <w:r w:rsidR="00175DD0" w:rsidRPr="001749A1">
        <w:rPr>
          <w:rFonts w:ascii="Times New Roman" w:hAnsi="Times New Roman" w:cs="Times New Roman"/>
        </w:rPr>
        <w:t>u notekūdeņu</w:t>
      </w:r>
      <w:r w:rsidRPr="001749A1">
        <w:rPr>
          <w:rFonts w:ascii="Times New Roman" w:hAnsi="Times New Roman" w:cs="Times New Roman"/>
        </w:rPr>
        <w:t xml:space="preserve"> dūņu masā. Šādi apstrādātu </w:t>
      </w:r>
      <w:r w:rsidR="00175DD0" w:rsidRPr="001749A1">
        <w:rPr>
          <w:rFonts w:ascii="Times New Roman" w:hAnsi="Times New Roman" w:cs="Times New Roman"/>
        </w:rPr>
        <w:t xml:space="preserve">notekūdeņu </w:t>
      </w:r>
      <w:r w:rsidRPr="001749A1">
        <w:rPr>
          <w:rFonts w:ascii="Times New Roman" w:hAnsi="Times New Roman" w:cs="Times New Roman"/>
        </w:rPr>
        <w:t>dūņu masu nav nepieciešams uzglabāt, bet to uzreiz var kraut smagajās mašīnā</w:t>
      </w:r>
      <w:r w:rsidR="00175DD0" w:rsidRPr="001749A1">
        <w:rPr>
          <w:rFonts w:ascii="Times New Roman" w:hAnsi="Times New Roman" w:cs="Times New Roman"/>
        </w:rPr>
        <w:t>s</w:t>
      </w:r>
      <w:r w:rsidRPr="001749A1">
        <w:rPr>
          <w:rFonts w:ascii="Times New Roman" w:hAnsi="Times New Roman" w:cs="Times New Roman"/>
        </w:rPr>
        <w:t xml:space="preserve"> un nogādāt dedzināšanai cementa rūpnīcā, tādējādi </w:t>
      </w:r>
      <w:r w:rsidR="00633756" w:rsidRPr="001749A1">
        <w:rPr>
          <w:rFonts w:ascii="Times New Roman" w:hAnsi="Times New Roman" w:cs="Times New Roman"/>
        </w:rPr>
        <w:t>izvairoties no</w:t>
      </w:r>
      <w:r w:rsidRPr="001749A1">
        <w:rPr>
          <w:rFonts w:ascii="Times New Roman" w:hAnsi="Times New Roman" w:cs="Times New Roman"/>
        </w:rPr>
        <w:t xml:space="preserve"> izmaks</w:t>
      </w:r>
      <w:r w:rsidR="00633756" w:rsidRPr="001749A1">
        <w:rPr>
          <w:rFonts w:ascii="Times New Roman" w:hAnsi="Times New Roman" w:cs="Times New Roman"/>
        </w:rPr>
        <w:t>ām notekūdeņu</w:t>
      </w:r>
      <w:r w:rsidRPr="001749A1">
        <w:rPr>
          <w:rFonts w:ascii="Times New Roman" w:hAnsi="Times New Roman" w:cs="Times New Roman"/>
        </w:rPr>
        <w:t xml:space="preserve"> dūņu uzglabāšanas vietas būvniecībai, </w:t>
      </w:r>
      <w:sdt>
        <w:sdtPr>
          <w:rPr>
            <w:rFonts w:ascii="Times New Roman" w:hAnsi="Times New Roman" w:cs="Times New Roman"/>
          </w:rPr>
          <w:tag w:val="goog_rdk_86"/>
          <w:id w:val="-319193271"/>
        </w:sdtPr>
        <w:sdtContent/>
      </w:sdt>
      <w:r w:rsidR="00633756" w:rsidRPr="001749A1">
        <w:rPr>
          <w:rFonts w:ascii="Times New Roman" w:hAnsi="Times New Roman" w:cs="Times New Roman"/>
        </w:rPr>
        <w:t>vienlaikus</w:t>
      </w:r>
      <w:r w:rsidRPr="001749A1">
        <w:rPr>
          <w:rFonts w:ascii="Times New Roman" w:hAnsi="Times New Roman" w:cs="Times New Roman"/>
        </w:rPr>
        <w:t xml:space="preserve"> būtisk</w:t>
      </w:r>
      <w:r w:rsidR="00633756" w:rsidRPr="001749A1">
        <w:rPr>
          <w:rFonts w:ascii="Times New Roman" w:hAnsi="Times New Roman" w:cs="Times New Roman"/>
        </w:rPr>
        <w:t>i palielinot</w:t>
      </w:r>
      <w:r w:rsidRPr="001749A1">
        <w:rPr>
          <w:rFonts w:ascii="Times New Roman" w:hAnsi="Times New Roman" w:cs="Times New Roman"/>
        </w:rPr>
        <w:t xml:space="preserve"> izmak</w:t>
      </w:r>
      <w:r w:rsidR="00633756" w:rsidRPr="001749A1">
        <w:rPr>
          <w:rFonts w:ascii="Times New Roman" w:hAnsi="Times New Roman" w:cs="Times New Roman"/>
        </w:rPr>
        <w:t xml:space="preserve">sas </w:t>
      </w:r>
      <w:r w:rsidRPr="001749A1">
        <w:rPr>
          <w:rFonts w:ascii="Times New Roman" w:hAnsi="Times New Roman" w:cs="Times New Roman"/>
        </w:rPr>
        <w:t xml:space="preserve">papildus kurināmā iegādei siltumenerģijas ražošanai. </w:t>
      </w:r>
      <w:r w:rsidR="00633756" w:rsidRPr="001749A1">
        <w:rPr>
          <w:rFonts w:ascii="Times New Roman" w:hAnsi="Times New Roman" w:cs="Times New Roman"/>
        </w:rPr>
        <w:t>Notekūdeņu d</w:t>
      </w:r>
      <w:r w:rsidRPr="001749A1">
        <w:rPr>
          <w:rFonts w:ascii="Times New Roman" w:hAnsi="Times New Roman" w:cs="Times New Roman"/>
        </w:rPr>
        <w:t xml:space="preserve">ūņu transportēšanas un nodošanas izmaksas cementa rūpnīcā ir rēķinātas pie dažādu alternatīvu utilizācijas izmaksām </w:t>
      </w:r>
      <w:r w:rsidR="00F03E30" w:rsidRPr="001749A1">
        <w:rPr>
          <w:rFonts w:ascii="Times New Roman" w:hAnsi="Times New Roman" w:cs="Times New Roman"/>
        </w:rPr>
        <w:t>(Detalizētu aprēķinu skatīt pielikumā Nr.4.</w:t>
      </w:r>
      <w:r w:rsidR="00F03E30">
        <w:rPr>
          <w:rFonts w:ascii="Times New Roman" w:hAnsi="Times New Roman" w:cs="Times New Roman"/>
        </w:rPr>
        <w:t>10</w:t>
      </w:r>
      <w:r w:rsidR="00F03E30" w:rsidRPr="001749A1">
        <w:rPr>
          <w:rFonts w:ascii="Times New Roman" w:hAnsi="Times New Roman" w:cs="Times New Roman"/>
        </w:rPr>
        <w:t xml:space="preserve">. </w:t>
      </w:r>
      <w:r w:rsidR="00F03E30" w:rsidRPr="00765946">
        <w:rPr>
          <w:rFonts w:ascii="Times New Roman" w:hAnsi="Times New Roman" w:cs="Times New Roman"/>
        </w:rPr>
        <w:t>Finanšu aprēķini “4. Kapitālās investīcijas notekūdeņu dūņu pārstrādē”</w:t>
      </w:r>
      <w:r w:rsidR="00F03E30">
        <w:rPr>
          <w:rFonts w:ascii="Times New Roman" w:hAnsi="Times New Roman" w:cs="Times New Roman"/>
        </w:rPr>
        <w:t xml:space="preserve"> tabulā 4.</w:t>
      </w:r>
      <w:r w:rsidR="001A726D">
        <w:rPr>
          <w:rFonts w:ascii="Times New Roman" w:hAnsi="Times New Roman" w:cs="Times New Roman"/>
        </w:rPr>
        <w:t>10</w:t>
      </w:r>
      <w:r w:rsidR="00F03E30">
        <w:rPr>
          <w:rFonts w:ascii="Times New Roman" w:hAnsi="Times New Roman" w:cs="Times New Roman"/>
        </w:rPr>
        <w:t>.6.)</w:t>
      </w:r>
      <w:r w:rsidRPr="001749A1">
        <w:rPr>
          <w:rFonts w:ascii="Times New Roman" w:hAnsi="Times New Roman" w:cs="Times New Roman"/>
        </w:rPr>
        <w:t>.</w:t>
      </w:r>
    </w:p>
    <w:p w14:paraId="560BBCEE" w14:textId="1BA299F2" w:rsidR="00633756" w:rsidRDefault="002E024E" w:rsidP="001749A1">
      <w:pPr>
        <w:spacing w:after="0"/>
        <w:ind w:firstLine="720"/>
        <w:rPr>
          <w:rFonts w:ascii="Times New Roman" w:hAnsi="Times New Roman" w:cs="Times New Roman"/>
        </w:rPr>
      </w:pPr>
      <w:r w:rsidRPr="001749A1">
        <w:rPr>
          <w:rFonts w:ascii="Times New Roman" w:hAnsi="Times New Roman" w:cs="Times New Roman"/>
        </w:rPr>
        <w:t xml:space="preserve">Apstrādājot notekūdeņu dūņas 5 biogāzes stacijās un pēc tam </w:t>
      </w:r>
      <w:r w:rsidR="00633756" w:rsidRPr="001749A1">
        <w:rPr>
          <w:rFonts w:ascii="Times New Roman" w:hAnsi="Times New Roman" w:cs="Times New Roman"/>
        </w:rPr>
        <w:t xml:space="preserve">pārstrādāto notekūdeņu dūņu masu </w:t>
      </w:r>
      <w:r w:rsidRPr="001749A1">
        <w:rPr>
          <w:rFonts w:ascii="Times New Roman" w:hAnsi="Times New Roman" w:cs="Times New Roman"/>
        </w:rPr>
        <w:t xml:space="preserve">žāvējot </w:t>
      </w:r>
      <w:r w:rsidR="00633756" w:rsidRPr="001749A1">
        <w:rPr>
          <w:rFonts w:ascii="Times New Roman" w:hAnsi="Times New Roman" w:cs="Times New Roman"/>
        </w:rPr>
        <w:t>līdz 90% sausnas līmenim un sadedzinot cementa rūpnīcā</w:t>
      </w:r>
      <w:r w:rsidRPr="001749A1">
        <w:rPr>
          <w:rFonts w:ascii="Times New Roman" w:hAnsi="Times New Roman" w:cs="Times New Roman"/>
        </w:rPr>
        <w:t>, kopējās ikgadējās notekūdeņu dūņu pārstrādes izmaksas būtu aptuveni 9,52 milj. EUR gadā, savukārt kopējās nepieciešamās kapitālās investīcijas sistēmas izveidošanai ir aptuveni 36,6 milj. EUR.</w:t>
      </w:r>
    </w:p>
    <w:p w14:paraId="47F89562" w14:textId="77777777" w:rsidR="001749A1" w:rsidRPr="001749A1" w:rsidRDefault="001749A1" w:rsidP="001749A1">
      <w:pPr>
        <w:spacing w:after="0"/>
        <w:ind w:firstLine="720"/>
        <w:rPr>
          <w:rFonts w:ascii="Times New Roman" w:hAnsi="Times New Roman" w:cs="Times New Roman"/>
        </w:rPr>
      </w:pPr>
    </w:p>
    <w:p w14:paraId="4E43F05D" w14:textId="77777777" w:rsidR="002E024E" w:rsidRPr="001749A1" w:rsidRDefault="002E024E" w:rsidP="001749A1">
      <w:pPr>
        <w:spacing w:after="0"/>
        <w:jc w:val="center"/>
        <w:rPr>
          <w:rFonts w:ascii="Times New Roman" w:hAnsi="Times New Roman" w:cs="Times New Roman"/>
          <w:b/>
          <w:bCs/>
          <w:szCs w:val="24"/>
          <w:u w:val="single"/>
        </w:rPr>
      </w:pPr>
      <w:r w:rsidRPr="001749A1">
        <w:rPr>
          <w:rFonts w:ascii="Times New Roman" w:hAnsi="Times New Roman" w:cs="Times New Roman"/>
          <w:b/>
          <w:bCs/>
          <w:szCs w:val="24"/>
          <w:u w:val="single"/>
        </w:rPr>
        <w:t>Optimālās notekūdeņu dūņu centralizācijas alternatīvas noteikšana</w:t>
      </w:r>
    </w:p>
    <w:p w14:paraId="3B3E3E45" w14:textId="77777777" w:rsidR="001749A1" w:rsidRDefault="001749A1" w:rsidP="001749A1">
      <w:pPr>
        <w:spacing w:after="0"/>
        <w:ind w:firstLine="720"/>
      </w:pPr>
    </w:p>
    <w:p w14:paraId="1F690D55" w14:textId="7516D069" w:rsidR="002E024E" w:rsidRPr="001749A1" w:rsidRDefault="002E024E" w:rsidP="001749A1">
      <w:pPr>
        <w:spacing w:after="0"/>
        <w:ind w:firstLine="720"/>
        <w:rPr>
          <w:rFonts w:ascii="Times New Roman" w:hAnsi="Times New Roman" w:cs="Times New Roman"/>
        </w:rPr>
      </w:pPr>
      <w:r w:rsidRPr="001749A1">
        <w:rPr>
          <w:rFonts w:ascii="Times New Roman" w:hAnsi="Times New Roman" w:cs="Times New Roman"/>
        </w:rPr>
        <w:t xml:space="preserve">Ņemot vērā, ka </w:t>
      </w:r>
      <w:r w:rsidR="007F170A" w:rsidRPr="001749A1">
        <w:rPr>
          <w:rFonts w:ascii="Times New Roman" w:hAnsi="Times New Roman" w:cs="Times New Roman"/>
        </w:rPr>
        <w:t xml:space="preserve">notekūdeņu </w:t>
      </w:r>
      <w:r w:rsidRPr="001749A1">
        <w:rPr>
          <w:rFonts w:ascii="Times New Roman" w:hAnsi="Times New Roman" w:cs="Times New Roman"/>
        </w:rPr>
        <w:t xml:space="preserve">dūņu centralizācijas risinājumiem 30 vai 16 centros nav </w:t>
      </w:r>
      <w:r w:rsidR="007F170A" w:rsidRPr="001749A1">
        <w:rPr>
          <w:rFonts w:ascii="Times New Roman" w:hAnsi="Times New Roman" w:cs="Times New Roman"/>
        </w:rPr>
        <w:t>ievērojamas</w:t>
      </w:r>
      <w:r w:rsidRPr="001749A1">
        <w:rPr>
          <w:rFonts w:ascii="Times New Roman" w:hAnsi="Times New Roman" w:cs="Times New Roman"/>
        </w:rPr>
        <w:t xml:space="preserve"> </w:t>
      </w:r>
      <w:r w:rsidR="007F170A" w:rsidRPr="001749A1">
        <w:rPr>
          <w:rFonts w:ascii="Times New Roman" w:hAnsi="Times New Roman" w:cs="Times New Roman"/>
        </w:rPr>
        <w:t>savstarpējās priekšrocības vai trūkumi</w:t>
      </w:r>
      <w:r w:rsidRPr="001749A1">
        <w:rPr>
          <w:rFonts w:ascii="Times New Roman" w:hAnsi="Times New Roman" w:cs="Times New Roman"/>
        </w:rPr>
        <w:t>, lai pieņemtu lēmumu par piemērotāko</w:t>
      </w:r>
      <w:r w:rsidR="007F170A" w:rsidRPr="001749A1">
        <w:rPr>
          <w:rFonts w:ascii="Times New Roman" w:hAnsi="Times New Roman" w:cs="Times New Roman"/>
        </w:rPr>
        <w:t xml:space="preserve"> notekūdeņu</w:t>
      </w:r>
      <w:r w:rsidRPr="001749A1">
        <w:rPr>
          <w:rFonts w:ascii="Times New Roman" w:hAnsi="Times New Roman" w:cs="Times New Roman"/>
        </w:rPr>
        <w:t xml:space="preserve"> dūņu pārstrādes centru skaitu </w:t>
      </w:r>
      <w:r w:rsidR="007F170A" w:rsidRPr="001749A1">
        <w:rPr>
          <w:rFonts w:ascii="Times New Roman" w:hAnsi="Times New Roman" w:cs="Times New Roman"/>
        </w:rPr>
        <w:t>tika</w:t>
      </w:r>
      <w:r w:rsidRPr="001749A1">
        <w:rPr>
          <w:rFonts w:ascii="Times New Roman" w:hAnsi="Times New Roman" w:cs="Times New Roman"/>
        </w:rPr>
        <w:t xml:space="preserve"> veikts katra </w:t>
      </w:r>
      <w:r w:rsidR="007F170A" w:rsidRPr="001749A1">
        <w:rPr>
          <w:rFonts w:ascii="Times New Roman" w:hAnsi="Times New Roman" w:cs="Times New Roman"/>
        </w:rPr>
        <w:t xml:space="preserve">notekūdeņu </w:t>
      </w:r>
      <w:r w:rsidRPr="001749A1">
        <w:rPr>
          <w:rFonts w:ascii="Times New Roman" w:hAnsi="Times New Roman" w:cs="Times New Roman"/>
        </w:rPr>
        <w:t>dūņu pārstrādes centra novērtējums. Novērtējuma mērķis ir atbilstoši katras apdzīvotās vietas individuālaja</w:t>
      </w:r>
      <w:r w:rsidR="007F170A" w:rsidRPr="001749A1">
        <w:rPr>
          <w:rFonts w:ascii="Times New Roman" w:hAnsi="Times New Roman" w:cs="Times New Roman"/>
        </w:rPr>
        <w:t>i</w:t>
      </w:r>
      <w:r w:rsidRPr="001749A1">
        <w:rPr>
          <w:rFonts w:ascii="Times New Roman" w:hAnsi="Times New Roman" w:cs="Times New Roman"/>
        </w:rPr>
        <w:t xml:space="preserve"> situācijai pārbaudīt visu izvirzīto un aprēķinu ceļā novērtēto pārstrādes centru faktisko piemērotību </w:t>
      </w:r>
      <w:r w:rsidR="007F170A" w:rsidRPr="001749A1">
        <w:rPr>
          <w:rFonts w:ascii="Times New Roman" w:hAnsi="Times New Roman" w:cs="Times New Roman"/>
        </w:rPr>
        <w:t xml:space="preserve">notekūdeņu </w:t>
      </w:r>
      <w:r w:rsidRPr="001749A1">
        <w:rPr>
          <w:rFonts w:ascii="Times New Roman" w:hAnsi="Times New Roman" w:cs="Times New Roman"/>
        </w:rPr>
        <w:t xml:space="preserve">dūņu centralizācijai, īpaši ņemot vērā </w:t>
      </w:r>
      <w:r w:rsidR="007F170A" w:rsidRPr="001749A1">
        <w:rPr>
          <w:rFonts w:ascii="Times New Roman" w:hAnsi="Times New Roman" w:cs="Times New Roman"/>
        </w:rPr>
        <w:t xml:space="preserve">citus </w:t>
      </w:r>
      <w:r w:rsidRPr="001749A1">
        <w:rPr>
          <w:rFonts w:ascii="Times New Roman" w:hAnsi="Times New Roman" w:cs="Times New Roman"/>
        </w:rPr>
        <w:lastRenderedPageBreak/>
        <w:t xml:space="preserve">alternatīvos risinājumus. Novērtējums veikts, </w:t>
      </w:r>
      <w:r w:rsidR="007F170A" w:rsidRPr="001749A1">
        <w:rPr>
          <w:rFonts w:ascii="Times New Roman" w:hAnsi="Times New Roman" w:cs="Times New Roman"/>
        </w:rPr>
        <w:t>lai</w:t>
      </w:r>
      <w:r w:rsidRPr="001749A1">
        <w:rPr>
          <w:rFonts w:ascii="Times New Roman" w:hAnsi="Times New Roman" w:cs="Times New Roman"/>
        </w:rPr>
        <w:t xml:space="preserve"> pārliecināt</w:t>
      </w:r>
      <w:r w:rsidR="007F170A" w:rsidRPr="001749A1">
        <w:rPr>
          <w:rFonts w:ascii="Times New Roman" w:hAnsi="Times New Roman" w:cs="Times New Roman"/>
        </w:rPr>
        <w:t>o</w:t>
      </w:r>
      <w:r w:rsidRPr="001749A1">
        <w:rPr>
          <w:rFonts w:ascii="Times New Roman" w:hAnsi="Times New Roman" w:cs="Times New Roman"/>
        </w:rPr>
        <w:t xml:space="preserve">s, ka apskatītajos 30 vai 16 </w:t>
      </w:r>
      <w:r w:rsidR="007F170A" w:rsidRPr="001749A1">
        <w:rPr>
          <w:rFonts w:ascii="Times New Roman" w:hAnsi="Times New Roman" w:cs="Times New Roman"/>
        </w:rPr>
        <w:t xml:space="preserve">notekūdeņu </w:t>
      </w:r>
      <w:r w:rsidRPr="001749A1">
        <w:rPr>
          <w:rFonts w:ascii="Times New Roman" w:hAnsi="Times New Roman" w:cs="Times New Roman"/>
        </w:rPr>
        <w:t xml:space="preserve">dūņu pārstrādes centru risinājumos nepastāv objektīvi apstākļi, </w:t>
      </w:r>
      <w:r w:rsidR="007F170A" w:rsidRPr="001749A1">
        <w:rPr>
          <w:rFonts w:ascii="Times New Roman" w:hAnsi="Times New Roman" w:cs="Times New Roman"/>
        </w:rPr>
        <w:t>kas kādā no ieteiktajiem centriem neļauj</w:t>
      </w:r>
      <w:r w:rsidRPr="001749A1">
        <w:rPr>
          <w:rFonts w:ascii="Times New Roman" w:hAnsi="Times New Roman" w:cs="Times New Roman"/>
        </w:rPr>
        <w:t xml:space="preserve"> vai </w:t>
      </w:r>
      <w:r w:rsidR="007F170A" w:rsidRPr="001749A1">
        <w:rPr>
          <w:rFonts w:ascii="Times New Roman" w:hAnsi="Times New Roman" w:cs="Times New Roman"/>
        </w:rPr>
        <w:t>kavē</w:t>
      </w:r>
      <w:r w:rsidRPr="001749A1">
        <w:rPr>
          <w:rFonts w:ascii="Times New Roman" w:hAnsi="Times New Roman" w:cs="Times New Roman"/>
        </w:rPr>
        <w:t xml:space="preserve"> veidot notekūdeņu dūņu pārstrādes centru, jo </w:t>
      </w:r>
      <w:r w:rsidR="007F170A" w:rsidRPr="001749A1">
        <w:rPr>
          <w:rFonts w:ascii="Times New Roman" w:hAnsi="Times New Roman" w:cs="Times New Roman"/>
        </w:rPr>
        <w:t>teorētiskajos</w:t>
      </w:r>
      <w:r w:rsidRPr="001749A1">
        <w:rPr>
          <w:rFonts w:ascii="Times New Roman" w:hAnsi="Times New Roman" w:cs="Times New Roman"/>
        </w:rPr>
        <w:t xml:space="preserve"> aprēķinos </w:t>
      </w:r>
      <w:r w:rsidR="007F170A" w:rsidRPr="001749A1">
        <w:rPr>
          <w:rFonts w:ascii="Times New Roman" w:hAnsi="Times New Roman" w:cs="Times New Roman"/>
        </w:rPr>
        <w:t>nav</w:t>
      </w:r>
      <w:r w:rsidRPr="001749A1">
        <w:rPr>
          <w:rFonts w:ascii="Times New Roman" w:hAnsi="Times New Roman" w:cs="Times New Roman"/>
        </w:rPr>
        <w:t xml:space="preserve"> iespējams iekļaut un matemātiski novērtēt visus objektīvos apstākļus, kas katrā </w:t>
      </w:r>
      <w:r w:rsidR="007F170A" w:rsidRPr="001749A1">
        <w:rPr>
          <w:rFonts w:ascii="Times New Roman" w:hAnsi="Times New Roman" w:cs="Times New Roman"/>
        </w:rPr>
        <w:t>atsevišķā centrā var veidoties</w:t>
      </w:r>
      <w:r w:rsidRPr="001749A1">
        <w:rPr>
          <w:rFonts w:ascii="Times New Roman" w:hAnsi="Times New Roman" w:cs="Times New Roman"/>
        </w:rPr>
        <w:t>.</w:t>
      </w:r>
    </w:p>
    <w:p w14:paraId="1C313EC9" w14:textId="619459EF" w:rsidR="002E024E" w:rsidRPr="001749A1" w:rsidRDefault="002E024E" w:rsidP="002E024E">
      <w:pPr>
        <w:spacing w:before="120" w:after="120"/>
        <w:ind w:firstLine="720"/>
        <w:rPr>
          <w:rFonts w:ascii="Times New Roman" w:hAnsi="Times New Roman" w:cs="Times New Roman"/>
        </w:rPr>
      </w:pPr>
      <w:r w:rsidRPr="001749A1">
        <w:rPr>
          <w:rFonts w:ascii="Times New Roman" w:hAnsi="Times New Roman" w:cs="Times New Roman"/>
        </w:rPr>
        <w:t xml:space="preserve">Izvērtējuma rezultātā </w:t>
      </w:r>
      <w:r w:rsidR="007F170A" w:rsidRPr="001749A1">
        <w:rPr>
          <w:rFonts w:ascii="Times New Roman" w:hAnsi="Times New Roman" w:cs="Times New Roman"/>
        </w:rPr>
        <w:t>tika</w:t>
      </w:r>
      <w:r w:rsidRPr="001749A1">
        <w:rPr>
          <w:rFonts w:ascii="Times New Roman" w:hAnsi="Times New Roman" w:cs="Times New Roman"/>
        </w:rPr>
        <w:t xml:space="preserve"> secināts, ka 30 </w:t>
      </w:r>
      <w:r w:rsidR="007F170A" w:rsidRPr="001749A1">
        <w:rPr>
          <w:rFonts w:ascii="Times New Roman" w:hAnsi="Times New Roman" w:cs="Times New Roman"/>
        </w:rPr>
        <w:t xml:space="preserve">notekūdeņu </w:t>
      </w:r>
      <w:r w:rsidRPr="001749A1">
        <w:rPr>
          <w:rFonts w:ascii="Times New Roman" w:hAnsi="Times New Roman" w:cs="Times New Roman"/>
        </w:rPr>
        <w:t>dūņu pārstrādes centru alternatīva nodrošina augstākus ieguvumus vairākos aspektos, ko nevarēja novērtēt iepriekš veiktajā vienotajā alternatīvu novērtējuma ceļā:</w:t>
      </w:r>
    </w:p>
    <w:p w14:paraId="284274BF" w14:textId="568757B6" w:rsidR="002E024E" w:rsidRPr="001749A1" w:rsidRDefault="002E024E" w:rsidP="008B1B4B">
      <w:pPr>
        <w:numPr>
          <w:ilvl w:val="0"/>
          <w:numId w:val="6"/>
        </w:numPr>
        <w:pBdr>
          <w:top w:val="nil"/>
          <w:left w:val="nil"/>
          <w:bottom w:val="nil"/>
          <w:right w:val="nil"/>
          <w:between w:val="nil"/>
        </w:pBdr>
        <w:spacing w:before="120" w:after="120"/>
        <w:rPr>
          <w:rFonts w:ascii="Times New Roman" w:hAnsi="Times New Roman" w:cs="Times New Roman"/>
        </w:rPr>
      </w:pPr>
      <w:r w:rsidRPr="001749A1">
        <w:rPr>
          <w:rFonts w:ascii="Times New Roman" w:hAnsi="Times New Roman" w:cs="Times New Roman"/>
          <w:color w:val="000000"/>
        </w:rPr>
        <w:t xml:space="preserve">Lielāks </w:t>
      </w:r>
      <w:r w:rsidR="007F170A" w:rsidRPr="001749A1">
        <w:rPr>
          <w:rFonts w:ascii="Times New Roman" w:hAnsi="Times New Roman" w:cs="Times New Roman"/>
          <w:color w:val="000000"/>
        </w:rPr>
        <w:t>pārstrādes</w:t>
      </w:r>
      <w:r w:rsidRPr="001749A1">
        <w:rPr>
          <w:rFonts w:ascii="Times New Roman" w:hAnsi="Times New Roman" w:cs="Times New Roman"/>
          <w:color w:val="000000"/>
        </w:rPr>
        <w:t xml:space="preserve"> centru skaits rada mazāk administratīvo problēmu </w:t>
      </w:r>
      <w:r w:rsidRPr="001749A1">
        <w:rPr>
          <w:rFonts w:ascii="Times New Roman" w:hAnsi="Times New Roman" w:cs="Times New Roman"/>
        </w:rPr>
        <w:t>pašvaldībām</w:t>
      </w:r>
      <w:r w:rsidRPr="001749A1">
        <w:rPr>
          <w:rFonts w:ascii="Times New Roman" w:hAnsi="Times New Roman" w:cs="Times New Roman"/>
          <w:color w:val="000000"/>
        </w:rPr>
        <w:t xml:space="preserve"> attiecībā uz </w:t>
      </w:r>
      <w:r w:rsidR="007F170A" w:rsidRPr="001749A1">
        <w:rPr>
          <w:rFonts w:ascii="Times New Roman" w:hAnsi="Times New Roman" w:cs="Times New Roman"/>
        </w:rPr>
        <w:t xml:space="preserve">notekūdeņu </w:t>
      </w:r>
      <w:r w:rsidRPr="001749A1">
        <w:rPr>
          <w:rFonts w:ascii="Times New Roman" w:hAnsi="Times New Roman" w:cs="Times New Roman"/>
          <w:color w:val="000000"/>
        </w:rPr>
        <w:t xml:space="preserve">dūņu pārvešanu pār </w:t>
      </w:r>
      <w:r w:rsidRPr="001749A1">
        <w:rPr>
          <w:rFonts w:ascii="Times New Roman" w:hAnsi="Times New Roman" w:cs="Times New Roman"/>
        </w:rPr>
        <w:t>pašvaldību</w:t>
      </w:r>
      <w:r w:rsidRPr="001749A1">
        <w:rPr>
          <w:rFonts w:ascii="Times New Roman" w:hAnsi="Times New Roman" w:cs="Times New Roman"/>
          <w:color w:val="000000"/>
        </w:rPr>
        <w:t xml:space="preserve"> robežām un</w:t>
      </w:r>
      <w:r w:rsidR="007F170A" w:rsidRPr="001749A1">
        <w:rPr>
          <w:rFonts w:ascii="Times New Roman" w:hAnsi="Times New Roman" w:cs="Times New Roman"/>
          <w:color w:val="000000"/>
        </w:rPr>
        <w:t xml:space="preserve"> </w:t>
      </w:r>
      <w:r w:rsidR="007F170A" w:rsidRPr="001749A1">
        <w:rPr>
          <w:rFonts w:ascii="Times New Roman" w:hAnsi="Times New Roman" w:cs="Times New Roman"/>
        </w:rPr>
        <w:t>notekūdeņu</w:t>
      </w:r>
      <w:r w:rsidR="007F170A" w:rsidRPr="001749A1">
        <w:rPr>
          <w:rFonts w:ascii="Times New Roman" w:hAnsi="Times New Roman" w:cs="Times New Roman"/>
          <w:color w:val="000000"/>
        </w:rPr>
        <w:t xml:space="preserve"> </w:t>
      </w:r>
      <w:r w:rsidRPr="001749A1">
        <w:rPr>
          <w:rFonts w:ascii="Times New Roman" w:hAnsi="Times New Roman" w:cs="Times New Roman"/>
          <w:color w:val="000000"/>
        </w:rPr>
        <w:t xml:space="preserve">dūņu nodošanu apstrādei citam sabiedrisko pakalpojumu sniedzējam. Atrisinot tikai būtiskākās problēmas </w:t>
      </w:r>
      <w:r w:rsidR="007F170A" w:rsidRPr="001749A1">
        <w:rPr>
          <w:rFonts w:ascii="Times New Roman" w:hAnsi="Times New Roman" w:cs="Times New Roman"/>
        </w:rPr>
        <w:t xml:space="preserve">notekūdeņu </w:t>
      </w:r>
      <w:r w:rsidRPr="001749A1">
        <w:rPr>
          <w:rFonts w:ascii="Times New Roman" w:hAnsi="Times New Roman" w:cs="Times New Roman"/>
          <w:color w:val="000000"/>
        </w:rPr>
        <w:t xml:space="preserve">dūņu centru izveidošanā, tiks mazināts arī negatīvais sabiedrības viedoklis par vienas </w:t>
      </w:r>
      <w:r w:rsidRPr="001749A1">
        <w:rPr>
          <w:rFonts w:ascii="Times New Roman" w:hAnsi="Times New Roman" w:cs="Times New Roman"/>
        </w:rPr>
        <w:t>pašvaldības</w:t>
      </w:r>
      <w:r w:rsidRPr="001749A1">
        <w:rPr>
          <w:rFonts w:ascii="Times New Roman" w:hAnsi="Times New Roman" w:cs="Times New Roman"/>
          <w:color w:val="000000"/>
        </w:rPr>
        <w:t xml:space="preserve"> radīto notekūdeņu dūņu problēmas “uzkraušanu” citai </w:t>
      </w:r>
      <w:r w:rsidRPr="001749A1">
        <w:rPr>
          <w:rFonts w:ascii="Times New Roman" w:hAnsi="Times New Roman" w:cs="Times New Roman"/>
        </w:rPr>
        <w:t>pašvaldībai</w:t>
      </w:r>
      <w:r w:rsidRPr="001749A1">
        <w:rPr>
          <w:rFonts w:ascii="Times New Roman" w:hAnsi="Times New Roman" w:cs="Times New Roman"/>
          <w:color w:val="000000"/>
        </w:rPr>
        <w:t>;</w:t>
      </w:r>
    </w:p>
    <w:p w14:paraId="1885810E" w14:textId="6B61698B" w:rsidR="002E024E" w:rsidRPr="001749A1" w:rsidRDefault="002E024E" w:rsidP="008B1B4B">
      <w:pPr>
        <w:numPr>
          <w:ilvl w:val="0"/>
          <w:numId w:val="6"/>
        </w:numPr>
        <w:pBdr>
          <w:top w:val="nil"/>
          <w:left w:val="nil"/>
          <w:bottom w:val="nil"/>
          <w:right w:val="nil"/>
          <w:between w:val="nil"/>
        </w:pBdr>
        <w:spacing w:before="120" w:after="120"/>
        <w:rPr>
          <w:rFonts w:ascii="Times New Roman" w:hAnsi="Times New Roman" w:cs="Times New Roman"/>
        </w:rPr>
      </w:pPr>
      <w:r w:rsidRPr="001749A1">
        <w:rPr>
          <w:rFonts w:ascii="Times New Roman" w:hAnsi="Times New Roman" w:cs="Times New Roman"/>
          <w:color w:val="000000"/>
        </w:rPr>
        <w:t xml:space="preserve">Lielāka </w:t>
      </w:r>
      <w:r w:rsidR="007F170A" w:rsidRPr="001749A1">
        <w:rPr>
          <w:rFonts w:ascii="Times New Roman" w:hAnsi="Times New Roman" w:cs="Times New Roman"/>
        </w:rPr>
        <w:t xml:space="preserve">notekūdeņu </w:t>
      </w:r>
      <w:r w:rsidRPr="001749A1">
        <w:rPr>
          <w:rFonts w:ascii="Times New Roman" w:hAnsi="Times New Roman" w:cs="Times New Roman"/>
          <w:color w:val="000000"/>
        </w:rPr>
        <w:t xml:space="preserve">dūņu centralizācija rada mazāk </w:t>
      </w:r>
      <w:r w:rsidR="007F170A" w:rsidRPr="001749A1">
        <w:rPr>
          <w:rFonts w:ascii="Times New Roman" w:hAnsi="Times New Roman" w:cs="Times New Roman"/>
          <w:color w:val="000000"/>
        </w:rPr>
        <w:t>pārstrādes</w:t>
      </w:r>
      <w:r w:rsidRPr="001749A1">
        <w:rPr>
          <w:rFonts w:ascii="Times New Roman" w:hAnsi="Times New Roman" w:cs="Times New Roman"/>
          <w:color w:val="000000"/>
        </w:rPr>
        <w:t xml:space="preserve"> centrus, kas savukārt nozīmē mazākas </w:t>
      </w:r>
      <w:r w:rsidR="007F170A" w:rsidRPr="001749A1">
        <w:rPr>
          <w:rFonts w:ascii="Times New Roman" w:hAnsi="Times New Roman" w:cs="Times New Roman"/>
        </w:rPr>
        <w:t xml:space="preserve">notekūdeņu </w:t>
      </w:r>
      <w:r w:rsidRPr="001749A1">
        <w:rPr>
          <w:rFonts w:ascii="Times New Roman" w:hAnsi="Times New Roman" w:cs="Times New Roman"/>
          <w:color w:val="000000"/>
        </w:rPr>
        <w:t xml:space="preserve">dūņu utilizācijas iespējas lauksaimniecībā, kas noteikti kā galvenie pārstrādātu </w:t>
      </w:r>
      <w:r w:rsidR="007F170A" w:rsidRPr="001749A1">
        <w:rPr>
          <w:rFonts w:ascii="Times New Roman" w:hAnsi="Times New Roman" w:cs="Times New Roman"/>
        </w:rPr>
        <w:t xml:space="preserve">notekūdeņu </w:t>
      </w:r>
      <w:r w:rsidRPr="001749A1">
        <w:rPr>
          <w:rFonts w:ascii="Times New Roman" w:hAnsi="Times New Roman" w:cs="Times New Roman"/>
          <w:color w:val="000000"/>
        </w:rPr>
        <w:t>dūņu izmantotāji. Veidojot</w:t>
      </w:r>
      <w:r w:rsidR="007F170A" w:rsidRPr="001749A1">
        <w:rPr>
          <w:rFonts w:ascii="Times New Roman" w:hAnsi="Times New Roman" w:cs="Times New Roman"/>
          <w:color w:val="000000"/>
        </w:rPr>
        <w:t xml:space="preserve"> </w:t>
      </w:r>
      <w:r w:rsidRPr="001749A1">
        <w:rPr>
          <w:rFonts w:ascii="Times New Roman" w:hAnsi="Times New Roman" w:cs="Times New Roman"/>
          <w:color w:val="000000"/>
        </w:rPr>
        <w:t xml:space="preserve">16 pārstrādes centrus ap tiem būtu pieejamas lauksaimniecības zemes 523,7 tūkst. ha apjomā, bet </w:t>
      </w:r>
      <w:r w:rsidR="007F170A" w:rsidRPr="001749A1">
        <w:rPr>
          <w:rFonts w:ascii="Times New Roman" w:hAnsi="Times New Roman" w:cs="Times New Roman"/>
          <w:color w:val="000000"/>
        </w:rPr>
        <w:t>ap</w:t>
      </w:r>
      <w:r w:rsidRPr="001749A1">
        <w:rPr>
          <w:rFonts w:ascii="Times New Roman" w:hAnsi="Times New Roman" w:cs="Times New Roman"/>
          <w:color w:val="000000"/>
        </w:rPr>
        <w:t xml:space="preserve"> 30 pārstrādes centriem</w:t>
      </w:r>
      <w:r w:rsidR="007F170A" w:rsidRPr="001749A1">
        <w:rPr>
          <w:rFonts w:ascii="Times New Roman" w:hAnsi="Times New Roman" w:cs="Times New Roman"/>
          <w:color w:val="000000"/>
        </w:rPr>
        <w:t xml:space="preserve"> pieejamās</w:t>
      </w:r>
      <w:r w:rsidRPr="001749A1">
        <w:rPr>
          <w:rFonts w:ascii="Times New Roman" w:hAnsi="Times New Roman" w:cs="Times New Roman"/>
          <w:color w:val="000000"/>
        </w:rPr>
        <w:t xml:space="preserve"> lauksaimniecības zemju platības ir 881,5 tūkst. ha, kā rezultātā </w:t>
      </w:r>
      <w:r w:rsidR="007F170A" w:rsidRPr="001749A1">
        <w:rPr>
          <w:rFonts w:ascii="Times New Roman" w:hAnsi="Times New Roman" w:cs="Times New Roman"/>
          <w:color w:val="000000"/>
        </w:rPr>
        <w:t xml:space="preserve">veidojas </w:t>
      </w:r>
      <w:r w:rsidRPr="001749A1">
        <w:rPr>
          <w:rFonts w:ascii="Times New Roman" w:hAnsi="Times New Roman" w:cs="Times New Roman"/>
          <w:color w:val="000000"/>
        </w:rPr>
        <w:t>daudz plašākas pārstrādātu dūņu utilizācijas iespējas;</w:t>
      </w:r>
    </w:p>
    <w:p w14:paraId="54B4BC5E" w14:textId="4399D62C" w:rsidR="002E024E" w:rsidRPr="001749A1" w:rsidRDefault="002E024E" w:rsidP="008B1B4B">
      <w:pPr>
        <w:numPr>
          <w:ilvl w:val="0"/>
          <w:numId w:val="6"/>
        </w:numPr>
        <w:pBdr>
          <w:top w:val="nil"/>
          <w:left w:val="nil"/>
          <w:bottom w:val="nil"/>
          <w:right w:val="nil"/>
          <w:between w:val="nil"/>
        </w:pBdr>
        <w:spacing w:before="120" w:after="120"/>
        <w:rPr>
          <w:rFonts w:ascii="Times New Roman" w:hAnsi="Times New Roman" w:cs="Times New Roman"/>
        </w:rPr>
      </w:pPr>
      <w:r w:rsidRPr="001749A1">
        <w:rPr>
          <w:rFonts w:ascii="Times New Roman" w:hAnsi="Times New Roman" w:cs="Times New Roman"/>
          <w:color w:val="000000"/>
        </w:rPr>
        <w:t xml:space="preserve">Lielāks centru skaits rada mazākus kopējos nobrauktos km </w:t>
      </w:r>
      <w:r w:rsidR="007F170A" w:rsidRPr="001749A1">
        <w:rPr>
          <w:rFonts w:ascii="Times New Roman" w:hAnsi="Times New Roman" w:cs="Times New Roman"/>
        </w:rPr>
        <w:t xml:space="preserve">notekūdeņu </w:t>
      </w:r>
      <w:r w:rsidRPr="001749A1">
        <w:rPr>
          <w:rFonts w:ascii="Times New Roman" w:hAnsi="Times New Roman" w:cs="Times New Roman"/>
          <w:color w:val="000000"/>
        </w:rPr>
        <w:t>dūņu pārvadāšanai</w:t>
      </w:r>
      <w:r w:rsidR="007F170A" w:rsidRPr="001749A1">
        <w:rPr>
          <w:rFonts w:ascii="Times New Roman" w:hAnsi="Times New Roman" w:cs="Times New Roman"/>
          <w:color w:val="000000"/>
        </w:rPr>
        <w:t>, k</w:t>
      </w:r>
      <w:r w:rsidRPr="001749A1">
        <w:rPr>
          <w:rFonts w:ascii="Times New Roman" w:hAnsi="Times New Roman" w:cs="Times New Roman"/>
          <w:color w:val="000000"/>
        </w:rPr>
        <w:t>ā rezultātā veidojas mazākas siltumnīcefektu gāzu emisijas no</w:t>
      </w:r>
      <w:r w:rsidR="007F170A" w:rsidRPr="001749A1">
        <w:rPr>
          <w:rFonts w:ascii="Times New Roman" w:hAnsi="Times New Roman" w:cs="Times New Roman"/>
          <w:color w:val="000000"/>
        </w:rPr>
        <w:t xml:space="preserve"> </w:t>
      </w:r>
      <w:r w:rsidR="007F170A" w:rsidRPr="001749A1">
        <w:rPr>
          <w:rFonts w:ascii="Times New Roman" w:hAnsi="Times New Roman" w:cs="Times New Roman"/>
        </w:rPr>
        <w:t>notekūdeņu</w:t>
      </w:r>
      <w:r w:rsidRPr="001749A1">
        <w:rPr>
          <w:rFonts w:ascii="Times New Roman" w:hAnsi="Times New Roman" w:cs="Times New Roman"/>
          <w:color w:val="000000"/>
        </w:rPr>
        <w:t xml:space="preserve"> dūņu transportēšanas.</w:t>
      </w:r>
    </w:p>
    <w:p w14:paraId="34AB4A86" w14:textId="7E6F372B" w:rsidR="002E024E" w:rsidRPr="001749A1" w:rsidRDefault="002E024E" w:rsidP="002E024E">
      <w:pPr>
        <w:spacing w:before="120" w:after="120"/>
        <w:ind w:firstLine="720"/>
        <w:rPr>
          <w:rFonts w:ascii="Times New Roman" w:hAnsi="Times New Roman" w:cs="Times New Roman"/>
        </w:rPr>
      </w:pPr>
      <w:r w:rsidRPr="001749A1">
        <w:rPr>
          <w:rFonts w:ascii="Times New Roman" w:hAnsi="Times New Roman" w:cs="Times New Roman"/>
        </w:rPr>
        <w:t xml:space="preserve">Lai mazinātu </w:t>
      </w:r>
      <w:r w:rsidR="007F170A" w:rsidRPr="001749A1">
        <w:rPr>
          <w:rFonts w:ascii="Times New Roman" w:hAnsi="Times New Roman" w:cs="Times New Roman"/>
        </w:rPr>
        <w:t xml:space="preserve">pārāk </w:t>
      </w:r>
      <w:r w:rsidRPr="001749A1">
        <w:rPr>
          <w:rFonts w:ascii="Times New Roman" w:hAnsi="Times New Roman" w:cs="Times New Roman"/>
        </w:rPr>
        <w:t xml:space="preserve">mazu notekūdeņu dūņu pārstrādes centru riskus, </w:t>
      </w:r>
      <w:r w:rsidR="007F170A" w:rsidRPr="001749A1">
        <w:rPr>
          <w:rFonts w:ascii="Times New Roman" w:hAnsi="Times New Roman" w:cs="Times New Roman"/>
        </w:rPr>
        <w:t>tika</w:t>
      </w:r>
      <w:r w:rsidRPr="001749A1">
        <w:rPr>
          <w:rFonts w:ascii="Times New Roman" w:hAnsi="Times New Roman" w:cs="Times New Roman"/>
        </w:rPr>
        <w:t xml:space="preserve"> nolemts novērtēt pārstrādes centru </w:t>
      </w:r>
      <w:r w:rsidR="007F170A" w:rsidRPr="001749A1">
        <w:rPr>
          <w:rFonts w:ascii="Times New Roman" w:hAnsi="Times New Roman" w:cs="Times New Roman"/>
        </w:rPr>
        <w:t>apvienošan</w:t>
      </w:r>
      <w:r w:rsidR="00B45E99" w:rsidRPr="001749A1">
        <w:rPr>
          <w:rFonts w:ascii="Times New Roman" w:hAnsi="Times New Roman" w:cs="Times New Roman"/>
        </w:rPr>
        <w:t>as</w:t>
      </w:r>
      <w:r w:rsidRPr="001749A1">
        <w:rPr>
          <w:rFonts w:ascii="Times New Roman" w:hAnsi="Times New Roman" w:cs="Times New Roman"/>
        </w:rPr>
        <w:t xml:space="preserve"> iespējas </w:t>
      </w:r>
      <w:r w:rsidR="00B45E99" w:rsidRPr="001749A1">
        <w:rPr>
          <w:rFonts w:ascii="Times New Roman" w:hAnsi="Times New Roman" w:cs="Times New Roman"/>
        </w:rPr>
        <w:t>savstarpēji tuvu esošajiem</w:t>
      </w:r>
      <w:r w:rsidRPr="001749A1">
        <w:rPr>
          <w:rFonts w:ascii="Times New Roman" w:hAnsi="Times New Roman" w:cs="Times New Roman"/>
        </w:rPr>
        <w:t xml:space="preserve"> centriem. Veicot D2.alternatīvas izvērtējumu secināts, ka </w:t>
      </w:r>
      <w:r w:rsidR="00B45E99" w:rsidRPr="001749A1">
        <w:rPr>
          <w:rFonts w:ascii="Times New Roman" w:hAnsi="Times New Roman" w:cs="Times New Roman"/>
        </w:rPr>
        <w:t xml:space="preserve">notekūdeņu </w:t>
      </w:r>
      <w:r w:rsidRPr="001749A1">
        <w:rPr>
          <w:rFonts w:ascii="Times New Roman" w:hAnsi="Times New Roman" w:cs="Times New Roman"/>
        </w:rPr>
        <w:t>dūņu centri ir apvienojami šādās</w:t>
      </w:r>
      <w:r w:rsidR="00B45E99" w:rsidRPr="001749A1">
        <w:rPr>
          <w:rFonts w:ascii="Times New Roman" w:hAnsi="Times New Roman" w:cs="Times New Roman"/>
        </w:rPr>
        <w:t xml:space="preserve"> </w:t>
      </w:r>
      <w:r w:rsidRPr="001749A1">
        <w:rPr>
          <w:rFonts w:ascii="Times New Roman" w:hAnsi="Times New Roman" w:cs="Times New Roman"/>
        </w:rPr>
        <w:t xml:space="preserve">vietās: </w:t>
      </w:r>
      <w:r w:rsidRPr="001749A1">
        <w:rPr>
          <w:rFonts w:ascii="Times New Roman" w:hAnsi="Times New Roman" w:cs="Times New Roman"/>
          <w:b/>
          <w:color w:val="1F4E79" w:themeColor="accent1" w:themeShade="80"/>
        </w:rPr>
        <w:t xml:space="preserve">Krāslava – </w:t>
      </w:r>
      <w:r w:rsidR="00B45E99" w:rsidRPr="001749A1">
        <w:rPr>
          <w:rFonts w:ascii="Times New Roman" w:hAnsi="Times New Roman" w:cs="Times New Roman"/>
          <w:b/>
          <w:color w:val="1F4E79" w:themeColor="accent1" w:themeShade="80"/>
        </w:rPr>
        <w:t xml:space="preserve">notekūdeņu </w:t>
      </w:r>
      <w:r w:rsidRPr="001749A1">
        <w:rPr>
          <w:rFonts w:ascii="Times New Roman" w:hAnsi="Times New Roman" w:cs="Times New Roman"/>
          <w:b/>
          <w:color w:val="1F4E79" w:themeColor="accent1" w:themeShade="80"/>
        </w:rPr>
        <w:t>dūņu pārstrāde veicama Daugavpilī</w:t>
      </w:r>
      <w:r w:rsidRPr="001749A1">
        <w:rPr>
          <w:rFonts w:ascii="Times New Roman" w:hAnsi="Times New Roman" w:cs="Times New Roman"/>
          <w:color w:val="1F4E79" w:themeColor="accent1" w:themeShade="80"/>
        </w:rPr>
        <w:t xml:space="preserve">.; </w:t>
      </w:r>
      <w:r w:rsidRPr="001749A1">
        <w:rPr>
          <w:rFonts w:ascii="Times New Roman" w:hAnsi="Times New Roman" w:cs="Times New Roman"/>
          <w:b/>
          <w:color w:val="1F4E79" w:themeColor="accent1" w:themeShade="80"/>
        </w:rPr>
        <w:t>Saulkrast</w:t>
      </w:r>
      <w:r w:rsidR="00B45E99" w:rsidRPr="001749A1">
        <w:rPr>
          <w:rFonts w:ascii="Times New Roman" w:hAnsi="Times New Roman" w:cs="Times New Roman"/>
          <w:b/>
          <w:color w:val="1F4E79" w:themeColor="accent1" w:themeShade="80"/>
        </w:rPr>
        <w:t>i</w:t>
      </w:r>
      <w:r w:rsidRPr="001749A1">
        <w:rPr>
          <w:rFonts w:ascii="Times New Roman" w:hAnsi="Times New Roman" w:cs="Times New Roman"/>
          <w:b/>
          <w:color w:val="1F4E79" w:themeColor="accent1" w:themeShade="80"/>
        </w:rPr>
        <w:t xml:space="preserve"> </w:t>
      </w:r>
      <w:r w:rsidR="00B45E99" w:rsidRPr="001749A1">
        <w:rPr>
          <w:rFonts w:ascii="Times New Roman" w:hAnsi="Times New Roman" w:cs="Times New Roman"/>
          <w:b/>
          <w:color w:val="1F4E79" w:themeColor="accent1" w:themeShade="80"/>
        </w:rPr>
        <w:t>–</w:t>
      </w:r>
      <w:r w:rsidRPr="001749A1">
        <w:rPr>
          <w:rFonts w:ascii="Times New Roman" w:hAnsi="Times New Roman" w:cs="Times New Roman"/>
          <w:b/>
          <w:color w:val="1F4E79" w:themeColor="accent1" w:themeShade="80"/>
        </w:rPr>
        <w:t xml:space="preserve"> </w:t>
      </w:r>
      <w:r w:rsidR="00B45E99" w:rsidRPr="001749A1">
        <w:rPr>
          <w:rFonts w:ascii="Times New Roman" w:hAnsi="Times New Roman" w:cs="Times New Roman"/>
          <w:b/>
          <w:color w:val="1F4E79" w:themeColor="accent1" w:themeShade="80"/>
        </w:rPr>
        <w:t xml:space="preserve">notekūdeņu </w:t>
      </w:r>
      <w:r w:rsidRPr="001749A1">
        <w:rPr>
          <w:rFonts w:ascii="Times New Roman" w:hAnsi="Times New Roman" w:cs="Times New Roman"/>
          <w:b/>
          <w:color w:val="1F4E79" w:themeColor="accent1" w:themeShade="80"/>
        </w:rPr>
        <w:t>dūņu apstrāde veicama Ādažos;</w:t>
      </w:r>
      <w:r w:rsidRPr="001749A1">
        <w:rPr>
          <w:rFonts w:ascii="Times New Roman" w:hAnsi="Times New Roman" w:cs="Times New Roman"/>
          <w:color w:val="1F4E79" w:themeColor="accent1" w:themeShade="80"/>
        </w:rPr>
        <w:t xml:space="preserve"> </w:t>
      </w:r>
      <w:r w:rsidRPr="001749A1">
        <w:rPr>
          <w:rFonts w:ascii="Times New Roman" w:hAnsi="Times New Roman" w:cs="Times New Roman"/>
          <w:b/>
          <w:color w:val="1F4E79" w:themeColor="accent1" w:themeShade="80"/>
        </w:rPr>
        <w:t>Balož</w:t>
      </w:r>
      <w:r w:rsidR="00B45E99" w:rsidRPr="001749A1">
        <w:rPr>
          <w:rFonts w:ascii="Times New Roman" w:hAnsi="Times New Roman" w:cs="Times New Roman"/>
          <w:b/>
          <w:color w:val="1F4E79" w:themeColor="accent1" w:themeShade="80"/>
        </w:rPr>
        <w:t>i</w:t>
      </w:r>
      <w:r w:rsidRPr="001749A1">
        <w:rPr>
          <w:rFonts w:ascii="Times New Roman" w:hAnsi="Times New Roman" w:cs="Times New Roman"/>
          <w:b/>
          <w:color w:val="1F4E79" w:themeColor="accent1" w:themeShade="80"/>
        </w:rPr>
        <w:t xml:space="preserve"> – </w:t>
      </w:r>
      <w:r w:rsidR="00B45E99" w:rsidRPr="001749A1">
        <w:rPr>
          <w:rFonts w:ascii="Times New Roman" w:hAnsi="Times New Roman" w:cs="Times New Roman"/>
          <w:b/>
          <w:color w:val="1F4E79" w:themeColor="accent1" w:themeShade="80"/>
        </w:rPr>
        <w:t xml:space="preserve">notekūdeņu </w:t>
      </w:r>
      <w:r w:rsidRPr="001749A1">
        <w:rPr>
          <w:rFonts w:ascii="Times New Roman" w:hAnsi="Times New Roman" w:cs="Times New Roman"/>
          <w:b/>
          <w:color w:val="1F4E79" w:themeColor="accent1" w:themeShade="80"/>
        </w:rPr>
        <w:t>dūņu pārstrāde veicama Olainē;</w:t>
      </w:r>
      <w:r w:rsidRPr="001749A1">
        <w:rPr>
          <w:rFonts w:ascii="Times New Roman" w:hAnsi="Times New Roman" w:cs="Times New Roman"/>
          <w:color w:val="1F4E79" w:themeColor="accent1" w:themeShade="80"/>
        </w:rPr>
        <w:t xml:space="preserve"> </w:t>
      </w:r>
      <w:r w:rsidRPr="001749A1">
        <w:rPr>
          <w:rFonts w:ascii="Times New Roman" w:hAnsi="Times New Roman" w:cs="Times New Roman"/>
          <w:b/>
          <w:color w:val="1F4E79" w:themeColor="accent1" w:themeShade="80"/>
        </w:rPr>
        <w:t>Upeslejas –</w:t>
      </w:r>
      <w:r w:rsidR="00B45E99" w:rsidRPr="001749A1">
        <w:rPr>
          <w:rFonts w:ascii="Times New Roman" w:hAnsi="Times New Roman" w:cs="Times New Roman"/>
          <w:b/>
          <w:color w:val="1F4E79" w:themeColor="accent1" w:themeShade="80"/>
        </w:rPr>
        <w:t xml:space="preserve"> notekūdeņu</w:t>
      </w:r>
      <w:r w:rsidRPr="001749A1">
        <w:rPr>
          <w:rFonts w:ascii="Times New Roman" w:hAnsi="Times New Roman" w:cs="Times New Roman"/>
          <w:b/>
          <w:color w:val="1F4E79" w:themeColor="accent1" w:themeShade="80"/>
        </w:rPr>
        <w:t xml:space="preserve"> dūņu pārstrāde veicama Salaspilī. </w:t>
      </w:r>
    </w:p>
    <w:p w14:paraId="5FAFAE4E" w14:textId="2CA15E76" w:rsidR="002E024E" w:rsidRPr="001749A1" w:rsidRDefault="002E024E" w:rsidP="001749A1">
      <w:pPr>
        <w:spacing w:after="0"/>
        <w:ind w:firstLine="720"/>
        <w:rPr>
          <w:rFonts w:ascii="Times New Roman" w:hAnsi="Times New Roman" w:cs="Times New Roman"/>
        </w:rPr>
      </w:pPr>
      <w:r w:rsidRPr="001749A1">
        <w:rPr>
          <w:rFonts w:ascii="Times New Roman" w:hAnsi="Times New Roman" w:cs="Times New Roman"/>
        </w:rPr>
        <w:t xml:space="preserve">Attiecībā uz citām apdzīvotām vietām un </w:t>
      </w:r>
      <w:r w:rsidR="00B45E99" w:rsidRPr="001749A1">
        <w:rPr>
          <w:rFonts w:ascii="Times New Roman" w:hAnsi="Times New Roman" w:cs="Times New Roman"/>
        </w:rPr>
        <w:t>to notekūdeņu</w:t>
      </w:r>
      <w:r w:rsidRPr="001749A1">
        <w:rPr>
          <w:rFonts w:ascii="Times New Roman" w:hAnsi="Times New Roman" w:cs="Times New Roman"/>
        </w:rPr>
        <w:t xml:space="preserve"> dūņu pārstrādes centriem </w:t>
      </w:r>
      <w:r w:rsidR="00B45E99" w:rsidRPr="001749A1">
        <w:rPr>
          <w:rFonts w:ascii="Times New Roman" w:hAnsi="Times New Roman" w:cs="Times New Roman"/>
        </w:rPr>
        <w:t>tika</w:t>
      </w:r>
      <w:r w:rsidRPr="001749A1">
        <w:rPr>
          <w:rFonts w:ascii="Times New Roman" w:hAnsi="Times New Roman" w:cs="Times New Roman"/>
        </w:rPr>
        <w:t xml:space="preserve"> secināts, ka nepastāv objektīvi ierobežojumu, kāpēc šādi centri nevarētu tikt veidoti un tie ir atstājami atbilstoši 30 centru alternatīvā noteiktajam. </w:t>
      </w:r>
      <w:r w:rsidR="00B45E99" w:rsidRPr="001749A1">
        <w:rPr>
          <w:rFonts w:ascii="Times New Roman" w:hAnsi="Times New Roman" w:cs="Times New Roman"/>
        </w:rPr>
        <w:t>Papildus lokālo apstākļu izvērtējuma rezultātā tika secināts, ka</w:t>
      </w:r>
      <w:r w:rsidRPr="001749A1">
        <w:rPr>
          <w:rFonts w:ascii="Times New Roman" w:hAnsi="Times New Roman" w:cs="Times New Roman"/>
        </w:rPr>
        <w:t xml:space="preserve"> Latvijā kopumā būtu veidojami 2</w:t>
      </w:r>
      <w:r w:rsidR="006C7773">
        <w:rPr>
          <w:rFonts w:ascii="Times New Roman" w:hAnsi="Times New Roman" w:cs="Times New Roman"/>
        </w:rPr>
        <w:t xml:space="preserve">6+1 </w:t>
      </w:r>
      <w:r w:rsidR="006C7773" w:rsidRPr="001749A1">
        <w:rPr>
          <w:rFonts w:ascii="Times New Roman" w:hAnsi="Times New Roman" w:cs="Times New Roman"/>
        </w:rPr>
        <w:t>notekūdeņu dūņu pārstrādes centri</w:t>
      </w:r>
      <w:r w:rsidR="006C7773">
        <w:rPr>
          <w:rFonts w:ascii="Times New Roman" w:hAnsi="Times New Roman" w:cs="Times New Roman"/>
        </w:rPr>
        <w:t xml:space="preserve"> (26 dūņu centralizācijas vietas + BAS “Daugavgrīva, kur paredzēta tikai </w:t>
      </w:r>
      <w:r w:rsidR="006042FA">
        <w:rPr>
          <w:rFonts w:ascii="Times New Roman" w:hAnsi="Times New Roman" w:cs="Times New Roman"/>
        </w:rPr>
        <w:t>pārstrāde</w:t>
      </w:r>
      <w:r w:rsidR="006C7773">
        <w:rPr>
          <w:rFonts w:ascii="Times New Roman" w:hAnsi="Times New Roman" w:cs="Times New Roman"/>
        </w:rPr>
        <w:t>, bet ne centralizācija)</w:t>
      </w:r>
      <w:r w:rsidR="00B45E99" w:rsidRPr="001749A1">
        <w:rPr>
          <w:rFonts w:ascii="Times New Roman" w:hAnsi="Times New Roman" w:cs="Times New Roman"/>
        </w:rPr>
        <w:t xml:space="preserve"> un </w:t>
      </w:r>
      <w:r w:rsidR="00B45E99" w:rsidRPr="00D55024">
        <w:rPr>
          <w:rFonts w:ascii="Times New Roman" w:hAnsi="Times New Roman" w:cs="Times New Roman"/>
        </w:rPr>
        <w:t xml:space="preserve">atbilstoši šim </w:t>
      </w:r>
      <w:r w:rsidRPr="00D55024">
        <w:rPr>
          <w:rFonts w:ascii="Times New Roman" w:hAnsi="Times New Roman" w:cs="Times New Roman"/>
        </w:rPr>
        <w:t xml:space="preserve">centru skaitam </w:t>
      </w:r>
      <w:r w:rsidR="00B45E99" w:rsidRPr="00D55024">
        <w:rPr>
          <w:rFonts w:ascii="Times New Roman" w:hAnsi="Times New Roman" w:cs="Times New Roman"/>
        </w:rPr>
        <w:t>tika</w:t>
      </w:r>
      <w:r w:rsidRPr="00D55024">
        <w:rPr>
          <w:rFonts w:ascii="Times New Roman" w:hAnsi="Times New Roman" w:cs="Times New Roman"/>
        </w:rPr>
        <w:t xml:space="preserve"> veikts </w:t>
      </w:r>
      <w:r w:rsidR="00B45E99" w:rsidRPr="00D55024">
        <w:rPr>
          <w:rFonts w:ascii="Times New Roman" w:hAnsi="Times New Roman" w:cs="Times New Roman"/>
        </w:rPr>
        <w:t>alternatīvas</w:t>
      </w:r>
      <w:r w:rsidRPr="00D55024">
        <w:rPr>
          <w:rFonts w:ascii="Times New Roman" w:hAnsi="Times New Roman" w:cs="Times New Roman"/>
        </w:rPr>
        <w:t xml:space="preserve"> ieviešanas ekonomiskais aprēķins un definēta jauna notekūdeņu dūņu centralizācijas alternatīva Nr.D5.</w:t>
      </w:r>
      <w:bookmarkStart w:id="52" w:name="_Toc82430167"/>
    </w:p>
    <w:p w14:paraId="35F1D2B1" w14:textId="789B4CA5" w:rsidR="00B45E99" w:rsidRDefault="00B45E99" w:rsidP="001749A1">
      <w:pPr>
        <w:spacing w:after="0"/>
        <w:ind w:firstLine="720"/>
        <w:rPr>
          <w:rFonts w:ascii="Times New Roman" w:hAnsi="Times New Roman" w:cs="Times New Roman"/>
        </w:rPr>
      </w:pPr>
    </w:p>
    <w:p w14:paraId="78D849ED" w14:textId="1C991032" w:rsidR="001749A1" w:rsidRDefault="001749A1" w:rsidP="001749A1">
      <w:pPr>
        <w:spacing w:after="0"/>
        <w:ind w:firstLine="720"/>
        <w:rPr>
          <w:rFonts w:ascii="Times New Roman" w:hAnsi="Times New Roman" w:cs="Times New Roman"/>
        </w:rPr>
      </w:pPr>
    </w:p>
    <w:p w14:paraId="370F14D3" w14:textId="77777777" w:rsidR="001749A1" w:rsidRDefault="001749A1" w:rsidP="001749A1">
      <w:pPr>
        <w:spacing w:after="0"/>
        <w:ind w:firstLine="720"/>
        <w:rPr>
          <w:rFonts w:ascii="Times New Roman" w:hAnsi="Times New Roman" w:cs="Times New Roman"/>
        </w:rPr>
      </w:pPr>
    </w:p>
    <w:p w14:paraId="3ABDBBA6" w14:textId="77777777" w:rsidR="001749A1" w:rsidRPr="001749A1" w:rsidRDefault="001749A1" w:rsidP="001749A1">
      <w:pPr>
        <w:spacing w:after="0"/>
        <w:ind w:firstLine="720"/>
        <w:rPr>
          <w:rFonts w:ascii="Times New Roman" w:hAnsi="Times New Roman" w:cs="Times New Roman"/>
        </w:rPr>
      </w:pPr>
    </w:p>
    <w:p w14:paraId="71BED6E0" w14:textId="59089768" w:rsidR="002E024E" w:rsidRDefault="002E024E" w:rsidP="001749A1">
      <w:pPr>
        <w:pStyle w:val="Heading2"/>
        <w:spacing w:before="0"/>
        <w:jc w:val="center"/>
        <w:rPr>
          <w:rFonts w:ascii="Times New Roman" w:eastAsia="Times New Roman" w:hAnsi="Times New Roman" w:cs="Times New Roman"/>
          <w:b/>
          <w:bCs/>
          <w:color w:val="auto"/>
          <w:sz w:val="24"/>
          <w:szCs w:val="24"/>
          <w:lang w:eastAsia="en-GB"/>
        </w:rPr>
      </w:pPr>
      <w:bookmarkStart w:id="53" w:name="_Toc107916319"/>
      <w:r w:rsidRPr="001749A1">
        <w:rPr>
          <w:rFonts w:ascii="Times New Roman" w:eastAsia="Times New Roman" w:hAnsi="Times New Roman" w:cs="Times New Roman"/>
          <w:b/>
          <w:bCs/>
          <w:color w:val="auto"/>
          <w:sz w:val="24"/>
          <w:szCs w:val="24"/>
          <w:lang w:eastAsia="en-GB"/>
        </w:rPr>
        <w:lastRenderedPageBreak/>
        <w:t>D5. Alternatīva: Notekūdeņu dūņu pārstrāde 2</w:t>
      </w:r>
      <w:r w:rsidR="002E60F6">
        <w:rPr>
          <w:rFonts w:ascii="Times New Roman" w:eastAsia="Times New Roman" w:hAnsi="Times New Roman" w:cs="Times New Roman"/>
          <w:b/>
          <w:bCs/>
          <w:color w:val="auto"/>
          <w:sz w:val="24"/>
          <w:szCs w:val="24"/>
          <w:lang w:eastAsia="en-GB"/>
        </w:rPr>
        <w:t>7</w:t>
      </w:r>
      <w:r w:rsidRPr="001749A1">
        <w:rPr>
          <w:rFonts w:ascii="Times New Roman" w:eastAsia="Times New Roman" w:hAnsi="Times New Roman" w:cs="Times New Roman"/>
          <w:b/>
          <w:bCs/>
          <w:color w:val="auto"/>
          <w:sz w:val="24"/>
          <w:szCs w:val="24"/>
          <w:lang w:eastAsia="en-GB"/>
        </w:rPr>
        <w:t xml:space="preserve"> notekūdeņu dūņu pārstrādes centros</w:t>
      </w:r>
      <w:bookmarkEnd w:id="52"/>
      <w:bookmarkEnd w:id="53"/>
    </w:p>
    <w:p w14:paraId="1C86C0B3" w14:textId="77777777" w:rsidR="001749A1" w:rsidRPr="001749A1" w:rsidRDefault="001749A1" w:rsidP="001749A1">
      <w:pPr>
        <w:spacing w:after="0"/>
        <w:rPr>
          <w:rFonts w:ascii="Times New Roman" w:hAnsi="Times New Roman" w:cs="Times New Roman"/>
          <w:lang w:eastAsia="en-GB"/>
        </w:rPr>
      </w:pPr>
    </w:p>
    <w:p w14:paraId="414648D6" w14:textId="143B77FC" w:rsidR="002E024E" w:rsidRPr="001749A1" w:rsidRDefault="002E024E" w:rsidP="001749A1">
      <w:pPr>
        <w:spacing w:after="0"/>
        <w:ind w:firstLine="720"/>
        <w:rPr>
          <w:rFonts w:ascii="Times New Roman" w:hAnsi="Times New Roman" w:cs="Times New Roman"/>
          <w:lang w:eastAsia="lv-LV"/>
        </w:rPr>
      </w:pPr>
      <w:r w:rsidRPr="001749A1">
        <w:rPr>
          <w:rFonts w:ascii="Times New Roman" w:hAnsi="Times New Roman" w:cs="Times New Roman"/>
        </w:rPr>
        <w:t>Lai veiktu finanšu aprēķinus 2</w:t>
      </w:r>
      <w:r w:rsidR="002E60F6">
        <w:rPr>
          <w:rFonts w:ascii="Times New Roman" w:hAnsi="Times New Roman" w:cs="Times New Roman"/>
        </w:rPr>
        <w:t>7</w:t>
      </w:r>
      <w:r w:rsidRPr="001749A1">
        <w:rPr>
          <w:rFonts w:ascii="Times New Roman" w:hAnsi="Times New Roman" w:cs="Times New Roman"/>
        </w:rPr>
        <w:t xml:space="preserve"> centru alternatīvai, sākotnēji </w:t>
      </w:r>
      <w:r w:rsidR="00B45E99" w:rsidRPr="001749A1">
        <w:rPr>
          <w:rFonts w:ascii="Times New Roman" w:hAnsi="Times New Roman" w:cs="Times New Roman"/>
        </w:rPr>
        <w:t>tika</w:t>
      </w:r>
      <w:r w:rsidRPr="001749A1">
        <w:rPr>
          <w:rFonts w:ascii="Times New Roman" w:hAnsi="Times New Roman" w:cs="Times New Roman"/>
        </w:rPr>
        <w:t xml:space="preserve"> veikts </w:t>
      </w:r>
      <w:r w:rsidR="00B45E99" w:rsidRPr="001749A1">
        <w:rPr>
          <w:rFonts w:ascii="Times New Roman" w:hAnsi="Times New Roman" w:cs="Times New Roman"/>
        </w:rPr>
        <w:t xml:space="preserve">notekūdeņu </w:t>
      </w:r>
      <w:r w:rsidRPr="001749A1">
        <w:rPr>
          <w:rFonts w:ascii="Times New Roman" w:hAnsi="Times New Roman" w:cs="Times New Roman"/>
        </w:rPr>
        <w:t>dūņu nodošanas “vārtu maksas” aprēķins</w:t>
      </w:r>
      <w:r w:rsidR="00881B76">
        <w:rPr>
          <w:rFonts w:ascii="Times New Roman" w:hAnsi="Times New Roman" w:cs="Times New Roman"/>
        </w:rPr>
        <w:t xml:space="preserve"> (vārtu maksas aprēķinos netika ietverta informācija par BAS “Daugavgrīva”, jo uz to pārvest atūdeņotās dūņas nav paredzēts)</w:t>
      </w:r>
      <w:r w:rsidRPr="001749A1">
        <w:rPr>
          <w:rFonts w:ascii="Times New Roman" w:hAnsi="Times New Roman" w:cs="Times New Roman"/>
        </w:rPr>
        <w:t>. “Vārtu maksas” aprēķinā tiek izmantots</w:t>
      </w:r>
      <w:r w:rsidR="00B45E99" w:rsidRPr="001749A1">
        <w:rPr>
          <w:rFonts w:ascii="Times New Roman" w:hAnsi="Times New Roman" w:cs="Times New Roman"/>
        </w:rPr>
        <w:t xml:space="preserve"> </w:t>
      </w:r>
      <w:r w:rsidRPr="001749A1">
        <w:rPr>
          <w:rFonts w:ascii="Times New Roman" w:hAnsi="Times New Roman" w:cs="Times New Roman"/>
        </w:rPr>
        <w:t xml:space="preserve">teorētiskais vidējais </w:t>
      </w:r>
      <w:r w:rsidR="00B45E99" w:rsidRPr="001749A1">
        <w:rPr>
          <w:rFonts w:ascii="Times New Roman" w:hAnsi="Times New Roman" w:cs="Times New Roman"/>
        </w:rPr>
        <w:t xml:space="preserve">notekūdeņu </w:t>
      </w:r>
      <w:r w:rsidRPr="001749A1">
        <w:rPr>
          <w:rFonts w:ascii="Times New Roman" w:hAnsi="Times New Roman" w:cs="Times New Roman"/>
        </w:rPr>
        <w:t xml:space="preserve">dūņu daudzums visos </w:t>
      </w:r>
      <w:r w:rsidR="00B45E99" w:rsidRPr="001749A1">
        <w:rPr>
          <w:rFonts w:ascii="Times New Roman" w:hAnsi="Times New Roman" w:cs="Times New Roman"/>
        </w:rPr>
        <w:t>pārstrādes</w:t>
      </w:r>
      <w:r w:rsidRPr="001749A1">
        <w:rPr>
          <w:rFonts w:ascii="Times New Roman" w:hAnsi="Times New Roman" w:cs="Times New Roman"/>
        </w:rPr>
        <w:t xml:space="preserve"> centros Latvijā un teorētiskās novērtētās nepieciešamās izmaksas, šādu </w:t>
      </w:r>
      <w:r w:rsidR="00B45E99" w:rsidRPr="001749A1">
        <w:rPr>
          <w:rFonts w:ascii="Times New Roman" w:hAnsi="Times New Roman" w:cs="Times New Roman"/>
        </w:rPr>
        <w:t xml:space="preserve">notekūdeņu </w:t>
      </w:r>
      <w:r w:rsidRPr="001749A1">
        <w:rPr>
          <w:rFonts w:ascii="Times New Roman" w:hAnsi="Times New Roman" w:cs="Times New Roman"/>
        </w:rPr>
        <w:t>dūņu pārstrādei. Veicot aprēķinus, noteikts, ka vidējā “vārtu maksu” D5.alternatīvas gadījumā būs 43,00 EUR par vienu tonnu mehāniski atūdeņotu (18% sausna) dūņu</w:t>
      </w:r>
      <w:r w:rsidR="00B45E99" w:rsidRPr="001749A1">
        <w:rPr>
          <w:rFonts w:ascii="Times New Roman" w:hAnsi="Times New Roman" w:cs="Times New Roman"/>
        </w:rPr>
        <w:t xml:space="preserve"> pārstrādi</w:t>
      </w:r>
      <w:r w:rsidRPr="001749A1">
        <w:rPr>
          <w:rFonts w:ascii="Times New Roman" w:hAnsi="Times New Roman" w:cs="Times New Roman"/>
        </w:rPr>
        <w:t xml:space="preserve">. </w:t>
      </w:r>
      <w:r w:rsidR="00FF5353" w:rsidRPr="00FF5353">
        <w:rPr>
          <w:rFonts w:ascii="Times New Roman" w:hAnsi="Times New Roman" w:cs="Times New Roman"/>
        </w:rPr>
        <w:t>4.1.5</w:t>
      </w:r>
      <w:r w:rsidRPr="001749A1">
        <w:rPr>
          <w:rFonts w:ascii="Times New Roman" w:hAnsi="Times New Roman" w:cs="Times New Roman"/>
        </w:rPr>
        <w:t xml:space="preserve">.attēlā </w:t>
      </w:r>
      <w:r w:rsidR="00B45E99" w:rsidRPr="001749A1">
        <w:rPr>
          <w:rFonts w:ascii="Times New Roman" w:hAnsi="Times New Roman" w:cs="Times New Roman"/>
        </w:rPr>
        <w:t>attēlots</w:t>
      </w:r>
      <w:r w:rsidRPr="001749A1">
        <w:rPr>
          <w:rFonts w:ascii="Times New Roman" w:hAnsi="Times New Roman" w:cs="Times New Roman"/>
        </w:rPr>
        <w:t xml:space="preserve"> 2</w:t>
      </w:r>
      <w:r w:rsidR="008758D4">
        <w:rPr>
          <w:rFonts w:ascii="Times New Roman" w:hAnsi="Times New Roman" w:cs="Times New Roman"/>
        </w:rPr>
        <w:t>7</w:t>
      </w:r>
      <w:r w:rsidRPr="001749A1">
        <w:rPr>
          <w:rFonts w:ascii="Times New Roman" w:hAnsi="Times New Roman" w:cs="Times New Roman"/>
        </w:rPr>
        <w:t xml:space="preserve"> notekūdeņu dūņu pārstrādes centru izvietojumu Latvijā.</w:t>
      </w:r>
    </w:p>
    <w:p w14:paraId="4064FE27" w14:textId="77777777" w:rsidR="002E024E" w:rsidRPr="001749A1" w:rsidRDefault="002E024E" w:rsidP="002E024E">
      <w:pPr>
        <w:rPr>
          <w:rFonts w:ascii="Times New Roman" w:hAnsi="Times New Roman" w:cs="Times New Roman"/>
          <w:lang w:eastAsia="lv-LV"/>
        </w:rPr>
      </w:pPr>
    </w:p>
    <w:p w14:paraId="7D76F1C9" w14:textId="77777777" w:rsidR="00BA6995" w:rsidRPr="00175DD0" w:rsidRDefault="00BA6995" w:rsidP="002E024E">
      <w:pPr>
        <w:rPr>
          <w:lang w:eastAsia="lv-LV"/>
        </w:rPr>
        <w:sectPr w:rsidR="00BA6995" w:rsidRPr="00175DD0" w:rsidSect="007E349D">
          <w:pgSz w:w="11906" w:h="16838"/>
          <w:pgMar w:top="1134" w:right="1701" w:bottom="1134" w:left="1701" w:header="708" w:footer="708" w:gutter="0"/>
          <w:cols w:space="708"/>
          <w:docGrid w:linePitch="360"/>
        </w:sectPr>
      </w:pPr>
    </w:p>
    <w:p w14:paraId="5726A122" w14:textId="77777777" w:rsidR="00BA6995" w:rsidRPr="00175DD0" w:rsidRDefault="00BA6995" w:rsidP="002E024E">
      <w:pPr>
        <w:rPr>
          <w:lang w:eastAsia="lv-LV"/>
        </w:rPr>
      </w:pPr>
      <w:r w:rsidRPr="00175DD0">
        <w:rPr>
          <w:noProof/>
          <w:lang w:eastAsia="lv-LV"/>
        </w:rPr>
        <w:lastRenderedPageBreak/>
        <w:drawing>
          <wp:anchor distT="0" distB="0" distL="114300" distR="114300" simplePos="0" relativeHeight="251658249" behindDoc="1" locked="0" layoutInCell="1" allowOverlap="1" wp14:anchorId="353E8594" wp14:editId="34D6382C">
            <wp:simplePos x="0" y="0"/>
            <wp:positionH relativeFrom="margin">
              <wp:align>center</wp:align>
            </wp:positionH>
            <wp:positionV relativeFrom="paragraph">
              <wp:posOffset>-457200</wp:posOffset>
            </wp:positionV>
            <wp:extent cx="8451196" cy="5979756"/>
            <wp:effectExtent l="0" t="0" r="7620" b="254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8451196" cy="59797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006B99" w14:textId="77777777" w:rsidR="00BA6995" w:rsidRPr="00175DD0" w:rsidRDefault="00BA6995" w:rsidP="00BA6995">
      <w:pPr>
        <w:ind w:firstLine="720"/>
        <w:rPr>
          <w:lang w:eastAsia="lv-LV"/>
        </w:rPr>
      </w:pPr>
    </w:p>
    <w:p w14:paraId="2B2C82AF" w14:textId="77777777" w:rsidR="00BA6995" w:rsidRPr="00175DD0" w:rsidRDefault="00C74540" w:rsidP="00BA6995">
      <w:pPr>
        <w:tabs>
          <w:tab w:val="left" w:pos="870"/>
        </w:tabs>
        <w:rPr>
          <w:lang w:eastAsia="lv-LV"/>
        </w:rPr>
        <w:sectPr w:rsidR="00BA6995" w:rsidRPr="00175DD0" w:rsidSect="007E349D">
          <w:pgSz w:w="16838" w:h="11906" w:orient="landscape"/>
          <w:pgMar w:top="1134" w:right="1701" w:bottom="1134" w:left="1701" w:header="708" w:footer="708" w:gutter="0"/>
          <w:cols w:space="708"/>
          <w:docGrid w:linePitch="360"/>
        </w:sectPr>
      </w:pPr>
      <w:r w:rsidRPr="00175DD0">
        <w:rPr>
          <w:noProof/>
          <w:lang w:eastAsia="lv-LV"/>
        </w:rPr>
        <mc:AlternateContent>
          <mc:Choice Requires="wps">
            <w:drawing>
              <wp:anchor distT="0" distB="0" distL="114300" distR="114300" simplePos="0" relativeHeight="251658250" behindDoc="0" locked="0" layoutInCell="1" allowOverlap="1" wp14:anchorId="58C7DFA8" wp14:editId="78F615D9">
                <wp:simplePos x="0" y="0"/>
                <wp:positionH relativeFrom="margin">
                  <wp:align>center</wp:align>
                </wp:positionH>
                <wp:positionV relativeFrom="paragraph">
                  <wp:posOffset>4796790</wp:posOffset>
                </wp:positionV>
                <wp:extent cx="7077075" cy="304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7077075" cy="304800"/>
                        </a:xfrm>
                        <a:prstGeom prst="rect">
                          <a:avLst/>
                        </a:prstGeom>
                        <a:noFill/>
                        <a:ln w="6350">
                          <a:noFill/>
                        </a:ln>
                        <a:effectLst/>
                      </wps:spPr>
                      <wps:txbx>
                        <w:txbxContent>
                          <w:p w14:paraId="3AD09EED" w14:textId="7CA8384B" w:rsidR="00603B7B" w:rsidRPr="00321405" w:rsidRDefault="00FF5353" w:rsidP="00321405">
                            <w:pPr>
                              <w:jc w:val="center"/>
                              <w:rPr>
                                <w:rFonts w:ascii="Times New Roman" w:hAnsi="Times New Roman" w:cs="Times New Roman"/>
                                <w:iCs/>
                                <w:szCs w:val="24"/>
                              </w:rPr>
                            </w:pPr>
                            <w:r>
                              <w:rPr>
                                <w:rFonts w:ascii="Times New Roman" w:hAnsi="Times New Roman" w:cs="Times New Roman"/>
                                <w:b/>
                                <w:bCs/>
                                <w:iCs/>
                                <w:szCs w:val="24"/>
                              </w:rPr>
                              <w:t>4.1.5</w:t>
                            </w:r>
                            <w:r w:rsidR="00603B7B" w:rsidRPr="00321405">
                              <w:rPr>
                                <w:rFonts w:ascii="Times New Roman" w:hAnsi="Times New Roman" w:cs="Times New Roman"/>
                                <w:b/>
                                <w:bCs/>
                                <w:iCs/>
                                <w:szCs w:val="24"/>
                              </w:rPr>
                              <w:t>.</w:t>
                            </w:r>
                            <w:r w:rsidR="00321405" w:rsidRPr="00321405">
                              <w:rPr>
                                <w:rFonts w:ascii="Times New Roman" w:hAnsi="Times New Roman" w:cs="Times New Roman"/>
                                <w:b/>
                                <w:bCs/>
                                <w:iCs/>
                                <w:szCs w:val="24"/>
                              </w:rPr>
                              <w:t>attēls.</w:t>
                            </w:r>
                            <w:r w:rsidR="00603B7B" w:rsidRPr="00321405">
                              <w:rPr>
                                <w:rFonts w:ascii="Times New Roman" w:hAnsi="Times New Roman" w:cs="Times New Roman"/>
                                <w:iCs/>
                                <w:szCs w:val="24"/>
                              </w:rPr>
                              <w:t xml:space="preserve"> 2</w:t>
                            </w:r>
                            <w:r w:rsidR="00321405" w:rsidRPr="00321405">
                              <w:rPr>
                                <w:rFonts w:ascii="Times New Roman" w:hAnsi="Times New Roman" w:cs="Times New Roman"/>
                                <w:iCs/>
                                <w:szCs w:val="24"/>
                              </w:rPr>
                              <w:t>7</w:t>
                            </w:r>
                            <w:r w:rsidR="00603B7B" w:rsidRPr="00321405">
                              <w:rPr>
                                <w:rFonts w:ascii="Times New Roman" w:hAnsi="Times New Roman" w:cs="Times New Roman"/>
                                <w:iCs/>
                                <w:szCs w:val="24"/>
                              </w:rPr>
                              <w:t xml:space="preserve"> notekūdeņu dūņu pārstrādes centru izvietojums Latvijā</w:t>
                            </w:r>
                          </w:p>
                          <w:p w14:paraId="706DBBD7" w14:textId="77777777" w:rsidR="00603B7B" w:rsidRDefault="00603B7B" w:rsidP="00BA69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C7DFA8" id="Text Box 30" o:spid="_x0000_s1041" type="#_x0000_t202" style="position:absolute;left:0;text-align:left;margin-left:0;margin-top:377.7pt;width:557.25pt;height:24pt;z-index:2516582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" filled="f" stroked="f" strokeweight=".5pt">
                <v:textbox>
                  <w:txbxContent>
                    <w:p w14:paraId="3AD09EED" w14:textId="7CA8384B" w:rsidR="00603B7B" w:rsidRPr="00321405" w:rsidRDefault="00FF5353" w:rsidP="00321405">
                      <w:pPr>
                        <w:jc w:val="center"/>
                        <w:rPr>
                          <w:rFonts w:ascii="Times New Roman" w:hAnsi="Times New Roman" w:cs="Times New Roman"/>
                          <w:iCs/>
                          <w:szCs w:val="24"/>
                        </w:rPr>
                      </w:pPr>
                      <w:r>
                        <w:rPr>
                          <w:rFonts w:ascii="Times New Roman" w:hAnsi="Times New Roman" w:cs="Times New Roman"/>
                          <w:b/>
                          <w:bCs/>
                          <w:iCs/>
                          <w:szCs w:val="24"/>
                        </w:rPr>
                        <w:t>4.1.5</w:t>
                      </w:r>
                      <w:r w:rsidR="00603B7B" w:rsidRPr="00321405">
                        <w:rPr>
                          <w:rFonts w:ascii="Times New Roman" w:hAnsi="Times New Roman" w:cs="Times New Roman"/>
                          <w:b/>
                          <w:bCs/>
                          <w:iCs/>
                          <w:szCs w:val="24"/>
                        </w:rPr>
                        <w:t>.</w:t>
                      </w:r>
                      <w:r w:rsidR="00321405" w:rsidRPr="00321405">
                        <w:rPr>
                          <w:rFonts w:ascii="Times New Roman" w:hAnsi="Times New Roman" w:cs="Times New Roman"/>
                          <w:b/>
                          <w:bCs/>
                          <w:iCs/>
                          <w:szCs w:val="24"/>
                        </w:rPr>
                        <w:t>attēls.</w:t>
                      </w:r>
                      <w:r w:rsidR="00603B7B" w:rsidRPr="00321405">
                        <w:rPr>
                          <w:rFonts w:ascii="Times New Roman" w:hAnsi="Times New Roman" w:cs="Times New Roman"/>
                          <w:iCs/>
                          <w:szCs w:val="24"/>
                        </w:rPr>
                        <w:t xml:space="preserve"> 2</w:t>
                      </w:r>
                      <w:r w:rsidR="00321405" w:rsidRPr="00321405">
                        <w:rPr>
                          <w:rFonts w:ascii="Times New Roman" w:hAnsi="Times New Roman" w:cs="Times New Roman"/>
                          <w:iCs/>
                          <w:szCs w:val="24"/>
                        </w:rPr>
                        <w:t>7</w:t>
                      </w:r>
                      <w:r w:rsidR="00603B7B" w:rsidRPr="00321405">
                        <w:rPr>
                          <w:rFonts w:ascii="Times New Roman" w:hAnsi="Times New Roman" w:cs="Times New Roman"/>
                          <w:iCs/>
                          <w:szCs w:val="24"/>
                        </w:rPr>
                        <w:t xml:space="preserve"> notekūdeņu dūņu pārstrādes centru izvietojums Latvijā</w:t>
                      </w:r>
                    </w:p>
                    <w:p w14:paraId="706DBBD7" w14:textId="77777777" w:rsidR="00603B7B" w:rsidRDefault="00603B7B" w:rsidP="00BA6995"/>
                  </w:txbxContent>
                </v:textbox>
                <w10:wrap anchorx="margin"/>
              </v:shape>
            </w:pict>
          </mc:Fallback>
        </mc:AlternateContent>
      </w:r>
      <w:r w:rsidR="00BA6995" w:rsidRPr="00175DD0">
        <w:rPr>
          <w:lang w:eastAsia="lv-LV"/>
        </w:rPr>
        <w:tab/>
      </w:r>
    </w:p>
    <w:p w14:paraId="659E2C98" w14:textId="77777777" w:rsidR="00BA6995" w:rsidRPr="00175DD0" w:rsidRDefault="00BA6995" w:rsidP="00BA6995">
      <w:pPr>
        <w:pStyle w:val="Heading3"/>
        <w:rPr>
          <w:lang w:eastAsia="lv-LV"/>
        </w:rPr>
      </w:pPr>
    </w:p>
    <w:p w14:paraId="0021B39E" w14:textId="77777777" w:rsidR="004E2B46" w:rsidRPr="000C2FEA" w:rsidRDefault="00BA6995" w:rsidP="000C2FEA">
      <w:pPr>
        <w:spacing w:after="0"/>
        <w:jc w:val="center"/>
        <w:rPr>
          <w:rFonts w:ascii="Times New Roman" w:hAnsi="Times New Roman" w:cs="Times New Roman"/>
          <w:b/>
          <w:bCs/>
          <w:szCs w:val="24"/>
          <w:u w:val="single"/>
        </w:rPr>
      </w:pPr>
      <w:r w:rsidRPr="000C2FEA">
        <w:rPr>
          <w:rFonts w:ascii="Times New Roman" w:hAnsi="Times New Roman" w:cs="Times New Roman"/>
          <w:b/>
          <w:bCs/>
          <w:szCs w:val="24"/>
          <w:u w:val="single"/>
        </w:rPr>
        <w:t>Secinājumi par notekūdeņu dūņu centralizācijas alternatīvām</w:t>
      </w:r>
    </w:p>
    <w:p w14:paraId="4ADB9821" w14:textId="77777777" w:rsidR="000C2FEA" w:rsidRDefault="000C2FEA" w:rsidP="000C2FEA">
      <w:pPr>
        <w:spacing w:after="0"/>
        <w:ind w:firstLine="720"/>
        <w:rPr>
          <w:rFonts w:ascii="Times New Roman" w:eastAsia="Calibri" w:hAnsi="Times New Roman" w:cs="Times New Roman"/>
          <w:lang w:eastAsia="lv-LV"/>
        </w:rPr>
      </w:pPr>
    </w:p>
    <w:p w14:paraId="27F45332" w14:textId="1016B2BD" w:rsidR="00BA6995" w:rsidRPr="000C2FEA" w:rsidRDefault="00BA6995" w:rsidP="000C2FEA">
      <w:pPr>
        <w:spacing w:after="0"/>
        <w:ind w:firstLine="720"/>
        <w:rPr>
          <w:rFonts w:ascii="Times New Roman" w:eastAsia="Calibri" w:hAnsi="Times New Roman" w:cs="Times New Roman"/>
          <w:lang w:eastAsia="lv-LV"/>
        </w:rPr>
      </w:pPr>
      <w:r w:rsidRPr="000C2FEA">
        <w:rPr>
          <w:rFonts w:ascii="Times New Roman" w:eastAsia="Calibri" w:hAnsi="Times New Roman" w:cs="Times New Roman"/>
          <w:lang w:eastAsia="lv-LV"/>
        </w:rPr>
        <w:t xml:space="preserve">Izvēlētā alternatīva D5 </w:t>
      </w:r>
      <w:r w:rsidR="007C134F" w:rsidRPr="000C2FEA">
        <w:rPr>
          <w:rFonts w:ascii="Times New Roman" w:eastAsia="Calibri" w:hAnsi="Times New Roman" w:cs="Times New Roman"/>
          <w:lang w:eastAsia="lv-LV"/>
        </w:rPr>
        <w:t>jeb</w:t>
      </w:r>
      <w:r w:rsidRPr="000C2FEA">
        <w:rPr>
          <w:rFonts w:ascii="Times New Roman" w:eastAsia="Calibri" w:hAnsi="Times New Roman" w:cs="Times New Roman"/>
          <w:lang w:eastAsia="lv-LV"/>
        </w:rPr>
        <w:t xml:space="preserve"> 2</w:t>
      </w:r>
      <w:r w:rsidR="00A55F2A">
        <w:rPr>
          <w:rFonts w:ascii="Times New Roman" w:eastAsia="Calibri" w:hAnsi="Times New Roman" w:cs="Times New Roman"/>
          <w:lang w:eastAsia="lv-LV"/>
        </w:rPr>
        <w:t>7</w:t>
      </w:r>
      <w:r w:rsidRPr="000C2FEA">
        <w:rPr>
          <w:rFonts w:ascii="Times New Roman" w:eastAsia="Calibri" w:hAnsi="Times New Roman" w:cs="Times New Roman"/>
          <w:lang w:eastAsia="lv-LV"/>
        </w:rPr>
        <w:t xml:space="preserve">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 xml:space="preserve">dūņu pārstrādes centru izveide nodrošina </w:t>
      </w:r>
      <w:r w:rsidR="007C134F" w:rsidRPr="000C2FEA">
        <w:rPr>
          <w:rFonts w:ascii="Times New Roman" w:eastAsia="Calibri" w:hAnsi="Times New Roman" w:cs="Times New Roman"/>
          <w:lang w:eastAsia="lv-LV"/>
        </w:rPr>
        <w:t>loģisku un saprotamu</w:t>
      </w:r>
      <w:r w:rsidRPr="000C2FEA">
        <w:rPr>
          <w:rFonts w:ascii="Times New Roman" w:eastAsia="Calibri" w:hAnsi="Times New Roman" w:cs="Times New Roman"/>
          <w:lang w:eastAsia="lv-LV"/>
        </w:rPr>
        <w:t xml:space="preserve"> vis</w:t>
      </w:r>
      <w:r w:rsidR="007C134F" w:rsidRPr="000C2FEA">
        <w:rPr>
          <w:rFonts w:ascii="Times New Roman" w:eastAsia="Calibri" w:hAnsi="Times New Roman" w:cs="Times New Roman"/>
          <w:lang w:eastAsia="lv-LV"/>
        </w:rPr>
        <w:t>u</w:t>
      </w:r>
      <w:r w:rsidRPr="000C2FEA">
        <w:rPr>
          <w:rFonts w:ascii="Times New Roman" w:eastAsia="Calibri" w:hAnsi="Times New Roman" w:cs="Times New Roman"/>
          <w:lang w:eastAsia="lv-LV"/>
        </w:rPr>
        <w:t xml:space="preserve"> Latvijas notekūdeņu dūņu savākšanu un pārstrādi</w:t>
      </w:r>
      <w:r w:rsidR="007C134F" w:rsidRPr="000C2FEA">
        <w:rPr>
          <w:rFonts w:ascii="Times New Roman" w:eastAsia="Calibri" w:hAnsi="Times New Roman" w:cs="Times New Roman"/>
          <w:lang w:eastAsia="lv-LV"/>
        </w:rPr>
        <w:t xml:space="preserve"> </w:t>
      </w:r>
      <w:r w:rsidRPr="000C2FEA">
        <w:rPr>
          <w:rFonts w:ascii="Times New Roman" w:eastAsia="Calibri" w:hAnsi="Times New Roman" w:cs="Times New Roman"/>
          <w:lang w:eastAsia="lv-LV"/>
        </w:rPr>
        <w:t>izmaksu ziņā efektīv</w:t>
      </w:r>
      <w:r w:rsidR="007C134F" w:rsidRPr="000C2FEA">
        <w:rPr>
          <w:rFonts w:ascii="Times New Roman" w:eastAsia="Calibri" w:hAnsi="Times New Roman" w:cs="Times New Roman"/>
          <w:lang w:eastAsia="lv-LV"/>
        </w:rPr>
        <w:t>ā veidā</w:t>
      </w:r>
      <w:r w:rsidRPr="000C2FEA">
        <w:rPr>
          <w:rFonts w:ascii="Times New Roman" w:eastAsia="Calibri" w:hAnsi="Times New Roman" w:cs="Times New Roman"/>
          <w:lang w:eastAsia="lv-LV"/>
        </w:rPr>
        <w:t>. Vis</w:t>
      </w:r>
      <w:r w:rsidR="00D34D42">
        <w:rPr>
          <w:rFonts w:ascii="Times New Roman" w:eastAsia="Calibri" w:hAnsi="Times New Roman" w:cs="Times New Roman"/>
          <w:lang w:eastAsia="lv-LV"/>
        </w:rPr>
        <w:t>i</w:t>
      </w:r>
      <w:r w:rsidRPr="000C2FEA">
        <w:rPr>
          <w:rFonts w:ascii="Times New Roman" w:eastAsia="Calibri" w:hAnsi="Times New Roman" w:cs="Times New Roman"/>
          <w:lang w:eastAsia="lv-LV"/>
        </w:rPr>
        <w:t xml:space="preserve"> 2</w:t>
      </w:r>
      <w:r w:rsidR="008F146E">
        <w:rPr>
          <w:rFonts w:ascii="Times New Roman" w:eastAsia="Calibri" w:hAnsi="Times New Roman" w:cs="Times New Roman"/>
          <w:lang w:eastAsia="lv-LV"/>
        </w:rPr>
        <w:t>6</w:t>
      </w:r>
      <w:r w:rsidR="001664FD">
        <w:rPr>
          <w:rFonts w:ascii="Times New Roman" w:eastAsia="Calibri" w:hAnsi="Times New Roman" w:cs="Times New Roman"/>
          <w:lang w:eastAsia="lv-LV"/>
        </w:rPr>
        <w:t xml:space="preserve"> </w:t>
      </w:r>
      <w:r w:rsidR="009A6636">
        <w:rPr>
          <w:rFonts w:ascii="Times New Roman" w:eastAsia="Calibri" w:hAnsi="Times New Roman" w:cs="Times New Roman"/>
          <w:lang w:eastAsia="lv-LV"/>
        </w:rPr>
        <w:t>dūņu pārstrādes</w:t>
      </w:r>
      <w:r w:rsidR="00D34D42">
        <w:rPr>
          <w:rFonts w:ascii="Times New Roman" w:eastAsia="Calibri" w:hAnsi="Times New Roman" w:cs="Times New Roman"/>
          <w:lang w:eastAsia="lv-LV"/>
        </w:rPr>
        <w:t xml:space="preserve"> centri</w:t>
      </w:r>
      <w:r w:rsidR="001664FD">
        <w:rPr>
          <w:rFonts w:ascii="Times New Roman" w:eastAsia="Calibri" w:hAnsi="Times New Roman" w:cs="Times New Roman"/>
          <w:lang w:eastAsia="lv-LV"/>
        </w:rPr>
        <w:t>, kur</w:t>
      </w:r>
      <w:r w:rsidR="00D34D42">
        <w:rPr>
          <w:rFonts w:ascii="Times New Roman" w:eastAsia="Calibri" w:hAnsi="Times New Roman" w:cs="Times New Roman"/>
          <w:lang w:eastAsia="lv-LV"/>
        </w:rPr>
        <w:t>os</w:t>
      </w:r>
      <w:r w:rsidR="001664FD">
        <w:rPr>
          <w:rFonts w:ascii="Times New Roman" w:eastAsia="Calibri" w:hAnsi="Times New Roman" w:cs="Times New Roman"/>
          <w:lang w:eastAsia="lv-LV"/>
        </w:rPr>
        <w:t xml:space="preserve"> plānota dūņu koncentrēšana no apkārtējām NAI</w:t>
      </w:r>
      <w:r w:rsidR="009A6636">
        <w:rPr>
          <w:rFonts w:ascii="Times New Roman" w:eastAsia="Calibri" w:hAnsi="Times New Roman" w:cs="Times New Roman"/>
          <w:lang w:eastAsia="lv-LV"/>
        </w:rPr>
        <w:t>,</w:t>
      </w:r>
      <w:r w:rsidRPr="000C2FEA">
        <w:rPr>
          <w:rFonts w:ascii="Times New Roman" w:eastAsia="Calibri" w:hAnsi="Times New Roman" w:cs="Times New Roman"/>
          <w:lang w:eastAsia="lv-LV"/>
        </w:rPr>
        <w:t xml:space="preserve"> </w:t>
      </w:r>
      <w:r w:rsidR="007C134F" w:rsidRPr="000C2FEA">
        <w:rPr>
          <w:rFonts w:ascii="Times New Roman" w:eastAsia="Calibri" w:hAnsi="Times New Roman" w:cs="Times New Roman"/>
          <w:lang w:eastAsia="lv-LV"/>
        </w:rPr>
        <w:t>tika</w:t>
      </w:r>
      <w:r w:rsidRPr="000C2FEA">
        <w:rPr>
          <w:rFonts w:ascii="Times New Roman" w:eastAsia="Calibri" w:hAnsi="Times New Roman" w:cs="Times New Roman"/>
          <w:lang w:eastAsia="lv-LV"/>
        </w:rPr>
        <w:t xml:space="preserve"> </w:t>
      </w:r>
      <w:r w:rsidR="00D34D42" w:rsidRPr="000C2FEA">
        <w:rPr>
          <w:rFonts w:ascii="Times New Roman" w:eastAsia="Calibri" w:hAnsi="Times New Roman" w:cs="Times New Roman"/>
          <w:lang w:eastAsia="lv-LV"/>
        </w:rPr>
        <w:t>novērtēt</w:t>
      </w:r>
      <w:r w:rsidR="00D34D42">
        <w:rPr>
          <w:rFonts w:ascii="Times New Roman" w:eastAsia="Calibri" w:hAnsi="Times New Roman" w:cs="Times New Roman"/>
          <w:lang w:eastAsia="lv-LV"/>
        </w:rPr>
        <w:t>i</w:t>
      </w:r>
      <w:r w:rsidR="00D34D42" w:rsidRPr="000C2FEA">
        <w:rPr>
          <w:rFonts w:ascii="Times New Roman" w:eastAsia="Calibri" w:hAnsi="Times New Roman" w:cs="Times New Roman"/>
          <w:lang w:eastAsia="lv-LV"/>
        </w:rPr>
        <w:t xml:space="preserve"> </w:t>
      </w:r>
      <w:r w:rsidRPr="000C2FEA">
        <w:rPr>
          <w:rFonts w:ascii="Times New Roman" w:eastAsia="Calibri" w:hAnsi="Times New Roman" w:cs="Times New Roman"/>
          <w:lang w:eastAsia="lv-LV"/>
        </w:rPr>
        <w:t>arī individuāli, izskatot risinājumu apvienot tuvāk esošo</w:t>
      </w:r>
      <w:r w:rsidR="007C134F" w:rsidRPr="000C2FEA">
        <w:rPr>
          <w:rFonts w:ascii="Times New Roman" w:eastAsia="Calibri" w:hAnsi="Times New Roman" w:cs="Times New Roman"/>
          <w:lang w:eastAsia="lv-LV"/>
        </w:rPr>
        <w:t>s</w:t>
      </w:r>
      <w:r w:rsidRPr="000C2FEA">
        <w:rPr>
          <w:rFonts w:ascii="Times New Roman" w:eastAsia="Calibri" w:hAnsi="Times New Roman" w:cs="Times New Roman"/>
          <w:lang w:eastAsia="lv-LV"/>
        </w:rPr>
        <w:t xml:space="preserve">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pārstrādes centru</w:t>
      </w:r>
      <w:r w:rsidR="007C134F" w:rsidRPr="000C2FEA">
        <w:rPr>
          <w:rFonts w:ascii="Times New Roman" w:eastAsia="Calibri" w:hAnsi="Times New Roman" w:cs="Times New Roman"/>
          <w:lang w:eastAsia="lv-LV"/>
        </w:rPr>
        <w:t>s</w:t>
      </w:r>
      <w:r w:rsidRPr="000C2FEA">
        <w:rPr>
          <w:rFonts w:ascii="Times New Roman" w:eastAsia="Calibri" w:hAnsi="Times New Roman" w:cs="Times New Roman"/>
          <w:lang w:eastAsia="lv-LV"/>
        </w:rPr>
        <w:t xml:space="preserve">. Pie esošās situācijas un pieņemtajiem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 xml:space="preserve">dūņu pārstrādes un utilizācijas risinājumiem šī </w:t>
      </w:r>
      <w:r w:rsidR="007C134F" w:rsidRPr="000C2FEA">
        <w:rPr>
          <w:rFonts w:ascii="Times New Roman" w:eastAsia="Calibri" w:hAnsi="Times New Roman" w:cs="Times New Roman"/>
          <w:lang w:eastAsia="lv-LV"/>
        </w:rPr>
        <w:t>novērtējama, kā piemērotākā</w:t>
      </w:r>
      <w:r w:rsidRPr="000C2FEA">
        <w:rPr>
          <w:rFonts w:ascii="Times New Roman" w:eastAsia="Calibri" w:hAnsi="Times New Roman" w:cs="Times New Roman"/>
          <w:lang w:eastAsia="lv-LV"/>
        </w:rPr>
        <w:t xml:space="preserve">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 xml:space="preserve">dūņu centralizācijas alternatīva Latvijā. </w:t>
      </w:r>
    </w:p>
    <w:p w14:paraId="632871BE" w14:textId="4D03C1DD" w:rsidR="00BA6995" w:rsidRPr="000C2FEA" w:rsidRDefault="00BA6995" w:rsidP="00BA6995">
      <w:pPr>
        <w:spacing w:before="120" w:after="120"/>
        <w:ind w:firstLine="720"/>
        <w:rPr>
          <w:rFonts w:ascii="Times New Roman" w:eastAsia="Calibri" w:hAnsi="Times New Roman" w:cs="Times New Roman"/>
          <w:lang w:eastAsia="lv-LV"/>
        </w:rPr>
      </w:pPr>
      <w:r w:rsidRPr="000C2FEA">
        <w:rPr>
          <w:rFonts w:ascii="Times New Roman" w:eastAsia="Calibri" w:hAnsi="Times New Roman" w:cs="Times New Roman"/>
          <w:lang w:eastAsia="lv-LV"/>
        </w:rPr>
        <w:t>2</w:t>
      </w:r>
      <w:r w:rsidR="00482256">
        <w:rPr>
          <w:rFonts w:ascii="Times New Roman" w:eastAsia="Calibri" w:hAnsi="Times New Roman" w:cs="Times New Roman"/>
          <w:lang w:eastAsia="lv-LV"/>
        </w:rPr>
        <w:t xml:space="preserve">6+1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pārstrādes centru izveidošana Latvijā šobrīd nav paredzēta nevienā</w:t>
      </w:r>
      <w:r w:rsidR="007C134F" w:rsidRPr="000C2FEA">
        <w:rPr>
          <w:rFonts w:ascii="Times New Roman" w:eastAsia="Calibri" w:hAnsi="Times New Roman" w:cs="Times New Roman"/>
          <w:lang w:eastAsia="lv-LV"/>
        </w:rPr>
        <w:t xml:space="preserve"> </w:t>
      </w:r>
      <w:r w:rsidRPr="000C2FEA">
        <w:rPr>
          <w:rFonts w:ascii="Times New Roman" w:eastAsia="Calibri" w:hAnsi="Times New Roman" w:cs="Times New Roman"/>
          <w:lang w:eastAsia="lv-LV"/>
        </w:rPr>
        <w:t xml:space="preserve">normatīvajā aktā, kas nozīmē, ka šāds sadalījums un attiecīgais normatīvais regulējums </w:t>
      </w:r>
      <w:r w:rsidR="007C134F" w:rsidRPr="000C2FEA">
        <w:rPr>
          <w:rFonts w:ascii="Times New Roman" w:eastAsia="Calibri" w:hAnsi="Times New Roman" w:cs="Times New Roman"/>
          <w:lang w:eastAsia="lv-LV"/>
        </w:rPr>
        <w:t>ir</w:t>
      </w:r>
      <w:r w:rsidRPr="000C2FEA">
        <w:rPr>
          <w:rFonts w:ascii="Times New Roman" w:eastAsia="Calibri" w:hAnsi="Times New Roman" w:cs="Times New Roman"/>
          <w:lang w:eastAsia="lv-LV"/>
        </w:rPr>
        <w:t xml:space="preserve"> jāizstrādā. Ņemot vērā, ka 2</w:t>
      </w:r>
      <w:r w:rsidR="00540275">
        <w:rPr>
          <w:rFonts w:ascii="Times New Roman" w:eastAsia="Calibri" w:hAnsi="Times New Roman" w:cs="Times New Roman"/>
          <w:lang w:eastAsia="lv-LV"/>
        </w:rPr>
        <w:t>7</w:t>
      </w:r>
      <w:r w:rsidRPr="000C2FEA">
        <w:rPr>
          <w:rFonts w:ascii="Times New Roman" w:eastAsia="Calibri" w:hAnsi="Times New Roman" w:cs="Times New Roman"/>
          <w:lang w:eastAsia="lv-LV"/>
        </w:rPr>
        <w:t xml:space="preserve"> centru veidošana saistīta ar </w:t>
      </w:r>
      <w:r w:rsidR="007C134F" w:rsidRPr="000C2FEA">
        <w:rPr>
          <w:rFonts w:ascii="Times New Roman" w:eastAsia="Calibri" w:hAnsi="Times New Roman" w:cs="Times New Roman"/>
          <w:lang w:eastAsia="lv-LV"/>
        </w:rPr>
        <w:t xml:space="preserve">papildus finansiāliem ieguldījumiem, tad šāds </w:t>
      </w:r>
      <w:r w:rsidR="006042FA" w:rsidRPr="000C2FEA">
        <w:rPr>
          <w:rFonts w:ascii="Times New Roman" w:eastAsia="Calibri" w:hAnsi="Times New Roman" w:cs="Times New Roman"/>
          <w:lang w:eastAsia="lv-LV"/>
        </w:rPr>
        <w:t>notekūdeņu</w:t>
      </w:r>
      <w:r w:rsidRPr="000C2FEA">
        <w:rPr>
          <w:rFonts w:ascii="Times New Roman" w:eastAsia="Calibri" w:hAnsi="Times New Roman" w:cs="Times New Roman"/>
          <w:lang w:eastAsia="lv-LV"/>
        </w:rPr>
        <w:t xml:space="preserve"> dūņu pārstrādes centru princips būtu jāiestrādā normatīvajos aktos ar kuriem tiktu paredzēta atbilstoša ārējā finansējuma </w:t>
      </w:r>
      <w:r w:rsidR="007C134F" w:rsidRPr="000C2FEA">
        <w:rPr>
          <w:rFonts w:ascii="Times New Roman" w:eastAsia="Calibri" w:hAnsi="Times New Roman" w:cs="Times New Roman"/>
          <w:lang w:eastAsia="lv-LV"/>
        </w:rPr>
        <w:t>piesaiste</w:t>
      </w:r>
      <w:r w:rsidRPr="000C2FEA">
        <w:rPr>
          <w:rFonts w:ascii="Times New Roman" w:eastAsia="Calibri" w:hAnsi="Times New Roman" w:cs="Times New Roman"/>
          <w:lang w:eastAsia="lv-LV"/>
        </w:rPr>
        <w:t xml:space="preserve">. Papildus normatīvajos aktos būtu precīzi nosakāms, ka visām Latvijas notekūdeņu dūņām ir jānonāk notekūdeņu dūņu pārstrādes centros un tās nevar tikt pārstrādātas citur, izņemot gadījumus, kad tiek izmantoti ekonomiski izdevīgāki ārpakalpojumu sniedzēju (skat. A1 un A2 alternatīvas) piedāvātie pakalpojumi, kuru darbība un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pārstrādes kvalitāte tiktu kontrolēta līdzīgi, kā notek</w:t>
      </w:r>
      <w:r w:rsidR="007C134F" w:rsidRPr="000C2FEA">
        <w:rPr>
          <w:rFonts w:ascii="Times New Roman" w:eastAsia="Calibri" w:hAnsi="Times New Roman" w:cs="Times New Roman"/>
          <w:lang w:eastAsia="lv-LV"/>
        </w:rPr>
        <w:t>ū</w:t>
      </w:r>
      <w:r w:rsidRPr="000C2FEA">
        <w:rPr>
          <w:rFonts w:ascii="Times New Roman" w:eastAsia="Calibri" w:hAnsi="Times New Roman" w:cs="Times New Roman"/>
          <w:lang w:eastAsia="lv-LV"/>
        </w:rPr>
        <w:t>deņu dūņu pārstrādes centros.</w:t>
      </w:r>
    </w:p>
    <w:p w14:paraId="21A06050" w14:textId="7A3D4BC7" w:rsidR="00BA6995" w:rsidRPr="000C2FEA" w:rsidRDefault="00BA6995" w:rsidP="00BA6995">
      <w:pPr>
        <w:spacing w:before="120" w:after="120"/>
        <w:ind w:firstLine="720"/>
        <w:rPr>
          <w:rFonts w:ascii="Times New Roman" w:eastAsia="Calibri" w:hAnsi="Times New Roman" w:cs="Times New Roman"/>
          <w:lang w:eastAsia="lv-LV"/>
        </w:rPr>
      </w:pPr>
      <w:r w:rsidRPr="000C2FEA">
        <w:rPr>
          <w:rFonts w:ascii="Times New Roman" w:eastAsia="Calibri" w:hAnsi="Times New Roman" w:cs="Times New Roman"/>
          <w:lang w:eastAsia="lv-LV"/>
        </w:rPr>
        <w:t>2</w:t>
      </w:r>
      <w:r w:rsidR="002A3F79">
        <w:rPr>
          <w:rFonts w:ascii="Times New Roman" w:eastAsia="Calibri" w:hAnsi="Times New Roman" w:cs="Times New Roman"/>
          <w:lang w:eastAsia="lv-LV"/>
        </w:rPr>
        <w:t>6+1</w:t>
      </w:r>
      <w:r w:rsidRPr="000C2FEA">
        <w:rPr>
          <w:rFonts w:ascii="Times New Roman" w:eastAsia="Calibri" w:hAnsi="Times New Roman" w:cs="Times New Roman"/>
          <w:lang w:eastAsia="lv-LV"/>
        </w:rPr>
        <w:t xml:space="preserve"> </w:t>
      </w:r>
      <w:r w:rsidR="007C134F"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pārstrādes centru izveidošana paredz būtiskas izmaiņas esošajā</w:t>
      </w:r>
      <w:r w:rsidR="007C134F" w:rsidRPr="000C2FEA">
        <w:rPr>
          <w:rFonts w:ascii="Times New Roman" w:eastAsia="Calibri" w:hAnsi="Times New Roman" w:cs="Times New Roman"/>
          <w:lang w:eastAsia="lv-LV"/>
        </w:rPr>
        <w:t xml:space="preserve"> </w:t>
      </w:r>
      <w:r w:rsidR="007C134F" w:rsidRPr="000C2FEA">
        <w:rPr>
          <w:rFonts w:ascii="Times New Roman" w:hAnsi="Times New Roman" w:cs="Times New Roman"/>
        </w:rPr>
        <w:t>notekūdeņu</w:t>
      </w:r>
      <w:r w:rsidRPr="000C2FEA">
        <w:rPr>
          <w:rFonts w:ascii="Times New Roman" w:eastAsia="Calibri" w:hAnsi="Times New Roman" w:cs="Times New Roman"/>
          <w:lang w:eastAsia="lv-LV"/>
        </w:rPr>
        <w:t xml:space="preserve"> dūņu apsaimniekošanas pārvaldībā. </w:t>
      </w:r>
      <w:r w:rsidR="007C134F" w:rsidRPr="000C2FEA">
        <w:rPr>
          <w:rFonts w:ascii="Times New Roman" w:eastAsia="Calibri" w:hAnsi="Times New Roman" w:cs="Times New Roman"/>
          <w:lang w:eastAsia="lv-LV"/>
        </w:rPr>
        <w:t>S</w:t>
      </w:r>
      <w:r w:rsidRPr="000C2FEA">
        <w:rPr>
          <w:rFonts w:ascii="Times New Roman" w:eastAsia="Calibri" w:hAnsi="Times New Roman" w:cs="Times New Roman"/>
          <w:lang w:eastAsia="lv-LV"/>
        </w:rPr>
        <w:t xml:space="preserve">agaidāms, ka atsevišķām pašvaldībām vai SPS </w:t>
      </w:r>
      <w:r w:rsidR="007C134F" w:rsidRPr="000C2FEA">
        <w:rPr>
          <w:rFonts w:ascii="Times New Roman" w:eastAsia="Calibri" w:hAnsi="Times New Roman" w:cs="Times New Roman"/>
          <w:lang w:eastAsia="lv-LV"/>
        </w:rPr>
        <w:t xml:space="preserve">tas </w:t>
      </w:r>
      <w:r w:rsidRPr="000C2FEA">
        <w:rPr>
          <w:rFonts w:ascii="Times New Roman" w:eastAsia="Calibri" w:hAnsi="Times New Roman" w:cs="Times New Roman"/>
          <w:lang w:eastAsia="lv-LV"/>
        </w:rPr>
        <w:t>var nebūt pieņemam</w:t>
      </w:r>
      <w:r w:rsidR="007C134F" w:rsidRPr="000C2FEA">
        <w:rPr>
          <w:rFonts w:ascii="Times New Roman" w:eastAsia="Calibri" w:hAnsi="Times New Roman" w:cs="Times New Roman"/>
          <w:lang w:eastAsia="lv-LV"/>
        </w:rPr>
        <w:t>s vai</w:t>
      </w:r>
      <w:r w:rsidRPr="000C2FEA">
        <w:rPr>
          <w:rFonts w:ascii="Times New Roman" w:eastAsia="Calibri" w:hAnsi="Times New Roman" w:cs="Times New Roman"/>
          <w:lang w:eastAsia="lv-LV"/>
        </w:rPr>
        <w:t xml:space="preserve"> grūti izprotams apsaimniekošanas risinājums, un kā jebkuras izmaiņas, arī šīs rada nepieciešamību pierast pie jaunajiem apstākļiem. To ietekmēs arī nepieciešamība transportēt slapjas</w:t>
      </w:r>
      <w:r w:rsidR="007C134F" w:rsidRPr="000C2FEA">
        <w:rPr>
          <w:rFonts w:ascii="Times New Roman" w:eastAsia="Calibri" w:hAnsi="Times New Roman" w:cs="Times New Roman"/>
          <w:lang w:eastAsia="lv-LV"/>
        </w:rPr>
        <w:t xml:space="preserve"> </w:t>
      </w:r>
      <w:r w:rsidR="007C134F" w:rsidRPr="000C2FEA">
        <w:rPr>
          <w:rFonts w:ascii="Times New Roman" w:hAnsi="Times New Roman" w:cs="Times New Roman"/>
        </w:rPr>
        <w:t>notekūdeņu</w:t>
      </w:r>
      <w:r w:rsidRPr="000C2FEA">
        <w:rPr>
          <w:rFonts w:ascii="Times New Roman" w:eastAsia="Calibri" w:hAnsi="Times New Roman" w:cs="Times New Roman"/>
          <w:lang w:eastAsia="lv-LV"/>
        </w:rPr>
        <w:t xml:space="preserve"> dūņas un nodrošināt to mehānisku atūdeņošanu</w:t>
      </w:r>
      <w:r w:rsidR="007C134F" w:rsidRPr="000C2FEA">
        <w:rPr>
          <w:rFonts w:ascii="Times New Roman" w:eastAsia="Calibri" w:hAnsi="Times New Roman" w:cs="Times New Roman"/>
          <w:lang w:eastAsia="lv-LV"/>
        </w:rPr>
        <w:t>, kas līdz šim ne visās NAI ir ticis veikts, pat, ja ir pieejams atbilstošs tehniskais nodrošinājums.</w:t>
      </w:r>
      <w:r w:rsidRPr="000C2FEA">
        <w:rPr>
          <w:rFonts w:ascii="Times New Roman" w:eastAsia="Calibri" w:hAnsi="Times New Roman" w:cs="Times New Roman"/>
          <w:lang w:eastAsia="lv-LV"/>
        </w:rPr>
        <w:t xml:space="preserve"> Kopumā </w:t>
      </w:r>
      <w:r w:rsidR="007C134F" w:rsidRPr="000C2FEA">
        <w:rPr>
          <w:rFonts w:ascii="Times New Roman" w:eastAsia="Calibri" w:hAnsi="Times New Roman" w:cs="Times New Roman"/>
          <w:lang w:eastAsia="lv-LV"/>
        </w:rPr>
        <w:t>šāda stratēģiskā</w:t>
      </w:r>
      <w:r w:rsidRPr="000C2FEA">
        <w:rPr>
          <w:rFonts w:ascii="Times New Roman" w:eastAsia="Calibri" w:hAnsi="Times New Roman" w:cs="Times New Roman"/>
          <w:lang w:eastAsia="lv-LV"/>
        </w:rPr>
        <w:t xml:space="preserve"> risinājuma ieviešana nav iespējama bez būtisk</w:t>
      </w:r>
      <w:r w:rsidR="00BF5E0C" w:rsidRPr="000C2FEA">
        <w:rPr>
          <w:rFonts w:ascii="Times New Roman" w:eastAsia="Calibri" w:hAnsi="Times New Roman" w:cs="Times New Roman"/>
          <w:lang w:eastAsia="lv-LV"/>
        </w:rPr>
        <w:t>a</w:t>
      </w:r>
      <w:r w:rsidRPr="000C2FEA">
        <w:rPr>
          <w:rFonts w:ascii="Times New Roman" w:eastAsia="Calibri" w:hAnsi="Times New Roman" w:cs="Times New Roman"/>
          <w:lang w:eastAsia="lv-LV"/>
        </w:rPr>
        <w:t xml:space="preserve"> ārējā, t.sk. finanšu atbalsta</w:t>
      </w:r>
      <w:r w:rsidR="007C134F" w:rsidRPr="000C2FEA">
        <w:rPr>
          <w:rFonts w:ascii="Times New Roman" w:eastAsia="Calibri" w:hAnsi="Times New Roman" w:cs="Times New Roman"/>
          <w:lang w:eastAsia="lv-LV"/>
        </w:rPr>
        <w:t>, jo atbilstošā infrastruktūra un uzraudzības</w:t>
      </w:r>
      <w:r w:rsidR="00BF5E0C" w:rsidRPr="000C2FEA">
        <w:rPr>
          <w:rFonts w:ascii="Times New Roman" w:eastAsia="Calibri" w:hAnsi="Times New Roman" w:cs="Times New Roman"/>
          <w:lang w:eastAsia="lv-LV"/>
        </w:rPr>
        <w:t xml:space="preserve"> </w:t>
      </w:r>
      <w:r w:rsidR="007C134F" w:rsidRPr="000C2FEA">
        <w:rPr>
          <w:rFonts w:ascii="Times New Roman" w:eastAsia="Calibri" w:hAnsi="Times New Roman" w:cs="Times New Roman"/>
          <w:lang w:eastAsia="lv-LV"/>
        </w:rPr>
        <w:t>s</w:t>
      </w:r>
      <w:r w:rsidRPr="000C2FEA">
        <w:rPr>
          <w:rFonts w:ascii="Times New Roman" w:eastAsia="Calibri" w:hAnsi="Times New Roman" w:cs="Times New Roman"/>
          <w:lang w:eastAsia="lv-LV"/>
        </w:rPr>
        <w:t xml:space="preserve">istēmas </w:t>
      </w:r>
      <w:r w:rsidR="00BF5E0C" w:rsidRPr="000C2FEA">
        <w:rPr>
          <w:rFonts w:ascii="Times New Roman" w:eastAsia="Calibri" w:hAnsi="Times New Roman" w:cs="Times New Roman"/>
          <w:lang w:eastAsia="lv-LV"/>
        </w:rPr>
        <w:t>visā</w:t>
      </w:r>
      <w:r w:rsidRPr="000C2FEA">
        <w:rPr>
          <w:rFonts w:ascii="Times New Roman" w:eastAsia="Calibri" w:hAnsi="Times New Roman" w:cs="Times New Roman"/>
          <w:lang w:eastAsia="lv-LV"/>
        </w:rPr>
        <w:t xml:space="preserve"> valstī </w:t>
      </w:r>
      <w:r w:rsidR="007C134F" w:rsidRPr="000C2FEA">
        <w:rPr>
          <w:rFonts w:ascii="Times New Roman" w:eastAsia="Calibri" w:hAnsi="Times New Roman" w:cs="Times New Roman"/>
          <w:lang w:eastAsia="lv-LV"/>
        </w:rPr>
        <w:t>jāveic</w:t>
      </w:r>
      <w:r w:rsidRPr="000C2FEA">
        <w:rPr>
          <w:rFonts w:ascii="Times New Roman" w:eastAsia="Calibri" w:hAnsi="Times New Roman" w:cs="Times New Roman"/>
          <w:lang w:eastAsia="lv-LV"/>
        </w:rPr>
        <w:t xml:space="preserve"> vienlaicīgi. Alternatīvas ieviešanai būs nepieciešamas arī būtiskas </w:t>
      </w:r>
      <w:r w:rsidR="006E29BD" w:rsidRPr="000C2FEA">
        <w:rPr>
          <w:rFonts w:ascii="Times New Roman" w:eastAsia="Calibri" w:hAnsi="Times New Roman" w:cs="Times New Roman"/>
          <w:lang w:eastAsia="lv-LV"/>
        </w:rPr>
        <w:t xml:space="preserve">papildus </w:t>
      </w:r>
      <w:r w:rsidRPr="000C2FEA">
        <w:rPr>
          <w:rFonts w:ascii="Times New Roman" w:eastAsia="Calibri" w:hAnsi="Times New Roman" w:cs="Times New Roman"/>
          <w:lang w:eastAsia="lv-LV"/>
        </w:rPr>
        <w:t>zemes platības</w:t>
      </w:r>
      <w:r w:rsidR="006E29BD" w:rsidRPr="000C2FEA">
        <w:rPr>
          <w:rFonts w:ascii="Times New Roman" w:eastAsia="Calibri" w:hAnsi="Times New Roman" w:cs="Times New Roman"/>
          <w:lang w:eastAsia="lv-LV"/>
        </w:rPr>
        <w:t>,</w:t>
      </w:r>
      <w:r w:rsidRPr="000C2FEA">
        <w:rPr>
          <w:rFonts w:ascii="Times New Roman" w:eastAsia="Calibri" w:hAnsi="Times New Roman" w:cs="Times New Roman"/>
          <w:lang w:eastAsia="lv-LV"/>
        </w:rPr>
        <w:t xml:space="preserve"> īpaši lielākajos notekūdeņu dūņu pārstrādes centros, kur var būt nepieciešamas līdz pat 3 ha lielas </w:t>
      </w:r>
      <w:r w:rsidR="00BF5E0C" w:rsidRPr="000C2FEA">
        <w:rPr>
          <w:rFonts w:ascii="Times New Roman" w:eastAsia="Calibri" w:hAnsi="Times New Roman" w:cs="Times New Roman"/>
          <w:lang w:eastAsia="lv-LV"/>
        </w:rPr>
        <w:t>teritorijas</w:t>
      </w:r>
      <w:r w:rsidRPr="000C2FEA">
        <w:rPr>
          <w:rFonts w:ascii="Times New Roman" w:eastAsia="Calibri" w:hAnsi="Times New Roman" w:cs="Times New Roman"/>
          <w:lang w:eastAsia="lv-LV"/>
        </w:rPr>
        <w:t xml:space="preserve">, kas atsevišķos gadījumos var </w:t>
      </w:r>
      <w:r w:rsidR="00BF5E0C" w:rsidRPr="000C2FEA">
        <w:rPr>
          <w:rFonts w:ascii="Times New Roman" w:eastAsia="Calibri" w:hAnsi="Times New Roman" w:cs="Times New Roman"/>
          <w:lang w:eastAsia="lv-LV"/>
        </w:rPr>
        <w:t>ne</w:t>
      </w:r>
      <w:r w:rsidRPr="000C2FEA">
        <w:rPr>
          <w:rFonts w:ascii="Times New Roman" w:eastAsia="Calibri" w:hAnsi="Times New Roman" w:cs="Times New Roman"/>
          <w:lang w:eastAsia="lv-LV"/>
        </w:rPr>
        <w:t xml:space="preserve">būt </w:t>
      </w:r>
      <w:r w:rsidR="00BF5E0C" w:rsidRPr="000C2FEA">
        <w:rPr>
          <w:rFonts w:ascii="Times New Roman" w:eastAsia="Calibri" w:hAnsi="Times New Roman" w:cs="Times New Roman"/>
          <w:lang w:eastAsia="lv-LV"/>
        </w:rPr>
        <w:t>pieejamas</w:t>
      </w:r>
      <w:r w:rsidR="006E29BD" w:rsidRPr="000C2FEA">
        <w:rPr>
          <w:rFonts w:ascii="Times New Roman" w:eastAsia="Calibri" w:hAnsi="Times New Roman" w:cs="Times New Roman"/>
          <w:lang w:eastAsia="lv-LV"/>
        </w:rPr>
        <w:t xml:space="preserve"> esošā nekustamā īpašuma robežās</w:t>
      </w:r>
      <w:r w:rsidRPr="000C2FEA">
        <w:rPr>
          <w:rFonts w:ascii="Times New Roman" w:eastAsia="Calibri" w:hAnsi="Times New Roman" w:cs="Times New Roman"/>
          <w:lang w:eastAsia="lv-LV"/>
        </w:rPr>
        <w:t xml:space="preserve">. </w:t>
      </w:r>
      <w:r w:rsidR="006E29BD" w:rsidRPr="000C2FEA">
        <w:rPr>
          <w:rFonts w:ascii="Times New Roman" w:eastAsia="Calibri" w:hAnsi="Times New Roman" w:cs="Times New Roman"/>
          <w:lang w:eastAsia="lv-LV"/>
        </w:rPr>
        <w:t>Vienlaikus</w:t>
      </w:r>
      <w:r w:rsidRPr="000C2FEA">
        <w:rPr>
          <w:rFonts w:ascii="Times New Roman" w:eastAsia="Calibri" w:hAnsi="Times New Roman" w:cs="Times New Roman"/>
          <w:lang w:eastAsia="lv-LV"/>
        </w:rPr>
        <w:t xml:space="preserve"> tieši ap lielākajām NAI </w:t>
      </w:r>
      <w:r w:rsidR="006E29BD" w:rsidRPr="000C2FEA">
        <w:rPr>
          <w:rFonts w:ascii="Times New Roman" w:eastAsia="Calibri" w:hAnsi="Times New Roman" w:cs="Times New Roman"/>
          <w:lang w:eastAsia="lv-LV"/>
        </w:rPr>
        <w:t>nereti</w:t>
      </w:r>
      <w:r w:rsidRPr="000C2FEA">
        <w:rPr>
          <w:rFonts w:ascii="Times New Roman" w:eastAsia="Calibri" w:hAnsi="Times New Roman" w:cs="Times New Roman"/>
          <w:lang w:eastAsia="lv-LV"/>
        </w:rPr>
        <w:t xml:space="preserve"> ir plašas, nesakārtotas teritorijas, kurās iepriekš ir atradušās dažādas ar notekūdeņu attīrīšanu vai </w:t>
      </w:r>
      <w:r w:rsidR="006E29BD"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pārstrādi saistītas pilnībā nedemontētas konstrukcijas</w:t>
      </w:r>
      <w:r w:rsidR="006E29BD" w:rsidRPr="000C2FEA">
        <w:rPr>
          <w:rFonts w:ascii="Times New Roman" w:eastAsia="Calibri" w:hAnsi="Times New Roman" w:cs="Times New Roman"/>
          <w:lang w:eastAsia="lv-LV"/>
        </w:rPr>
        <w:t>, kurās izvietojot jauno infrastruktūru būtu iespējams veikt to sakārtošanu un revitalizāciju.</w:t>
      </w:r>
    </w:p>
    <w:p w14:paraId="0A7CEB2F" w14:textId="62B79BC3" w:rsidR="00D65879" w:rsidRDefault="00BA6995" w:rsidP="000C2FEA">
      <w:pPr>
        <w:spacing w:after="0"/>
        <w:ind w:firstLine="720"/>
        <w:rPr>
          <w:rFonts w:ascii="Times New Roman" w:eastAsia="Calibri" w:hAnsi="Times New Roman" w:cs="Times New Roman"/>
          <w:lang w:eastAsia="lv-LV"/>
        </w:rPr>
      </w:pPr>
      <w:r w:rsidRPr="000C2FEA">
        <w:rPr>
          <w:rFonts w:ascii="Times New Roman" w:eastAsia="Calibri" w:hAnsi="Times New Roman" w:cs="Times New Roman"/>
          <w:lang w:eastAsia="lv-LV"/>
        </w:rPr>
        <w:t>Veidojot 2</w:t>
      </w:r>
      <w:r w:rsidR="00D1320C">
        <w:rPr>
          <w:rFonts w:ascii="Times New Roman" w:eastAsia="Calibri" w:hAnsi="Times New Roman" w:cs="Times New Roman"/>
          <w:lang w:eastAsia="lv-LV"/>
        </w:rPr>
        <w:t>6+1</w:t>
      </w:r>
      <w:r w:rsidRPr="000C2FEA">
        <w:rPr>
          <w:rFonts w:ascii="Times New Roman" w:eastAsia="Calibri" w:hAnsi="Times New Roman" w:cs="Times New Roman"/>
          <w:lang w:eastAsia="lv-LV"/>
        </w:rPr>
        <w:t xml:space="preserve"> </w:t>
      </w:r>
      <w:r w:rsidR="006E29BD"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pārstrādes centrus un organizējot visu notekūdeņu dūņu plūsmu u</w:t>
      </w:r>
      <w:r w:rsidR="006E29BD" w:rsidRPr="000C2FEA">
        <w:rPr>
          <w:rFonts w:ascii="Times New Roman" w:eastAsia="Calibri" w:hAnsi="Times New Roman" w:cs="Times New Roman"/>
          <w:lang w:eastAsia="lv-LV"/>
        </w:rPr>
        <w:t>z</w:t>
      </w:r>
      <w:r w:rsidRPr="000C2FEA">
        <w:rPr>
          <w:rFonts w:ascii="Times New Roman" w:eastAsia="Calibri" w:hAnsi="Times New Roman" w:cs="Times New Roman"/>
          <w:lang w:eastAsia="lv-LV"/>
        </w:rPr>
        <w:t xml:space="preserve"> šiem pārstrādes centriem, ir iespējami </w:t>
      </w:r>
      <w:r w:rsidR="006E29BD" w:rsidRPr="000C2FEA">
        <w:rPr>
          <w:rFonts w:ascii="Times New Roman" w:eastAsia="Calibri" w:hAnsi="Times New Roman" w:cs="Times New Roman"/>
          <w:lang w:eastAsia="lv-LV"/>
        </w:rPr>
        <w:t xml:space="preserve">dažādi </w:t>
      </w:r>
      <w:r w:rsidR="006E29BD" w:rsidRPr="000C2FEA">
        <w:rPr>
          <w:rFonts w:ascii="Times New Roman" w:hAnsi="Times New Roman" w:cs="Times New Roman"/>
        </w:rPr>
        <w:t>notekūdeņu</w:t>
      </w:r>
      <w:r w:rsidRPr="000C2FEA">
        <w:rPr>
          <w:rFonts w:ascii="Times New Roman" w:eastAsia="Calibri" w:hAnsi="Times New Roman" w:cs="Times New Roman"/>
          <w:lang w:eastAsia="lv-LV"/>
        </w:rPr>
        <w:t xml:space="preserve"> dūņu transportēšanas risinājumi, tāpēc katra </w:t>
      </w:r>
      <w:r w:rsidR="006E29BD"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centra ietvaros būtu jāveic detalizēts novērtējums un jauna</w:t>
      </w:r>
      <w:r w:rsidR="006E29BD" w:rsidRPr="000C2FEA">
        <w:rPr>
          <w:rFonts w:ascii="Times New Roman" w:eastAsia="Calibri" w:hAnsi="Times New Roman" w:cs="Times New Roman"/>
          <w:lang w:eastAsia="lv-LV"/>
        </w:rPr>
        <w:t xml:space="preserve">s </w:t>
      </w:r>
      <w:r w:rsidR="006E29BD" w:rsidRPr="000C2FEA">
        <w:rPr>
          <w:rFonts w:ascii="Times New Roman" w:hAnsi="Times New Roman" w:cs="Times New Roman"/>
        </w:rPr>
        <w:t>notekūdeņu</w:t>
      </w:r>
      <w:r w:rsidRPr="000C2FEA">
        <w:rPr>
          <w:rFonts w:ascii="Times New Roman" w:eastAsia="Calibri" w:hAnsi="Times New Roman" w:cs="Times New Roman"/>
          <w:lang w:eastAsia="lv-LV"/>
        </w:rPr>
        <w:t xml:space="preserve"> dūņu transportēšanas sistēmas izveide, kura nodrošinātu ekonomiskāko </w:t>
      </w:r>
      <w:r w:rsidR="006E29BD" w:rsidRPr="000C2FEA">
        <w:rPr>
          <w:rFonts w:ascii="Times New Roman" w:hAnsi="Times New Roman" w:cs="Times New Roman"/>
        </w:rPr>
        <w:t xml:space="preserve">notekūdeņu </w:t>
      </w:r>
      <w:r w:rsidRPr="000C2FEA">
        <w:rPr>
          <w:rFonts w:ascii="Times New Roman" w:eastAsia="Calibri" w:hAnsi="Times New Roman" w:cs="Times New Roman"/>
          <w:lang w:eastAsia="lv-LV"/>
        </w:rPr>
        <w:t>dūņu centralizācij</w:t>
      </w:r>
      <w:r w:rsidR="006E29BD" w:rsidRPr="000C2FEA">
        <w:rPr>
          <w:rFonts w:ascii="Times New Roman" w:eastAsia="Calibri" w:hAnsi="Times New Roman" w:cs="Times New Roman"/>
          <w:lang w:eastAsia="lv-LV"/>
        </w:rPr>
        <w:t>as loģistikas risinājumu</w:t>
      </w:r>
      <w:r w:rsidRPr="000C2FEA">
        <w:rPr>
          <w:rFonts w:ascii="Times New Roman" w:eastAsia="Calibri" w:hAnsi="Times New Roman" w:cs="Times New Roman"/>
          <w:lang w:eastAsia="lv-LV"/>
        </w:rPr>
        <w:t xml:space="preserve">. </w:t>
      </w:r>
      <w:r w:rsidR="006E29BD" w:rsidRPr="000C2FEA">
        <w:rPr>
          <w:rFonts w:ascii="Times New Roman" w:eastAsia="Calibri" w:hAnsi="Times New Roman" w:cs="Times New Roman"/>
          <w:lang w:eastAsia="lv-LV"/>
        </w:rPr>
        <w:t>Neatkarīga notekūdeņu</w:t>
      </w:r>
      <w:r w:rsidRPr="000C2FEA">
        <w:rPr>
          <w:rFonts w:ascii="Times New Roman" w:eastAsia="Calibri" w:hAnsi="Times New Roman" w:cs="Times New Roman"/>
          <w:lang w:eastAsia="lv-LV"/>
        </w:rPr>
        <w:t xml:space="preserve"> dūņu savākšana no </w:t>
      </w:r>
      <w:r w:rsidR="006E29BD" w:rsidRPr="000C2FEA">
        <w:rPr>
          <w:rFonts w:ascii="Times New Roman" w:eastAsia="Calibri" w:hAnsi="Times New Roman" w:cs="Times New Roman"/>
          <w:lang w:eastAsia="lv-LV"/>
        </w:rPr>
        <w:t xml:space="preserve">katras atsevišķās </w:t>
      </w:r>
      <w:r w:rsidRPr="000C2FEA">
        <w:rPr>
          <w:rFonts w:ascii="Times New Roman" w:eastAsia="Calibri" w:hAnsi="Times New Roman" w:cs="Times New Roman"/>
          <w:lang w:eastAsia="lv-LV"/>
        </w:rPr>
        <w:t xml:space="preserve">NAI, </w:t>
      </w:r>
      <w:r w:rsidR="006E29BD" w:rsidRPr="000C2FEA">
        <w:rPr>
          <w:rFonts w:ascii="Times New Roman" w:eastAsia="Calibri" w:hAnsi="Times New Roman" w:cs="Times New Roman"/>
          <w:lang w:eastAsia="lv-LV"/>
        </w:rPr>
        <w:t xml:space="preserve">visticamāk būs </w:t>
      </w:r>
      <w:r w:rsidR="006E29BD" w:rsidRPr="000C2FEA">
        <w:rPr>
          <w:rFonts w:ascii="Times New Roman" w:eastAsia="Calibri" w:hAnsi="Times New Roman" w:cs="Times New Roman"/>
          <w:lang w:eastAsia="lv-LV"/>
        </w:rPr>
        <w:lastRenderedPageBreak/>
        <w:t>izmaksu ziņā daudz</w:t>
      </w:r>
      <w:r w:rsidRPr="000C2FEA">
        <w:rPr>
          <w:rFonts w:ascii="Times New Roman" w:eastAsia="Calibri" w:hAnsi="Times New Roman" w:cs="Times New Roman"/>
          <w:lang w:eastAsia="lv-LV"/>
        </w:rPr>
        <w:t xml:space="preserve"> dārgāka par precīzas, plānveida notekūdeņu dūņu savākšanas sistēmas izveidi</w:t>
      </w:r>
      <w:r w:rsidR="006E29BD" w:rsidRPr="000C2FEA">
        <w:rPr>
          <w:rFonts w:ascii="Times New Roman" w:eastAsia="Calibri" w:hAnsi="Times New Roman" w:cs="Times New Roman"/>
          <w:lang w:eastAsia="lv-LV"/>
        </w:rPr>
        <w:t xml:space="preserve"> visā pārstrādes centra darbības teritorijā</w:t>
      </w:r>
      <w:r w:rsidRPr="000C2FEA">
        <w:rPr>
          <w:rFonts w:ascii="Times New Roman" w:eastAsia="Calibri" w:hAnsi="Times New Roman" w:cs="Times New Roman"/>
          <w:lang w:eastAsia="lv-LV"/>
        </w:rPr>
        <w:t>.</w:t>
      </w:r>
    </w:p>
    <w:p w14:paraId="2321D8A5" w14:textId="7DE7C535" w:rsidR="00D65879" w:rsidRDefault="00C71801" w:rsidP="000C2FEA">
      <w:pPr>
        <w:spacing w:after="0"/>
        <w:ind w:firstLine="720"/>
        <w:rPr>
          <w:rFonts w:ascii="Times New Roman" w:eastAsia="Calibri" w:hAnsi="Times New Roman" w:cs="Times New Roman"/>
          <w:lang w:eastAsia="lv-LV"/>
        </w:rPr>
      </w:pPr>
      <w:r>
        <w:rPr>
          <w:rFonts w:ascii="Times New Roman" w:eastAsia="Calibri" w:hAnsi="Times New Roman" w:cs="Times New Roman"/>
          <w:lang w:eastAsia="lv-LV"/>
        </w:rPr>
        <w:t xml:space="preserve">Centralizācijas alternatīvu izvērtējums apkopots </w:t>
      </w:r>
      <w:r w:rsidR="00373E48" w:rsidRPr="00373E48">
        <w:rPr>
          <w:rFonts w:ascii="Times New Roman" w:eastAsia="Calibri" w:hAnsi="Times New Roman" w:cs="Times New Roman"/>
          <w:lang w:eastAsia="lv-LV"/>
        </w:rPr>
        <w:t>4.1.6</w:t>
      </w:r>
      <w:r w:rsidRPr="00373E48">
        <w:rPr>
          <w:rFonts w:ascii="Times New Roman" w:eastAsia="Calibri" w:hAnsi="Times New Roman" w:cs="Times New Roman"/>
          <w:lang w:eastAsia="lv-LV"/>
        </w:rPr>
        <w:t>. attēlā</w:t>
      </w:r>
      <w:r>
        <w:rPr>
          <w:rFonts w:ascii="Times New Roman" w:eastAsia="Calibri" w:hAnsi="Times New Roman" w:cs="Times New Roman"/>
          <w:lang w:eastAsia="lv-LV"/>
        </w:rPr>
        <w:t xml:space="preserve">. </w:t>
      </w:r>
    </w:p>
    <w:p w14:paraId="6B252EBE" w14:textId="77777777" w:rsidR="00916A5C" w:rsidRDefault="00916A5C" w:rsidP="000C2FEA">
      <w:pPr>
        <w:spacing w:after="0"/>
        <w:ind w:firstLine="720"/>
        <w:rPr>
          <w:rFonts w:ascii="Times New Roman" w:eastAsia="Calibri" w:hAnsi="Times New Roman" w:cs="Times New Roman"/>
          <w:lang w:eastAsia="lv-LV"/>
        </w:rPr>
      </w:pPr>
    </w:p>
    <w:p w14:paraId="021925BA" w14:textId="77777777" w:rsidR="00E11DFC" w:rsidRDefault="00E11DFC" w:rsidP="000C2FEA">
      <w:pPr>
        <w:spacing w:after="0"/>
        <w:ind w:firstLine="720"/>
        <w:rPr>
          <w:rFonts w:ascii="Times New Roman" w:eastAsia="Calibri" w:hAnsi="Times New Roman" w:cs="Times New Roman"/>
          <w:lang w:eastAsia="lv-LV"/>
        </w:rPr>
      </w:pPr>
    </w:p>
    <w:p w14:paraId="4CBF8273" w14:textId="0C7F136E" w:rsidR="00E11DFC" w:rsidRDefault="00E11DFC" w:rsidP="000C2FEA">
      <w:pPr>
        <w:spacing w:after="0"/>
        <w:ind w:firstLine="720"/>
        <w:rPr>
          <w:rFonts w:ascii="Times New Roman" w:eastAsia="Calibri" w:hAnsi="Times New Roman" w:cs="Times New Roman"/>
          <w:lang w:eastAsia="lv-LV"/>
        </w:rPr>
        <w:sectPr w:rsidR="00E11DFC" w:rsidSect="007E349D">
          <w:pgSz w:w="11906" w:h="16838"/>
          <w:pgMar w:top="1134" w:right="1701" w:bottom="1134" w:left="1701" w:header="708" w:footer="708" w:gutter="0"/>
          <w:cols w:space="708"/>
          <w:docGrid w:linePitch="360"/>
        </w:sectPr>
      </w:pPr>
    </w:p>
    <w:p w14:paraId="3776DD25" w14:textId="4F67CF56" w:rsidR="00C71801" w:rsidRDefault="00013DBE" w:rsidP="000C2FEA">
      <w:pPr>
        <w:spacing w:after="0"/>
        <w:ind w:firstLine="720"/>
        <w:rPr>
          <w:rFonts w:ascii="Times New Roman" w:eastAsia="Calibri" w:hAnsi="Times New Roman" w:cs="Times New Roman"/>
          <w:lang w:eastAsia="lv-LV"/>
        </w:rPr>
      </w:pPr>
      <w:r>
        <w:rPr>
          <w:b/>
          <w:noProof/>
          <w:lang w:eastAsia="lv-LV"/>
        </w:rPr>
        <w:lastRenderedPageBreak/>
        <mc:AlternateContent>
          <mc:Choice Requires="wps">
            <w:drawing>
              <wp:anchor distT="0" distB="0" distL="114300" distR="114300" simplePos="0" relativeHeight="251658265" behindDoc="0" locked="0" layoutInCell="1" allowOverlap="1" wp14:anchorId="0CA2D495" wp14:editId="3358A6A3">
                <wp:simplePos x="0" y="0"/>
                <wp:positionH relativeFrom="margin">
                  <wp:posOffset>628650</wp:posOffset>
                </wp:positionH>
                <wp:positionV relativeFrom="paragraph">
                  <wp:posOffset>4997450</wp:posOffset>
                </wp:positionV>
                <wp:extent cx="7729855" cy="295275"/>
                <wp:effectExtent l="0" t="0" r="4445" b="9525"/>
                <wp:wrapNone/>
                <wp:docPr id="145" name="Text Box 145"/>
                <wp:cNvGraphicFramePr/>
                <a:graphic xmlns:a="http://schemas.openxmlformats.org/drawingml/2006/main">
                  <a:graphicData uri="http://schemas.microsoft.com/office/word/2010/wordprocessingShape">
                    <wps:wsp>
                      <wps:cNvSpPr txBox="1"/>
                      <wps:spPr>
                        <a:xfrm>
                          <a:off x="0" y="0"/>
                          <a:ext cx="7729855" cy="295275"/>
                        </a:xfrm>
                        <a:prstGeom prst="rect">
                          <a:avLst/>
                        </a:prstGeom>
                        <a:solidFill>
                          <a:sysClr val="window" lastClr="FFFFFF"/>
                        </a:solidFill>
                        <a:ln w="6350">
                          <a:noFill/>
                        </a:ln>
                        <a:effectLst/>
                      </wps:spPr>
                      <wps:txbx>
                        <w:txbxContent>
                          <w:p w14:paraId="64290387" w14:textId="3F619FA6" w:rsidR="00013DBE" w:rsidRPr="005F28F0" w:rsidRDefault="00373E48" w:rsidP="00013DBE">
                            <w:pPr>
                              <w:jc w:val="center"/>
                              <w:rPr>
                                <w:rFonts w:ascii="Times New Roman" w:hAnsi="Times New Roman" w:cs="Times New Roman"/>
                                <w:iCs/>
                                <w:szCs w:val="24"/>
                              </w:rPr>
                            </w:pPr>
                            <w:r>
                              <w:rPr>
                                <w:rFonts w:ascii="Times New Roman" w:hAnsi="Times New Roman" w:cs="Times New Roman"/>
                                <w:b/>
                                <w:bCs/>
                                <w:iCs/>
                                <w:szCs w:val="24"/>
                              </w:rPr>
                              <w:t>4.1.</w:t>
                            </w:r>
                            <w:r w:rsidRPr="00373E48">
                              <w:rPr>
                                <w:rFonts w:ascii="Times New Roman" w:hAnsi="Times New Roman" w:cs="Times New Roman"/>
                                <w:b/>
                                <w:bCs/>
                                <w:iCs/>
                                <w:szCs w:val="24"/>
                              </w:rPr>
                              <w:t>6</w:t>
                            </w:r>
                            <w:r w:rsidR="00013DBE" w:rsidRPr="00373E48">
                              <w:rPr>
                                <w:rFonts w:ascii="Times New Roman" w:hAnsi="Times New Roman" w:cs="Times New Roman"/>
                                <w:b/>
                                <w:bCs/>
                                <w:iCs/>
                                <w:szCs w:val="24"/>
                              </w:rPr>
                              <w:t>.attēls.</w:t>
                            </w:r>
                            <w:r w:rsidR="00013DBE" w:rsidRPr="005F28F0">
                              <w:rPr>
                                <w:rFonts w:ascii="Times New Roman" w:hAnsi="Times New Roman" w:cs="Times New Roman"/>
                                <w:b/>
                                <w:bCs/>
                                <w:iCs/>
                                <w:szCs w:val="24"/>
                              </w:rPr>
                              <w:t xml:space="preserve"> </w:t>
                            </w:r>
                            <w:r w:rsidR="00013DBE" w:rsidRPr="005F28F0">
                              <w:rPr>
                                <w:rFonts w:ascii="Times New Roman" w:hAnsi="Times New Roman" w:cs="Times New Roman"/>
                                <w:iCs/>
                                <w:szCs w:val="24"/>
                              </w:rPr>
                              <w:t>Alternatīvu grupas “D” izvērtējuma kopsavilkums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2D495" id="Text Box 145" o:spid="_x0000_s1042" type="#_x0000_t202" style="position:absolute;left:0;text-align:left;margin-left:49.5pt;margin-top:393.5pt;width:608.65pt;height:23.2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" fillcolor="window" stroked="f" strokeweight=".5pt">
                <v:textbox>
                  <w:txbxContent>
                    <w:p w14:paraId="64290387" w14:textId="3F619FA6" w:rsidR="00013DBE" w:rsidRPr="005F28F0" w:rsidRDefault="00373E48" w:rsidP="00013DBE">
                      <w:pPr>
                        <w:jc w:val="center"/>
                        <w:rPr>
                          <w:rFonts w:ascii="Times New Roman" w:hAnsi="Times New Roman" w:cs="Times New Roman"/>
                          <w:iCs/>
                          <w:szCs w:val="24"/>
                        </w:rPr>
                      </w:pPr>
                      <w:r>
                        <w:rPr>
                          <w:rFonts w:ascii="Times New Roman" w:hAnsi="Times New Roman" w:cs="Times New Roman"/>
                          <w:b/>
                          <w:bCs/>
                          <w:iCs/>
                          <w:szCs w:val="24"/>
                        </w:rPr>
                        <w:t>4.1.</w:t>
                      </w:r>
                      <w:r w:rsidRPr="00373E48">
                        <w:rPr>
                          <w:rFonts w:ascii="Times New Roman" w:hAnsi="Times New Roman" w:cs="Times New Roman"/>
                          <w:b/>
                          <w:bCs/>
                          <w:iCs/>
                          <w:szCs w:val="24"/>
                        </w:rPr>
                        <w:t>6</w:t>
                      </w:r>
                      <w:r w:rsidR="00013DBE" w:rsidRPr="00373E48">
                        <w:rPr>
                          <w:rFonts w:ascii="Times New Roman" w:hAnsi="Times New Roman" w:cs="Times New Roman"/>
                          <w:b/>
                          <w:bCs/>
                          <w:iCs/>
                          <w:szCs w:val="24"/>
                        </w:rPr>
                        <w:t>.attēls.</w:t>
                      </w:r>
                      <w:r w:rsidR="00013DBE" w:rsidRPr="005F28F0">
                        <w:rPr>
                          <w:rFonts w:ascii="Times New Roman" w:hAnsi="Times New Roman" w:cs="Times New Roman"/>
                          <w:b/>
                          <w:bCs/>
                          <w:iCs/>
                          <w:szCs w:val="24"/>
                        </w:rPr>
                        <w:t xml:space="preserve"> </w:t>
                      </w:r>
                      <w:r w:rsidR="00013DBE" w:rsidRPr="005F28F0">
                        <w:rPr>
                          <w:rFonts w:ascii="Times New Roman" w:hAnsi="Times New Roman" w:cs="Times New Roman"/>
                          <w:iCs/>
                          <w:szCs w:val="24"/>
                        </w:rPr>
                        <w:t>Alternatīvu grupas “D” izvērtējuma kopsavilkums</w:t>
                      </w:r>
                    </w:p>
                  </w:txbxContent>
                </v:textbox>
                <w10:wrap anchorx="margin"/>
              </v:shape>
            </w:pict>
          </mc:Fallback>
        </mc:AlternateContent>
      </w:r>
      <w:r w:rsidR="004831C0">
        <w:rPr>
          <w:rFonts w:ascii="Times New Roman" w:eastAsia="Calibri" w:hAnsi="Times New Roman" w:cs="Times New Roman"/>
          <w:noProof/>
          <w:lang w:eastAsia="lv-LV"/>
        </w:rPr>
        <w:drawing>
          <wp:inline distT="0" distB="0" distL="0" distR="0" wp14:anchorId="2A297E41" wp14:editId="584A8330">
            <wp:extent cx="8032750" cy="5033408"/>
            <wp:effectExtent l="0" t="0" r="635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054671" cy="5047144"/>
                    </a:xfrm>
                    <a:prstGeom prst="rect">
                      <a:avLst/>
                    </a:prstGeom>
                    <a:noFill/>
                  </pic:spPr>
                </pic:pic>
              </a:graphicData>
            </a:graphic>
          </wp:inline>
        </w:drawing>
      </w:r>
      <w:r w:rsidRPr="00013DBE">
        <w:rPr>
          <w:b/>
          <w:noProof/>
          <w:lang w:eastAsia="lv-LV"/>
        </w:rPr>
        <w:t xml:space="preserve"> </w:t>
      </w:r>
    </w:p>
    <w:p w14:paraId="5CED4A11" w14:textId="77777777" w:rsidR="00C71801" w:rsidRDefault="00C71801" w:rsidP="000C2FEA">
      <w:pPr>
        <w:spacing w:after="0"/>
        <w:ind w:firstLine="720"/>
        <w:rPr>
          <w:rFonts w:ascii="Times New Roman" w:eastAsia="Calibri" w:hAnsi="Times New Roman" w:cs="Times New Roman"/>
          <w:lang w:eastAsia="lv-LV"/>
        </w:rPr>
      </w:pPr>
    </w:p>
    <w:p w14:paraId="3328EB9C" w14:textId="660EB2C6" w:rsidR="00C71801" w:rsidRDefault="00C71801" w:rsidP="000C2FEA">
      <w:pPr>
        <w:spacing w:after="0"/>
        <w:ind w:firstLine="720"/>
        <w:rPr>
          <w:rFonts w:ascii="Times New Roman" w:eastAsia="Calibri" w:hAnsi="Times New Roman" w:cs="Times New Roman"/>
          <w:lang w:eastAsia="lv-LV"/>
        </w:rPr>
        <w:sectPr w:rsidR="00C71801" w:rsidSect="004831C0">
          <w:pgSz w:w="16838" w:h="11906" w:orient="landscape"/>
          <w:pgMar w:top="1701" w:right="1134" w:bottom="1701" w:left="1134" w:header="708" w:footer="708" w:gutter="0"/>
          <w:cols w:space="708"/>
          <w:docGrid w:linePitch="360"/>
        </w:sectPr>
      </w:pPr>
    </w:p>
    <w:p w14:paraId="209BB22F" w14:textId="4185AE31" w:rsidR="00BA6995" w:rsidRDefault="00BA6995" w:rsidP="000C2FEA">
      <w:pPr>
        <w:spacing w:after="0"/>
        <w:ind w:firstLine="720"/>
        <w:rPr>
          <w:rFonts w:ascii="Times New Roman" w:eastAsia="Calibri" w:hAnsi="Times New Roman" w:cs="Times New Roman"/>
          <w:lang w:eastAsia="lv-LV"/>
        </w:rPr>
      </w:pPr>
    </w:p>
    <w:p w14:paraId="407852E3" w14:textId="77777777" w:rsidR="000C2FEA" w:rsidRPr="000C2FEA" w:rsidRDefault="000C2FEA" w:rsidP="000C2FEA">
      <w:pPr>
        <w:spacing w:after="0"/>
        <w:ind w:firstLine="720"/>
        <w:rPr>
          <w:rFonts w:ascii="Times New Roman" w:eastAsia="Calibri" w:hAnsi="Times New Roman" w:cs="Times New Roman"/>
          <w:lang w:eastAsia="lv-LV"/>
        </w:rPr>
      </w:pPr>
    </w:p>
    <w:p w14:paraId="100F75BE" w14:textId="7CF6D41E" w:rsidR="00BA6995" w:rsidRPr="000C2FEA" w:rsidRDefault="00BA6995" w:rsidP="000C2FEA">
      <w:pPr>
        <w:pStyle w:val="Heading1"/>
        <w:spacing w:before="0"/>
        <w:rPr>
          <w:rFonts w:ascii="Times New Roman" w:eastAsia="Times New Roman" w:hAnsi="Times New Roman" w:cs="Times New Roman"/>
          <w:b/>
          <w:bCs/>
          <w:color w:val="auto"/>
          <w:sz w:val="24"/>
          <w:szCs w:val="24"/>
          <w:lang w:eastAsia="en-GB"/>
        </w:rPr>
      </w:pPr>
      <w:bookmarkStart w:id="54" w:name="_Toc82430168"/>
      <w:bookmarkStart w:id="55" w:name="_Toc107916320"/>
      <w:r w:rsidRPr="000C2FEA">
        <w:rPr>
          <w:rFonts w:ascii="Times New Roman" w:eastAsia="Times New Roman" w:hAnsi="Times New Roman" w:cs="Times New Roman"/>
          <w:b/>
          <w:bCs/>
          <w:color w:val="auto"/>
          <w:sz w:val="24"/>
          <w:szCs w:val="24"/>
          <w:lang w:eastAsia="en-GB"/>
        </w:rPr>
        <w:t>5. NOTEKŪDEŅU DŪŅU APSAIMNIEKOŠANAS INSTITUCIONĀLĀS PĀRVALDĪBAS ALTERNATĪVU NOVĒRTĒJUMS</w:t>
      </w:r>
      <w:bookmarkEnd w:id="54"/>
      <w:bookmarkEnd w:id="55"/>
    </w:p>
    <w:p w14:paraId="2ECADE61" w14:textId="77777777" w:rsidR="000C2FEA" w:rsidRDefault="000C2FEA" w:rsidP="000C2FEA">
      <w:pPr>
        <w:pBdr>
          <w:top w:val="nil"/>
          <w:left w:val="nil"/>
          <w:bottom w:val="nil"/>
          <w:right w:val="nil"/>
          <w:between w:val="nil"/>
        </w:pBdr>
        <w:spacing w:after="0"/>
        <w:ind w:left="48" w:firstLine="672"/>
        <w:rPr>
          <w:rFonts w:ascii="Times New Roman" w:eastAsia="Calibri" w:hAnsi="Times New Roman" w:cs="Times New Roman"/>
          <w:lang w:eastAsia="lv-LV"/>
        </w:rPr>
      </w:pPr>
    </w:p>
    <w:p w14:paraId="64B98956" w14:textId="66D519E5" w:rsidR="00CB4E7C" w:rsidRDefault="00CB4E7C" w:rsidP="000C2FEA">
      <w:pPr>
        <w:pBdr>
          <w:top w:val="nil"/>
          <w:left w:val="nil"/>
          <w:bottom w:val="nil"/>
          <w:right w:val="nil"/>
          <w:between w:val="nil"/>
        </w:pBdr>
        <w:spacing w:after="0"/>
        <w:ind w:left="48" w:firstLine="672"/>
        <w:rPr>
          <w:rFonts w:ascii="Times New Roman" w:eastAsia="Calibri" w:hAnsi="Times New Roman" w:cs="Times New Roman"/>
          <w:lang w:eastAsia="lv-LV"/>
        </w:rPr>
      </w:pPr>
      <w:r w:rsidRPr="000C2FEA">
        <w:rPr>
          <w:rFonts w:ascii="Times New Roman" w:eastAsia="Calibri" w:hAnsi="Times New Roman" w:cs="Times New Roman"/>
          <w:lang w:eastAsia="lv-LV"/>
        </w:rPr>
        <w:t>Latvijā ūdenssaimniecības pakalpojumu sniegšana tiek organizēta pašvaldību līmenī, katram SPS patstāvīgi pieņemot lēmumu par notekūdeņu savākšanas un attīrīšanas, kā arī notekūdeņu dūņu apsaimniekošanas organizēšanu. Pašvaldības var izvēlēties</w:t>
      </w:r>
      <w:r w:rsidR="006E29BD" w:rsidRPr="000C2FEA">
        <w:rPr>
          <w:rFonts w:ascii="Times New Roman" w:eastAsia="Calibri" w:hAnsi="Times New Roman" w:cs="Times New Roman"/>
          <w:lang w:eastAsia="lv-LV"/>
        </w:rPr>
        <w:t>,</w:t>
      </w:r>
      <w:r w:rsidRPr="000C2FEA">
        <w:rPr>
          <w:rFonts w:ascii="Times New Roman" w:eastAsia="Calibri" w:hAnsi="Times New Roman" w:cs="Times New Roman"/>
          <w:lang w:eastAsia="lv-LV"/>
        </w:rPr>
        <w:t xml:space="preserve"> vai veidot vienu, vai vairākus ūdenssaimniecības pakalpojumu sniedzējus</w:t>
      </w:r>
      <w:r w:rsidR="006E29BD" w:rsidRPr="000C2FEA">
        <w:rPr>
          <w:rFonts w:ascii="Times New Roman" w:eastAsia="Calibri" w:hAnsi="Times New Roman" w:cs="Times New Roman"/>
          <w:lang w:eastAsia="lv-LV"/>
        </w:rPr>
        <w:t xml:space="preserve"> tās teritorijā</w:t>
      </w:r>
      <w:r w:rsidRPr="000C2FEA">
        <w:rPr>
          <w:rFonts w:ascii="Times New Roman" w:eastAsia="Calibri" w:hAnsi="Times New Roman" w:cs="Times New Roman"/>
          <w:lang w:eastAsia="lv-LV"/>
        </w:rPr>
        <w:t xml:space="preserve">, kā arī </w:t>
      </w:r>
      <w:r w:rsidR="006E29BD" w:rsidRPr="000C2FEA">
        <w:rPr>
          <w:rFonts w:ascii="Times New Roman" w:eastAsia="Calibri" w:hAnsi="Times New Roman" w:cs="Times New Roman"/>
          <w:lang w:eastAsia="lv-LV"/>
        </w:rPr>
        <w:t xml:space="preserve">noteikt </w:t>
      </w:r>
      <w:r w:rsidRPr="000C2FEA">
        <w:rPr>
          <w:rFonts w:ascii="Times New Roman" w:eastAsia="Calibri" w:hAnsi="Times New Roman" w:cs="Times New Roman"/>
          <w:lang w:eastAsia="lv-LV"/>
        </w:rPr>
        <w:t>atbilstošāko pakalpojuma sniegšanas formu (pašvaldības iestāde, komersants vai cits). Ņemot vērā minēto</w:t>
      </w:r>
      <w:r w:rsidR="006E29BD" w:rsidRPr="000C2FEA">
        <w:rPr>
          <w:rFonts w:ascii="Times New Roman" w:eastAsia="Calibri" w:hAnsi="Times New Roman" w:cs="Times New Roman"/>
          <w:lang w:eastAsia="lv-LV"/>
        </w:rPr>
        <w:t>,</w:t>
      </w:r>
      <w:r w:rsidRPr="000C2FEA">
        <w:rPr>
          <w:rFonts w:ascii="Times New Roman" w:eastAsia="Calibri" w:hAnsi="Times New Roman" w:cs="Times New Roman"/>
          <w:lang w:eastAsia="lv-LV"/>
        </w:rPr>
        <w:t xml:space="preserve"> ir iespējams izvirzīt vairākus notekūdeņu dūņu apsaimniekošanas institucionālās pārvaldības alternatīvos  risinājumus.</w:t>
      </w:r>
      <w:r w:rsidR="00BF5E0C" w:rsidRPr="000C2FEA">
        <w:rPr>
          <w:rFonts w:ascii="Times New Roman" w:eastAsia="Calibri" w:hAnsi="Times New Roman" w:cs="Times New Roman"/>
          <w:lang w:eastAsia="lv-LV"/>
        </w:rPr>
        <w:t xml:space="preserve"> Izvērstu notekūdeņu dūņu apsaimniekošanas institucionālās pārvaldības alternatīvu novērtējumu </w:t>
      </w:r>
      <w:r w:rsidR="006E29BD" w:rsidRPr="000C2FEA">
        <w:rPr>
          <w:rFonts w:ascii="Times New Roman" w:eastAsia="Calibri" w:hAnsi="Times New Roman" w:cs="Times New Roman"/>
          <w:lang w:eastAsia="lv-LV"/>
        </w:rPr>
        <w:t>pievienots</w:t>
      </w:r>
      <w:r w:rsidR="00BF5E0C" w:rsidRPr="000C2FEA">
        <w:rPr>
          <w:rFonts w:ascii="Times New Roman" w:eastAsia="Calibri" w:hAnsi="Times New Roman" w:cs="Times New Roman"/>
          <w:lang w:eastAsia="lv-LV"/>
        </w:rPr>
        <w:t xml:space="preserve"> pielikumā Nr. 4.6. “Detalizēts notekūdeņu dūņu apsaimniekošanas institucionālās pārvaldības alternatīvu novērtējums”.  </w:t>
      </w:r>
    </w:p>
    <w:p w14:paraId="184F60B4" w14:textId="77777777" w:rsidR="000C2FEA" w:rsidRPr="000C2FEA" w:rsidRDefault="000C2FEA" w:rsidP="000C2FEA">
      <w:pPr>
        <w:pBdr>
          <w:top w:val="nil"/>
          <w:left w:val="nil"/>
          <w:bottom w:val="nil"/>
          <w:right w:val="nil"/>
          <w:between w:val="nil"/>
        </w:pBdr>
        <w:spacing w:after="0"/>
        <w:ind w:left="48" w:firstLine="672"/>
        <w:rPr>
          <w:rFonts w:ascii="Times New Roman" w:eastAsia="Calibri" w:hAnsi="Times New Roman" w:cs="Times New Roman"/>
          <w:lang w:eastAsia="lv-LV"/>
        </w:rPr>
      </w:pPr>
    </w:p>
    <w:p w14:paraId="3CD6920B" w14:textId="77777777" w:rsidR="00CB4E7C" w:rsidRPr="00175DD0" w:rsidRDefault="00CB4E7C" w:rsidP="000C2FEA">
      <w:pPr>
        <w:pStyle w:val="Heading2"/>
        <w:spacing w:before="0"/>
        <w:jc w:val="center"/>
      </w:pPr>
      <w:bookmarkStart w:id="56" w:name="_Toc82430169"/>
      <w:bookmarkStart w:id="57" w:name="_Toc107916321"/>
      <w:r w:rsidRPr="000C2FEA">
        <w:rPr>
          <w:rFonts w:ascii="Times New Roman" w:eastAsia="Times New Roman" w:hAnsi="Times New Roman" w:cs="Times New Roman"/>
          <w:b/>
          <w:bCs/>
          <w:color w:val="auto"/>
          <w:sz w:val="24"/>
          <w:szCs w:val="24"/>
          <w:lang w:eastAsia="en-GB"/>
        </w:rPr>
        <w:t>E1. Alternatīva: Notekūdeņu dūņu apsaimniekošana atbilstoši katra SPS lēmumiem</w:t>
      </w:r>
      <w:bookmarkEnd w:id="56"/>
      <w:bookmarkEnd w:id="57"/>
    </w:p>
    <w:p w14:paraId="2C38137C" w14:textId="77777777" w:rsidR="000C2FEA" w:rsidRDefault="000C2FEA" w:rsidP="000C2FEA">
      <w:pPr>
        <w:spacing w:after="0"/>
        <w:ind w:firstLine="720"/>
      </w:pPr>
    </w:p>
    <w:p w14:paraId="0EAD75C2" w14:textId="383D8C31" w:rsidR="00CB4E7C" w:rsidRPr="000C2FEA" w:rsidRDefault="00CB4E7C" w:rsidP="000C2FEA">
      <w:pPr>
        <w:spacing w:after="0"/>
        <w:ind w:firstLine="720"/>
        <w:rPr>
          <w:rFonts w:ascii="Times New Roman" w:hAnsi="Times New Roman" w:cs="Times New Roman"/>
        </w:rPr>
      </w:pPr>
      <w:r w:rsidRPr="000C2FEA">
        <w:rPr>
          <w:rFonts w:ascii="Times New Roman" w:hAnsi="Times New Roman" w:cs="Times New Roman"/>
        </w:rPr>
        <w:t xml:space="preserve">Alternatīva atspoguļo šobrīd pastāvošo notekūdeņu dūņu apsaimniekošanas institucionālo pārvaldību.  Katrs SPS individuāli pieņem lēmumus par to, kā tā pārraudzībā esošajās NAI tiek veikta notekūdeņu dūņu apsaimniekošana. SPS minētos lēmumus pieņem, izvērtējot savas tehniskās un finanšu iespējas. Alternatīvas īstenošana ir iespējama pastāvošā juridiskā regulējuma ietvaros. </w:t>
      </w:r>
    </w:p>
    <w:p w14:paraId="2F8B4B13" w14:textId="036BC85B" w:rsidR="00CB4E7C" w:rsidRDefault="00CB4E7C" w:rsidP="000C2FEA">
      <w:pPr>
        <w:spacing w:after="0"/>
        <w:ind w:firstLine="720"/>
        <w:rPr>
          <w:rFonts w:ascii="Times New Roman" w:hAnsi="Times New Roman" w:cs="Times New Roman"/>
        </w:rPr>
      </w:pPr>
      <w:r w:rsidRPr="000C2FEA">
        <w:rPr>
          <w:rFonts w:ascii="Times New Roman" w:hAnsi="Times New Roman" w:cs="Times New Roman"/>
        </w:rPr>
        <w:t>Šāda notekūdeņu dūņu apsaimniekošanas organizēšana ir pretrunā 2</w:t>
      </w:r>
      <w:r w:rsidR="00293987">
        <w:rPr>
          <w:rFonts w:ascii="Times New Roman" w:hAnsi="Times New Roman" w:cs="Times New Roman"/>
        </w:rPr>
        <w:t>7</w:t>
      </w:r>
      <w:r w:rsidRPr="000C2FEA">
        <w:rPr>
          <w:rFonts w:ascii="Times New Roman" w:hAnsi="Times New Roman" w:cs="Times New Roman"/>
        </w:rPr>
        <w:t xml:space="preserve"> </w:t>
      </w:r>
      <w:r w:rsidR="00C02C2A" w:rsidRPr="000C2FEA">
        <w:rPr>
          <w:rFonts w:ascii="Times New Roman" w:hAnsi="Times New Roman" w:cs="Times New Roman"/>
        </w:rPr>
        <w:t xml:space="preserve">notekūdeņu </w:t>
      </w:r>
      <w:r w:rsidRPr="000C2FEA">
        <w:rPr>
          <w:rFonts w:ascii="Times New Roman" w:hAnsi="Times New Roman" w:cs="Times New Roman"/>
        </w:rPr>
        <w:t xml:space="preserve">dūņu pārstrādes centru alternatīvai un izslēdz iepriekš novērtēto piemērotāko </w:t>
      </w:r>
      <w:r w:rsidR="00C02C2A" w:rsidRPr="000C2FEA">
        <w:rPr>
          <w:rFonts w:ascii="Times New Roman" w:hAnsi="Times New Roman" w:cs="Times New Roman"/>
        </w:rPr>
        <w:t xml:space="preserve">notekūdeņu </w:t>
      </w:r>
      <w:r w:rsidRPr="000C2FEA">
        <w:rPr>
          <w:rFonts w:ascii="Times New Roman" w:hAnsi="Times New Roman" w:cs="Times New Roman"/>
        </w:rPr>
        <w:t>dūņu centralizācijas alternatīvu D5. Ja arī pēc 2</w:t>
      </w:r>
      <w:r w:rsidR="00DE107B">
        <w:rPr>
          <w:rFonts w:ascii="Times New Roman" w:hAnsi="Times New Roman" w:cs="Times New Roman"/>
        </w:rPr>
        <w:t>7</w:t>
      </w:r>
      <w:r w:rsidRPr="000C2FEA">
        <w:rPr>
          <w:rFonts w:ascii="Times New Roman" w:hAnsi="Times New Roman" w:cs="Times New Roman"/>
        </w:rPr>
        <w:t xml:space="preserve"> pārstrādes centru izveides Latvijā katrs SPS pastāvīgi varēs pieņemt lēmumu vest vai nevest</w:t>
      </w:r>
      <w:r w:rsidR="00C02C2A" w:rsidRPr="000C2FEA">
        <w:rPr>
          <w:rFonts w:ascii="Times New Roman" w:hAnsi="Times New Roman" w:cs="Times New Roman"/>
        </w:rPr>
        <w:t xml:space="preserve"> notekūdeņu</w:t>
      </w:r>
      <w:r w:rsidRPr="000C2FEA">
        <w:rPr>
          <w:rFonts w:ascii="Times New Roman" w:hAnsi="Times New Roman" w:cs="Times New Roman"/>
        </w:rPr>
        <w:t xml:space="preserve"> dūņas uz pārstrādi speciāli izveidot</w:t>
      </w:r>
      <w:r w:rsidR="00C02C2A" w:rsidRPr="000C2FEA">
        <w:rPr>
          <w:rFonts w:ascii="Times New Roman" w:hAnsi="Times New Roman" w:cs="Times New Roman"/>
        </w:rPr>
        <w:t xml:space="preserve">ajos notekūdeņu </w:t>
      </w:r>
      <w:r w:rsidRPr="000C2FEA">
        <w:rPr>
          <w:rFonts w:ascii="Times New Roman" w:hAnsi="Times New Roman" w:cs="Times New Roman"/>
        </w:rPr>
        <w:t xml:space="preserve"> dūņu pārstrādes centros, ļoti iespējams, ka liel</w:t>
      </w:r>
      <w:r w:rsidR="00C02C2A" w:rsidRPr="000C2FEA">
        <w:rPr>
          <w:rFonts w:ascii="Times New Roman" w:hAnsi="Times New Roman" w:cs="Times New Roman"/>
        </w:rPr>
        <w:t xml:space="preserve">ākā </w:t>
      </w:r>
      <w:r w:rsidRPr="000C2FEA">
        <w:rPr>
          <w:rFonts w:ascii="Times New Roman" w:hAnsi="Times New Roman" w:cs="Times New Roman"/>
        </w:rPr>
        <w:t>daļa NAI</w:t>
      </w:r>
      <w:r w:rsidR="00C02C2A" w:rsidRPr="000C2FEA">
        <w:rPr>
          <w:rFonts w:ascii="Times New Roman" w:hAnsi="Times New Roman" w:cs="Times New Roman"/>
        </w:rPr>
        <w:t>, kas nebūs pārstrādes centrs,</w:t>
      </w:r>
      <w:r w:rsidRPr="000C2FEA">
        <w:rPr>
          <w:rFonts w:ascii="Times New Roman" w:hAnsi="Times New Roman" w:cs="Times New Roman"/>
        </w:rPr>
        <w:t xml:space="preserve"> notekūdeņu dūņas līdz </w:t>
      </w:r>
      <w:r w:rsidR="00C02C2A" w:rsidRPr="000C2FEA">
        <w:rPr>
          <w:rFonts w:ascii="Times New Roman" w:hAnsi="Times New Roman" w:cs="Times New Roman"/>
        </w:rPr>
        <w:t>tiem</w:t>
      </w:r>
      <w:r w:rsidRPr="000C2FEA">
        <w:rPr>
          <w:rFonts w:ascii="Times New Roman" w:hAnsi="Times New Roman" w:cs="Times New Roman"/>
        </w:rPr>
        <w:t xml:space="preserve"> </w:t>
      </w:r>
      <w:r w:rsidR="00C02C2A" w:rsidRPr="000C2FEA">
        <w:rPr>
          <w:rFonts w:ascii="Times New Roman" w:hAnsi="Times New Roman" w:cs="Times New Roman"/>
        </w:rPr>
        <w:t xml:space="preserve">nenogādās un </w:t>
      </w:r>
      <w:r w:rsidRPr="000C2FEA">
        <w:rPr>
          <w:rFonts w:ascii="Times New Roman" w:hAnsi="Times New Roman" w:cs="Times New Roman"/>
        </w:rPr>
        <w:t xml:space="preserve">SPS izvēlēsies citus alternatīvus risinājumus attiecībā uz </w:t>
      </w:r>
      <w:r w:rsidR="00C02C2A" w:rsidRPr="000C2FEA">
        <w:rPr>
          <w:rFonts w:ascii="Times New Roman" w:hAnsi="Times New Roman" w:cs="Times New Roman"/>
        </w:rPr>
        <w:t xml:space="preserve">notekūdeņu </w:t>
      </w:r>
      <w:r w:rsidRPr="000C2FEA">
        <w:rPr>
          <w:rFonts w:ascii="Times New Roman" w:hAnsi="Times New Roman" w:cs="Times New Roman"/>
        </w:rPr>
        <w:t>dūņu utilizāciju. Ir sagaidāms, ka E1. alternatīvas gadījumā notekūdeņu dūņu apsaimniekošanas jomā situācija valstī neuzlabosies</w:t>
      </w:r>
      <w:r w:rsidR="00C02C2A" w:rsidRPr="000C2FEA">
        <w:rPr>
          <w:rFonts w:ascii="Times New Roman" w:hAnsi="Times New Roman" w:cs="Times New Roman"/>
        </w:rPr>
        <w:t xml:space="preserve"> un joprojām tiks izvēlēti lētākie, bet ne</w:t>
      </w:r>
      <w:r w:rsidR="00BB17A5">
        <w:rPr>
          <w:rFonts w:ascii="Times New Roman" w:hAnsi="Times New Roman" w:cs="Times New Roman"/>
        </w:rPr>
        <w:t xml:space="preserve"> </w:t>
      </w:r>
      <w:r w:rsidR="00C02C2A" w:rsidRPr="000C2FEA">
        <w:rPr>
          <w:rFonts w:ascii="Times New Roman" w:hAnsi="Times New Roman" w:cs="Times New Roman"/>
        </w:rPr>
        <w:t xml:space="preserve">vienmēr efektīvākie un no vides </w:t>
      </w:r>
      <w:r w:rsidR="0034227B">
        <w:rPr>
          <w:rFonts w:ascii="Times New Roman" w:hAnsi="Times New Roman" w:cs="Times New Roman"/>
        </w:rPr>
        <w:t>aspekta</w:t>
      </w:r>
      <w:r w:rsidR="00C02C2A" w:rsidRPr="000C2FEA">
        <w:rPr>
          <w:rFonts w:ascii="Times New Roman" w:hAnsi="Times New Roman" w:cs="Times New Roman"/>
        </w:rPr>
        <w:t xml:space="preserve"> labākie risinājumi</w:t>
      </w:r>
      <w:r w:rsidRPr="000C2FEA">
        <w:rPr>
          <w:rFonts w:ascii="Times New Roman" w:hAnsi="Times New Roman" w:cs="Times New Roman"/>
        </w:rPr>
        <w:t>.</w:t>
      </w:r>
    </w:p>
    <w:p w14:paraId="4F37FE24" w14:textId="77777777" w:rsidR="000C2FEA" w:rsidRPr="000C2FEA" w:rsidRDefault="000C2FEA" w:rsidP="000C2FEA">
      <w:pPr>
        <w:spacing w:after="0"/>
        <w:ind w:firstLine="720"/>
        <w:rPr>
          <w:rFonts w:ascii="Times New Roman" w:hAnsi="Times New Roman" w:cs="Times New Roman"/>
        </w:rPr>
      </w:pPr>
    </w:p>
    <w:p w14:paraId="0DCBE934" w14:textId="77777777" w:rsidR="00CB4E7C" w:rsidRPr="000C2FEA" w:rsidRDefault="00CB4E7C" w:rsidP="000C2FEA">
      <w:pPr>
        <w:pStyle w:val="Heading2"/>
        <w:spacing w:before="0"/>
        <w:jc w:val="center"/>
        <w:rPr>
          <w:rFonts w:ascii="Times New Roman" w:eastAsia="Times New Roman" w:hAnsi="Times New Roman" w:cs="Times New Roman"/>
          <w:b/>
          <w:bCs/>
          <w:color w:val="auto"/>
          <w:sz w:val="24"/>
          <w:szCs w:val="24"/>
          <w:lang w:eastAsia="en-GB"/>
        </w:rPr>
      </w:pPr>
      <w:bookmarkStart w:id="58" w:name="_Toc82430170"/>
      <w:bookmarkStart w:id="59" w:name="_Toc107916322"/>
      <w:r w:rsidRPr="000C2FEA">
        <w:rPr>
          <w:rFonts w:ascii="Times New Roman" w:eastAsia="Times New Roman" w:hAnsi="Times New Roman" w:cs="Times New Roman"/>
          <w:b/>
          <w:bCs/>
          <w:color w:val="auto"/>
          <w:sz w:val="24"/>
          <w:szCs w:val="24"/>
          <w:lang w:eastAsia="en-GB"/>
        </w:rPr>
        <w:t>E2.Alternatīva: Vienota notekūdeņu dūņu apsaimniekošana katras pašvaldības ietvaros</w:t>
      </w:r>
      <w:bookmarkEnd w:id="58"/>
      <w:bookmarkEnd w:id="59"/>
    </w:p>
    <w:p w14:paraId="31923C45" w14:textId="77777777" w:rsidR="000C2FEA" w:rsidRDefault="000C2FEA" w:rsidP="000C2FEA">
      <w:pPr>
        <w:spacing w:after="0"/>
        <w:ind w:firstLine="720"/>
        <w:rPr>
          <w:rFonts w:ascii="Times New Roman" w:hAnsi="Times New Roman" w:cs="Times New Roman"/>
        </w:rPr>
      </w:pPr>
    </w:p>
    <w:p w14:paraId="62BE2670" w14:textId="321D855E" w:rsidR="00CB4E7C" w:rsidRPr="000C2FEA" w:rsidRDefault="00CB4E7C" w:rsidP="000C2FEA">
      <w:pPr>
        <w:spacing w:after="0"/>
        <w:ind w:firstLine="720"/>
        <w:rPr>
          <w:rFonts w:ascii="Times New Roman" w:hAnsi="Times New Roman" w:cs="Times New Roman"/>
        </w:rPr>
      </w:pPr>
      <w:r w:rsidRPr="000C2FEA">
        <w:rPr>
          <w:rFonts w:ascii="Times New Roman" w:hAnsi="Times New Roman" w:cs="Times New Roman"/>
        </w:rPr>
        <w:t xml:space="preserve">Alternatīva paredz, ka </w:t>
      </w:r>
      <w:r w:rsidR="00C02C2A" w:rsidRPr="000C2FEA">
        <w:rPr>
          <w:rFonts w:ascii="Times New Roman" w:hAnsi="Times New Roman" w:cs="Times New Roman"/>
        </w:rPr>
        <w:t>katra</w:t>
      </w:r>
      <w:r w:rsidRPr="000C2FEA">
        <w:rPr>
          <w:rFonts w:ascii="Times New Roman" w:hAnsi="Times New Roman" w:cs="Times New Roman"/>
        </w:rPr>
        <w:t xml:space="preserve"> pašvaldības pieņem lēmumu par viena tās teritorijā </w:t>
      </w:r>
      <w:r w:rsidR="00C02C2A" w:rsidRPr="000C2FEA">
        <w:rPr>
          <w:rFonts w:ascii="Times New Roman" w:hAnsi="Times New Roman" w:cs="Times New Roman"/>
        </w:rPr>
        <w:t>strādājoša</w:t>
      </w:r>
      <w:r w:rsidRPr="000C2FEA">
        <w:rPr>
          <w:rFonts w:ascii="Times New Roman" w:hAnsi="Times New Roman" w:cs="Times New Roman"/>
        </w:rPr>
        <w:t xml:space="preserve"> SPS izvirzīšanu par atbildīgo visu pašvaldīb</w:t>
      </w:r>
      <w:r w:rsidR="00C02C2A" w:rsidRPr="000C2FEA">
        <w:rPr>
          <w:rFonts w:ascii="Times New Roman" w:hAnsi="Times New Roman" w:cs="Times New Roman"/>
        </w:rPr>
        <w:t>as</w:t>
      </w:r>
      <w:r w:rsidR="009B5124" w:rsidRPr="000C2FEA">
        <w:rPr>
          <w:rFonts w:ascii="Times New Roman" w:hAnsi="Times New Roman" w:cs="Times New Roman"/>
        </w:rPr>
        <w:t xml:space="preserve"> teritorijā</w:t>
      </w:r>
      <w:r w:rsidR="00C02C2A" w:rsidRPr="000C2FEA">
        <w:rPr>
          <w:rFonts w:ascii="Times New Roman" w:hAnsi="Times New Roman" w:cs="Times New Roman"/>
        </w:rPr>
        <w:t xml:space="preserve"> radīto</w:t>
      </w:r>
      <w:r w:rsidRPr="000C2FEA">
        <w:rPr>
          <w:rFonts w:ascii="Times New Roman" w:hAnsi="Times New Roman" w:cs="Times New Roman"/>
        </w:rPr>
        <w:t xml:space="preserve"> notekūdeņu dūņu apsaimniekoš</w:t>
      </w:r>
      <w:r w:rsidR="009B5124" w:rsidRPr="000C2FEA">
        <w:rPr>
          <w:rFonts w:ascii="Times New Roman" w:hAnsi="Times New Roman" w:cs="Times New Roman"/>
        </w:rPr>
        <w:t>an</w:t>
      </w:r>
      <w:r w:rsidR="00C02C2A" w:rsidRPr="000C2FEA">
        <w:rPr>
          <w:rFonts w:ascii="Times New Roman" w:hAnsi="Times New Roman" w:cs="Times New Roman"/>
        </w:rPr>
        <w:t>ai</w:t>
      </w:r>
      <w:r w:rsidRPr="000C2FEA">
        <w:rPr>
          <w:rFonts w:ascii="Times New Roman" w:hAnsi="Times New Roman" w:cs="Times New Roman"/>
        </w:rPr>
        <w:t xml:space="preserve">. SPS nodrošina visu pašvaldības </w:t>
      </w:r>
      <w:r w:rsidR="00C02C2A" w:rsidRPr="000C2FEA">
        <w:rPr>
          <w:rFonts w:ascii="Times New Roman" w:hAnsi="Times New Roman" w:cs="Times New Roman"/>
        </w:rPr>
        <w:t xml:space="preserve">teritorijā radīto </w:t>
      </w:r>
      <w:r w:rsidRPr="000C2FEA">
        <w:rPr>
          <w:rFonts w:ascii="Times New Roman" w:hAnsi="Times New Roman" w:cs="Times New Roman"/>
        </w:rPr>
        <w:t xml:space="preserve">notekūdeņu dūņu pārstrādi un utilizāciju. </w:t>
      </w:r>
      <w:r w:rsidR="00C02C2A" w:rsidRPr="000C2FEA">
        <w:rPr>
          <w:rFonts w:ascii="Times New Roman" w:hAnsi="Times New Roman" w:cs="Times New Roman"/>
        </w:rPr>
        <w:t>Noteiktais</w:t>
      </w:r>
      <w:r w:rsidRPr="000C2FEA">
        <w:rPr>
          <w:rFonts w:ascii="Times New Roman" w:hAnsi="Times New Roman" w:cs="Times New Roman"/>
        </w:rPr>
        <w:t xml:space="preserve"> SPS pieņem lēmumu un nosaka, kāds notekūdeņu dūņu apstrādes risinājums (slapju </w:t>
      </w:r>
      <w:r w:rsidR="00C02C2A" w:rsidRPr="000C2FEA">
        <w:rPr>
          <w:rFonts w:ascii="Times New Roman" w:hAnsi="Times New Roman" w:cs="Times New Roman"/>
        </w:rPr>
        <w:t xml:space="preserve">notekūdeņu </w:t>
      </w:r>
      <w:r w:rsidRPr="000C2FEA">
        <w:rPr>
          <w:rFonts w:ascii="Times New Roman" w:hAnsi="Times New Roman" w:cs="Times New Roman"/>
        </w:rPr>
        <w:t>dūņu vai mehāniski atūdeņotu</w:t>
      </w:r>
      <w:r w:rsidR="00C02C2A" w:rsidRPr="000C2FEA">
        <w:rPr>
          <w:rFonts w:ascii="Times New Roman" w:hAnsi="Times New Roman" w:cs="Times New Roman"/>
        </w:rPr>
        <w:t xml:space="preserve"> notekūdeņu</w:t>
      </w:r>
      <w:r w:rsidRPr="000C2FEA">
        <w:rPr>
          <w:rFonts w:ascii="Times New Roman" w:hAnsi="Times New Roman" w:cs="Times New Roman"/>
        </w:rPr>
        <w:t xml:space="preserve"> dūņu izvešana) tiek nodrošināt</w:t>
      </w:r>
      <w:r w:rsidR="00C02C2A" w:rsidRPr="000C2FEA">
        <w:rPr>
          <w:rFonts w:ascii="Times New Roman" w:hAnsi="Times New Roman" w:cs="Times New Roman"/>
        </w:rPr>
        <w:t>a</w:t>
      </w:r>
      <w:r w:rsidRPr="000C2FEA">
        <w:rPr>
          <w:rFonts w:ascii="Times New Roman" w:hAnsi="Times New Roman" w:cs="Times New Roman"/>
        </w:rPr>
        <w:t xml:space="preserve"> katrā NAI, neatkarīgi no tā, </w:t>
      </w:r>
      <w:r w:rsidR="00C02C2A" w:rsidRPr="000C2FEA">
        <w:rPr>
          <w:rFonts w:ascii="Times New Roman" w:hAnsi="Times New Roman" w:cs="Times New Roman"/>
        </w:rPr>
        <w:t>kurš SPS attiecīgās NAI apsaimnieko</w:t>
      </w:r>
      <w:r w:rsidRPr="000C2FEA">
        <w:rPr>
          <w:rFonts w:ascii="Times New Roman" w:hAnsi="Times New Roman" w:cs="Times New Roman"/>
        </w:rPr>
        <w:t xml:space="preserve">. </w:t>
      </w:r>
      <w:r w:rsidR="00C02C2A" w:rsidRPr="000C2FEA">
        <w:rPr>
          <w:rFonts w:ascii="Times New Roman" w:hAnsi="Times New Roman" w:cs="Times New Roman"/>
        </w:rPr>
        <w:t>Noteiktais</w:t>
      </w:r>
      <w:r w:rsidRPr="000C2FEA">
        <w:rPr>
          <w:rFonts w:ascii="Times New Roman" w:hAnsi="Times New Roman" w:cs="Times New Roman"/>
        </w:rPr>
        <w:t xml:space="preserve"> SPS kontrolē visu notekūdeņu dūņu </w:t>
      </w:r>
      <w:r w:rsidR="00C02C2A" w:rsidRPr="000C2FEA">
        <w:rPr>
          <w:rFonts w:ascii="Times New Roman" w:hAnsi="Times New Roman" w:cs="Times New Roman"/>
        </w:rPr>
        <w:t>apsaimniekošanu</w:t>
      </w:r>
      <w:r w:rsidRPr="000C2FEA">
        <w:rPr>
          <w:rFonts w:ascii="Times New Roman" w:hAnsi="Times New Roman" w:cs="Times New Roman"/>
        </w:rPr>
        <w:t xml:space="preserve"> visās </w:t>
      </w:r>
      <w:r w:rsidRPr="000C2FEA">
        <w:rPr>
          <w:rFonts w:ascii="Times New Roman" w:hAnsi="Times New Roman" w:cs="Times New Roman"/>
        </w:rPr>
        <w:lastRenderedPageBreak/>
        <w:t xml:space="preserve">pašvaldības NAI un nodrošina regulāru lieko </w:t>
      </w:r>
      <w:r w:rsidR="00C02C2A" w:rsidRPr="000C2FEA">
        <w:rPr>
          <w:rFonts w:ascii="Times New Roman" w:hAnsi="Times New Roman" w:cs="Times New Roman"/>
        </w:rPr>
        <w:t xml:space="preserve">notekūdeņu </w:t>
      </w:r>
      <w:r w:rsidRPr="000C2FEA">
        <w:rPr>
          <w:rFonts w:ascii="Times New Roman" w:hAnsi="Times New Roman" w:cs="Times New Roman"/>
        </w:rPr>
        <w:t>dūņu noņemšanu un nogādāšanu dūņu pārstrādes centr</w:t>
      </w:r>
      <w:r w:rsidR="00C02C2A" w:rsidRPr="000C2FEA">
        <w:rPr>
          <w:rFonts w:ascii="Times New Roman" w:hAnsi="Times New Roman" w:cs="Times New Roman"/>
        </w:rPr>
        <w:t>ā</w:t>
      </w:r>
      <w:r w:rsidRPr="000C2FEA">
        <w:rPr>
          <w:rFonts w:ascii="Times New Roman" w:hAnsi="Times New Roman" w:cs="Times New Roman"/>
        </w:rPr>
        <w:t xml:space="preserve">. Izvirzītais SPS pieņem lēmumu par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pārstrādes centra izveidi pašvaldībā un atbilstošāko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pārstrādes metodi. Lēmumu par labāko </w:t>
      </w:r>
      <w:r w:rsidR="009B5124" w:rsidRPr="000C2FEA">
        <w:rPr>
          <w:rFonts w:ascii="Times New Roman" w:hAnsi="Times New Roman" w:cs="Times New Roman"/>
        </w:rPr>
        <w:t xml:space="preserve">notekūdeņu </w:t>
      </w:r>
      <w:r w:rsidRPr="000C2FEA">
        <w:rPr>
          <w:rFonts w:ascii="Times New Roman" w:hAnsi="Times New Roman" w:cs="Times New Roman"/>
        </w:rPr>
        <w:t>dūņu pārstrādes veidu un risinājumu izvirzītais SPS pieņem vadoties no</w:t>
      </w:r>
      <w:r w:rsidR="009B5124" w:rsidRPr="000C2FEA">
        <w:rPr>
          <w:rFonts w:ascii="Times New Roman" w:hAnsi="Times New Roman" w:cs="Times New Roman"/>
        </w:rPr>
        <w:t xml:space="preserve"> </w:t>
      </w:r>
      <w:r w:rsidRPr="000C2FEA">
        <w:rPr>
          <w:rFonts w:ascii="Times New Roman" w:hAnsi="Times New Roman" w:cs="Times New Roman"/>
        </w:rPr>
        <w:t>pieejamās infrastruktūras, tās tehniskā stāvokļa,</w:t>
      </w:r>
      <w:r w:rsidR="009B5124" w:rsidRPr="000C2FEA">
        <w:rPr>
          <w:rFonts w:ascii="Times New Roman" w:hAnsi="Times New Roman" w:cs="Times New Roman"/>
        </w:rPr>
        <w:t xml:space="preserve"> apsaimniekojamā notekūdeņu</w:t>
      </w:r>
      <w:r w:rsidRPr="000C2FEA">
        <w:rPr>
          <w:rFonts w:ascii="Times New Roman" w:hAnsi="Times New Roman" w:cs="Times New Roman"/>
        </w:rPr>
        <w:t xml:space="preserve"> dūņu apjoma, izmaksu aspekta u.c. faktoriem. Pārstrādātu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utilizāciju nodrošina notekūdeņu dūņu pārstrādes centrs. </w:t>
      </w:r>
    </w:p>
    <w:p w14:paraId="33D57985" w14:textId="42325FE3" w:rsidR="00CB4E7C" w:rsidRPr="000C2FEA" w:rsidRDefault="00CB4E7C" w:rsidP="00CB4E7C">
      <w:pPr>
        <w:spacing w:before="120" w:after="120"/>
        <w:ind w:firstLine="720"/>
        <w:rPr>
          <w:rFonts w:ascii="Times New Roman" w:hAnsi="Times New Roman" w:cs="Times New Roman"/>
        </w:rPr>
      </w:pPr>
      <w:r w:rsidRPr="000C2FEA">
        <w:rPr>
          <w:rFonts w:ascii="Times New Roman" w:hAnsi="Times New Roman" w:cs="Times New Roman"/>
        </w:rPr>
        <w:t>15 mazo novadu SPS, kur</w:t>
      </w:r>
      <w:r w:rsidR="009B5124" w:rsidRPr="000C2FEA">
        <w:rPr>
          <w:rFonts w:ascii="Times New Roman" w:hAnsi="Times New Roman" w:cs="Times New Roman"/>
        </w:rPr>
        <w:t>os</w:t>
      </w:r>
      <w:r w:rsidRPr="000C2FEA">
        <w:rPr>
          <w:rFonts w:ascii="Times New Roman" w:hAnsi="Times New Roman" w:cs="Times New Roman"/>
        </w:rPr>
        <w:t xml:space="preserve"> netiks veidots atsevišķs </w:t>
      </w:r>
      <w:r w:rsidR="009B5124" w:rsidRPr="000C2FEA">
        <w:rPr>
          <w:rFonts w:ascii="Times New Roman" w:hAnsi="Times New Roman" w:cs="Times New Roman"/>
        </w:rPr>
        <w:t xml:space="preserve">notekūdeņu </w:t>
      </w:r>
      <w:r w:rsidRPr="000C2FEA">
        <w:rPr>
          <w:rFonts w:ascii="Times New Roman" w:hAnsi="Times New Roman" w:cs="Times New Roman"/>
        </w:rPr>
        <w:t>dūņu pārstrādes centrs saskaņā ar D5. alternatīvu, pieņem lēmumu</w:t>
      </w:r>
      <w:r w:rsidR="009B5124" w:rsidRPr="000C2FEA">
        <w:rPr>
          <w:rFonts w:ascii="Times New Roman" w:hAnsi="Times New Roman" w:cs="Times New Roman"/>
        </w:rPr>
        <w:t xml:space="preserve"> </w:t>
      </w:r>
      <w:r w:rsidRPr="000C2FEA">
        <w:rPr>
          <w:rFonts w:ascii="Times New Roman" w:hAnsi="Times New Roman" w:cs="Times New Roman"/>
        </w:rPr>
        <w:t xml:space="preserve">par </w:t>
      </w:r>
      <w:r w:rsidR="009B5124" w:rsidRPr="000C2FEA">
        <w:rPr>
          <w:rFonts w:ascii="Times New Roman" w:hAnsi="Times New Roman" w:cs="Times New Roman"/>
        </w:rPr>
        <w:t xml:space="preserve">notekūdeņu </w:t>
      </w:r>
      <w:r w:rsidRPr="000C2FEA">
        <w:rPr>
          <w:rFonts w:ascii="Times New Roman" w:hAnsi="Times New Roman" w:cs="Times New Roman"/>
        </w:rPr>
        <w:t>dūņu nodošanu pārstrādei blakus novadā, kā rezultātā mazo</w:t>
      </w:r>
      <w:r w:rsidR="009B5124" w:rsidRPr="000C2FEA">
        <w:rPr>
          <w:rFonts w:ascii="Times New Roman" w:hAnsi="Times New Roman" w:cs="Times New Roman"/>
        </w:rPr>
        <w:t xml:space="preserve"> </w:t>
      </w:r>
      <w:r w:rsidRPr="000C2FEA">
        <w:rPr>
          <w:rFonts w:ascii="Times New Roman" w:hAnsi="Times New Roman" w:cs="Times New Roman"/>
        </w:rPr>
        <w:t>pašvaldību izvēlētais SPS plāno, organizē un veic visu pašvaldībā izveidojušos notekūdeņu dūņu savākšanu un apstrādi (mehānisku atūdeņošanu) un to nogādāšanu atbilstošajā notekūdeņu dūņu pārstrādes centrā.</w:t>
      </w:r>
    </w:p>
    <w:p w14:paraId="1FA3AD33" w14:textId="279C3B1A" w:rsidR="00CB4E7C" w:rsidRPr="000C2FEA" w:rsidRDefault="00CB4E7C" w:rsidP="00CB4E7C">
      <w:pPr>
        <w:spacing w:before="120" w:after="120"/>
        <w:ind w:firstLine="720"/>
        <w:rPr>
          <w:rFonts w:ascii="Times New Roman" w:hAnsi="Times New Roman" w:cs="Times New Roman"/>
        </w:rPr>
      </w:pPr>
      <w:r w:rsidRPr="000C2FEA">
        <w:rPr>
          <w:rFonts w:ascii="Times New Roman" w:hAnsi="Times New Roman" w:cs="Times New Roman"/>
        </w:rPr>
        <w:t xml:space="preserve">Atbilstoši pieņemtajiem lēmumiem un/vai noslēgtajiem sadarbības līgumiem tiek plānotas notekūdeņu dūņu apsaimniekošanai nepieciešamās infrastruktūras izveide. Alternatīva neizslēdz iespēju </w:t>
      </w:r>
      <w:r w:rsidR="009B5124" w:rsidRPr="000C2FEA">
        <w:rPr>
          <w:rFonts w:ascii="Times New Roman" w:hAnsi="Times New Roman" w:cs="Times New Roman"/>
        </w:rPr>
        <w:t xml:space="preserve">vairāk pašvaldībām </w:t>
      </w:r>
      <w:r w:rsidRPr="000C2FEA">
        <w:rPr>
          <w:rFonts w:ascii="Times New Roman" w:hAnsi="Times New Roman" w:cs="Times New Roman"/>
        </w:rPr>
        <w:t>vienoties</w:t>
      </w:r>
      <w:r w:rsidR="009B5124" w:rsidRPr="000C2FEA">
        <w:rPr>
          <w:rFonts w:ascii="Times New Roman" w:hAnsi="Times New Roman" w:cs="Times New Roman"/>
        </w:rPr>
        <w:t xml:space="preserve"> par savstarpēju sadarbī</w:t>
      </w:r>
      <w:r w:rsidR="004C584C">
        <w:rPr>
          <w:rFonts w:ascii="Times New Roman" w:hAnsi="Times New Roman" w:cs="Times New Roman"/>
        </w:rPr>
        <w:t>b</w:t>
      </w:r>
      <w:r w:rsidR="009B5124" w:rsidRPr="000C2FEA">
        <w:rPr>
          <w:rFonts w:ascii="Times New Roman" w:hAnsi="Times New Roman" w:cs="Times New Roman"/>
        </w:rPr>
        <w:t>u</w:t>
      </w:r>
      <w:r w:rsidRPr="000C2FEA">
        <w:rPr>
          <w:rFonts w:ascii="Times New Roman" w:hAnsi="Times New Roman" w:cs="Times New Roman"/>
        </w:rPr>
        <w:t xml:space="preserve"> </w:t>
      </w:r>
      <w:r w:rsidR="009B5124" w:rsidRPr="000C2FEA">
        <w:rPr>
          <w:rFonts w:ascii="Times New Roman" w:hAnsi="Times New Roman" w:cs="Times New Roman"/>
        </w:rPr>
        <w:t>ne</w:t>
      </w:r>
      <w:r w:rsidRPr="000C2FEA">
        <w:rPr>
          <w:rFonts w:ascii="Times New Roman" w:hAnsi="Times New Roman" w:cs="Times New Roman"/>
        </w:rPr>
        <w:t>kā tas ir paredzēts alternatīvas D5. ietvaros (2</w:t>
      </w:r>
      <w:r w:rsidR="00C37641">
        <w:rPr>
          <w:rFonts w:ascii="Times New Roman" w:hAnsi="Times New Roman" w:cs="Times New Roman"/>
        </w:rPr>
        <w:t>7</w:t>
      </w:r>
      <w:r w:rsidR="00EA3FAE" w:rsidRPr="000C2FEA">
        <w:rPr>
          <w:rFonts w:ascii="Times New Roman" w:hAnsi="Times New Roman" w:cs="Times New Roman"/>
        </w:rPr>
        <w:t xml:space="preserve"> notekūdeņu</w:t>
      </w:r>
      <w:r w:rsidRPr="000C2FEA">
        <w:rPr>
          <w:rFonts w:ascii="Times New Roman" w:hAnsi="Times New Roman" w:cs="Times New Roman"/>
        </w:rPr>
        <w:t xml:space="preserve"> dūņu centri). Tā pat ir ieteicams, ka </w:t>
      </w:r>
      <w:r w:rsidR="008746F4" w:rsidRPr="000C2FEA">
        <w:rPr>
          <w:rFonts w:ascii="Times New Roman" w:hAnsi="Times New Roman" w:cs="Times New Roman"/>
        </w:rPr>
        <w:t>mazo</w:t>
      </w:r>
      <w:r w:rsidRPr="000C2FEA">
        <w:rPr>
          <w:rFonts w:ascii="Times New Roman" w:hAnsi="Times New Roman" w:cs="Times New Roman"/>
        </w:rPr>
        <w:t xml:space="preserve"> pašvaldību atbildīgais SPS par notekūdeņu dūņu apsaimniekošanas organizēšanu izvēlas kaimiņu pašvaldības SPS ar ko tiek slēgts atbilstošs sadarbības līgum</w:t>
      </w:r>
      <w:r w:rsidR="009B5124" w:rsidRPr="000C2FEA">
        <w:rPr>
          <w:rFonts w:ascii="Times New Roman" w:hAnsi="Times New Roman" w:cs="Times New Roman"/>
        </w:rPr>
        <w:t>s</w:t>
      </w:r>
      <w:r w:rsidRPr="000C2FEA">
        <w:rPr>
          <w:rFonts w:ascii="Times New Roman" w:hAnsi="Times New Roman" w:cs="Times New Roman"/>
        </w:rPr>
        <w:t xml:space="preserve">. Šāda iespēja kā atbilstošākā būtu jāizvērtē Dienvidkurzemes, Ventspils, Jelgavas, Rēzeknes un </w:t>
      </w:r>
      <w:r w:rsidR="009B5124" w:rsidRPr="000C2FEA">
        <w:rPr>
          <w:rFonts w:ascii="Times New Roman" w:hAnsi="Times New Roman" w:cs="Times New Roman"/>
        </w:rPr>
        <w:t>Augšzemes novada</w:t>
      </w:r>
      <w:r w:rsidRPr="000C2FEA">
        <w:rPr>
          <w:rFonts w:ascii="Times New Roman" w:hAnsi="Times New Roman" w:cs="Times New Roman"/>
        </w:rPr>
        <w:t xml:space="preserve"> pašvaldībām, kuru tiešā tuvumā ir lielākie plānotie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pārstrādes centri, kamēr </w:t>
      </w:r>
      <w:r w:rsidR="009B5124" w:rsidRPr="000C2FEA">
        <w:rPr>
          <w:rFonts w:ascii="Times New Roman" w:hAnsi="Times New Roman" w:cs="Times New Roman"/>
        </w:rPr>
        <w:t>novadu</w:t>
      </w:r>
      <w:r w:rsidRPr="000C2FEA">
        <w:rPr>
          <w:rFonts w:ascii="Times New Roman" w:hAnsi="Times New Roman" w:cs="Times New Roman"/>
        </w:rPr>
        <w:t xml:space="preserve"> pašvaldībās radītais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apjoms ir </w:t>
      </w:r>
      <w:r w:rsidR="009B5124" w:rsidRPr="000C2FEA">
        <w:rPr>
          <w:rFonts w:ascii="Times New Roman" w:hAnsi="Times New Roman" w:cs="Times New Roman"/>
        </w:rPr>
        <w:t>neliels</w:t>
      </w:r>
      <w:r w:rsidRPr="000C2FEA">
        <w:rPr>
          <w:rFonts w:ascii="Times New Roman" w:hAnsi="Times New Roman" w:cs="Times New Roman"/>
        </w:rPr>
        <w:t>.</w:t>
      </w:r>
    </w:p>
    <w:p w14:paraId="653834BF" w14:textId="0EFE83EA" w:rsidR="00CB4E7C" w:rsidRDefault="00CB4E7C" w:rsidP="000C2FEA">
      <w:pPr>
        <w:spacing w:after="0"/>
        <w:ind w:firstLine="720"/>
        <w:rPr>
          <w:rFonts w:ascii="Times New Roman" w:hAnsi="Times New Roman" w:cs="Times New Roman"/>
        </w:rPr>
      </w:pPr>
      <w:r w:rsidRPr="000C2FEA">
        <w:rPr>
          <w:rFonts w:ascii="Times New Roman" w:hAnsi="Times New Roman" w:cs="Times New Roman"/>
        </w:rPr>
        <w:t>Alternatīvas īstenošana ir iespējama pastāvošā juridiskā regulējuma un administratīvā resursa ietvaros, ar minimālām izmaiņām līgumos vai lēmumos par sabiedrisko pakalpojumu sniegšanu. Kopā ar VARAM ir jāvērtē nepieciešamība veikt grozījumus Ūdenssaimniecības pakalpojumu likum</w:t>
      </w:r>
      <w:r w:rsidR="008746F4" w:rsidRPr="000C2FEA">
        <w:rPr>
          <w:rFonts w:ascii="Times New Roman" w:hAnsi="Times New Roman" w:cs="Times New Roman"/>
        </w:rPr>
        <w:t>ā</w:t>
      </w:r>
      <w:r w:rsidRPr="000C2FEA">
        <w:rPr>
          <w:rFonts w:ascii="Times New Roman" w:hAnsi="Times New Roman" w:cs="Times New Roman"/>
        </w:rPr>
        <w:t xml:space="preserve">, iekļaujot uzdevumu pašvaldībai šādu NAI dalījumu noteikt, vai arī ir izmantot minētā likuma </w:t>
      </w:r>
      <w:r w:rsidR="008746F4" w:rsidRPr="000C2FEA">
        <w:rPr>
          <w:rFonts w:ascii="Times New Roman" w:hAnsi="Times New Roman" w:cs="Times New Roman"/>
        </w:rPr>
        <w:t>iespējas</w:t>
      </w:r>
      <w:r w:rsidRPr="000C2FEA">
        <w:rPr>
          <w:rFonts w:ascii="Times New Roman" w:hAnsi="Times New Roman" w:cs="Times New Roman"/>
        </w:rPr>
        <w:t xml:space="preserve">, šādas prasības </w:t>
      </w:r>
      <w:r w:rsidR="008746F4" w:rsidRPr="000C2FEA">
        <w:rPr>
          <w:rFonts w:ascii="Times New Roman" w:hAnsi="Times New Roman" w:cs="Times New Roman"/>
        </w:rPr>
        <w:t xml:space="preserve">nosakot </w:t>
      </w:r>
      <w:r w:rsidRPr="000C2FEA">
        <w:rPr>
          <w:rFonts w:ascii="Times New Roman" w:hAnsi="Times New Roman" w:cs="Times New Roman"/>
        </w:rPr>
        <w:t xml:space="preserve">pašvaldības saistošajos noteikumos.  </w:t>
      </w:r>
    </w:p>
    <w:p w14:paraId="551760A7" w14:textId="77777777" w:rsidR="000C2FEA" w:rsidRPr="000C2FEA" w:rsidRDefault="000C2FEA" w:rsidP="000C2FEA">
      <w:pPr>
        <w:spacing w:after="0"/>
        <w:ind w:firstLine="720"/>
        <w:rPr>
          <w:rFonts w:ascii="Times New Roman" w:hAnsi="Times New Roman" w:cs="Times New Roman"/>
        </w:rPr>
      </w:pPr>
    </w:p>
    <w:p w14:paraId="384C7E92" w14:textId="1B4C2CB2" w:rsidR="00CB4E7C" w:rsidRPr="000C2FEA" w:rsidRDefault="00CB4E7C" w:rsidP="000C2FEA">
      <w:pPr>
        <w:pStyle w:val="Heading2"/>
        <w:spacing w:before="0"/>
        <w:jc w:val="center"/>
        <w:rPr>
          <w:rFonts w:ascii="Times New Roman" w:eastAsia="Times New Roman" w:hAnsi="Times New Roman" w:cs="Times New Roman"/>
          <w:b/>
          <w:bCs/>
          <w:color w:val="auto"/>
          <w:sz w:val="24"/>
          <w:szCs w:val="24"/>
          <w:lang w:eastAsia="en-GB"/>
        </w:rPr>
      </w:pPr>
      <w:bookmarkStart w:id="60" w:name="_Toc82430171"/>
      <w:bookmarkStart w:id="61" w:name="_Toc107916323"/>
      <w:r w:rsidRPr="000C2FEA">
        <w:rPr>
          <w:rFonts w:ascii="Times New Roman" w:eastAsia="Times New Roman" w:hAnsi="Times New Roman" w:cs="Times New Roman"/>
          <w:b/>
          <w:bCs/>
          <w:color w:val="auto"/>
          <w:sz w:val="24"/>
          <w:szCs w:val="24"/>
          <w:lang w:eastAsia="en-GB"/>
        </w:rPr>
        <w:t xml:space="preserve">E3. Alternatīva: Vienota notekūdeņu dūņu apsaimniekošana reģionālā vai valsts mērogā veidojot jaunu </w:t>
      </w:r>
      <w:r w:rsidR="009B5124" w:rsidRPr="000C2FEA">
        <w:rPr>
          <w:rFonts w:ascii="Times New Roman" w:eastAsia="Times New Roman" w:hAnsi="Times New Roman" w:cs="Times New Roman"/>
          <w:b/>
          <w:bCs/>
          <w:color w:val="auto"/>
          <w:sz w:val="24"/>
          <w:szCs w:val="24"/>
          <w:lang w:eastAsia="en-GB"/>
        </w:rPr>
        <w:t xml:space="preserve">notekūdeņu </w:t>
      </w:r>
      <w:r w:rsidRPr="000C2FEA">
        <w:rPr>
          <w:rFonts w:ascii="Times New Roman" w:eastAsia="Times New Roman" w:hAnsi="Times New Roman" w:cs="Times New Roman"/>
          <w:b/>
          <w:bCs/>
          <w:color w:val="auto"/>
          <w:sz w:val="24"/>
          <w:szCs w:val="24"/>
          <w:lang w:eastAsia="en-GB"/>
        </w:rPr>
        <w:t>dūņu pārstrādes centru operatoru</w:t>
      </w:r>
      <w:bookmarkEnd w:id="60"/>
      <w:bookmarkEnd w:id="61"/>
    </w:p>
    <w:p w14:paraId="4A3477B0" w14:textId="77777777" w:rsidR="000C2FEA" w:rsidRDefault="000C2FEA" w:rsidP="000C2FEA">
      <w:pPr>
        <w:spacing w:after="0"/>
        <w:ind w:firstLine="720"/>
        <w:rPr>
          <w:rFonts w:ascii="Times New Roman" w:hAnsi="Times New Roman" w:cs="Times New Roman"/>
        </w:rPr>
      </w:pPr>
    </w:p>
    <w:p w14:paraId="69A07231" w14:textId="7CE3CCCB" w:rsidR="00CB4E7C" w:rsidRPr="000C2FEA" w:rsidRDefault="00CB4E7C" w:rsidP="000C2FEA">
      <w:pPr>
        <w:spacing w:after="0"/>
        <w:ind w:firstLine="720"/>
        <w:rPr>
          <w:rFonts w:ascii="Times New Roman" w:hAnsi="Times New Roman" w:cs="Times New Roman"/>
        </w:rPr>
      </w:pPr>
      <w:r w:rsidRPr="000C2FEA">
        <w:rPr>
          <w:rFonts w:ascii="Times New Roman" w:hAnsi="Times New Roman" w:cs="Times New Roman"/>
        </w:rPr>
        <w:t xml:space="preserve">Alternatīvas E3. pamatā ir valsts vai reģionu (vienojoties vairākām pašvaldībām) </w:t>
      </w:r>
      <w:r w:rsidR="009B5124" w:rsidRPr="000C2FEA">
        <w:rPr>
          <w:rFonts w:ascii="Times New Roman" w:hAnsi="Times New Roman" w:cs="Times New Roman"/>
        </w:rPr>
        <w:t>iz</w:t>
      </w:r>
      <w:r w:rsidRPr="000C2FEA">
        <w:rPr>
          <w:rFonts w:ascii="Times New Roman" w:hAnsi="Times New Roman" w:cs="Times New Roman"/>
        </w:rPr>
        <w:t xml:space="preserve">veidots jauns uzņēmums, </w:t>
      </w:r>
      <w:r w:rsidR="009B5124" w:rsidRPr="000C2FEA">
        <w:rPr>
          <w:rFonts w:ascii="Times New Roman" w:hAnsi="Times New Roman" w:cs="Times New Roman"/>
        </w:rPr>
        <w:t>kas</w:t>
      </w:r>
      <w:r w:rsidRPr="000C2FEA">
        <w:rPr>
          <w:rFonts w:ascii="Times New Roman" w:hAnsi="Times New Roman" w:cs="Times New Roman"/>
        </w:rPr>
        <w:t xml:space="preserve"> nodrošina visu notekūdeņu dūņu pārstrādi un utilizāciju. </w:t>
      </w:r>
      <w:r w:rsidR="009B5124" w:rsidRPr="000C2FEA">
        <w:rPr>
          <w:rFonts w:ascii="Times New Roman" w:hAnsi="Times New Roman" w:cs="Times New Roman"/>
        </w:rPr>
        <w:t>Šāds</w:t>
      </w:r>
      <w:r w:rsidRPr="000C2FEA">
        <w:rPr>
          <w:rFonts w:ascii="Times New Roman" w:hAnsi="Times New Roman" w:cs="Times New Roman"/>
        </w:rPr>
        <w:t xml:space="preserve"> uzņēmums pieņem lēmumu par atbilstoš</w:t>
      </w:r>
      <w:r w:rsidR="009B5124" w:rsidRPr="000C2FEA">
        <w:rPr>
          <w:rFonts w:ascii="Times New Roman" w:hAnsi="Times New Roman" w:cs="Times New Roman"/>
        </w:rPr>
        <w:t>āko</w:t>
      </w:r>
      <w:r w:rsidRPr="000C2FEA">
        <w:rPr>
          <w:rFonts w:ascii="Times New Roman" w:hAnsi="Times New Roman" w:cs="Times New Roman"/>
        </w:rPr>
        <w:t xml:space="preserve">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pārstrādes centru izveidi Latvijā, to faktisko atrašanās vietu un izvēlēto </w:t>
      </w:r>
      <w:r w:rsidR="009B5124" w:rsidRPr="000C2FEA">
        <w:rPr>
          <w:rFonts w:ascii="Times New Roman" w:hAnsi="Times New Roman" w:cs="Times New Roman"/>
        </w:rPr>
        <w:t xml:space="preserve">notekūdeņu </w:t>
      </w:r>
      <w:r w:rsidRPr="000C2FEA">
        <w:rPr>
          <w:rFonts w:ascii="Times New Roman" w:hAnsi="Times New Roman" w:cs="Times New Roman"/>
        </w:rPr>
        <w:t>dūņu pārstrādes metodi katrā pārstrādes centrā individuāli. Valsts uzņēmums lēmumus pieņemtu valsts mērogā, bet, ja tiek izvēlēts reģionu modelis, tad tas pieņem</w:t>
      </w:r>
      <w:r w:rsidR="00A162D4" w:rsidRPr="000C2FEA">
        <w:rPr>
          <w:rFonts w:ascii="Times New Roman" w:hAnsi="Times New Roman" w:cs="Times New Roman"/>
        </w:rPr>
        <w:t>tu</w:t>
      </w:r>
      <w:r w:rsidRPr="000C2FEA">
        <w:rPr>
          <w:rFonts w:ascii="Times New Roman" w:hAnsi="Times New Roman" w:cs="Times New Roman"/>
        </w:rPr>
        <w:t xml:space="preserve"> lēmumus reģiona ietvaros.</w:t>
      </w:r>
    </w:p>
    <w:p w14:paraId="4B49A2C2" w14:textId="0518DAF1" w:rsidR="00CB4E7C" w:rsidRPr="000C2FEA" w:rsidRDefault="00CB4E7C" w:rsidP="00CB4E7C">
      <w:pPr>
        <w:spacing w:before="120" w:after="120"/>
        <w:ind w:firstLine="720"/>
        <w:rPr>
          <w:rFonts w:ascii="Times New Roman" w:hAnsi="Times New Roman" w:cs="Times New Roman"/>
        </w:rPr>
      </w:pPr>
      <w:r w:rsidRPr="000C2FEA">
        <w:rPr>
          <w:rFonts w:ascii="Times New Roman" w:hAnsi="Times New Roman" w:cs="Times New Roman"/>
        </w:rPr>
        <w:t xml:space="preserve">Lai notekūdeņu dūņas nonāktu pie valsts vai reģionu izveidota jaunā notekūdeņu dūņu apsaimniekošanas uzņēmuma, līdzīgi kā alternatīvas E2. gadījumā, vietējās pašvaldības pieņemtu lēmumu par viena tās teritorijā </w:t>
      </w:r>
      <w:r w:rsidR="009B5124" w:rsidRPr="000C2FEA">
        <w:rPr>
          <w:rFonts w:ascii="Times New Roman" w:hAnsi="Times New Roman" w:cs="Times New Roman"/>
        </w:rPr>
        <w:t>strādājoša</w:t>
      </w:r>
      <w:r w:rsidRPr="000C2FEA">
        <w:rPr>
          <w:rFonts w:ascii="Times New Roman" w:hAnsi="Times New Roman" w:cs="Times New Roman"/>
        </w:rPr>
        <w:t xml:space="preserve"> SPS </w:t>
      </w:r>
      <w:r w:rsidR="009B5124" w:rsidRPr="000C2FEA">
        <w:rPr>
          <w:rFonts w:ascii="Times New Roman" w:hAnsi="Times New Roman" w:cs="Times New Roman"/>
        </w:rPr>
        <w:t xml:space="preserve">izvirzīšanu par atbildīgo visu pašvaldības teritorijā radīto notekūdeņu dūņu apsaimniekošanai. </w:t>
      </w:r>
      <w:r w:rsidRPr="000C2FEA">
        <w:rPr>
          <w:rFonts w:ascii="Times New Roman" w:hAnsi="Times New Roman" w:cs="Times New Roman"/>
        </w:rPr>
        <w:t xml:space="preserve"> </w:t>
      </w:r>
      <w:r w:rsidR="009B5124" w:rsidRPr="000C2FEA">
        <w:rPr>
          <w:rFonts w:ascii="Times New Roman" w:hAnsi="Times New Roman" w:cs="Times New Roman"/>
        </w:rPr>
        <w:t>Šāds</w:t>
      </w:r>
      <w:r w:rsidRPr="000C2FEA">
        <w:rPr>
          <w:rFonts w:ascii="Times New Roman" w:hAnsi="Times New Roman" w:cs="Times New Roman"/>
        </w:rPr>
        <w:t xml:space="preserve"> SPS pieņemtu lēmumus un noteiktu, kāds notekūdeņu dūņu apstrādes risinājums (slapju</w:t>
      </w:r>
      <w:r w:rsidR="009B5124" w:rsidRPr="000C2FEA">
        <w:rPr>
          <w:rFonts w:ascii="Times New Roman" w:hAnsi="Times New Roman" w:cs="Times New Roman"/>
        </w:rPr>
        <w:t xml:space="preserve"> notekūdeņu</w:t>
      </w:r>
      <w:r w:rsidRPr="000C2FEA">
        <w:rPr>
          <w:rFonts w:ascii="Times New Roman" w:hAnsi="Times New Roman" w:cs="Times New Roman"/>
        </w:rPr>
        <w:t xml:space="preserve"> dūņu vai mehāniski atūdeņotu </w:t>
      </w:r>
      <w:r w:rsidR="009B5124" w:rsidRPr="000C2FEA">
        <w:rPr>
          <w:rFonts w:ascii="Times New Roman" w:hAnsi="Times New Roman" w:cs="Times New Roman"/>
        </w:rPr>
        <w:t xml:space="preserve">notekūdeņu </w:t>
      </w:r>
      <w:r w:rsidRPr="000C2FEA">
        <w:rPr>
          <w:rFonts w:ascii="Times New Roman" w:hAnsi="Times New Roman" w:cs="Times New Roman"/>
        </w:rPr>
        <w:t>dūņu izvešana) tiek nodrošināt</w:t>
      </w:r>
      <w:r w:rsidR="009B5124" w:rsidRPr="000C2FEA">
        <w:rPr>
          <w:rFonts w:ascii="Times New Roman" w:hAnsi="Times New Roman" w:cs="Times New Roman"/>
        </w:rPr>
        <w:t>a</w:t>
      </w:r>
      <w:r w:rsidRPr="000C2FEA">
        <w:rPr>
          <w:rFonts w:ascii="Times New Roman" w:hAnsi="Times New Roman" w:cs="Times New Roman"/>
        </w:rPr>
        <w:t xml:space="preserve"> </w:t>
      </w:r>
      <w:r w:rsidRPr="000C2FEA">
        <w:rPr>
          <w:rFonts w:ascii="Times New Roman" w:hAnsi="Times New Roman" w:cs="Times New Roman"/>
        </w:rPr>
        <w:lastRenderedPageBreak/>
        <w:t xml:space="preserve">katrā pašvaldības NAI, neatkarīgi no tā, kam pieder NAI vai kas tās apkalpo. </w:t>
      </w:r>
      <w:r w:rsidR="009B5124" w:rsidRPr="000C2FEA">
        <w:rPr>
          <w:rFonts w:ascii="Times New Roman" w:hAnsi="Times New Roman" w:cs="Times New Roman"/>
        </w:rPr>
        <w:t xml:space="preserve">Noteiktais SPS kontrolē visu notekūdeņu dūņu apsaimniekošanu visās pašvaldības NAI un nodrošina regulāru lieko notekūdeņu dūņu noņemšanu un nogādāšanu dūņu pārstrādes centrā. </w:t>
      </w:r>
      <w:r w:rsidRPr="000C2FEA">
        <w:rPr>
          <w:rFonts w:ascii="Times New Roman" w:hAnsi="Times New Roman" w:cs="Times New Roman"/>
        </w:rPr>
        <w:t>No jauna izveidotas valsts vai reģionu uzņēmums pieņemtu tikai mehāniski atūdeņotas (apstrādātas) notekūdeņu dūņas no pašvaldības izvēlētā SPS tā norādītajās vietās un laikā.</w:t>
      </w:r>
    </w:p>
    <w:p w14:paraId="62F5C7F6" w14:textId="09D3A5B8" w:rsidR="00CB4E7C" w:rsidRPr="000C2FEA" w:rsidRDefault="00CB4E7C" w:rsidP="00CB4E7C">
      <w:pPr>
        <w:spacing w:before="120" w:after="120"/>
        <w:ind w:firstLine="720"/>
        <w:rPr>
          <w:rFonts w:ascii="Times New Roman" w:hAnsi="Times New Roman" w:cs="Times New Roman"/>
        </w:rPr>
      </w:pPr>
      <w:r w:rsidRPr="000C2FEA">
        <w:rPr>
          <w:rFonts w:ascii="Times New Roman" w:hAnsi="Times New Roman" w:cs="Times New Roman"/>
        </w:rPr>
        <w:t xml:space="preserve">Var prognozēt, ka kopumā valstī veidosies aptuveni 60 līdz 70 vietas, kur ir ekonomiski pamatoti veikt mehānisku notekūdeņu dūņu atūdeņošanu pirms to nogādāšanas </w:t>
      </w:r>
      <w:r w:rsidR="009B5124" w:rsidRPr="000C2FEA">
        <w:rPr>
          <w:rFonts w:ascii="Times New Roman" w:hAnsi="Times New Roman" w:cs="Times New Roman"/>
        </w:rPr>
        <w:t xml:space="preserve">notekūdeņu </w:t>
      </w:r>
      <w:r w:rsidRPr="000C2FEA">
        <w:rPr>
          <w:rFonts w:ascii="Times New Roman" w:hAnsi="Times New Roman" w:cs="Times New Roman"/>
        </w:rPr>
        <w:t>dūņu pārstrādes centros</w:t>
      </w:r>
      <w:r w:rsidR="009B5124" w:rsidRPr="000C2FEA">
        <w:rPr>
          <w:rFonts w:ascii="Times New Roman" w:hAnsi="Times New Roman" w:cs="Times New Roman"/>
        </w:rPr>
        <w:t>.</w:t>
      </w:r>
      <w:r w:rsidRPr="000C2FEA">
        <w:rPr>
          <w:rFonts w:ascii="Times New Roman" w:hAnsi="Times New Roman" w:cs="Times New Roman"/>
        </w:rPr>
        <w:t xml:space="preserve"> </w:t>
      </w:r>
    </w:p>
    <w:p w14:paraId="0A052042" w14:textId="704CD941" w:rsidR="00CB4E7C" w:rsidRDefault="00CB4E7C" w:rsidP="000C2FEA">
      <w:pPr>
        <w:spacing w:after="0"/>
        <w:ind w:firstLine="720"/>
        <w:rPr>
          <w:rFonts w:ascii="Times New Roman" w:hAnsi="Times New Roman" w:cs="Times New Roman"/>
        </w:rPr>
      </w:pPr>
      <w:r w:rsidRPr="000C2FEA">
        <w:rPr>
          <w:rFonts w:ascii="Times New Roman" w:hAnsi="Times New Roman" w:cs="Times New Roman"/>
        </w:rPr>
        <w:t xml:space="preserve">No jauna izveidotam </w:t>
      </w:r>
      <w:r w:rsidR="009B5124" w:rsidRPr="000C2FEA">
        <w:rPr>
          <w:rFonts w:ascii="Times New Roman" w:hAnsi="Times New Roman" w:cs="Times New Roman"/>
        </w:rPr>
        <w:t xml:space="preserve">notekūdeņu </w:t>
      </w:r>
      <w:r w:rsidRPr="000C2FEA">
        <w:rPr>
          <w:rFonts w:ascii="Times New Roman" w:hAnsi="Times New Roman" w:cs="Times New Roman"/>
        </w:rPr>
        <w:t xml:space="preserve">dūņu apsaimniekošanas </w:t>
      </w:r>
      <w:r w:rsidR="00CF2BFB" w:rsidRPr="000C2FEA">
        <w:rPr>
          <w:rFonts w:ascii="Times New Roman" w:hAnsi="Times New Roman" w:cs="Times New Roman"/>
        </w:rPr>
        <w:t>uzņēmumam</w:t>
      </w:r>
      <w:r w:rsidRPr="000C2FEA">
        <w:rPr>
          <w:rFonts w:ascii="Times New Roman" w:hAnsi="Times New Roman" w:cs="Times New Roman"/>
        </w:rPr>
        <w:t xml:space="preserve"> var būt vairākas </w:t>
      </w:r>
      <w:r w:rsidR="009B5124" w:rsidRPr="000C2FEA">
        <w:rPr>
          <w:rFonts w:ascii="Times New Roman" w:hAnsi="Times New Roman" w:cs="Times New Roman"/>
        </w:rPr>
        <w:t xml:space="preserve">notekūdeņu </w:t>
      </w:r>
      <w:r w:rsidRPr="000C2FEA">
        <w:rPr>
          <w:rFonts w:ascii="Times New Roman" w:hAnsi="Times New Roman" w:cs="Times New Roman"/>
        </w:rPr>
        <w:t>dūņu pārstrādes vietas, taču ņemot vērā, ka tas būs no jauna veidots uzņēmums</w:t>
      </w:r>
      <w:r w:rsidR="009B5124" w:rsidRPr="000C2FEA">
        <w:rPr>
          <w:rFonts w:ascii="Times New Roman" w:hAnsi="Times New Roman" w:cs="Times New Roman"/>
        </w:rPr>
        <w:t xml:space="preserve"> </w:t>
      </w:r>
      <w:r w:rsidRPr="000C2FEA">
        <w:rPr>
          <w:rFonts w:ascii="Times New Roman" w:hAnsi="Times New Roman" w:cs="Times New Roman"/>
        </w:rPr>
        <w:t>tam nebūs pieejama esošā SPS</w:t>
      </w:r>
      <w:r w:rsidR="009B5124" w:rsidRPr="000C2FEA">
        <w:rPr>
          <w:rFonts w:ascii="Times New Roman" w:hAnsi="Times New Roman" w:cs="Times New Roman"/>
        </w:rPr>
        <w:t xml:space="preserve"> notekūdeņu</w:t>
      </w:r>
      <w:r w:rsidR="00CF2BFB" w:rsidRPr="000C2FEA">
        <w:rPr>
          <w:rFonts w:ascii="Times New Roman" w:hAnsi="Times New Roman" w:cs="Times New Roman"/>
        </w:rPr>
        <w:t xml:space="preserve"> dūņu pārstrādes</w:t>
      </w:r>
      <w:r w:rsidRPr="000C2FEA">
        <w:rPr>
          <w:rFonts w:ascii="Times New Roman" w:hAnsi="Times New Roman" w:cs="Times New Roman"/>
        </w:rPr>
        <w:t xml:space="preserve"> infrastruktūra. Visa nepieciešamā infrastruktūra bū</w:t>
      </w:r>
      <w:r w:rsidR="009B5124" w:rsidRPr="000C2FEA">
        <w:rPr>
          <w:rFonts w:ascii="Times New Roman" w:hAnsi="Times New Roman" w:cs="Times New Roman"/>
        </w:rPr>
        <w:t>tu</w:t>
      </w:r>
      <w:r w:rsidRPr="000C2FEA">
        <w:rPr>
          <w:rFonts w:ascii="Times New Roman" w:hAnsi="Times New Roman" w:cs="Times New Roman"/>
        </w:rPr>
        <w:t xml:space="preserve"> jāveido no jauna </w:t>
      </w:r>
      <w:r w:rsidR="00CF2BFB" w:rsidRPr="000C2FEA">
        <w:rPr>
          <w:rFonts w:ascii="Times New Roman" w:hAnsi="Times New Roman" w:cs="Times New Roman"/>
        </w:rPr>
        <w:t>uzņēmēja</w:t>
      </w:r>
      <w:r w:rsidRPr="000C2FEA">
        <w:rPr>
          <w:rFonts w:ascii="Times New Roman" w:hAnsi="Times New Roman" w:cs="Times New Roman"/>
        </w:rPr>
        <w:t xml:space="preserve"> izvēlētajās un pieejamajās vietās, kas būtiski sadārdzina alternatīvas ieviešanas izmaksas.</w:t>
      </w:r>
      <w:r w:rsidR="00A162D4" w:rsidRPr="000C2FEA">
        <w:rPr>
          <w:rFonts w:ascii="Times New Roman" w:hAnsi="Times New Roman" w:cs="Times New Roman"/>
        </w:rPr>
        <w:t xml:space="preserve"> Šāds uzņēmums izvēlētos iespējami mazāku </w:t>
      </w:r>
      <w:r w:rsidR="009B5124" w:rsidRPr="000C2FEA">
        <w:rPr>
          <w:rFonts w:ascii="Times New Roman" w:hAnsi="Times New Roman" w:cs="Times New Roman"/>
        </w:rPr>
        <w:t xml:space="preserve">notekūdeņu </w:t>
      </w:r>
      <w:r w:rsidR="00A162D4" w:rsidRPr="000C2FEA">
        <w:rPr>
          <w:rFonts w:ascii="Times New Roman" w:hAnsi="Times New Roman" w:cs="Times New Roman"/>
        </w:rPr>
        <w:t xml:space="preserve">dūņu pārstrādes centru skaitu, jo katra jauna pārstrādes centra izveide </w:t>
      </w:r>
      <w:r w:rsidR="009B5124" w:rsidRPr="000C2FEA">
        <w:rPr>
          <w:rFonts w:ascii="Times New Roman" w:hAnsi="Times New Roman" w:cs="Times New Roman"/>
        </w:rPr>
        <w:t>nozīmē</w:t>
      </w:r>
      <w:r w:rsidR="00A162D4" w:rsidRPr="000C2FEA">
        <w:rPr>
          <w:rFonts w:ascii="Times New Roman" w:hAnsi="Times New Roman" w:cs="Times New Roman"/>
        </w:rPr>
        <w:t xml:space="preserve"> papildus izmaksas</w:t>
      </w:r>
      <w:r w:rsidR="009B5124" w:rsidRPr="000C2FEA">
        <w:rPr>
          <w:rFonts w:ascii="Times New Roman" w:hAnsi="Times New Roman" w:cs="Times New Roman"/>
        </w:rPr>
        <w:t>, k</w:t>
      </w:r>
      <w:r w:rsidR="00A162D4" w:rsidRPr="000C2FEA">
        <w:rPr>
          <w:rFonts w:ascii="Times New Roman" w:hAnsi="Times New Roman" w:cs="Times New Roman"/>
        </w:rPr>
        <w:t>ā rezultātā SPS būtu spiesti rēķināties ar lielākiem</w:t>
      </w:r>
      <w:r w:rsidR="009B5124" w:rsidRPr="000C2FEA">
        <w:rPr>
          <w:rFonts w:ascii="Times New Roman" w:hAnsi="Times New Roman" w:cs="Times New Roman"/>
        </w:rPr>
        <w:t xml:space="preserve"> notekūdeņu</w:t>
      </w:r>
      <w:r w:rsidR="00A162D4" w:rsidRPr="000C2FEA">
        <w:rPr>
          <w:rFonts w:ascii="Times New Roman" w:hAnsi="Times New Roman" w:cs="Times New Roman"/>
        </w:rPr>
        <w:t xml:space="preserve"> dūņu transportēšanas izdevumiem. Papildus jāņem vērā, ka šīs alternatīvas gadījumā būs jātransportē notekūdeņu dūņas no visām NAI,</w:t>
      </w:r>
      <w:r w:rsidR="009B5124" w:rsidRPr="000C2FEA">
        <w:rPr>
          <w:rFonts w:ascii="Times New Roman" w:hAnsi="Times New Roman" w:cs="Times New Roman"/>
        </w:rPr>
        <w:t xml:space="preserve"> tai skaitā lielākajām,</w:t>
      </w:r>
      <w:r w:rsidR="00A162D4" w:rsidRPr="000C2FEA">
        <w:rPr>
          <w:rFonts w:ascii="Times New Roman" w:hAnsi="Times New Roman" w:cs="Times New Roman"/>
        </w:rPr>
        <w:t xml:space="preserve"> pretēji situācijai, kad notekūdeņu dūņu pārstrādes centri tiek veidoti blakus lielākajām NAI.</w:t>
      </w:r>
    </w:p>
    <w:p w14:paraId="4F378268" w14:textId="77777777" w:rsidR="000C2FEA" w:rsidRPr="000C2FEA" w:rsidRDefault="000C2FEA" w:rsidP="000C2FEA">
      <w:pPr>
        <w:spacing w:after="0"/>
        <w:ind w:firstLine="720"/>
        <w:rPr>
          <w:rFonts w:ascii="Times New Roman" w:hAnsi="Times New Roman" w:cs="Times New Roman"/>
        </w:rPr>
      </w:pPr>
    </w:p>
    <w:p w14:paraId="01B32912" w14:textId="77777777" w:rsidR="00CB4E7C" w:rsidRPr="000C2FEA" w:rsidRDefault="00CB4E7C" w:rsidP="000C2FEA">
      <w:pPr>
        <w:pStyle w:val="Heading2"/>
        <w:spacing w:before="0"/>
        <w:jc w:val="center"/>
        <w:rPr>
          <w:rFonts w:ascii="Times New Roman" w:eastAsia="Times New Roman" w:hAnsi="Times New Roman" w:cs="Times New Roman"/>
          <w:b/>
          <w:bCs/>
          <w:color w:val="auto"/>
          <w:sz w:val="24"/>
          <w:szCs w:val="24"/>
          <w:lang w:eastAsia="en-GB"/>
        </w:rPr>
      </w:pPr>
      <w:bookmarkStart w:id="62" w:name="_Toc82430172"/>
      <w:bookmarkStart w:id="63" w:name="_Toc107916324"/>
      <w:r w:rsidRPr="000C2FEA">
        <w:rPr>
          <w:rFonts w:ascii="Times New Roman" w:eastAsia="Times New Roman" w:hAnsi="Times New Roman" w:cs="Times New Roman"/>
          <w:b/>
          <w:bCs/>
          <w:color w:val="auto"/>
          <w:sz w:val="24"/>
          <w:szCs w:val="24"/>
          <w:lang w:eastAsia="en-GB"/>
        </w:rPr>
        <w:t>E4. Alternatīva: Viens ūdenssaimniecības sabiedrisko pakalpojumu sniedzējs valsts mērogā</w:t>
      </w:r>
      <w:bookmarkEnd w:id="62"/>
      <w:bookmarkEnd w:id="63"/>
    </w:p>
    <w:p w14:paraId="588D89EA" w14:textId="77777777" w:rsidR="000C2FEA" w:rsidRDefault="000C2FEA" w:rsidP="000C2FEA">
      <w:pPr>
        <w:spacing w:after="0"/>
        <w:ind w:firstLine="720"/>
        <w:rPr>
          <w:rFonts w:ascii="Times New Roman" w:hAnsi="Times New Roman" w:cs="Times New Roman"/>
        </w:rPr>
      </w:pPr>
    </w:p>
    <w:p w14:paraId="513B47A4" w14:textId="4A191A4F" w:rsidR="00CB4E7C" w:rsidRDefault="00816F57" w:rsidP="000C2FEA">
      <w:pPr>
        <w:spacing w:after="0"/>
        <w:ind w:firstLine="720"/>
        <w:rPr>
          <w:rFonts w:ascii="Times New Roman" w:hAnsi="Times New Roman" w:cs="Times New Roman"/>
        </w:rPr>
      </w:pPr>
      <w:r w:rsidRPr="007E349D">
        <w:rPr>
          <w:rFonts w:ascii="Times New Roman" w:hAnsi="Times New Roman" w:cs="Times New Roman"/>
          <w:noProof/>
          <w:szCs w:val="24"/>
          <w:lang w:eastAsia="lv-LV"/>
        </w:rPr>
        <mc:AlternateContent>
          <mc:Choice Requires="wps">
            <w:drawing>
              <wp:anchor distT="45720" distB="45720" distL="114300" distR="114300" simplePos="0" relativeHeight="251658260" behindDoc="0" locked="0" layoutInCell="1" hidden="0" allowOverlap="1" wp14:anchorId="3692DAE1" wp14:editId="77C5E50E">
                <wp:simplePos x="0" y="0"/>
                <wp:positionH relativeFrom="margin">
                  <wp:align>left</wp:align>
                </wp:positionH>
                <wp:positionV relativeFrom="paragraph">
                  <wp:posOffset>2587625</wp:posOffset>
                </wp:positionV>
                <wp:extent cx="5372735" cy="1152525"/>
                <wp:effectExtent l="19050" t="19050" r="18415" b="28575"/>
                <wp:wrapSquare wrapText="bothSides" distT="45720" distB="45720" distL="114300" distR="11430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152525"/>
                        </a:xfrm>
                        <a:prstGeom prst="rect">
                          <a:avLst/>
                        </a:prstGeom>
                        <a:solidFill>
                          <a:srgbClr val="FFFFFF"/>
                        </a:solidFill>
                        <a:ln w="38100">
                          <a:solidFill>
                            <a:srgbClr val="FFC000"/>
                          </a:solidFill>
                          <a:miter lim="800000"/>
                          <a:headEnd/>
                          <a:tailEnd/>
                        </a:ln>
                      </wps:spPr>
                      <wps:txbx>
                        <w:txbxContent>
                          <w:p w14:paraId="45B884E3" w14:textId="44B97AAD" w:rsidR="00816F57" w:rsidRPr="00816F57" w:rsidRDefault="00816F57" w:rsidP="00816F57">
                            <w:pPr>
                              <w:rPr>
                                <w:rFonts w:ascii="Times New Roman" w:hAnsi="Times New Roman" w:cs="Times New Roman"/>
                                <w:b/>
                                <w:iCs/>
                                <w:color w:val="1F4E79" w:themeColor="accent1" w:themeShade="80"/>
                              </w:rPr>
                            </w:pPr>
                            <w:r w:rsidRPr="00816F57">
                              <w:rPr>
                                <w:rFonts w:ascii="Times New Roman" w:hAnsi="Times New Roman" w:cs="Times New Roman"/>
                                <w:b/>
                                <w:iCs/>
                                <w:color w:val="1F4E79" w:themeColor="accent1" w:themeShade="80"/>
                              </w:rPr>
                              <w:t>E2. alternatīva: Notekūdeņu dūņu apsaimniekošana atbilstoši katra SPS lēmumam un  E4. alternatīva: Viens ūdenssaimniecības sabiedrisko pakalpojumu sniedzējs valsts mērogā rada mazākos iespējamos izmaksu pieaugumus attiecībā uz jaunas infrastruktūras izveidi, uzturēšanu, administratīvo pārvaldību un citām izmaksu pozīcijām.</w:t>
                            </w:r>
                          </w:p>
                          <w:p w14:paraId="0A5DA611" w14:textId="77777777" w:rsidR="00816F57" w:rsidRPr="00D172A4" w:rsidRDefault="00816F57" w:rsidP="000C2FEA">
                            <w:pPr>
                              <w:spacing w:before="120" w:after="120"/>
                              <w:rPr>
                                <w:rFonts w:ascii="Times New Roman" w:hAnsi="Times New Roman" w:cs="Times New Roman"/>
                                <w:b/>
                                <w:iCs/>
                                <w:color w:val="1F4E79" w:themeColor="accent1" w:themeShade="80"/>
                              </w:rPr>
                            </w:pPr>
                          </w:p>
                          <w:p w14:paraId="57970BF9" w14:textId="77777777" w:rsidR="000C2FEA" w:rsidRPr="00B7479D" w:rsidRDefault="000C2FEA" w:rsidP="000C2FEA">
                            <w:pPr>
                              <w:spacing w:after="120"/>
                              <w:rPr>
                                <w:rFonts w:ascii="Times New Roman" w:eastAsia="Calibri" w:hAnsi="Times New Roman" w:cs="Times New Roman"/>
                                <w:iCs/>
                                <w:color w:val="1F4E79" w:themeColor="accent1" w:themeShade="80"/>
                                <w:sz w:val="28"/>
                                <w:lang w:eastAsia="lv-LV"/>
                              </w:rPr>
                            </w:pPr>
                          </w:p>
                          <w:p w14:paraId="58B3355C" w14:textId="77777777" w:rsidR="000C2FEA" w:rsidRPr="007E349D" w:rsidRDefault="000C2FEA" w:rsidP="000C2FEA">
                            <w:pPr>
                              <w:rPr>
                                <w:rFonts w:ascii="Times New Roman" w:hAnsi="Times New Roman" w:cs="Times New Roman"/>
                                <w:b/>
                                <w:bCs/>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2DAE1" id="Text Box 3" o:spid="_x0000_s1043" type="#_x0000_t202" style="position:absolute;left:0;text-align:left;margin-left:0;margin-top:203.75pt;width:423.05pt;height:90.75pt;z-index:2516582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" strokecolor="#ffc000" strokeweight="3pt">
                <v:textbox>
                  <w:txbxContent>
                    <w:p w14:paraId="45B884E3" w14:textId="44B97AAD" w:rsidR="00816F57" w:rsidRPr="00816F57" w:rsidRDefault="00816F57" w:rsidP="00816F57">
                      <w:pPr>
                        <w:rPr>
                          <w:rFonts w:ascii="Times New Roman" w:hAnsi="Times New Roman" w:cs="Times New Roman"/>
                          <w:b/>
                          <w:iCs/>
                          <w:color w:val="1F4E79" w:themeColor="accent1" w:themeShade="80"/>
                        </w:rPr>
                      </w:pPr>
                      <w:r w:rsidRPr="00816F57">
                        <w:rPr>
                          <w:rFonts w:ascii="Times New Roman" w:hAnsi="Times New Roman" w:cs="Times New Roman"/>
                          <w:b/>
                          <w:iCs/>
                          <w:color w:val="1F4E79" w:themeColor="accent1" w:themeShade="80"/>
                        </w:rPr>
                        <w:t>E2. alternatīva: Notekūdeņu dūņu apsaimniekošana atbilstoši katra SPS lēmumam un  E4. alternatīva: Viens ūdenssaimniecības sabiedrisko pakalpojumu sniedzējs valsts mērogā rada mazākos iespējamos izmaksu pieaugumus attiecībā uz jaunas infrastruktūras izveidi, uzturēšanu, administratīvo pārvaldību un citām izmaksu pozīcijām.</w:t>
                      </w:r>
                    </w:p>
                    <w:p w14:paraId="0A5DA611" w14:textId="77777777" w:rsidR="00816F57" w:rsidRPr="00D172A4" w:rsidRDefault="00816F57" w:rsidP="000C2FEA">
                      <w:pPr>
                        <w:spacing w:before="120" w:after="120"/>
                        <w:rPr>
                          <w:rFonts w:ascii="Times New Roman" w:hAnsi="Times New Roman" w:cs="Times New Roman"/>
                          <w:b/>
                          <w:iCs/>
                          <w:color w:val="1F4E79" w:themeColor="accent1" w:themeShade="80"/>
                        </w:rPr>
                      </w:pPr>
                    </w:p>
                    <w:p w14:paraId="57970BF9" w14:textId="77777777" w:rsidR="000C2FEA" w:rsidRPr="00B7479D" w:rsidRDefault="000C2FEA" w:rsidP="000C2FEA">
                      <w:pPr>
                        <w:spacing w:after="120"/>
                        <w:rPr>
                          <w:rFonts w:ascii="Times New Roman" w:eastAsia="Calibri" w:hAnsi="Times New Roman" w:cs="Times New Roman"/>
                          <w:iCs/>
                          <w:color w:val="1F4E79" w:themeColor="accent1" w:themeShade="80"/>
                          <w:sz w:val="28"/>
                          <w:lang w:eastAsia="lv-LV"/>
                        </w:rPr>
                      </w:pPr>
                    </w:p>
                    <w:p w14:paraId="58B3355C" w14:textId="77777777" w:rsidR="000C2FEA" w:rsidRPr="007E349D" w:rsidRDefault="000C2FEA" w:rsidP="000C2FEA">
                      <w:pPr>
                        <w:rPr>
                          <w:rFonts w:ascii="Times New Roman" w:hAnsi="Times New Roman" w:cs="Times New Roman"/>
                          <w:b/>
                          <w:bCs/>
                          <w:color w:val="44546A" w:themeColor="text2"/>
                        </w:rPr>
                      </w:pPr>
                    </w:p>
                  </w:txbxContent>
                </v:textbox>
                <w10:wrap type="square" anchorx="margin"/>
              </v:shape>
            </w:pict>
          </mc:Fallback>
        </mc:AlternateContent>
      </w:r>
      <w:r w:rsidR="00CB4E7C" w:rsidRPr="000C2FEA">
        <w:rPr>
          <w:rFonts w:ascii="Times New Roman" w:hAnsi="Times New Roman" w:cs="Times New Roman"/>
        </w:rPr>
        <w:t>Alternatīva paredz, ka visus ūdenssaimniecības pakalpojumus, tai skaitā notekūdeņu dūņu apsaimniekošanu veic viens, valsts vai pašvaldību dibināts komersants, kuram tiek nodota visa esošā ūdenssaimniecības uzņēmumu infrastruktūra, kā tas tiek veikts piemēram Īrijas Republikā</w:t>
      </w:r>
      <w:r w:rsidR="00CB4E7C" w:rsidRPr="004E3C39">
        <w:rPr>
          <w:rFonts w:ascii="Times New Roman" w:hAnsi="Times New Roman" w:cs="Times New Roman"/>
          <w:vertAlign w:val="superscript"/>
        </w:rPr>
        <w:footnoteReference w:id="14"/>
      </w:r>
      <w:r w:rsidR="00CB4E7C" w:rsidRPr="000C2FEA">
        <w:rPr>
          <w:rFonts w:ascii="Times New Roman" w:hAnsi="Times New Roman" w:cs="Times New Roman"/>
        </w:rPr>
        <w:t xml:space="preserve">. Turpmākās investīcijas ūdenssaimniecības jomā, t.sk. notekūdeņu dūņu apsaimniekošanā veic viens operators, kas arī pieņem lēmumus par </w:t>
      </w:r>
      <w:r w:rsidR="007041A9" w:rsidRPr="000C2FEA">
        <w:rPr>
          <w:rFonts w:ascii="Times New Roman" w:hAnsi="Times New Roman" w:cs="Times New Roman"/>
        </w:rPr>
        <w:t xml:space="preserve">notekūdeņu </w:t>
      </w:r>
      <w:r w:rsidR="00CB4E7C" w:rsidRPr="000C2FEA">
        <w:rPr>
          <w:rFonts w:ascii="Times New Roman" w:hAnsi="Times New Roman" w:cs="Times New Roman"/>
        </w:rPr>
        <w:t xml:space="preserve">dūņu centralizācijas apmēru, </w:t>
      </w:r>
      <w:r w:rsidR="007041A9" w:rsidRPr="000C2FEA">
        <w:rPr>
          <w:rFonts w:ascii="Times New Roman" w:hAnsi="Times New Roman" w:cs="Times New Roman"/>
        </w:rPr>
        <w:t xml:space="preserve">notekūdeņu </w:t>
      </w:r>
      <w:r w:rsidR="00CB4E7C" w:rsidRPr="000C2FEA">
        <w:rPr>
          <w:rFonts w:ascii="Times New Roman" w:hAnsi="Times New Roman" w:cs="Times New Roman"/>
        </w:rPr>
        <w:t xml:space="preserve">dūņu apstrādes pakāpi un veidu, kā arī </w:t>
      </w:r>
      <w:r w:rsidR="007041A9" w:rsidRPr="000C2FEA">
        <w:rPr>
          <w:rFonts w:ascii="Times New Roman" w:hAnsi="Times New Roman" w:cs="Times New Roman"/>
        </w:rPr>
        <w:t xml:space="preserve">notekūdeņu </w:t>
      </w:r>
      <w:r w:rsidR="00CB4E7C" w:rsidRPr="000C2FEA">
        <w:rPr>
          <w:rFonts w:ascii="Times New Roman" w:hAnsi="Times New Roman" w:cs="Times New Roman"/>
        </w:rPr>
        <w:t xml:space="preserve">dūņu pārstrādes </w:t>
      </w:r>
      <w:r w:rsidR="00765571" w:rsidRPr="000C2FEA">
        <w:rPr>
          <w:rFonts w:ascii="Times New Roman" w:hAnsi="Times New Roman" w:cs="Times New Roman"/>
        </w:rPr>
        <w:t>risinājumiem</w:t>
      </w:r>
      <w:r w:rsidR="00CB4E7C" w:rsidRPr="000C2FEA">
        <w:rPr>
          <w:rFonts w:ascii="Times New Roman" w:hAnsi="Times New Roman" w:cs="Times New Roman"/>
        </w:rPr>
        <w:t xml:space="preserve"> pārstrādes centros. Tam nav jāveido pilnīgi jauna not</w:t>
      </w:r>
      <w:r w:rsidR="00070AE0" w:rsidRPr="000C2FEA">
        <w:rPr>
          <w:rFonts w:ascii="Times New Roman" w:hAnsi="Times New Roman" w:cs="Times New Roman"/>
        </w:rPr>
        <w:t>ek</w:t>
      </w:r>
      <w:r w:rsidR="00CB4E7C" w:rsidRPr="000C2FEA">
        <w:rPr>
          <w:rFonts w:ascii="Times New Roman" w:hAnsi="Times New Roman" w:cs="Times New Roman"/>
        </w:rPr>
        <w:t xml:space="preserve">ūdeņu dūņu pārstrādes infrastruktūra jaunā vietā (kā tas ir alternatīvas E3. gadījumā), jo tā izveidošanā tiktu ieguldīta visa esošo </w:t>
      </w:r>
      <w:r w:rsidR="00FF180F" w:rsidRPr="000C2FEA">
        <w:rPr>
          <w:rFonts w:ascii="Times New Roman" w:hAnsi="Times New Roman" w:cs="Times New Roman"/>
        </w:rPr>
        <w:t>SPS</w:t>
      </w:r>
      <w:r w:rsidR="00CB4E7C" w:rsidRPr="000C2FEA">
        <w:rPr>
          <w:rFonts w:ascii="Times New Roman" w:hAnsi="Times New Roman" w:cs="Times New Roman"/>
        </w:rPr>
        <w:t xml:space="preserve"> infrastruktūra. Lēmumu par esošās</w:t>
      </w:r>
      <w:r w:rsidR="00765571" w:rsidRPr="000C2FEA">
        <w:rPr>
          <w:rFonts w:ascii="Times New Roman" w:hAnsi="Times New Roman" w:cs="Times New Roman"/>
        </w:rPr>
        <w:t xml:space="preserve"> notekūdeņu</w:t>
      </w:r>
      <w:r w:rsidR="00CB4E7C" w:rsidRPr="000C2FEA">
        <w:rPr>
          <w:rFonts w:ascii="Times New Roman" w:hAnsi="Times New Roman" w:cs="Times New Roman"/>
        </w:rPr>
        <w:t xml:space="preserve"> dūņu apsaimniekošanas infrastruktūras izmantošanu, vai jaunas ūdenssaimniecības infrastruktūras attīstību pieņem uzņēmuma vadība, vadoties pēc veiktajiem novērtējumiem un faktiskās nepieciešamības.</w:t>
      </w:r>
    </w:p>
    <w:p w14:paraId="573C7D61" w14:textId="208C86B9" w:rsidR="000C2FEA" w:rsidRPr="00175DD0" w:rsidRDefault="000C2FEA" w:rsidP="000C2FEA">
      <w:pPr>
        <w:spacing w:after="0"/>
        <w:ind w:firstLine="720"/>
        <w:rPr>
          <w:rFonts w:eastAsia="Calibri" w:cstheme="minorHAnsi"/>
          <w:lang w:eastAsia="lv-LV"/>
        </w:rPr>
      </w:pPr>
    </w:p>
    <w:p w14:paraId="0D5FE0F1" w14:textId="2CFDCFA4" w:rsidR="00486005" w:rsidRPr="00C73E30" w:rsidRDefault="00486005" w:rsidP="00486005">
      <w:pPr>
        <w:spacing w:before="120" w:after="120"/>
        <w:ind w:firstLine="720"/>
        <w:rPr>
          <w:rFonts w:ascii="Times New Roman" w:hAnsi="Times New Roman" w:cs="Times New Roman"/>
        </w:rPr>
      </w:pPr>
      <w:r w:rsidRPr="00C73E30">
        <w:rPr>
          <w:rFonts w:ascii="Times New Roman" w:hAnsi="Times New Roman" w:cs="Times New Roman"/>
        </w:rPr>
        <w:t xml:space="preserve">Alternatīva </w:t>
      </w:r>
      <w:r w:rsidRPr="00C73E30">
        <w:rPr>
          <w:rFonts w:ascii="Times New Roman" w:hAnsi="Times New Roman" w:cs="Times New Roman"/>
          <w:b/>
          <w:color w:val="1F4E79" w:themeColor="accent1" w:themeShade="80"/>
        </w:rPr>
        <w:t>E1</w:t>
      </w:r>
      <w:r w:rsidR="00765571" w:rsidRPr="00C73E30">
        <w:rPr>
          <w:rFonts w:ascii="Times New Roman" w:hAnsi="Times New Roman" w:cs="Times New Roman"/>
          <w:b/>
          <w:color w:val="1F4E79" w:themeColor="accent1" w:themeShade="80"/>
        </w:rPr>
        <w:t>.</w:t>
      </w:r>
      <w:r w:rsidRPr="00C73E30">
        <w:rPr>
          <w:rFonts w:ascii="Times New Roman" w:hAnsi="Times New Roman" w:cs="Times New Roman"/>
          <w:b/>
          <w:color w:val="1F4E79" w:themeColor="accent1" w:themeShade="80"/>
        </w:rPr>
        <w:t>: Notekūdeņu dūņu apsaimniekošana atbilstoši katra SPS lēmumam</w:t>
      </w:r>
      <w:r w:rsidRPr="00C73E30">
        <w:rPr>
          <w:rFonts w:ascii="Times New Roman" w:hAnsi="Times New Roman" w:cs="Times New Roman"/>
        </w:rPr>
        <w:t xml:space="preserve"> no izmaksu viedokļa ir dārga lielā nepieciešamo kapitālo investīciju apjoma</w:t>
      </w:r>
      <w:r w:rsidR="000B4155" w:rsidRPr="000B4155">
        <w:rPr>
          <w:rFonts w:ascii="Times New Roman" w:hAnsi="Times New Roman" w:cs="Times New Roman"/>
        </w:rPr>
        <w:t xml:space="preserve"> </w:t>
      </w:r>
      <w:r w:rsidR="000B4155" w:rsidRPr="00C73E30">
        <w:rPr>
          <w:rFonts w:ascii="Times New Roman" w:hAnsi="Times New Roman" w:cs="Times New Roman"/>
        </w:rPr>
        <w:t>dēļ</w:t>
      </w:r>
      <w:r w:rsidRPr="00C73E30">
        <w:rPr>
          <w:rFonts w:ascii="Times New Roman" w:hAnsi="Times New Roman" w:cs="Times New Roman"/>
        </w:rPr>
        <w:t xml:space="preserve">, </w:t>
      </w:r>
      <w:r w:rsidR="00765571" w:rsidRPr="00C73E30">
        <w:rPr>
          <w:rFonts w:ascii="Times New Roman" w:hAnsi="Times New Roman" w:cs="Times New Roman"/>
        </w:rPr>
        <w:t xml:space="preserve">un </w:t>
      </w:r>
      <w:r w:rsidRPr="00C73E30">
        <w:rPr>
          <w:rFonts w:ascii="Times New Roman" w:hAnsi="Times New Roman" w:cs="Times New Roman"/>
        </w:rPr>
        <w:t xml:space="preserve">pie katra SPS attīstot atsevišķu </w:t>
      </w:r>
      <w:r w:rsidR="00765571" w:rsidRPr="00C73E30">
        <w:rPr>
          <w:rFonts w:ascii="Times New Roman" w:hAnsi="Times New Roman" w:cs="Times New Roman"/>
        </w:rPr>
        <w:t xml:space="preserve">notekūdeņu </w:t>
      </w:r>
      <w:r w:rsidRPr="00C73E30">
        <w:rPr>
          <w:rFonts w:ascii="Times New Roman" w:hAnsi="Times New Roman" w:cs="Times New Roman"/>
        </w:rPr>
        <w:t xml:space="preserve">dūņu pārstrādes infrastruktūru, </w:t>
      </w:r>
      <w:r w:rsidR="00765571" w:rsidRPr="00C73E30">
        <w:rPr>
          <w:rFonts w:ascii="Times New Roman" w:hAnsi="Times New Roman" w:cs="Times New Roman"/>
        </w:rPr>
        <w:t>veidosies arī</w:t>
      </w:r>
      <w:r w:rsidRPr="00C73E30">
        <w:rPr>
          <w:rFonts w:ascii="Times New Roman" w:hAnsi="Times New Roman" w:cs="Times New Roman"/>
        </w:rPr>
        <w:t xml:space="preserve"> lielas kopējās uzturēšanas izmaksas.</w:t>
      </w:r>
      <w:r w:rsidRPr="00C73E30">
        <w:rPr>
          <w:rFonts w:ascii="Times New Roman" w:hAnsi="Times New Roman" w:cs="Times New Roman"/>
          <w:szCs w:val="20"/>
        </w:rPr>
        <w:t xml:space="preserve"> Vienīgās šīs alternatīvas priekšrocības ir vienkārša</w:t>
      </w:r>
      <w:r w:rsidR="00765571" w:rsidRPr="00C73E30">
        <w:rPr>
          <w:rFonts w:ascii="Times New Roman" w:hAnsi="Times New Roman" w:cs="Times New Roman"/>
          <w:szCs w:val="20"/>
        </w:rPr>
        <w:t>is</w:t>
      </w:r>
      <w:r w:rsidRPr="00C73E30">
        <w:rPr>
          <w:rFonts w:ascii="Times New Roman" w:hAnsi="Times New Roman" w:cs="Times New Roman"/>
          <w:szCs w:val="20"/>
        </w:rPr>
        <w:t xml:space="preserve"> ieviešanas scenārij</w:t>
      </w:r>
      <w:r w:rsidR="00765571" w:rsidRPr="00C73E30">
        <w:rPr>
          <w:rFonts w:ascii="Times New Roman" w:hAnsi="Times New Roman" w:cs="Times New Roman"/>
          <w:szCs w:val="20"/>
        </w:rPr>
        <w:t>s</w:t>
      </w:r>
      <w:r w:rsidRPr="00C73E30">
        <w:rPr>
          <w:rFonts w:ascii="Times New Roman" w:hAnsi="Times New Roman" w:cs="Times New Roman"/>
          <w:szCs w:val="20"/>
        </w:rPr>
        <w:t xml:space="preserve"> (nekas netiek mainīts salīdzinājumā ar esošo situāciju), kā arī alternatīvu neierobežo noteikts notekūdeņu dūņu daudzums.</w:t>
      </w:r>
    </w:p>
    <w:p w14:paraId="1A98C553" w14:textId="197FEDDD" w:rsidR="00765571" w:rsidRDefault="00486005" w:rsidP="00C73E30">
      <w:pPr>
        <w:spacing w:after="0"/>
        <w:ind w:firstLine="720"/>
        <w:rPr>
          <w:rFonts w:ascii="Times New Roman" w:hAnsi="Times New Roman" w:cs="Times New Roman"/>
        </w:rPr>
      </w:pPr>
      <w:r w:rsidRPr="00C73E30">
        <w:rPr>
          <w:rFonts w:ascii="Times New Roman" w:hAnsi="Times New Roman" w:cs="Times New Roman"/>
        </w:rPr>
        <w:t xml:space="preserve">Savukārt alternatīva </w:t>
      </w:r>
      <w:r w:rsidRPr="00C73E30">
        <w:rPr>
          <w:rFonts w:ascii="Times New Roman" w:hAnsi="Times New Roman" w:cs="Times New Roman"/>
          <w:b/>
          <w:color w:val="1F4E79" w:themeColor="accent1" w:themeShade="80"/>
        </w:rPr>
        <w:t>E3.: Vienota notekūdeņu dūņu apsaimniekošana reģionālā vai valsts mērogā veidojot jaunu dūņu pārstrādes centru operatoru</w:t>
      </w:r>
      <w:r w:rsidRPr="00C73E30">
        <w:rPr>
          <w:rFonts w:ascii="Times New Roman" w:hAnsi="Times New Roman" w:cs="Times New Roman"/>
          <w:color w:val="1F4E79" w:themeColor="accent1" w:themeShade="80"/>
        </w:rPr>
        <w:t xml:space="preserve"> </w:t>
      </w:r>
      <w:r w:rsidRPr="00C73E30">
        <w:rPr>
          <w:rFonts w:ascii="Times New Roman" w:hAnsi="Times New Roman" w:cs="Times New Roman"/>
        </w:rPr>
        <w:t xml:space="preserve">izmaksu ziņā ir ļoti neefektīva alternatīva, jo ir prognozējams, ka šīs alternatīvas ieviešanas gadījumā būs jāsaskaras ar ļoti augstām administratīvā un tehniskā personāla izmaksām, kapitālo investīciju un </w:t>
      </w:r>
      <w:r w:rsidR="00765571" w:rsidRPr="00C73E30">
        <w:rPr>
          <w:rFonts w:ascii="Times New Roman" w:hAnsi="Times New Roman" w:cs="Times New Roman"/>
        </w:rPr>
        <w:t xml:space="preserve">notekūdeņu </w:t>
      </w:r>
      <w:r w:rsidRPr="00C73E30">
        <w:rPr>
          <w:rFonts w:ascii="Times New Roman" w:hAnsi="Times New Roman" w:cs="Times New Roman"/>
        </w:rPr>
        <w:t>dūņu transportēšanas izmaksām, kas salīdzinājumā ar citiem alternatīviem risinājumiem būs būtiski augstākas</w:t>
      </w:r>
      <w:r w:rsidR="00765571" w:rsidRPr="00C73E30">
        <w:rPr>
          <w:rFonts w:ascii="Times New Roman" w:hAnsi="Times New Roman" w:cs="Times New Roman"/>
        </w:rPr>
        <w:t>.</w:t>
      </w:r>
    </w:p>
    <w:p w14:paraId="5BD4E5E4" w14:textId="77777777" w:rsidR="00C73E30" w:rsidRPr="00C73E30" w:rsidRDefault="00C73E30" w:rsidP="00C73E30">
      <w:pPr>
        <w:spacing w:after="0"/>
        <w:ind w:firstLine="720"/>
        <w:rPr>
          <w:rFonts w:ascii="Times New Roman" w:hAnsi="Times New Roman" w:cs="Times New Roman"/>
        </w:rPr>
      </w:pPr>
    </w:p>
    <w:p w14:paraId="5799C32B" w14:textId="51D95B84" w:rsidR="00486005" w:rsidRPr="00C73E30" w:rsidRDefault="00486005" w:rsidP="00C73E30">
      <w:pPr>
        <w:spacing w:after="0"/>
        <w:jc w:val="center"/>
        <w:rPr>
          <w:rFonts w:ascii="Times New Roman" w:hAnsi="Times New Roman" w:cs="Times New Roman"/>
          <w:b/>
          <w:bCs/>
          <w:szCs w:val="24"/>
          <w:u w:val="single"/>
        </w:rPr>
      </w:pPr>
      <w:r w:rsidRPr="00C73E30">
        <w:rPr>
          <w:rFonts w:ascii="Times New Roman" w:hAnsi="Times New Roman" w:cs="Times New Roman"/>
          <w:b/>
          <w:bCs/>
          <w:szCs w:val="24"/>
          <w:u w:val="single"/>
        </w:rPr>
        <w:t>Secinājumi par notekūdeņu dūņu apsaimniekošanas institucionālās pārvaldības alternatīvām</w:t>
      </w:r>
    </w:p>
    <w:p w14:paraId="16A5BDEA" w14:textId="77777777" w:rsidR="00C73E30" w:rsidRDefault="00C73E30" w:rsidP="00C73E30">
      <w:pPr>
        <w:spacing w:after="0"/>
        <w:ind w:firstLine="720"/>
        <w:rPr>
          <w:rFonts w:ascii="Times New Roman" w:hAnsi="Times New Roman" w:cs="Times New Roman"/>
        </w:rPr>
      </w:pPr>
    </w:p>
    <w:p w14:paraId="44004424" w14:textId="365D7A24" w:rsidR="00486005" w:rsidRDefault="00486005" w:rsidP="00C73E30">
      <w:pPr>
        <w:spacing w:after="0"/>
        <w:ind w:firstLine="720"/>
        <w:rPr>
          <w:rFonts w:ascii="Times New Roman" w:hAnsi="Times New Roman" w:cs="Times New Roman"/>
        </w:rPr>
      </w:pPr>
      <w:r w:rsidRPr="00C73E30">
        <w:rPr>
          <w:rFonts w:ascii="Times New Roman" w:hAnsi="Times New Roman" w:cs="Times New Roman"/>
        </w:rPr>
        <w:t xml:space="preserve">Ņemot vērā izvēlētos </w:t>
      </w:r>
      <w:r w:rsidR="00765571" w:rsidRPr="00C73E30">
        <w:rPr>
          <w:rFonts w:ascii="Times New Roman" w:hAnsi="Times New Roman" w:cs="Times New Roman"/>
        </w:rPr>
        <w:t xml:space="preserve">notekūdeņu </w:t>
      </w:r>
      <w:r w:rsidRPr="00C73E30">
        <w:rPr>
          <w:rFonts w:ascii="Times New Roman" w:hAnsi="Times New Roman" w:cs="Times New Roman"/>
        </w:rPr>
        <w:t>dūņu utilizācijas, pārstrādes un centralizācijas risinājumus nozīmīg</w:t>
      </w:r>
      <w:r w:rsidR="00765571" w:rsidRPr="00C73E30">
        <w:rPr>
          <w:rFonts w:ascii="Times New Roman" w:hAnsi="Times New Roman" w:cs="Times New Roman"/>
        </w:rPr>
        <w:t>a</w:t>
      </w:r>
      <w:r w:rsidRPr="00C73E30">
        <w:rPr>
          <w:rFonts w:ascii="Times New Roman" w:hAnsi="Times New Roman" w:cs="Times New Roman"/>
        </w:rPr>
        <w:t xml:space="preserve"> ir atbilstoša</w:t>
      </w:r>
      <w:r w:rsidR="00765571" w:rsidRPr="00C73E30">
        <w:rPr>
          <w:rFonts w:ascii="Times New Roman" w:hAnsi="Times New Roman" w:cs="Times New Roman"/>
        </w:rPr>
        <w:t xml:space="preserve"> notekūdeņu</w:t>
      </w:r>
      <w:r w:rsidRPr="00C73E30">
        <w:rPr>
          <w:rFonts w:ascii="Times New Roman" w:hAnsi="Times New Roman" w:cs="Times New Roman"/>
        </w:rPr>
        <w:t xml:space="preserve"> dūņu apsaimniekošanas institucionālās pārvaldības izveidošana. K</w:t>
      </w:r>
      <w:r w:rsidR="00765571" w:rsidRPr="00C73E30">
        <w:rPr>
          <w:rFonts w:ascii="Times New Roman" w:hAnsi="Times New Roman" w:cs="Times New Roman"/>
        </w:rPr>
        <w:t>ā</w:t>
      </w:r>
      <w:r w:rsidRPr="00C73E30">
        <w:rPr>
          <w:rFonts w:ascii="Times New Roman" w:hAnsi="Times New Roman" w:cs="Times New Roman"/>
        </w:rPr>
        <w:t xml:space="preserve"> </w:t>
      </w:r>
      <w:r w:rsidRPr="00C73E30">
        <w:rPr>
          <w:rFonts w:ascii="Times New Roman" w:hAnsi="Times New Roman" w:cs="Times New Roman"/>
          <w:b/>
          <w:color w:val="1F4E79" w:themeColor="accent1" w:themeShade="80"/>
        </w:rPr>
        <w:t xml:space="preserve">piemērotākais un efektīvākais risinājums </w:t>
      </w:r>
      <w:r w:rsidR="00765571" w:rsidRPr="00C73E30">
        <w:rPr>
          <w:rFonts w:ascii="Times New Roman" w:hAnsi="Times New Roman" w:cs="Times New Roman"/>
          <w:b/>
          <w:color w:val="1F4E79" w:themeColor="accent1" w:themeShade="80"/>
        </w:rPr>
        <w:t>Stratēģijas izstrādes ietvaros tika noteikta</w:t>
      </w:r>
      <w:r w:rsidRPr="00C73E30">
        <w:rPr>
          <w:rFonts w:ascii="Times New Roman" w:hAnsi="Times New Roman" w:cs="Times New Roman"/>
          <w:b/>
          <w:color w:val="1F4E79" w:themeColor="accent1" w:themeShade="80"/>
        </w:rPr>
        <w:t xml:space="preserve"> vienota notekūdeņu dūņu apsaimniekošana katras pašvaldības ietvaros, </w:t>
      </w:r>
      <w:r w:rsidRPr="00C73E30">
        <w:rPr>
          <w:rFonts w:ascii="Times New Roman" w:hAnsi="Times New Roman" w:cs="Times New Roman"/>
          <w:bCs/>
        </w:rPr>
        <w:t>kas paredz kādu</w:t>
      </w:r>
      <w:r w:rsidRPr="00C73E30">
        <w:rPr>
          <w:rFonts w:ascii="Times New Roman" w:hAnsi="Times New Roman" w:cs="Times New Roman"/>
          <w:b/>
        </w:rPr>
        <w:t xml:space="preserve"> </w:t>
      </w:r>
      <w:r w:rsidRPr="00C73E30">
        <w:rPr>
          <w:rFonts w:ascii="Times New Roman" w:hAnsi="Times New Roman" w:cs="Times New Roman"/>
          <w:bCs/>
        </w:rPr>
        <w:t xml:space="preserve">no esošajiem pašvaldības SPS noteikt par galveno un vienīgo </w:t>
      </w:r>
      <w:r w:rsidR="00765571" w:rsidRPr="00C73E30">
        <w:rPr>
          <w:rFonts w:ascii="Times New Roman" w:hAnsi="Times New Roman" w:cs="Times New Roman"/>
          <w:bCs/>
        </w:rPr>
        <w:t xml:space="preserve">atbildīgo par </w:t>
      </w:r>
      <w:r w:rsidRPr="00C73E30">
        <w:rPr>
          <w:rFonts w:ascii="Times New Roman" w:hAnsi="Times New Roman" w:cs="Times New Roman"/>
          <w:bCs/>
        </w:rPr>
        <w:t>visu pašvaldības notekūdeņu</w:t>
      </w:r>
      <w:r w:rsidRPr="00C73E30">
        <w:rPr>
          <w:rFonts w:ascii="Times New Roman" w:hAnsi="Times New Roman" w:cs="Times New Roman"/>
          <w:b/>
        </w:rPr>
        <w:t xml:space="preserve"> </w:t>
      </w:r>
      <w:r w:rsidRPr="00C73E30">
        <w:rPr>
          <w:rFonts w:ascii="Times New Roman" w:hAnsi="Times New Roman" w:cs="Times New Roman"/>
          <w:bCs/>
        </w:rPr>
        <w:t>dūņu apsaimniekošan</w:t>
      </w:r>
      <w:r w:rsidR="00765571" w:rsidRPr="00C73E30">
        <w:rPr>
          <w:rFonts w:ascii="Times New Roman" w:hAnsi="Times New Roman" w:cs="Times New Roman"/>
          <w:bCs/>
        </w:rPr>
        <w:t>u</w:t>
      </w:r>
      <w:r w:rsidRPr="00C73E30">
        <w:rPr>
          <w:rFonts w:ascii="Times New Roman" w:hAnsi="Times New Roman" w:cs="Times New Roman"/>
          <w:bCs/>
        </w:rPr>
        <w:t>.</w:t>
      </w:r>
      <w:r w:rsidRPr="00C73E30">
        <w:rPr>
          <w:rFonts w:ascii="Times New Roman" w:hAnsi="Times New Roman" w:cs="Times New Roman"/>
        </w:rPr>
        <w:t xml:space="preserve"> </w:t>
      </w:r>
      <w:r w:rsidR="00765571" w:rsidRPr="00C73E30">
        <w:rPr>
          <w:rFonts w:ascii="Times New Roman" w:hAnsi="Times New Roman" w:cs="Times New Roman"/>
        </w:rPr>
        <w:t>Šāds</w:t>
      </w:r>
      <w:r w:rsidRPr="00C73E30">
        <w:rPr>
          <w:rFonts w:ascii="Times New Roman" w:hAnsi="Times New Roman" w:cs="Times New Roman"/>
        </w:rPr>
        <w:t xml:space="preserve"> risinājums pilnībā atbilst izvirzītajiem alternatīvu vērtēšanas kritērijiem</w:t>
      </w:r>
      <w:r w:rsidR="00765571" w:rsidRPr="00C73E30">
        <w:rPr>
          <w:rFonts w:ascii="Times New Roman" w:hAnsi="Times New Roman" w:cs="Times New Roman"/>
        </w:rPr>
        <w:t xml:space="preserve">, bet  minētās </w:t>
      </w:r>
      <w:r w:rsidRPr="00C73E30">
        <w:rPr>
          <w:rFonts w:ascii="Times New Roman" w:hAnsi="Times New Roman" w:cs="Times New Roman"/>
        </w:rPr>
        <w:t>sistēmas ieviešana paredz būtiskas izmaiņas esošajā</w:t>
      </w:r>
      <w:r w:rsidR="00765571" w:rsidRPr="00C73E30">
        <w:rPr>
          <w:rFonts w:ascii="Times New Roman" w:hAnsi="Times New Roman" w:cs="Times New Roman"/>
        </w:rPr>
        <w:t xml:space="preserve"> notekūdeņu</w:t>
      </w:r>
      <w:r w:rsidRPr="00C73E30">
        <w:rPr>
          <w:rFonts w:ascii="Times New Roman" w:hAnsi="Times New Roman" w:cs="Times New Roman"/>
        </w:rPr>
        <w:t xml:space="preserve"> dūņu apsaimniekošanas sistēmā, kuras ir nepieciešams </w:t>
      </w:r>
      <w:r w:rsidR="00765571" w:rsidRPr="00C73E30">
        <w:rPr>
          <w:rFonts w:ascii="Times New Roman" w:hAnsi="Times New Roman" w:cs="Times New Roman"/>
        </w:rPr>
        <w:t>iestrādāt</w:t>
      </w:r>
      <w:r w:rsidRPr="00C73E30">
        <w:rPr>
          <w:rFonts w:ascii="Times New Roman" w:hAnsi="Times New Roman" w:cs="Times New Roman"/>
        </w:rPr>
        <w:t xml:space="preserve"> normatīvo aktu grozījumos, piemēram, Ūdenssaimniecības pakalpojumu likumā, </w:t>
      </w:r>
      <w:r w:rsidR="00765571" w:rsidRPr="00C73E30">
        <w:rPr>
          <w:rFonts w:ascii="Times New Roman" w:hAnsi="Times New Roman" w:cs="Times New Roman"/>
        </w:rPr>
        <w:t xml:space="preserve">vai citā normatīvajā aktā nosakot, </w:t>
      </w:r>
      <w:r w:rsidRPr="00C73E30">
        <w:rPr>
          <w:rFonts w:ascii="Times New Roman" w:hAnsi="Times New Roman" w:cs="Times New Roman"/>
        </w:rPr>
        <w:t>par</w:t>
      </w:r>
      <w:r w:rsidR="00765571" w:rsidRPr="00C73E30">
        <w:rPr>
          <w:rFonts w:ascii="Times New Roman" w:hAnsi="Times New Roman" w:cs="Times New Roman"/>
        </w:rPr>
        <w:t xml:space="preserve"> notekūdeņu</w:t>
      </w:r>
      <w:r w:rsidRPr="00C73E30">
        <w:rPr>
          <w:rFonts w:ascii="Times New Roman" w:hAnsi="Times New Roman" w:cs="Times New Roman"/>
        </w:rPr>
        <w:t xml:space="preserve"> dūņu savākšanu un pārstrādi atbildīgā SPS pienākum</w:t>
      </w:r>
      <w:r w:rsidR="000B4155">
        <w:rPr>
          <w:rFonts w:ascii="Times New Roman" w:hAnsi="Times New Roman" w:cs="Times New Roman"/>
        </w:rPr>
        <w:t>us</w:t>
      </w:r>
      <w:r w:rsidRPr="00C73E30">
        <w:rPr>
          <w:rFonts w:ascii="Times New Roman" w:hAnsi="Times New Roman" w:cs="Times New Roman"/>
        </w:rPr>
        <w:t>, atbildīb</w:t>
      </w:r>
      <w:r w:rsidR="000B4155">
        <w:rPr>
          <w:rFonts w:ascii="Times New Roman" w:hAnsi="Times New Roman" w:cs="Times New Roman"/>
        </w:rPr>
        <w:t>u</w:t>
      </w:r>
      <w:r w:rsidRPr="00C73E30">
        <w:rPr>
          <w:rFonts w:ascii="Times New Roman" w:hAnsi="Times New Roman" w:cs="Times New Roman"/>
        </w:rPr>
        <w:t>, kā arī iespēj</w:t>
      </w:r>
      <w:r w:rsidR="000B4155">
        <w:rPr>
          <w:rFonts w:ascii="Times New Roman" w:hAnsi="Times New Roman" w:cs="Times New Roman"/>
        </w:rPr>
        <w:t>u</w:t>
      </w:r>
      <w:r w:rsidRPr="00C73E30">
        <w:rPr>
          <w:rFonts w:ascii="Times New Roman" w:hAnsi="Times New Roman" w:cs="Times New Roman"/>
        </w:rPr>
        <w:t xml:space="preserve"> saņemt </w:t>
      </w:r>
      <w:r w:rsidR="00765571" w:rsidRPr="00C73E30">
        <w:rPr>
          <w:rFonts w:ascii="Times New Roman" w:hAnsi="Times New Roman" w:cs="Times New Roman"/>
        </w:rPr>
        <w:t xml:space="preserve">notekūdeņu </w:t>
      </w:r>
      <w:r w:rsidRPr="00C73E30">
        <w:rPr>
          <w:rFonts w:ascii="Times New Roman" w:hAnsi="Times New Roman" w:cs="Times New Roman"/>
        </w:rPr>
        <w:t>dūņu apsaimniekošanai nepieciešamo finansējumu no notekūdeņu radītājiem u</w:t>
      </w:r>
      <w:r w:rsidR="00765571" w:rsidRPr="00C73E30">
        <w:rPr>
          <w:rFonts w:ascii="Times New Roman" w:hAnsi="Times New Roman" w:cs="Times New Roman"/>
        </w:rPr>
        <w:t>n</w:t>
      </w:r>
      <w:r w:rsidRPr="00C73E30">
        <w:rPr>
          <w:rFonts w:ascii="Times New Roman" w:hAnsi="Times New Roman" w:cs="Times New Roman"/>
        </w:rPr>
        <w:t xml:space="preserve">  citiem SPS, ja no tiem tiks pieņemtas </w:t>
      </w:r>
      <w:r w:rsidR="00765571" w:rsidRPr="00C73E30">
        <w:rPr>
          <w:rFonts w:ascii="Times New Roman" w:hAnsi="Times New Roman" w:cs="Times New Roman"/>
        </w:rPr>
        <w:t xml:space="preserve">notekūdeņu </w:t>
      </w:r>
      <w:r w:rsidRPr="00C73E30">
        <w:rPr>
          <w:rFonts w:ascii="Times New Roman" w:hAnsi="Times New Roman" w:cs="Times New Roman"/>
        </w:rPr>
        <w:t>dūņas. Likumā būs jānosaka arī pašvaldību pienākums noteikt vienu SPS par atbildīgo visu pašvaldības notekūdeņu dūņu apsaimniekošanā u.c. aktuālas izmaiņas.</w:t>
      </w:r>
    </w:p>
    <w:p w14:paraId="3DEB38AB" w14:textId="4E45179B" w:rsidR="00886169" w:rsidRDefault="00E635A2" w:rsidP="00C73E30">
      <w:pPr>
        <w:spacing w:after="0"/>
        <w:ind w:firstLine="720"/>
        <w:rPr>
          <w:rFonts w:ascii="Times New Roman" w:hAnsi="Times New Roman" w:cs="Times New Roman"/>
        </w:rPr>
      </w:pPr>
      <w:r>
        <w:rPr>
          <w:rFonts w:ascii="Times New Roman" w:hAnsi="Times New Roman" w:cs="Times New Roman"/>
        </w:rPr>
        <w:t xml:space="preserve">Apsaimniekošanas institucionālās pārvaldības alternatīvu izvērtējuma </w:t>
      </w:r>
      <w:r w:rsidR="00ED1878" w:rsidRPr="001D3B45">
        <w:rPr>
          <w:rFonts w:ascii="Times New Roman" w:hAnsi="Times New Roman" w:cs="Times New Roman"/>
        </w:rPr>
        <w:t>apkopojums 5.</w:t>
      </w:r>
      <w:r w:rsidR="001D3B45" w:rsidRPr="001D3B45">
        <w:rPr>
          <w:rFonts w:ascii="Times New Roman" w:hAnsi="Times New Roman" w:cs="Times New Roman"/>
        </w:rPr>
        <w:t>1.1.</w:t>
      </w:r>
      <w:r w:rsidR="00ED1878" w:rsidRPr="001D3B45">
        <w:rPr>
          <w:rFonts w:ascii="Times New Roman" w:hAnsi="Times New Roman" w:cs="Times New Roman"/>
        </w:rPr>
        <w:t>attēlā.</w:t>
      </w:r>
      <w:r w:rsidR="00ED1878">
        <w:rPr>
          <w:rFonts w:ascii="Times New Roman" w:hAnsi="Times New Roman" w:cs="Times New Roman"/>
        </w:rPr>
        <w:t xml:space="preserve"> </w:t>
      </w:r>
    </w:p>
    <w:p w14:paraId="3C64F953" w14:textId="77777777" w:rsidR="00886169" w:rsidRDefault="00886169" w:rsidP="00C73E30">
      <w:pPr>
        <w:spacing w:after="0"/>
        <w:ind w:firstLine="720"/>
        <w:rPr>
          <w:rFonts w:ascii="Times New Roman" w:hAnsi="Times New Roman" w:cs="Times New Roman"/>
        </w:rPr>
      </w:pPr>
    </w:p>
    <w:p w14:paraId="7B2B537C" w14:textId="77777777" w:rsidR="000036BD" w:rsidRDefault="000036BD" w:rsidP="00C73E30">
      <w:pPr>
        <w:spacing w:after="0"/>
        <w:ind w:firstLine="720"/>
        <w:rPr>
          <w:rFonts w:ascii="Times New Roman" w:hAnsi="Times New Roman" w:cs="Times New Roman"/>
        </w:rPr>
      </w:pPr>
    </w:p>
    <w:p w14:paraId="482EB3B5" w14:textId="77777777" w:rsidR="000036BD" w:rsidRDefault="000036BD" w:rsidP="00C73E30">
      <w:pPr>
        <w:spacing w:after="0"/>
        <w:ind w:firstLine="720"/>
        <w:rPr>
          <w:rFonts w:ascii="Times New Roman" w:hAnsi="Times New Roman" w:cs="Times New Roman"/>
        </w:rPr>
        <w:sectPr w:rsidR="000036BD" w:rsidSect="007E349D">
          <w:pgSz w:w="11906" w:h="16838"/>
          <w:pgMar w:top="1134" w:right="1701" w:bottom="1134" w:left="1701" w:header="708" w:footer="708" w:gutter="0"/>
          <w:cols w:space="708"/>
          <w:docGrid w:linePitch="360"/>
        </w:sectPr>
      </w:pPr>
    </w:p>
    <w:p w14:paraId="2245A232" w14:textId="3F8DFB31" w:rsidR="000036BD" w:rsidRDefault="00886169" w:rsidP="00C73E30">
      <w:pPr>
        <w:spacing w:after="0"/>
        <w:ind w:firstLine="720"/>
        <w:rPr>
          <w:rFonts w:ascii="Times New Roman" w:hAnsi="Times New Roman" w:cs="Times New Roman"/>
        </w:rPr>
      </w:pPr>
      <w:r>
        <w:rPr>
          <w:b/>
          <w:noProof/>
          <w:lang w:eastAsia="lv-LV"/>
        </w:rPr>
        <w:lastRenderedPageBreak/>
        <mc:AlternateContent>
          <mc:Choice Requires="wps">
            <w:drawing>
              <wp:anchor distT="0" distB="0" distL="114300" distR="114300" simplePos="0" relativeHeight="251658266" behindDoc="0" locked="0" layoutInCell="1" allowOverlap="1" wp14:anchorId="4F2CC59B" wp14:editId="79FBA74D">
                <wp:simplePos x="0" y="0"/>
                <wp:positionH relativeFrom="margin">
                  <wp:align>center</wp:align>
                </wp:positionH>
                <wp:positionV relativeFrom="paragraph">
                  <wp:posOffset>5505450</wp:posOffset>
                </wp:positionV>
                <wp:extent cx="4829175" cy="323850"/>
                <wp:effectExtent l="0" t="0" r="9525" b="0"/>
                <wp:wrapNone/>
                <wp:docPr id="154" name="Text Box 154"/>
                <wp:cNvGraphicFramePr/>
                <a:graphic xmlns:a="http://schemas.openxmlformats.org/drawingml/2006/main">
                  <a:graphicData uri="http://schemas.microsoft.com/office/word/2010/wordprocessingShape">
                    <wps:wsp>
                      <wps:cNvSpPr txBox="1"/>
                      <wps:spPr>
                        <a:xfrm>
                          <a:off x="0" y="0"/>
                          <a:ext cx="4829175" cy="323850"/>
                        </a:xfrm>
                        <a:prstGeom prst="rect">
                          <a:avLst/>
                        </a:prstGeom>
                        <a:solidFill>
                          <a:sysClr val="window" lastClr="FFFFFF"/>
                        </a:solidFill>
                        <a:ln w="6350">
                          <a:noFill/>
                        </a:ln>
                        <a:effectLst/>
                      </wps:spPr>
                      <wps:txbx>
                        <w:txbxContent>
                          <w:p w14:paraId="63D195A4" w14:textId="4BFF261D" w:rsidR="00886169" w:rsidRPr="00323081" w:rsidRDefault="00886169" w:rsidP="00886169">
                            <w:pPr>
                              <w:jc w:val="center"/>
                              <w:rPr>
                                <w:rFonts w:ascii="Times New Roman" w:hAnsi="Times New Roman" w:cs="Times New Roman"/>
                                <w:iCs/>
                                <w:szCs w:val="24"/>
                              </w:rPr>
                            </w:pPr>
                            <w:r w:rsidRPr="001D3B45">
                              <w:rPr>
                                <w:rFonts w:ascii="Times New Roman" w:hAnsi="Times New Roman" w:cs="Times New Roman"/>
                                <w:b/>
                                <w:bCs/>
                                <w:iCs/>
                                <w:szCs w:val="24"/>
                              </w:rPr>
                              <w:t>5.</w:t>
                            </w:r>
                            <w:r w:rsidR="001D3B45" w:rsidRPr="001D3B45">
                              <w:rPr>
                                <w:rFonts w:ascii="Times New Roman" w:hAnsi="Times New Roman" w:cs="Times New Roman"/>
                                <w:b/>
                                <w:bCs/>
                                <w:iCs/>
                                <w:szCs w:val="24"/>
                              </w:rPr>
                              <w:t>1.1.</w:t>
                            </w:r>
                            <w:r w:rsidRPr="001D3B45">
                              <w:rPr>
                                <w:rFonts w:ascii="Times New Roman" w:hAnsi="Times New Roman" w:cs="Times New Roman"/>
                                <w:b/>
                                <w:bCs/>
                                <w:iCs/>
                                <w:szCs w:val="24"/>
                              </w:rPr>
                              <w:t xml:space="preserve">attēls. </w:t>
                            </w:r>
                            <w:r w:rsidRPr="001D3B45">
                              <w:rPr>
                                <w:rFonts w:ascii="Times New Roman" w:hAnsi="Times New Roman" w:cs="Times New Roman"/>
                                <w:iCs/>
                                <w:szCs w:val="24"/>
                              </w:rPr>
                              <w:t>Alternatīvu</w:t>
                            </w:r>
                            <w:r w:rsidRPr="00323081">
                              <w:rPr>
                                <w:rFonts w:ascii="Times New Roman" w:hAnsi="Times New Roman" w:cs="Times New Roman"/>
                                <w:iCs/>
                                <w:szCs w:val="24"/>
                              </w:rPr>
                              <w:t xml:space="preserve"> grupas “E” izvērtējuma kopsavilkums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CC59B" id="Text Box 154" o:spid="_x0000_s1044" type="#_x0000_t202" style="position:absolute;left:0;text-align:left;margin-left:0;margin-top:433.5pt;width:380.25pt;height:25.5pt;z-index:25165826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" fillcolor="window" stroked="f" strokeweight=".5pt">
                <v:textbox>
                  <w:txbxContent>
                    <w:p w14:paraId="63D195A4" w14:textId="4BFF261D" w:rsidR="00886169" w:rsidRPr="00323081" w:rsidRDefault="00886169" w:rsidP="00886169">
                      <w:pPr>
                        <w:jc w:val="center"/>
                        <w:rPr>
                          <w:rFonts w:ascii="Times New Roman" w:hAnsi="Times New Roman" w:cs="Times New Roman"/>
                          <w:iCs/>
                          <w:szCs w:val="24"/>
                        </w:rPr>
                      </w:pPr>
                      <w:r w:rsidRPr="001D3B45">
                        <w:rPr>
                          <w:rFonts w:ascii="Times New Roman" w:hAnsi="Times New Roman" w:cs="Times New Roman"/>
                          <w:b/>
                          <w:bCs/>
                          <w:iCs/>
                          <w:szCs w:val="24"/>
                        </w:rPr>
                        <w:t>5.</w:t>
                      </w:r>
                      <w:r w:rsidR="001D3B45" w:rsidRPr="001D3B45">
                        <w:rPr>
                          <w:rFonts w:ascii="Times New Roman" w:hAnsi="Times New Roman" w:cs="Times New Roman"/>
                          <w:b/>
                          <w:bCs/>
                          <w:iCs/>
                          <w:szCs w:val="24"/>
                        </w:rPr>
                        <w:t>1.1.</w:t>
                      </w:r>
                      <w:r w:rsidRPr="001D3B45">
                        <w:rPr>
                          <w:rFonts w:ascii="Times New Roman" w:hAnsi="Times New Roman" w:cs="Times New Roman"/>
                          <w:b/>
                          <w:bCs/>
                          <w:iCs/>
                          <w:szCs w:val="24"/>
                        </w:rPr>
                        <w:t xml:space="preserve">attēls. </w:t>
                      </w:r>
                      <w:r w:rsidRPr="001D3B45">
                        <w:rPr>
                          <w:rFonts w:ascii="Times New Roman" w:hAnsi="Times New Roman" w:cs="Times New Roman"/>
                          <w:iCs/>
                          <w:szCs w:val="24"/>
                        </w:rPr>
                        <w:t>Alternatīvu</w:t>
                      </w:r>
                      <w:r w:rsidRPr="00323081">
                        <w:rPr>
                          <w:rFonts w:ascii="Times New Roman" w:hAnsi="Times New Roman" w:cs="Times New Roman"/>
                          <w:iCs/>
                          <w:szCs w:val="24"/>
                        </w:rPr>
                        <w:t xml:space="preserve"> grupas “E” izvērtējuma kopsavilkums</w:t>
                      </w:r>
                    </w:p>
                  </w:txbxContent>
                </v:textbox>
                <w10:wrap anchorx="margin"/>
              </v:shape>
            </w:pict>
          </mc:Fallback>
        </mc:AlternateContent>
      </w:r>
      <w:r w:rsidR="000C1FCD">
        <w:rPr>
          <w:b/>
          <w:noProof/>
          <w:lang w:eastAsia="lv-LV"/>
        </w:rPr>
        <w:drawing>
          <wp:inline distT="0" distB="0" distL="0" distR="0" wp14:anchorId="427EFF02" wp14:editId="4F3F041F">
            <wp:extent cx="8093639" cy="540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093639" cy="5400000"/>
                    </a:xfrm>
                    <a:prstGeom prst="rect">
                      <a:avLst/>
                    </a:prstGeom>
                    <a:noFill/>
                  </pic:spPr>
                </pic:pic>
              </a:graphicData>
            </a:graphic>
          </wp:inline>
        </w:drawing>
      </w:r>
      <w:r w:rsidRPr="00886169">
        <w:rPr>
          <w:b/>
          <w:noProof/>
          <w:lang w:eastAsia="lv-LV"/>
        </w:rPr>
        <w:t xml:space="preserve"> </w:t>
      </w:r>
    </w:p>
    <w:p w14:paraId="52FDB7E4" w14:textId="77777777" w:rsidR="001A540B" w:rsidRDefault="001A540B" w:rsidP="00C73E30">
      <w:pPr>
        <w:spacing w:after="0"/>
        <w:ind w:firstLine="720"/>
        <w:rPr>
          <w:rFonts w:ascii="Times New Roman" w:hAnsi="Times New Roman" w:cs="Times New Roman"/>
        </w:rPr>
      </w:pPr>
    </w:p>
    <w:p w14:paraId="16D46779" w14:textId="0FDDC173" w:rsidR="006E0EDB" w:rsidRPr="00C73E30" w:rsidRDefault="006E0EDB" w:rsidP="006E0EDB">
      <w:pPr>
        <w:pStyle w:val="Heading1"/>
        <w:spacing w:after="240"/>
        <w:rPr>
          <w:rFonts w:ascii="Times New Roman" w:eastAsia="Times New Roman" w:hAnsi="Times New Roman" w:cs="Times New Roman"/>
          <w:b/>
          <w:bCs/>
          <w:color w:val="auto"/>
          <w:sz w:val="24"/>
          <w:szCs w:val="24"/>
          <w:lang w:eastAsia="en-GB"/>
        </w:rPr>
      </w:pPr>
      <w:bookmarkStart w:id="64" w:name="_Toc82430173"/>
      <w:bookmarkStart w:id="65" w:name="_Toc107916325"/>
      <w:r w:rsidRPr="00C73E30">
        <w:rPr>
          <w:rFonts w:ascii="Times New Roman" w:eastAsia="Times New Roman" w:hAnsi="Times New Roman" w:cs="Times New Roman"/>
          <w:b/>
          <w:bCs/>
          <w:color w:val="auto"/>
          <w:sz w:val="24"/>
          <w:szCs w:val="24"/>
          <w:lang w:eastAsia="en-GB"/>
        </w:rPr>
        <w:lastRenderedPageBreak/>
        <w:t>6.  NOTEKŪDEŅU DŪŅU APSAIMNIEKOŠANAS PROCESU APRAKSTS</w:t>
      </w:r>
      <w:bookmarkEnd w:id="64"/>
      <w:bookmarkEnd w:id="65"/>
    </w:p>
    <w:p w14:paraId="6D925C74" w14:textId="77777777" w:rsidR="006E0EDB" w:rsidRPr="00C73E30" w:rsidRDefault="006E0EDB" w:rsidP="00C73E30">
      <w:pPr>
        <w:pStyle w:val="Heading2"/>
        <w:spacing w:before="120" w:after="120"/>
        <w:jc w:val="center"/>
        <w:rPr>
          <w:rFonts w:ascii="Times New Roman" w:eastAsia="Times New Roman" w:hAnsi="Times New Roman" w:cs="Times New Roman"/>
          <w:b/>
          <w:bCs/>
          <w:color w:val="auto"/>
          <w:sz w:val="24"/>
          <w:szCs w:val="24"/>
          <w:lang w:eastAsia="en-GB"/>
        </w:rPr>
      </w:pPr>
      <w:bookmarkStart w:id="66" w:name="_Toc81384501"/>
      <w:bookmarkStart w:id="67" w:name="_Toc82430174"/>
      <w:bookmarkStart w:id="68" w:name="_Toc107916326"/>
      <w:r w:rsidRPr="00C73E30">
        <w:rPr>
          <w:rFonts w:ascii="Times New Roman" w:eastAsia="Times New Roman" w:hAnsi="Times New Roman" w:cs="Times New Roman"/>
          <w:b/>
          <w:bCs/>
          <w:color w:val="auto"/>
          <w:sz w:val="24"/>
          <w:szCs w:val="24"/>
          <w:lang w:eastAsia="en-GB"/>
        </w:rPr>
        <w:t>6.1. Kopsavilkums par Latvijas notekūdeņu dūņu apsaimniekošanas stratēģijas alternatīvu analīzi</w:t>
      </w:r>
      <w:bookmarkEnd w:id="66"/>
      <w:bookmarkEnd w:id="67"/>
      <w:bookmarkEnd w:id="68"/>
    </w:p>
    <w:p w14:paraId="22F1C3A1" w14:textId="399D303B" w:rsidR="006E0EDB" w:rsidRDefault="006E0EDB" w:rsidP="008A276E">
      <w:pPr>
        <w:spacing w:after="0"/>
        <w:ind w:firstLine="720"/>
        <w:rPr>
          <w:rFonts w:ascii="Times New Roman" w:hAnsi="Times New Roman" w:cs="Times New Roman"/>
        </w:rPr>
      </w:pPr>
      <w:r w:rsidRPr="00C73E30">
        <w:rPr>
          <w:rFonts w:ascii="Times New Roman" w:hAnsi="Times New Roman" w:cs="Times New Roman"/>
        </w:rPr>
        <w:t xml:space="preserve">Ņemot vērā iepriekšējās nodaļās veikto notekūdeņu dūņu apsaimniekošanas alternatīvo risinājumu izvērtēšanas rezultātus, par atbilstošiem un Latvijas notekūdeņu dūņu apsaimniekošanas stratēģijā iekļaujamiem apsaimniekošanas risinājumiem uzskatāmi </w:t>
      </w:r>
      <w:r w:rsidR="00E17CAD">
        <w:rPr>
          <w:rFonts w:ascii="Times New Roman" w:hAnsi="Times New Roman" w:cs="Times New Roman"/>
        </w:rPr>
        <w:t>6.</w:t>
      </w:r>
      <w:r w:rsidRPr="00C73E30">
        <w:rPr>
          <w:rFonts w:ascii="Times New Roman" w:hAnsi="Times New Roman" w:cs="Times New Roman"/>
        </w:rPr>
        <w:t>1.tabulā iekļautie risinājumi.</w:t>
      </w:r>
      <w:r w:rsidR="00E36786">
        <w:rPr>
          <w:rFonts w:ascii="Times New Roman" w:hAnsi="Times New Roman" w:cs="Times New Roman"/>
        </w:rPr>
        <w:t xml:space="preserve"> </w:t>
      </w:r>
      <w:r w:rsidR="00C642BF" w:rsidRPr="008A276E">
        <w:rPr>
          <w:rFonts w:ascii="Times New Roman" w:hAnsi="Times New Roman" w:cs="Times New Roman"/>
          <w:iCs/>
          <w:szCs w:val="24"/>
        </w:rPr>
        <w:t>Alternatīvu izvērtējuma kopsavilkums un notekūdeņu dūņu apsaimniekošanas modeļa</w:t>
      </w:r>
      <w:r w:rsidR="00C642BF">
        <w:rPr>
          <w:rFonts w:ascii="Times New Roman" w:hAnsi="Times New Roman" w:cs="Times New Roman"/>
          <w:iCs/>
          <w:szCs w:val="24"/>
        </w:rPr>
        <w:t xml:space="preserve"> shēma apskatāma 6.1. attēlā. </w:t>
      </w:r>
    </w:p>
    <w:p w14:paraId="795965C6" w14:textId="77777777" w:rsidR="008A276E" w:rsidRDefault="008A276E" w:rsidP="008A276E">
      <w:pPr>
        <w:spacing w:after="0"/>
        <w:ind w:firstLine="720"/>
        <w:rPr>
          <w:rFonts w:ascii="Times New Roman" w:hAnsi="Times New Roman" w:cs="Times New Roman"/>
        </w:rPr>
      </w:pPr>
    </w:p>
    <w:p w14:paraId="7A3F777B" w14:textId="5D974D3B" w:rsidR="00C73E30" w:rsidRPr="00C73E30" w:rsidRDefault="00E17CAD" w:rsidP="008A276E">
      <w:pPr>
        <w:spacing w:after="0"/>
        <w:jc w:val="right"/>
        <w:rPr>
          <w:rFonts w:ascii="Times New Roman" w:hAnsi="Times New Roman" w:cs="Times New Roman"/>
        </w:rPr>
      </w:pPr>
      <w:r>
        <w:rPr>
          <w:rFonts w:ascii="Times New Roman" w:hAnsi="Times New Roman" w:cs="Times New Roman"/>
        </w:rPr>
        <w:t>6.</w:t>
      </w:r>
      <w:r w:rsidR="00C73E30" w:rsidRPr="00C73E30">
        <w:rPr>
          <w:rFonts w:ascii="Times New Roman" w:hAnsi="Times New Roman" w:cs="Times New Roman"/>
        </w:rPr>
        <w:t>1.tabula</w:t>
      </w:r>
    </w:p>
    <w:p w14:paraId="1DCAA961" w14:textId="6A2EE45D" w:rsidR="00C73E30" w:rsidRPr="00C73E30" w:rsidRDefault="00C73E30" w:rsidP="008A276E">
      <w:pPr>
        <w:spacing w:after="0"/>
        <w:jc w:val="center"/>
        <w:rPr>
          <w:rFonts w:ascii="Times New Roman" w:hAnsi="Times New Roman" w:cs="Times New Roman"/>
          <w:b/>
          <w:bCs/>
        </w:rPr>
      </w:pPr>
      <w:r w:rsidRPr="00C73E30">
        <w:rPr>
          <w:rFonts w:ascii="Times New Roman" w:hAnsi="Times New Roman" w:cs="Times New Roman"/>
          <w:b/>
          <w:bCs/>
        </w:rPr>
        <w:t>Notekūdeņu dūņu apsaimniekošanas alternatīvu izvērtējuma kopsavilkums</w:t>
      </w:r>
    </w:p>
    <w:tbl>
      <w:tblPr>
        <w:tblStyle w:val="TableGrid12"/>
        <w:tblW w:w="14029" w:type="dxa"/>
        <w:tblLook w:val="04A0" w:firstRow="1" w:lastRow="0" w:firstColumn="1" w:lastColumn="0" w:noHBand="0" w:noVBand="1"/>
      </w:tblPr>
      <w:tblGrid>
        <w:gridCol w:w="1980"/>
        <w:gridCol w:w="5953"/>
        <w:gridCol w:w="567"/>
        <w:gridCol w:w="426"/>
        <w:gridCol w:w="5103"/>
      </w:tblGrid>
      <w:tr w:rsidR="006E0EDB" w:rsidRPr="00175DD0" w14:paraId="49023653" w14:textId="77777777" w:rsidTr="003A4615">
        <w:trPr>
          <w:trHeight w:val="803"/>
        </w:trPr>
        <w:tc>
          <w:tcPr>
            <w:tcW w:w="14029" w:type="dxa"/>
            <w:gridSpan w:val="5"/>
            <w:shd w:val="clear" w:color="auto" w:fill="1F4E79" w:themeFill="accent1" w:themeFillShade="80"/>
            <w:vAlign w:val="center"/>
          </w:tcPr>
          <w:p w14:paraId="2FEACA23" w14:textId="77777777" w:rsidR="006E0EDB" w:rsidRPr="00C73E30" w:rsidRDefault="006E0EDB" w:rsidP="006E0EDB">
            <w:pPr>
              <w:spacing w:after="0" w:line="240" w:lineRule="auto"/>
              <w:jc w:val="center"/>
              <w:rPr>
                <w:rFonts w:ascii="Times New Roman" w:hAnsi="Times New Roman" w:cs="Times New Roman"/>
                <w:b/>
                <w:bCs/>
                <w:color w:val="FFFFFF" w:themeColor="background1"/>
                <w:sz w:val="26"/>
                <w:szCs w:val="26"/>
              </w:rPr>
            </w:pPr>
            <w:r w:rsidRPr="00C73E30">
              <w:rPr>
                <w:rFonts w:ascii="Times New Roman" w:hAnsi="Times New Roman" w:cs="Times New Roman"/>
                <w:b/>
                <w:bCs/>
                <w:color w:val="FFFFFF" w:themeColor="background1"/>
                <w:sz w:val="26"/>
                <w:szCs w:val="26"/>
              </w:rPr>
              <w:t>1.Posms: Notekūdeņu dūņu apsaimniekošanas alternatīvas, izmantojot</w:t>
            </w:r>
          </w:p>
          <w:p w14:paraId="5D59619A" w14:textId="77777777" w:rsidR="006E0EDB" w:rsidRPr="00C73E30" w:rsidRDefault="006E0EDB" w:rsidP="006E0EDB">
            <w:pPr>
              <w:spacing w:after="0" w:line="240" w:lineRule="auto"/>
              <w:jc w:val="center"/>
              <w:rPr>
                <w:rFonts w:ascii="Times New Roman" w:hAnsi="Times New Roman" w:cs="Times New Roman"/>
                <w:b/>
                <w:bCs/>
                <w:color w:val="FFFFFF" w:themeColor="background1"/>
                <w:szCs w:val="24"/>
              </w:rPr>
            </w:pPr>
            <w:r w:rsidRPr="00C73E30">
              <w:rPr>
                <w:rFonts w:ascii="Times New Roman" w:hAnsi="Times New Roman" w:cs="Times New Roman"/>
                <w:b/>
                <w:bCs/>
                <w:color w:val="FFFFFF" w:themeColor="background1"/>
                <w:sz w:val="26"/>
                <w:szCs w:val="26"/>
              </w:rPr>
              <w:t xml:space="preserve"> pastāvošo infrastruktūru ārpus SPS uzņēmumiem</w:t>
            </w:r>
          </w:p>
        </w:tc>
      </w:tr>
      <w:tr w:rsidR="006E0EDB" w:rsidRPr="00175DD0" w14:paraId="2534B671" w14:textId="77777777" w:rsidTr="002140A1">
        <w:tc>
          <w:tcPr>
            <w:tcW w:w="1980" w:type="dxa"/>
            <w:shd w:val="clear" w:color="auto" w:fill="B8CCE4"/>
            <w:vAlign w:val="center"/>
          </w:tcPr>
          <w:p w14:paraId="74EADEC6"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Izvērtētās alternatīvas</w:t>
            </w:r>
          </w:p>
        </w:tc>
        <w:tc>
          <w:tcPr>
            <w:tcW w:w="12049" w:type="dxa"/>
            <w:gridSpan w:val="4"/>
          </w:tcPr>
          <w:p w14:paraId="71713CDA" w14:textId="77777777" w:rsidR="006E0EDB" w:rsidRPr="008A276E" w:rsidRDefault="006E0EDB" w:rsidP="006E0EDB">
            <w:pPr>
              <w:spacing w:after="0" w:line="360" w:lineRule="auto"/>
              <w:rPr>
                <w:rFonts w:ascii="Times New Roman" w:hAnsi="Times New Roman" w:cs="Times New Roman"/>
                <w:sz w:val="20"/>
                <w:szCs w:val="20"/>
              </w:rPr>
            </w:pPr>
            <w:r w:rsidRPr="008A276E">
              <w:rPr>
                <w:rFonts w:ascii="Times New Roman" w:hAnsi="Times New Roman" w:cs="Times New Roman"/>
                <w:sz w:val="20"/>
                <w:szCs w:val="20"/>
              </w:rPr>
              <w:t>A1 - Notekūdeņu dūņu apsaimniekošana atkritumu apsaimniekošanas sistēmā</w:t>
            </w:r>
          </w:p>
          <w:p w14:paraId="203858D4" w14:textId="77777777" w:rsidR="006E0EDB" w:rsidRPr="008A276E" w:rsidRDefault="006E0EDB" w:rsidP="006E0EDB">
            <w:pPr>
              <w:spacing w:after="0" w:line="360" w:lineRule="auto"/>
              <w:rPr>
                <w:rFonts w:ascii="Times New Roman" w:hAnsi="Times New Roman" w:cs="Times New Roman"/>
                <w:sz w:val="20"/>
                <w:szCs w:val="20"/>
              </w:rPr>
            </w:pPr>
            <w:r w:rsidRPr="008A276E">
              <w:rPr>
                <w:rFonts w:ascii="Times New Roman" w:hAnsi="Times New Roman" w:cs="Times New Roman"/>
                <w:sz w:val="20"/>
                <w:szCs w:val="20"/>
              </w:rPr>
              <w:t>A2 - Notekūdeņu dūņu apsaimniekošana lauksaimniecības organizāciju infrastruktūrā</w:t>
            </w:r>
          </w:p>
          <w:p w14:paraId="2CB48A91" w14:textId="77777777" w:rsidR="006E0EDB" w:rsidRPr="008A276E" w:rsidRDefault="006E0EDB" w:rsidP="006E0EDB">
            <w:pPr>
              <w:spacing w:after="0" w:line="360" w:lineRule="auto"/>
              <w:rPr>
                <w:rFonts w:ascii="Times New Roman" w:hAnsi="Times New Roman" w:cs="Times New Roman"/>
                <w:sz w:val="20"/>
                <w:szCs w:val="20"/>
              </w:rPr>
            </w:pPr>
            <w:r w:rsidRPr="008A276E">
              <w:rPr>
                <w:rFonts w:ascii="Times New Roman" w:hAnsi="Times New Roman" w:cs="Times New Roman"/>
                <w:color w:val="A6A6A6"/>
                <w:sz w:val="20"/>
                <w:szCs w:val="20"/>
              </w:rPr>
              <w:t>A3 - Notekūdeņu dūņu apsaimniekošanu veic jaunizveidots ārpakalpojuma sniedzējs</w:t>
            </w:r>
          </w:p>
        </w:tc>
      </w:tr>
      <w:tr w:rsidR="006E0EDB" w:rsidRPr="00175DD0" w14:paraId="5A4B9BF9" w14:textId="77777777" w:rsidTr="002140A1">
        <w:tc>
          <w:tcPr>
            <w:tcW w:w="1980" w:type="dxa"/>
            <w:vMerge w:val="restart"/>
            <w:shd w:val="clear" w:color="auto" w:fill="B8CCE4"/>
            <w:vAlign w:val="center"/>
          </w:tcPr>
          <w:p w14:paraId="7247D7C0"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Latvijas notekūdeņu dūņu stratēģijā iekļaujamais risinājums</w:t>
            </w:r>
          </w:p>
        </w:tc>
        <w:tc>
          <w:tcPr>
            <w:tcW w:w="12049" w:type="dxa"/>
            <w:gridSpan w:val="4"/>
            <w:shd w:val="clear" w:color="auto" w:fill="DAEEF3"/>
            <w:vAlign w:val="center"/>
          </w:tcPr>
          <w:p w14:paraId="492CE4A0" w14:textId="77777777" w:rsidR="006E0EDB" w:rsidRPr="008A276E" w:rsidRDefault="002140A1" w:rsidP="001765B1">
            <w:pPr>
              <w:spacing w:before="120" w:after="120" w:line="240" w:lineRule="auto"/>
              <w:jc w:val="center"/>
              <w:rPr>
                <w:rFonts w:ascii="Times New Roman" w:hAnsi="Times New Roman" w:cs="Times New Roman"/>
                <w:b/>
                <w:bCs/>
                <w:szCs w:val="24"/>
              </w:rPr>
            </w:pPr>
            <w:r w:rsidRPr="008A276E">
              <w:rPr>
                <w:rFonts w:ascii="Times New Roman" w:hAnsi="Times New Roman" w:cs="Times New Roman"/>
                <w:b/>
                <w:bCs/>
                <w:szCs w:val="24"/>
              </w:rPr>
              <w:t>Nevien</w:t>
            </w:r>
            <w:r w:rsidR="001765B1" w:rsidRPr="008A276E">
              <w:rPr>
                <w:rFonts w:ascii="Times New Roman" w:hAnsi="Times New Roman" w:cs="Times New Roman"/>
                <w:b/>
                <w:bCs/>
                <w:szCs w:val="24"/>
              </w:rPr>
              <w:t>a</w:t>
            </w:r>
            <w:r w:rsidRPr="008A276E">
              <w:rPr>
                <w:rFonts w:ascii="Times New Roman" w:hAnsi="Times New Roman" w:cs="Times New Roman"/>
                <w:b/>
                <w:bCs/>
                <w:szCs w:val="24"/>
              </w:rPr>
              <w:t xml:space="preserve"> no </w:t>
            </w:r>
            <w:r w:rsidR="001765B1" w:rsidRPr="008A276E">
              <w:rPr>
                <w:rFonts w:ascii="Times New Roman" w:hAnsi="Times New Roman" w:cs="Times New Roman"/>
                <w:b/>
                <w:bCs/>
                <w:szCs w:val="24"/>
              </w:rPr>
              <w:t>alternatīvām</w:t>
            </w:r>
            <w:r w:rsidRPr="008A276E">
              <w:rPr>
                <w:rFonts w:ascii="Times New Roman" w:hAnsi="Times New Roman" w:cs="Times New Roman"/>
                <w:b/>
                <w:bCs/>
                <w:szCs w:val="24"/>
              </w:rPr>
              <w:t xml:space="preserve"> nav </w:t>
            </w:r>
            <w:r w:rsidR="006E0EDB" w:rsidRPr="008A276E">
              <w:rPr>
                <w:rFonts w:ascii="Times New Roman" w:hAnsi="Times New Roman" w:cs="Times New Roman"/>
                <w:b/>
                <w:bCs/>
                <w:szCs w:val="24"/>
              </w:rPr>
              <w:t>izmantojams kā</w:t>
            </w:r>
            <w:r w:rsidR="001765B1" w:rsidRPr="008A276E">
              <w:rPr>
                <w:rFonts w:ascii="Times New Roman" w:hAnsi="Times New Roman" w:cs="Times New Roman"/>
                <w:b/>
                <w:bCs/>
                <w:szCs w:val="24"/>
              </w:rPr>
              <w:t xml:space="preserve"> risinājums uz kuru ir veidojama notekūdeņu dūņu apsaimniekošanas </w:t>
            </w:r>
            <w:r w:rsidR="006E0EDB" w:rsidRPr="008A276E">
              <w:rPr>
                <w:rFonts w:ascii="Times New Roman" w:hAnsi="Times New Roman" w:cs="Times New Roman"/>
                <w:b/>
                <w:bCs/>
                <w:szCs w:val="24"/>
              </w:rPr>
              <w:t xml:space="preserve"> stratēģija</w:t>
            </w:r>
          </w:p>
        </w:tc>
      </w:tr>
      <w:tr w:rsidR="006E0EDB" w:rsidRPr="00175DD0" w14:paraId="46863550" w14:textId="77777777" w:rsidTr="002140A1">
        <w:tc>
          <w:tcPr>
            <w:tcW w:w="1980" w:type="dxa"/>
            <w:vMerge/>
            <w:shd w:val="clear" w:color="auto" w:fill="B8CCE4"/>
            <w:vAlign w:val="center"/>
          </w:tcPr>
          <w:p w14:paraId="21AB9519" w14:textId="77777777" w:rsidR="006E0EDB" w:rsidRPr="00C73E30" w:rsidRDefault="006E0EDB" w:rsidP="006E0EDB">
            <w:pPr>
              <w:spacing w:after="0" w:line="240" w:lineRule="auto"/>
              <w:jc w:val="center"/>
              <w:rPr>
                <w:rFonts w:ascii="Times New Roman" w:hAnsi="Times New Roman" w:cs="Times New Roman"/>
                <w:b/>
                <w:bCs/>
                <w:szCs w:val="24"/>
              </w:rPr>
            </w:pPr>
          </w:p>
        </w:tc>
        <w:tc>
          <w:tcPr>
            <w:tcW w:w="5953" w:type="dxa"/>
            <w:shd w:val="clear" w:color="auto" w:fill="auto"/>
            <w:vAlign w:val="center"/>
          </w:tcPr>
          <w:p w14:paraId="4E839A4D" w14:textId="77777777" w:rsidR="006E0EDB" w:rsidRPr="008A276E" w:rsidRDefault="006E0EDB" w:rsidP="001765B1">
            <w:pPr>
              <w:spacing w:before="120" w:after="120" w:line="240" w:lineRule="auto"/>
              <w:jc w:val="center"/>
              <w:rPr>
                <w:rFonts w:ascii="Times New Roman" w:hAnsi="Times New Roman" w:cs="Times New Roman"/>
                <w:b/>
                <w:bCs/>
                <w:i/>
                <w:iCs/>
                <w:sz w:val="22"/>
              </w:rPr>
            </w:pPr>
            <w:r w:rsidRPr="008A276E">
              <w:rPr>
                <w:rFonts w:ascii="Times New Roman" w:hAnsi="Times New Roman" w:cs="Times New Roman"/>
                <w:b/>
                <w:bCs/>
                <w:i/>
                <w:iCs/>
                <w:sz w:val="22"/>
              </w:rPr>
              <w:t>Priekšrocības</w:t>
            </w:r>
          </w:p>
        </w:tc>
        <w:tc>
          <w:tcPr>
            <w:tcW w:w="6096" w:type="dxa"/>
            <w:gridSpan w:val="3"/>
            <w:shd w:val="clear" w:color="auto" w:fill="auto"/>
            <w:vAlign w:val="center"/>
          </w:tcPr>
          <w:p w14:paraId="29C35AFC" w14:textId="77777777" w:rsidR="006E0EDB" w:rsidRPr="008A276E" w:rsidRDefault="006E0EDB" w:rsidP="001765B1">
            <w:pPr>
              <w:spacing w:before="120" w:after="120" w:line="240" w:lineRule="auto"/>
              <w:jc w:val="center"/>
              <w:rPr>
                <w:rFonts w:ascii="Times New Roman" w:hAnsi="Times New Roman" w:cs="Times New Roman"/>
                <w:b/>
                <w:bCs/>
                <w:i/>
                <w:iCs/>
                <w:sz w:val="22"/>
              </w:rPr>
            </w:pPr>
            <w:r w:rsidRPr="008A276E">
              <w:rPr>
                <w:rFonts w:ascii="Times New Roman" w:hAnsi="Times New Roman" w:cs="Times New Roman"/>
                <w:b/>
                <w:bCs/>
                <w:i/>
                <w:iCs/>
                <w:sz w:val="22"/>
              </w:rPr>
              <w:t>Papildus veicamie pasākumi, trūkumi</w:t>
            </w:r>
          </w:p>
        </w:tc>
      </w:tr>
      <w:tr w:rsidR="006E0EDB" w:rsidRPr="00175DD0" w14:paraId="21272F1D" w14:textId="77777777" w:rsidTr="002140A1">
        <w:tc>
          <w:tcPr>
            <w:tcW w:w="1980" w:type="dxa"/>
            <w:vMerge/>
            <w:tcBorders>
              <w:bottom w:val="single" w:sz="4" w:space="0" w:color="auto"/>
            </w:tcBorders>
            <w:shd w:val="clear" w:color="auto" w:fill="B8CCE4"/>
            <w:vAlign w:val="center"/>
          </w:tcPr>
          <w:p w14:paraId="25B807A5" w14:textId="77777777" w:rsidR="006E0EDB" w:rsidRPr="00C73E30" w:rsidRDefault="006E0EDB" w:rsidP="006E0EDB">
            <w:pPr>
              <w:spacing w:after="0" w:line="240" w:lineRule="auto"/>
              <w:jc w:val="center"/>
              <w:rPr>
                <w:rFonts w:ascii="Times New Roman" w:hAnsi="Times New Roman" w:cs="Times New Roman"/>
                <w:b/>
                <w:bCs/>
                <w:szCs w:val="24"/>
              </w:rPr>
            </w:pPr>
          </w:p>
        </w:tc>
        <w:tc>
          <w:tcPr>
            <w:tcW w:w="5953" w:type="dxa"/>
            <w:tcBorders>
              <w:bottom w:val="single" w:sz="4" w:space="0" w:color="auto"/>
            </w:tcBorders>
            <w:vAlign w:val="center"/>
          </w:tcPr>
          <w:p w14:paraId="200A06A8" w14:textId="77777777" w:rsidR="006E0EDB" w:rsidRPr="008A276E" w:rsidRDefault="006E0EDB" w:rsidP="001765B1">
            <w:pPr>
              <w:spacing w:before="120" w:after="120" w:line="240" w:lineRule="auto"/>
              <w:jc w:val="center"/>
              <w:rPr>
                <w:rFonts w:ascii="Times New Roman" w:hAnsi="Times New Roman" w:cs="Times New Roman"/>
                <w:i/>
                <w:iCs/>
                <w:sz w:val="20"/>
                <w:szCs w:val="20"/>
              </w:rPr>
            </w:pPr>
            <w:r w:rsidRPr="008A276E">
              <w:rPr>
                <w:rFonts w:ascii="Times New Roman" w:hAnsi="Times New Roman" w:cs="Times New Roman"/>
                <w:i/>
                <w:iCs/>
                <w:sz w:val="20"/>
                <w:szCs w:val="20"/>
              </w:rPr>
              <w:t>N/A</w:t>
            </w:r>
          </w:p>
        </w:tc>
        <w:tc>
          <w:tcPr>
            <w:tcW w:w="6096" w:type="dxa"/>
            <w:gridSpan w:val="3"/>
            <w:tcBorders>
              <w:bottom w:val="single" w:sz="4" w:space="0" w:color="auto"/>
            </w:tcBorders>
            <w:vAlign w:val="center"/>
          </w:tcPr>
          <w:p w14:paraId="3BAE19F9" w14:textId="77777777" w:rsidR="006E0EDB" w:rsidRPr="008A276E" w:rsidRDefault="006E0EDB" w:rsidP="001765B1">
            <w:pPr>
              <w:spacing w:before="120" w:after="120" w:line="240" w:lineRule="auto"/>
              <w:jc w:val="center"/>
              <w:rPr>
                <w:rFonts w:ascii="Times New Roman" w:hAnsi="Times New Roman" w:cs="Times New Roman"/>
                <w:i/>
                <w:iCs/>
                <w:sz w:val="20"/>
                <w:szCs w:val="20"/>
              </w:rPr>
            </w:pPr>
            <w:r w:rsidRPr="008A276E">
              <w:rPr>
                <w:rFonts w:ascii="Times New Roman" w:hAnsi="Times New Roman" w:cs="Times New Roman"/>
                <w:i/>
                <w:iCs/>
                <w:sz w:val="20"/>
                <w:szCs w:val="20"/>
              </w:rPr>
              <w:t>N/A</w:t>
            </w:r>
          </w:p>
        </w:tc>
      </w:tr>
      <w:tr w:rsidR="006E0EDB" w:rsidRPr="00175DD0" w14:paraId="13A3B7EB" w14:textId="77777777" w:rsidTr="001765B1">
        <w:tc>
          <w:tcPr>
            <w:tcW w:w="1980" w:type="dxa"/>
            <w:tcBorders>
              <w:bottom w:val="single" w:sz="6" w:space="0" w:color="auto"/>
            </w:tcBorders>
            <w:shd w:val="clear" w:color="auto" w:fill="B8CCE4"/>
            <w:vAlign w:val="center"/>
          </w:tcPr>
          <w:p w14:paraId="77473436"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Secinājumi</w:t>
            </w:r>
          </w:p>
        </w:tc>
        <w:tc>
          <w:tcPr>
            <w:tcW w:w="12049" w:type="dxa"/>
            <w:gridSpan w:val="4"/>
            <w:tcBorders>
              <w:bottom w:val="single" w:sz="6" w:space="0" w:color="auto"/>
            </w:tcBorders>
          </w:tcPr>
          <w:p w14:paraId="01AB032B" w14:textId="77777777" w:rsidR="006E0EDB" w:rsidRPr="008A276E" w:rsidRDefault="006E0EDB" w:rsidP="006E0EDB">
            <w:pPr>
              <w:spacing w:after="0" w:line="240" w:lineRule="auto"/>
              <w:rPr>
                <w:rFonts w:ascii="Times New Roman" w:hAnsi="Times New Roman" w:cs="Times New Roman"/>
                <w:sz w:val="20"/>
                <w:szCs w:val="20"/>
              </w:rPr>
            </w:pPr>
            <w:r w:rsidRPr="008A276E">
              <w:rPr>
                <w:rFonts w:ascii="Times New Roman" w:hAnsi="Times New Roman" w:cs="Times New Roman"/>
                <w:sz w:val="20"/>
                <w:szCs w:val="20"/>
              </w:rPr>
              <w:t xml:space="preserve">Ne alternatīva A1, ne A2 nepiedāvā drošus, stabilus un ilgtermiņa dūņu apsaimniekošanas risinājumus visā Latvijā. Tāpēc Latvijas notekūdeņu dūņu apsaimniekošanu Latvijā nav iespējams balstīt uz kādu no alternatīvām atsevišķi, ne uz abām kopā. Izvērtētās alternatīvas A1 un A2 var tikt izmantotas kā lokāli dūņu apsaimniekošanas risinājumi, gadījumos, kad attiecīgās infrastruktūras apsaimniekotāji var piedāvāt izmaksu ziņā efektīvākus notekūdeņu dūņu apsaimniekošanas nosacījumus. Lēmumu par A1 vai A2 apsaimniekošanas risinājuma izmantošanu izvērtē notekūdeņu dūņu pārstrādes centra operators, ņemot vērā lokālo situāciju un konkrētos nosacījumus, ko izvirza attiecīgās infrastruktūras apsaimniekotājs. </w:t>
            </w:r>
          </w:p>
          <w:p w14:paraId="18A52C5D" w14:textId="77777777" w:rsidR="002140A1" w:rsidRPr="008A276E" w:rsidRDefault="002140A1" w:rsidP="006E0EDB">
            <w:pPr>
              <w:spacing w:after="0" w:line="240" w:lineRule="auto"/>
              <w:rPr>
                <w:rFonts w:ascii="Times New Roman" w:hAnsi="Times New Roman" w:cs="Times New Roman"/>
                <w:sz w:val="20"/>
                <w:szCs w:val="20"/>
              </w:rPr>
            </w:pPr>
          </w:p>
        </w:tc>
      </w:tr>
      <w:tr w:rsidR="006E0EDB" w:rsidRPr="00175DD0" w14:paraId="7088BF0D" w14:textId="77777777" w:rsidTr="001765B1">
        <w:trPr>
          <w:trHeight w:val="284"/>
        </w:trPr>
        <w:tc>
          <w:tcPr>
            <w:tcW w:w="14029" w:type="dxa"/>
            <w:gridSpan w:val="5"/>
            <w:tcBorders>
              <w:top w:val="single" w:sz="6" w:space="0" w:color="auto"/>
              <w:left w:val="nil"/>
              <w:bottom w:val="nil"/>
              <w:right w:val="nil"/>
            </w:tcBorders>
            <w:shd w:val="clear" w:color="auto" w:fill="auto"/>
            <w:vAlign w:val="center"/>
          </w:tcPr>
          <w:p w14:paraId="0AD36B78" w14:textId="77777777" w:rsidR="002140A1" w:rsidRPr="008A276E" w:rsidRDefault="002140A1" w:rsidP="006E0EDB">
            <w:pPr>
              <w:spacing w:after="0" w:line="240" w:lineRule="auto"/>
              <w:rPr>
                <w:rFonts w:ascii="Times New Roman" w:hAnsi="Times New Roman" w:cs="Times New Roman"/>
                <w:b/>
                <w:bCs/>
                <w:sz w:val="26"/>
                <w:szCs w:val="26"/>
              </w:rPr>
            </w:pPr>
          </w:p>
          <w:p w14:paraId="2A0CE9A6" w14:textId="75A25317" w:rsidR="002140A1" w:rsidRDefault="002140A1" w:rsidP="006E0EDB">
            <w:pPr>
              <w:spacing w:after="0" w:line="240" w:lineRule="auto"/>
              <w:rPr>
                <w:rFonts w:ascii="Times New Roman" w:hAnsi="Times New Roman" w:cs="Times New Roman"/>
                <w:b/>
                <w:bCs/>
                <w:sz w:val="26"/>
                <w:szCs w:val="26"/>
              </w:rPr>
            </w:pPr>
          </w:p>
          <w:p w14:paraId="6F5A846D" w14:textId="77777777" w:rsidR="008A276E" w:rsidRDefault="008A276E" w:rsidP="006E0EDB">
            <w:pPr>
              <w:spacing w:after="0" w:line="240" w:lineRule="auto"/>
              <w:rPr>
                <w:rFonts w:ascii="Times New Roman" w:hAnsi="Times New Roman" w:cs="Times New Roman"/>
                <w:b/>
                <w:bCs/>
                <w:sz w:val="26"/>
                <w:szCs w:val="26"/>
              </w:rPr>
            </w:pPr>
          </w:p>
          <w:p w14:paraId="3DC30455" w14:textId="77777777" w:rsidR="00D42EB8" w:rsidRPr="008A276E" w:rsidRDefault="00D42EB8" w:rsidP="006E0EDB">
            <w:pPr>
              <w:spacing w:after="0" w:line="240" w:lineRule="auto"/>
              <w:rPr>
                <w:rFonts w:ascii="Times New Roman" w:hAnsi="Times New Roman" w:cs="Times New Roman"/>
                <w:b/>
                <w:bCs/>
                <w:sz w:val="26"/>
                <w:szCs w:val="26"/>
              </w:rPr>
            </w:pPr>
          </w:p>
          <w:p w14:paraId="6BCE9DCD" w14:textId="77777777" w:rsidR="00603B7B" w:rsidRPr="008A276E" w:rsidRDefault="00603B7B" w:rsidP="006E0EDB">
            <w:pPr>
              <w:spacing w:after="0" w:line="240" w:lineRule="auto"/>
              <w:rPr>
                <w:rFonts w:ascii="Times New Roman" w:hAnsi="Times New Roman" w:cs="Times New Roman"/>
                <w:b/>
                <w:bCs/>
                <w:sz w:val="26"/>
                <w:szCs w:val="26"/>
              </w:rPr>
            </w:pPr>
          </w:p>
        </w:tc>
      </w:tr>
      <w:tr w:rsidR="006E0EDB" w:rsidRPr="00175DD0" w14:paraId="75A3DC9B" w14:textId="77777777" w:rsidTr="001765B1">
        <w:trPr>
          <w:trHeight w:val="286"/>
        </w:trPr>
        <w:tc>
          <w:tcPr>
            <w:tcW w:w="14029" w:type="dxa"/>
            <w:gridSpan w:val="5"/>
            <w:tcBorders>
              <w:top w:val="nil"/>
            </w:tcBorders>
            <w:shd w:val="clear" w:color="auto" w:fill="1F4E79" w:themeFill="accent1" w:themeFillShade="80"/>
            <w:vAlign w:val="center"/>
          </w:tcPr>
          <w:p w14:paraId="4916400C" w14:textId="77777777" w:rsidR="006E0EDB" w:rsidRPr="008A276E" w:rsidRDefault="006E0EDB" w:rsidP="002140A1">
            <w:pPr>
              <w:spacing w:before="100" w:beforeAutospacing="1" w:after="100" w:afterAutospacing="1" w:line="240" w:lineRule="auto"/>
              <w:jc w:val="center"/>
              <w:rPr>
                <w:rFonts w:ascii="Times New Roman" w:hAnsi="Times New Roman" w:cs="Times New Roman"/>
                <w:b/>
                <w:bCs/>
                <w:color w:val="FFFFFF" w:themeColor="background1"/>
                <w:sz w:val="26"/>
                <w:szCs w:val="26"/>
              </w:rPr>
            </w:pPr>
            <w:r w:rsidRPr="008A276E">
              <w:rPr>
                <w:rFonts w:ascii="Times New Roman" w:hAnsi="Times New Roman" w:cs="Times New Roman"/>
                <w:b/>
                <w:bCs/>
                <w:color w:val="FFFFFF" w:themeColor="background1"/>
                <w:sz w:val="26"/>
                <w:szCs w:val="26"/>
              </w:rPr>
              <w:lastRenderedPageBreak/>
              <w:t>2.Posms: Notekūdeņu dūņu utilizācijas alternatīvas</w:t>
            </w:r>
          </w:p>
        </w:tc>
      </w:tr>
      <w:tr w:rsidR="006E0EDB" w:rsidRPr="00175DD0" w14:paraId="6046B299" w14:textId="77777777" w:rsidTr="002140A1">
        <w:tc>
          <w:tcPr>
            <w:tcW w:w="1980" w:type="dxa"/>
            <w:shd w:val="clear" w:color="auto" w:fill="B8CCE4"/>
            <w:vAlign w:val="center"/>
          </w:tcPr>
          <w:p w14:paraId="2A5314C1"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Izvērtētās alternatīvas</w:t>
            </w:r>
          </w:p>
        </w:tc>
        <w:tc>
          <w:tcPr>
            <w:tcW w:w="12049" w:type="dxa"/>
            <w:gridSpan w:val="4"/>
          </w:tcPr>
          <w:p w14:paraId="50500010" w14:textId="77777777" w:rsidR="006E0EDB" w:rsidRPr="008A276E" w:rsidRDefault="006E0EDB" w:rsidP="006E0EDB">
            <w:pPr>
              <w:spacing w:after="0" w:line="360" w:lineRule="auto"/>
              <w:rPr>
                <w:rFonts w:ascii="Times New Roman" w:hAnsi="Times New Roman" w:cs="Times New Roman"/>
                <w:szCs w:val="24"/>
              </w:rPr>
            </w:pPr>
            <w:r w:rsidRPr="008A276E">
              <w:rPr>
                <w:rFonts w:ascii="Times New Roman" w:hAnsi="Times New Roman" w:cs="Times New Roman"/>
                <w:szCs w:val="24"/>
              </w:rPr>
              <w:t>B1 - Pārstrādātu notekūdeņu dūņu iestrāde augsnē</w:t>
            </w:r>
          </w:p>
          <w:p w14:paraId="281F3863" w14:textId="77777777" w:rsidR="006E0EDB" w:rsidRPr="008A276E" w:rsidRDefault="006E0EDB" w:rsidP="006E0EDB">
            <w:pPr>
              <w:spacing w:after="0" w:line="360" w:lineRule="auto"/>
              <w:rPr>
                <w:rFonts w:ascii="Times New Roman" w:hAnsi="Times New Roman" w:cs="Times New Roman"/>
                <w:sz w:val="20"/>
                <w:szCs w:val="20"/>
              </w:rPr>
            </w:pPr>
            <w:r w:rsidRPr="008A276E">
              <w:rPr>
                <w:rFonts w:ascii="Times New Roman" w:hAnsi="Times New Roman" w:cs="Times New Roman"/>
                <w:sz w:val="20"/>
                <w:szCs w:val="20"/>
              </w:rPr>
              <w:t xml:space="preserve">B2 - Pārstrādātu notekūdeņu dūņu dedzināšana </w:t>
            </w:r>
          </w:p>
          <w:p w14:paraId="50C2E7E2" w14:textId="77777777" w:rsidR="006E0EDB" w:rsidRPr="008A276E" w:rsidRDefault="006E0EDB" w:rsidP="006E0EDB">
            <w:pPr>
              <w:spacing w:after="0" w:line="360" w:lineRule="auto"/>
              <w:rPr>
                <w:rFonts w:ascii="Times New Roman" w:hAnsi="Times New Roman" w:cs="Times New Roman"/>
                <w:sz w:val="20"/>
                <w:szCs w:val="20"/>
              </w:rPr>
            </w:pPr>
            <w:r w:rsidRPr="008A276E">
              <w:rPr>
                <w:rFonts w:ascii="Times New Roman" w:hAnsi="Times New Roman" w:cs="Times New Roman"/>
                <w:color w:val="A6A6A6"/>
                <w:sz w:val="20"/>
                <w:szCs w:val="20"/>
              </w:rPr>
              <w:t>B3 - Notekūdeņu dūņās pārstrāde un gala izmantošana ar dažādām inovatīvām metodēm</w:t>
            </w:r>
          </w:p>
        </w:tc>
      </w:tr>
      <w:tr w:rsidR="006E0EDB" w:rsidRPr="00175DD0" w14:paraId="30CB2CB0" w14:textId="77777777" w:rsidTr="002140A1">
        <w:trPr>
          <w:trHeight w:val="335"/>
        </w:trPr>
        <w:tc>
          <w:tcPr>
            <w:tcW w:w="1980" w:type="dxa"/>
            <w:vMerge w:val="restart"/>
            <w:shd w:val="clear" w:color="auto" w:fill="B8CCE4"/>
            <w:vAlign w:val="center"/>
          </w:tcPr>
          <w:p w14:paraId="133E8E32"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Latvijas notekūdeņu dūņu stratēģijā iekļaujamais risinājums</w:t>
            </w:r>
          </w:p>
        </w:tc>
        <w:tc>
          <w:tcPr>
            <w:tcW w:w="12049" w:type="dxa"/>
            <w:gridSpan w:val="4"/>
            <w:shd w:val="clear" w:color="auto" w:fill="DAEEF3"/>
            <w:vAlign w:val="center"/>
          </w:tcPr>
          <w:p w14:paraId="61E1DC3E" w14:textId="77777777" w:rsidR="006E0EDB" w:rsidRPr="008A276E" w:rsidRDefault="006E0EDB" w:rsidP="006E0EDB">
            <w:pPr>
              <w:spacing w:after="0" w:line="360" w:lineRule="auto"/>
              <w:jc w:val="center"/>
              <w:rPr>
                <w:rFonts w:ascii="Times New Roman" w:hAnsi="Times New Roman" w:cs="Times New Roman"/>
                <w:b/>
                <w:bCs/>
                <w:szCs w:val="24"/>
              </w:rPr>
            </w:pPr>
            <w:r w:rsidRPr="008A276E">
              <w:rPr>
                <w:rFonts w:ascii="Times New Roman" w:hAnsi="Times New Roman" w:cs="Times New Roman"/>
                <w:b/>
                <w:bCs/>
                <w:szCs w:val="24"/>
              </w:rPr>
              <w:t>B1 - Pārstrādātu notekūdeņu dūņu iestrāde augsnē</w:t>
            </w:r>
          </w:p>
        </w:tc>
      </w:tr>
      <w:tr w:rsidR="006E0EDB" w:rsidRPr="00175DD0" w14:paraId="6552F6F9" w14:textId="77777777" w:rsidTr="002140A1">
        <w:tc>
          <w:tcPr>
            <w:tcW w:w="1980" w:type="dxa"/>
            <w:vMerge/>
            <w:shd w:val="clear" w:color="auto" w:fill="B8CCE4"/>
            <w:vAlign w:val="center"/>
          </w:tcPr>
          <w:p w14:paraId="7D7E2092" w14:textId="77777777" w:rsidR="006E0EDB" w:rsidRPr="00C73E30" w:rsidRDefault="006E0EDB" w:rsidP="006E0EDB">
            <w:pPr>
              <w:spacing w:after="0" w:line="240" w:lineRule="auto"/>
              <w:jc w:val="center"/>
              <w:rPr>
                <w:rFonts w:ascii="Times New Roman" w:hAnsi="Times New Roman" w:cs="Times New Roman"/>
                <w:b/>
                <w:bCs/>
                <w:szCs w:val="24"/>
              </w:rPr>
            </w:pPr>
          </w:p>
        </w:tc>
        <w:tc>
          <w:tcPr>
            <w:tcW w:w="5953" w:type="dxa"/>
            <w:shd w:val="clear" w:color="auto" w:fill="auto"/>
            <w:vAlign w:val="center"/>
          </w:tcPr>
          <w:p w14:paraId="6AB46990"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Priekšrocības</w:t>
            </w:r>
          </w:p>
        </w:tc>
        <w:tc>
          <w:tcPr>
            <w:tcW w:w="6096" w:type="dxa"/>
            <w:gridSpan w:val="3"/>
            <w:shd w:val="clear" w:color="auto" w:fill="auto"/>
            <w:vAlign w:val="center"/>
          </w:tcPr>
          <w:p w14:paraId="2642A224" w14:textId="77777777" w:rsidR="006E0EDB" w:rsidRPr="008A276E" w:rsidRDefault="006E0EDB" w:rsidP="006E0EDB">
            <w:pPr>
              <w:spacing w:after="0" w:line="240" w:lineRule="auto"/>
              <w:jc w:val="center"/>
              <w:rPr>
                <w:rFonts w:ascii="Times New Roman" w:hAnsi="Times New Roman" w:cs="Times New Roman"/>
                <w:b/>
                <w:bCs/>
                <w:i/>
                <w:iCs/>
                <w:sz w:val="22"/>
              </w:rPr>
            </w:pPr>
            <w:r w:rsidRPr="008A276E">
              <w:rPr>
                <w:rFonts w:ascii="Times New Roman" w:hAnsi="Times New Roman" w:cs="Times New Roman"/>
                <w:b/>
                <w:bCs/>
                <w:i/>
                <w:iCs/>
                <w:sz w:val="22"/>
              </w:rPr>
              <w:t>Papildus veicamie pasākumi, trūkumi</w:t>
            </w:r>
          </w:p>
        </w:tc>
      </w:tr>
      <w:tr w:rsidR="006E0EDB" w:rsidRPr="00175DD0" w14:paraId="45CC6F25" w14:textId="77777777" w:rsidTr="00603B7B">
        <w:tc>
          <w:tcPr>
            <w:tcW w:w="1980" w:type="dxa"/>
            <w:vMerge/>
            <w:tcBorders>
              <w:bottom w:val="single" w:sz="4" w:space="0" w:color="auto"/>
            </w:tcBorders>
            <w:shd w:val="clear" w:color="auto" w:fill="B8CCE4"/>
            <w:vAlign w:val="center"/>
          </w:tcPr>
          <w:p w14:paraId="3AD99BA1" w14:textId="77777777" w:rsidR="006E0EDB" w:rsidRPr="00C73E30" w:rsidRDefault="006E0EDB" w:rsidP="006E0EDB">
            <w:pPr>
              <w:spacing w:after="0" w:line="240" w:lineRule="auto"/>
              <w:jc w:val="center"/>
              <w:rPr>
                <w:rFonts w:ascii="Times New Roman" w:hAnsi="Times New Roman" w:cs="Times New Roman"/>
                <w:b/>
                <w:bCs/>
                <w:szCs w:val="24"/>
              </w:rPr>
            </w:pPr>
          </w:p>
        </w:tc>
        <w:tc>
          <w:tcPr>
            <w:tcW w:w="5953" w:type="dxa"/>
            <w:tcBorders>
              <w:bottom w:val="single" w:sz="4" w:space="0" w:color="auto"/>
            </w:tcBorders>
          </w:tcPr>
          <w:p w14:paraId="49343BEA"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Nodrošina iespēju pilnā apmērā nodrošināt Eiropas Zaļā kursa</w:t>
            </w:r>
            <w:r w:rsidRPr="008A276E">
              <w:rPr>
                <w:rFonts w:ascii="Times New Roman" w:hAnsi="Times New Roman" w:cs="Times New Roman"/>
                <w:i/>
                <w:iCs/>
                <w:sz w:val="18"/>
                <w:szCs w:val="18"/>
                <w:vertAlign w:val="superscript"/>
              </w:rPr>
              <w:footnoteReference w:id="15"/>
            </w:r>
            <w:r w:rsidRPr="008A276E">
              <w:rPr>
                <w:rFonts w:ascii="Times New Roman" w:hAnsi="Times New Roman" w:cs="Times New Roman"/>
                <w:i/>
                <w:iCs/>
                <w:sz w:val="18"/>
                <w:szCs w:val="18"/>
              </w:rPr>
              <w:t xml:space="preserve"> un ES Rīcības plāna pārejai uz aprites ekonomiku</w:t>
            </w:r>
            <w:r w:rsidRPr="008A276E">
              <w:rPr>
                <w:rFonts w:ascii="Times New Roman" w:hAnsi="Times New Roman" w:cs="Times New Roman"/>
                <w:i/>
                <w:iCs/>
                <w:sz w:val="18"/>
                <w:szCs w:val="18"/>
                <w:vertAlign w:val="superscript"/>
              </w:rPr>
              <w:footnoteReference w:id="16"/>
            </w:r>
            <w:r w:rsidRPr="008A276E">
              <w:rPr>
                <w:rFonts w:ascii="Times New Roman" w:hAnsi="Times New Roman" w:cs="Times New Roman"/>
                <w:i/>
                <w:iCs/>
                <w:sz w:val="18"/>
                <w:szCs w:val="18"/>
              </w:rPr>
              <w:t xml:space="preserve"> noteikto aprites ekonomikas principu ieviešanu ūdenssaimniecības nozarē;</w:t>
            </w:r>
          </w:p>
          <w:p w14:paraId="73EB6455"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Samazina nepieciešamību augu mēslošanā izmantot mākslīgo mēslojumu vai importēt organisko mēslojumu no ārvalstīm;</w:t>
            </w:r>
          </w:p>
          <w:p w14:paraId="28751966"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Nav nepieciešamas specifiskas tehnoloģijas un tehniskie risinājumi notekūdeņu dūņu pārvadāšanai un iestrādei, kas ir viegli pieejami un ir plaši izmantoti arī līdz šim;</w:t>
            </w:r>
          </w:p>
          <w:p w14:paraId="2F5C3619"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Tehnoloģiski vienkāršākā pārstrādāto notekūdeņu dūņu utilizācijas metode, kas neprasa specifiskas zināšanas un pieredzi;</w:t>
            </w:r>
          </w:p>
          <w:p w14:paraId="7F9420F7"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Izmaksu ziņā efektīvākā utilizācijas metode;</w:t>
            </w:r>
          </w:p>
          <w:p w14:paraId="70C1934C" w14:textId="454918CE"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 xml:space="preserve">Plaši pieejamas lauksaimniecības zemes, kurās veicama </w:t>
            </w:r>
            <w:r w:rsidR="005F602B" w:rsidRPr="008A276E">
              <w:rPr>
                <w:rFonts w:ascii="Times New Roman" w:hAnsi="Times New Roman" w:cs="Times New Roman"/>
                <w:i/>
                <w:iCs/>
                <w:color w:val="000000"/>
                <w:sz w:val="18"/>
                <w:szCs w:val="18"/>
              </w:rPr>
              <w:t xml:space="preserve">notekūdeņu </w:t>
            </w:r>
            <w:r w:rsidRPr="008A276E">
              <w:rPr>
                <w:rFonts w:ascii="Times New Roman" w:hAnsi="Times New Roman" w:cs="Times New Roman"/>
                <w:i/>
                <w:iCs/>
                <w:sz w:val="18"/>
                <w:szCs w:val="18"/>
              </w:rPr>
              <w:t>dūņu iestrāde un kas ļauj nodrošināt dūņu utilizāciju pēc iespējas tuvāk to rašanās vietai.</w:t>
            </w:r>
          </w:p>
        </w:tc>
        <w:tc>
          <w:tcPr>
            <w:tcW w:w="6096" w:type="dxa"/>
            <w:gridSpan w:val="3"/>
            <w:tcBorders>
              <w:bottom w:val="single" w:sz="4" w:space="0" w:color="auto"/>
            </w:tcBorders>
          </w:tcPr>
          <w:p w14:paraId="4D3CB648" w14:textId="6A1B4954"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 xml:space="preserve">Nepieciešamas veikt izmaiņas MK noteikumos Nr.362, precizējot notekūdeņu dūņu kvalitātes apliecībā iekļaujamo informāciju, nodrošinot tās atbilstību </w:t>
            </w:r>
            <w:r w:rsidR="005F602B" w:rsidRPr="008A276E">
              <w:rPr>
                <w:rFonts w:ascii="Times New Roman" w:hAnsi="Times New Roman" w:cs="Times New Roman"/>
                <w:i/>
                <w:iCs/>
                <w:color w:val="000000"/>
                <w:sz w:val="18"/>
                <w:szCs w:val="18"/>
              </w:rPr>
              <w:t xml:space="preserve">notekūdeņu </w:t>
            </w:r>
            <w:r w:rsidRPr="008A276E">
              <w:rPr>
                <w:rFonts w:ascii="Times New Roman" w:hAnsi="Times New Roman" w:cs="Times New Roman"/>
                <w:i/>
                <w:iCs/>
                <w:color w:val="000000"/>
                <w:sz w:val="18"/>
                <w:szCs w:val="18"/>
              </w:rPr>
              <w:t>dūņu utilizācijas prasībām un veidam;</w:t>
            </w:r>
          </w:p>
          <w:p w14:paraId="2D29C2BF"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Nepieciešams pārvērtēt MK noteikumos Nr.362 iekļautos nosacījumus par lauksaimniecības kultūrām un nosacījumiem, kādus ievērojot ir iespējama pārstrādātu notekūdeņu dūņu vai to komposta iestrāde augsnē;</w:t>
            </w:r>
          </w:p>
          <w:p w14:paraId="3620E404" w14:textId="7C1C4EC9"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 xml:space="preserve">Nepieciešams veikt precīzu pārstrādātu notekūdeņu dūņu iestrādes dozēšanu un kontroli, tai skaitā </w:t>
            </w:r>
            <w:r w:rsidR="005F602B" w:rsidRPr="008A276E">
              <w:rPr>
                <w:rFonts w:ascii="Times New Roman" w:hAnsi="Times New Roman" w:cs="Times New Roman"/>
                <w:i/>
                <w:iCs/>
                <w:color w:val="000000"/>
                <w:sz w:val="18"/>
                <w:szCs w:val="18"/>
              </w:rPr>
              <w:t xml:space="preserve">notekūdeņu </w:t>
            </w:r>
            <w:r w:rsidRPr="008A276E">
              <w:rPr>
                <w:rFonts w:ascii="Times New Roman" w:hAnsi="Times New Roman" w:cs="Times New Roman"/>
                <w:i/>
                <w:iCs/>
                <w:color w:val="000000"/>
                <w:sz w:val="18"/>
                <w:szCs w:val="18"/>
              </w:rPr>
              <w:t>dūņu un augsnes kvalitatīvo novērtējumu;</w:t>
            </w:r>
          </w:p>
          <w:p w14:paraId="26D843FF"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Pārstrādātu notekūdeņu dūņu iestrādi augsnē iespējams veikt ierobežotu laika periodu, līdz ar to nepieciešama papildus teritoriju to īslaicīgai uzglabāšanai;</w:t>
            </w:r>
          </w:p>
          <w:p w14:paraId="51B55F9C" w14:textId="77777777"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Jāveic papildu pētījumi par pārstrādātu notekūdeņu dūņu izmantošanas iespējām, tai skaitā iestrādi augsnē un to efektu uz augsnes auglību, apkārtējās vides kvalitāti utt.;</w:t>
            </w:r>
          </w:p>
          <w:p w14:paraId="5B8A830D" w14:textId="7B3C8DAF" w:rsidR="006E0EDB" w:rsidRPr="008A276E" w:rsidRDefault="006E0EDB"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Jāpalielina sabiedrības informētība par notekūdeņu dūņu apsaimniekošanu kā būtisku apkārtējās vides kvalitātes uzlabošanas pasākumu un to atkārtotas izmantošanas (iestrādes augsnē) pozitīvajiem efektiem</w:t>
            </w:r>
            <w:r w:rsidR="00976413" w:rsidRPr="008A276E">
              <w:rPr>
                <w:rFonts w:ascii="Times New Roman" w:hAnsi="Times New Roman" w:cs="Times New Roman"/>
                <w:i/>
                <w:iCs/>
                <w:color w:val="000000"/>
                <w:sz w:val="18"/>
                <w:szCs w:val="18"/>
              </w:rPr>
              <w:t>;</w:t>
            </w:r>
          </w:p>
          <w:p w14:paraId="674C1993" w14:textId="77777777" w:rsidR="00976413" w:rsidRPr="008A276E" w:rsidRDefault="00976413"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 xml:space="preserve">ES atbalsta pasākumi (ekoshēmas) </w:t>
            </w:r>
            <w:r w:rsidR="00CF4AA9" w:rsidRPr="008A276E">
              <w:rPr>
                <w:rFonts w:ascii="Times New Roman" w:hAnsi="Times New Roman" w:cs="Times New Roman"/>
                <w:i/>
                <w:iCs/>
                <w:color w:val="000000"/>
                <w:sz w:val="18"/>
                <w:szCs w:val="18"/>
              </w:rPr>
              <w:t>saudzējošai</w:t>
            </w:r>
            <w:r w:rsidRPr="008A276E">
              <w:rPr>
                <w:rFonts w:ascii="Times New Roman" w:hAnsi="Times New Roman" w:cs="Times New Roman"/>
                <w:i/>
                <w:iCs/>
                <w:color w:val="000000"/>
                <w:sz w:val="18"/>
                <w:szCs w:val="18"/>
              </w:rPr>
              <w:t xml:space="preserve"> lauksaimniecības prakse</w:t>
            </w:r>
            <w:r w:rsidR="00CF4AA9" w:rsidRPr="008A276E">
              <w:rPr>
                <w:rFonts w:ascii="Times New Roman" w:hAnsi="Times New Roman" w:cs="Times New Roman"/>
                <w:i/>
                <w:iCs/>
                <w:color w:val="000000"/>
                <w:sz w:val="18"/>
                <w:szCs w:val="18"/>
              </w:rPr>
              <w:t>i, kas paredz bezaršanas vai joslu apstrādes tehnoloģiju izmantošanu var mazināt pieprasījumu pēc notekūdeņu dūņām kā mēslošanas līdzekļa, jo tā forma (birstošs, neformēts materiāls) nav piemērota izmantošanai šādos gadījumos.</w:t>
            </w:r>
          </w:p>
          <w:p w14:paraId="3621B293" w14:textId="1B4D5C5B" w:rsidR="00CF4AA9" w:rsidRPr="008A276E" w:rsidRDefault="00CF4AA9" w:rsidP="008B1B4B">
            <w:pPr>
              <w:numPr>
                <w:ilvl w:val="0"/>
                <w:numId w:val="12"/>
              </w:numPr>
              <w:spacing w:after="0" w:line="240" w:lineRule="auto"/>
              <w:ind w:left="320"/>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ES izvirzītie vides mērķi par mēslojuma lietošanas samazināšanu par 20% līdz 2030.gadam var mazināt pieprasījumu pēc notekūdeņu dūņām lauksaimniecības zemju mēslošanai.</w:t>
            </w:r>
          </w:p>
        </w:tc>
      </w:tr>
      <w:tr w:rsidR="006E0EDB" w:rsidRPr="00175DD0" w14:paraId="097C72F2" w14:textId="77777777" w:rsidTr="00603B7B">
        <w:tc>
          <w:tcPr>
            <w:tcW w:w="1980" w:type="dxa"/>
            <w:tcBorders>
              <w:bottom w:val="single" w:sz="4" w:space="0" w:color="auto"/>
            </w:tcBorders>
            <w:shd w:val="clear" w:color="auto" w:fill="B8CCE4"/>
            <w:vAlign w:val="center"/>
          </w:tcPr>
          <w:p w14:paraId="4ED0ABB1"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Secinājumi</w:t>
            </w:r>
          </w:p>
        </w:tc>
        <w:tc>
          <w:tcPr>
            <w:tcW w:w="12049" w:type="dxa"/>
            <w:gridSpan w:val="4"/>
            <w:tcBorders>
              <w:bottom w:val="single" w:sz="4" w:space="0" w:color="auto"/>
            </w:tcBorders>
          </w:tcPr>
          <w:p w14:paraId="3657898E" w14:textId="195B5536" w:rsidR="006E0EDB" w:rsidRPr="008A276E" w:rsidRDefault="006E0EDB" w:rsidP="006E0EDB">
            <w:pPr>
              <w:spacing w:line="240" w:lineRule="auto"/>
              <w:rPr>
                <w:rFonts w:ascii="Times New Roman" w:hAnsi="Times New Roman" w:cs="Times New Roman"/>
                <w:sz w:val="20"/>
                <w:szCs w:val="20"/>
              </w:rPr>
            </w:pPr>
            <w:r w:rsidRPr="008A276E">
              <w:rPr>
                <w:rFonts w:ascii="Times New Roman" w:hAnsi="Times New Roman" w:cs="Times New Roman"/>
                <w:sz w:val="20"/>
                <w:szCs w:val="20"/>
              </w:rPr>
              <w:t>Alternatīva B1 sniedz būtiski labākus</w:t>
            </w:r>
            <w:r w:rsidR="005F602B" w:rsidRPr="008A276E">
              <w:rPr>
                <w:rFonts w:ascii="Times New Roman" w:hAnsi="Times New Roman" w:cs="Times New Roman"/>
                <w:sz w:val="20"/>
                <w:szCs w:val="20"/>
              </w:rPr>
              <w:t xml:space="preserve"> </w:t>
            </w:r>
            <w:r w:rsidR="005F602B" w:rsidRPr="008A276E">
              <w:rPr>
                <w:rFonts w:ascii="Times New Roman" w:hAnsi="Times New Roman" w:cs="Times New Roman"/>
                <w:color w:val="000000"/>
                <w:sz w:val="20"/>
                <w:szCs w:val="20"/>
              </w:rPr>
              <w:t>notekūdeņu</w:t>
            </w:r>
            <w:r w:rsidRPr="008A276E">
              <w:rPr>
                <w:rFonts w:ascii="Times New Roman" w:hAnsi="Times New Roman" w:cs="Times New Roman"/>
                <w:sz w:val="20"/>
                <w:szCs w:val="20"/>
              </w:rPr>
              <w:t xml:space="preserve"> dūņu utilizācijas risinājumus salīdzinājumā ar citām alternatīvām. Pārstrādātu notekūdeņu dūņu iestrāde aug</w:t>
            </w:r>
            <w:r w:rsidR="002E539E">
              <w:rPr>
                <w:rFonts w:ascii="Times New Roman" w:hAnsi="Times New Roman" w:cs="Times New Roman"/>
                <w:sz w:val="20"/>
                <w:szCs w:val="20"/>
              </w:rPr>
              <w:t>s</w:t>
            </w:r>
            <w:r w:rsidRPr="008A276E">
              <w:rPr>
                <w:rFonts w:ascii="Times New Roman" w:hAnsi="Times New Roman" w:cs="Times New Roman"/>
                <w:sz w:val="20"/>
                <w:szCs w:val="20"/>
              </w:rPr>
              <w:t xml:space="preserve">nē nodrošina, ka materiāli, kurus var pārstrādāt, atkal atgriežas ekonomikā, veicina augsnes bagātināšanu, veicina ilgtspējīgu lauksaimniecību, samazina ietekmi uz vidi un klimata pārmaiņām, mazina atkritumu daudzumu, u.c. labumus. </w:t>
            </w:r>
          </w:p>
          <w:p w14:paraId="5744E7C6" w14:textId="1B1BCC04" w:rsidR="006E0EDB" w:rsidRPr="008A276E" w:rsidRDefault="006E0EDB" w:rsidP="006E0EDB">
            <w:pPr>
              <w:spacing w:after="0" w:line="240" w:lineRule="auto"/>
              <w:rPr>
                <w:rFonts w:ascii="Times New Roman" w:hAnsi="Times New Roman" w:cs="Times New Roman"/>
                <w:sz w:val="20"/>
                <w:szCs w:val="20"/>
              </w:rPr>
            </w:pPr>
            <w:r w:rsidRPr="008A276E">
              <w:rPr>
                <w:rFonts w:ascii="Times New Roman" w:hAnsi="Times New Roman" w:cs="Times New Roman"/>
                <w:sz w:val="20"/>
                <w:szCs w:val="20"/>
              </w:rPr>
              <w:t>Izvērtētā alternatīva B2 var tikt izmantota</w:t>
            </w:r>
            <w:r w:rsidRPr="008A276E">
              <w:rPr>
                <w:rFonts w:ascii="Times New Roman" w:hAnsi="Times New Roman" w:cs="Times New Roman"/>
                <w:sz w:val="22"/>
              </w:rPr>
              <w:t xml:space="preserve"> </w:t>
            </w:r>
            <w:r w:rsidRPr="008A276E">
              <w:rPr>
                <w:rFonts w:ascii="Times New Roman" w:hAnsi="Times New Roman" w:cs="Times New Roman"/>
                <w:sz w:val="20"/>
                <w:szCs w:val="20"/>
              </w:rPr>
              <w:t>kā lokāls</w:t>
            </w:r>
            <w:r w:rsidR="005F602B" w:rsidRPr="008A276E">
              <w:rPr>
                <w:rFonts w:ascii="Times New Roman" w:hAnsi="Times New Roman" w:cs="Times New Roman"/>
                <w:sz w:val="20"/>
                <w:szCs w:val="20"/>
              </w:rPr>
              <w:t xml:space="preserve"> </w:t>
            </w:r>
            <w:r w:rsidR="005F602B" w:rsidRPr="008A276E">
              <w:rPr>
                <w:rFonts w:ascii="Times New Roman" w:hAnsi="Times New Roman" w:cs="Times New Roman"/>
                <w:color w:val="000000"/>
                <w:sz w:val="20"/>
                <w:szCs w:val="20"/>
              </w:rPr>
              <w:t>notekūdeņu</w:t>
            </w:r>
            <w:r w:rsidRPr="008A276E">
              <w:rPr>
                <w:rFonts w:ascii="Times New Roman" w:hAnsi="Times New Roman" w:cs="Times New Roman"/>
                <w:sz w:val="20"/>
                <w:szCs w:val="20"/>
              </w:rPr>
              <w:t xml:space="preserve"> dūņu utilizācijas risinājums gadījumos, kad attiecīgās dedzināšanas infrastruktūras apsaimniekotājs var piedāvāt izmaksu ziņā efektīvākus notekūdeņu dūņu utilizācijas nosacījumus.</w:t>
            </w:r>
            <w:r w:rsidRPr="008A276E">
              <w:rPr>
                <w:rFonts w:ascii="Times New Roman" w:hAnsi="Times New Roman" w:cs="Times New Roman"/>
                <w:sz w:val="22"/>
              </w:rPr>
              <w:t xml:space="preserve"> </w:t>
            </w:r>
            <w:r w:rsidRPr="008A276E">
              <w:rPr>
                <w:rFonts w:ascii="Times New Roman" w:hAnsi="Times New Roman" w:cs="Times New Roman"/>
                <w:sz w:val="20"/>
                <w:szCs w:val="20"/>
              </w:rPr>
              <w:t xml:space="preserve">Lēmumu par B2 utilizācijas risinājuma </w:t>
            </w:r>
            <w:r w:rsidRPr="008A276E">
              <w:rPr>
                <w:rFonts w:ascii="Times New Roman" w:hAnsi="Times New Roman" w:cs="Times New Roman"/>
                <w:sz w:val="20"/>
                <w:szCs w:val="20"/>
              </w:rPr>
              <w:lastRenderedPageBreak/>
              <w:t xml:space="preserve">izmantošanu izvērtē attiecīgā </w:t>
            </w:r>
            <w:r w:rsidR="005F602B" w:rsidRPr="008A276E">
              <w:rPr>
                <w:rFonts w:ascii="Times New Roman" w:hAnsi="Times New Roman" w:cs="Times New Roman"/>
                <w:color w:val="000000"/>
                <w:sz w:val="20"/>
                <w:szCs w:val="20"/>
              </w:rPr>
              <w:t>notekūdeņu</w:t>
            </w:r>
            <w:r w:rsidR="005F602B" w:rsidRPr="008A276E">
              <w:rPr>
                <w:rFonts w:ascii="Times New Roman" w:hAnsi="Times New Roman" w:cs="Times New Roman"/>
                <w:i/>
                <w:iCs/>
                <w:color w:val="000000"/>
                <w:sz w:val="18"/>
                <w:szCs w:val="18"/>
              </w:rPr>
              <w:t xml:space="preserve"> </w:t>
            </w:r>
            <w:r w:rsidRPr="008A276E">
              <w:rPr>
                <w:rFonts w:ascii="Times New Roman" w:hAnsi="Times New Roman" w:cs="Times New Roman"/>
                <w:sz w:val="20"/>
                <w:szCs w:val="20"/>
              </w:rPr>
              <w:t>dūņu pārstrādes centra operators, ņemot vērā lokālo situāciju un konkrētos nosacījumus, ko izvirza dedzināšanas infrastruktūras apsaimniekotājs.</w:t>
            </w:r>
          </w:p>
        </w:tc>
      </w:tr>
      <w:tr w:rsidR="006E0EDB" w:rsidRPr="00175DD0" w14:paraId="21BF8762" w14:textId="77777777" w:rsidTr="00603B7B">
        <w:trPr>
          <w:trHeight w:val="284"/>
        </w:trPr>
        <w:tc>
          <w:tcPr>
            <w:tcW w:w="14029" w:type="dxa"/>
            <w:gridSpan w:val="5"/>
            <w:tcBorders>
              <w:top w:val="single" w:sz="4" w:space="0" w:color="auto"/>
              <w:left w:val="nil"/>
              <w:bottom w:val="nil"/>
              <w:right w:val="nil"/>
            </w:tcBorders>
            <w:shd w:val="clear" w:color="auto" w:fill="auto"/>
            <w:vAlign w:val="center"/>
          </w:tcPr>
          <w:p w14:paraId="0652637E" w14:textId="77777777" w:rsidR="006E0EDB" w:rsidRPr="008A276E" w:rsidRDefault="006E0EDB" w:rsidP="006E0EDB">
            <w:pPr>
              <w:spacing w:after="0" w:line="240" w:lineRule="auto"/>
              <w:rPr>
                <w:rFonts w:ascii="Times New Roman" w:hAnsi="Times New Roman" w:cs="Times New Roman"/>
                <w:sz w:val="20"/>
                <w:szCs w:val="20"/>
              </w:rPr>
            </w:pPr>
          </w:p>
        </w:tc>
      </w:tr>
      <w:tr w:rsidR="006E0EDB" w:rsidRPr="00175DD0" w14:paraId="23A4083C" w14:textId="77777777" w:rsidTr="00EF283C">
        <w:trPr>
          <w:trHeight w:val="404"/>
        </w:trPr>
        <w:tc>
          <w:tcPr>
            <w:tcW w:w="14029" w:type="dxa"/>
            <w:gridSpan w:val="5"/>
            <w:tcBorders>
              <w:top w:val="nil"/>
            </w:tcBorders>
            <w:shd w:val="clear" w:color="auto" w:fill="1F4E79" w:themeFill="accent1" w:themeFillShade="80"/>
            <w:vAlign w:val="center"/>
          </w:tcPr>
          <w:p w14:paraId="4BB96D54" w14:textId="77777777" w:rsidR="006E0EDB" w:rsidRPr="008A276E" w:rsidRDefault="006E0EDB" w:rsidP="006E0EDB">
            <w:pPr>
              <w:spacing w:after="0" w:line="240" w:lineRule="auto"/>
              <w:jc w:val="center"/>
              <w:rPr>
                <w:rFonts w:ascii="Times New Roman" w:hAnsi="Times New Roman" w:cs="Times New Roman"/>
                <w:b/>
                <w:bCs/>
                <w:color w:val="FFFFFF" w:themeColor="background1"/>
                <w:sz w:val="26"/>
                <w:szCs w:val="26"/>
              </w:rPr>
            </w:pPr>
            <w:r w:rsidRPr="008A276E">
              <w:rPr>
                <w:rFonts w:ascii="Times New Roman" w:hAnsi="Times New Roman" w:cs="Times New Roman"/>
                <w:b/>
                <w:bCs/>
                <w:color w:val="FFFFFF" w:themeColor="background1"/>
                <w:sz w:val="26"/>
                <w:szCs w:val="26"/>
              </w:rPr>
              <w:t>3.Posms: Notekūdeņu dūņu pārstrādes alternatīvas</w:t>
            </w:r>
          </w:p>
        </w:tc>
      </w:tr>
      <w:tr w:rsidR="006E0EDB" w:rsidRPr="00175DD0" w14:paraId="0BF386A8" w14:textId="77777777" w:rsidTr="002140A1">
        <w:tc>
          <w:tcPr>
            <w:tcW w:w="1980" w:type="dxa"/>
            <w:shd w:val="clear" w:color="auto" w:fill="B8CCE4"/>
            <w:vAlign w:val="center"/>
          </w:tcPr>
          <w:p w14:paraId="66DC9BAB"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Izvērtētās alternatīvas</w:t>
            </w:r>
          </w:p>
        </w:tc>
        <w:tc>
          <w:tcPr>
            <w:tcW w:w="12049" w:type="dxa"/>
            <w:gridSpan w:val="4"/>
          </w:tcPr>
          <w:p w14:paraId="384CDFF7" w14:textId="4B187A8F" w:rsidR="006E0EDB" w:rsidRPr="008A276E" w:rsidRDefault="006E0EDB" w:rsidP="006E0EDB">
            <w:pPr>
              <w:rPr>
                <w:rFonts w:ascii="Times New Roman" w:hAnsi="Times New Roman" w:cs="Times New Roman"/>
                <w:szCs w:val="24"/>
              </w:rPr>
            </w:pPr>
            <w:r w:rsidRPr="008A276E">
              <w:rPr>
                <w:rFonts w:ascii="Times New Roman" w:hAnsi="Times New Roman" w:cs="Times New Roman"/>
                <w:szCs w:val="24"/>
              </w:rPr>
              <w:t xml:space="preserve">C1 - Mehāniski atūdeņotu (apstrādātu) </w:t>
            </w:r>
            <w:r w:rsidR="005F602B" w:rsidRPr="008A276E">
              <w:rPr>
                <w:rFonts w:ascii="Times New Roman" w:hAnsi="Times New Roman" w:cs="Times New Roman"/>
                <w:szCs w:val="24"/>
              </w:rPr>
              <w:t xml:space="preserve">notekūdeņu </w:t>
            </w:r>
            <w:r w:rsidRPr="008A276E">
              <w:rPr>
                <w:rFonts w:ascii="Times New Roman" w:hAnsi="Times New Roman" w:cs="Times New Roman"/>
                <w:szCs w:val="24"/>
              </w:rPr>
              <w:t>dūņu izturēšana 12 mēnešus – aukstā fermentācija</w:t>
            </w:r>
          </w:p>
          <w:p w14:paraId="7838CF55" w14:textId="22A6D1C2" w:rsidR="006E0EDB" w:rsidRPr="008A276E" w:rsidRDefault="006E0EDB" w:rsidP="006E0EDB">
            <w:pPr>
              <w:rPr>
                <w:rFonts w:ascii="Times New Roman" w:hAnsi="Times New Roman" w:cs="Times New Roman"/>
                <w:szCs w:val="24"/>
              </w:rPr>
            </w:pPr>
            <w:r w:rsidRPr="008A276E">
              <w:rPr>
                <w:rFonts w:ascii="Times New Roman" w:hAnsi="Times New Roman" w:cs="Times New Roman"/>
                <w:szCs w:val="24"/>
              </w:rPr>
              <w:t>C2 - Mehāniski atūdeņotu (apstrādātu)</w:t>
            </w:r>
            <w:r w:rsidR="005F602B" w:rsidRPr="008A276E">
              <w:rPr>
                <w:rFonts w:ascii="Times New Roman" w:hAnsi="Times New Roman" w:cs="Times New Roman"/>
                <w:szCs w:val="24"/>
              </w:rPr>
              <w:t xml:space="preserve"> notekūdeņu</w:t>
            </w:r>
            <w:r w:rsidRPr="008A276E">
              <w:rPr>
                <w:rFonts w:ascii="Times New Roman" w:hAnsi="Times New Roman" w:cs="Times New Roman"/>
                <w:szCs w:val="24"/>
              </w:rPr>
              <w:t xml:space="preserve"> dūņu kompostēšana</w:t>
            </w:r>
          </w:p>
          <w:p w14:paraId="3676F075" w14:textId="4FC3C5A3" w:rsidR="006E0EDB" w:rsidRPr="008A276E" w:rsidRDefault="006E0EDB" w:rsidP="006E0EDB">
            <w:pPr>
              <w:rPr>
                <w:rFonts w:ascii="Times New Roman" w:hAnsi="Times New Roman" w:cs="Times New Roman"/>
                <w:sz w:val="20"/>
                <w:szCs w:val="20"/>
              </w:rPr>
            </w:pPr>
            <w:r w:rsidRPr="008A276E">
              <w:rPr>
                <w:rFonts w:ascii="Times New Roman" w:hAnsi="Times New Roman" w:cs="Times New Roman"/>
                <w:sz w:val="20"/>
                <w:szCs w:val="20"/>
              </w:rPr>
              <w:t xml:space="preserve">C3 - Iebiezinātu vai mehāniski atūdeņotu (apstrādātu) notekūdeņu dūņu </w:t>
            </w:r>
            <w:r w:rsidR="001D104F" w:rsidRPr="008A276E">
              <w:rPr>
                <w:rFonts w:ascii="Times New Roman" w:hAnsi="Times New Roman" w:cs="Times New Roman"/>
                <w:sz w:val="20"/>
                <w:szCs w:val="20"/>
              </w:rPr>
              <w:t>mezofilā</w:t>
            </w:r>
            <w:r w:rsidRPr="008A276E">
              <w:rPr>
                <w:rFonts w:ascii="Times New Roman" w:hAnsi="Times New Roman" w:cs="Times New Roman"/>
                <w:sz w:val="20"/>
                <w:szCs w:val="20"/>
              </w:rPr>
              <w:t xml:space="preserve"> anaerobā sadalīšana – biogāzes ražošana</w:t>
            </w:r>
          </w:p>
        </w:tc>
      </w:tr>
      <w:tr w:rsidR="006E0EDB" w:rsidRPr="00175DD0" w14:paraId="0F0CF2FB" w14:textId="77777777" w:rsidTr="002140A1">
        <w:tc>
          <w:tcPr>
            <w:tcW w:w="1980" w:type="dxa"/>
            <w:vMerge w:val="restart"/>
            <w:shd w:val="clear" w:color="auto" w:fill="B8CCE4"/>
            <w:vAlign w:val="center"/>
          </w:tcPr>
          <w:p w14:paraId="18819FD1"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Latvijas notekūdeņu dūņu stratēģijā iekļaujamais risinājums</w:t>
            </w:r>
          </w:p>
        </w:tc>
        <w:tc>
          <w:tcPr>
            <w:tcW w:w="12049" w:type="dxa"/>
            <w:gridSpan w:val="4"/>
            <w:shd w:val="clear" w:color="auto" w:fill="DAEEF3"/>
            <w:vAlign w:val="center"/>
          </w:tcPr>
          <w:p w14:paraId="3FDCE506" w14:textId="77777777" w:rsidR="006E0EDB" w:rsidRPr="008A276E" w:rsidRDefault="006E0EDB" w:rsidP="006E0EDB">
            <w:pPr>
              <w:spacing w:after="0"/>
              <w:jc w:val="center"/>
              <w:rPr>
                <w:rFonts w:ascii="Times New Roman" w:hAnsi="Times New Roman" w:cs="Times New Roman"/>
                <w:b/>
                <w:bCs/>
                <w:szCs w:val="24"/>
              </w:rPr>
            </w:pPr>
            <w:r w:rsidRPr="008A276E">
              <w:rPr>
                <w:rFonts w:ascii="Times New Roman" w:hAnsi="Times New Roman" w:cs="Times New Roman"/>
                <w:b/>
                <w:bCs/>
                <w:szCs w:val="24"/>
              </w:rPr>
              <w:t>C1 - Mehāniski atūdeņotu (apstrādātu) dūņu izturēšana 12 mēnešus – aukstā fermentācija</w:t>
            </w:r>
          </w:p>
          <w:p w14:paraId="184AF7B1" w14:textId="77777777" w:rsidR="006E0EDB" w:rsidRPr="008A276E" w:rsidRDefault="006E0EDB" w:rsidP="006E0EDB">
            <w:pPr>
              <w:spacing w:after="0"/>
              <w:jc w:val="center"/>
              <w:rPr>
                <w:rFonts w:ascii="Times New Roman" w:hAnsi="Times New Roman" w:cs="Times New Roman"/>
                <w:szCs w:val="24"/>
              </w:rPr>
            </w:pPr>
            <w:r w:rsidRPr="008A276E">
              <w:rPr>
                <w:rFonts w:ascii="Times New Roman" w:hAnsi="Times New Roman" w:cs="Times New Roman"/>
                <w:b/>
                <w:bCs/>
                <w:szCs w:val="24"/>
              </w:rPr>
              <w:t>C2 - Mehāniski atūdeņotu (apstrādātu) dūņu kompostēšana</w:t>
            </w:r>
          </w:p>
        </w:tc>
      </w:tr>
      <w:tr w:rsidR="006E0EDB" w:rsidRPr="00175DD0" w14:paraId="25B2E52E" w14:textId="77777777" w:rsidTr="002140A1">
        <w:tc>
          <w:tcPr>
            <w:tcW w:w="1980" w:type="dxa"/>
            <w:vMerge/>
            <w:shd w:val="clear" w:color="auto" w:fill="B8CCE4"/>
            <w:vAlign w:val="center"/>
          </w:tcPr>
          <w:p w14:paraId="7ED24B11" w14:textId="77777777" w:rsidR="006E0EDB" w:rsidRPr="00C73E30" w:rsidRDefault="006E0EDB" w:rsidP="006E0EDB">
            <w:pPr>
              <w:spacing w:after="0" w:line="240" w:lineRule="auto"/>
              <w:jc w:val="center"/>
              <w:rPr>
                <w:rFonts w:ascii="Times New Roman" w:hAnsi="Times New Roman" w:cs="Times New Roman"/>
                <w:b/>
                <w:bCs/>
                <w:szCs w:val="24"/>
              </w:rPr>
            </w:pPr>
          </w:p>
        </w:tc>
        <w:tc>
          <w:tcPr>
            <w:tcW w:w="6520" w:type="dxa"/>
            <w:gridSpan w:val="2"/>
            <w:shd w:val="clear" w:color="auto" w:fill="auto"/>
            <w:vAlign w:val="center"/>
          </w:tcPr>
          <w:p w14:paraId="6496BABE"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Priekšrocības</w:t>
            </w:r>
          </w:p>
        </w:tc>
        <w:tc>
          <w:tcPr>
            <w:tcW w:w="5529" w:type="dxa"/>
            <w:gridSpan w:val="2"/>
            <w:shd w:val="clear" w:color="auto" w:fill="auto"/>
            <w:vAlign w:val="center"/>
          </w:tcPr>
          <w:p w14:paraId="0586F6B3"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Papildus veicamie pasākumi, trūkumi</w:t>
            </w:r>
          </w:p>
        </w:tc>
      </w:tr>
      <w:tr w:rsidR="006E0EDB" w:rsidRPr="00175DD0" w14:paraId="32D644F6" w14:textId="77777777" w:rsidTr="002140A1">
        <w:tc>
          <w:tcPr>
            <w:tcW w:w="1980" w:type="dxa"/>
            <w:vMerge/>
            <w:shd w:val="clear" w:color="auto" w:fill="B8CCE4"/>
            <w:vAlign w:val="center"/>
          </w:tcPr>
          <w:p w14:paraId="5B0ED95F" w14:textId="77777777" w:rsidR="006E0EDB" w:rsidRPr="00C73E30" w:rsidRDefault="006E0EDB" w:rsidP="006E0EDB">
            <w:pPr>
              <w:spacing w:after="0" w:line="240" w:lineRule="auto"/>
              <w:jc w:val="center"/>
              <w:rPr>
                <w:rFonts w:ascii="Times New Roman" w:hAnsi="Times New Roman" w:cs="Times New Roman"/>
                <w:b/>
                <w:bCs/>
                <w:szCs w:val="24"/>
              </w:rPr>
            </w:pPr>
          </w:p>
        </w:tc>
        <w:tc>
          <w:tcPr>
            <w:tcW w:w="6520" w:type="dxa"/>
            <w:gridSpan w:val="2"/>
          </w:tcPr>
          <w:p w14:paraId="63B5EC2C" w14:textId="5A136B43"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 xml:space="preserve">Izvēlētās pārstrādes metodes faktiski neierobežo pieejamais </w:t>
            </w:r>
            <w:r w:rsidR="005F602B" w:rsidRPr="008A276E">
              <w:rPr>
                <w:rFonts w:ascii="Times New Roman" w:hAnsi="Times New Roman" w:cs="Times New Roman"/>
                <w:i/>
                <w:iCs/>
                <w:sz w:val="18"/>
                <w:szCs w:val="18"/>
              </w:rPr>
              <w:t xml:space="preserve">notekūdeņu </w:t>
            </w:r>
            <w:r w:rsidRPr="008A276E">
              <w:rPr>
                <w:rFonts w:ascii="Times New Roman" w:hAnsi="Times New Roman" w:cs="Times New Roman"/>
                <w:i/>
                <w:iCs/>
                <w:sz w:val="18"/>
                <w:szCs w:val="18"/>
              </w:rPr>
              <w:t>dūņu apjoms;</w:t>
            </w:r>
          </w:p>
          <w:p w14:paraId="55324BF2"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Pārstrādes metodes prasa vismazāko papildus enerģijas pievadi, tai skaitā transporta enerģiju;</w:t>
            </w:r>
          </w:p>
          <w:p w14:paraId="05985557"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Nav nepieciešamas specifiskas tehnoloģijas un tehniskie risinājumi notekūdeņu dūņu pārstrādei, tie ir viegli pieejami un ir plaši izmantoti arī līdz šim;</w:t>
            </w:r>
          </w:p>
          <w:p w14:paraId="400E9697"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Tehnoloģiski vienkāršākā notekūdeņu dūņu pārstrādes metode, kas neprasa specifiskas zināšanas un pieredzi;</w:t>
            </w:r>
          </w:p>
          <w:p w14:paraId="0AB3EA3D"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Izmaksu ziņā efektīvākā pārstrādes metode;</w:t>
            </w:r>
          </w:p>
          <w:p w14:paraId="332DCF4C"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Pārstrādes metode nerada atkritumus (piemēram, pelnus u.c.) un nodrošina visas ievadītās dūņu masas pārstrādi;</w:t>
            </w:r>
          </w:p>
          <w:p w14:paraId="7F7665BB"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Pārstrādes metodes atbilst esošajam tiesiskajam regulējuma un nav nepieciešama specifiska tiesiskā regulējuma izstrāde.;</w:t>
            </w:r>
          </w:p>
          <w:p w14:paraId="7C29AFF0" w14:textId="642B109D"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Pārstrādes metode veicina</w:t>
            </w:r>
            <w:r w:rsidR="005F602B" w:rsidRPr="008A276E">
              <w:rPr>
                <w:rFonts w:ascii="Times New Roman" w:hAnsi="Times New Roman" w:cs="Times New Roman"/>
                <w:i/>
                <w:iCs/>
                <w:sz w:val="18"/>
                <w:szCs w:val="18"/>
              </w:rPr>
              <w:t xml:space="preserve"> notekūdeņu </w:t>
            </w:r>
            <w:r w:rsidRPr="008A276E">
              <w:rPr>
                <w:rFonts w:ascii="Times New Roman" w:hAnsi="Times New Roman" w:cs="Times New Roman"/>
                <w:i/>
                <w:iCs/>
                <w:sz w:val="18"/>
                <w:szCs w:val="18"/>
              </w:rPr>
              <w:t xml:space="preserve"> dūņu kā resursa veidošanos, kas nodrošina ilgtspējīgas ekonomikas principus, veicina augsnes bagātināšanu un ilgtspējīgu lauksaimniecību, vērtīgu vielu apriti;</w:t>
            </w:r>
          </w:p>
          <w:p w14:paraId="664F97E0"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Dūņu pārstrādes rezultātā tiek iegūts resurss, kas ir derīgs iestrādei augsnē</w:t>
            </w:r>
          </w:p>
        </w:tc>
        <w:tc>
          <w:tcPr>
            <w:tcW w:w="5529" w:type="dxa"/>
            <w:gridSpan w:val="2"/>
          </w:tcPr>
          <w:p w14:paraId="168258CD" w14:textId="386B2BF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 xml:space="preserve">Nepieciešams izveidot atbilstošu </w:t>
            </w:r>
            <w:r w:rsidR="001D104F" w:rsidRPr="008A276E">
              <w:rPr>
                <w:rFonts w:ascii="Times New Roman" w:hAnsi="Times New Roman" w:cs="Times New Roman"/>
                <w:i/>
                <w:iCs/>
                <w:sz w:val="18"/>
                <w:szCs w:val="18"/>
              </w:rPr>
              <w:t>notekūdeņu dūņu</w:t>
            </w:r>
            <w:r w:rsidRPr="008A276E">
              <w:rPr>
                <w:rFonts w:ascii="Times New Roman" w:hAnsi="Times New Roman" w:cs="Times New Roman"/>
                <w:i/>
                <w:iCs/>
                <w:sz w:val="18"/>
                <w:szCs w:val="18"/>
              </w:rPr>
              <w:t xml:space="preserve"> pārstrādes infrastruktūru;</w:t>
            </w:r>
          </w:p>
          <w:p w14:paraId="21955D95"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Pārstrādes tehnisko risinājumu izvietošanai nepieciešamas papildu zemes platības un tie ir ekstensīvi tehniskie risinājumi;</w:t>
            </w:r>
          </w:p>
          <w:p w14:paraId="7A33DDF0" w14:textId="77777777" w:rsidR="006E0EDB" w:rsidRPr="008A276E" w:rsidRDefault="006E0EDB" w:rsidP="008B1B4B">
            <w:pPr>
              <w:numPr>
                <w:ilvl w:val="0"/>
                <w:numId w:val="11"/>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C1 risinājums ir laika ziņā visilgākais pārstrādes veids.</w:t>
            </w:r>
          </w:p>
        </w:tc>
      </w:tr>
      <w:tr w:rsidR="006E0EDB" w:rsidRPr="00175DD0" w14:paraId="07FA6DDA" w14:textId="77777777" w:rsidTr="002140A1">
        <w:tc>
          <w:tcPr>
            <w:tcW w:w="1980" w:type="dxa"/>
            <w:shd w:val="clear" w:color="auto" w:fill="B8CCE4"/>
            <w:vAlign w:val="center"/>
          </w:tcPr>
          <w:p w14:paraId="6120661C"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Secinājumi</w:t>
            </w:r>
          </w:p>
        </w:tc>
        <w:tc>
          <w:tcPr>
            <w:tcW w:w="12049" w:type="dxa"/>
            <w:gridSpan w:val="4"/>
          </w:tcPr>
          <w:p w14:paraId="32FA2AB9" w14:textId="52DBF967" w:rsidR="006E0EDB" w:rsidRPr="008A276E" w:rsidRDefault="006E0EDB" w:rsidP="006E0EDB">
            <w:pPr>
              <w:spacing w:line="240" w:lineRule="auto"/>
              <w:rPr>
                <w:rFonts w:ascii="Times New Roman" w:hAnsi="Times New Roman" w:cs="Times New Roman"/>
                <w:sz w:val="20"/>
                <w:szCs w:val="20"/>
              </w:rPr>
            </w:pPr>
            <w:r w:rsidRPr="008A276E">
              <w:rPr>
                <w:rFonts w:ascii="Times New Roman" w:hAnsi="Times New Roman" w:cs="Times New Roman"/>
                <w:sz w:val="20"/>
                <w:szCs w:val="20"/>
              </w:rPr>
              <w:t xml:space="preserve">Alternatīvie risinājumi C1 un C2 ir līdzvērtīgi, bet savstarpēji aizvietojoši. Tāpēc veidojot </w:t>
            </w:r>
            <w:r w:rsidR="005F602B" w:rsidRPr="008A276E">
              <w:rPr>
                <w:rFonts w:ascii="Times New Roman" w:hAnsi="Times New Roman" w:cs="Times New Roman"/>
                <w:sz w:val="20"/>
                <w:szCs w:val="20"/>
              </w:rPr>
              <w:t>notekūdeņu</w:t>
            </w:r>
            <w:r w:rsidR="001D104F">
              <w:rPr>
                <w:rFonts w:ascii="Times New Roman" w:hAnsi="Times New Roman" w:cs="Times New Roman"/>
                <w:sz w:val="20"/>
                <w:szCs w:val="20"/>
              </w:rPr>
              <w:t xml:space="preserve"> </w:t>
            </w:r>
            <w:r w:rsidRPr="008A276E">
              <w:rPr>
                <w:rFonts w:ascii="Times New Roman" w:hAnsi="Times New Roman" w:cs="Times New Roman"/>
                <w:sz w:val="20"/>
                <w:szCs w:val="20"/>
              </w:rPr>
              <w:t xml:space="preserve">dūņu pārstrādes centru, centra operatoram būs jāpieņem lēmums, kuru </w:t>
            </w:r>
            <w:r w:rsidR="005F602B"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dūņu pārstrādes veidu izvēlēties.  Lēmums par labāko</w:t>
            </w:r>
            <w:r w:rsidR="005F602B" w:rsidRPr="008A276E">
              <w:rPr>
                <w:rFonts w:ascii="Times New Roman" w:hAnsi="Times New Roman" w:cs="Times New Roman"/>
                <w:sz w:val="20"/>
                <w:szCs w:val="20"/>
              </w:rPr>
              <w:t xml:space="preserve"> </w:t>
            </w:r>
            <w:r w:rsidR="001D104F" w:rsidRPr="008A276E">
              <w:rPr>
                <w:rFonts w:ascii="Times New Roman" w:hAnsi="Times New Roman" w:cs="Times New Roman"/>
                <w:sz w:val="20"/>
                <w:szCs w:val="20"/>
              </w:rPr>
              <w:t>notekūdeņu</w:t>
            </w:r>
            <w:r w:rsidRPr="008A276E">
              <w:rPr>
                <w:rFonts w:ascii="Times New Roman" w:hAnsi="Times New Roman" w:cs="Times New Roman"/>
                <w:sz w:val="20"/>
                <w:szCs w:val="20"/>
              </w:rPr>
              <w:t xml:space="preserve"> dūņu pārstrādes veidu tiek pieņemts izstrādājot tehniski ekonomisko analīzi, ņemot vērā konkrētā notekūdeņu dūņu apsaimniekošanas centra apstākļus un situāciju. </w:t>
            </w:r>
          </w:p>
          <w:p w14:paraId="4245B9EC" w14:textId="753CDFB4" w:rsidR="006E0EDB" w:rsidRPr="008A276E" w:rsidRDefault="006E0EDB" w:rsidP="006E0EDB">
            <w:pPr>
              <w:spacing w:line="240" w:lineRule="auto"/>
              <w:rPr>
                <w:rFonts w:ascii="Times New Roman" w:hAnsi="Times New Roman" w:cs="Times New Roman"/>
                <w:sz w:val="20"/>
                <w:szCs w:val="20"/>
              </w:rPr>
            </w:pPr>
            <w:r w:rsidRPr="008A276E">
              <w:rPr>
                <w:rFonts w:ascii="Times New Roman" w:hAnsi="Times New Roman" w:cs="Times New Roman"/>
                <w:sz w:val="20"/>
                <w:szCs w:val="20"/>
              </w:rPr>
              <w:t xml:space="preserve">Izvērtētā alternatīva C3 var tikt izmantota kā lokāls </w:t>
            </w:r>
            <w:r w:rsidR="005F602B"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 xml:space="preserve">dūņu pārstrādes risinājums, gadījumos, kad </w:t>
            </w:r>
            <w:r w:rsidR="005F602B"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 xml:space="preserve">dūņu apjoms vai citi papildinoši apstākļi var nodrošināt izmaksu ziņā ekonomiski efektīvāku notekūdeņu dūņu pārstrādi nekā pārstrāde C1 un C2 alternatīvas </w:t>
            </w:r>
            <w:r w:rsidR="005F602B" w:rsidRPr="008A276E">
              <w:rPr>
                <w:rFonts w:ascii="Times New Roman" w:hAnsi="Times New Roman" w:cs="Times New Roman"/>
                <w:sz w:val="20"/>
                <w:szCs w:val="20"/>
              </w:rPr>
              <w:t>risinājumā</w:t>
            </w:r>
            <w:r w:rsidRPr="008A276E">
              <w:rPr>
                <w:rFonts w:ascii="Times New Roman" w:hAnsi="Times New Roman" w:cs="Times New Roman"/>
                <w:sz w:val="20"/>
                <w:szCs w:val="20"/>
              </w:rPr>
              <w:t>. Lēmumu par C3 pārstrādes risinājuma izmantošanu izvērtē attiecīgā notekūdeņu dūņu centra apsaimniekotājs, ņemot vērā lokālo situāciju un konkrētās situācijas papildinošos nosacījumus.</w:t>
            </w:r>
          </w:p>
        </w:tc>
      </w:tr>
      <w:tr w:rsidR="006E0EDB" w:rsidRPr="00175DD0" w14:paraId="2EF65B6F" w14:textId="77777777" w:rsidTr="006E0EDB">
        <w:trPr>
          <w:trHeight w:val="284"/>
        </w:trPr>
        <w:tc>
          <w:tcPr>
            <w:tcW w:w="14029" w:type="dxa"/>
            <w:gridSpan w:val="5"/>
            <w:tcBorders>
              <w:left w:val="nil"/>
              <w:right w:val="nil"/>
            </w:tcBorders>
            <w:shd w:val="clear" w:color="auto" w:fill="auto"/>
            <w:vAlign w:val="center"/>
          </w:tcPr>
          <w:p w14:paraId="2D54F2E1" w14:textId="77777777" w:rsidR="006E0EDB" w:rsidRPr="008A276E" w:rsidRDefault="006E0EDB" w:rsidP="006E0EDB">
            <w:pPr>
              <w:spacing w:after="0" w:line="240" w:lineRule="auto"/>
              <w:rPr>
                <w:rFonts w:ascii="Times New Roman" w:hAnsi="Times New Roman" w:cs="Times New Roman"/>
                <w:sz w:val="20"/>
                <w:szCs w:val="20"/>
              </w:rPr>
            </w:pPr>
          </w:p>
        </w:tc>
      </w:tr>
      <w:tr w:rsidR="006E0EDB" w:rsidRPr="00175DD0" w14:paraId="7A0464FB" w14:textId="77777777" w:rsidTr="002140A1">
        <w:trPr>
          <w:trHeight w:val="404"/>
        </w:trPr>
        <w:tc>
          <w:tcPr>
            <w:tcW w:w="14029" w:type="dxa"/>
            <w:gridSpan w:val="5"/>
            <w:shd w:val="clear" w:color="auto" w:fill="1F4E79" w:themeFill="accent1" w:themeFillShade="80"/>
            <w:vAlign w:val="center"/>
          </w:tcPr>
          <w:p w14:paraId="3C1E85EB" w14:textId="77777777" w:rsidR="006E0EDB" w:rsidRPr="008A276E" w:rsidRDefault="006E0EDB" w:rsidP="002140A1">
            <w:pPr>
              <w:spacing w:after="0" w:line="240" w:lineRule="auto"/>
              <w:jc w:val="center"/>
              <w:rPr>
                <w:rFonts w:ascii="Times New Roman" w:hAnsi="Times New Roman" w:cs="Times New Roman"/>
                <w:b/>
                <w:bCs/>
                <w:color w:val="FFFFFF" w:themeColor="background1"/>
                <w:sz w:val="26"/>
                <w:szCs w:val="26"/>
              </w:rPr>
            </w:pPr>
            <w:r w:rsidRPr="008A276E">
              <w:rPr>
                <w:rFonts w:ascii="Times New Roman" w:hAnsi="Times New Roman" w:cs="Times New Roman"/>
                <w:b/>
                <w:bCs/>
                <w:color w:val="FFFFFF" w:themeColor="background1"/>
                <w:sz w:val="26"/>
                <w:szCs w:val="26"/>
              </w:rPr>
              <w:lastRenderedPageBreak/>
              <w:t>4.Posms: Notekūdeņu dūņu apstrādes un pārstrādes centralizācijas alternatīvu novērtējums</w:t>
            </w:r>
          </w:p>
        </w:tc>
      </w:tr>
      <w:tr w:rsidR="006E0EDB" w:rsidRPr="00175DD0" w14:paraId="194526F9" w14:textId="77777777" w:rsidTr="002140A1">
        <w:tc>
          <w:tcPr>
            <w:tcW w:w="1980" w:type="dxa"/>
            <w:shd w:val="clear" w:color="auto" w:fill="B8CCE4"/>
            <w:vAlign w:val="center"/>
          </w:tcPr>
          <w:p w14:paraId="15A2DE82"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Izvērtētās alternatīvas</w:t>
            </w:r>
          </w:p>
        </w:tc>
        <w:tc>
          <w:tcPr>
            <w:tcW w:w="12049" w:type="dxa"/>
            <w:gridSpan w:val="4"/>
          </w:tcPr>
          <w:p w14:paraId="243ED54E" w14:textId="77777777" w:rsidR="006E0EDB" w:rsidRPr="008A276E" w:rsidRDefault="006E0EDB" w:rsidP="006E0EDB">
            <w:pPr>
              <w:spacing w:after="0" w:line="360" w:lineRule="auto"/>
              <w:rPr>
                <w:rFonts w:ascii="Times New Roman" w:hAnsi="Times New Roman" w:cs="Times New Roman"/>
                <w:color w:val="A6A6A6"/>
                <w:sz w:val="20"/>
                <w:szCs w:val="20"/>
              </w:rPr>
            </w:pPr>
            <w:r w:rsidRPr="008A276E">
              <w:rPr>
                <w:rFonts w:ascii="Times New Roman" w:hAnsi="Times New Roman" w:cs="Times New Roman"/>
                <w:color w:val="A6A6A6"/>
                <w:sz w:val="20"/>
                <w:szCs w:val="20"/>
              </w:rPr>
              <w:t>D1 - Notekūdeņu dūņu pārstrāde 41 notekūdeņu dūņu pārstrādes centrā</w:t>
            </w:r>
          </w:p>
          <w:p w14:paraId="1989CE08" w14:textId="77777777" w:rsidR="006E0EDB" w:rsidRPr="008A276E" w:rsidRDefault="006E0EDB" w:rsidP="006E0EDB">
            <w:pPr>
              <w:spacing w:after="0" w:line="360" w:lineRule="auto"/>
              <w:rPr>
                <w:rFonts w:ascii="Times New Roman" w:hAnsi="Times New Roman" w:cs="Times New Roman"/>
                <w:color w:val="A6A6A6"/>
                <w:sz w:val="20"/>
                <w:szCs w:val="20"/>
              </w:rPr>
            </w:pPr>
            <w:r w:rsidRPr="008A276E">
              <w:rPr>
                <w:rFonts w:ascii="Times New Roman" w:hAnsi="Times New Roman" w:cs="Times New Roman"/>
                <w:color w:val="A6A6A6"/>
                <w:sz w:val="20"/>
                <w:szCs w:val="20"/>
              </w:rPr>
              <w:t>D2 - Notekūdeņu dūņu pārstrāde 30 notekūdeņu dūņu pārstrādes centros</w:t>
            </w:r>
          </w:p>
          <w:p w14:paraId="56B1C154" w14:textId="77777777" w:rsidR="006E0EDB" w:rsidRPr="008A276E" w:rsidRDefault="006E0EDB" w:rsidP="006E0EDB">
            <w:pPr>
              <w:spacing w:after="0" w:line="360" w:lineRule="auto"/>
              <w:rPr>
                <w:rFonts w:ascii="Times New Roman" w:hAnsi="Times New Roman" w:cs="Times New Roman"/>
                <w:color w:val="A6A6A6"/>
                <w:sz w:val="20"/>
                <w:szCs w:val="20"/>
              </w:rPr>
            </w:pPr>
            <w:r w:rsidRPr="008A276E">
              <w:rPr>
                <w:rFonts w:ascii="Times New Roman" w:hAnsi="Times New Roman" w:cs="Times New Roman"/>
                <w:color w:val="A6A6A6"/>
                <w:sz w:val="20"/>
                <w:szCs w:val="20"/>
              </w:rPr>
              <w:t>D3 - Notekūdeņu dūņu pārstrāde 16 notekūdeņu dūņu pārstrādes centros</w:t>
            </w:r>
          </w:p>
          <w:p w14:paraId="7C5284BC" w14:textId="77777777" w:rsidR="006E0EDB" w:rsidRPr="008A276E" w:rsidRDefault="006E0EDB" w:rsidP="006E0EDB">
            <w:pPr>
              <w:spacing w:after="0" w:line="360" w:lineRule="auto"/>
              <w:rPr>
                <w:rFonts w:ascii="Times New Roman" w:hAnsi="Times New Roman" w:cs="Times New Roman"/>
                <w:color w:val="A6A6A6"/>
                <w:sz w:val="20"/>
                <w:szCs w:val="20"/>
              </w:rPr>
            </w:pPr>
            <w:r w:rsidRPr="008A276E">
              <w:rPr>
                <w:rFonts w:ascii="Times New Roman" w:hAnsi="Times New Roman" w:cs="Times New Roman"/>
                <w:color w:val="A6A6A6"/>
                <w:sz w:val="20"/>
                <w:szCs w:val="20"/>
              </w:rPr>
              <w:t>D4 - Notekūdeņu dūņu pārstrāde 5 notekūdeņu dūņu pārstrādes centros</w:t>
            </w:r>
          </w:p>
          <w:p w14:paraId="04BB1C9B" w14:textId="3C6CAE43" w:rsidR="006E0EDB" w:rsidRPr="008A276E" w:rsidRDefault="006E0EDB" w:rsidP="006E0EDB">
            <w:pPr>
              <w:spacing w:after="0" w:line="360" w:lineRule="auto"/>
              <w:rPr>
                <w:rFonts w:ascii="Times New Roman" w:hAnsi="Times New Roman" w:cs="Times New Roman"/>
                <w:szCs w:val="24"/>
              </w:rPr>
            </w:pPr>
            <w:r w:rsidRPr="008A276E">
              <w:rPr>
                <w:rFonts w:ascii="Times New Roman" w:hAnsi="Times New Roman" w:cs="Times New Roman"/>
                <w:szCs w:val="24"/>
              </w:rPr>
              <w:t>D5 - Notekūdeņu dūņu pārstrāde 2</w:t>
            </w:r>
            <w:r w:rsidR="001E7EC3">
              <w:rPr>
                <w:rFonts w:ascii="Times New Roman" w:hAnsi="Times New Roman" w:cs="Times New Roman"/>
                <w:szCs w:val="24"/>
              </w:rPr>
              <w:t>7</w:t>
            </w:r>
            <w:r w:rsidRPr="008A276E">
              <w:rPr>
                <w:rFonts w:ascii="Times New Roman" w:hAnsi="Times New Roman" w:cs="Times New Roman"/>
                <w:szCs w:val="24"/>
              </w:rPr>
              <w:t xml:space="preserve"> notekūdeņu dūņu pārstrādes centros</w:t>
            </w:r>
          </w:p>
        </w:tc>
      </w:tr>
      <w:tr w:rsidR="006E0EDB" w:rsidRPr="00175DD0" w14:paraId="41CDE837" w14:textId="77777777" w:rsidTr="002140A1">
        <w:tc>
          <w:tcPr>
            <w:tcW w:w="1980" w:type="dxa"/>
            <w:vMerge w:val="restart"/>
            <w:shd w:val="clear" w:color="auto" w:fill="B8CCE4"/>
            <w:vAlign w:val="center"/>
          </w:tcPr>
          <w:p w14:paraId="0CF4EEEF"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Latvijas notekūdeņu dūņu stratēģijā iekļaujamais risinājums</w:t>
            </w:r>
          </w:p>
        </w:tc>
        <w:tc>
          <w:tcPr>
            <w:tcW w:w="12049" w:type="dxa"/>
            <w:gridSpan w:val="4"/>
            <w:shd w:val="clear" w:color="auto" w:fill="DAEEF3"/>
            <w:vAlign w:val="center"/>
          </w:tcPr>
          <w:p w14:paraId="2B7EFD73" w14:textId="62A7A86A" w:rsidR="006E0EDB" w:rsidRPr="008A276E" w:rsidRDefault="006E0EDB" w:rsidP="006E0EDB">
            <w:pPr>
              <w:spacing w:after="0"/>
              <w:jc w:val="center"/>
              <w:rPr>
                <w:rFonts w:ascii="Times New Roman" w:hAnsi="Times New Roman" w:cs="Times New Roman"/>
                <w:b/>
                <w:bCs/>
                <w:szCs w:val="24"/>
              </w:rPr>
            </w:pPr>
            <w:r w:rsidRPr="008A276E">
              <w:rPr>
                <w:rFonts w:ascii="Times New Roman" w:hAnsi="Times New Roman" w:cs="Times New Roman"/>
                <w:b/>
                <w:bCs/>
                <w:szCs w:val="24"/>
              </w:rPr>
              <w:t>D5 - Notekūdeņu dūņu pārstrāde 2</w:t>
            </w:r>
            <w:r w:rsidR="00430F27">
              <w:rPr>
                <w:rFonts w:ascii="Times New Roman" w:hAnsi="Times New Roman" w:cs="Times New Roman"/>
                <w:b/>
                <w:bCs/>
                <w:szCs w:val="24"/>
              </w:rPr>
              <w:t>6+1</w:t>
            </w:r>
            <w:r w:rsidRPr="008A276E">
              <w:rPr>
                <w:rFonts w:ascii="Times New Roman" w:hAnsi="Times New Roman" w:cs="Times New Roman"/>
                <w:b/>
                <w:bCs/>
                <w:szCs w:val="24"/>
              </w:rPr>
              <w:t xml:space="preserve"> notekūdeņu dūņu pārstrādes centros</w:t>
            </w:r>
          </w:p>
        </w:tc>
      </w:tr>
      <w:tr w:rsidR="006E0EDB" w:rsidRPr="00175DD0" w14:paraId="6FD7345C" w14:textId="77777777" w:rsidTr="002140A1">
        <w:tc>
          <w:tcPr>
            <w:tcW w:w="1980" w:type="dxa"/>
            <w:vMerge/>
            <w:shd w:val="clear" w:color="auto" w:fill="B8CCE4"/>
            <w:vAlign w:val="center"/>
          </w:tcPr>
          <w:p w14:paraId="13524BBE" w14:textId="77777777" w:rsidR="006E0EDB" w:rsidRPr="00C73E30" w:rsidRDefault="006E0EDB" w:rsidP="006E0EDB">
            <w:pPr>
              <w:spacing w:after="0" w:line="240" w:lineRule="auto"/>
              <w:jc w:val="center"/>
              <w:rPr>
                <w:rFonts w:ascii="Times New Roman" w:hAnsi="Times New Roman" w:cs="Times New Roman"/>
                <w:b/>
                <w:bCs/>
                <w:szCs w:val="24"/>
              </w:rPr>
            </w:pPr>
          </w:p>
        </w:tc>
        <w:tc>
          <w:tcPr>
            <w:tcW w:w="6946" w:type="dxa"/>
            <w:gridSpan w:val="3"/>
            <w:shd w:val="clear" w:color="auto" w:fill="auto"/>
            <w:vAlign w:val="center"/>
          </w:tcPr>
          <w:p w14:paraId="57306F9F"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Priekšrocības</w:t>
            </w:r>
          </w:p>
        </w:tc>
        <w:tc>
          <w:tcPr>
            <w:tcW w:w="5103" w:type="dxa"/>
            <w:shd w:val="clear" w:color="auto" w:fill="auto"/>
            <w:vAlign w:val="center"/>
          </w:tcPr>
          <w:p w14:paraId="7836F80E"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Papildus veicamie pasākumi, trūkumi</w:t>
            </w:r>
          </w:p>
        </w:tc>
      </w:tr>
      <w:tr w:rsidR="006E0EDB" w:rsidRPr="00175DD0" w14:paraId="4E56E609" w14:textId="77777777" w:rsidTr="002140A1">
        <w:tc>
          <w:tcPr>
            <w:tcW w:w="1980" w:type="dxa"/>
            <w:vMerge/>
            <w:shd w:val="clear" w:color="auto" w:fill="B8CCE4"/>
            <w:vAlign w:val="center"/>
          </w:tcPr>
          <w:p w14:paraId="2E009041" w14:textId="77777777" w:rsidR="006E0EDB" w:rsidRPr="00C73E30" w:rsidRDefault="006E0EDB" w:rsidP="006E0EDB">
            <w:pPr>
              <w:spacing w:after="0" w:line="240" w:lineRule="auto"/>
              <w:jc w:val="center"/>
              <w:rPr>
                <w:rFonts w:ascii="Times New Roman" w:hAnsi="Times New Roman" w:cs="Times New Roman"/>
                <w:b/>
                <w:bCs/>
                <w:szCs w:val="24"/>
              </w:rPr>
            </w:pPr>
          </w:p>
        </w:tc>
        <w:tc>
          <w:tcPr>
            <w:tcW w:w="6946" w:type="dxa"/>
            <w:gridSpan w:val="3"/>
          </w:tcPr>
          <w:p w14:paraId="66AAD791" w14:textId="63D05D6C" w:rsidR="006E0EDB" w:rsidRPr="008A276E" w:rsidRDefault="00A02B9E"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Notekūdeņu d</w:t>
            </w:r>
            <w:r w:rsidR="006E0EDB" w:rsidRPr="008A276E">
              <w:rPr>
                <w:rFonts w:ascii="Times New Roman" w:hAnsi="Times New Roman" w:cs="Times New Roman"/>
                <w:i/>
                <w:iCs/>
                <w:sz w:val="18"/>
                <w:szCs w:val="18"/>
              </w:rPr>
              <w:t>ūņu apjoms koncentrējas līdzvērtīgos pārstrādes centros, kas izvietoti vienmērīgi valsts teritorijā un nodrošina iespēju efektīvi izmantot pieejamās lauksaimniecības zemes dūņu iestrādei;</w:t>
            </w:r>
          </w:p>
          <w:p w14:paraId="431CBA3B" w14:textId="4204D1DD" w:rsidR="006E0EDB" w:rsidRPr="008A276E" w:rsidRDefault="006E0EDB"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Optimāli zems transportējamo</w:t>
            </w:r>
            <w:r w:rsidR="00A02B9E" w:rsidRPr="008A276E">
              <w:rPr>
                <w:rFonts w:ascii="Times New Roman" w:hAnsi="Times New Roman" w:cs="Times New Roman"/>
                <w:i/>
                <w:iCs/>
                <w:sz w:val="18"/>
                <w:szCs w:val="18"/>
              </w:rPr>
              <w:t xml:space="preserve"> notekūdeņu</w:t>
            </w:r>
            <w:r w:rsidRPr="008A276E">
              <w:rPr>
                <w:rFonts w:ascii="Times New Roman" w:hAnsi="Times New Roman" w:cs="Times New Roman"/>
                <w:i/>
                <w:iCs/>
                <w:sz w:val="18"/>
                <w:szCs w:val="18"/>
              </w:rPr>
              <w:t xml:space="preserve"> dūņu apjoms: jātransportē tikai 15% no kopējā </w:t>
            </w:r>
            <w:r w:rsidR="00A02B9E" w:rsidRPr="008A276E">
              <w:rPr>
                <w:rFonts w:ascii="Times New Roman" w:hAnsi="Times New Roman" w:cs="Times New Roman"/>
                <w:i/>
                <w:iCs/>
                <w:sz w:val="18"/>
                <w:szCs w:val="18"/>
              </w:rPr>
              <w:t xml:space="preserve">notekūdeņu </w:t>
            </w:r>
            <w:r w:rsidRPr="008A276E">
              <w:rPr>
                <w:rFonts w:ascii="Times New Roman" w:hAnsi="Times New Roman" w:cs="Times New Roman"/>
                <w:i/>
                <w:iCs/>
                <w:sz w:val="18"/>
                <w:szCs w:val="18"/>
              </w:rPr>
              <w:t xml:space="preserve">dūņu apjoma (85% pārstrādā to rašanās vietā), 5% </w:t>
            </w:r>
            <w:r w:rsidR="00A02B9E" w:rsidRPr="008A276E">
              <w:rPr>
                <w:rFonts w:ascii="Times New Roman" w:hAnsi="Times New Roman" w:cs="Times New Roman"/>
                <w:i/>
                <w:iCs/>
                <w:sz w:val="18"/>
                <w:szCs w:val="18"/>
              </w:rPr>
              <w:t xml:space="preserve">notekūdeņu </w:t>
            </w:r>
            <w:r w:rsidRPr="008A276E">
              <w:rPr>
                <w:rFonts w:ascii="Times New Roman" w:hAnsi="Times New Roman" w:cs="Times New Roman"/>
                <w:i/>
                <w:iCs/>
                <w:sz w:val="18"/>
                <w:szCs w:val="18"/>
              </w:rPr>
              <w:t>dūņu jātransportē slapjā veidā (1 % sausnes) līdz 50km, bet 10% mehāniski atūdeņotas (18% sausne) līdz 70km attālumam</w:t>
            </w:r>
            <w:r w:rsidR="00AF2B41">
              <w:rPr>
                <w:rFonts w:ascii="Times New Roman" w:hAnsi="Times New Roman" w:cs="Times New Roman"/>
                <w:i/>
                <w:iCs/>
                <w:sz w:val="18"/>
                <w:szCs w:val="18"/>
              </w:rPr>
              <w:t xml:space="preserve"> (šis aprēķins veikts bez BAS “Daugavgrīva”</w:t>
            </w:r>
            <w:r w:rsidR="00A8404E">
              <w:rPr>
                <w:rFonts w:ascii="Times New Roman" w:hAnsi="Times New Roman" w:cs="Times New Roman"/>
                <w:i/>
                <w:iCs/>
                <w:sz w:val="18"/>
                <w:szCs w:val="18"/>
              </w:rPr>
              <w:t xml:space="preserve"> </w:t>
            </w:r>
            <w:r w:rsidR="00AF2B41">
              <w:rPr>
                <w:rFonts w:ascii="Times New Roman" w:hAnsi="Times New Roman" w:cs="Times New Roman"/>
                <w:i/>
                <w:iCs/>
                <w:sz w:val="18"/>
                <w:szCs w:val="18"/>
              </w:rPr>
              <w:t>radītā dūņu apjoma; to pievienojot, rašanās vietā pārstrādājamo dūņu apjoma proporcija palielinātos)</w:t>
            </w:r>
            <w:r w:rsidRPr="008A276E">
              <w:rPr>
                <w:rFonts w:ascii="Times New Roman" w:hAnsi="Times New Roman" w:cs="Times New Roman"/>
                <w:i/>
                <w:iCs/>
                <w:sz w:val="18"/>
                <w:szCs w:val="18"/>
              </w:rPr>
              <w:t>;</w:t>
            </w:r>
          </w:p>
          <w:p w14:paraId="40213A22" w14:textId="43E8CB95" w:rsidR="006E0EDB" w:rsidRPr="008A276E" w:rsidRDefault="006E0EDB"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Izmaksu ziņā efektīvais centralizācijas līmenis;</w:t>
            </w:r>
          </w:p>
          <w:p w14:paraId="55BFF5E1" w14:textId="3F2A1369" w:rsidR="006E0EDB" w:rsidRPr="008A276E" w:rsidRDefault="006E0EDB"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Izvēlētais centralizācijas līmenis ļauj ieviest jaunus, t.sk. inovatīvus apsaimniekošanas risinājumus, ja tiek mainīts notekūdeņu dūņu apsaimniekošanas tiesiskais regulējums, vai ir pieejamas efektīvākas</w:t>
            </w:r>
            <w:r w:rsidR="00A02B9E" w:rsidRPr="008A276E">
              <w:rPr>
                <w:rFonts w:ascii="Times New Roman" w:hAnsi="Times New Roman" w:cs="Times New Roman"/>
                <w:i/>
                <w:iCs/>
                <w:sz w:val="18"/>
                <w:szCs w:val="18"/>
              </w:rPr>
              <w:t xml:space="preserve"> notekūdeņu</w:t>
            </w:r>
            <w:r w:rsidRPr="008A276E">
              <w:rPr>
                <w:rFonts w:ascii="Times New Roman" w:hAnsi="Times New Roman" w:cs="Times New Roman"/>
                <w:i/>
                <w:iCs/>
                <w:sz w:val="18"/>
                <w:szCs w:val="18"/>
              </w:rPr>
              <w:t xml:space="preserve"> dūņu apsaimniekošanas metodes;</w:t>
            </w:r>
          </w:p>
          <w:p w14:paraId="4048962D" w14:textId="19B913AA" w:rsidR="006E0EDB" w:rsidRPr="008A276E" w:rsidRDefault="006E0EDB"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Viegli</w:t>
            </w:r>
            <w:r w:rsidR="00A02B9E" w:rsidRPr="008A276E">
              <w:rPr>
                <w:rFonts w:ascii="Times New Roman" w:hAnsi="Times New Roman" w:cs="Times New Roman"/>
                <w:i/>
                <w:iCs/>
                <w:sz w:val="18"/>
                <w:szCs w:val="18"/>
              </w:rPr>
              <w:t xml:space="preserve"> </w:t>
            </w:r>
            <w:r w:rsidRPr="008A276E">
              <w:rPr>
                <w:rFonts w:ascii="Times New Roman" w:hAnsi="Times New Roman" w:cs="Times New Roman"/>
                <w:i/>
                <w:iCs/>
                <w:sz w:val="18"/>
                <w:szCs w:val="18"/>
              </w:rPr>
              <w:t>īstenojama notekūdeņu dūņu apsaimniekošanas ārējā uzraudzība un kontrole;</w:t>
            </w:r>
          </w:p>
          <w:p w14:paraId="3BB6033B" w14:textId="0031859D" w:rsidR="006E0EDB" w:rsidRPr="008A276E" w:rsidRDefault="00A02B9E"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Notekūdeņu d</w:t>
            </w:r>
            <w:r w:rsidR="006E0EDB" w:rsidRPr="008A276E">
              <w:rPr>
                <w:rFonts w:ascii="Times New Roman" w:hAnsi="Times New Roman" w:cs="Times New Roman"/>
                <w:i/>
                <w:iCs/>
                <w:sz w:val="18"/>
                <w:szCs w:val="18"/>
              </w:rPr>
              <w:t>ūņu centri izvietoti pie lielākajām NAI, kur koncentrētas būtiskas zināšanas un kvalificēts personāls, kas nodrošina kvalitatīvu notekūdeņu dūņu apsaimniekošanu;</w:t>
            </w:r>
          </w:p>
          <w:p w14:paraId="50A6C1D4" w14:textId="77777777" w:rsidR="006E0EDB" w:rsidRPr="008A276E" w:rsidRDefault="006E0EDB"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Izvēlētā alternatīva nodrošina efektīvu nepieciešamo investīciju un pieejamo darbaspēka resursu izmantošanu attiecībā uz notekūdeņu dūņu apsaimniekošanu;</w:t>
            </w:r>
          </w:p>
          <w:p w14:paraId="2866C23A" w14:textId="2D1B74F3" w:rsidR="006E0EDB" w:rsidRPr="008A276E" w:rsidRDefault="006E0EDB"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 xml:space="preserve">Ļauj izmaksu efektīvā veidā pārtraukt </w:t>
            </w:r>
            <w:r w:rsidR="00A02B9E" w:rsidRPr="008A276E">
              <w:rPr>
                <w:rFonts w:ascii="Times New Roman" w:hAnsi="Times New Roman" w:cs="Times New Roman"/>
                <w:i/>
                <w:iCs/>
                <w:sz w:val="18"/>
                <w:szCs w:val="18"/>
              </w:rPr>
              <w:t xml:space="preserve">notekūdeņu </w:t>
            </w:r>
            <w:r w:rsidRPr="008A276E">
              <w:rPr>
                <w:rFonts w:ascii="Times New Roman" w:hAnsi="Times New Roman" w:cs="Times New Roman"/>
                <w:i/>
                <w:iCs/>
                <w:sz w:val="18"/>
                <w:szCs w:val="18"/>
              </w:rPr>
              <w:t xml:space="preserve">dūņu </w:t>
            </w:r>
            <w:r w:rsidR="00A02B9E" w:rsidRPr="008A276E">
              <w:rPr>
                <w:rFonts w:ascii="Times New Roman" w:hAnsi="Times New Roman" w:cs="Times New Roman"/>
                <w:i/>
                <w:iCs/>
                <w:sz w:val="18"/>
                <w:szCs w:val="18"/>
              </w:rPr>
              <w:t xml:space="preserve">neatbilstošu </w:t>
            </w:r>
            <w:r w:rsidRPr="008A276E">
              <w:rPr>
                <w:rFonts w:ascii="Times New Roman" w:hAnsi="Times New Roman" w:cs="Times New Roman"/>
                <w:i/>
                <w:iCs/>
                <w:sz w:val="18"/>
                <w:szCs w:val="18"/>
              </w:rPr>
              <w:t>izmantošanu, ilgstošu uzglabāšanu neatbilstošās vietās vai noglabāšanu atkritumu poligonos;</w:t>
            </w:r>
          </w:p>
          <w:p w14:paraId="0935E73E" w14:textId="0E1CCC72" w:rsidR="006E0EDB" w:rsidRPr="008A276E" w:rsidRDefault="00A02B9E" w:rsidP="008B1B4B">
            <w:pPr>
              <w:numPr>
                <w:ilvl w:val="0"/>
                <w:numId w:val="9"/>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Notekūdeņu d</w:t>
            </w:r>
            <w:r w:rsidR="006E0EDB" w:rsidRPr="008A276E">
              <w:rPr>
                <w:rFonts w:ascii="Times New Roman" w:hAnsi="Times New Roman" w:cs="Times New Roman"/>
                <w:i/>
                <w:iCs/>
                <w:sz w:val="18"/>
                <w:szCs w:val="18"/>
              </w:rPr>
              <w:t>ūņu centru skaits un lielums nodrošina optimālu centru lielumu un nepieciešamo papildu infrastruktūru ir iespējams izvietot esošos vai tuvumā esošos zemes gabalos.</w:t>
            </w:r>
          </w:p>
        </w:tc>
        <w:tc>
          <w:tcPr>
            <w:tcW w:w="5103" w:type="dxa"/>
          </w:tcPr>
          <w:p w14:paraId="73F4E387" w14:textId="6A575848" w:rsidR="006E0EDB" w:rsidRPr="008A276E" w:rsidRDefault="006E0EDB" w:rsidP="008B1B4B">
            <w:pPr>
              <w:numPr>
                <w:ilvl w:val="0"/>
                <w:numId w:val="10"/>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 xml:space="preserve">Ūdenssaimniecības pakalpojuma likumā nepieciešams ietvert deleģējumu MK izstrādāt noteikumus par </w:t>
            </w:r>
            <w:r w:rsidR="005F602B" w:rsidRPr="008A276E">
              <w:rPr>
                <w:rFonts w:ascii="Times New Roman" w:hAnsi="Times New Roman" w:cs="Times New Roman"/>
                <w:i/>
                <w:iCs/>
                <w:sz w:val="18"/>
                <w:szCs w:val="18"/>
              </w:rPr>
              <w:t xml:space="preserve">notekūdeņu </w:t>
            </w:r>
            <w:r w:rsidRPr="008A276E">
              <w:rPr>
                <w:rFonts w:ascii="Times New Roman" w:hAnsi="Times New Roman" w:cs="Times New Roman"/>
                <w:i/>
                <w:iCs/>
                <w:sz w:val="18"/>
                <w:szCs w:val="18"/>
              </w:rPr>
              <w:t>dūņu pārstrādes centru izveidi un darbību;</w:t>
            </w:r>
          </w:p>
          <w:p w14:paraId="14C9A01E" w14:textId="20FD2A8C" w:rsidR="006E0EDB" w:rsidRPr="008A276E" w:rsidRDefault="006E0EDB" w:rsidP="008B1B4B">
            <w:pPr>
              <w:numPr>
                <w:ilvl w:val="0"/>
                <w:numId w:val="10"/>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MK noteikumos Nr.362 jānosaka minimālās izvirzāmās tehniskās prasības</w:t>
            </w:r>
            <w:r w:rsidR="005F602B" w:rsidRPr="008A276E">
              <w:rPr>
                <w:rFonts w:ascii="Times New Roman" w:hAnsi="Times New Roman" w:cs="Times New Roman"/>
                <w:i/>
                <w:iCs/>
                <w:sz w:val="18"/>
                <w:szCs w:val="18"/>
              </w:rPr>
              <w:t xml:space="preserve"> </w:t>
            </w:r>
            <w:r w:rsidR="00A8404E" w:rsidRPr="008A276E">
              <w:rPr>
                <w:rFonts w:ascii="Times New Roman" w:hAnsi="Times New Roman" w:cs="Times New Roman"/>
                <w:i/>
                <w:iCs/>
                <w:sz w:val="18"/>
                <w:szCs w:val="18"/>
              </w:rPr>
              <w:t>notekūdeņu</w:t>
            </w:r>
            <w:r w:rsidRPr="008A276E">
              <w:rPr>
                <w:rFonts w:ascii="Times New Roman" w:hAnsi="Times New Roman" w:cs="Times New Roman"/>
                <w:i/>
                <w:iCs/>
                <w:sz w:val="18"/>
                <w:szCs w:val="18"/>
              </w:rPr>
              <w:t xml:space="preserve"> dūņu centra aprīkojumam atkarībā no izvēlētā pārstrādes veida, lai visos centros izveidotā infrastruktūra atbilstu vienādām minimālajām vides aizsardzības prasībām;</w:t>
            </w:r>
          </w:p>
          <w:p w14:paraId="16104BEF" w14:textId="77777777" w:rsidR="006E0EDB" w:rsidRPr="008A276E" w:rsidRDefault="006E0EDB" w:rsidP="008B1B4B">
            <w:pPr>
              <w:numPr>
                <w:ilvl w:val="0"/>
                <w:numId w:val="10"/>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Nepieciešama atbilstošas notekūdeņu dūņu apsaimniekošanas centru infrastruktūras izveide un papildus finansējuma piesaiste;</w:t>
            </w:r>
          </w:p>
          <w:p w14:paraId="0A3DC9AC" w14:textId="3C5DEEE7" w:rsidR="006E0EDB" w:rsidRPr="008A276E" w:rsidRDefault="006E0EDB" w:rsidP="008B1B4B">
            <w:pPr>
              <w:numPr>
                <w:ilvl w:val="0"/>
                <w:numId w:val="10"/>
              </w:numPr>
              <w:spacing w:after="0" w:line="240" w:lineRule="auto"/>
              <w:ind w:left="318"/>
              <w:contextualSpacing/>
              <w:jc w:val="left"/>
              <w:rPr>
                <w:rFonts w:ascii="Times New Roman" w:hAnsi="Times New Roman" w:cs="Times New Roman"/>
                <w:i/>
                <w:iCs/>
                <w:color w:val="000000"/>
                <w:sz w:val="18"/>
                <w:szCs w:val="18"/>
              </w:rPr>
            </w:pPr>
            <w:r w:rsidRPr="008A276E">
              <w:rPr>
                <w:rFonts w:ascii="Times New Roman" w:hAnsi="Times New Roman" w:cs="Times New Roman"/>
                <w:i/>
                <w:iCs/>
                <w:color w:val="000000"/>
                <w:sz w:val="18"/>
                <w:szCs w:val="18"/>
              </w:rPr>
              <w:t>Nepieciešams sagatavot dažādu</w:t>
            </w:r>
            <w:r w:rsidR="005F602B" w:rsidRPr="008A276E">
              <w:rPr>
                <w:rFonts w:ascii="Times New Roman" w:hAnsi="Times New Roman" w:cs="Times New Roman"/>
                <w:i/>
                <w:iCs/>
                <w:color w:val="000000"/>
                <w:sz w:val="18"/>
                <w:szCs w:val="18"/>
              </w:rPr>
              <w:t xml:space="preserve"> notekūdeņu</w:t>
            </w:r>
            <w:r w:rsidRPr="008A276E">
              <w:rPr>
                <w:rFonts w:ascii="Times New Roman" w:hAnsi="Times New Roman" w:cs="Times New Roman"/>
                <w:i/>
                <w:iCs/>
                <w:color w:val="000000"/>
                <w:sz w:val="18"/>
                <w:szCs w:val="18"/>
              </w:rPr>
              <w:t xml:space="preserve"> dūņu pārstrādes veidu vadlīnijas, kuras pārstrādes centru operatori varētu izmantot, lai nodrošinātu vienoti kvalitatīvu notekūdeņu dūņu pārstrādi visos centros;</w:t>
            </w:r>
          </w:p>
          <w:p w14:paraId="7F6E87A6" w14:textId="3DA0F0CD" w:rsidR="006E0EDB" w:rsidRPr="008A276E" w:rsidRDefault="006E0EDB" w:rsidP="008B1B4B">
            <w:pPr>
              <w:numPr>
                <w:ilvl w:val="0"/>
                <w:numId w:val="10"/>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Nepieciešams precizēt valsts statistikas pārskatā “2-Ūdens” iekļauto informācijas apjomu un informācijas sniegšanas kārtību, ņemot vērā notekūdeņu dūņu pārstrādi dūņu centros, lai būtu iespējama efektīva un pēc iespējas automatizēta</w:t>
            </w:r>
            <w:r w:rsidR="00A02B9E" w:rsidRPr="008A276E">
              <w:rPr>
                <w:rFonts w:ascii="Times New Roman" w:hAnsi="Times New Roman" w:cs="Times New Roman"/>
                <w:i/>
                <w:iCs/>
                <w:sz w:val="18"/>
                <w:szCs w:val="18"/>
              </w:rPr>
              <w:t xml:space="preserve"> notekūdeņu</w:t>
            </w:r>
            <w:r w:rsidRPr="008A276E">
              <w:rPr>
                <w:rFonts w:ascii="Times New Roman" w:hAnsi="Times New Roman" w:cs="Times New Roman"/>
                <w:i/>
                <w:iCs/>
                <w:sz w:val="18"/>
                <w:szCs w:val="18"/>
              </w:rPr>
              <w:t xml:space="preserve"> dūņu pārvietošanas, pārstrādes un utilizācijas kontrole.</w:t>
            </w:r>
          </w:p>
        </w:tc>
      </w:tr>
      <w:tr w:rsidR="006E0EDB" w:rsidRPr="00175DD0" w14:paraId="65CD5A44" w14:textId="77777777" w:rsidTr="002140A1">
        <w:trPr>
          <w:trHeight w:val="227"/>
        </w:trPr>
        <w:tc>
          <w:tcPr>
            <w:tcW w:w="1980" w:type="dxa"/>
            <w:tcBorders>
              <w:bottom w:val="single" w:sz="4" w:space="0" w:color="auto"/>
            </w:tcBorders>
            <w:shd w:val="clear" w:color="auto" w:fill="B8CCE4"/>
            <w:vAlign w:val="center"/>
          </w:tcPr>
          <w:p w14:paraId="76C3D57C"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Secinājumi</w:t>
            </w:r>
          </w:p>
        </w:tc>
        <w:tc>
          <w:tcPr>
            <w:tcW w:w="12049" w:type="dxa"/>
            <w:gridSpan w:val="4"/>
            <w:tcBorders>
              <w:bottom w:val="single" w:sz="4" w:space="0" w:color="auto"/>
            </w:tcBorders>
          </w:tcPr>
          <w:p w14:paraId="51E1FDAB" w14:textId="124C8472" w:rsidR="006E0EDB" w:rsidRPr="008A276E" w:rsidRDefault="006E0EDB" w:rsidP="006E0EDB">
            <w:pPr>
              <w:spacing w:after="0" w:line="240" w:lineRule="auto"/>
              <w:rPr>
                <w:rFonts w:ascii="Times New Roman" w:hAnsi="Times New Roman" w:cs="Times New Roman"/>
                <w:sz w:val="20"/>
                <w:szCs w:val="20"/>
              </w:rPr>
            </w:pPr>
            <w:r w:rsidRPr="008A276E">
              <w:rPr>
                <w:rFonts w:ascii="Times New Roman" w:hAnsi="Times New Roman" w:cs="Times New Roman"/>
                <w:sz w:val="20"/>
                <w:szCs w:val="20"/>
              </w:rPr>
              <w:t>Visu notekūdeņu dūņu atbilstoša apsaimniekošana ir iespējama tikai speciāli veidotos, atbilstoši pārvaldītos pārstrādes centros</w:t>
            </w:r>
            <w:r w:rsidR="00A02B9E" w:rsidRPr="008A276E">
              <w:rPr>
                <w:rFonts w:ascii="Times New Roman" w:hAnsi="Times New Roman" w:cs="Times New Roman"/>
                <w:sz w:val="20"/>
                <w:szCs w:val="20"/>
              </w:rPr>
              <w:t xml:space="preserve">, kuru </w:t>
            </w:r>
            <w:r w:rsidRPr="008A276E">
              <w:rPr>
                <w:rFonts w:ascii="Times New Roman" w:hAnsi="Times New Roman" w:cs="Times New Roman"/>
                <w:sz w:val="20"/>
                <w:szCs w:val="20"/>
              </w:rPr>
              <w:t>operators garantē</w:t>
            </w:r>
            <w:r w:rsidR="00A02B9E" w:rsidRPr="008A276E">
              <w:rPr>
                <w:rFonts w:ascii="Times New Roman" w:hAnsi="Times New Roman" w:cs="Times New Roman"/>
                <w:sz w:val="20"/>
                <w:szCs w:val="20"/>
              </w:rPr>
              <w:t xml:space="preserve"> notekūdeņu</w:t>
            </w:r>
            <w:r w:rsidRPr="008A276E">
              <w:rPr>
                <w:rFonts w:ascii="Times New Roman" w:hAnsi="Times New Roman" w:cs="Times New Roman"/>
                <w:sz w:val="20"/>
                <w:szCs w:val="20"/>
              </w:rPr>
              <w:t xml:space="preserve"> dūņu pārstrādi un sagatavotā resursa atbilstību tālākas izmantošanas prasībām.  Izvēlētā 2</w:t>
            </w:r>
            <w:r w:rsidR="00225B43">
              <w:rPr>
                <w:rFonts w:ascii="Times New Roman" w:hAnsi="Times New Roman" w:cs="Times New Roman"/>
                <w:sz w:val="20"/>
                <w:szCs w:val="20"/>
              </w:rPr>
              <w:t>7</w:t>
            </w:r>
            <w:r w:rsidRPr="008A276E">
              <w:rPr>
                <w:rFonts w:ascii="Times New Roman" w:hAnsi="Times New Roman" w:cs="Times New Roman"/>
                <w:sz w:val="20"/>
                <w:szCs w:val="20"/>
              </w:rPr>
              <w:t xml:space="preserve"> pārstrādes centru alternatīva nodrošina </w:t>
            </w:r>
            <w:r w:rsidR="00A02B9E" w:rsidRPr="008A276E">
              <w:rPr>
                <w:rFonts w:ascii="Times New Roman" w:hAnsi="Times New Roman" w:cs="Times New Roman"/>
                <w:sz w:val="20"/>
                <w:szCs w:val="20"/>
              </w:rPr>
              <w:t>loģisku</w:t>
            </w:r>
            <w:r w:rsidRPr="008A276E">
              <w:rPr>
                <w:rFonts w:ascii="Times New Roman" w:hAnsi="Times New Roman" w:cs="Times New Roman"/>
                <w:sz w:val="20"/>
                <w:szCs w:val="20"/>
              </w:rPr>
              <w:t xml:space="preserve"> visu Latvijas notekūdeņu dūņu savākšanu un pārstrādi</w:t>
            </w:r>
            <w:r w:rsidR="00A02B9E" w:rsidRPr="008A276E">
              <w:rPr>
                <w:rFonts w:ascii="Times New Roman" w:hAnsi="Times New Roman" w:cs="Times New Roman"/>
                <w:sz w:val="20"/>
                <w:szCs w:val="20"/>
              </w:rPr>
              <w:t xml:space="preserve"> izmaksu efektīvā veidā ar</w:t>
            </w:r>
            <w:r w:rsidRPr="008A276E">
              <w:rPr>
                <w:rFonts w:ascii="Times New Roman" w:hAnsi="Times New Roman" w:cs="Times New Roman"/>
                <w:sz w:val="20"/>
                <w:szCs w:val="20"/>
              </w:rPr>
              <w:t xml:space="preserve"> optimāli zemu transportējamo </w:t>
            </w:r>
            <w:r w:rsidR="00A02B9E"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 xml:space="preserve">dūņu daudzumu. Risinājums ir izmaksu ziņā efektīvs, kas ļauj </w:t>
            </w:r>
            <w:r w:rsidR="00A02B9E" w:rsidRPr="008A276E">
              <w:rPr>
                <w:rFonts w:ascii="Times New Roman" w:hAnsi="Times New Roman" w:cs="Times New Roman"/>
                <w:sz w:val="20"/>
                <w:szCs w:val="20"/>
              </w:rPr>
              <w:t xml:space="preserve">nākotnē </w:t>
            </w:r>
            <w:r w:rsidRPr="008A276E">
              <w:rPr>
                <w:rFonts w:ascii="Times New Roman" w:hAnsi="Times New Roman" w:cs="Times New Roman"/>
                <w:sz w:val="20"/>
                <w:szCs w:val="20"/>
              </w:rPr>
              <w:t xml:space="preserve">ieviest arī jaunus, t.sk. inovatīvus </w:t>
            </w:r>
            <w:r w:rsidR="00A02B9E"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dūņu apsaimniekošanas risinājumus.</w:t>
            </w:r>
          </w:p>
        </w:tc>
      </w:tr>
      <w:tr w:rsidR="006E0EDB" w:rsidRPr="00175DD0" w14:paraId="11C8E2B5" w14:textId="77777777" w:rsidTr="006E0EDB">
        <w:trPr>
          <w:trHeight w:val="284"/>
        </w:trPr>
        <w:tc>
          <w:tcPr>
            <w:tcW w:w="14029" w:type="dxa"/>
            <w:gridSpan w:val="5"/>
            <w:tcBorders>
              <w:top w:val="nil"/>
              <w:left w:val="nil"/>
              <w:bottom w:val="nil"/>
              <w:right w:val="nil"/>
            </w:tcBorders>
            <w:shd w:val="clear" w:color="auto" w:fill="auto"/>
            <w:vAlign w:val="center"/>
          </w:tcPr>
          <w:p w14:paraId="0A78EBEF" w14:textId="77777777" w:rsidR="006E0EDB" w:rsidRDefault="006E0EDB" w:rsidP="006E0EDB">
            <w:pPr>
              <w:spacing w:after="0" w:line="240" w:lineRule="auto"/>
              <w:jc w:val="center"/>
              <w:rPr>
                <w:rFonts w:ascii="Times New Roman" w:hAnsi="Times New Roman" w:cs="Times New Roman"/>
                <w:b/>
                <w:bCs/>
                <w:sz w:val="26"/>
                <w:szCs w:val="26"/>
              </w:rPr>
            </w:pPr>
          </w:p>
          <w:p w14:paraId="02DC915B" w14:textId="77777777" w:rsidR="008A276E" w:rsidRDefault="008A276E" w:rsidP="006E0EDB">
            <w:pPr>
              <w:spacing w:after="0" w:line="240" w:lineRule="auto"/>
              <w:jc w:val="center"/>
              <w:rPr>
                <w:rFonts w:ascii="Times New Roman" w:hAnsi="Times New Roman" w:cs="Times New Roman"/>
                <w:b/>
                <w:bCs/>
                <w:sz w:val="26"/>
                <w:szCs w:val="26"/>
              </w:rPr>
            </w:pPr>
          </w:p>
          <w:p w14:paraId="120CD80B" w14:textId="5BFFE40C" w:rsidR="008A276E" w:rsidRPr="008A276E" w:rsidRDefault="008A276E" w:rsidP="006E0EDB">
            <w:pPr>
              <w:spacing w:after="0" w:line="240" w:lineRule="auto"/>
              <w:jc w:val="center"/>
              <w:rPr>
                <w:rFonts w:ascii="Times New Roman" w:hAnsi="Times New Roman" w:cs="Times New Roman"/>
                <w:b/>
                <w:bCs/>
                <w:sz w:val="26"/>
                <w:szCs w:val="26"/>
              </w:rPr>
            </w:pPr>
          </w:p>
        </w:tc>
      </w:tr>
      <w:tr w:rsidR="006E0EDB" w:rsidRPr="00175DD0" w14:paraId="48B17CBB" w14:textId="77777777" w:rsidTr="002140A1">
        <w:trPr>
          <w:trHeight w:val="428"/>
        </w:trPr>
        <w:tc>
          <w:tcPr>
            <w:tcW w:w="14029" w:type="dxa"/>
            <w:gridSpan w:val="5"/>
            <w:tcBorders>
              <w:top w:val="single" w:sz="4" w:space="0" w:color="auto"/>
            </w:tcBorders>
            <w:shd w:val="clear" w:color="auto" w:fill="1F4E79" w:themeFill="accent1" w:themeFillShade="80"/>
            <w:vAlign w:val="center"/>
          </w:tcPr>
          <w:p w14:paraId="62AE02E2" w14:textId="77777777" w:rsidR="006E0EDB" w:rsidRPr="008A276E" w:rsidRDefault="006E0EDB" w:rsidP="002140A1">
            <w:pPr>
              <w:spacing w:after="0" w:line="240" w:lineRule="auto"/>
              <w:jc w:val="center"/>
              <w:rPr>
                <w:rFonts w:ascii="Times New Roman" w:hAnsi="Times New Roman" w:cs="Times New Roman"/>
                <w:b/>
                <w:bCs/>
                <w:color w:val="FFFFFF" w:themeColor="background1"/>
                <w:sz w:val="26"/>
                <w:szCs w:val="26"/>
              </w:rPr>
            </w:pPr>
            <w:r w:rsidRPr="008A276E">
              <w:rPr>
                <w:rFonts w:ascii="Times New Roman" w:hAnsi="Times New Roman" w:cs="Times New Roman"/>
                <w:b/>
                <w:bCs/>
                <w:color w:val="FFFFFF" w:themeColor="background1"/>
                <w:sz w:val="26"/>
                <w:szCs w:val="26"/>
              </w:rPr>
              <w:lastRenderedPageBreak/>
              <w:t>5.Posms: N</w:t>
            </w:r>
            <w:r w:rsidR="002140A1" w:rsidRPr="008A276E">
              <w:rPr>
                <w:rFonts w:ascii="Times New Roman" w:hAnsi="Times New Roman" w:cs="Times New Roman"/>
                <w:b/>
                <w:bCs/>
                <w:color w:val="FFFFFF" w:themeColor="background1"/>
                <w:sz w:val="26"/>
                <w:szCs w:val="26"/>
              </w:rPr>
              <w:t>otekūdeņu dūņu apsaimniekošanas</w:t>
            </w:r>
            <w:r w:rsidRPr="008A276E">
              <w:rPr>
                <w:rFonts w:ascii="Times New Roman" w:hAnsi="Times New Roman" w:cs="Times New Roman"/>
                <w:b/>
                <w:bCs/>
                <w:color w:val="FFFFFF" w:themeColor="background1"/>
                <w:sz w:val="26"/>
                <w:szCs w:val="26"/>
              </w:rPr>
              <w:t xml:space="preserve"> institucionālās organizācijas alternatīvas</w:t>
            </w:r>
          </w:p>
        </w:tc>
      </w:tr>
      <w:tr w:rsidR="006E0EDB" w:rsidRPr="00175DD0" w14:paraId="6B9EEEE4" w14:textId="77777777" w:rsidTr="002140A1">
        <w:tc>
          <w:tcPr>
            <w:tcW w:w="1980" w:type="dxa"/>
            <w:shd w:val="clear" w:color="auto" w:fill="B8CCE4"/>
            <w:vAlign w:val="center"/>
          </w:tcPr>
          <w:p w14:paraId="5C0AE999"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Izvērtētās alternatīvas</w:t>
            </w:r>
          </w:p>
        </w:tc>
        <w:tc>
          <w:tcPr>
            <w:tcW w:w="12049" w:type="dxa"/>
            <w:gridSpan w:val="4"/>
          </w:tcPr>
          <w:p w14:paraId="29B0805B" w14:textId="77777777" w:rsidR="006E0EDB" w:rsidRPr="008A276E" w:rsidRDefault="006E0EDB" w:rsidP="006E0EDB">
            <w:pPr>
              <w:spacing w:after="0" w:line="360" w:lineRule="auto"/>
              <w:rPr>
                <w:rFonts w:ascii="Times New Roman" w:hAnsi="Times New Roman" w:cs="Times New Roman"/>
                <w:color w:val="A6A6A6"/>
                <w:sz w:val="20"/>
                <w:szCs w:val="20"/>
              </w:rPr>
            </w:pPr>
            <w:r w:rsidRPr="008A276E">
              <w:rPr>
                <w:rFonts w:ascii="Times New Roman" w:hAnsi="Times New Roman" w:cs="Times New Roman"/>
                <w:color w:val="A6A6A6"/>
                <w:sz w:val="20"/>
                <w:szCs w:val="20"/>
              </w:rPr>
              <w:t>E1 - Notekūdeņu dūņu apsaimniekošana atbilstoši katra SPS lēmumiem</w:t>
            </w:r>
          </w:p>
          <w:p w14:paraId="7338DA81" w14:textId="77777777" w:rsidR="006E0EDB" w:rsidRPr="008A276E" w:rsidRDefault="006E0EDB" w:rsidP="006E0EDB">
            <w:pPr>
              <w:spacing w:after="0" w:line="360" w:lineRule="auto"/>
              <w:rPr>
                <w:rFonts w:ascii="Times New Roman" w:hAnsi="Times New Roman" w:cs="Times New Roman"/>
                <w:szCs w:val="24"/>
              </w:rPr>
            </w:pPr>
            <w:r w:rsidRPr="008A276E">
              <w:rPr>
                <w:rFonts w:ascii="Times New Roman" w:hAnsi="Times New Roman" w:cs="Times New Roman"/>
                <w:szCs w:val="24"/>
              </w:rPr>
              <w:t>E2 - Vienota notekūdeņu dūņu apsaimniekošana katras pašvaldības ietvaros</w:t>
            </w:r>
          </w:p>
          <w:p w14:paraId="67237096" w14:textId="77777777" w:rsidR="006E0EDB" w:rsidRPr="008A276E" w:rsidRDefault="006E0EDB" w:rsidP="006E0EDB">
            <w:pPr>
              <w:spacing w:after="0" w:line="360" w:lineRule="auto"/>
              <w:rPr>
                <w:rFonts w:ascii="Times New Roman" w:hAnsi="Times New Roman" w:cs="Times New Roman"/>
                <w:color w:val="A6A6A6"/>
                <w:sz w:val="20"/>
                <w:szCs w:val="20"/>
              </w:rPr>
            </w:pPr>
            <w:r w:rsidRPr="008A276E">
              <w:rPr>
                <w:rFonts w:ascii="Times New Roman" w:hAnsi="Times New Roman" w:cs="Times New Roman"/>
                <w:color w:val="A6A6A6"/>
                <w:sz w:val="20"/>
                <w:szCs w:val="20"/>
              </w:rPr>
              <w:t>E3 - Vienota notekūdeņu dūņu apsaimniekošana reģionālā vai valsts mērogā veidojot jaunu dūņu pārstrādes centru operators</w:t>
            </w:r>
          </w:p>
          <w:p w14:paraId="55A30FB8" w14:textId="77777777" w:rsidR="006E0EDB" w:rsidRPr="008A276E" w:rsidRDefault="006E0EDB" w:rsidP="006E0EDB">
            <w:pPr>
              <w:spacing w:after="0" w:line="360" w:lineRule="auto"/>
              <w:rPr>
                <w:rFonts w:ascii="Times New Roman" w:hAnsi="Times New Roman" w:cs="Times New Roman"/>
                <w:sz w:val="20"/>
                <w:szCs w:val="20"/>
              </w:rPr>
            </w:pPr>
            <w:r w:rsidRPr="008A276E">
              <w:rPr>
                <w:rFonts w:ascii="Times New Roman" w:hAnsi="Times New Roman" w:cs="Times New Roman"/>
                <w:color w:val="A6A6A6"/>
                <w:sz w:val="20"/>
                <w:szCs w:val="20"/>
              </w:rPr>
              <w:t>E4 - Viens ūdenssaimniecības sabiedrisko pakalpojumu sniedzējs valsts mērogā</w:t>
            </w:r>
          </w:p>
        </w:tc>
      </w:tr>
      <w:tr w:rsidR="006E0EDB" w:rsidRPr="00175DD0" w14:paraId="3DCBCB0D" w14:textId="77777777" w:rsidTr="003A4615">
        <w:trPr>
          <w:trHeight w:val="375"/>
        </w:trPr>
        <w:tc>
          <w:tcPr>
            <w:tcW w:w="1980" w:type="dxa"/>
            <w:vMerge w:val="restart"/>
            <w:shd w:val="clear" w:color="auto" w:fill="B8CCE4"/>
            <w:vAlign w:val="center"/>
          </w:tcPr>
          <w:p w14:paraId="4B3F93FE"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Latvijas notekūdeņu dūņu stratēģijā iekļaujamais risinājums</w:t>
            </w:r>
          </w:p>
        </w:tc>
        <w:tc>
          <w:tcPr>
            <w:tcW w:w="12049" w:type="dxa"/>
            <w:gridSpan w:val="4"/>
            <w:shd w:val="clear" w:color="auto" w:fill="DAEEF3"/>
            <w:vAlign w:val="center"/>
          </w:tcPr>
          <w:p w14:paraId="611D5827" w14:textId="77777777" w:rsidR="006E0EDB" w:rsidRPr="008A276E" w:rsidRDefault="006E0EDB" w:rsidP="006E0EDB">
            <w:pPr>
              <w:spacing w:after="0" w:line="360" w:lineRule="auto"/>
              <w:jc w:val="center"/>
              <w:rPr>
                <w:rFonts w:ascii="Times New Roman" w:hAnsi="Times New Roman" w:cs="Times New Roman"/>
                <w:b/>
                <w:bCs/>
                <w:szCs w:val="24"/>
              </w:rPr>
            </w:pPr>
            <w:r w:rsidRPr="008A276E">
              <w:rPr>
                <w:rFonts w:ascii="Times New Roman" w:hAnsi="Times New Roman" w:cs="Times New Roman"/>
                <w:b/>
                <w:bCs/>
                <w:szCs w:val="24"/>
              </w:rPr>
              <w:t>E2 - Vienota notekūdeņu dūņu apsaimniekošana katras pašvaldības ietvaros</w:t>
            </w:r>
          </w:p>
        </w:tc>
      </w:tr>
      <w:tr w:rsidR="006E0EDB" w:rsidRPr="00175DD0" w14:paraId="6153EA0E" w14:textId="77777777" w:rsidTr="002140A1">
        <w:tc>
          <w:tcPr>
            <w:tcW w:w="1980" w:type="dxa"/>
            <w:vMerge/>
            <w:shd w:val="clear" w:color="auto" w:fill="B8CCE4"/>
            <w:vAlign w:val="center"/>
          </w:tcPr>
          <w:p w14:paraId="4E39875D" w14:textId="77777777" w:rsidR="006E0EDB" w:rsidRPr="00C73E30" w:rsidRDefault="006E0EDB" w:rsidP="006E0EDB">
            <w:pPr>
              <w:spacing w:after="0" w:line="240" w:lineRule="auto"/>
              <w:jc w:val="center"/>
              <w:rPr>
                <w:rFonts w:ascii="Times New Roman" w:hAnsi="Times New Roman" w:cs="Times New Roman"/>
                <w:b/>
                <w:bCs/>
                <w:szCs w:val="24"/>
              </w:rPr>
            </w:pPr>
          </w:p>
        </w:tc>
        <w:tc>
          <w:tcPr>
            <w:tcW w:w="5953" w:type="dxa"/>
            <w:shd w:val="clear" w:color="auto" w:fill="auto"/>
            <w:vAlign w:val="center"/>
          </w:tcPr>
          <w:p w14:paraId="100AEC3B"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Priekšrocības</w:t>
            </w:r>
          </w:p>
        </w:tc>
        <w:tc>
          <w:tcPr>
            <w:tcW w:w="6096" w:type="dxa"/>
            <w:gridSpan w:val="3"/>
            <w:shd w:val="clear" w:color="auto" w:fill="auto"/>
            <w:vAlign w:val="center"/>
          </w:tcPr>
          <w:p w14:paraId="0E154710" w14:textId="77777777" w:rsidR="006E0EDB" w:rsidRPr="008A276E" w:rsidRDefault="006E0EDB" w:rsidP="006E0EDB">
            <w:pPr>
              <w:spacing w:after="0" w:line="240" w:lineRule="auto"/>
              <w:jc w:val="center"/>
              <w:rPr>
                <w:rFonts w:ascii="Times New Roman" w:hAnsi="Times New Roman" w:cs="Times New Roman"/>
                <w:b/>
                <w:bCs/>
                <w:i/>
                <w:iCs/>
                <w:sz w:val="22"/>
                <w:highlight w:val="green"/>
              </w:rPr>
            </w:pPr>
            <w:r w:rsidRPr="008A276E">
              <w:rPr>
                <w:rFonts w:ascii="Times New Roman" w:hAnsi="Times New Roman" w:cs="Times New Roman"/>
                <w:b/>
                <w:bCs/>
                <w:i/>
                <w:iCs/>
                <w:sz w:val="22"/>
              </w:rPr>
              <w:t>Papildus veicamie pasākumi, trūkumi</w:t>
            </w:r>
          </w:p>
        </w:tc>
      </w:tr>
      <w:tr w:rsidR="006E0EDB" w:rsidRPr="00175DD0" w14:paraId="2B8073FB" w14:textId="77777777" w:rsidTr="002140A1">
        <w:tc>
          <w:tcPr>
            <w:tcW w:w="1980" w:type="dxa"/>
            <w:vMerge/>
            <w:shd w:val="clear" w:color="auto" w:fill="B8CCE4"/>
            <w:vAlign w:val="center"/>
          </w:tcPr>
          <w:p w14:paraId="6B471298" w14:textId="77777777" w:rsidR="006E0EDB" w:rsidRPr="00C73E30" w:rsidRDefault="006E0EDB" w:rsidP="006E0EDB">
            <w:pPr>
              <w:spacing w:after="0" w:line="240" w:lineRule="auto"/>
              <w:jc w:val="center"/>
              <w:rPr>
                <w:rFonts w:ascii="Times New Roman" w:hAnsi="Times New Roman" w:cs="Times New Roman"/>
                <w:b/>
                <w:bCs/>
                <w:szCs w:val="24"/>
              </w:rPr>
            </w:pPr>
          </w:p>
        </w:tc>
        <w:tc>
          <w:tcPr>
            <w:tcW w:w="5953" w:type="dxa"/>
          </w:tcPr>
          <w:p w14:paraId="20A1468F" w14:textId="77777777" w:rsidR="006E0EDB" w:rsidRPr="008A276E" w:rsidRDefault="006E0EDB" w:rsidP="008B1B4B">
            <w:pPr>
              <w:numPr>
                <w:ilvl w:val="0"/>
                <w:numId w:val="7"/>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Netiek būtiski mainīta pastāvošā ūdenssaimniecības pakalpojumu sniegšanas tiesiskā sistēma un nav nepieciešamas būtiskas tiesiskā regulējuma izmaiņas alternatīvas ieviešanai;</w:t>
            </w:r>
          </w:p>
          <w:p w14:paraId="661CA0CE" w14:textId="77777777" w:rsidR="006E0EDB" w:rsidRPr="008A276E" w:rsidRDefault="006E0EDB" w:rsidP="008B1B4B">
            <w:pPr>
              <w:numPr>
                <w:ilvl w:val="0"/>
                <w:numId w:val="7"/>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Nodrošina vienotu un izmaksu ziņā efektīvu pieeju visu novadā radīto notekūdeņu dūņu apsaimniekošanai;</w:t>
            </w:r>
          </w:p>
          <w:p w14:paraId="7351FC43" w14:textId="77777777" w:rsidR="006E0EDB" w:rsidRPr="008A276E" w:rsidRDefault="006E0EDB" w:rsidP="008B1B4B">
            <w:pPr>
              <w:numPr>
                <w:ilvl w:val="0"/>
                <w:numId w:val="7"/>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Izvēlētā alternatīva nodrošina efektīvu nepieciešamo investīciju un pieejamo darbaspēka resursu izmantošanu attiecībā uz notekūdeņu dūņu apsaimniekošanu;</w:t>
            </w:r>
          </w:p>
          <w:p w14:paraId="2B479917" w14:textId="77777777" w:rsidR="006E0EDB" w:rsidRPr="008A276E" w:rsidRDefault="006E0EDB" w:rsidP="008B1B4B">
            <w:pPr>
              <w:numPr>
                <w:ilvl w:val="0"/>
                <w:numId w:val="7"/>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Pieļauj citu, lokālu risinājumu izmantošanu (lauksaimnieku biogāzes stacijas, BNA kompostēšanas infrastruktūra);</w:t>
            </w:r>
          </w:p>
          <w:p w14:paraId="74C8DFD8" w14:textId="1FF6CB1C" w:rsidR="006E0EDB" w:rsidRPr="008A276E" w:rsidRDefault="006E0EDB" w:rsidP="008B1B4B">
            <w:pPr>
              <w:numPr>
                <w:ilvl w:val="0"/>
                <w:numId w:val="7"/>
              </w:numPr>
              <w:spacing w:after="0" w:line="240" w:lineRule="auto"/>
              <w:ind w:left="320"/>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 xml:space="preserve">Skaidrs atbildīgo sadalījums par </w:t>
            </w:r>
            <w:r w:rsidR="00A8404E" w:rsidRPr="008A276E">
              <w:rPr>
                <w:rFonts w:ascii="Times New Roman" w:hAnsi="Times New Roman" w:cs="Times New Roman"/>
                <w:i/>
                <w:iCs/>
                <w:sz w:val="18"/>
                <w:szCs w:val="18"/>
              </w:rPr>
              <w:t>notekūdeņu</w:t>
            </w:r>
            <w:r w:rsidR="00A02B9E" w:rsidRPr="008A276E">
              <w:rPr>
                <w:rFonts w:ascii="Times New Roman" w:hAnsi="Times New Roman" w:cs="Times New Roman"/>
                <w:i/>
                <w:iCs/>
                <w:sz w:val="18"/>
                <w:szCs w:val="18"/>
              </w:rPr>
              <w:t xml:space="preserve"> </w:t>
            </w:r>
            <w:r w:rsidRPr="008A276E">
              <w:rPr>
                <w:rFonts w:ascii="Times New Roman" w:hAnsi="Times New Roman" w:cs="Times New Roman"/>
                <w:i/>
                <w:iCs/>
                <w:sz w:val="18"/>
                <w:szCs w:val="18"/>
              </w:rPr>
              <w:t>dūņu apsaimniekošanu novada un starpnovadu līmenī, kas atvieglo apsaimniekošanas procesa uzraudzību, tai skaitā nodrošina efektīvu novada NAI kontroli no atbildīgā SPS puses.</w:t>
            </w:r>
          </w:p>
        </w:tc>
        <w:tc>
          <w:tcPr>
            <w:tcW w:w="6096" w:type="dxa"/>
            <w:gridSpan w:val="3"/>
          </w:tcPr>
          <w:p w14:paraId="59404F2A" w14:textId="77777777" w:rsidR="006E0EDB" w:rsidRPr="008A276E" w:rsidRDefault="006E0EDB" w:rsidP="008B1B4B">
            <w:pPr>
              <w:numPr>
                <w:ilvl w:val="0"/>
                <w:numId w:val="8"/>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Nepieciešams pilnveidot Ūdenssaimniecības pakalpojuma likumu (6.pants) nosakot, pienākumu pašvaldībām, noteikt vienu atbildīgo SPS par notekūdeņu dūņu apsaimniekošanu;</w:t>
            </w:r>
          </w:p>
          <w:p w14:paraId="1329D51A" w14:textId="77777777" w:rsidR="006E0EDB" w:rsidRPr="008A276E" w:rsidRDefault="006E0EDB" w:rsidP="008B1B4B">
            <w:pPr>
              <w:numPr>
                <w:ilvl w:val="0"/>
                <w:numId w:val="8"/>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Nepieciešams veikt grozījumus MK noteikumos Nr.362, nosakot prasības visu notekūdeņu dūņu savākšanai no mazajām NAI un koncentrēšanai novada lielākajās NAI;</w:t>
            </w:r>
          </w:p>
          <w:p w14:paraId="46E10DED" w14:textId="77777777" w:rsidR="006E0EDB" w:rsidRPr="008A276E" w:rsidRDefault="006E0EDB" w:rsidP="008B1B4B">
            <w:pPr>
              <w:numPr>
                <w:ilvl w:val="0"/>
                <w:numId w:val="8"/>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Nepieciešams veikt grozījumus MK noteikumos Nr.174</w:t>
            </w:r>
            <w:r w:rsidRPr="008A276E">
              <w:rPr>
                <w:rFonts w:ascii="Times New Roman" w:hAnsi="Times New Roman" w:cs="Times New Roman"/>
                <w:i/>
                <w:iCs/>
                <w:sz w:val="18"/>
                <w:szCs w:val="18"/>
                <w:vertAlign w:val="superscript"/>
              </w:rPr>
              <w:footnoteReference w:id="17"/>
            </w:r>
            <w:r w:rsidRPr="008A276E">
              <w:rPr>
                <w:rFonts w:ascii="Times New Roman" w:hAnsi="Times New Roman" w:cs="Times New Roman"/>
                <w:i/>
                <w:iCs/>
                <w:sz w:val="18"/>
                <w:szCs w:val="18"/>
              </w:rPr>
              <w:t>, nosakot tiesības un pienākumus novada atbildīgajam SPS</w:t>
            </w:r>
            <w:r w:rsidRPr="008A276E">
              <w:rPr>
                <w:rFonts w:ascii="Times New Roman" w:hAnsi="Times New Roman" w:cs="Times New Roman"/>
                <w:sz w:val="18"/>
                <w:szCs w:val="18"/>
              </w:rPr>
              <w:t xml:space="preserve"> </w:t>
            </w:r>
            <w:r w:rsidRPr="008A276E">
              <w:rPr>
                <w:rFonts w:ascii="Times New Roman" w:hAnsi="Times New Roman" w:cs="Times New Roman"/>
                <w:i/>
                <w:iCs/>
                <w:sz w:val="18"/>
                <w:szCs w:val="18"/>
              </w:rPr>
              <w:t>kontrolēt, pārbaudīt un savākt notekūdeņu dūņas no visām novada NAI;</w:t>
            </w:r>
          </w:p>
          <w:p w14:paraId="42E021E0" w14:textId="77777777" w:rsidR="006E0EDB" w:rsidRPr="008A276E" w:rsidRDefault="006E0EDB" w:rsidP="008B1B4B">
            <w:pPr>
              <w:numPr>
                <w:ilvl w:val="0"/>
                <w:numId w:val="8"/>
              </w:numPr>
              <w:spacing w:after="0" w:line="240" w:lineRule="auto"/>
              <w:ind w:left="318"/>
              <w:contextualSpacing/>
              <w:jc w:val="left"/>
              <w:rPr>
                <w:rFonts w:ascii="Times New Roman" w:hAnsi="Times New Roman" w:cs="Times New Roman"/>
                <w:i/>
                <w:iCs/>
                <w:sz w:val="18"/>
                <w:szCs w:val="18"/>
              </w:rPr>
            </w:pPr>
            <w:r w:rsidRPr="008A276E">
              <w:rPr>
                <w:rFonts w:ascii="Times New Roman" w:hAnsi="Times New Roman" w:cs="Times New Roman"/>
                <w:i/>
                <w:iCs/>
                <w:sz w:val="18"/>
                <w:szCs w:val="18"/>
              </w:rPr>
              <w:t>Nepieciešams pilnveidot MK noteikumus Nr.1227</w:t>
            </w:r>
            <w:r w:rsidRPr="008A276E">
              <w:rPr>
                <w:rFonts w:ascii="Times New Roman" w:hAnsi="Times New Roman" w:cs="Times New Roman"/>
                <w:i/>
                <w:iCs/>
                <w:sz w:val="18"/>
                <w:szCs w:val="18"/>
                <w:vertAlign w:val="superscript"/>
              </w:rPr>
              <w:footnoteReference w:id="18"/>
            </w:r>
            <w:r w:rsidRPr="008A276E">
              <w:rPr>
                <w:rFonts w:ascii="Times New Roman" w:hAnsi="Times New Roman" w:cs="Times New Roman"/>
                <w:i/>
                <w:iCs/>
                <w:sz w:val="18"/>
                <w:szCs w:val="18"/>
              </w:rPr>
              <w:t xml:space="preserve"> nosakot, ka notekūdeņu dūņu apsaimniekošana ārpus ūdenssaimniecības pakalpojumu sistēmās, kur tās radītas, arī ir sabiedriskais ūdenssaimniecības pakalpojums, vienlaikus precizējot ūdenssaimniecības sabiedrisko pakalpojumu tarifu aprēķināšanas metodiku</w:t>
            </w:r>
            <w:r w:rsidRPr="008A276E">
              <w:rPr>
                <w:rFonts w:ascii="Times New Roman" w:hAnsi="Times New Roman" w:cs="Times New Roman"/>
                <w:i/>
                <w:iCs/>
                <w:sz w:val="18"/>
                <w:szCs w:val="18"/>
                <w:vertAlign w:val="superscript"/>
              </w:rPr>
              <w:footnoteReference w:id="19"/>
            </w:r>
            <w:r w:rsidRPr="008A276E">
              <w:rPr>
                <w:rFonts w:ascii="Times New Roman" w:hAnsi="Times New Roman" w:cs="Times New Roman"/>
                <w:i/>
                <w:iCs/>
                <w:sz w:val="18"/>
                <w:szCs w:val="18"/>
              </w:rPr>
              <w:t>.</w:t>
            </w:r>
          </w:p>
        </w:tc>
      </w:tr>
      <w:tr w:rsidR="006E0EDB" w:rsidRPr="00175DD0" w14:paraId="29215947" w14:textId="77777777" w:rsidTr="002140A1">
        <w:tc>
          <w:tcPr>
            <w:tcW w:w="1980" w:type="dxa"/>
            <w:shd w:val="clear" w:color="auto" w:fill="B8CCE4"/>
            <w:vAlign w:val="center"/>
          </w:tcPr>
          <w:p w14:paraId="79EE2358" w14:textId="77777777" w:rsidR="006E0EDB" w:rsidRPr="00C73E30" w:rsidRDefault="006E0EDB" w:rsidP="006E0EDB">
            <w:pPr>
              <w:spacing w:after="0" w:line="240" w:lineRule="auto"/>
              <w:jc w:val="center"/>
              <w:rPr>
                <w:rFonts w:ascii="Times New Roman" w:hAnsi="Times New Roman" w:cs="Times New Roman"/>
                <w:b/>
                <w:bCs/>
                <w:szCs w:val="24"/>
              </w:rPr>
            </w:pPr>
            <w:r w:rsidRPr="00C73E30">
              <w:rPr>
                <w:rFonts w:ascii="Times New Roman" w:hAnsi="Times New Roman" w:cs="Times New Roman"/>
                <w:b/>
                <w:bCs/>
                <w:szCs w:val="24"/>
              </w:rPr>
              <w:t>Secinājumi</w:t>
            </w:r>
          </w:p>
        </w:tc>
        <w:tc>
          <w:tcPr>
            <w:tcW w:w="12049" w:type="dxa"/>
            <w:gridSpan w:val="4"/>
          </w:tcPr>
          <w:p w14:paraId="003C6CAA" w14:textId="01D3BDFC" w:rsidR="002140A1" w:rsidRPr="008A276E" w:rsidRDefault="006E0EDB" w:rsidP="006E0EDB">
            <w:pPr>
              <w:spacing w:after="0" w:line="240" w:lineRule="auto"/>
              <w:rPr>
                <w:rFonts w:ascii="Times New Roman" w:hAnsi="Times New Roman" w:cs="Times New Roman"/>
                <w:sz w:val="20"/>
                <w:szCs w:val="20"/>
              </w:rPr>
            </w:pPr>
            <w:r w:rsidRPr="008A276E">
              <w:rPr>
                <w:rFonts w:ascii="Times New Roman" w:hAnsi="Times New Roman" w:cs="Times New Roman"/>
                <w:sz w:val="20"/>
                <w:szCs w:val="20"/>
              </w:rPr>
              <w:t xml:space="preserve">Veidojot vienotu notekūdeņu dūņu apsaimniekošanas sistēmu vienas pašvaldības ietvaros, dūņu apsaimniekošanas funkcijas tiek deleģētas vienam </w:t>
            </w:r>
            <w:r w:rsidR="00FF180F" w:rsidRPr="008A276E">
              <w:rPr>
                <w:rFonts w:ascii="Times New Roman" w:hAnsi="Times New Roman" w:cs="Times New Roman"/>
                <w:sz w:val="20"/>
                <w:szCs w:val="20"/>
              </w:rPr>
              <w:t>SPS</w:t>
            </w:r>
            <w:r w:rsidRPr="008A276E">
              <w:rPr>
                <w:rFonts w:ascii="Times New Roman" w:hAnsi="Times New Roman" w:cs="Times New Roman"/>
                <w:sz w:val="20"/>
                <w:szCs w:val="20"/>
              </w:rPr>
              <w:t xml:space="preserve">, kurš kontrolē visu pašvaldībā radīto bioloģisko notekūdeņu dūņu savākšanas, apstrādes, pārstrādes un utilizācijas procesus. </w:t>
            </w:r>
            <w:r w:rsidR="00A02B9E" w:rsidRPr="008A276E">
              <w:rPr>
                <w:rFonts w:ascii="Times New Roman" w:hAnsi="Times New Roman" w:cs="Times New Roman"/>
                <w:sz w:val="20"/>
                <w:szCs w:val="20"/>
              </w:rPr>
              <w:t>Notekūdeņu d</w:t>
            </w:r>
            <w:r w:rsidRPr="008A276E">
              <w:rPr>
                <w:rFonts w:ascii="Times New Roman" w:hAnsi="Times New Roman" w:cs="Times New Roman"/>
                <w:sz w:val="20"/>
                <w:szCs w:val="20"/>
              </w:rPr>
              <w:t xml:space="preserve">ūņu apsaimniekošanas ietvaros </w:t>
            </w:r>
            <w:r w:rsidR="00FF180F" w:rsidRPr="008A276E">
              <w:rPr>
                <w:rFonts w:ascii="Times New Roman" w:hAnsi="Times New Roman" w:cs="Times New Roman"/>
                <w:sz w:val="20"/>
                <w:szCs w:val="20"/>
              </w:rPr>
              <w:t>izvēlētajam SPS</w:t>
            </w:r>
            <w:r w:rsidRPr="008A276E">
              <w:rPr>
                <w:rFonts w:ascii="Times New Roman" w:hAnsi="Times New Roman" w:cs="Times New Roman"/>
                <w:sz w:val="20"/>
                <w:szCs w:val="20"/>
              </w:rPr>
              <w:t xml:space="preserve"> ir plašas pilnvaras pieņemt lēmumus par </w:t>
            </w:r>
            <w:r w:rsidR="00A02B9E"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 xml:space="preserve">dūņu pārstrādes nodošanu ārpakalpojumā, izvēlēties kādu no </w:t>
            </w:r>
            <w:r w:rsidR="00A02B9E" w:rsidRPr="008A276E">
              <w:rPr>
                <w:rFonts w:ascii="Times New Roman" w:hAnsi="Times New Roman" w:cs="Times New Roman"/>
                <w:sz w:val="20"/>
                <w:szCs w:val="20"/>
              </w:rPr>
              <w:t xml:space="preserve">notekūdeņu </w:t>
            </w:r>
            <w:r w:rsidRPr="008A276E">
              <w:rPr>
                <w:rFonts w:ascii="Times New Roman" w:hAnsi="Times New Roman" w:cs="Times New Roman"/>
                <w:sz w:val="20"/>
                <w:szCs w:val="20"/>
              </w:rPr>
              <w:t xml:space="preserve">dūņu pārstrādes metodēm, organizēt </w:t>
            </w:r>
            <w:r w:rsidR="00A02B9E" w:rsidRPr="008A276E">
              <w:rPr>
                <w:rFonts w:ascii="Times New Roman" w:hAnsi="Times New Roman" w:cs="Times New Roman"/>
                <w:sz w:val="20"/>
                <w:szCs w:val="20"/>
              </w:rPr>
              <w:t>to</w:t>
            </w:r>
            <w:r w:rsidRPr="008A276E">
              <w:rPr>
                <w:rFonts w:ascii="Times New Roman" w:hAnsi="Times New Roman" w:cs="Times New Roman"/>
                <w:sz w:val="20"/>
                <w:szCs w:val="20"/>
              </w:rPr>
              <w:t xml:space="preserve"> utilizācijas pasākumus, kā arī pieņemt citus lēmumus.</w:t>
            </w:r>
          </w:p>
        </w:tc>
      </w:tr>
    </w:tbl>
    <w:p w14:paraId="7F6AB003" w14:textId="77777777" w:rsidR="002140A1" w:rsidRPr="00175DD0" w:rsidRDefault="002140A1" w:rsidP="002140A1">
      <w:pPr>
        <w:ind w:firstLine="720"/>
        <w:rPr>
          <w:rFonts w:eastAsia="Calibri" w:cstheme="minorHAnsi"/>
          <w:lang w:eastAsia="lv-LV"/>
        </w:rPr>
        <w:sectPr w:rsidR="002140A1" w:rsidRPr="00175DD0" w:rsidSect="007E349D">
          <w:pgSz w:w="16838" w:h="11906" w:orient="landscape"/>
          <w:pgMar w:top="1134" w:right="1701" w:bottom="1134" w:left="1701" w:header="708" w:footer="708" w:gutter="0"/>
          <w:cols w:space="708"/>
          <w:docGrid w:linePitch="360"/>
        </w:sectPr>
      </w:pPr>
    </w:p>
    <w:p w14:paraId="3A37FE90" w14:textId="4C545861" w:rsidR="003A4615" w:rsidRDefault="00456D13" w:rsidP="008A276E">
      <w:pPr>
        <w:spacing w:after="0"/>
        <w:jc w:val="center"/>
        <w:rPr>
          <w:i/>
          <w:color w:val="1F4E79" w:themeColor="accent1" w:themeShade="80"/>
          <w:sz w:val="22"/>
        </w:rPr>
      </w:pPr>
      <w:r>
        <w:rPr>
          <w:i/>
          <w:noProof/>
          <w:color w:val="1F4E79" w:themeColor="accent1" w:themeShade="80"/>
          <w:sz w:val="22"/>
        </w:rPr>
        <w:lastRenderedPageBreak/>
        <w:drawing>
          <wp:inline distT="0" distB="0" distL="0" distR="0" wp14:anchorId="4A3F6930" wp14:editId="408B5BFC">
            <wp:extent cx="6845300" cy="51887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48613" cy="5191288"/>
                    </a:xfrm>
                    <a:prstGeom prst="rect">
                      <a:avLst/>
                    </a:prstGeom>
                    <a:noFill/>
                  </pic:spPr>
                </pic:pic>
              </a:graphicData>
            </a:graphic>
          </wp:inline>
        </w:drawing>
      </w:r>
    </w:p>
    <w:p w14:paraId="0E2855C1" w14:textId="34AB36F8" w:rsidR="002140A1" w:rsidRPr="008A276E" w:rsidRDefault="00E17CAD" w:rsidP="008A276E">
      <w:pPr>
        <w:jc w:val="center"/>
        <w:rPr>
          <w:rFonts w:ascii="Times New Roman" w:hAnsi="Times New Roman" w:cs="Times New Roman"/>
          <w:iCs/>
          <w:szCs w:val="24"/>
        </w:rPr>
        <w:sectPr w:rsidR="002140A1" w:rsidRPr="008A276E" w:rsidSect="007E349D">
          <w:pgSz w:w="16838" w:h="11906" w:orient="landscape"/>
          <w:pgMar w:top="1134" w:right="1701" w:bottom="1134" w:left="1701" w:header="708" w:footer="708" w:gutter="0"/>
          <w:cols w:space="708"/>
          <w:docGrid w:linePitch="360"/>
        </w:sectPr>
      </w:pPr>
      <w:r>
        <w:rPr>
          <w:rFonts w:ascii="Times New Roman" w:hAnsi="Times New Roman" w:cs="Times New Roman"/>
          <w:b/>
          <w:bCs/>
          <w:iCs/>
          <w:szCs w:val="24"/>
        </w:rPr>
        <w:t>6.1</w:t>
      </w:r>
      <w:r w:rsidR="003A4615" w:rsidRPr="008A276E">
        <w:rPr>
          <w:rFonts w:ascii="Times New Roman" w:hAnsi="Times New Roman" w:cs="Times New Roman"/>
          <w:b/>
          <w:bCs/>
          <w:iCs/>
          <w:szCs w:val="24"/>
        </w:rPr>
        <w:t>.attēls</w:t>
      </w:r>
      <w:r w:rsidR="008A276E" w:rsidRPr="008A276E">
        <w:rPr>
          <w:rFonts w:ascii="Times New Roman" w:hAnsi="Times New Roman" w:cs="Times New Roman"/>
          <w:b/>
          <w:bCs/>
          <w:iCs/>
          <w:szCs w:val="24"/>
        </w:rPr>
        <w:t>.</w:t>
      </w:r>
      <w:r w:rsidR="008A276E">
        <w:rPr>
          <w:rFonts w:ascii="Times New Roman" w:hAnsi="Times New Roman" w:cs="Times New Roman"/>
          <w:iCs/>
          <w:szCs w:val="24"/>
        </w:rPr>
        <w:t xml:space="preserve"> </w:t>
      </w:r>
      <w:r w:rsidR="003A4615" w:rsidRPr="008A276E">
        <w:rPr>
          <w:rFonts w:ascii="Times New Roman" w:hAnsi="Times New Roman" w:cs="Times New Roman"/>
          <w:iCs/>
          <w:szCs w:val="24"/>
        </w:rPr>
        <w:t>Alternatīvu izvērtējuma kopsavilkums un notekūdeņu dūņu apsaimniekošanas modeļa definēšana</w:t>
      </w:r>
    </w:p>
    <w:p w14:paraId="3C6E9618" w14:textId="77777777" w:rsidR="008F453C" w:rsidRPr="008A276E" w:rsidRDefault="008F453C" w:rsidP="008A276E">
      <w:pPr>
        <w:pStyle w:val="Heading2"/>
        <w:spacing w:before="0"/>
        <w:jc w:val="center"/>
        <w:rPr>
          <w:rFonts w:ascii="Times New Roman" w:eastAsia="Times New Roman" w:hAnsi="Times New Roman" w:cs="Times New Roman"/>
          <w:b/>
          <w:bCs/>
          <w:color w:val="auto"/>
          <w:sz w:val="24"/>
          <w:szCs w:val="24"/>
          <w:lang w:eastAsia="en-GB"/>
        </w:rPr>
      </w:pPr>
      <w:bookmarkStart w:id="69" w:name="_Toc81384502"/>
      <w:bookmarkStart w:id="70" w:name="_Toc82430175"/>
      <w:bookmarkStart w:id="71" w:name="_Toc107916327"/>
      <w:r w:rsidRPr="008A276E">
        <w:rPr>
          <w:rFonts w:ascii="Times New Roman" w:eastAsia="Times New Roman" w:hAnsi="Times New Roman" w:cs="Times New Roman"/>
          <w:b/>
          <w:bCs/>
          <w:color w:val="auto"/>
          <w:sz w:val="24"/>
          <w:szCs w:val="24"/>
          <w:lang w:eastAsia="en-GB"/>
        </w:rPr>
        <w:lastRenderedPageBreak/>
        <w:t>6.2. Notekūdeņu dūņu apsaimniekošanas procesu apraksts</w:t>
      </w:r>
      <w:bookmarkEnd w:id="69"/>
      <w:bookmarkEnd w:id="70"/>
      <w:bookmarkEnd w:id="71"/>
    </w:p>
    <w:p w14:paraId="40DD1ECD" w14:textId="77777777" w:rsidR="008A276E" w:rsidRDefault="008A276E" w:rsidP="008A276E">
      <w:pPr>
        <w:spacing w:after="0"/>
        <w:ind w:firstLine="426"/>
        <w:rPr>
          <w:rFonts w:ascii="Times New Roman" w:hAnsi="Times New Roman" w:cs="Times New Roman"/>
          <w:szCs w:val="24"/>
        </w:rPr>
      </w:pPr>
    </w:p>
    <w:p w14:paraId="7980ED68" w14:textId="2419C82F" w:rsidR="008F453C" w:rsidRPr="008A276E" w:rsidRDefault="008F453C" w:rsidP="006E5CD8">
      <w:pPr>
        <w:spacing w:after="0"/>
        <w:ind w:firstLine="720"/>
        <w:rPr>
          <w:rFonts w:ascii="Times New Roman" w:hAnsi="Times New Roman" w:cs="Times New Roman"/>
          <w:szCs w:val="24"/>
        </w:rPr>
      </w:pPr>
      <w:r w:rsidRPr="008A276E">
        <w:rPr>
          <w:rFonts w:ascii="Times New Roman" w:hAnsi="Times New Roman" w:cs="Times New Roman"/>
          <w:szCs w:val="24"/>
        </w:rPr>
        <w:t xml:space="preserve">Ņemot vērā veikto Latvijas notekūdeņu dūņu apsaimniekošanas risinājumu alternatīvu analīzi, </w:t>
      </w:r>
      <w:r w:rsidR="003B4728" w:rsidRPr="008A276E">
        <w:rPr>
          <w:rFonts w:ascii="Times New Roman" w:hAnsi="Times New Roman" w:cs="Times New Roman"/>
          <w:szCs w:val="24"/>
        </w:rPr>
        <w:t>tika izveidots</w:t>
      </w:r>
      <w:r w:rsidRPr="008A276E">
        <w:rPr>
          <w:rFonts w:ascii="Times New Roman" w:hAnsi="Times New Roman" w:cs="Times New Roman"/>
          <w:szCs w:val="24"/>
        </w:rPr>
        <w:t xml:space="preserve"> </w:t>
      </w:r>
      <w:r w:rsidR="00E17CAD">
        <w:rPr>
          <w:rFonts w:ascii="Times New Roman" w:hAnsi="Times New Roman" w:cs="Times New Roman"/>
          <w:szCs w:val="24"/>
        </w:rPr>
        <w:t>6.</w:t>
      </w:r>
      <w:r w:rsidR="00C642BF">
        <w:rPr>
          <w:rFonts w:ascii="Times New Roman" w:hAnsi="Times New Roman" w:cs="Times New Roman"/>
          <w:szCs w:val="24"/>
        </w:rPr>
        <w:t>2</w:t>
      </w:r>
      <w:r w:rsidRPr="008A276E">
        <w:rPr>
          <w:rFonts w:ascii="Times New Roman" w:hAnsi="Times New Roman" w:cs="Times New Roman"/>
          <w:szCs w:val="24"/>
        </w:rPr>
        <w:t>.</w:t>
      </w:r>
      <w:r w:rsidR="00B8037C">
        <w:rPr>
          <w:rFonts w:ascii="Times New Roman" w:hAnsi="Times New Roman" w:cs="Times New Roman"/>
          <w:szCs w:val="24"/>
        </w:rPr>
        <w:t xml:space="preserve"> </w:t>
      </w:r>
      <w:r w:rsidRPr="008A276E">
        <w:rPr>
          <w:rFonts w:ascii="Times New Roman" w:hAnsi="Times New Roman" w:cs="Times New Roman"/>
          <w:szCs w:val="24"/>
        </w:rPr>
        <w:t>attēlā vizualizētais Latvijas notekūdeņu dūņu apsaimniekošanas modelis, kas ietver šādus procesus un rīcības:</w:t>
      </w:r>
    </w:p>
    <w:p w14:paraId="6220B50D" w14:textId="1A542E0D"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 xml:space="preserve">Pēc atbilstoša tiesiskā regulējam stāšanās spēkā, katra Latvijas pašvaldība normatīvajos aktos noteiktajā kārtībā un laikā, pieņem lēmumu par notekūdeņu dūņu apsaimniekošanu atbildīgo SPS pašvaldības teritorijā, vienlaikus atbalstot arī SPS tiesības izveidot atbilstošu </w:t>
      </w:r>
      <w:r w:rsidR="003B4728"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dūņu savākšanas un apstrādes infrastruktūru pašvaldības ietvaros, u</w:t>
      </w:r>
      <w:r w:rsidR="003B4728" w:rsidRPr="008A276E">
        <w:rPr>
          <w:rFonts w:ascii="Times New Roman" w:hAnsi="Times New Roman" w:cs="Times New Roman"/>
          <w:sz w:val="24"/>
          <w:szCs w:val="24"/>
        </w:rPr>
        <w:t>n</w:t>
      </w:r>
      <w:r w:rsidRPr="008A276E">
        <w:rPr>
          <w:rFonts w:ascii="Times New Roman" w:hAnsi="Times New Roman" w:cs="Times New Roman"/>
          <w:sz w:val="24"/>
          <w:szCs w:val="24"/>
        </w:rPr>
        <w:t xml:space="preserve"> pārstrādes infrastruktūru alternatīvu analīzē izvēlētajos </w:t>
      </w:r>
      <w:r w:rsidR="003B4728" w:rsidRPr="008A276E">
        <w:rPr>
          <w:rFonts w:ascii="Times New Roman" w:hAnsi="Times New Roman" w:cs="Times New Roman"/>
          <w:sz w:val="24"/>
          <w:szCs w:val="24"/>
        </w:rPr>
        <w:t>pārstrādes</w:t>
      </w:r>
      <w:r w:rsidRPr="008A276E">
        <w:rPr>
          <w:rFonts w:ascii="Times New Roman" w:hAnsi="Times New Roman" w:cs="Times New Roman"/>
          <w:sz w:val="24"/>
          <w:szCs w:val="24"/>
        </w:rPr>
        <w:t xml:space="preserve"> centros. Sadarbība starp dažādiem SPS pašvaldības ietvaros un arī ārpus pašvaldības, notiek uz komercdarbības nosacījumiem, saskaņā ar savstarpējo vienošanos, ņemot vērā normatīvajos aktos iekļautos ierobežojumus atsevišķos vienošanās nosacījumos (peļņas %, ilgums u.c.), ja tādi noteikti.</w:t>
      </w:r>
    </w:p>
    <w:p w14:paraId="1BCEA0BF" w14:textId="33FC585F"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 xml:space="preserve">Pašvaldības teritorijā par notekūdeņu dūņu apsaimniekošanu noteiktais atbildīgais SPS veic pirmo notekūdeņu dūņu centralizācijas soli, nodrošinot, ka katras pašvaldības teritorijā sabiedrisko ūdenssaimniecības pakalpojumu sniegšanā iesaistītajās NAI radītās 1. - 4.klases notekūdeņu dūņas tiek koncentrētas pašvaldības lielākajās NAI, kurās tiek veikta to atūdeņošana, ja nepieciešams. Kopumā uz 41 pašvaldības lielāko NAI jānogādā ~ 97 tūkst.t slapju </w:t>
      </w:r>
      <w:r w:rsidR="003B4728"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 xml:space="preserve">dūņu (1% sausna), kas ir 8.15% no kopējā radītā dūņu apjoma. 66 NAI, kurās radīto slapjo </w:t>
      </w:r>
      <w:r w:rsidR="003B4728"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dūņu apjoms pārsniedz 1000 m</w:t>
      </w:r>
      <w:r w:rsidR="004D788B" w:rsidRPr="008A276E">
        <w:rPr>
          <w:rFonts w:ascii="Times New Roman" w:hAnsi="Times New Roman" w:cs="Times New Roman"/>
          <w:sz w:val="24"/>
          <w:szCs w:val="24"/>
          <w:vertAlign w:val="superscript"/>
        </w:rPr>
        <w:t>3</w:t>
      </w:r>
      <w:r w:rsidRPr="008A276E">
        <w:rPr>
          <w:rFonts w:ascii="Times New Roman" w:hAnsi="Times New Roman" w:cs="Times New Roman"/>
          <w:sz w:val="24"/>
          <w:szCs w:val="24"/>
        </w:rPr>
        <w:t>/gadā, pirms centralizēšanas uz novada</w:t>
      </w:r>
      <w:r w:rsidR="003B4728" w:rsidRPr="008A276E">
        <w:rPr>
          <w:rFonts w:ascii="Times New Roman" w:hAnsi="Times New Roman" w:cs="Times New Roman"/>
          <w:sz w:val="24"/>
          <w:szCs w:val="24"/>
        </w:rPr>
        <w:t xml:space="preserve"> </w:t>
      </w:r>
      <w:r w:rsidRPr="008A276E">
        <w:rPr>
          <w:rFonts w:ascii="Times New Roman" w:hAnsi="Times New Roman" w:cs="Times New Roman"/>
          <w:sz w:val="24"/>
          <w:szCs w:val="24"/>
        </w:rPr>
        <w:t xml:space="preserve">lielākajām NAI, jāveic </w:t>
      </w:r>
      <w:r w:rsidR="003B4728" w:rsidRPr="008A276E">
        <w:rPr>
          <w:rFonts w:ascii="Times New Roman" w:hAnsi="Times New Roman" w:cs="Times New Roman"/>
          <w:sz w:val="24"/>
          <w:szCs w:val="24"/>
        </w:rPr>
        <w:t>to</w:t>
      </w:r>
      <w:r w:rsidRPr="008A276E">
        <w:rPr>
          <w:rFonts w:ascii="Times New Roman" w:hAnsi="Times New Roman" w:cs="Times New Roman"/>
          <w:sz w:val="24"/>
          <w:szCs w:val="24"/>
        </w:rPr>
        <w:t xml:space="preserve"> atūdeņošana (vismaz 18% sausna), bet no pārējām NAI liekās notekūdeņu dūņas jānogādā slapjas. Notekūdeņu dūņu kvalitātes kontroli novada teritorijā veic noteiktais atbildīgais SPS, kas arī organizē notekūdeņu dūņu savākšanu un nogādi novada galvenajās NAI. Izmaksas par notekūdeņu dūņu savākšanu, apstrādi un pārstrādi tiek izstādītas SPS, kura sistēmā tās radītas, ņemot vērā savākto notekūdeņu dūņu apjomu.</w:t>
      </w:r>
    </w:p>
    <w:p w14:paraId="60F97DE0" w14:textId="285775B4"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 xml:space="preserve">Notekūdeņu dūņu otrais centralizācijas līmenis tiek nodrošināts, kad par notekūdeņu dūņu atbildīgais  SPS visas </w:t>
      </w:r>
      <w:r w:rsidRPr="00887AD6">
        <w:rPr>
          <w:rFonts w:ascii="Times New Roman" w:hAnsi="Times New Roman" w:cs="Times New Roman"/>
          <w:sz w:val="24"/>
          <w:szCs w:val="24"/>
        </w:rPr>
        <w:t>savāktās un atūdeņotās notekūdeņu dūņas no pašvaldības lielākajām NAI nogādā vienā no 26</w:t>
      </w:r>
      <w:r w:rsidR="00887AD6" w:rsidRPr="00887AD6">
        <w:rPr>
          <w:rFonts w:ascii="Times New Roman" w:hAnsi="Times New Roman" w:cs="Times New Roman"/>
          <w:sz w:val="24"/>
          <w:szCs w:val="24"/>
        </w:rPr>
        <w:t xml:space="preserve"> </w:t>
      </w:r>
      <w:r w:rsidR="003A4615" w:rsidRPr="00887AD6">
        <w:rPr>
          <w:rFonts w:ascii="Times New Roman" w:hAnsi="Times New Roman" w:cs="Times New Roman"/>
          <w:sz w:val="24"/>
          <w:szCs w:val="24"/>
        </w:rPr>
        <w:t>notekūdeņu</w:t>
      </w:r>
      <w:r w:rsidR="003A4615" w:rsidRPr="008A276E">
        <w:rPr>
          <w:rFonts w:ascii="Times New Roman" w:hAnsi="Times New Roman" w:cs="Times New Roman"/>
          <w:sz w:val="24"/>
          <w:szCs w:val="24"/>
        </w:rPr>
        <w:t xml:space="preserve"> </w:t>
      </w:r>
      <w:r w:rsidRPr="008A276E">
        <w:rPr>
          <w:rFonts w:ascii="Times New Roman" w:hAnsi="Times New Roman" w:cs="Times New Roman"/>
          <w:sz w:val="24"/>
          <w:szCs w:val="24"/>
        </w:rPr>
        <w:t>dūņu pārstrādes centriem, ja pašvaldības lielākās NAI nav šāds centrs. No</w:t>
      </w:r>
      <w:r w:rsidR="003A4615" w:rsidRPr="008A276E">
        <w:rPr>
          <w:rFonts w:ascii="Times New Roman" w:hAnsi="Times New Roman" w:cs="Times New Roman"/>
          <w:sz w:val="24"/>
          <w:szCs w:val="24"/>
        </w:rPr>
        <w:t xml:space="preserve"> </w:t>
      </w:r>
      <w:r w:rsidRPr="008A276E">
        <w:rPr>
          <w:rFonts w:ascii="Times New Roman" w:hAnsi="Times New Roman" w:cs="Times New Roman"/>
          <w:sz w:val="24"/>
          <w:szCs w:val="24"/>
        </w:rPr>
        <w:t xml:space="preserve">15 pašvaldību lielākajām NAI atūdeņotas notekūdeņu dūņas (vismaz 18% sausna) tiek nogādātas pārstrādei uz vienu </w:t>
      </w:r>
      <w:r w:rsidRPr="00353317">
        <w:rPr>
          <w:rFonts w:ascii="Times New Roman" w:hAnsi="Times New Roman" w:cs="Times New Roman"/>
          <w:sz w:val="24"/>
          <w:szCs w:val="24"/>
        </w:rPr>
        <w:t>no 26 centriem</w:t>
      </w:r>
      <w:r w:rsidRPr="008A276E">
        <w:rPr>
          <w:rFonts w:ascii="Times New Roman" w:hAnsi="Times New Roman" w:cs="Times New Roman"/>
          <w:sz w:val="24"/>
          <w:szCs w:val="24"/>
        </w:rPr>
        <w:t xml:space="preserve">, un pārvietojamais atūdeņoto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 xml:space="preserve">dūņu apjoms ~ 5 tūkst. t/gadā. Attālums līdz </w:t>
      </w:r>
      <w:r w:rsidR="003A4615" w:rsidRPr="008A276E">
        <w:rPr>
          <w:rFonts w:ascii="Times New Roman" w:hAnsi="Times New Roman" w:cs="Times New Roman"/>
          <w:sz w:val="24"/>
          <w:szCs w:val="24"/>
        </w:rPr>
        <w:t>pārstrādes</w:t>
      </w:r>
      <w:r w:rsidRPr="008A276E">
        <w:rPr>
          <w:rFonts w:ascii="Times New Roman" w:hAnsi="Times New Roman" w:cs="Times New Roman"/>
          <w:sz w:val="24"/>
          <w:szCs w:val="24"/>
        </w:rPr>
        <w:t xml:space="preserve"> centram 13 – 55 km (vienā virzienā). Pārējās novadu lielākās NAI ir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 xml:space="preserve">dūņu </w:t>
      </w:r>
      <w:r w:rsidR="003A4615" w:rsidRPr="008A276E">
        <w:rPr>
          <w:rFonts w:ascii="Times New Roman" w:hAnsi="Times New Roman" w:cs="Times New Roman"/>
          <w:sz w:val="24"/>
          <w:szCs w:val="24"/>
        </w:rPr>
        <w:t xml:space="preserve">pārstrādes </w:t>
      </w:r>
      <w:r w:rsidRPr="008A276E">
        <w:rPr>
          <w:rFonts w:ascii="Times New Roman" w:hAnsi="Times New Roman" w:cs="Times New Roman"/>
          <w:sz w:val="24"/>
          <w:szCs w:val="24"/>
        </w:rPr>
        <w:t>centri un notekūdeņu dūņu pārvietošana nav nepieciešama.</w:t>
      </w:r>
    </w:p>
    <w:p w14:paraId="5E5EE6F2" w14:textId="59DAA386"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Notekūdeņu dūņu pārstrāde tiek veikta ne vairāk kā 2</w:t>
      </w:r>
      <w:r w:rsidR="006118F2">
        <w:rPr>
          <w:rFonts w:ascii="Times New Roman" w:hAnsi="Times New Roman" w:cs="Times New Roman"/>
          <w:sz w:val="24"/>
          <w:szCs w:val="24"/>
        </w:rPr>
        <w:t>6+1</w:t>
      </w:r>
      <w:r w:rsidRPr="008A276E">
        <w:rPr>
          <w:rFonts w:ascii="Times New Roman" w:hAnsi="Times New Roman" w:cs="Times New Roman"/>
          <w:sz w:val="24"/>
          <w:szCs w:val="24"/>
        </w:rPr>
        <w:t xml:space="preserve"> </w:t>
      </w:r>
      <w:r w:rsidR="003A4615" w:rsidRPr="008A276E">
        <w:rPr>
          <w:rFonts w:ascii="Times New Roman" w:hAnsi="Times New Roman" w:cs="Times New Roman"/>
          <w:sz w:val="24"/>
          <w:szCs w:val="24"/>
        </w:rPr>
        <w:t>pārstrādes</w:t>
      </w:r>
      <w:r w:rsidRPr="008A276E">
        <w:rPr>
          <w:rFonts w:ascii="Times New Roman" w:hAnsi="Times New Roman" w:cs="Times New Roman"/>
          <w:sz w:val="24"/>
          <w:szCs w:val="24"/>
        </w:rPr>
        <w:t xml:space="preserve"> centros (izvietojumu skatīt</w:t>
      </w:r>
      <w:r w:rsidR="003A4615" w:rsidRPr="008A276E">
        <w:rPr>
          <w:rFonts w:ascii="Times New Roman" w:hAnsi="Times New Roman" w:cs="Times New Roman"/>
          <w:sz w:val="24"/>
          <w:szCs w:val="24"/>
        </w:rPr>
        <w:t xml:space="preserve"> pie</w:t>
      </w:r>
      <w:r w:rsidRPr="008A276E">
        <w:rPr>
          <w:rFonts w:ascii="Times New Roman" w:hAnsi="Times New Roman" w:cs="Times New Roman"/>
          <w:sz w:val="24"/>
          <w:szCs w:val="24"/>
        </w:rPr>
        <w:t xml:space="preserve"> D.5. alternatīva</w:t>
      </w:r>
      <w:r w:rsidR="003A4615" w:rsidRPr="008A276E">
        <w:rPr>
          <w:rFonts w:ascii="Times New Roman" w:hAnsi="Times New Roman" w:cs="Times New Roman"/>
          <w:sz w:val="24"/>
          <w:szCs w:val="24"/>
        </w:rPr>
        <w:t>s</w:t>
      </w:r>
      <w:r w:rsidRPr="008A276E">
        <w:rPr>
          <w:rFonts w:ascii="Times New Roman" w:hAnsi="Times New Roman" w:cs="Times New Roman"/>
          <w:sz w:val="24"/>
          <w:szCs w:val="24"/>
        </w:rPr>
        <w:t xml:space="preserve">), kas izvietoti pie stratēģijā noteikto novadu NAI un, kurus apsaimnieko attiecīgo NAI operators – ūdenssaimniecības SPS. Izvēlētais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dūņu</w:t>
      </w:r>
      <w:r w:rsidR="003A4615" w:rsidRPr="008A276E">
        <w:rPr>
          <w:rFonts w:ascii="Times New Roman" w:hAnsi="Times New Roman" w:cs="Times New Roman"/>
          <w:sz w:val="24"/>
          <w:szCs w:val="24"/>
        </w:rPr>
        <w:t xml:space="preserve"> pārstrādes</w:t>
      </w:r>
      <w:r w:rsidRPr="008A276E">
        <w:rPr>
          <w:rFonts w:ascii="Times New Roman" w:hAnsi="Times New Roman" w:cs="Times New Roman"/>
          <w:sz w:val="24"/>
          <w:szCs w:val="24"/>
        </w:rPr>
        <w:t xml:space="preserve"> centru skaits pie pašreizējā notekūdeņu dūņu apjoma, novērtētā pārstrādes izmaksu apmēra un utilizācijas iespējām</w:t>
      </w:r>
      <w:r w:rsidR="003A4615" w:rsidRPr="008A276E">
        <w:rPr>
          <w:rFonts w:ascii="Times New Roman" w:hAnsi="Times New Roman" w:cs="Times New Roman"/>
          <w:sz w:val="24"/>
          <w:szCs w:val="24"/>
        </w:rPr>
        <w:t>,</w:t>
      </w:r>
      <w:r w:rsidRPr="008A276E">
        <w:rPr>
          <w:rFonts w:ascii="Times New Roman" w:hAnsi="Times New Roman" w:cs="Times New Roman"/>
          <w:sz w:val="24"/>
          <w:szCs w:val="24"/>
        </w:rPr>
        <w:t xml:space="preserve"> nodrošina izmaksu ziņā efektīvāko un ilgtspējīgāko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 xml:space="preserve">dūņu pārstrādi. </w:t>
      </w:r>
      <w:r w:rsidR="003A4615" w:rsidRPr="008A276E">
        <w:rPr>
          <w:rFonts w:ascii="Times New Roman" w:hAnsi="Times New Roman" w:cs="Times New Roman"/>
          <w:sz w:val="24"/>
          <w:szCs w:val="24"/>
        </w:rPr>
        <w:t>Pārstrādes</w:t>
      </w:r>
      <w:r w:rsidRPr="008A276E">
        <w:rPr>
          <w:rFonts w:ascii="Times New Roman" w:hAnsi="Times New Roman" w:cs="Times New Roman"/>
          <w:sz w:val="24"/>
          <w:szCs w:val="24"/>
        </w:rPr>
        <w:t xml:space="preserve"> centros tiek pārstrādātas visas Latvijas komunālajās NAI radītās notekūdeņu dūņas </w:t>
      </w:r>
      <w:r w:rsidR="00C25ADD" w:rsidRPr="00302D2B">
        <w:rPr>
          <w:rFonts w:ascii="Times New Roman" w:hAnsi="Times New Roman" w:cs="Times New Roman"/>
          <w:sz w:val="24"/>
        </w:rPr>
        <w:lastRenderedPageBreak/>
        <w:t>(~2,0-2,2 milj. t/gadā (1% sausne)), kas centros nonāk kā ~116</w:t>
      </w:r>
      <w:r w:rsidR="006228D2">
        <w:rPr>
          <w:rFonts w:ascii="Times New Roman" w:hAnsi="Times New Roman" w:cs="Times New Roman"/>
          <w:sz w:val="24"/>
        </w:rPr>
        <w:t> </w:t>
      </w:r>
      <w:r w:rsidR="00C25ADD" w:rsidRPr="00302D2B">
        <w:rPr>
          <w:rFonts w:ascii="Times New Roman" w:hAnsi="Times New Roman" w:cs="Times New Roman"/>
          <w:sz w:val="24"/>
        </w:rPr>
        <w:t>tūkst. t/gadā</w:t>
      </w:r>
      <w:r w:rsidRPr="008A276E">
        <w:rPr>
          <w:rFonts w:ascii="Times New Roman" w:hAnsi="Times New Roman" w:cs="Times New Roman"/>
          <w:sz w:val="24"/>
          <w:szCs w:val="24"/>
        </w:rPr>
        <w:t xml:space="preserve"> mehāniski atūdeņotas (vismaz 18% sausna)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dūņas.</w:t>
      </w:r>
    </w:p>
    <w:p w14:paraId="79CEB351" w14:textId="4DDE11C7" w:rsidR="008F453C" w:rsidRPr="008A276E" w:rsidRDefault="003A4615"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Notekūdeņu dūņu pārstrādes</w:t>
      </w:r>
      <w:r w:rsidR="008F453C" w:rsidRPr="008A276E">
        <w:rPr>
          <w:rFonts w:ascii="Times New Roman" w:hAnsi="Times New Roman" w:cs="Times New Roman"/>
          <w:sz w:val="24"/>
          <w:szCs w:val="24"/>
        </w:rPr>
        <w:t xml:space="preserve"> centrā pieņemot notekūdeņu dūņas no cita SPS, par pakalpojumu tiek noteikta maksa, kas ietver visas ar </w:t>
      </w:r>
      <w:r w:rsidRPr="008A276E">
        <w:rPr>
          <w:rFonts w:ascii="Times New Roman" w:hAnsi="Times New Roman" w:cs="Times New Roman"/>
          <w:sz w:val="24"/>
          <w:szCs w:val="24"/>
        </w:rPr>
        <w:t xml:space="preserve">notekūdeņu </w:t>
      </w:r>
      <w:r w:rsidR="008F453C" w:rsidRPr="008A276E">
        <w:rPr>
          <w:rFonts w:ascii="Times New Roman" w:hAnsi="Times New Roman" w:cs="Times New Roman"/>
          <w:sz w:val="24"/>
          <w:szCs w:val="24"/>
        </w:rPr>
        <w:t>dūņu pārstrādi un utilizāciju saistītās izmaksas. Ieteicamais notekūdeņu dūņu</w:t>
      </w:r>
      <w:r w:rsidRPr="008A276E">
        <w:rPr>
          <w:rFonts w:ascii="Times New Roman" w:hAnsi="Times New Roman" w:cs="Times New Roman"/>
          <w:sz w:val="24"/>
          <w:szCs w:val="24"/>
        </w:rPr>
        <w:t xml:space="preserve"> </w:t>
      </w:r>
      <w:r w:rsidR="008F453C" w:rsidRPr="008A276E">
        <w:rPr>
          <w:rFonts w:ascii="Times New Roman" w:hAnsi="Times New Roman" w:cs="Times New Roman"/>
          <w:sz w:val="24"/>
          <w:szCs w:val="24"/>
        </w:rPr>
        <w:t xml:space="preserve">pārstrādes veids – aukstā fermentācija jeb </w:t>
      </w:r>
      <w:r w:rsidR="00EF283C" w:rsidRPr="008A276E">
        <w:rPr>
          <w:rFonts w:ascii="Times New Roman" w:hAnsi="Times New Roman" w:cs="Times New Roman"/>
          <w:sz w:val="24"/>
          <w:szCs w:val="24"/>
        </w:rPr>
        <w:t>mehāniski atūdeņotu</w:t>
      </w:r>
      <w:r w:rsidRPr="008A276E">
        <w:rPr>
          <w:rFonts w:ascii="Times New Roman" w:hAnsi="Times New Roman" w:cs="Times New Roman"/>
          <w:sz w:val="24"/>
          <w:szCs w:val="24"/>
        </w:rPr>
        <w:t xml:space="preserve"> notekūdeņu</w:t>
      </w:r>
      <w:r w:rsidR="00EF283C" w:rsidRPr="008A276E">
        <w:rPr>
          <w:rFonts w:ascii="Times New Roman" w:hAnsi="Times New Roman" w:cs="Times New Roman"/>
          <w:sz w:val="24"/>
          <w:szCs w:val="24"/>
        </w:rPr>
        <w:t xml:space="preserve"> dūņu izturēšana</w:t>
      </w:r>
      <w:r w:rsidR="008F453C" w:rsidRPr="008A276E">
        <w:rPr>
          <w:rFonts w:ascii="Times New Roman" w:hAnsi="Times New Roman" w:cs="Times New Roman"/>
          <w:sz w:val="24"/>
          <w:szCs w:val="24"/>
        </w:rPr>
        <w:t xml:space="preserve"> vismaz 12 mēnešus vai </w:t>
      </w:r>
      <w:r w:rsidRPr="008A276E">
        <w:rPr>
          <w:rFonts w:ascii="Times New Roman" w:hAnsi="Times New Roman" w:cs="Times New Roman"/>
          <w:sz w:val="24"/>
          <w:szCs w:val="24"/>
        </w:rPr>
        <w:t xml:space="preserve">notekūdeņu </w:t>
      </w:r>
      <w:r w:rsidR="008F453C" w:rsidRPr="008A276E">
        <w:rPr>
          <w:rFonts w:ascii="Times New Roman" w:hAnsi="Times New Roman" w:cs="Times New Roman"/>
          <w:sz w:val="24"/>
          <w:szCs w:val="24"/>
        </w:rPr>
        <w:t xml:space="preserve">dūņu kompostēšana. Šos, vai citus </w:t>
      </w:r>
      <w:r w:rsidRPr="008A276E">
        <w:rPr>
          <w:rFonts w:ascii="Times New Roman" w:hAnsi="Times New Roman" w:cs="Times New Roman"/>
          <w:sz w:val="24"/>
          <w:szCs w:val="24"/>
        </w:rPr>
        <w:t xml:space="preserve">notekūdeņu </w:t>
      </w:r>
      <w:r w:rsidR="008F453C" w:rsidRPr="008A276E">
        <w:rPr>
          <w:rFonts w:ascii="Times New Roman" w:hAnsi="Times New Roman" w:cs="Times New Roman"/>
          <w:sz w:val="24"/>
          <w:szCs w:val="24"/>
        </w:rPr>
        <w:t xml:space="preserve">dūņu pārstrādes veidus izvēlas attiecīgā centra operators, ņemot vērā faktiskos apstākļus, infrastruktūru un </w:t>
      </w:r>
      <w:r w:rsidRPr="008A276E">
        <w:rPr>
          <w:rFonts w:ascii="Times New Roman" w:hAnsi="Times New Roman" w:cs="Times New Roman"/>
          <w:sz w:val="24"/>
          <w:szCs w:val="24"/>
        </w:rPr>
        <w:t xml:space="preserve">notekūdeņu </w:t>
      </w:r>
      <w:r w:rsidR="008F453C" w:rsidRPr="008A276E">
        <w:rPr>
          <w:rFonts w:ascii="Times New Roman" w:hAnsi="Times New Roman" w:cs="Times New Roman"/>
          <w:sz w:val="24"/>
          <w:szCs w:val="24"/>
        </w:rPr>
        <w:t>dūņu apjomu, izvēloties ekonomiski un tehniski pamatotāko risinājumu, atbilstoši atsevišķi veiktai tehniski ekonomiskajai analīzei par pašvaldības notekūdeņu dūņu apsaimniekošanas tehniskajiem risinājumiem.</w:t>
      </w:r>
    </w:p>
    <w:p w14:paraId="09C22FBA" w14:textId="32CF5544" w:rsidR="008F453C" w:rsidRPr="008A276E" w:rsidRDefault="003A4615"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Notekūdeņu d</w:t>
      </w:r>
      <w:r w:rsidR="008F453C" w:rsidRPr="008A276E">
        <w:rPr>
          <w:rFonts w:ascii="Times New Roman" w:hAnsi="Times New Roman" w:cs="Times New Roman"/>
          <w:sz w:val="24"/>
          <w:szCs w:val="24"/>
        </w:rPr>
        <w:t xml:space="preserve">ūņu atūdeņošanas un savākšanas infrastruktūras izveidei visās pašvaldībās par </w:t>
      </w:r>
      <w:r w:rsidRPr="008A276E">
        <w:rPr>
          <w:rFonts w:ascii="Times New Roman" w:hAnsi="Times New Roman" w:cs="Times New Roman"/>
          <w:sz w:val="24"/>
          <w:szCs w:val="24"/>
        </w:rPr>
        <w:t xml:space="preserve">notekūdeņu </w:t>
      </w:r>
      <w:r w:rsidR="008F453C" w:rsidRPr="008A276E">
        <w:rPr>
          <w:rFonts w:ascii="Times New Roman" w:hAnsi="Times New Roman" w:cs="Times New Roman"/>
          <w:sz w:val="24"/>
          <w:szCs w:val="24"/>
        </w:rPr>
        <w:t>dūņu apsaimniekošanu atbildīgajam SPS ir pieejams publiskais ārējais finansējums (ES fondu u.c.) saskaņā ar stratēģijā iekļautajiem principiem. Arī notekūdeņu dūņu centros nepieciešamās pārstrādes infrastruktūras izbūvei pieejams publiskais ārējais finansējums, atbilstoši stratēģijā iekļautajiem principiem un apjomam.</w:t>
      </w:r>
    </w:p>
    <w:p w14:paraId="79ADAB70" w14:textId="2964AB16"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 xml:space="preserve">Pārstrādātās notekūdeņu dūņas vai to komposts pēc atbilstošas testēšanas, kvalitātes apliecības sagatavošanas tiek nogādātas vai nodotas klientam iestrādei augsnē. Pārstrādāto notekūdeņu dūņu vai to komposta un augsnes testēšanu organizē un veic SPS, bet piegādi līdz iestrādes vietai pēc vienošanās veic SPS vai klients. Iestrādi augsnē veic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dūņu saņēmējs – klients. Stratēģijas alternatīvu analīzē novērtētais nepieciešamais lauksaimniecības zemju apjoms, pieņemot, ka visas pārstrādātās notekūdeņu dūņas tiek iestrādātas lauksaimniecības zemēs, ir ~</w:t>
      </w:r>
      <w:r w:rsidR="00EE566F">
        <w:rPr>
          <w:rFonts w:ascii="Times New Roman" w:hAnsi="Times New Roman" w:cs="Times New Roman"/>
          <w:sz w:val="24"/>
          <w:szCs w:val="24"/>
        </w:rPr>
        <w:t> </w:t>
      </w:r>
      <w:r w:rsidRPr="008A276E">
        <w:rPr>
          <w:rFonts w:ascii="Times New Roman" w:hAnsi="Times New Roman" w:cs="Times New Roman"/>
          <w:sz w:val="24"/>
          <w:szCs w:val="24"/>
        </w:rPr>
        <w:t>20</w:t>
      </w:r>
      <w:r w:rsidR="00EE566F">
        <w:rPr>
          <w:rFonts w:ascii="Times New Roman" w:hAnsi="Times New Roman" w:cs="Times New Roman"/>
          <w:sz w:val="24"/>
          <w:szCs w:val="24"/>
        </w:rPr>
        <w:t> </w:t>
      </w:r>
      <w:r w:rsidRPr="008A276E">
        <w:rPr>
          <w:rFonts w:ascii="Times New Roman" w:hAnsi="Times New Roman" w:cs="Times New Roman"/>
          <w:sz w:val="24"/>
          <w:szCs w:val="24"/>
        </w:rPr>
        <w:t>tūkst.</w:t>
      </w:r>
      <w:r w:rsidR="00EE566F">
        <w:rPr>
          <w:rFonts w:ascii="Times New Roman" w:hAnsi="Times New Roman" w:cs="Times New Roman"/>
          <w:sz w:val="24"/>
          <w:szCs w:val="24"/>
        </w:rPr>
        <w:t> </w:t>
      </w:r>
      <w:r w:rsidRPr="008A276E">
        <w:rPr>
          <w:rFonts w:ascii="Times New Roman" w:hAnsi="Times New Roman" w:cs="Times New Roman"/>
          <w:sz w:val="24"/>
          <w:szCs w:val="24"/>
        </w:rPr>
        <w:t>ha</w:t>
      </w:r>
      <w:r w:rsidR="00913BA4">
        <w:rPr>
          <w:rFonts w:ascii="Times New Roman" w:hAnsi="Times New Roman" w:cs="Times New Roman"/>
          <w:sz w:val="24"/>
          <w:szCs w:val="24"/>
        </w:rPr>
        <w:t xml:space="preserve"> (šajā aprēķinā nav iekļautas dūņas no BAS “Daugavgrīva”</w:t>
      </w:r>
      <w:r w:rsidR="00C16938">
        <w:rPr>
          <w:rFonts w:ascii="Times New Roman" w:hAnsi="Times New Roman" w:cs="Times New Roman"/>
          <w:sz w:val="24"/>
          <w:szCs w:val="24"/>
        </w:rPr>
        <w:t xml:space="preserve">, jo vairums no tām tiek </w:t>
      </w:r>
      <w:r w:rsidR="0051517D">
        <w:rPr>
          <w:rFonts w:ascii="Times New Roman" w:hAnsi="Times New Roman" w:cs="Times New Roman"/>
          <w:sz w:val="24"/>
          <w:szCs w:val="24"/>
        </w:rPr>
        <w:t>izmantots biogāzes ražošanai</w:t>
      </w:r>
      <w:r w:rsidR="00913BA4">
        <w:rPr>
          <w:rFonts w:ascii="Times New Roman" w:hAnsi="Times New Roman" w:cs="Times New Roman"/>
          <w:sz w:val="24"/>
          <w:szCs w:val="24"/>
        </w:rPr>
        <w:t>)</w:t>
      </w:r>
      <w:r w:rsidRPr="008A276E">
        <w:rPr>
          <w:rFonts w:ascii="Times New Roman" w:hAnsi="Times New Roman" w:cs="Times New Roman"/>
          <w:sz w:val="24"/>
          <w:szCs w:val="24"/>
        </w:rPr>
        <w:t xml:space="preserve">, bet </w:t>
      </w:r>
      <w:r w:rsidR="00EF283C" w:rsidRPr="008A276E">
        <w:rPr>
          <w:rFonts w:ascii="Times New Roman" w:hAnsi="Times New Roman" w:cs="Times New Roman"/>
          <w:sz w:val="24"/>
          <w:szCs w:val="24"/>
        </w:rPr>
        <w:t xml:space="preserve">no dūņu centriem </w:t>
      </w:r>
      <w:r w:rsidRPr="008A276E">
        <w:rPr>
          <w:rFonts w:ascii="Times New Roman" w:hAnsi="Times New Roman" w:cs="Times New Roman"/>
          <w:sz w:val="24"/>
          <w:szCs w:val="24"/>
        </w:rPr>
        <w:t>30 km attālum</w:t>
      </w:r>
      <w:r w:rsidR="00EF283C" w:rsidRPr="008A276E">
        <w:rPr>
          <w:rFonts w:ascii="Times New Roman" w:hAnsi="Times New Roman" w:cs="Times New Roman"/>
          <w:sz w:val="24"/>
          <w:szCs w:val="24"/>
        </w:rPr>
        <w:t>ā</w:t>
      </w:r>
      <w:r w:rsidRPr="008A276E">
        <w:rPr>
          <w:rFonts w:ascii="Times New Roman" w:hAnsi="Times New Roman" w:cs="Times New Roman"/>
          <w:sz w:val="24"/>
          <w:szCs w:val="24"/>
        </w:rPr>
        <w:t xml:space="preserve"> pieejamais lauksaimniecības zemju apmērs ir ~900 tūkst. ha, kas apliecina, ka fiziski ir plaši pieejamas teritorijas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 xml:space="preserve">dūņu utilizācijai un izmantošanai kā </w:t>
      </w:r>
      <w:r w:rsidR="004C30E2" w:rsidRPr="008A276E">
        <w:rPr>
          <w:rFonts w:ascii="Times New Roman" w:hAnsi="Times New Roman" w:cs="Times New Roman"/>
          <w:sz w:val="24"/>
          <w:szCs w:val="24"/>
        </w:rPr>
        <w:t xml:space="preserve">augu barošanās elementu </w:t>
      </w:r>
      <w:r w:rsidRPr="008A276E">
        <w:rPr>
          <w:rFonts w:ascii="Times New Roman" w:hAnsi="Times New Roman" w:cs="Times New Roman"/>
          <w:sz w:val="24"/>
          <w:szCs w:val="24"/>
        </w:rPr>
        <w:t xml:space="preserve">resursam augsnē. </w:t>
      </w:r>
      <w:r w:rsidR="003A4615" w:rsidRPr="008A276E">
        <w:rPr>
          <w:rFonts w:ascii="Times New Roman" w:hAnsi="Times New Roman" w:cs="Times New Roman"/>
          <w:sz w:val="24"/>
          <w:szCs w:val="24"/>
        </w:rPr>
        <w:t>Notekūdeņu d</w:t>
      </w:r>
      <w:r w:rsidRPr="008A276E">
        <w:rPr>
          <w:rFonts w:ascii="Times New Roman" w:hAnsi="Times New Roman" w:cs="Times New Roman"/>
          <w:sz w:val="24"/>
          <w:szCs w:val="24"/>
        </w:rPr>
        <w:t xml:space="preserve">ūņu iestrāde augsnē, atkarībā no centrā pārstrādātā </w:t>
      </w:r>
      <w:r w:rsidR="003A4615" w:rsidRPr="008A276E">
        <w:rPr>
          <w:rFonts w:ascii="Times New Roman" w:hAnsi="Times New Roman" w:cs="Times New Roman"/>
          <w:sz w:val="24"/>
          <w:szCs w:val="24"/>
        </w:rPr>
        <w:t xml:space="preserve">notekūdeņu </w:t>
      </w:r>
      <w:r w:rsidRPr="008A276E">
        <w:rPr>
          <w:rFonts w:ascii="Times New Roman" w:hAnsi="Times New Roman" w:cs="Times New Roman"/>
          <w:sz w:val="24"/>
          <w:szCs w:val="24"/>
        </w:rPr>
        <w:t xml:space="preserve">dūņu apjoma, ir iespējama 20-30 km attālumā no </w:t>
      </w:r>
      <w:r w:rsidR="003A4615" w:rsidRPr="008A276E">
        <w:rPr>
          <w:rFonts w:ascii="Times New Roman" w:hAnsi="Times New Roman" w:cs="Times New Roman"/>
          <w:sz w:val="24"/>
          <w:szCs w:val="24"/>
        </w:rPr>
        <w:t>pārstrādes</w:t>
      </w:r>
      <w:r w:rsidRPr="008A276E">
        <w:rPr>
          <w:rFonts w:ascii="Times New Roman" w:hAnsi="Times New Roman" w:cs="Times New Roman"/>
          <w:sz w:val="24"/>
          <w:szCs w:val="24"/>
        </w:rPr>
        <w:t xml:space="preserve"> centra, jo šādā attālumā ir pietiekama lauksaimniecībā izmantojamo zemju platība visu </w:t>
      </w:r>
      <w:r w:rsidR="003A4615" w:rsidRPr="008A276E">
        <w:rPr>
          <w:rFonts w:ascii="Times New Roman" w:hAnsi="Times New Roman" w:cs="Times New Roman"/>
          <w:sz w:val="24"/>
          <w:szCs w:val="24"/>
        </w:rPr>
        <w:t>notekūdeņu d</w:t>
      </w:r>
      <w:r w:rsidRPr="008A276E">
        <w:rPr>
          <w:rFonts w:ascii="Times New Roman" w:hAnsi="Times New Roman" w:cs="Times New Roman"/>
          <w:sz w:val="24"/>
          <w:szCs w:val="24"/>
        </w:rPr>
        <w:t>ūņu utilizācijai.</w:t>
      </w:r>
      <w:r w:rsidR="00CB4572">
        <w:rPr>
          <w:rFonts w:ascii="Times New Roman" w:hAnsi="Times New Roman" w:cs="Times New Roman"/>
          <w:sz w:val="24"/>
          <w:szCs w:val="24"/>
        </w:rPr>
        <w:t xml:space="preserve"> </w:t>
      </w:r>
      <w:r w:rsidR="00435C2C">
        <w:rPr>
          <w:rFonts w:ascii="Times New Roman" w:hAnsi="Times New Roman" w:cs="Times New Roman"/>
          <w:sz w:val="24"/>
          <w:szCs w:val="24"/>
        </w:rPr>
        <w:t>Attālums kādā dūņas būtu jāved no B</w:t>
      </w:r>
      <w:r w:rsidR="00C53DA4">
        <w:rPr>
          <w:rFonts w:ascii="Times New Roman" w:hAnsi="Times New Roman" w:cs="Times New Roman"/>
          <w:sz w:val="24"/>
          <w:szCs w:val="24"/>
        </w:rPr>
        <w:t>A</w:t>
      </w:r>
      <w:r w:rsidR="009B6605">
        <w:rPr>
          <w:rFonts w:ascii="Times New Roman" w:hAnsi="Times New Roman" w:cs="Times New Roman"/>
          <w:sz w:val="24"/>
          <w:szCs w:val="24"/>
        </w:rPr>
        <w:t>S</w:t>
      </w:r>
      <w:r w:rsidR="00C53DA4">
        <w:rPr>
          <w:rFonts w:ascii="Times New Roman" w:hAnsi="Times New Roman" w:cs="Times New Roman"/>
          <w:sz w:val="24"/>
          <w:szCs w:val="24"/>
        </w:rPr>
        <w:t xml:space="preserve"> “Rīga”</w:t>
      </w:r>
      <w:r w:rsidR="00EF43AA">
        <w:rPr>
          <w:rFonts w:ascii="Times New Roman" w:hAnsi="Times New Roman" w:cs="Times New Roman"/>
          <w:sz w:val="24"/>
          <w:szCs w:val="24"/>
        </w:rPr>
        <w:t xml:space="preserve"> ir lielāks nekā 30 km</w:t>
      </w:r>
      <w:r w:rsidR="00B6571A">
        <w:rPr>
          <w:rFonts w:ascii="Times New Roman" w:hAnsi="Times New Roman" w:cs="Times New Roman"/>
          <w:sz w:val="24"/>
          <w:szCs w:val="24"/>
        </w:rPr>
        <w:t>.</w:t>
      </w:r>
      <w:r w:rsidRPr="008A276E">
        <w:rPr>
          <w:rFonts w:ascii="Times New Roman" w:hAnsi="Times New Roman" w:cs="Times New Roman"/>
          <w:sz w:val="24"/>
          <w:szCs w:val="24"/>
        </w:rPr>
        <w:t xml:space="preserve"> </w:t>
      </w:r>
      <w:r w:rsidR="007C40A6" w:rsidRPr="008A276E">
        <w:rPr>
          <w:rFonts w:ascii="Times New Roman" w:hAnsi="Times New Roman" w:cs="Times New Roman"/>
          <w:sz w:val="24"/>
        </w:rPr>
        <w:t>Pieņemot sliktāko variantu, ka notekūdeņu dūņas tiek iestrādātas tikai lauksaimniecības zemēs un nepieciešamā platība ir 20% no 30km attālumā pieejamās zemju platības, secināms, ka šī platība ir nomaināma 5 reizes. Ievērojot, ka notekūdeņu dūņas Latvijā atbilst 1. un 2.klasei, un pieņemot, ka piesārņojums 100% apmērā augsnē akumulējas, atļautie augsnes emisiju limitu griesti tiktu sasniegti pēc 10 gadu ikgadējas dūņu izkliedes vienā teritorijā. Ņemot vērā minēto, aprēķinātajā attālumā pat sliktākā scenārija gadījumā lauksaimniecības zemes ir pieejamas vismaz 50 gadu periodam, neņemot vērā, ka notekūdeņu dūņu un to komposta iestrāde augsnē var tikt veikta ne tikai lauksaimniecības zemē, jo</w:t>
      </w:r>
      <w:r w:rsidRPr="008A276E">
        <w:rPr>
          <w:rFonts w:ascii="Times New Roman" w:hAnsi="Times New Roman" w:cs="Times New Roman"/>
          <w:sz w:val="24"/>
          <w:szCs w:val="24"/>
        </w:rPr>
        <w:t xml:space="preserve"> ir atļauta pārstrādātu notekūdeņu dūņu izmantošana arī rekultivācijas, apzaļumošanas un citiem darbiem.</w:t>
      </w:r>
      <w:r w:rsidR="007C40A6" w:rsidRPr="008A276E">
        <w:rPr>
          <w:rFonts w:ascii="Times New Roman" w:hAnsi="Times New Roman" w:cs="Times New Roman"/>
          <w:sz w:val="24"/>
          <w:szCs w:val="24"/>
        </w:rPr>
        <w:t xml:space="preserve"> </w:t>
      </w:r>
    </w:p>
    <w:p w14:paraId="1696E2B9" w14:textId="77777777"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lastRenderedPageBreak/>
        <w:t>Notekūdeņu dūņu kā resursa popularizēšanas un izmantošanas veicināšanai SPS, kā arī atbildīgās institūcijas regulāri veic sabiedrības informēšanas pasākumus, un valsts atbalsts pieejams pētījumiem par plašāku pārstrādātu notekūdeņu dūņu izmantošanas iespējām un to izmantošanas ietekmes novērtēšanai.</w:t>
      </w:r>
    </w:p>
    <w:p w14:paraId="35849093" w14:textId="77777777" w:rsidR="008F453C" w:rsidRPr="008A276E"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sz w:val="24"/>
          <w:szCs w:val="24"/>
        </w:rPr>
        <w:t>Notekūdeņu dūņas, kas atbilst 5.klases pazīmēm apsaimniekošanas risinājumi netiek mainīti un tās jānogādā bīstamo atkritumu poligonā atbilstoši bīstamo atkritumu apsaimniekošanas nosacījumiem un normatīvajiem aktiem.</w:t>
      </w:r>
    </w:p>
    <w:p w14:paraId="39AB282D" w14:textId="2BF11F5E" w:rsidR="008F453C" w:rsidRDefault="008F453C" w:rsidP="008B1B4B">
      <w:pPr>
        <w:pStyle w:val="ListParagraph"/>
        <w:numPr>
          <w:ilvl w:val="3"/>
          <w:numId w:val="13"/>
        </w:numPr>
        <w:suppressAutoHyphens/>
        <w:autoSpaceDN w:val="0"/>
        <w:spacing w:before="120" w:after="120"/>
        <w:ind w:left="426"/>
        <w:contextualSpacing w:val="0"/>
        <w:jc w:val="both"/>
        <w:rPr>
          <w:rFonts w:ascii="Times New Roman" w:hAnsi="Times New Roman" w:cs="Times New Roman"/>
          <w:sz w:val="24"/>
          <w:szCs w:val="24"/>
        </w:rPr>
      </w:pPr>
      <w:r w:rsidRPr="008A276E">
        <w:rPr>
          <w:rFonts w:ascii="Times New Roman" w:hAnsi="Times New Roman" w:cs="Times New Roman"/>
          <w:noProof/>
          <w:lang w:eastAsia="lv-LV"/>
        </w:rPr>
        <w:drawing>
          <wp:anchor distT="0" distB="0" distL="114300" distR="114300" simplePos="0" relativeHeight="251658251" behindDoc="0" locked="0" layoutInCell="1" allowOverlap="1" wp14:anchorId="4AC02985" wp14:editId="1FF593AF">
            <wp:simplePos x="0" y="0"/>
            <wp:positionH relativeFrom="margin">
              <wp:align>right</wp:align>
            </wp:positionH>
            <wp:positionV relativeFrom="paragraph">
              <wp:posOffset>1049020</wp:posOffset>
            </wp:positionV>
            <wp:extent cx="5261610" cy="2279650"/>
            <wp:effectExtent l="0" t="0" r="0" b="6350"/>
            <wp:wrapThrough wrapText="bothSides">
              <wp:wrapPolygon edited="0">
                <wp:start x="0" y="0"/>
                <wp:lineTo x="0" y="21480"/>
                <wp:lineTo x="21506" y="21480"/>
                <wp:lineTo x="21506"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61610" cy="2279650"/>
                    </a:xfrm>
                    <a:prstGeom prst="rect">
                      <a:avLst/>
                    </a:prstGeom>
                    <a:noFill/>
                  </pic:spPr>
                </pic:pic>
              </a:graphicData>
            </a:graphic>
            <wp14:sizeRelH relativeFrom="margin">
              <wp14:pctWidth>0</wp14:pctWidth>
            </wp14:sizeRelH>
            <wp14:sizeRelV relativeFrom="margin">
              <wp14:pctHeight>0</wp14:pctHeight>
            </wp14:sizeRelV>
          </wp:anchor>
        </w:drawing>
      </w:r>
      <w:r w:rsidRPr="008A276E">
        <w:rPr>
          <w:rFonts w:ascii="Times New Roman" w:hAnsi="Times New Roman" w:cs="Times New Roman"/>
          <w:sz w:val="24"/>
          <w:szCs w:val="24"/>
        </w:rPr>
        <w:t>Notekūdeņu dūņu apsaimniekošana, tāpat kā līdz šim, tiek veikta kā ūdenssaimniecības sabiedrisko pakalpojumu daļa, un par procesa organizāciju atbildīgi ūdenssaimniecības SPS, kam šīs funkcijas deleģē attiecībās pašvaldības dome.</w:t>
      </w:r>
    </w:p>
    <w:p w14:paraId="763118D7" w14:textId="6453B560" w:rsidR="008F453C" w:rsidRPr="006E5CD8" w:rsidRDefault="00005BB2" w:rsidP="006E5CD8">
      <w:pPr>
        <w:jc w:val="center"/>
        <w:rPr>
          <w:rFonts w:ascii="Times New Roman" w:hAnsi="Times New Roman" w:cs="Times New Roman"/>
          <w:iCs/>
          <w:szCs w:val="24"/>
        </w:rPr>
      </w:pPr>
      <w:r>
        <w:rPr>
          <w:rFonts w:ascii="Times New Roman" w:hAnsi="Times New Roman" w:cs="Times New Roman"/>
          <w:b/>
          <w:bCs/>
          <w:iCs/>
          <w:szCs w:val="24"/>
        </w:rPr>
        <w:t>6.2</w:t>
      </w:r>
      <w:r w:rsidR="006E5CD8" w:rsidRPr="006E5CD8">
        <w:rPr>
          <w:rFonts w:ascii="Times New Roman" w:hAnsi="Times New Roman" w:cs="Times New Roman"/>
          <w:b/>
          <w:bCs/>
          <w:iCs/>
          <w:szCs w:val="24"/>
        </w:rPr>
        <w:t>.attēls.</w:t>
      </w:r>
      <w:r w:rsidR="006E5CD8" w:rsidRPr="006E5CD8">
        <w:rPr>
          <w:rFonts w:ascii="Times New Roman" w:hAnsi="Times New Roman" w:cs="Times New Roman"/>
          <w:iCs/>
          <w:szCs w:val="24"/>
        </w:rPr>
        <w:t xml:space="preserve"> Notekūdeņu dūņu apsaimniekošanas modelis un tā darbības shēma</w:t>
      </w:r>
    </w:p>
    <w:p w14:paraId="5492EFC8" w14:textId="5D6D2533" w:rsidR="002140A1" w:rsidRPr="006E5CD8" w:rsidRDefault="008F453C" w:rsidP="008F453C">
      <w:pPr>
        <w:spacing w:before="120" w:after="120"/>
        <w:ind w:firstLine="709"/>
        <w:rPr>
          <w:rFonts w:ascii="Times New Roman" w:eastAsia="Calibri" w:hAnsi="Times New Roman" w:cs="Times New Roman"/>
          <w:szCs w:val="24"/>
          <w:lang w:eastAsia="lv-LV"/>
        </w:rPr>
      </w:pPr>
      <w:r w:rsidRPr="006E5CD8">
        <w:rPr>
          <w:rFonts w:ascii="Times New Roman" w:hAnsi="Times New Roman" w:cs="Times New Roman"/>
          <w:szCs w:val="24"/>
        </w:rPr>
        <w:t>Visa dūņu apsaimniekošanas procesa uzraudzību un tiesis</w:t>
      </w:r>
      <w:r w:rsidR="00A756F0">
        <w:rPr>
          <w:rFonts w:ascii="Times New Roman" w:hAnsi="Times New Roman" w:cs="Times New Roman"/>
          <w:szCs w:val="24"/>
        </w:rPr>
        <w:t>k</w:t>
      </w:r>
      <w:r w:rsidRPr="006E5CD8">
        <w:rPr>
          <w:rFonts w:ascii="Times New Roman" w:hAnsi="Times New Roman" w:cs="Times New Roman"/>
          <w:szCs w:val="24"/>
        </w:rPr>
        <w:t>ā regulējumā noteikto prasību ievērošanu, tāpat kā līdz šim, nodrošina Valsts vides dienests.</w:t>
      </w:r>
    </w:p>
    <w:p w14:paraId="2405B947" w14:textId="77777777" w:rsidR="008F453C" w:rsidRPr="00175DD0" w:rsidRDefault="002140A1" w:rsidP="002140A1">
      <w:pPr>
        <w:tabs>
          <w:tab w:val="left" w:pos="734"/>
        </w:tabs>
        <w:rPr>
          <w:rFonts w:eastAsia="Calibri" w:cstheme="minorHAnsi"/>
          <w:lang w:eastAsia="lv-LV"/>
        </w:rPr>
        <w:sectPr w:rsidR="008F453C" w:rsidRPr="00175DD0" w:rsidSect="007E349D">
          <w:pgSz w:w="11906" w:h="16838"/>
          <w:pgMar w:top="1134" w:right="1701" w:bottom="1134" w:left="1701" w:header="708" w:footer="708" w:gutter="0"/>
          <w:cols w:space="708"/>
          <w:docGrid w:linePitch="360"/>
        </w:sectPr>
      </w:pPr>
      <w:r w:rsidRPr="00175DD0">
        <w:rPr>
          <w:rFonts w:eastAsia="Calibri" w:cstheme="minorHAnsi"/>
          <w:lang w:eastAsia="lv-LV"/>
        </w:rPr>
        <w:tab/>
      </w:r>
    </w:p>
    <w:p w14:paraId="0AA1A8AC" w14:textId="063EBAA9" w:rsidR="008F453C" w:rsidRDefault="008F453C" w:rsidP="006E5CD8">
      <w:pPr>
        <w:pStyle w:val="Heading1"/>
        <w:spacing w:before="0"/>
        <w:rPr>
          <w:rFonts w:ascii="Times New Roman" w:eastAsia="Times New Roman" w:hAnsi="Times New Roman" w:cs="Times New Roman"/>
          <w:b/>
          <w:bCs/>
          <w:color w:val="auto"/>
          <w:sz w:val="24"/>
          <w:szCs w:val="24"/>
          <w:lang w:eastAsia="en-GB"/>
        </w:rPr>
      </w:pPr>
      <w:bookmarkStart w:id="72" w:name="_Toc82430176"/>
      <w:bookmarkStart w:id="73" w:name="_Toc107916328"/>
      <w:r w:rsidRPr="006E5CD8">
        <w:rPr>
          <w:rFonts w:ascii="Times New Roman" w:eastAsia="Times New Roman" w:hAnsi="Times New Roman" w:cs="Times New Roman"/>
          <w:b/>
          <w:bCs/>
          <w:color w:val="auto"/>
          <w:sz w:val="24"/>
          <w:szCs w:val="24"/>
          <w:lang w:eastAsia="en-GB"/>
        </w:rPr>
        <w:lastRenderedPageBreak/>
        <w:t>PIELIKUMI</w:t>
      </w:r>
      <w:bookmarkEnd w:id="72"/>
      <w:bookmarkEnd w:id="73"/>
    </w:p>
    <w:p w14:paraId="2F8B8697" w14:textId="77777777" w:rsidR="006E5CD8" w:rsidRPr="006E5CD8" w:rsidRDefault="006E5CD8" w:rsidP="006E5CD8">
      <w:pPr>
        <w:rPr>
          <w:lang w:eastAsia="en-GB"/>
        </w:rPr>
      </w:pPr>
    </w:p>
    <w:p w14:paraId="76D073B9" w14:textId="4A48A07B" w:rsidR="008F453C" w:rsidRPr="006E5CD8" w:rsidRDefault="00110570" w:rsidP="006E5CD8">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907503" w:rsidRPr="006E5CD8">
        <w:rPr>
          <w:rFonts w:ascii="Times New Roman" w:hAnsi="Times New Roman" w:cs="Times New Roman"/>
          <w:sz w:val="24"/>
          <w:szCs w:val="24"/>
        </w:rPr>
        <w:t>Notekūdeņu d</w:t>
      </w:r>
      <w:r w:rsidR="008F453C" w:rsidRPr="006E5CD8">
        <w:rPr>
          <w:rFonts w:ascii="Times New Roman" w:hAnsi="Times New Roman" w:cs="Times New Roman"/>
          <w:sz w:val="24"/>
          <w:szCs w:val="24"/>
        </w:rPr>
        <w:t>ūņu apsaimniekošanas alternatīvu izvēles metodika</w:t>
      </w:r>
    </w:p>
    <w:p w14:paraId="35F4649D" w14:textId="5F416AB2"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 xml:space="preserve">Detalizēts </w:t>
      </w:r>
      <w:r w:rsidR="00937B53" w:rsidRPr="006E5CD8">
        <w:rPr>
          <w:rFonts w:ascii="Times New Roman" w:hAnsi="Times New Roman" w:cs="Times New Roman"/>
          <w:sz w:val="24"/>
          <w:szCs w:val="24"/>
        </w:rPr>
        <w:t>alternatīvu novērtējums</w:t>
      </w:r>
      <w:r w:rsidR="008F453C" w:rsidRPr="006E5CD8">
        <w:rPr>
          <w:rFonts w:ascii="Times New Roman" w:hAnsi="Times New Roman" w:cs="Times New Roman"/>
          <w:sz w:val="24"/>
          <w:szCs w:val="24"/>
        </w:rPr>
        <w:t xml:space="preserve"> notekūdeņu dūņu apsaimniekošanā</w:t>
      </w:r>
      <w:r w:rsidR="007B6AC2" w:rsidRPr="006E5CD8">
        <w:rPr>
          <w:rFonts w:ascii="Times New Roman" w:hAnsi="Times New Roman" w:cs="Times New Roman"/>
          <w:sz w:val="24"/>
          <w:szCs w:val="24"/>
        </w:rPr>
        <w:t>,</w:t>
      </w:r>
      <w:r w:rsidR="008F453C" w:rsidRPr="006E5CD8">
        <w:rPr>
          <w:rFonts w:ascii="Times New Roman" w:hAnsi="Times New Roman" w:cs="Times New Roman"/>
          <w:sz w:val="24"/>
          <w:szCs w:val="24"/>
        </w:rPr>
        <w:t xml:space="preserve"> izmantojot pastāvošo infrastruktūru ārpus SPS uzņēmumiem</w:t>
      </w:r>
    </w:p>
    <w:p w14:paraId="7BC49DCB" w14:textId="6BA70A99"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Detalizēts notekūdeņu dūņu utilizācijas alternatīvu novērtējums</w:t>
      </w:r>
    </w:p>
    <w:p w14:paraId="40E66EE1" w14:textId="024E8AEB"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Detalizēts notekūdeņu dūņu pārstrādes alternatīvu novērtējums</w:t>
      </w:r>
    </w:p>
    <w:p w14:paraId="63388A93" w14:textId="1A340C40"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Detalizēts</w:t>
      </w:r>
      <w:r w:rsidR="00907503" w:rsidRPr="006E5CD8">
        <w:rPr>
          <w:rFonts w:ascii="Times New Roman" w:hAnsi="Times New Roman" w:cs="Times New Roman"/>
          <w:sz w:val="24"/>
          <w:szCs w:val="24"/>
        </w:rPr>
        <w:t xml:space="preserve"> notekūdeņu</w:t>
      </w:r>
      <w:r w:rsidR="008F453C" w:rsidRPr="006E5CD8">
        <w:rPr>
          <w:rFonts w:ascii="Times New Roman" w:hAnsi="Times New Roman" w:cs="Times New Roman"/>
          <w:sz w:val="24"/>
          <w:szCs w:val="24"/>
        </w:rPr>
        <w:t xml:space="preserve"> dūņu apstrādes un centralizācijas alternatīvu novērtējums</w:t>
      </w:r>
    </w:p>
    <w:p w14:paraId="0B290545" w14:textId="59C6B38A"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Detalizēts notekūdeņu dūņu apsaimniekošanas institucionālās pārvaldības alternatīvu novērtējums</w:t>
      </w:r>
    </w:p>
    <w:p w14:paraId="3FBBCFB4" w14:textId="36E2A022"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Finanšu aprēķini “Dažādu notekūdeņu dūņu apstrādes veidu izmaksas”</w:t>
      </w:r>
    </w:p>
    <w:p w14:paraId="231C099A" w14:textId="2F25FA84" w:rsidR="008F453C" w:rsidRPr="006E5CD8" w:rsidRDefault="00110570" w:rsidP="008B1B4B">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Finanšu aprēķini “Notekūdeņu dūņu apstrādes izmaksas pašvaldībās”</w:t>
      </w:r>
    </w:p>
    <w:p w14:paraId="244EEECB" w14:textId="77777777" w:rsidR="00110570" w:rsidRDefault="00110570" w:rsidP="00110570">
      <w:pPr>
        <w:pStyle w:val="ListParagraph"/>
        <w:numPr>
          <w:ilvl w:val="1"/>
          <w:numId w:val="29"/>
        </w:numPr>
        <w:pBdr>
          <w:top w:val="nil"/>
          <w:left w:val="nil"/>
          <w:bottom w:val="nil"/>
          <w:right w:val="nil"/>
          <w:between w:val="nil"/>
        </w:pBdr>
        <w:spacing w:after="0"/>
        <w:rPr>
          <w:rFonts w:ascii="Times New Roman" w:hAnsi="Times New Roman" w:cs="Times New Roman"/>
          <w:sz w:val="24"/>
          <w:szCs w:val="24"/>
        </w:rPr>
      </w:pPr>
      <w:r>
        <w:rPr>
          <w:rFonts w:ascii="Times New Roman" w:hAnsi="Times New Roman" w:cs="Times New Roman"/>
          <w:sz w:val="24"/>
          <w:szCs w:val="24"/>
        </w:rPr>
        <w:t xml:space="preserve"> </w:t>
      </w:r>
      <w:r w:rsidR="008F453C" w:rsidRPr="006E5CD8">
        <w:rPr>
          <w:rFonts w:ascii="Times New Roman" w:hAnsi="Times New Roman" w:cs="Times New Roman"/>
          <w:sz w:val="24"/>
          <w:szCs w:val="24"/>
        </w:rPr>
        <w:t>Finanšu aprēķini “Uzturēšanas izmaksas notekūdeņu dūņu pārstrādē”</w:t>
      </w:r>
    </w:p>
    <w:p w14:paraId="46D49D47" w14:textId="376CD4D7" w:rsidR="008F453C" w:rsidRDefault="00110570" w:rsidP="00110570">
      <w:pPr>
        <w:pBdr>
          <w:top w:val="nil"/>
          <w:left w:val="nil"/>
          <w:bottom w:val="nil"/>
          <w:right w:val="nil"/>
          <w:between w:val="nil"/>
        </w:pBdr>
        <w:spacing w:after="0"/>
        <w:ind w:left="48"/>
        <w:rPr>
          <w:rFonts w:ascii="Times New Roman" w:hAnsi="Times New Roman" w:cs="Times New Roman"/>
          <w:szCs w:val="24"/>
        </w:rPr>
      </w:pPr>
      <w:r>
        <w:rPr>
          <w:rFonts w:ascii="Times New Roman" w:hAnsi="Times New Roman" w:cs="Times New Roman"/>
          <w:szCs w:val="24"/>
        </w:rPr>
        <w:t>4.10.</w:t>
      </w:r>
      <w:r>
        <w:t xml:space="preserve"> </w:t>
      </w:r>
      <w:r w:rsidR="008F453C" w:rsidRPr="00110570">
        <w:rPr>
          <w:rFonts w:ascii="Times New Roman" w:hAnsi="Times New Roman" w:cs="Times New Roman"/>
          <w:szCs w:val="24"/>
        </w:rPr>
        <w:t>Finanšu aprēķini “Kapitālās investīcijas notekūdeņu dūņu pārstrādē”</w:t>
      </w:r>
    </w:p>
    <w:p w14:paraId="04ED82DE" w14:textId="2FEAF288" w:rsidR="008831A4" w:rsidRPr="00110570" w:rsidRDefault="008831A4" w:rsidP="00110570">
      <w:pPr>
        <w:pBdr>
          <w:top w:val="nil"/>
          <w:left w:val="nil"/>
          <w:bottom w:val="nil"/>
          <w:right w:val="nil"/>
          <w:between w:val="nil"/>
        </w:pBdr>
        <w:spacing w:after="0"/>
        <w:ind w:left="48"/>
        <w:rPr>
          <w:rFonts w:ascii="Times New Roman" w:hAnsi="Times New Roman" w:cs="Times New Roman"/>
          <w:szCs w:val="24"/>
        </w:rPr>
      </w:pPr>
      <w:r>
        <w:rPr>
          <w:rFonts w:ascii="Times New Roman" w:hAnsi="Times New Roman" w:cs="Times New Roman"/>
          <w:szCs w:val="24"/>
        </w:rPr>
        <w:t xml:space="preserve">4.11. </w:t>
      </w:r>
      <w:r w:rsidR="00D37BF9" w:rsidRPr="00D37BF9">
        <w:rPr>
          <w:rFonts w:ascii="Times New Roman" w:hAnsi="Times New Roman" w:cs="Times New Roman"/>
          <w:szCs w:val="24"/>
        </w:rPr>
        <w:t>Stratēģijas ieviešanas plāna risku novērtējums</w:t>
      </w:r>
    </w:p>
    <w:p w14:paraId="65A28BE0" w14:textId="77777777" w:rsidR="008F453C" w:rsidRPr="00175DD0" w:rsidRDefault="008F453C" w:rsidP="002140A1">
      <w:pPr>
        <w:tabs>
          <w:tab w:val="left" w:pos="734"/>
        </w:tabs>
        <w:rPr>
          <w:rFonts w:eastAsia="Calibri" w:cstheme="minorHAnsi"/>
          <w:lang w:eastAsia="lv-LV"/>
        </w:rPr>
      </w:pPr>
    </w:p>
    <w:p w14:paraId="27DCFD79" w14:textId="77777777" w:rsidR="008F453C" w:rsidRPr="00175DD0" w:rsidRDefault="008F453C" w:rsidP="008F453C">
      <w:pPr>
        <w:rPr>
          <w:rFonts w:eastAsia="Calibri" w:cstheme="minorHAnsi"/>
          <w:lang w:eastAsia="lv-LV"/>
        </w:rPr>
      </w:pPr>
    </w:p>
    <w:p w14:paraId="63F4D06A"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41EC5AF5"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236A4ACA"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3FC3DC6F"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57EC58E0"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211A7F50"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1092F629"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70FA2B0E"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48529FB6"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24C5EB0D"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57D714B5"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71424C6D"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177AE849"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612E0791"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3DE537B8" w14:textId="77777777" w:rsidR="004D788B" w:rsidRPr="00175DD0" w:rsidRDefault="004D788B" w:rsidP="004D788B">
      <w:pPr>
        <w:spacing w:after="160" w:line="259" w:lineRule="auto"/>
        <w:jc w:val="left"/>
        <w:rPr>
          <w:rFonts w:ascii="Bahnschrift Light Condensed" w:eastAsia="Calibri" w:hAnsi="Bahnschrift Light Condensed" w:cs="Times New Roman"/>
          <w:sz w:val="28"/>
          <w:lang w:eastAsia="lv-LV"/>
        </w:rPr>
      </w:pPr>
    </w:p>
    <w:p w14:paraId="1D9752DB" w14:textId="77777777" w:rsidR="004D788B" w:rsidRPr="00175DD0" w:rsidRDefault="004D788B" w:rsidP="008F453C">
      <w:pPr>
        <w:rPr>
          <w:rFonts w:eastAsia="Calibri" w:cstheme="minorHAnsi"/>
          <w:lang w:eastAsia="lv-LV"/>
        </w:rPr>
        <w:sectPr w:rsidR="004D788B" w:rsidRPr="00175DD0" w:rsidSect="007E349D">
          <w:pgSz w:w="11906" w:h="16838"/>
          <w:pgMar w:top="1134" w:right="1701" w:bottom="1134" w:left="1701" w:header="708" w:footer="708" w:gutter="0"/>
          <w:cols w:space="708"/>
          <w:docGrid w:linePitch="360"/>
        </w:sectPr>
      </w:pPr>
    </w:p>
    <w:p w14:paraId="2065ECFF" w14:textId="598E69AE" w:rsidR="00340D3D" w:rsidRPr="00340D3D" w:rsidRDefault="00EA051D" w:rsidP="00A00782">
      <w:pPr>
        <w:spacing w:after="0"/>
        <w:jc w:val="right"/>
        <w:rPr>
          <w:rFonts w:ascii="Times New Roman" w:hAnsi="Times New Roman" w:cs="Times New Roman"/>
          <w:szCs w:val="24"/>
        </w:rPr>
      </w:pPr>
      <w:bookmarkStart w:id="74" w:name="_Toc82277617"/>
      <w:r w:rsidRPr="00340D3D">
        <w:rPr>
          <w:rFonts w:ascii="Times New Roman" w:hAnsi="Times New Roman" w:cs="Times New Roman"/>
          <w:szCs w:val="24"/>
        </w:rPr>
        <w:lastRenderedPageBreak/>
        <w:t>4.1. Pielikums</w:t>
      </w:r>
      <w:bookmarkEnd w:id="74"/>
    </w:p>
    <w:p w14:paraId="5F5B2AAC" w14:textId="0F37572B" w:rsidR="00EA051D" w:rsidRPr="00340D3D" w:rsidRDefault="004227EA" w:rsidP="00340D3D">
      <w:pPr>
        <w:pStyle w:val="Heading2"/>
        <w:spacing w:before="0"/>
        <w:jc w:val="center"/>
        <w:rPr>
          <w:rFonts w:ascii="Times New Roman" w:hAnsi="Times New Roman" w:cs="Times New Roman"/>
          <w:b/>
          <w:bCs/>
          <w:color w:val="auto"/>
          <w:sz w:val="24"/>
          <w:szCs w:val="24"/>
        </w:rPr>
      </w:pPr>
      <w:bookmarkStart w:id="75" w:name="_Toc82277618"/>
      <w:bookmarkStart w:id="76" w:name="_Toc107916329"/>
      <w:r>
        <w:rPr>
          <w:rFonts w:ascii="Times New Roman" w:hAnsi="Times New Roman" w:cs="Times New Roman"/>
          <w:b/>
          <w:bCs/>
          <w:color w:val="auto"/>
          <w:sz w:val="24"/>
          <w:szCs w:val="24"/>
        </w:rPr>
        <w:t xml:space="preserve">4.1. </w:t>
      </w:r>
      <w:r w:rsidR="00340D3D" w:rsidRPr="00340D3D">
        <w:rPr>
          <w:rFonts w:ascii="Times New Roman" w:hAnsi="Times New Roman" w:cs="Times New Roman"/>
          <w:b/>
          <w:bCs/>
          <w:color w:val="auto"/>
          <w:sz w:val="24"/>
          <w:szCs w:val="24"/>
        </w:rPr>
        <w:t>Dūņu apsaimniekošanas alternatīvu izvēles metodika</w:t>
      </w:r>
      <w:bookmarkEnd w:id="75"/>
      <w:bookmarkEnd w:id="76"/>
    </w:p>
    <w:p w14:paraId="52FDE51F" w14:textId="77777777" w:rsidR="00340D3D" w:rsidRDefault="00340D3D" w:rsidP="00340D3D">
      <w:pPr>
        <w:spacing w:after="0"/>
        <w:rPr>
          <w:rFonts w:cstheme="minorHAnsi"/>
        </w:rPr>
      </w:pPr>
    </w:p>
    <w:p w14:paraId="4780E1A6" w14:textId="0141C3B7" w:rsidR="00EA051D" w:rsidRPr="00110570" w:rsidRDefault="00EA051D" w:rsidP="00340D3D">
      <w:pPr>
        <w:spacing w:after="0"/>
        <w:ind w:firstLine="720"/>
        <w:rPr>
          <w:rFonts w:ascii="Times New Roman" w:hAnsi="Times New Roman" w:cs="Times New Roman"/>
        </w:rPr>
      </w:pPr>
      <w:r w:rsidRPr="00110570">
        <w:rPr>
          <w:rFonts w:ascii="Times New Roman" w:hAnsi="Times New Roman" w:cs="Times New Roman"/>
        </w:rPr>
        <w:t xml:space="preserve">Lai būtu iespējams veikt dažādo notekūdeņu dūņu apsaimniekošanas posmu alternatīvo risinājumu savstarpēju salīdzināšanu, ir izstrādāta metodika alternatīvu novērtēšanai un salīdzināšanai. Ikviens alternatīvais risinājums ir novērtēts, ņemot vērā sagaidāmā alternatīvā risinājuma izmaksas, novērtējot gan tā prognozējamās ikgadējās uzturēšanas izmaksas, gan kopējās nepieciešamās investīcijas. Papildus ir izstrādātas divas alternatīvu novērtēšanas skalas, no kurām vienā ir veikta alternatīvu salīdzināšana pēc nozīmīgiem salīdzinošiem kritērijiem, kas raksturo pašu alternatīvu un tās ieviešanas iespējamību, bet otrā ir alternatīvo risinājumu risku novērtējums. </w:t>
      </w:r>
    </w:p>
    <w:p w14:paraId="365D7CFD" w14:textId="71F68413" w:rsidR="00EA051D" w:rsidRPr="00110570" w:rsidRDefault="00EA051D" w:rsidP="00EA051D">
      <w:pPr>
        <w:spacing w:after="120"/>
        <w:rPr>
          <w:rFonts w:ascii="Times New Roman" w:hAnsi="Times New Roman" w:cs="Times New Roman"/>
        </w:rPr>
      </w:pPr>
      <w:r w:rsidRPr="00110570">
        <w:rPr>
          <w:rFonts w:ascii="Times New Roman" w:hAnsi="Times New Roman" w:cs="Times New Roman"/>
        </w:rPr>
        <w:t>Alternatīvu savstarpējai salīdzināšanai ir izmantoti kritēriji, kas raksturo, cik precīzi izvirzītā alternatīva atbilst notekūdeņu dūņu stratēģijā izvirzītajai Vīzijai un Misijai, un mērķiem, ko ir nepieciešams sasniegt pēc notekūdeņu dūņu apsaimniekošanas stratēģijas ieviešanas Latvijā. Katra alternatīva ir novērtēta atbilstoši 4.1</w:t>
      </w:r>
      <w:r w:rsidR="002D47ED">
        <w:rPr>
          <w:rFonts w:ascii="Times New Roman" w:hAnsi="Times New Roman" w:cs="Times New Roman"/>
        </w:rPr>
        <w:t>.1</w:t>
      </w:r>
      <w:r w:rsidRPr="00110570">
        <w:rPr>
          <w:rFonts w:ascii="Times New Roman" w:hAnsi="Times New Roman" w:cs="Times New Roman"/>
        </w:rPr>
        <w:t>.tabulā norādītajiem salīdzināmajiem kritērijiem.</w:t>
      </w:r>
    </w:p>
    <w:p w14:paraId="38B5DD06" w14:textId="7020AE13" w:rsidR="00110570" w:rsidRPr="00A00782" w:rsidRDefault="002D47ED" w:rsidP="00A00782">
      <w:pPr>
        <w:pStyle w:val="ListParagraph"/>
        <w:numPr>
          <w:ilvl w:val="1"/>
          <w:numId w:val="30"/>
        </w:num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00A00782" w:rsidRPr="00A00782">
        <w:rPr>
          <w:rFonts w:ascii="Times New Roman" w:hAnsi="Times New Roman" w:cs="Times New Roman"/>
          <w:bCs/>
          <w:color w:val="000000"/>
          <w:sz w:val="24"/>
          <w:szCs w:val="24"/>
        </w:rPr>
        <w:t>t</w:t>
      </w:r>
      <w:r w:rsidR="00EA051D" w:rsidRPr="00A00782">
        <w:rPr>
          <w:rFonts w:ascii="Times New Roman" w:hAnsi="Times New Roman" w:cs="Times New Roman"/>
          <w:bCs/>
          <w:color w:val="000000"/>
          <w:sz w:val="24"/>
          <w:szCs w:val="24"/>
        </w:rPr>
        <w:t>abula</w:t>
      </w:r>
    </w:p>
    <w:p w14:paraId="3B90CE07" w14:textId="225BD98E" w:rsidR="00EA051D" w:rsidRPr="00A00782" w:rsidRDefault="00EA051D" w:rsidP="00A00782">
      <w:pPr>
        <w:pBdr>
          <w:top w:val="nil"/>
          <w:left w:val="nil"/>
          <w:bottom w:val="nil"/>
          <w:right w:val="nil"/>
          <w:between w:val="nil"/>
        </w:pBdr>
        <w:suppressAutoHyphens/>
        <w:autoSpaceDN w:val="0"/>
        <w:spacing w:after="0"/>
        <w:jc w:val="center"/>
        <w:textAlignment w:val="baseline"/>
        <w:rPr>
          <w:rFonts w:cstheme="minorHAnsi"/>
          <w:b/>
          <w:color w:val="000000"/>
          <w:sz w:val="20"/>
          <w:szCs w:val="20"/>
        </w:rPr>
      </w:pPr>
      <w:r w:rsidRPr="00A00782">
        <w:rPr>
          <w:rFonts w:ascii="Times New Roman" w:hAnsi="Times New Roman" w:cs="Times New Roman"/>
          <w:b/>
          <w:color w:val="000000"/>
          <w:szCs w:val="24"/>
        </w:rPr>
        <w:t>Alternatīvo risinājumu salīdzinošā izvērtējuma matrica</w:t>
      </w:r>
    </w:p>
    <w:tbl>
      <w:tblPr>
        <w:tblStyle w:val="46"/>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551"/>
        <w:gridCol w:w="2126"/>
        <w:gridCol w:w="1985"/>
      </w:tblGrid>
      <w:tr w:rsidR="00EA051D" w:rsidRPr="00A00782" w14:paraId="4E4D46E8" w14:textId="77777777" w:rsidTr="00A00782">
        <w:tc>
          <w:tcPr>
            <w:tcW w:w="2122" w:type="dxa"/>
            <w:vAlign w:val="center"/>
          </w:tcPr>
          <w:p w14:paraId="3D3CAD66" w14:textId="77777777" w:rsidR="00EA051D" w:rsidRPr="00A00782" w:rsidRDefault="00000000" w:rsidP="007B6AC2">
            <w:pPr>
              <w:spacing w:after="60"/>
              <w:jc w:val="center"/>
              <w:rPr>
                <w:rFonts w:ascii="Times New Roman" w:hAnsi="Times New Roman" w:cs="Times New Roman"/>
                <w:b/>
                <w:sz w:val="20"/>
                <w:szCs w:val="20"/>
              </w:rPr>
            </w:pPr>
            <w:sdt>
              <w:sdtPr>
                <w:rPr>
                  <w:rFonts w:ascii="Times New Roman" w:hAnsi="Times New Roman" w:cs="Times New Roman"/>
                </w:rPr>
                <w:tag w:val="goog_rdk_10"/>
                <w:id w:val="-1083677423"/>
              </w:sdtPr>
              <w:sdtContent>
                <w:r w:rsidR="00EA051D" w:rsidRPr="00A00782">
                  <w:rPr>
                    <w:rFonts w:ascii="Times New Roman" w:hAnsi="Times New Roman" w:cs="Times New Roman"/>
                    <w:b/>
                    <w:sz w:val="20"/>
                    <w:szCs w:val="20"/>
                  </w:rPr>
                  <w:t>A</w:t>
                </w:r>
              </w:sdtContent>
            </w:sdt>
            <w:r w:rsidR="00EA051D" w:rsidRPr="00A00782">
              <w:rPr>
                <w:rFonts w:ascii="Times New Roman" w:hAnsi="Times New Roman" w:cs="Times New Roman"/>
                <w:b/>
                <w:sz w:val="20"/>
                <w:szCs w:val="20"/>
              </w:rPr>
              <w:t>lternatīvu salīdzināšanas kritērijs</w:t>
            </w:r>
          </w:p>
        </w:tc>
        <w:tc>
          <w:tcPr>
            <w:tcW w:w="2551" w:type="dxa"/>
            <w:vAlign w:val="center"/>
          </w:tcPr>
          <w:p w14:paraId="5BD4E723"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Alternatīva 1</w:t>
            </w:r>
          </w:p>
        </w:tc>
        <w:tc>
          <w:tcPr>
            <w:tcW w:w="2126" w:type="dxa"/>
            <w:vAlign w:val="center"/>
          </w:tcPr>
          <w:p w14:paraId="11B415B1"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Alternatīva 2</w:t>
            </w:r>
          </w:p>
        </w:tc>
        <w:tc>
          <w:tcPr>
            <w:tcW w:w="1985" w:type="dxa"/>
            <w:vAlign w:val="center"/>
          </w:tcPr>
          <w:p w14:paraId="44B0D0F6"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Alternatīva 3</w:t>
            </w:r>
          </w:p>
        </w:tc>
      </w:tr>
      <w:tr w:rsidR="00EA051D" w:rsidRPr="00A00782" w14:paraId="2BB2AD91" w14:textId="77777777" w:rsidTr="00A00782">
        <w:tc>
          <w:tcPr>
            <w:tcW w:w="2122" w:type="dxa"/>
            <w:vAlign w:val="center"/>
          </w:tcPr>
          <w:p w14:paraId="05A60E72" w14:textId="77777777" w:rsidR="00EA051D" w:rsidRPr="00A00782" w:rsidRDefault="00EA051D" w:rsidP="007B6AC2">
            <w:pPr>
              <w:spacing w:after="60"/>
              <w:jc w:val="center"/>
              <w:rPr>
                <w:rFonts w:ascii="Times New Roman" w:hAnsi="Times New Roman" w:cs="Times New Roman"/>
                <w:sz w:val="20"/>
                <w:szCs w:val="20"/>
              </w:rPr>
            </w:pPr>
            <w:r w:rsidRPr="00A00782">
              <w:rPr>
                <w:rFonts w:ascii="Times New Roman" w:hAnsi="Times New Roman" w:cs="Times New Roman"/>
                <w:sz w:val="20"/>
                <w:szCs w:val="20"/>
              </w:rPr>
              <w:t xml:space="preserve">Atbilst ES un </w:t>
            </w:r>
            <w:sdt>
              <w:sdtPr>
                <w:rPr>
                  <w:rFonts w:ascii="Times New Roman" w:hAnsi="Times New Roman" w:cs="Times New Roman"/>
                </w:rPr>
                <w:tag w:val="goog_rdk_10"/>
                <w:id w:val="346909566"/>
              </w:sdtPr>
              <w:sdtContent/>
            </w:sdt>
            <w:r w:rsidRPr="00A00782">
              <w:rPr>
                <w:rFonts w:ascii="Times New Roman" w:hAnsi="Times New Roman" w:cs="Times New Roman"/>
                <w:sz w:val="20"/>
                <w:szCs w:val="20"/>
              </w:rPr>
              <w:t>LR stratēģiju ilgtermiņa mērķiem</w:t>
            </w:r>
          </w:p>
        </w:tc>
        <w:tc>
          <w:tcPr>
            <w:tcW w:w="2551" w:type="dxa"/>
            <w:shd w:val="clear" w:color="auto" w:fill="FF0000"/>
            <w:vAlign w:val="center"/>
          </w:tcPr>
          <w:p w14:paraId="4E84EEED"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Neatbilst</w:t>
            </w:r>
          </w:p>
          <w:p w14:paraId="5CCEC6D3"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2126" w:type="dxa"/>
            <w:shd w:val="clear" w:color="auto" w:fill="92D050"/>
            <w:vAlign w:val="center"/>
          </w:tcPr>
          <w:p w14:paraId="03AE667F"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549EC172"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1985" w:type="dxa"/>
            <w:shd w:val="clear" w:color="auto" w:fill="FFFF00"/>
            <w:vAlign w:val="center"/>
          </w:tcPr>
          <w:p w14:paraId="69700BCD"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0A81AC11"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r>
      <w:tr w:rsidR="00EA051D" w:rsidRPr="00A00782" w14:paraId="3FBEA5EB" w14:textId="77777777" w:rsidTr="00A00782">
        <w:tc>
          <w:tcPr>
            <w:tcW w:w="2122" w:type="dxa"/>
            <w:vAlign w:val="center"/>
          </w:tcPr>
          <w:p w14:paraId="00B95FA8" w14:textId="77777777" w:rsidR="00EA051D" w:rsidRPr="00A00782" w:rsidRDefault="00EA051D" w:rsidP="007B6AC2">
            <w:pPr>
              <w:spacing w:after="60"/>
              <w:jc w:val="center"/>
              <w:rPr>
                <w:rFonts w:ascii="Times New Roman" w:hAnsi="Times New Roman" w:cs="Times New Roman"/>
                <w:sz w:val="20"/>
                <w:szCs w:val="20"/>
              </w:rPr>
            </w:pPr>
            <w:r w:rsidRPr="00A00782">
              <w:rPr>
                <w:rFonts w:ascii="Times New Roman" w:hAnsi="Times New Roman" w:cs="Times New Roman"/>
                <w:sz w:val="20"/>
                <w:szCs w:val="20"/>
              </w:rPr>
              <w:t>Atbilst stratēģijas izvirzītajai Vīzijai un Misijai</w:t>
            </w:r>
          </w:p>
        </w:tc>
        <w:tc>
          <w:tcPr>
            <w:tcW w:w="2551" w:type="dxa"/>
            <w:shd w:val="clear" w:color="auto" w:fill="FFFF00"/>
            <w:vAlign w:val="center"/>
          </w:tcPr>
          <w:p w14:paraId="62976A8C"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65DF77BE"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2126" w:type="dxa"/>
            <w:shd w:val="clear" w:color="auto" w:fill="92D050"/>
            <w:vAlign w:val="center"/>
          </w:tcPr>
          <w:p w14:paraId="49019521"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5CC2FC69"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1985" w:type="dxa"/>
            <w:shd w:val="clear" w:color="auto" w:fill="FFFF00"/>
            <w:vAlign w:val="center"/>
          </w:tcPr>
          <w:p w14:paraId="3F5A37CA"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031B0C97"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r>
      <w:tr w:rsidR="00EA051D" w:rsidRPr="00A00782" w14:paraId="564239A6" w14:textId="77777777" w:rsidTr="00A00782">
        <w:tc>
          <w:tcPr>
            <w:tcW w:w="2122" w:type="dxa"/>
            <w:vAlign w:val="center"/>
          </w:tcPr>
          <w:p w14:paraId="0FEFF088" w14:textId="77777777" w:rsidR="00EA051D" w:rsidRPr="00A00782" w:rsidRDefault="00EA051D" w:rsidP="007B6AC2">
            <w:pPr>
              <w:spacing w:after="60"/>
              <w:jc w:val="center"/>
              <w:rPr>
                <w:rFonts w:ascii="Times New Roman" w:hAnsi="Times New Roman" w:cs="Times New Roman"/>
                <w:sz w:val="20"/>
                <w:szCs w:val="20"/>
              </w:rPr>
            </w:pPr>
            <w:r w:rsidRPr="00A00782">
              <w:rPr>
                <w:rFonts w:ascii="Times New Roman" w:hAnsi="Times New Roman" w:cs="Times New Roman"/>
                <w:sz w:val="20"/>
                <w:szCs w:val="20"/>
              </w:rPr>
              <w:t>Zemākas uzturēšanas izmaksas</w:t>
            </w:r>
          </w:p>
        </w:tc>
        <w:tc>
          <w:tcPr>
            <w:tcW w:w="2551" w:type="dxa"/>
            <w:shd w:val="clear" w:color="auto" w:fill="FFFF00"/>
            <w:vAlign w:val="center"/>
          </w:tcPr>
          <w:p w14:paraId="02EB58D1"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19BB0160"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2126" w:type="dxa"/>
            <w:shd w:val="clear" w:color="auto" w:fill="92D050"/>
            <w:vAlign w:val="center"/>
          </w:tcPr>
          <w:p w14:paraId="3630833D"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7E2790F3"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1985" w:type="dxa"/>
            <w:shd w:val="clear" w:color="auto" w:fill="FF0000"/>
            <w:vAlign w:val="center"/>
          </w:tcPr>
          <w:p w14:paraId="4EF0B9A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b/>
                <w:sz w:val="18"/>
                <w:szCs w:val="18"/>
              </w:rPr>
              <w:t>Neatbilst</w:t>
            </w:r>
          </w:p>
          <w:p w14:paraId="040F33C8"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r>
      <w:tr w:rsidR="00EA051D" w:rsidRPr="00A00782" w14:paraId="3535B538" w14:textId="77777777" w:rsidTr="00A00782">
        <w:tc>
          <w:tcPr>
            <w:tcW w:w="2122" w:type="dxa"/>
            <w:vAlign w:val="center"/>
          </w:tcPr>
          <w:p w14:paraId="45AA85C6" w14:textId="77777777" w:rsidR="00EA051D" w:rsidRPr="00A00782" w:rsidRDefault="00EA051D" w:rsidP="007B6AC2">
            <w:pPr>
              <w:spacing w:after="60"/>
              <w:jc w:val="center"/>
              <w:rPr>
                <w:rFonts w:ascii="Times New Roman" w:hAnsi="Times New Roman" w:cs="Times New Roman"/>
                <w:sz w:val="20"/>
                <w:szCs w:val="20"/>
              </w:rPr>
            </w:pPr>
            <w:r w:rsidRPr="00A00782">
              <w:rPr>
                <w:rFonts w:ascii="Times New Roman" w:hAnsi="Times New Roman" w:cs="Times New Roman"/>
                <w:sz w:val="20"/>
                <w:szCs w:val="20"/>
              </w:rPr>
              <w:t>Zemākas kapitālās investīcijas</w:t>
            </w:r>
          </w:p>
        </w:tc>
        <w:tc>
          <w:tcPr>
            <w:tcW w:w="2551" w:type="dxa"/>
            <w:shd w:val="clear" w:color="auto" w:fill="FF0000"/>
            <w:vAlign w:val="center"/>
          </w:tcPr>
          <w:p w14:paraId="39DAC90F"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Neatbilst</w:t>
            </w:r>
          </w:p>
          <w:p w14:paraId="19600CE8"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2126" w:type="dxa"/>
            <w:shd w:val="clear" w:color="auto" w:fill="92D050"/>
            <w:vAlign w:val="center"/>
          </w:tcPr>
          <w:p w14:paraId="14DBEC90"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540F0057"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1985" w:type="dxa"/>
            <w:shd w:val="clear" w:color="auto" w:fill="FF0000"/>
            <w:vAlign w:val="center"/>
          </w:tcPr>
          <w:p w14:paraId="5E8CF401"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b/>
                <w:sz w:val="18"/>
                <w:szCs w:val="18"/>
              </w:rPr>
              <w:t>Neatbilst</w:t>
            </w:r>
          </w:p>
          <w:p w14:paraId="6079A181"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r>
      <w:tr w:rsidR="00EA051D" w:rsidRPr="00A00782" w14:paraId="4155A0F4" w14:textId="77777777" w:rsidTr="00A00782">
        <w:tc>
          <w:tcPr>
            <w:tcW w:w="2122" w:type="dxa"/>
            <w:vAlign w:val="center"/>
          </w:tcPr>
          <w:p w14:paraId="6875F9A3" w14:textId="77777777" w:rsidR="00EA051D" w:rsidRPr="00A00782" w:rsidRDefault="00000000" w:rsidP="007B6AC2">
            <w:pPr>
              <w:spacing w:after="60"/>
              <w:jc w:val="center"/>
              <w:rPr>
                <w:rFonts w:ascii="Times New Roman" w:hAnsi="Times New Roman" w:cs="Times New Roman"/>
                <w:sz w:val="20"/>
                <w:szCs w:val="20"/>
              </w:rPr>
            </w:pPr>
            <w:sdt>
              <w:sdtPr>
                <w:rPr>
                  <w:rFonts w:ascii="Times New Roman" w:hAnsi="Times New Roman" w:cs="Times New Roman"/>
                </w:rPr>
                <w:tag w:val="goog_rdk_11"/>
                <w:id w:val="-395280770"/>
              </w:sdtPr>
              <w:sdtContent>
                <w:r w:rsidR="00EA051D" w:rsidRPr="00A00782">
                  <w:rPr>
                    <w:rFonts w:ascii="Times New Roman" w:hAnsi="Times New Roman" w:cs="Times New Roman"/>
                    <w:sz w:val="20"/>
                    <w:szCs w:val="20"/>
                  </w:rPr>
                  <w:t>V</w:t>
                </w:r>
              </w:sdtContent>
            </w:sdt>
            <w:r w:rsidR="00EA051D" w:rsidRPr="00A00782">
              <w:rPr>
                <w:rFonts w:ascii="Times New Roman" w:hAnsi="Times New Roman" w:cs="Times New Roman"/>
                <w:sz w:val="20"/>
                <w:szCs w:val="20"/>
              </w:rPr>
              <w:t>ienkāršāks  ieviešanas scenārijs</w:t>
            </w:r>
          </w:p>
        </w:tc>
        <w:tc>
          <w:tcPr>
            <w:tcW w:w="2551" w:type="dxa"/>
            <w:shd w:val="clear" w:color="auto" w:fill="FFFF00"/>
            <w:vAlign w:val="center"/>
          </w:tcPr>
          <w:p w14:paraId="10F6C952"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6695FFDD"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2126" w:type="dxa"/>
            <w:shd w:val="clear" w:color="auto" w:fill="92D050"/>
            <w:vAlign w:val="center"/>
          </w:tcPr>
          <w:p w14:paraId="2385C084"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5D374BC3"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c>
          <w:tcPr>
            <w:tcW w:w="1985" w:type="dxa"/>
            <w:shd w:val="clear" w:color="auto" w:fill="FFFF00"/>
            <w:vAlign w:val="center"/>
          </w:tcPr>
          <w:p w14:paraId="2D626071"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321A9868" w14:textId="77777777" w:rsidR="00EA051D" w:rsidRPr="00A00782" w:rsidRDefault="00EA051D" w:rsidP="007B6AC2">
            <w:pPr>
              <w:spacing w:after="60"/>
              <w:jc w:val="center"/>
              <w:rPr>
                <w:rFonts w:ascii="Times New Roman" w:hAnsi="Times New Roman" w:cs="Times New Roman"/>
                <w:i/>
                <w:sz w:val="18"/>
                <w:szCs w:val="18"/>
              </w:rPr>
            </w:pPr>
            <w:r w:rsidRPr="00A00782">
              <w:rPr>
                <w:rFonts w:ascii="Times New Roman" w:hAnsi="Times New Roman" w:cs="Times New Roman"/>
                <w:i/>
                <w:sz w:val="18"/>
                <w:szCs w:val="18"/>
              </w:rPr>
              <w:t>Paskaidrojums</w:t>
            </w:r>
          </w:p>
        </w:tc>
      </w:tr>
      <w:tr w:rsidR="00EA051D" w:rsidRPr="00A00782" w14:paraId="5FEB13D1" w14:textId="77777777" w:rsidTr="00A00782">
        <w:tc>
          <w:tcPr>
            <w:tcW w:w="2122" w:type="dxa"/>
            <w:vAlign w:val="center"/>
          </w:tcPr>
          <w:p w14:paraId="0D0C7BF2" w14:textId="77777777" w:rsidR="00EA051D" w:rsidRPr="00A00782" w:rsidRDefault="00EA051D" w:rsidP="007B6AC2">
            <w:pPr>
              <w:spacing w:after="60"/>
              <w:jc w:val="center"/>
              <w:rPr>
                <w:rFonts w:ascii="Times New Roman" w:hAnsi="Times New Roman" w:cs="Times New Roman"/>
                <w:sz w:val="20"/>
                <w:szCs w:val="20"/>
              </w:rPr>
            </w:pPr>
            <w:r w:rsidRPr="00A00782">
              <w:rPr>
                <w:rFonts w:ascii="Times New Roman" w:hAnsi="Times New Roman" w:cs="Times New Roman"/>
                <w:sz w:val="20"/>
                <w:szCs w:val="20"/>
              </w:rPr>
              <w:t>Alternatīvu neierobežo noteikt</w:t>
            </w:r>
            <w:r w:rsidR="007B6AC2" w:rsidRPr="00A00782">
              <w:rPr>
                <w:rFonts w:ascii="Times New Roman" w:hAnsi="Times New Roman" w:cs="Times New Roman"/>
                <w:sz w:val="20"/>
                <w:szCs w:val="20"/>
              </w:rPr>
              <w:t>s</w:t>
            </w:r>
            <w:r w:rsidRPr="00A00782">
              <w:rPr>
                <w:rFonts w:ascii="Times New Roman" w:hAnsi="Times New Roman" w:cs="Times New Roman"/>
                <w:sz w:val="20"/>
                <w:szCs w:val="20"/>
              </w:rPr>
              <w:t xml:space="preserve"> dūņu apjom</w:t>
            </w:r>
            <w:r w:rsidR="007B6AC2" w:rsidRPr="00A00782">
              <w:rPr>
                <w:rFonts w:ascii="Times New Roman" w:hAnsi="Times New Roman" w:cs="Times New Roman"/>
                <w:sz w:val="20"/>
                <w:szCs w:val="20"/>
              </w:rPr>
              <w:t>s</w:t>
            </w:r>
          </w:p>
        </w:tc>
        <w:tc>
          <w:tcPr>
            <w:tcW w:w="2551" w:type="dxa"/>
            <w:shd w:val="clear" w:color="auto" w:fill="FF0000"/>
            <w:vAlign w:val="center"/>
          </w:tcPr>
          <w:p w14:paraId="32FBBB72"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Neatbilst</w:t>
            </w:r>
          </w:p>
          <w:p w14:paraId="7E52D7A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i/>
                <w:sz w:val="18"/>
                <w:szCs w:val="18"/>
              </w:rPr>
              <w:t>Paskaidrojums</w:t>
            </w:r>
          </w:p>
        </w:tc>
        <w:tc>
          <w:tcPr>
            <w:tcW w:w="2126" w:type="dxa"/>
            <w:shd w:val="clear" w:color="auto" w:fill="FFFF00"/>
            <w:vAlign w:val="center"/>
          </w:tcPr>
          <w:p w14:paraId="4B2840AA"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6245A4AE"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i/>
                <w:sz w:val="18"/>
                <w:szCs w:val="18"/>
              </w:rPr>
              <w:t>Paskaidrojums</w:t>
            </w:r>
          </w:p>
        </w:tc>
        <w:tc>
          <w:tcPr>
            <w:tcW w:w="1985" w:type="dxa"/>
            <w:shd w:val="clear" w:color="auto" w:fill="FF0000"/>
            <w:vAlign w:val="center"/>
          </w:tcPr>
          <w:p w14:paraId="24CB88C5"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Neatbilst</w:t>
            </w:r>
          </w:p>
          <w:p w14:paraId="2F4AB413"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i/>
                <w:sz w:val="18"/>
                <w:szCs w:val="18"/>
              </w:rPr>
              <w:t>Paskaidrojums</w:t>
            </w:r>
          </w:p>
        </w:tc>
      </w:tr>
      <w:tr w:rsidR="00EA051D" w:rsidRPr="00A00782" w14:paraId="50011F8B" w14:textId="77777777" w:rsidTr="00A00782">
        <w:tc>
          <w:tcPr>
            <w:tcW w:w="2122" w:type="dxa"/>
            <w:vAlign w:val="center"/>
          </w:tcPr>
          <w:p w14:paraId="58642DBD" w14:textId="77777777" w:rsidR="00EA051D" w:rsidRPr="00A00782" w:rsidRDefault="00EA051D" w:rsidP="007B6AC2">
            <w:pPr>
              <w:spacing w:after="60"/>
              <w:jc w:val="center"/>
              <w:rPr>
                <w:rFonts w:ascii="Times New Roman" w:hAnsi="Times New Roman" w:cs="Times New Roman"/>
                <w:sz w:val="20"/>
                <w:szCs w:val="20"/>
              </w:rPr>
            </w:pPr>
            <w:r w:rsidRPr="00A00782">
              <w:rPr>
                <w:rFonts w:ascii="Times New Roman" w:hAnsi="Times New Roman" w:cs="Times New Roman"/>
                <w:sz w:val="20"/>
                <w:szCs w:val="20"/>
              </w:rPr>
              <w:t>Dūņu apsaimniekošanas uzraudzības ārējā kontrole ir viegli īstenojama un neprasa lielus resursus</w:t>
            </w:r>
          </w:p>
        </w:tc>
        <w:tc>
          <w:tcPr>
            <w:tcW w:w="2551" w:type="dxa"/>
            <w:shd w:val="clear" w:color="auto" w:fill="92D050"/>
            <w:vAlign w:val="center"/>
          </w:tcPr>
          <w:p w14:paraId="163B8C52"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0582E56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i/>
                <w:sz w:val="18"/>
                <w:szCs w:val="18"/>
              </w:rPr>
              <w:t>Paskaidrojums</w:t>
            </w:r>
          </w:p>
        </w:tc>
        <w:tc>
          <w:tcPr>
            <w:tcW w:w="2126" w:type="dxa"/>
            <w:shd w:val="clear" w:color="auto" w:fill="FFFF00"/>
            <w:vAlign w:val="center"/>
          </w:tcPr>
          <w:p w14:paraId="09A7826E"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Daļēji atbilst</w:t>
            </w:r>
          </w:p>
          <w:p w14:paraId="7A43598C"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i/>
                <w:sz w:val="18"/>
                <w:szCs w:val="18"/>
              </w:rPr>
              <w:t>Paskaidrojums</w:t>
            </w:r>
          </w:p>
        </w:tc>
        <w:tc>
          <w:tcPr>
            <w:tcW w:w="1985" w:type="dxa"/>
            <w:shd w:val="clear" w:color="auto" w:fill="92D050"/>
            <w:vAlign w:val="center"/>
          </w:tcPr>
          <w:p w14:paraId="04CF5AC8"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b/>
                <w:sz w:val="18"/>
                <w:szCs w:val="18"/>
              </w:rPr>
              <w:t>Atbilst</w:t>
            </w:r>
          </w:p>
          <w:p w14:paraId="21DA5525" w14:textId="77777777" w:rsidR="00EA051D" w:rsidRPr="00A00782" w:rsidRDefault="00EA051D" w:rsidP="007B6AC2">
            <w:pPr>
              <w:spacing w:after="60"/>
              <w:jc w:val="center"/>
              <w:rPr>
                <w:rFonts w:ascii="Times New Roman" w:hAnsi="Times New Roman" w:cs="Times New Roman"/>
                <w:b/>
                <w:sz w:val="18"/>
                <w:szCs w:val="18"/>
              </w:rPr>
            </w:pPr>
            <w:r w:rsidRPr="00A00782">
              <w:rPr>
                <w:rFonts w:ascii="Times New Roman" w:hAnsi="Times New Roman" w:cs="Times New Roman"/>
                <w:i/>
                <w:sz w:val="18"/>
                <w:szCs w:val="18"/>
              </w:rPr>
              <w:t>Paskaidrojums</w:t>
            </w:r>
          </w:p>
        </w:tc>
      </w:tr>
    </w:tbl>
    <w:p w14:paraId="48388678" w14:textId="77777777" w:rsidR="00A00782" w:rsidRDefault="00A00782" w:rsidP="00EA051D">
      <w:pPr>
        <w:spacing w:after="0"/>
        <w:rPr>
          <w:rFonts w:cstheme="minorHAnsi"/>
        </w:rPr>
      </w:pPr>
    </w:p>
    <w:p w14:paraId="5623ECB0" w14:textId="52A61320" w:rsidR="00EA051D" w:rsidRPr="00A00782" w:rsidRDefault="00EA051D" w:rsidP="00EA051D">
      <w:pPr>
        <w:spacing w:after="0"/>
        <w:rPr>
          <w:rFonts w:ascii="Times New Roman" w:hAnsi="Times New Roman" w:cs="Times New Roman"/>
        </w:rPr>
      </w:pPr>
      <w:r w:rsidRPr="00A00782">
        <w:rPr>
          <w:rFonts w:ascii="Times New Roman" w:hAnsi="Times New Roman" w:cs="Times New Roman"/>
        </w:rPr>
        <w:t>Alternatīvu salīdzināšanas kritēriji ietver šādus aspektus:</w:t>
      </w:r>
    </w:p>
    <w:p w14:paraId="3B3C09EF" w14:textId="7A490FE7" w:rsidR="00EA051D" w:rsidRPr="009234A8" w:rsidRDefault="00EA051D" w:rsidP="00603B7B">
      <w:pPr>
        <w:pStyle w:val="ListParagraph"/>
        <w:numPr>
          <w:ilvl w:val="0"/>
          <w:numId w:val="20"/>
        </w:numPr>
        <w:suppressAutoHyphens/>
        <w:autoSpaceDN w:val="0"/>
        <w:spacing w:after="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lastRenderedPageBreak/>
        <w:t>Kritērijs “Atbilst ES un LR stratēģiju ilgtermiņa mērķiem”.</w:t>
      </w:r>
      <w:r w:rsidRPr="009234A8">
        <w:rPr>
          <w:rFonts w:ascii="Times New Roman" w:hAnsi="Times New Roman" w:cs="Times New Roman"/>
          <w:sz w:val="24"/>
          <w:szCs w:val="24"/>
        </w:rPr>
        <w:t xml:space="preserve"> Stratēģijas nodaļā “Notekūdeņu dūņu izmantošanas tiesiskais regulējums” ir veikts ANO (“Mūsu pasaules pārveidošana: ilgtspējīgas attīstības programma 2030.gadam”), ES (“Eiropas zaļais kurss”, “Aprites ekonomikas rīcības plāns” u.c.) un LR vides aizsardzības un ilgtspējīgas attīstības (“Latvijas ilgtspējīgas attīstības stratēģija līdz 2030.gadam”, “Nacionālais attīstības plāns 2021.-2027.gadam” u.c.), kā arī vairāku nozaru attīstības stratēģiju (“Latvijas Bioekonomikas attīstības stratēģija”, “Latvijas atkritumu apsaimniekošanas plāns 2021.-2028.gads” u.c.) izvirzīto ilgtermiņa mērķu apskats, kas kopumā saistīti ar tautsaimniecības pāreju uz aprites ekonomikas principiem, atkārtotu un vietējo resursu izmantošanu, nenodarot kaitējumu apkārtējai videi un sabiedrības veselībai. Vērtējot minēto kritēriju ir </w:t>
      </w:r>
      <w:r w:rsidR="00A756F0">
        <w:rPr>
          <w:rFonts w:ascii="Times New Roman" w:hAnsi="Times New Roman" w:cs="Times New Roman"/>
          <w:sz w:val="24"/>
          <w:szCs w:val="24"/>
        </w:rPr>
        <w:t>iz</w:t>
      </w:r>
      <w:r w:rsidRPr="009234A8">
        <w:rPr>
          <w:rFonts w:ascii="Times New Roman" w:hAnsi="Times New Roman" w:cs="Times New Roman"/>
          <w:sz w:val="24"/>
          <w:szCs w:val="24"/>
        </w:rPr>
        <w:t>vērtēts, vai piedāvātā alternatīva veicinās Latvijas un notekūdeņu dūņu apsaimniekošanas virzību uz ES un valsts attīstības stratēģijās izvirzīto ilgtermiņa ilgtspējīgas attīstības mērķu sasniegšanu;</w:t>
      </w:r>
    </w:p>
    <w:p w14:paraId="0955E22E" w14:textId="5FF41670" w:rsidR="00EA051D" w:rsidRPr="009234A8" w:rsidRDefault="00EA051D" w:rsidP="00603B7B">
      <w:pPr>
        <w:pStyle w:val="ListParagraph"/>
        <w:numPr>
          <w:ilvl w:val="0"/>
          <w:numId w:val="20"/>
        </w:numPr>
        <w:suppressAutoHyphens/>
        <w:autoSpaceDN w:val="0"/>
        <w:spacing w:after="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t>Kritērijs “Atbilst stratēģijas izvirzītajai Vīzijai un Misijai”.</w:t>
      </w:r>
      <w:r w:rsidRPr="009234A8">
        <w:rPr>
          <w:rFonts w:ascii="Times New Roman" w:hAnsi="Times New Roman" w:cs="Times New Roman"/>
          <w:sz w:val="24"/>
          <w:szCs w:val="24"/>
        </w:rPr>
        <w:t xml:space="preserve"> Lai izstrādātu Latvijas notekūdeņu dūņu apsaimniekošanas stratēģiju, ir definēta stratēģijas Vīzija un Misija, kas detalizēti aprakstītas nodaļā “Latvijas notekūdeņu dūņu apsaimniekošanas stratēģijas Vīzija, Misija, Mērķi”. Vērtējot šo kritēriju ir </w:t>
      </w:r>
      <w:r w:rsidR="00A756F0">
        <w:rPr>
          <w:rFonts w:ascii="Times New Roman" w:hAnsi="Times New Roman" w:cs="Times New Roman"/>
          <w:sz w:val="24"/>
          <w:szCs w:val="24"/>
        </w:rPr>
        <w:t>iz</w:t>
      </w:r>
      <w:r w:rsidR="00A756F0" w:rsidRPr="009234A8">
        <w:rPr>
          <w:rFonts w:ascii="Times New Roman" w:hAnsi="Times New Roman" w:cs="Times New Roman"/>
          <w:sz w:val="24"/>
          <w:szCs w:val="24"/>
        </w:rPr>
        <w:t>vērtēts</w:t>
      </w:r>
      <w:r w:rsidRPr="009234A8">
        <w:rPr>
          <w:rFonts w:ascii="Times New Roman" w:hAnsi="Times New Roman" w:cs="Times New Roman"/>
          <w:sz w:val="24"/>
          <w:szCs w:val="24"/>
        </w:rPr>
        <w:t>, vai alternatīva nodrošinās un veicinās stratēģijai izvirzītās Vīzijas un Misijas sasniegšanu.</w:t>
      </w:r>
    </w:p>
    <w:p w14:paraId="3ED2B5B5" w14:textId="2FFE5C7E" w:rsidR="00EA051D" w:rsidRPr="009234A8" w:rsidRDefault="00EA051D" w:rsidP="00603B7B">
      <w:pPr>
        <w:pStyle w:val="ListParagraph"/>
        <w:numPr>
          <w:ilvl w:val="0"/>
          <w:numId w:val="20"/>
        </w:numPr>
        <w:suppressAutoHyphens/>
        <w:autoSpaceDN w:val="0"/>
        <w:spacing w:after="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t>Kritērijs “Zemākas uzturēšanas izmaksas”.</w:t>
      </w:r>
      <w:r w:rsidRPr="009234A8">
        <w:rPr>
          <w:rFonts w:ascii="Times New Roman" w:hAnsi="Times New Roman" w:cs="Times New Roman"/>
          <w:sz w:val="24"/>
          <w:szCs w:val="24"/>
        </w:rPr>
        <w:t xml:space="preserve"> Šī </w:t>
      </w:r>
      <w:r w:rsidR="00907503" w:rsidRPr="009234A8">
        <w:rPr>
          <w:rFonts w:ascii="Times New Roman" w:hAnsi="Times New Roman" w:cs="Times New Roman"/>
          <w:sz w:val="24"/>
          <w:szCs w:val="24"/>
        </w:rPr>
        <w:t>pielikuma</w:t>
      </w:r>
      <w:r w:rsidRPr="009234A8">
        <w:rPr>
          <w:rFonts w:ascii="Times New Roman" w:hAnsi="Times New Roman" w:cs="Times New Roman"/>
          <w:sz w:val="24"/>
          <w:szCs w:val="24"/>
        </w:rPr>
        <w:t xml:space="preserve"> ietvaros ir veikts dažādu alternatīvo risinājumu izmaksu novērtējums, pirmkārt, kur iespējams, aprēķināts alternatīvo risinājumu uzturēšanas izmaksu apjoms, bet kur tas nav iespējams, izmantota vispārējo izmaksu savstarpējās salīdzināšanas metode, lai novērtētu alternatīvas sagaidāmās uzturēšanas izmaksas. Attiecīgajā salīdzinošajā kritērijā ir savstarpēji salīdzināti un novērtēti dažādās apsaimniekošanas posma alternatīvas no to ikgadējās uzturēšanas izmaksu viedokļa.</w:t>
      </w:r>
    </w:p>
    <w:p w14:paraId="3491C708" w14:textId="4405FABC" w:rsidR="00EA051D" w:rsidRPr="009234A8" w:rsidRDefault="00EA051D" w:rsidP="00603B7B">
      <w:pPr>
        <w:pStyle w:val="ListParagraph"/>
        <w:numPr>
          <w:ilvl w:val="0"/>
          <w:numId w:val="20"/>
        </w:numPr>
        <w:suppressAutoHyphens/>
        <w:autoSpaceDN w:val="0"/>
        <w:spacing w:after="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t xml:space="preserve">Kritērijs “Zemākas kapitālās investīcijas”. </w:t>
      </w:r>
      <w:r w:rsidRPr="009234A8">
        <w:rPr>
          <w:rFonts w:ascii="Times New Roman" w:hAnsi="Times New Roman" w:cs="Times New Roman"/>
          <w:sz w:val="24"/>
          <w:szCs w:val="24"/>
        </w:rPr>
        <w:t xml:space="preserve">Šī </w:t>
      </w:r>
      <w:r w:rsidR="00907503" w:rsidRPr="009234A8">
        <w:rPr>
          <w:rFonts w:ascii="Times New Roman" w:hAnsi="Times New Roman" w:cs="Times New Roman"/>
          <w:sz w:val="24"/>
          <w:szCs w:val="24"/>
        </w:rPr>
        <w:t>pielikuma</w:t>
      </w:r>
      <w:r w:rsidRPr="009234A8">
        <w:rPr>
          <w:rFonts w:ascii="Times New Roman" w:hAnsi="Times New Roman" w:cs="Times New Roman"/>
          <w:sz w:val="24"/>
          <w:szCs w:val="24"/>
        </w:rPr>
        <w:t xml:space="preserve"> ietvaros ir veikts dažādu alternatīvo risinājumu kapitālo  izmaksu novērtējums, pirmkārt, kur iespējams, aprēķināts alternatīvo risinājumu kapitālo investīciju apjoms, bet, kur tas nav iespējams, izmantota vispārējo investīciju ieguldījumu savstarpējās salīdzināšanas metode, lai novērtētu alternatīvas sagaidāmās kapitālās investīciju izmaksas. Attiecīgajā salīdzinošajā kritērijā ir savstarpēji salīdzināti un novērtēti dažādās apsaimniekošanas posma alternatīvas no to izveidošanai nepieciešamo kapitālo investīciju apjoma aspekta.</w:t>
      </w:r>
    </w:p>
    <w:p w14:paraId="578D556C" w14:textId="1A827974" w:rsidR="00EA051D" w:rsidRPr="009234A8" w:rsidRDefault="00EA051D" w:rsidP="00603B7B">
      <w:pPr>
        <w:pStyle w:val="ListParagraph"/>
        <w:numPr>
          <w:ilvl w:val="0"/>
          <w:numId w:val="20"/>
        </w:numPr>
        <w:suppressAutoHyphens/>
        <w:autoSpaceDN w:val="0"/>
        <w:spacing w:after="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t>Kritērijs “Vienkāršāks ieviešanas scenārijs”.</w:t>
      </w:r>
      <w:r w:rsidRPr="009234A8">
        <w:rPr>
          <w:rFonts w:ascii="Times New Roman" w:hAnsi="Times New Roman" w:cs="Times New Roman"/>
          <w:sz w:val="24"/>
          <w:szCs w:val="24"/>
        </w:rPr>
        <w:t xml:space="preserve"> </w:t>
      </w:r>
      <w:r w:rsidR="00907503" w:rsidRPr="009234A8">
        <w:rPr>
          <w:rFonts w:ascii="Times New Roman" w:hAnsi="Times New Roman" w:cs="Times New Roman"/>
          <w:sz w:val="24"/>
          <w:szCs w:val="24"/>
        </w:rPr>
        <w:t>K</w:t>
      </w:r>
      <w:r w:rsidRPr="009234A8">
        <w:rPr>
          <w:rFonts w:ascii="Times New Roman" w:hAnsi="Times New Roman" w:cs="Times New Roman"/>
          <w:sz w:val="24"/>
          <w:szCs w:val="24"/>
        </w:rPr>
        <w:t xml:space="preserve">ritērijā savstarpēji salīdzinot attiecīgā apsaimniekošanas posma alternatīvas, kā arī novērtējot tās pret esošo notekūdeņu dūņu apsaimniekošanas sistēmu, ir novērtētas izmaiņas un to sarežģītība (vienkāršība) izvirzītā alternatīvā risinājuma ieviešanai un darbības īstenošanai. Šajā kritērijā ir novērtēts, kurš no apskatītajiem alternatīvajiem </w:t>
      </w:r>
      <w:r w:rsidRPr="009234A8">
        <w:rPr>
          <w:rFonts w:ascii="Times New Roman" w:hAnsi="Times New Roman" w:cs="Times New Roman"/>
          <w:sz w:val="24"/>
          <w:szCs w:val="24"/>
        </w:rPr>
        <w:lastRenderedPageBreak/>
        <w:t>risinājumiem ir ieviešams bez būtiskām pārmaiņām esošajā apsaimniekošanas sistēmā, tai skaitā esošā normatīvo aktu regulējuma ietvarā.</w:t>
      </w:r>
    </w:p>
    <w:p w14:paraId="6412F011" w14:textId="7E04E01F" w:rsidR="00EA051D" w:rsidRPr="009234A8" w:rsidRDefault="00EA051D" w:rsidP="00603B7B">
      <w:pPr>
        <w:pStyle w:val="ListParagraph"/>
        <w:numPr>
          <w:ilvl w:val="0"/>
          <w:numId w:val="20"/>
        </w:numPr>
        <w:suppressAutoHyphens/>
        <w:autoSpaceDN w:val="0"/>
        <w:spacing w:after="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t>Kritērijs “Alternatīvu neierobežo noteikt</w:t>
      </w:r>
      <w:r w:rsidR="007B6AC2" w:rsidRPr="009234A8">
        <w:rPr>
          <w:rFonts w:ascii="Times New Roman" w:hAnsi="Times New Roman" w:cs="Times New Roman"/>
          <w:b/>
          <w:sz w:val="24"/>
          <w:szCs w:val="24"/>
        </w:rPr>
        <w:t>s</w:t>
      </w:r>
      <w:r w:rsidRPr="009234A8">
        <w:rPr>
          <w:rFonts w:ascii="Times New Roman" w:hAnsi="Times New Roman" w:cs="Times New Roman"/>
          <w:b/>
          <w:sz w:val="24"/>
          <w:szCs w:val="24"/>
        </w:rPr>
        <w:t xml:space="preserve"> dūņu apjom</w:t>
      </w:r>
      <w:r w:rsidR="007B6AC2" w:rsidRPr="009234A8">
        <w:rPr>
          <w:rFonts w:ascii="Times New Roman" w:hAnsi="Times New Roman" w:cs="Times New Roman"/>
          <w:b/>
          <w:sz w:val="24"/>
          <w:szCs w:val="24"/>
        </w:rPr>
        <w:t>s</w:t>
      </w:r>
      <w:r w:rsidRPr="009234A8">
        <w:rPr>
          <w:rFonts w:ascii="Times New Roman" w:hAnsi="Times New Roman" w:cs="Times New Roman"/>
          <w:b/>
          <w:sz w:val="24"/>
          <w:szCs w:val="24"/>
        </w:rPr>
        <w:t>”.</w:t>
      </w:r>
      <w:r w:rsidRPr="009234A8">
        <w:rPr>
          <w:rFonts w:ascii="Times New Roman" w:hAnsi="Times New Roman" w:cs="Times New Roman"/>
          <w:sz w:val="24"/>
          <w:szCs w:val="24"/>
        </w:rPr>
        <w:t xml:space="preserve"> Apskatot dažādas </w:t>
      </w:r>
      <w:r w:rsidR="00907503" w:rsidRPr="009234A8">
        <w:rPr>
          <w:rFonts w:ascii="Times New Roman" w:hAnsi="Times New Roman" w:cs="Times New Roman"/>
          <w:sz w:val="24"/>
          <w:szCs w:val="24"/>
        </w:rPr>
        <w:t xml:space="preserve">notekūdeņu </w:t>
      </w:r>
      <w:r w:rsidRPr="009234A8">
        <w:rPr>
          <w:rFonts w:ascii="Times New Roman" w:hAnsi="Times New Roman" w:cs="Times New Roman"/>
          <w:sz w:val="24"/>
          <w:szCs w:val="24"/>
        </w:rPr>
        <w:t xml:space="preserve">dūņu apsaimniekošanas alternatīvas ir secināts, ka ir risinājumi, kurus ir iespējamas racionāli un efektīvi īstenot tikai pie noteikta minimālā vai maksimālā notekūdeņu dūņu apjoma. Ņemot vērā, ka nav iespējams ilgtermiņā garantēt noteikta apjoma notekūdeņu dūņu pieejamību konkrētās vietās Latvijā alternatīvas, kuras neierobežo noteikts </w:t>
      </w:r>
      <w:r w:rsidR="00907503" w:rsidRPr="009234A8">
        <w:rPr>
          <w:rFonts w:ascii="Times New Roman" w:hAnsi="Times New Roman" w:cs="Times New Roman"/>
          <w:sz w:val="24"/>
          <w:szCs w:val="24"/>
        </w:rPr>
        <w:t xml:space="preserve">notekūdeņu </w:t>
      </w:r>
      <w:r w:rsidRPr="009234A8">
        <w:rPr>
          <w:rFonts w:ascii="Times New Roman" w:hAnsi="Times New Roman" w:cs="Times New Roman"/>
          <w:sz w:val="24"/>
          <w:szCs w:val="24"/>
        </w:rPr>
        <w:t xml:space="preserve">dūņu apjoms ir labāk piemērotas Latvijas apstākļiem. </w:t>
      </w:r>
    </w:p>
    <w:p w14:paraId="4590A23A" w14:textId="59331284" w:rsidR="00EA051D" w:rsidRPr="009234A8" w:rsidRDefault="00EA051D" w:rsidP="00603B7B">
      <w:pPr>
        <w:pStyle w:val="ListParagraph"/>
        <w:numPr>
          <w:ilvl w:val="0"/>
          <w:numId w:val="20"/>
        </w:numPr>
        <w:suppressAutoHyphens/>
        <w:autoSpaceDN w:val="0"/>
        <w:spacing w:after="120"/>
        <w:ind w:left="1276"/>
        <w:contextualSpacing w:val="0"/>
        <w:jc w:val="both"/>
        <w:textAlignment w:val="baseline"/>
        <w:rPr>
          <w:rFonts w:ascii="Times New Roman" w:hAnsi="Times New Roman" w:cs="Times New Roman"/>
          <w:sz w:val="24"/>
          <w:szCs w:val="24"/>
        </w:rPr>
      </w:pPr>
      <w:r w:rsidRPr="009234A8">
        <w:rPr>
          <w:rFonts w:ascii="Times New Roman" w:hAnsi="Times New Roman" w:cs="Times New Roman"/>
          <w:b/>
          <w:sz w:val="24"/>
          <w:szCs w:val="24"/>
        </w:rPr>
        <w:t>Kritērijs “Dūņu apsaimniekošanas uzraudzības ārējā kontrole ir viegli īstenojama un neprasa lielus resursus”.</w:t>
      </w:r>
      <w:r w:rsidRPr="009234A8">
        <w:rPr>
          <w:rFonts w:ascii="Times New Roman" w:hAnsi="Times New Roman" w:cs="Times New Roman"/>
          <w:sz w:val="24"/>
          <w:szCs w:val="24"/>
        </w:rPr>
        <w:t xml:space="preserve"> Attiecīgajā kritērijā alternatīva ir novērtēta pēc nepieciešamā resursu (finanšu, laika un darbaspēka) ieguldījuma, lai nodrošinātu alternatīvas neatkarīgo ārējo uzraudzību un kontroli. Alternatīvas novērtējums, galvenokārt, balstīts uz savstarpējo salīdzināmo ietekmju novērtējumu (piemēram, apsekot 3 </w:t>
      </w:r>
      <w:r w:rsidR="00907503" w:rsidRPr="009234A8">
        <w:rPr>
          <w:rFonts w:ascii="Times New Roman" w:hAnsi="Times New Roman" w:cs="Times New Roman"/>
          <w:sz w:val="24"/>
          <w:szCs w:val="24"/>
        </w:rPr>
        <w:t xml:space="preserve">notekūdeņu </w:t>
      </w:r>
      <w:r w:rsidRPr="009234A8">
        <w:rPr>
          <w:rFonts w:ascii="Times New Roman" w:hAnsi="Times New Roman" w:cs="Times New Roman"/>
          <w:sz w:val="24"/>
          <w:szCs w:val="24"/>
        </w:rPr>
        <w:t>dūņu pārstrādes centrus ir administratīvi un finansiāli izdevīgāk un vienkāršāk nekā 30 centrus).</w:t>
      </w:r>
    </w:p>
    <w:p w14:paraId="58AC740B" w14:textId="13362B4C" w:rsidR="00EA051D" w:rsidRDefault="00EA051D" w:rsidP="00F37BC3">
      <w:pPr>
        <w:spacing w:after="0"/>
        <w:ind w:firstLine="720"/>
        <w:rPr>
          <w:rFonts w:ascii="Times New Roman" w:hAnsi="Times New Roman" w:cs="Times New Roman"/>
        </w:rPr>
      </w:pPr>
      <w:r w:rsidRPr="00A00782">
        <w:rPr>
          <w:rFonts w:ascii="Times New Roman" w:hAnsi="Times New Roman" w:cs="Times New Roman"/>
        </w:rPr>
        <w:t xml:space="preserve">Visas izvirzītās alternatīvas ir novērtētas arī no dažādu risku iespējamības, kas var iestāties alternatīvas īstenošanas laikā vai pēc tās ieviešanas. Alternatīvām ar augstiem riskiem ir lielāka iespējamība netikt ieviestām, jo dažādu augstu risku esamība un savstarpējā kombinācija ļauj prognozēt, ka alternatīvas sagatavošanās, ieviešanas vai darbības laikā tā var saskarties ar nepārvaramiem šķēršļiem. Kopumā risku novērtējumā izmantota pieeja, ka, jo vairāk augstu risku, jo grūtāka un neiespējamāka ir alternatīvas ieviešana. </w:t>
      </w:r>
      <w:r w:rsidR="002D47ED">
        <w:rPr>
          <w:rFonts w:ascii="Times New Roman" w:hAnsi="Times New Roman" w:cs="Times New Roman"/>
        </w:rPr>
        <w:t>4.1.</w:t>
      </w:r>
      <w:r w:rsidRPr="00A00782">
        <w:rPr>
          <w:rFonts w:ascii="Times New Roman" w:hAnsi="Times New Roman" w:cs="Times New Roman"/>
        </w:rPr>
        <w:t>2.tabulā ir identificēti gan iekšējie, gan ārējie riski, kā arī atsevišķi izdalīt dažādi vides riski.</w:t>
      </w:r>
    </w:p>
    <w:p w14:paraId="76578E4B" w14:textId="77777777" w:rsidR="00A00782" w:rsidRPr="00A00782" w:rsidRDefault="00A00782" w:rsidP="00A00782">
      <w:pPr>
        <w:spacing w:after="0"/>
        <w:rPr>
          <w:rFonts w:ascii="Times New Roman" w:hAnsi="Times New Roman" w:cs="Times New Roman"/>
        </w:rPr>
      </w:pPr>
    </w:p>
    <w:p w14:paraId="496D799F" w14:textId="3F35A020" w:rsidR="00A00782" w:rsidRPr="00A00782" w:rsidRDefault="00EA051D" w:rsidP="00A00782">
      <w:pPr>
        <w:spacing w:after="0"/>
        <w:jc w:val="right"/>
        <w:rPr>
          <w:rFonts w:ascii="Times New Roman" w:hAnsi="Times New Roman" w:cs="Times New Roman"/>
          <w:bCs/>
          <w:color w:val="000000"/>
          <w:szCs w:val="24"/>
        </w:rPr>
      </w:pPr>
      <w:r w:rsidRPr="00A00782">
        <w:rPr>
          <w:rFonts w:ascii="Times New Roman" w:hAnsi="Times New Roman" w:cs="Times New Roman"/>
          <w:bCs/>
          <w:color w:val="000000"/>
          <w:szCs w:val="24"/>
        </w:rPr>
        <w:t>4.</w:t>
      </w:r>
      <w:r w:rsidR="002D47ED">
        <w:rPr>
          <w:rFonts w:ascii="Times New Roman" w:hAnsi="Times New Roman" w:cs="Times New Roman"/>
          <w:bCs/>
          <w:color w:val="000000"/>
          <w:szCs w:val="24"/>
        </w:rPr>
        <w:t>1.</w:t>
      </w:r>
      <w:r w:rsidRPr="00A00782">
        <w:rPr>
          <w:rFonts w:ascii="Times New Roman" w:hAnsi="Times New Roman" w:cs="Times New Roman"/>
          <w:bCs/>
          <w:color w:val="000000"/>
          <w:szCs w:val="24"/>
        </w:rPr>
        <w:t>2. tabula</w:t>
      </w:r>
    </w:p>
    <w:p w14:paraId="6AECB631" w14:textId="3D7EED96" w:rsidR="00EA051D" w:rsidRPr="00A00782" w:rsidRDefault="00EA051D" w:rsidP="00A00782">
      <w:pPr>
        <w:spacing w:after="0"/>
        <w:jc w:val="center"/>
        <w:rPr>
          <w:rFonts w:ascii="Times New Roman" w:hAnsi="Times New Roman" w:cs="Times New Roman"/>
          <w:b/>
          <w:color w:val="000000"/>
          <w:szCs w:val="24"/>
        </w:rPr>
      </w:pPr>
      <w:r w:rsidRPr="00A00782">
        <w:rPr>
          <w:rFonts w:ascii="Times New Roman" w:hAnsi="Times New Roman" w:cs="Times New Roman"/>
          <w:b/>
          <w:color w:val="000000"/>
          <w:szCs w:val="24"/>
        </w:rPr>
        <w:t>Alternatīvo risinājumu risku novērtēšanas matrica</w:t>
      </w:r>
    </w:p>
    <w:tbl>
      <w:tblPr>
        <w:tblStyle w:val="4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1653"/>
        <w:gridCol w:w="1654"/>
        <w:gridCol w:w="1654"/>
      </w:tblGrid>
      <w:tr w:rsidR="00EA051D" w:rsidRPr="00A00782" w14:paraId="2164E225" w14:textId="77777777" w:rsidTr="008E6BAE">
        <w:tc>
          <w:tcPr>
            <w:tcW w:w="4390" w:type="dxa"/>
            <w:vAlign w:val="center"/>
          </w:tcPr>
          <w:p w14:paraId="16165ABB" w14:textId="77777777" w:rsidR="00EA051D" w:rsidRPr="00A00782" w:rsidRDefault="00000000" w:rsidP="007B6AC2">
            <w:pPr>
              <w:spacing w:after="60"/>
              <w:jc w:val="center"/>
              <w:rPr>
                <w:rFonts w:ascii="Times New Roman" w:hAnsi="Times New Roman" w:cs="Times New Roman"/>
                <w:b/>
                <w:sz w:val="20"/>
                <w:szCs w:val="20"/>
              </w:rPr>
            </w:pPr>
            <w:sdt>
              <w:sdtPr>
                <w:rPr>
                  <w:rFonts w:ascii="Times New Roman" w:hAnsi="Times New Roman" w:cs="Times New Roman"/>
                </w:rPr>
                <w:tag w:val="goog_rdk_13"/>
                <w:id w:val="461546992"/>
              </w:sdtPr>
              <w:sdtContent>
                <w:r w:rsidR="00EA051D" w:rsidRPr="00A00782">
                  <w:rPr>
                    <w:rFonts w:ascii="Times New Roman" w:hAnsi="Times New Roman" w:cs="Times New Roman"/>
                    <w:b/>
                    <w:sz w:val="20"/>
                    <w:szCs w:val="20"/>
                  </w:rPr>
                  <w:t>R</w:t>
                </w:r>
              </w:sdtContent>
            </w:sdt>
            <w:r w:rsidR="00EA051D" w:rsidRPr="00A00782">
              <w:rPr>
                <w:rFonts w:ascii="Times New Roman" w:hAnsi="Times New Roman" w:cs="Times New Roman"/>
                <w:b/>
                <w:sz w:val="20"/>
                <w:szCs w:val="20"/>
              </w:rPr>
              <w:t>isku novērtējums</w:t>
            </w:r>
          </w:p>
        </w:tc>
        <w:tc>
          <w:tcPr>
            <w:tcW w:w="1653" w:type="dxa"/>
            <w:vAlign w:val="center"/>
          </w:tcPr>
          <w:p w14:paraId="72A3852F"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Alternatīva 1</w:t>
            </w:r>
          </w:p>
        </w:tc>
        <w:tc>
          <w:tcPr>
            <w:tcW w:w="1654" w:type="dxa"/>
            <w:vAlign w:val="center"/>
          </w:tcPr>
          <w:p w14:paraId="06394055"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Alternatīva 2</w:t>
            </w:r>
          </w:p>
        </w:tc>
        <w:tc>
          <w:tcPr>
            <w:tcW w:w="1654" w:type="dxa"/>
            <w:vAlign w:val="center"/>
          </w:tcPr>
          <w:p w14:paraId="5D65B1DA"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Alternatīva 3</w:t>
            </w:r>
          </w:p>
        </w:tc>
      </w:tr>
      <w:tr w:rsidR="00EA051D" w:rsidRPr="00A00782" w14:paraId="2AF41418" w14:textId="77777777" w:rsidTr="008E6BAE">
        <w:tc>
          <w:tcPr>
            <w:tcW w:w="4390" w:type="dxa"/>
            <w:vAlign w:val="center"/>
          </w:tcPr>
          <w:p w14:paraId="36447923"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Iekšējie riski</w:t>
            </w:r>
          </w:p>
        </w:tc>
        <w:tc>
          <w:tcPr>
            <w:tcW w:w="1653" w:type="dxa"/>
            <w:vAlign w:val="center"/>
          </w:tcPr>
          <w:p w14:paraId="7BE8096E" w14:textId="77777777" w:rsidR="00EA051D" w:rsidRPr="00A00782" w:rsidRDefault="00EA051D" w:rsidP="007B6AC2">
            <w:pPr>
              <w:spacing w:after="60"/>
              <w:jc w:val="center"/>
              <w:rPr>
                <w:rFonts w:ascii="Times New Roman" w:hAnsi="Times New Roman" w:cs="Times New Roman"/>
                <w:b/>
                <w:sz w:val="18"/>
                <w:szCs w:val="18"/>
              </w:rPr>
            </w:pPr>
          </w:p>
        </w:tc>
        <w:tc>
          <w:tcPr>
            <w:tcW w:w="1654" w:type="dxa"/>
            <w:vAlign w:val="center"/>
          </w:tcPr>
          <w:p w14:paraId="0FBEB960" w14:textId="77777777" w:rsidR="00EA051D" w:rsidRPr="00A00782" w:rsidRDefault="00EA051D" w:rsidP="007B6AC2">
            <w:pPr>
              <w:spacing w:after="60"/>
              <w:jc w:val="center"/>
              <w:rPr>
                <w:rFonts w:ascii="Times New Roman" w:hAnsi="Times New Roman" w:cs="Times New Roman"/>
                <w:b/>
                <w:sz w:val="18"/>
                <w:szCs w:val="18"/>
              </w:rPr>
            </w:pPr>
          </w:p>
        </w:tc>
        <w:tc>
          <w:tcPr>
            <w:tcW w:w="1654" w:type="dxa"/>
            <w:vAlign w:val="center"/>
          </w:tcPr>
          <w:p w14:paraId="22DA4775" w14:textId="77777777" w:rsidR="00EA051D" w:rsidRPr="00A00782" w:rsidRDefault="00EA051D" w:rsidP="007B6AC2">
            <w:pPr>
              <w:spacing w:after="60"/>
              <w:jc w:val="center"/>
              <w:rPr>
                <w:rFonts w:ascii="Times New Roman" w:hAnsi="Times New Roman" w:cs="Times New Roman"/>
                <w:b/>
                <w:sz w:val="18"/>
                <w:szCs w:val="18"/>
              </w:rPr>
            </w:pPr>
          </w:p>
        </w:tc>
      </w:tr>
      <w:tr w:rsidR="00EA051D" w:rsidRPr="00A00782" w14:paraId="4DE87C01" w14:textId="77777777" w:rsidTr="00F2058B">
        <w:trPr>
          <w:trHeight w:val="858"/>
        </w:trPr>
        <w:tc>
          <w:tcPr>
            <w:tcW w:w="4390" w:type="dxa"/>
            <w:vAlign w:val="center"/>
          </w:tcPr>
          <w:p w14:paraId="70B3A639"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 paredz būtiskas izmaiņas esošajā apsaimniekošanas pārvaldībā, kam var nebūt pietiekošs valsts vai pašvaldības atbalsts</w:t>
            </w:r>
          </w:p>
        </w:tc>
        <w:tc>
          <w:tcPr>
            <w:tcW w:w="1653" w:type="dxa"/>
            <w:shd w:val="clear" w:color="auto" w:fill="FF0000"/>
            <w:vAlign w:val="center"/>
          </w:tcPr>
          <w:p w14:paraId="36FCB9D1"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187149FD"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 xml:space="preserve">Zems </w:t>
            </w:r>
          </w:p>
        </w:tc>
        <w:tc>
          <w:tcPr>
            <w:tcW w:w="1654" w:type="dxa"/>
            <w:shd w:val="clear" w:color="auto" w:fill="FF0000"/>
            <w:vAlign w:val="center"/>
          </w:tcPr>
          <w:p w14:paraId="4D303831"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69C2AAC0" w14:textId="77777777" w:rsidTr="008E6BAE">
        <w:tc>
          <w:tcPr>
            <w:tcW w:w="4390" w:type="dxa"/>
            <w:vAlign w:val="center"/>
          </w:tcPr>
          <w:p w14:paraId="6AEA01C9"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ieviešanai nepieciešamas jaunas tehnoloģijas dūņu apstrādē, kas esošajiem SPS nav pazīstamas, var izraisīt būtisku pretestību</w:t>
            </w:r>
          </w:p>
        </w:tc>
        <w:tc>
          <w:tcPr>
            <w:tcW w:w="1653" w:type="dxa"/>
            <w:shd w:val="clear" w:color="auto" w:fill="FF0000"/>
            <w:vAlign w:val="center"/>
          </w:tcPr>
          <w:p w14:paraId="2E536A8A"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512B06F9"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 xml:space="preserve">Zems </w:t>
            </w:r>
          </w:p>
        </w:tc>
        <w:tc>
          <w:tcPr>
            <w:tcW w:w="1654" w:type="dxa"/>
            <w:shd w:val="clear" w:color="auto" w:fill="FF0000"/>
            <w:vAlign w:val="center"/>
          </w:tcPr>
          <w:p w14:paraId="7AB76C4C"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7439A846" w14:textId="77777777" w:rsidTr="008E6BAE">
        <w:tc>
          <w:tcPr>
            <w:tcW w:w="4390" w:type="dxa"/>
            <w:vAlign w:val="center"/>
          </w:tcPr>
          <w:p w14:paraId="6C1D6D6D"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ieviešanai nepieciešams īpaši apmācīts personāls, kas šobrīd nav pieejams</w:t>
            </w:r>
          </w:p>
        </w:tc>
        <w:tc>
          <w:tcPr>
            <w:tcW w:w="1653" w:type="dxa"/>
            <w:shd w:val="clear" w:color="auto" w:fill="FF0000"/>
            <w:vAlign w:val="center"/>
          </w:tcPr>
          <w:p w14:paraId="3FFBDB1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FFC000"/>
            <w:vAlign w:val="center"/>
          </w:tcPr>
          <w:p w14:paraId="3C11022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0000"/>
            <w:vAlign w:val="center"/>
          </w:tcPr>
          <w:p w14:paraId="738C9B95"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17BAFE18" w14:textId="77777777" w:rsidTr="008E6BAE">
        <w:tc>
          <w:tcPr>
            <w:tcW w:w="4390" w:type="dxa"/>
            <w:vAlign w:val="center"/>
          </w:tcPr>
          <w:p w14:paraId="62F97D17"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ieviešanai ir nepieciešams piesaistīt būtiskas finanšu investīcijas, kas var nebūt pieejamas</w:t>
            </w:r>
          </w:p>
        </w:tc>
        <w:tc>
          <w:tcPr>
            <w:tcW w:w="1653" w:type="dxa"/>
            <w:shd w:val="clear" w:color="auto" w:fill="FF0000"/>
            <w:vAlign w:val="center"/>
          </w:tcPr>
          <w:p w14:paraId="1840B85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05ECCB6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0000"/>
            <w:vAlign w:val="center"/>
          </w:tcPr>
          <w:p w14:paraId="68441A8A"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533E9C61" w14:textId="77777777" w:rsidTr="008E6BAE">
        <w:tc>
          <w:tcPr>
            <w:tcW w:w="4390" w:type="dxa"/>
            <w:vAlign w:val="center"/>
          </w:tcPr>
          <w:p w14:paraId="7BB2B003"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ieviešanai nepieciešamas būtiskas papildus zemes platības, kas var nebūt pieejamas</w:t>
            </w:r>
          </w:p>
        </w:tc>
        <w:tc>
          <w:tcPr>
            <w:tcW w:w="1653" w:type="dxa"/>
            <w:shd w:val="clear" w:color="auto" w:fill="92D050"/>
            <w:vAlign w:val="center"/>
          </w:tcPr>
          <w:p w14:paraId="1117665E"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49BEE09E"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C000"/>
            <w:vAlign w:val="center"/>
          </w:tcPr>
          <w:p w14:paraId="3ABBD747"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6A810C0B" w14:textId="77777777" w:rsidTr="008E6BAE">
        <w:tc>
          <w:tcPr>
            <w:tcW w:w="4390" w:type="dxa"/>
            <w:vAlign w:val="center"/>
          </w:tcPr>
          <w:p w14:paraId="24020A0F"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lastRenderedPageBreak/>
              <w:t>Alternatīvas ieviešanā ieguldītās investīcijas ir izmantotas, bet rezultāts nesasniedz sākotnēji plānoto efektu</w:t>
            </w:r>
          </w:p>
        </w:tc>
        <w:tc>
          <w:tcPr>
            <w:tcW w:w="1653" w:type="dxa"/>
            <w:shd w:val="clear" w:color="auto" w:fill="92D050"/>
            <w:vAlign w:val="center"/>
          </w:tcPr>
          <w:p w14:paraId="7D48AC99"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681270E7"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0000"/>
            <w:vAlign w:val="center"/>
          </w:tcPr>
          <w:p w14:paraId="2682298F"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78956DC4" w14:textId="77777777" w:rsidTr="008E6BAE">
        <w:tc>
          <w:tcPr>
            <w:tcW w:w="4390" w:type="dxa"/>
            <w:vAlign w:val="center"/>
          </w:tcPr>
          <w:p w14:paraId="73B7EB91"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 var radīt augsts ikgadējās uzturēšanas izmaksas</w:t>
            </w:r>
          </w:p>
        </w:tc>
        <w:tc>
          <w:tcPr>
            <w:tcW w:w="1653" w:type="dxa"/>
            <w:shd w:val="clear" w:color="auto" w:fill="FF0000"/>
            <w:vAlign w:val="center"/>
          </w:tcPr>
          <w:p w14:paraId="71D51741"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FFC000"/>
            <w:vAlign w:val="center"/>
          </w:tcPr>
          <w:p w14:paraId="16EA02F0"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0000"/>
            <w:vAlign w:val="center"/>
          </w:tcPr>
          <w:p w14:paraId="2A7F8170"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3ACC885D" w14:textId="77777777" w:rsidTr="008E6BAE">
        <w:tc>
          <w:tcPr>
            <w:tcW w:w="4390" w:type="dxa"/>
            <w:vAlign w:val="center"/>
          </w:tcPr>
          <w:p w14:paraId="63519DF8"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ieviešanas rezultātā netiek sasniegta aprites ekonomikas principu ieviešana, resursu atgūšana un atgriešana ekonomikā</w:t>
            </w:r>
          </w:p>
          <w:p w14:paraId="17A0EE5E" w14:textId="77777777" w:rsidR="00603B7B" w:rsidRPr="00A00782" w:rsidRDefault="00603B7B" w:rsidP="007B6AC2">
            <w:pPr>
              <w:spacing w:after="60"/>
              <w:rPr>
                <w:rFonts w:ascii="Times New Roman" w:hAnsi="Times New Roman" w:cs="Times New Roman"/>
                <w:sz w:val="20"/>
                <w:szCs w:val="20"/>
              </w:rPr>
            </w:pPr>
          </w:p>
        </w:tc>
        <w:tc>
          <w:tcPr>
            <w:tcW w:w="1653" w:type="dxa"/>
            <w:shd w:val="clear" w:color="auto" w:fill="FF0000"/>
            <w:vAlign w:val="center"/>
          </w:tcPr>
          <w:p w14:paraId="13E550DC"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5F5BD10D"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606FC45A"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40FD3D8D" w14:textId="77777777" w:rsidTr="008E6BAE">
        <w:tc>
          <w:tcPr>
            <w:tcW w:w="4390" w:type="dxa"/>
            <w:vAlign w:val="center"/>
          </w:tcPr>
          <w:p w14:paraId="53981F31"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Ārējie riski</w:t>
            </w:r>
          </w:p>
        </w:tc>
        <w:tc>
          <w:tcPr>
            <w:tcW w:w="1653" w:type="dxa"/>
            <w:vAlign w:val="center"/>
          </w:tcPr>
          <w:p w14:paraId="0DF1789D" w14:textId="77777777" w:rsidR="00EA051D" w:rsidRPr="00A00782" w:rsidRDefault="00EA051D" w:rsidP="007B6AC2">
            <w:pPr>
              <w:spacing w:after="60"/>
              <w:jc w:val="center"/>
              <w:rPr>
                <w:rFonts w:ascii="Times New Roman" w:hAnsi="Times New Roman" w:cs="Times New Roman"/>
                <w:b/>
                <w:sz w:val="18"/>
                <w:szCs w:val="18"/>
              </w:rPr>
            </w:pPr>
          </w:p>
        </w:tc>
        <w:tc>
          <w:tcPr>
            <w:tcW w:w="1654" w:type="dxa"/>
            <w:vAlign w:val="center"/>
          </w:tcPr>
          <w:p w14:paraId="03ACE266" w14:textId="77777777" w:rsidR="00EA051D" w:rsidRPr="00A00782" w:rsidRDefault="00EA051D" w:rsidP="007B6AC2">
            <w:pPr>
              <w:spacing w:after="60"/>
              <w:jc w:val="center"/>
              <w:rPr>
                <w:rFonts w:ascii="Times New Roman" w:hAnsi="Times New Roman" w:cs="Times New Roman"/>
                <w:b/>
                <w:sz w:val="18"/>
                <w:szCs w:val="18"/>
              </w:rPr>
            </w:pPr>
          </w:p>
        </w:tc>
        <w:tc>
          <w:tcPr>
            <w:tcW w:w="1654" w:type="dxa"/>
            <w:vAlign w:val="center"/>
          </w:tcPr>
          <w:p w14:paraId="1A7621D9" w14:textId="77777777" w:rsidR="00EA051D" w:rsidRPr="00A00782" w:rsidRDefault="00EA051D" w:rsidP="007B6AC2">
            <w:pPr>
              <w:spacing w:after="60"/>
              <w:jc w:val="center"/>
              <w:rPr>
                <w:rFonts w:ascii="Times New Roman" w:hAnsi="Times New Roman" w:cs="Times New Roman"/>
                <w:b/>
                <w:sz w:val="18"/>
                <w:szCs w:val="18"/>
              </w:rPr>
            </w:pPr>
          </w:p>
        </w:tc>
      </w:tr>
      <w:tr w:rsidR="00EA051D" w:rsidRPr="00A00782" w14:paraId="618F214F" w14:textId="77777777" w:rsidTr="008E6BAE">
        <w:tc>
          <w:tcPr>
            <w:tcW w:w="4390" w:type="dxa"/>
            <w:vAlign w:val="center"/>
          </w:tcPr>
          <w:p w14:paraId="4E2F1B25"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Alternatīvas ieviešanai nepieciešamas būtiskas izmaiņas esošo normatīvo aktu regulējumā</w:t>
            </w:r>
          </w:p>
        </w:tc>
        <w:tc>
          <w:tcPr>
            <w:tcW w:w="1653" w:type="dxa"/>
            <w:shd w:val="clear" w:color="auto" w:fill="FFC000"/>
            <w:vAlign w:val="center"/>
          </w:tcPr>
          <w:p w14:paraId="00313AE1"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92D050"/>
            <w:vAlign w:val="center"/>
          </w:tcPr>
          <w:p w14:paraId="7BAC7472"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21FC27C9"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6B28D4DB" w14:textId="77777777" w:rsidTr="008E6BAE">
        <w:tc>
          <w:tcPr>
            <w:tcW w:w="4390" w:type="dxa"/>
            <w:vAlign w:val="center"/>
          </w:tcPr>
          <w:p w14:paraId="4AFDC4FE"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rPr>
              <w:t>Alternatīvas ieviešana ir iespējama tikai ar būtisku LR ministriju u.c. institūciju atbalstu</w:t>
            </w:r>
          </w:p>
        </w:tc>
        <w:tc>
          <w:tcPr>
            <w:tcW w:w="1653" w:type="dxa"/>
            <w:shd w:val="clear" w:color="auto" w:fill="FF0000"/>
            <w:vAlign w:val="center"/>
          </w:tcPr>
          <w:p w14:paraId="047B1054"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002E2802"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0000"/>
            <w:vAlign w:val="center"/>
          </w:tcPr>
          <w:p w14:paraId="05C17EC4"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5A05C36A" w14:textId="77777777" w:rsidTr="008E6BAE">
        <w:tc>
          <w:tcPr>
            <w:tcW w:w="4390" w:type="dxa"/>
            <w:vAlign w:val="center"/>
          </w:tcPr>
          <w:p w14:paraId="187AD1DA" w14:textId="77777777" w:rsidR="00EA051D" w:rsidRPr="00A00782" w:rsidRDefault="00000000" w:rsidP="007B6AC2">
            <w:pPr>
              <w:spacing w:after="60"/>
              <w:rPr>
                <w:rFonts w:ascii="Times New Roman" w:hAnsi="Times New Roman" w:cs="Times New Roman"/>
                <w:sz w:val="20"/>
                <w:szCs w:val="20"/>
              </w:rPr>
            </w:pPr>
            <w:sdt>
              <w:sdtPr>
                <w:rPr>
                  <w:rFonts w:ascii="Times New Roman" w:hAnsi="Times New Roman" w:cs="Times New Roman"/>
                </w:rPr>
                <w:tag w:val="goog_rdk_13"/>
                <w:id w:val="239298380"/>
              </w:sdtPr>
              <w:sdtContent>
                <w:r w:rsidR="00EA051D" w:rsidRPr="00A00782">
                  <w:rPr>
                    <w:rFonts w:ascii="Times New Roman" w:hAnsi="Times New Roman" w:cs="Times New Roman"/>
                  </w:rPr>
                  <w:t>Al</w:t>
                </w:r>
              </w:sdtContent>
            </w:sdt>
            <w:r w:rsidR="00EA051D" w:rsidRPr="00A00782">
              <w:rPr>
                <w:rFonts w:ascii="Times New Roman" w:hAnsi="Times New Roman" w:cs="Times New Roman"/>
                <w:sz w:val="20"/>
                <w:szCs w:val="20"/>
              </w:rPr>
              <w:t>ternatīvai pēc ieviešanas būs būtiski riski pastāvēt ilgtermiņā</w:t>
            </w:r>
          </w:p>
        </w:tc>
        <w:tc>
          <w:tcPr>
            <w:tcW w:w="1653" w:type="dxa"/>
            <w:shd w:val="clear" w:color="auto" w:fill="92D050"/>
            <w:vAlign w:val="center"/>
          </w:tcPr>
          <w:p w14:paraId="3AD1684B"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92D050"/>
            <w:vAlign w:val="center"/>
          </w:tcPr>
          <w:p w14:paraId="0E9AE5C2"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92D050"/>
            <w:vAlign w:val="center"/>
          </w:tcPr>
          <w:p w14:paraId="676CF527"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r>
      <w:tr w:rsidR="00EA051D" w:rsidRPr="00A00782" w14:paraId="00EF625F" w14:textId="77777777" w:rsidTr="008E6BAE">
        <w:tc>
          <w:tcPr>
            <w:tcW w:w="4390" w:type="dxa"/>
            <w:vAlign w:val="center"/>
          </w:tcPr>
          <w:p w14:paraId="2A26A914"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 xml:space="preserve">Alternatīvai pēc ieviešanas būs būtiski aizstājoši risinājumi </w:t>
            </w:r>
          </w:p>
        </w:tc>
        <w:tc>
          <w:tcPr>
            <w:tcW w:w="1653" w:type="dxa"/>
            <w:shd w:val="clear" w:color="auto" w:fill="FF0000"/>
            <w:vAlign w:val="center"/>
          </w:tcPr>
          <w:p w14:paraId="28312980"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0111E70D"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0000"/>
            <w:vAlign w:val="center"/>
          </w:tcPr>
          <w:p w14:paraId="26D97F24"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0AAB625D" w14:textId="77777777" w:rsidTr="008E6BAE">
        <w:tc>
          <w:tcPr>
            <w:tcW w:w="4390" w:type="dxa"/>
            <w:vAlign w:val="center"/>
          </w:tcPr>
          <w:p w14:paraId="7A9D90C4" w14:textId="77777777" w:rsidR="00EA051D" w:rsidRPr="00A00782" w:rsidRDefault="00000000" w:rsidP="007B6AC2">
            <w:pPr>
              <w:spacing w:after="60"/>
              <w:rPr>
                <w:rFonts w:ascii="Times New Roman" w:hAnsi="Times New Roman" w:cs="Times New Roman"/>
                <w:sz w:val="20"/>
                <w:szCs w:val="20"/>
              </w:rPr>
            </w:pPr>
            <w:sdt>
              <w:sdtPr>
                <w:rPr>
                  <w:rFonts w:ascii="Times New Roman" w:hAnsi="Times New Roman" w:cs="Times New Roman"/>
                </w:rPr>
                <w:tag w:val="goog_rdk_14"/>
                <w:id w:val="-1322188759"/>
              </w:sdtPr>
              <w:sdtContent>
                <w:r w:rsidR="00EA051D" w:rsidRPr="00A00782">
                  <w:rPr>
                    <w:rFonts w:ascii="Times New Roman" w:hAnsi="Times New Roman" w:cs="Times New Roman"/>
                    <w:sz w:val="20"/>
                    <w:szCs w:val="20"/>
                  </w:rPr>
                  <w:t>A</w:t>
                </w:r>
              </w:sdtContent>
            </w:sdt>
            <w:r w:rsidR="00EA051D" w:rsidRPr="00A00782">
              <w:rPr>
                <w:rFonts w:ascii="Times New Roman" w:hAnsi="Times New Roman" w:cs="Times New Roman"/>
                <w:sz w:val="20"/>
                <w:szCs w:val="20"/>
              </w:rPr>
              <w:t xml:space="preserve">lternatīva ir </w:t>
            </w:r>
            <w:sdt>
              <w:sdtPr>
                <w:rPr>
                  <w:rFonts w:ascii="Times New Roman" w:hAnsi="Times New Roman" w:cs="Times New Roman"/>
                </w:rPr>
                <w:tag w:val="goog_rdk_14"/>
                <w:id w:val="1922915812"/>
              </w:sdtPr>
              <w:sdtContent/>
            </w:sdt>
            <w:r w:rsidR="00EA051D" w:rsidRPr="00A00782">
              <w:rPr>
                <w:rFonts w:ascii="Times New Roman" w:hAnsi="Times New Roman" w:cs="Times New Roman"/>
                <w:sz w:val="20"/>
                <w:szCs w:val="20"/>
              </w:rPr>
              <w:t>sarežģīta, kas rada riskus tās ieviešanai</w:t>
            </w:r>
          </w:p>
        </w:tc>
        <w:tc>
          <w:tcPr>
            <w:tcW w:w="1653" w:type="dxa"/>
            <w:shd w:val="clear" w:color="auto" w:fill="FF0000"/>
            <w:vAlign w:val="center"/>
          </w:tcPr>
          <w:p w14:paraId="09C7A4E2"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c>
          <w:tcPr>
            <w:tcW w:w="1654" w:type="dxa"/>
            <w:shd w:val="clear" w:color="auto" w:fill="92D050"/>
            <w:vAlign w:val="center"/>
          </w:tcPr>
          <w:p w14:paraId="4B0D2820"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0000"/>
            <w:vAlign w:val="center"/>
          </w:tcPr>
          <w:p w14:paraId="52C92C0A"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74FB2FB1" w14:textId="77777777" w:rsidTr="008E6BAE">
        <w:tc>
          <w:tcPr>
            <w:tcW w:w="4390" w:type="dxa"/>
            <w:vAlign w:val="center"/>
          </w:tcPr>
          <w:p w14:paraId="6BE93E62" w14:textId="77777777" w:rsidR="00EA051D" w:rsidRPr="00A00782" w:rsidRDefault="00EA051D" w:rsidP="007B6AC2">
            <w:pPr>
              <w:spacing w:after="60"/>
              <w:jc w:val="center"/>
              <w:rPr>
                <w:rFonts w:ascii="Times New Roman" w:hAnsi="Times New Roman" w:cs="Times New Roman"/>
                <w:b/>
                <w:sz w:val="20"/>
                <w:szCs w:val="20"/>
              </w:rPr>
            </w:pPr>
            <w:r w:rsidRPr="00A00782">
              <w:rPr>
                <w:rFonts w:ascii="Times New Roman" w:hAnsi="Times New Roman" w:cs="Times New Roman"/>
                <w:b/>
                <w:sz w:val="20"/>
                <w:szCs w:val="20"/>
              </w:rPr>
              <w:t>Vides riski</w:t>
            </w:r>
          </w:p>
        </w:tc>
        <w:tc>
          <w:tcPr>
            <w:tcW w:w="1653" w:type="dxa"/>
            <w:vAlign w:val="center"/>
          </w:tcPr>
          <w:p w14:paraId="6E0B2312" w14:textId="77777777" w:rsidR="00EA051D" w:rsidRPr="00A00782" w:rsidRDefault="00EA051D" w:rsidP="007B6AC2">
            <w:pPr>
              <w:spacing w:after="60"/>
              <w:jc w:val="center"/>
              <w:rPr>
                <w:rFonts w:ascii="Times New Roman" w:hAnsi="Times New Roman" w:cs="Times New Roman"/>
                <w:b/>
                <w:sz w:val="18"/>
                <w:szCs w:val="18"/>
              </w:rPr>
            </w:pPr>
          </w:p>
        </w:tc>
        <w:tc>
          <w:tcPr>
            <w:tcW w:w="1654" w:type="dxa"/>
            <w:vAlign w:val="center"/>
          </w:tcPr>
          <w:p w14:paraId="3C4D51EA" w14:textId="77777777" w:rsidR="00EA051D" w:rsidRPr="00A00782" w:rsidRDefault="00EA051D" w:rsidP="007B6AC2">
            <w:pPr>
              <w:spacing w:after="60"/>
              <w:jc w:val="center"/>
              <w:rPr>
                <w:rFonts w:ascii="Times New Roman" w:hAnsi="Times New Roman" w:cs="Times New Roman"/>
                <w:b/>
                <w:sz w:val="18"/>
                <w:szCs w:val="18"/>
              </w:rPr>
            </w:pPr>
          </w:p>
        </w:tc>
        <w:tc>
          <w:tcPr>
            <w:tcW w:w="1654" w:type="dxa"/>
            <w:vAlign w:val="center"/>
          </w:tcPr>
          <w:p w14:paraId="7D4C58E4" w14:textId="77777777" w:rsidR="00EA051D" w:rsidRPr="00A00782" w:rsidRDefault="00EA051D" w:rsidP="007B6AC2">
            <w:pPr>
              <w:spacing w:after="60"/>
              <w:jc w:val="center"/>
              <w:rPr>
                <w:rFonts w:ascii="Times New Roman" w:hAnsi="Times New Roman" w:cs="Times New Roman"/>
                <w:b/>
                <w:sz w:val="18"/>
                <w:szCs w:val="18"/>
              </w:rPr>
            </w:pPr>
          </w:p>
        </w:tc>
      </w:tr>
      <w:tr w:rsidR="00EA051D" w:rsidRPr="00A00782" w14:paraId="3DD3BECD" w14:textId="77777777" w:rsidTr="008E6BAE">
        <w:tc>
          <w:tcPr>
            <w:tcW w:w="4390" w:type="dxa"/>
            <w:vAlign w:val="center"/>
          </w:tcPr>
          <w:p w14:paraId="636185B8" w14:textId="1353CC91"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 xml:space="preserve">Pēc alternatīvas ieviešanas </w:t>
            </w:r>
            <w:r w:rsidR="00E42A27" w:rsidRPr="00A00782">
              <w:rPr>
                <w:rFonts w:ascii="Times New Roman" w:hAnsi="Times New Roman" w:cs="Times New Roman"/>
                <w:sz w:val="20"/>
                <w:szCs w:val="20"/>
              </w:rPr>
              <w:t>notekūdeņu dūņu</w:t>
            </w:r>
            <w:r w:rsidRPr="00A00782">
              <w:rPr>
                <w:rFonts w:ascii="Times New Roman" w:hAnsi="Times New Roman" w:cs="Times New Roman"/>
                <w:sz w:val="20"/>
                <w:szCs w:val="20"/>
              </w:rPr>
              <w:t xml:space="preserve"> pārstrāde vai utilizācija tiek veikta neatbilstoši prasībām</w:t>
            </w:r>
          </w:p>
        </w:tc>
        <w:tc>
          <w:tcPr>
            <w:tcW w:w="1653" w:type="dxa"/>
            <w:shd w:val="clear" w:color="auto" w:fill="92D050"/>
            <w:vAlign w:val="center"/>
          </w:tcPr>
          <w:p w14:paraId="2F53DDC1"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3F6EFCE5"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92D050"/>
            <w:vAlign w:val="center"/>
          </w:tcPr>
          <w:p w14:paraId="1FE8B77B"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r>
      <w:tr w:rsidR="00EA051D" w:rsidRPr="00A00782" w14:paraId="1474BCBD" w14:textId="77777777" w:rsidTr="008E6BAE">
        <w:tc>
          <w:tcPr>
            <w:tcW w:w="4390" w:type="dxa"/>
            <w:vAlign w:val="center"/>
          </w:tcPr>
          <w:p w14:paraId="7F4BA57F" w14:textId="77777777" w:rsidR="00EA051D" w:rsidRPr="00A00782" w:rsidRDefault="00000000" w:rsidP="007B6AC2">
            <w:pPr>
              <w:spacing w:after="60"/>
              <w:rPr>
                <w:rFonts w:ascii="Times New Roman" w:hAnsi="Times New Roman" w:cs="Times New Roman"/>
                <w:sz w:val="20"/>
                <w:szCs w:val="20"/>
              </w:rPr>
            </w:pPr>
            <w:sdt>
              <w:sdtPr>
                <w:rPr>
                  <w:rFonts w:ascii="Times New Roman" w:hAnsi="Times New Roman" w:cs="Times New Roman"/>
                </w:rPr>
                <w:tag w:val="goog_rdk_15"/>
                <w:id w:val="-624006926"/>
              </w:sdtPr>
              <w:sdtContent>
                <w:r w:rsidR="00EA051D" w:rsidRPr="00A00782">
                  <w:rPr>
                    <w:rFonts w:ascii="Times New Roman" w:hAnsi="Times New Roman" w:cs="Times New Roman"/>
                    <w:sz w:val="20"/>
                    <w:szCs w:val="20"/>
                  </w:rPr>
                  <w:t>P</w:t>
                </w:r>
              </w:sdtContent>
            </w:sdt>
            <w:r w:rsidR="00EA051D" w:rsidRPr="00A00782">
              <w:rPr>
                <w:rFonts w:ascii="Times New Roman" w:hAnsi="Times New Roman" w:cs="Times New Roman"/>
                <w:sz w:val="20"/>
                <w:szCs w:val="20"/>
              </w:rPr>
              <w:t xml:space="preserve">ēc </w:t>
            </w:r>
            <w:sdt>
              <w:sdtPr>
                <w:rPr>
                  <w:rFonts w:ascii="Times New Roman" w:hAnsi="Times New Roman" w:cs="Times New Roman"/>
                </w:rPr>
                <w:tag w:val="goog_rdk_15"/>
                <w:id w:val="-376861131"/>
              </w:sdtPr>
              <w:sdtContent/>
            </w:sdt>
            <w:r w:rsidR="00EA051D" w:rsidRPr="00A00782">
              <w:rPr>
                <w:rFonts w:ascii="Times New Roman" w:hAnsi="Times New Roman" w:cs="Times New Roman"/>
                <w:sz w:val="20"/>
                <w:szCs w:val="20"/>
              </w:rPr>
              <w:t>alternatīvas ieviešanas pastāv būtiski vides risku draudi konkrētā vietā</w:t>
            </w:r>
          </w:p>
        </w:tc>
        <w:tc>
          <w:tcPr>
            <w:tcW w:w="1653" w:type="dxa"/>
            <w:shd w:val="clear" w:color="auto" w:fill="FFC000"/>
            <w:vAlign w:val="center"/>
          </w:tcPr>
          <w:p w14:paraId="1418EFFA"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C000"/>
            <w:vAlign w:val="center"/>
          </w:tcPr>
          <w:p w14:paraId="1BBB009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0000"/>
            <w:vAlign w:val="center"/>
          </w:tcPr>
          <w:p w14:paraId="70129897"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Augsts</w:t>
            </w:r>
          </w:p>
        </w:tc>
      </w:tr>
      <w:tr w:rsidR="00EA051D" w:rsidRPr="00A00782" w14:paraId="13C3F8A1" w14:textId="77777777" w:rsidTr="008E6BAE">
        <w:tc>
          <w:tcPr>
            <w:tcW w:w="4390" w:type="dxa"/>
            <w:vAlign w:val="center"/>
          </w:tcPr>
          <w:p w14:paraId="5D795714"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Pēc alternatīvas ieviešanas netiek veicināta vides kvalitātes uzlabošanās</w:t>
            </w:r>
          </w:p>
        </w:tc>
        <w:tc>
          <w:tcPr>
            <w:tcW w:w="1653" w:type="dxa"/>
            <w:shd w:val="clear" w:color="auto" w:fill="92D050"/>
            <w:vAlign w:val="center"/>
          </w:tcPr>
          <w:p w14:paraId="130E91DB"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30FE2E24"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C000"/>
            <w:vAlign w:val="center"/>
          </w:tcPr>
          <w:p w14:paraId="223CDBAB"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068BEF39" w14:textId="77777777" w:rsidTr="008E6BAE">
        <w:tc>
          <w:tcPr>
            <w:tcW w:w="4390" w:type="dxa"/>
            <w:vAlign w:val="center"/>
          </w:tcPr>
          <w:p w14:paraId="6025F33B"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Pēc alternatīvas ieviešanas ir iespējama jaunu atkritumu rašanās</w:t>
            </w:r>
          </w:p>
        </w:tc>
        <w:tc>
          <w:tcPr>
            <w:tcW w:w="1653" w:type="dxa"/>
            <w:shd w:val="clear" w:color="auto" w:fill="92D050"/>
            <w:vAlign w:val="center"/>
          </w:tcPr>
          <w:p w14:paraId="2AF107DC"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92D050"/>
            <w:vAlign w:val="center"/>
          </w:tcPr>
          <w:p w14:paraId="7BC74C33"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27C3331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1F48F161" w14:textId="77777777" w:rsidTr="008E6BAE">
        <w:tc>
          <w:tcPr>
            <w:tcW w:w="4390" w:type="dxa"/>
            <w:vAlign w:val="center"/>
          </w:tcPr>
          <w:p w14:paraId="41650678"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Pēc alternatīvas ieviešanas tiek veicināta piesārņojuma izplatība vidē</w:t>
            </w:r>
          </w:p>
        </w:tc>
        <w:tc>
          <w:tcPr>
            <w:tcW w:w="1653" w:type="dxa"/>
            <w:shd w:val="clear" w:color="auto" w:fill="92D050"/>
            <w:vAlign w:val="center"/>
          </w:tcPr>
          <w:p w14:paraId="5BB5FC3D"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6F9A9769"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FFC000"/>
            <w:vAlign w:val="center"/>
          </w:tcPr>
          <w:p w14:paraId="18AF7C86"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768FAB8B" w14:textId="77777777" w:rsidTr="008E6BAE">
        <w:tc>
          <w:tcPr>
            <w:tcW w:w="4390" w:type="dxa"/>
            <w:vAlign w:val="center"/>
          </w:tcPr>
          <w:p w14:paraId="4C60E1C4"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Pēc alternatīvas ieviešanas rodas avāriju un katastrofu riski</w:t>
            </w:r>
          </w:p>
        </w:tc>
        <w:tc>
          <w:tcPr>
            <w:tcW w:w="1653" w:type="dxa"/>
            <w:shd w:val="clear" w:color="auto" w:fill="FFC000"/>
            <w:vAlign w:val="center"/>
          </w:tcPr>
          <w:p w14:paraId="3BC1F9A4"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92D050"/>
            <w:vAlign w:val="center"/>
          </w:tcPr>
          <w:p w14:paraId="1B92CF76"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6A2DB543"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r w:rsidR="00EA051D" w:rsidRPr="00A00782" w14:paraId="1FE1FC0E" w14:textId="77777777" w:rsidTr="008E6BAE">
        <w:tc>
          <w:tcPr>
            <w:tcW w:w="4390" w:type="dxa"/>
            <w:vAlign w:val="center"/>
          </w:tcPr>
          <w:p w14:paraId="00B4FC65" w14:textId="77777777" w:rsidR="00EA051D" w:rsidRPr="00A00782" w:rsidRDefault="00EA051D" w:rsidP="007B6AC2">
            <w:pPr>
              <w:spacing w:after="60"/>
              <w:rPr>
                <w:rFonts w:ascii="Times New Roman" w:hAnsi="Times New Roman" w:cs="Times New Roman"/>
                <w:sz w:val="20"/>
                <w:szCs w:val="20"/>
              </w:rPr>
            </w:pPr>
            <w:r w:rsidRPr="00A00782">
              <w:rPr>
                <w:rFonts w:ascii="Times New Roman" w:hAnsi="Times New Roman" w:cs="Times New Roman"/>
                <w:sz w:val="20"/>
                <w:szCs w:val="20"/>
              </w:rPr>
              <w:t>Pēc alternatīvas ieviešanas rodas cilvēku veselības riski</w:t>
            </w:r>
          </w:p>
        </w:tc>
        <w:tc>
          <w:tcPr>
            <w:tcW w:w="1653" w:type="dxa"/>
            <w:shd w:val="clear" w:color="auto" w:fill="FFC000"/>
            <w:vAlign w:val="center"/>
          </w:tcPr>
          <w:p w14:paraId="3A435CC6"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c>
          <w:tcPr>
            <w:tcW w:w="1654" w:type="dxa"/>
            <w:shd w:val="clear" w:color="auto" w:fill="92D050"/>
            <w:vAlign w:val="center"/>
          </w:tcPr>
          <w:p w14:paraId="454AE69B"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Zems</w:t>
            </w:r>
          </w:p>
        </w:tc>
        <w:tc>
          <w:tcPr>
            <w:tcW w:w="1654" w:type="dxa"/>
            <w:shd w:val="clear" w:color="auto" w:fill="FFC000"/>
            <w:vAlign w:val="center"/>
          </w:tcPr>
          <w:p w14:paraId="657DA2F8" w14:textId="77777777" w:rsidR="00EA051D" w:rsidRPr="00A00782" w:rsidRDefault="00EA051D" w:rsidP="007B6AC2">
            <w:pPr>
              <w:spacing w:after="60"/>
              <w:jc w:val="center"/>
              <w:rPr>
                <w:rFonts w:ascii="Times New Roman" w:hAnsi="Times New Roman" w:cs="Times New Roman"/>
                <w:sz w:val="18"/>
                <w:szCs w:val="18"/>
              </w:rPr>
            </w:pPr>
            <w:r w:rsidRPr="00A00782">
              <w:rPr>
                <w:rFonts w:ascii="Times New Roman" w:hAnsi="Times New Roman" w:cs="Times New Roman"/>
                <w:sz w:val="18"/>
                <w:szCs w:val="18"/>
              </w:rPr>
              <w:t>Vidējs</w:t>
            </w:r>
          </w:p>
        </w:tc>
      </w:tr>
    </w:tbl>
    <w:p w14:paraId="3B8F7782" w14:textId="77777777" w:rsidR="00D901C1" w:rsidRPr="00175DD0" w:rsidRDefault="00D901C1" w:rsidP="00D901C1">
      <w:pPr>
        <w:jc w:val="center"/>
        <w:rPr>
          <w:rFonts w:ascii="Bahnschrift SemiCondensed" w:hAnsi="Bahnschrift SemiCondensed"/>
          <w:color w:val="1F4E79" w:themeColor="accent1" w:themeShade="80"/>
          <w:sz w:val="32"/>
        </w:rPr>
      </w:pPr>
      <w:bookmarkStart w:id="77" w:name="_Toc82277619"/>
    </w:p>
    <w:p w14:paraId="09E88894" w14:textId="77777777" w:rsidR="00F2058B" w:rsidRPr="00175DD0" w:rsidRDefault="00F2058B" w:rsidP="00D901C1">
      <w:pPr>
        <w:jc w:val="center"/>
        <w:rPr>
          <w:rFonts w:ascii="Bahnschrift SemiCondensed" w:hAnsi="Bahnschrift SemiCondensed"/>
          <w:color w:val="1F4E79" w:themeColor="accent1" w:themeShade="80"/>
          <w:sz w:val="32"/>
        </w:rPr>
      </w:pPr>
    </w:p>
    <w:p w14:paraId="38CC3AC8" w14:textId="77777777" w:rsidR="007B6AC2" w:rsidRPr="00175DD0" w:rsidRDefault="007B6AC2" w:rsidP="00D901C1">
      <w:pPr>
        <w:jc w:val="center"/>
        <w:rPr>
          <w:rFonts w:ascii="Bahnschrift SemiCondensed" w:hAnsi="Bahnschrift SemiCondensed"/>
          <w:color w:val="1F4E79" w:themeColor="accent1" w:themeShade="80"/>
          <w:sz w:val="32"/>
        </w:rPr>
      </w:pPr>
    </w:p>
    <w:p w14:paraId="0DF7DA29" w14:textId="77777777" w:rsidR="007B6AC2" w:rsidRPr="00175DD0" w:rsidRDefault="007B6AC2" w:rsidP="00D901C1">
      <w:pPr>
        <w:jc w:val="center"/>
        <w:rPr>
          <w:rFonts w:ascii="Bahnschrift SemiCondensed" w:hAnsi="Bahnschrift SemiCondensed"/>
          <w:color w:val="1F4E79" w:themeColor="accent1" w:themeShade="80"/>
          <w:sz w:val="32"/>
        </w:rPr>
      </w:pPr>
    </w:p>
    <w:p w14:paraId="4811AE2C" w14:textId="0468A3CE" w:rsidR="00EA051D" w:rsidRPr="00A00782" w:rsidRDefault="00EA051D" w:rsidP="00A00782">
      <w:pPr>
        <w:spacing w:after="0"/>
        <w:jc w:val="right"/>
        <w:rPr>
          <w:rFonts w:ascii="Times New Roman" w:hAnsi="Times New Roman" w:cs="Times New Roman"/>
          <w:szCs w:val="24"/>
        </w:rPr>
      </w:pPr>
      <w:r w:rsidRPr="00A00782">
        <w:rPr>
          <w:rFonts w:ascii="Times New Roman" w:hAnsi="Times New Roman" w:cs="Times New Roman"/>
          <w:szCs w:val="24"/>
        </w:rPr>
        <w:lastRenderedPageBreak/>
        <w:t>4.2.pielikums</w:t>
      </w:r>
      <w:bookmarkEnd w:id="77"/>
    </w:p>
    <w:p w14:paraId="6953BA54" w14:textId="1F1C400E" w:rsidR="00EA051D" w:rsidRDefault="004227EA" w:rsidP="00D47327">
      <w:pPr>
        <w:pStyle w:val="Heading2"/>
        <w:spacing w:before="0"/>
        <w:jc w:val="center"/>
        <w:rPr>
          <w:rFonts w:ascii="Times New Roman" w:hAnsi="Times New Roman" w:cs="Times New Roman"/>
          <w:b/>
          <w:bCs/>
          <w:color w:val="auto"/>
          <w:sz w:val="24"/>
          <w:szCs w:val="24"/>
        </w:rPr>
      </w:pPr>
      <w:bookmarkStart w:id="78" w:name="_Toc82277620"/>
      <w:bookmarkStart w:id="79" w:name="_Toc107916330"/>
      <w:r>
        <w:rPr>
          <w:rFonts w:ascii="Times New Roman" w:hAnsi="Times New Roman" w:cs="Times New Roman"/>
          <w:b/>
          <w:bCs/>
          <w:color w:val="auto"/>
          <w:sz w:val="24"/>
          <w:szCs w:val="24"/>
        </w:rPr>
        <w:t xml:space="preserve">4.2. </w:t>
      </w:r>
      <w:r w:rsidR="00A00782" w:rsidRPr="00A00782">
        <w:rPr>
          <w:rFonts w:ascii="Times New Roman" w:hAnsi="Times New Roman" w:cs="Times New Roman"/>
          <w:b/>
          <w:bCs/>
          <w:color w:val="auto"/>
          <w:sz w:val="24"/>
          <w:szCs w:val="24"/>
        </w:rPr>
        <w:t>Detalizēts alternatīvu novērtējums notekūdeņu dūņu apsaimniekošanā, izmantojot pastāvošo infrastruktūru ārpus sps uzņēmumiem</w:t>
      </w:r>
      <w:bookmarkEnd w:id="78"/>
      <w:bookmarkEnd w:id="79"/>
    </w:p>
    <w:p w14:paraId="2354C3DB" w14:textId="77777777" w:rsidR="00DC41D5" w:rsidRPr="00DC41D5" w:rsidRDefault="00DC41D5" w:rsidP="00D47327">
      <w:pPr>
        <w:spacing w:after="0"/>
      </w:pPr>
    </w:p>
    <w:p w14:paraId="4C201B61" w14:textId="05EA64E1" w:rsidR="00EA051D" w:rsidRPr="00D305F6" w:rsidRDefault="00EA051D" w:rsidP="00D305F6">
      <w:pPr>
        <w:jc w:val="center"/>
        <w:rPr>
          <w:rFonts w:ascii="Times New Roman" w:hAnsi="Times New Roman" w:cs="Times New Roman"/>
          <w:b/>
          <w:bCs/>
          <w:color w:val="5B9BD5" w:themeColor="accent1"/>
        </w:rPr>
      </w:pPr>
      <w:bookmarkStart w:id="80" w:name="_Toc82277621"/>
      <w:r w:rsidRPr="00D305F6">
        <w:rPr>
          <w:rFonts w:ascii="Times New Roman" w:hAnsi="Times New Roman" w:cs="Times New Roman"/>
          <w:b/>
          <w:bCs/>
          <w:color w:val="5B9BD5" w:themeColor="accent1"/>
        </w:rPr>
        <w:t>A1. Alternatīva: Notekūdeņu dūņu apsaimniekošana atkritumu apsaimniekošanas sistēmā</w:t>
      </w:r>
      <w:r w:rsidRPr="00D305F6">
        <w:rPr>
          <w:rFonts w:ascii="Times New Roman" w:hAnsi="Times New Roman" w:cs="Times New Roman"/>
          <w:b/>
          <w:bCs/>
          <w:color w:val="5B9BD5" w:themeColor="accent1"/>
          <w:vertAlign w:val="superscript"/>
        </w:rPr>
        <w:footnoteReference w:id="20"/>
      </w:r>
      <w:bookmarkEnd w:id="80"/>
    </w:p>
    <w:p w14:paraId="292A9C4C" w14:textId="77777777" w:rsidR="00DC41D5" w:rsidRDefault="00DC41D5" w:rsidP="00D47327">
      <w:pPr>
        <w:spacing w:after="0"/>
        <w:rPr>
          <w:rFonts w:ascii="Times New Roman" w:hAnsi="Times New Roman" w:cs="Times New Roman"/>
        </w:rPr>
      </w:pPr>
    </w:p>
    <w:p w14:paraId="06C7438A" w14:textId="040442CB" w:rsidR="00EA051D" w:rsidRPr="00AB4B65" w:rsidRDefault="00EA051D" w:rsidP="00D47327">
      <w:pPr>
        <w:spacing w:after="0"/>
        <w:ind w:firstLine="720"/>
        <w:rPr>
          <w:rFonts w:ascii="Times New Roman" w:hAnsi="Times New Roman" w:cs="Times New Roman"/>
        </w:rPr>
      </w:pPr>
      <w:r w:rsidRPr="00AB4B65">
        <w:rPr>
          <w:rFonts w:ascii="Times New Roman" w:hAnsi="Times New Roman" w:cs="Times New Roman"/>
        </w:rPr>
        <w:t>Atbilstoši Ministru kabineta 2013. gada 25. jūnija noteikumiem Nr. 377 “Noteikumi par atkritumu apsaimniekošanas reģioniem” Latvijā ir izveidoti un patlaban darbojas 10 atkritumu apsaimniekošanas reģioni (sk. 4.</w:t>
      </w:r>
      <w:r w:rsidR="002B1367">
        <w:rPr>
          <w:rFonts w:ascii="Times New Roman" w:hAnsi="Times New Roman" w:cs="Times New Roman"/>
        </w:rPr>
        <w:t>2.</w:t>
      </w:r>
      <w:r w:rsidRPr="00AB4B65">
        <w:rPr>
          <w:rFonts w:ascii="Times New Roman" w:hAnsi="Times New Roman" w:cs="Times New Roman"/>
        </w:rPr>
        <w:t>1.attēlu). 2021.gada 6.aprīlī sabiedriskai apspriešanai tika nodoti jauni MK noteikumi par atkritumu apsaimniekošanas reģioniem. Šie MK noteikumi paredz samazināt atkritumu apsaimniekošanas reģionu skaitu, vairākus no tiem apvienojot. Vidējā atkritumu apsaimniekošanas reģiona (turpmāk - AAR) platība Latvijā ir 6457 km</w:t>
      </w:r>
      <w:r w:rsidRPr="00AB4B65">
        <w:rPr>
          <w:rFonts w:ascii="Times New Roman" w:hAnsi="Times New Roman" w:cs="Times New Roman"/>
          <w:vertAlign w:val="superscript"/>
        </w:rPr>
        <w:t>2</w:t>
      </w:r>
      <w:r w:rsidRPr="00AB4B65">
        <w:rPr>
          <w:rFonts w:ascii="Times New Roman" w:hAnsi="Times New Roman" w:cs="Times New Roman"/>
        </w:rPr>
        <w:t>. Ziemeļvidzemes AAR un Vidusdaugavas AAR ir vislielākie platības ziņā (vairāk nekā 7100 km</w:t>
      </w:r>
      <w:r w:rsidRPr="00AB4B65">
        <w:rPr>
          <w:rFonts w:ascii="Times New Roman" w:hAnsi="Times New Roman" w:cs="Times New Roman"/>
          <w:vertAlign w:val="superscript"/>
        </w:rPr>
        <w:t>2</w:t>
      </w:r>
      <w:r w:rsidRPr="00AB4B65">
        <w:rPr>
          <w:rFonts w:ascii="Times New Roman" w:hAnsi="Times New Roman" w:cs="Times New Roman"/>
        </w:rPr>
        <w:t>), Ventspils AAR – vismazākais (4464 km</w:t>
      </w:r>
      <w:r w:rsidRPr="00AB4B65">
        <w:rPr>
          <w:rFonts w:ascii="Times New Roman" w:hAnsi="Times New Roman" w:cs="Times New Roman"/>
          <w:vertAlign w:val="superscript"/>
        </w:rPr>
        <w:t>2</w:t>
      </w:r>
      <w:r w:rsidRPr="00AB4B65">
        <w:rPr>
          <w:rFonts w:ascii="Times New Roman" w:hAnsi="Times New Roman" w:cs="Times New Roman"/>
        </w:rPr>
        <w:t>). A1. alternatīvas ietvaros ir vērtētas iespējas notekūdeņu dūņas utilizēt, izmantojot šo atkritumu organizāciju apsaimniekošanā esošo infrastruktūru, kā arī pašvaldību un privāto komersantu izveidotos kompostēšanas laukumus.</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0"/>
        <w:gridCol w:w="5103"/>
      </w:tblGrid>
      <w:tr w:rsidR="00EA051D" w:rsidRPr="00175DD0" w14:paraId="3073608B" w14:textId="77777777" w:rsidTr="008E6BAE">
        <w:trPr>
          <w:trHeight w:val="3840"/>
        </w:trPr>
        <w:tc>
          <w:tcPr>
            <w:tcW w:w="4390" w:type="dxa"/>
          </w:tcPr>
          <w:p w14:paraId="2576BCCE" w14:textId="750802DD" w:rsidR="00EA051D" w:rsidRPr="00175DD0" w:rsidRDefault="00EA051D" w:rsidP="008E6BAE">
            <w:pPr>
              <w:rPr>
                <w:rFonts w:cstheme="minorHAnsi"/>
              </w:rPr>
            </w:pPr>
          </w:p>
          <w:p w14:paraId="5736031A" w14:textId="2A6394BA" w:rsidR="00EA051D" w:rsidRPr="00175DD0" w:rsidRDefault="00603B7B" w:rsidP="008E6BAE">
            <w:pPr>
              <w:pBdr>
                <w:top w:val="nil"/>
                <w:left w:val="nil"/>
                <w:bottom w:val="nil"/>
                <w:right w:val="nil"/>
                <w:between w:val="nil"/>
              </w:pBdr>
              <w:spacing w:line="259" w:lineRule="auto"/>
              <w:rPr>
                <w:rFonts w:cstheme="minorHAnsi"/>
                <w:color w:val="000000"/>
              </w:rPr>
            </w:pPr>
            <w:r w:rsidRPr="00175DD0">
              <w:rPr>
                <w:rFonts w:cstheme="minorHAnsi"/>
                <w:noProof/>
                <w:color w:val="000000"/>
                <w:lang w:eastAsia="lv-LV"/>
              </w:rPr>
              <w:drawing>
                <wp:anchor distT="0" distB="0" distL="114300" distR="114300" simplePos="0" relativeHeight="251658252" behindDoc="1" locked="0" layoutInCell="1" allowOverlap="1" wp14:anchorId="2ACE2B3F" wp14:editId="269279AE">
                  <wp:simplePos x="0" y="0"/>
                  <wp:positionH relativeFrom="column">
                    <wp:posOffset>-68580</wp:posOffset>
                  </wp:positionH>
                  <wp:positionV relativeFrom="paragraph">
                    <wp:posOffset>178435</wp:posOffset>
                  </wp:positionV>
                  <wp:extent cx="2797175" cy="1719580"/>
                  <wp:effectExtent l="0" t="0" r="3175" b="0"/>
                  <wp:wrapTight wrapText="bothSides">
                    <wp:wrapPolygon edited="0">
                      <wp:start x="0" y="0"/>
                      <wp:lineTo x="0" y="21297"/>
                      <wp:lineTo x="21477" y="21297"/>
                      <wp:lineTo x="21477" y="0"/>
                      <wp:lineTo x="0" y="0"/>
                    </wp:wrapPolygon>
                  </wp:wrapTight>
                  <wp:docPr id="5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extLst>
                              <a:ext uri="{28A0092B-C50C-407E-A947-70E740481C1C}">
                                <a14:useLocalDpi xmlns:a14="http://schemas.microsoft.com/office/drawing/2010/main"/>
                              </a:ext>
                            </a:extLst>
                          </a:blip>
                          <a:srcRect/>
                          <a:stretch>
                            <a:fillRect/>
                          </a:stretch>
                        </pic:blipFill>
                        <pic:spPr>
                          <a:xfrm>
                            <a:off x="0" y="0"/>
                            <a:ext cx="2797175" cy="1719580"/>
                          </a:xfrm>
                          <a:prstGeom prst="rect">
                            <a:avLst/>
                          </a:prstGeom>
                          <a:ln/>
                        </pic:spPr>
                      </pic:pic>
                    </a:graphicData>
                  </a:graphic>
                  <wp14:sizeRelH relativeFrom="page">
                    <wp14:pctWidth>0</wp14:pctWidth>
                  </wp14:sizeRelH>
                  <wp14:sizeRelV relativeFrom="page">
                    <wp14:pctHeight>0</wp14:pctHeight>
                  </wp14:sizeRelV>
                </wp:anchor>
              </w:drawing>
            </w:r>
            <w:r w:rsidR="00EA051D" w:rsidRPr="00175DD0">
              <w:rPr>
                <w:rFonts w:cstheme="minorHAnsi"/>
                <w:color w:val="000000"/>
              </w:rPr>
              <w:t xml:space="preserve"> </w:t>
            </w:r>
          </w:p>
        </w:tc>
        <w:tc>
          <w:tcPr>
            <w:tcW w:w="5103" w:type="dxa"/>
          </w:tcPr>
          <w:tbl>
            <w:tblPr>
              <w:tblW w:w="5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9"/>
              <w:gridCol w:w="1697"/>
              <w:gridCol w:w="1692"/>
            </w:tblGrid>
            <w:tr w:rsidR="00EA051D" w:rsidRPr="00D47327" w14:paraId="6FFFEF34" w14:textId="77777777" w:rsidTr="008E6BAE">
              <w:trPr>
                <w:trHeight w:val="420"/>
                <w:jc w:val="center"/>
              </w:trPr>
              <w:tc>
                <w:tcPr>
                  <w:tcW w:w="169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E21D53C" w14:textId="77777777" w:rsidR="00EA051D" w:rsidRPr="00D47327" w:rsidRDefault="00EA051D" w:rsidP="008E6BAE">
                  <w:pPr>
                    <w:spacing w:after="0"/>
                    <w:jc w:val="center"/>
                    <w:rPr>
                      <w:rFonts w:ascii="Times New Roman" w:hAnsi="Times New Roman" w:cs="Times New Roman"/>
                      <w:b/>
                      <w:sz w:val="20"/>
                      <w:szCs w:val="20"/>
                    </w:rPr>
                  </w:pPr>
                  <w:r w:rsidRPr="00D47327">
                    <w:rPr>
                      <w:rFonts w:ascii="Times New Roman" w:hAnsi="Times New Roman" w:cs="Times New Roman"/>
                      <w:b/>
                      <w:sz w:val="20"/>
                      <w:szCs w:val="20"/>
                    </w:rPr>
                    <w:t>AAR</w:t>
                  </w:r>
                </w:p>
              </w:tc>
              <w:tc>
                <w:tcPr>
                  <w:tcW w:w="169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2FE4202" w14:textId="77777777" w:rsidR="00EA051D" w:rsidRPr="00D47327" w:rsidRDefault="00EA051D" w:rsidP="008E6BAE">
                  <w:pPr>
                    <w:spacing w:after="0"/>
                    <w:jc w:val="center"/>
                    <w:rPr>
                      <w:rFonts w:ascii="Times New Roman" w:hAnsi="Times New Roman" w:cs="Times New Roman"/>
                      <w:b/>
                      <w:sz w:val="20"/>
                      <w:szCs w:val="20"/>
                    </w:rPr>
                  </w:pPr>
                  <w:r w:rsidRPr="00D47327">
                    <w:rPr>
                      <w:rFonts w:ascii="Times New Roman" w:hAnsi="Times New Roman" w:cs="Times New Roman"/>
                      <w:b/>
                      <w:sz w:val="20"/>
                      <w:szCs w:val="20"/>
                    </w:rPr>
                    <w:t>Poligons</w:t>
                  </w:r>
                </w:p>
              </w:tc>
              <w:tc>
                <w:tcPr>
                  <w:tcW w:w="1692" w:type="dxa"/>
                  <w:tcBorders>
                    <w:top w:val="single" w:sz="4" w:space="0" w:color="000000"/>
                    <w:left w:val="single" w:sz="4" w:space="0" w:color="000000"/>
                    <w:bottom w:val="single" w:sz="4" w:space="0" w:color="000000"/>
                    <w:right w:val="single" w:sz="4" w:space="0" w:color="000000"/>
                  </w:tcBorders>
                  <w:shd w:val="clear" w:color="auto" w:fill="E2EFD9"/>
                </w:tcPr>
                <w:p w14:paraId="6F36E6B8" w14:textId="77777777" w:rsidR="00EA051D" w:rsidRPr="00D47327" w:rsidRDefault="00EA051D" w:rsidP="008E6BAE">
                  <w:pPr>
                    <w:spacing w:after="0"/>
                    <w:jc w:val="center"/>
                    <w:rPr>
                      <w:rFonts w:ascii="Times New Roman" w:hAnsi="Times New Roman" w:cs="Times New Roman"/>
                      <w:b/>
                      <w:sz w:val="20"/>
                      <w:szCs w:val="20"/>
                    </w:rPr>
                  </w:pPr>
                  <w:r w:rsidRPr="00D47327">
                    <w:rPr>
                      <w:rFonts w:ascii="Times New Roman" w:hAnsi="Times New Roman" w:cs="Times New Roman"/>
                      <w:b/>
                      <w:sz w:val="20"/>
                      <w:szCs w:val="20"/>
                    </w:rPr>
                    <w:t>Kompostēšanas laukums (R3A)</w:t>
                  </w:r>
                </w:p>
                <w:p w14:paraId="283E1031" w14:textId="77777777" w:rsidR="00EA051D" w:rsidRPr="00D47327" w:rsidRDefault="00EA051D" w:rsidP="008E6BAE">
                  <w:pPr>
                    <w:spacing w:after="0"/>
                    <w:jc w:val="center"/>
                    <w:rPr>
                      <w:rFonts w:ascii="Times New Roman" w:hAnsi="Times New Roman" w:cs="Times New Roman"/>
                      <w:b/>
                      <w:sz w:val="20"/>
                      <w:szCs w:val="20"/>
                      <w:vertAlign w:val="superscript"/>
                    </w:rPr>
                  </w:pPr>
                  <w:r w:rsidRPr="00D47327">
                    <w:rPr>
                      <w:rFonts w:ascii="Times New Roman" w:hAnsi="Times New Roman" w:cs="Times New Roman"/>
                      <w:b/>
                      <w:sz w:val="20"/>
                      <w:szCs w:val="20"/>
                    </w:rPr>
                    <w:t>m</w:t>
                  </w:r>
                  <w:r w:rsidRPr="00D47327">
                    <w:rPr>
                      <w:rFonts w:ascii="Times New Roman" w:hAnsi="Times New Roman" w:cs="Times New Roman"/>
                      <w:b/>
                      <w:sz w:val="20"/>
                      <w:szCs w:val="20"/>
                      <w:vertAlign w:val="superscript"/>
                    </w:rPr>
                    <w:t>2</w:t>
                  </w:r>
                </w:p>
              </w:tc>
            </w:tr>
            <w:tr w:rsidR="00EA051D" w:rsidRPr="00D47327" w14:paraId="18EFACD1" w14:textId="77777777" w:rsidTr="008E6BAE">
              <w:trPr>
                <w:trHeight w:val="300"/>
                <w:jc w:val="center"/>
              </w:trPr>
              <w:tc>
                <w:tcPr>
                  <w:tcW w:w="1699" w:type="dxa"/>
                  <w:tcBorders>
                    <w:top w:val="single" w:sz="4" w:space="0" w:color="000000"/>
                    <w:left w:val="single" w:sz="4" w:space="0" w:color="595959"/>
                    <w:bottom w:val="single" w:sz="4" w:space="0" w:color="595959"/>
                    <w:right w:val="single" w:sz="4" w:space="0" w:color="595959"/>
                  </w:tcBorders>
                </w:tcPr>
                <w:p w14:paraId="4888A210"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Pierīga</w:t>
                  </w:r>
                </w:p>
              </w:tc>
              <w:tc>
                <w:tcPr>
                  <w:tcW w:w="1697" w:type="dxa"/>
                  <w:tcBorders>
                    <w:top w:val="single" w:sz="4" w:space="0" w:color="000000"/>
                    <w:left w:val="single" w:sz="4" w:space="0" w:color="595959"/>
                    <w:bottom w:val="single" w:sz="4" w:space="0" w:color="595959"/>
                    <w:right w:val="single" w:sz="4" w:space="0" w:color="595959"/>
                  </w:tcBorders>
                  <w:shd w:val="clear" w:color="auto" w:fill="auto"/>
                  <w:vAlign w:val="center"/>
                </w:tcPr>
                <w:p w14:paraId="3CBE2989"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Getliņi</w:t>
                  </w:r>
                </w:p>
              </w:tc>
              <w:tc>
                <w:tcPr>
                  <w:tcW w:w="1692" w:type="dxa"/>
                  <w:tcBorders>
                    <w:top w:val="single" w:sz="4" w:space="0" w:color="000000"/>
                    <w:left w:val="single" w:sz="4" w:space="0" w:color="595959"/>
                    <w:bottom w:val="single" w:sz="4" w:space="0" w:color="595959"/>
                    <w:right w:val="single" w:sz="4" w:space="0" w:color="595959"/>
                  </w:tcBorders>
                </w:tcPr>
                <w:p w14:paraId="664C51EC"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 xml:space="preserve">1 400 </w:t>
                  </w:r>
                </w:p>
              </w:tc>
            </w:tr>
            <w:tr w:rsidR="00EA051D" w:rsidRPr="00D47327" w14:paraId="642D5A4C" w14:textId="77777777" w:rsidTr="008E6BAE">
              <w:trPr>
                <w:trHeight w:val="300"/>
                <w:jc w:val="center"/>
              </w:trPr>
              <w:tc>
                <w:tcPr>
                  <w:tcW w:w="1699" w:type="dxa"/>
                  <w:tcBorders>
                    <w:top w:val="nil"/>
                    <w:left w:val="single" w:sz="4" w:space="0" w:color="595959"/>
                    <w:bottom w:val="single" w:sz="4" w:space="0" w:color="595959"/>
                    <w:right w:val="single" w:sz="4" w:space="0" w:color="595959"/>
                  </w:tcBorders>
                </w:tcPr>
                <w:p w14:paraId="3DC59ED9"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Ziemeļvidzeme</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616BCB43"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Daibe</w:t>
                  </w:r>
                </w:p>
              </w:tc>
              <w:tc>
                <w:tcPr>
                  <w:tcW w:w="1692" w:type="dxa"/>
                  <w:tcBorders>
                    <w:top w:val="nil"/>
                    <w:left w:val="single" w:sz="4" w:space="0" w:color="595959"/>
                    <w:bottom w:val="single" w:sz="4" w:space="0" w:color="595959"/>
                    <w:right w:val="single" w:sz="4" w:space="0" w:color="595959"/>
                  </w:tcBorders>
                </w:tcPr>
                <w:p w14:paraId="7F61C0C6"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5 600</w:t>
                  </w:r>
                </w:p>
              </w:tc>
            </w:tr>
            <w:tr w:rsidR="00EA051D" w:rsidRPr="00D47327" w14:paraId="4EEF5AD6" w14:textId="77777777" w:rsidTr="008E6BAE">
              <w:trPr>
                <w:trHeight w:val="315"/>
                <w:jc w:val="center"/>
              </w:trPr>
              <w:tc>
                <w:tcPr>
                  <w:tcW w:w="1699" w:type="dxa"/>
                  <w:tcBorders>
                    <w:top w:val="nil"/>
                    <w:left w:val="single" w:sz="4" w:space="0" w:color="595959"/>
                    <w:bottom w:val="single" w:sz="4" w:space="0" w:color="595959"/>
                    <w:right w:val="single" w:sz="4" w:space="0" w:color="595959"/>
                  </w:tcBorders>
                </w:tcPr>
                <w:p w14:paraId="3AEE04E1"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Ventspils</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583DFB76"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Pentuļi</w:t>
                  </w:r>
                </w:p>
              </w:tc>
              <w:tc>
                <w:tcPr>
                  <w:tcW w:w="1692" w:type="dxa"/>
                  <w:tcBorders>
                    <w:top w:val="nil"/>
                    <w:left w:val="single" w:sz="4" w:space="0" w:color="595959"/>
                    <w:bottom w:val="single" w:sz="4" w:space="0" w:color="595959"/>
                    <w:right w:val="single" w:sz="4" w:space="0" w:color="595959"/>
                  </w:tcBorders>
                </w:tcPr>
                <w:p w14:paraId="5CE4C1E5"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1 700</w:t>
                  </w:r>
                </w:p>
              </w:tc>
            </w:tr>
            <w:tr w:rsidR="00EA051D" w:rsidRPr="00D47327" w14:paraId="1C5C7EED" w14:textId="77777777" w:rsidTr="008E6BAE">
              <w:trPr>
                <w:trHeight w:val="300"/>
                <w:jc w:val="center"/>
              </w:trPr>
              <w:tc>
                <w:tcPr>
                  <w:tcW w:w="1699" w:type="dxa"/>
                  <w:tcBorders>
                    <w:top w:val="nil"/>
                    <w:left w:val="single" w:sz="4" w:space="0" w:color="595959"/>
                    <w:bottom w:val="single" w:sz="4" w:space="0" w:color="595959"/>
                    <w:right w:val="single" w:sz="4" w:space="0" w:color="595959"/>
                  </w:tcBorders>
                </w:tcPr>
                <w:p w14:paraId="4F7CAC1E"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Dienvidlatgale</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7CE3D5B5"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Cinīši</w:t>
                  </w:r>
                </w:p>
              </w:tc>
              <w:tc>
                <w:tcPr>
                  <w:tcW w:w="1692" w:type="dxa"/>
                  <w:tcBorders>
                    <w:top w:val="nil"/>
                    <w:left w:val="single" w:sz="4" w:space="0" w:color="595959"/>
                    <w:bottom w:val="single" w:sz="4" w:space="0" w:color="595959"/>
                    <w:right w:val="single" w:sz="4" w:space="0" w:color="595959"/>
                  </w:tcBorders>
                </w:tcPr>
                <w:p w14:paraId="4B8A86A6"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1 600</w:t>
                  </w:r>
                </w:p>
              </w:tc>
            </w:tr>
            <w:tr w:rsidR="00EA051D" w:rsidRPr="00D47327" w14:paraId="63CBF814" w14:textId="77777777" w:rsidTr="008E6BAE">
              <w:trPr>
                <w:trHeight w:val="300"/>
                <w:jc w:val="center"/>
              </w:trPr>
              <w:tc>
                <w:tcPr>
                  <w:tcW w:w="1699" w:type="dxa"/>
                  <w:tcBorders>
                    <w:top w:val="nil"/>
                    <w:left w:val="single" w:sz="4" w:space="0" w:color="595959"/>
                    <w:bottom w:val="single" w:sz="4" w:space="0" w:color="595959"/>
                    <w:right w:val="single" w:sz="4" w:space="0" w:color="595959"/>
                  </w:tcBorders>
                </w:tcPr>
                <w:p w14:paraId="237DFDCD"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Piejūra</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337E61B0"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Janvāri</w:t>
                  </w:r>
                </w:p>
              </w:tc>
              <w:tc>
                <w:tcPr>
                  <w:tcW w:w="1692" w:type="dxa"/>
                  <w:tcBorders>
                    <w:top w:val="nil"/>
                    <w:left w:val="single" w:sz="4" w:space="0" w:color="595959"/>
                    <w:bottom w:val="single" w:sz="4" w:space="0" w:color="595959"/>
                    <w:right w:val="single" w:sz="4" w:space="0" w:color="595959"/>
                  </w:tcBorders>
                </w:tcPr>
                <w:p w14:paraId="127669F8"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5 000</w:t>
                  </w:r>
                </w:p>
              </w:tc>
            </w:tr>
            <w:tr w:rsidR="00EA051D" w:rsidRPr="00D47327" w14:paraId="5A355E3C" w14:textId="77777777" w:rsidTr="008E6BAE">
              <w:trPr>
                <w:trHeight w:val="300"/>
                <w:jc w:val="center"/>
              </w:trPr>
              <w:tc>
                <w:tcPr>
                  <w:tcW w:w="1699" w:type="dxa"/>
                  <w:tcBorders>
                    <w:top w:val="nil"/>
                    <w:left w:val="single" w:sz="4" w:space="0" w:color="595959"/>
                    <w:bottom w:val="single" w:sz="4" w:space="0" w:color="595959"/>
                    <w:right w:val="single" w:sz="4" w:space="0" w:color="595959"/>
                  </w:tcBorders>
                </w:tcPr>
                <w:p w14:paraId="22F8FED2"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Zemgale</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455472D0"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Brakšķi</w:t>
                  </w:r>
                </w:p>
              </w:tc>
              <w:tc>
                <w:tcPr>
                  <w:tcW w:w="1692" w:type="dxa"/>
                  <w:tcBorders>
                    <w:top w:val="nil"/>
                    <w:left w:val="single" w:sz="4" w:space="0" w:color="595959"/>
                    <w:bottom w:val="single" w:sz="4" w:space="0" w:color="595959"/>
                    <w:right w:val="single" w:sz="4" w:space="0" w:color="595959"/>
                  </w:tcBorders>
                </w:tcPr>
                <w:p w14:paraId="53C57C10"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2 600</w:t>
                  </w:r>
                </w:p>
              </w:tc>
            </w:tr>
            <w:tr w:rsidR="00EA051D" w:rsidRPr="00D47327" w14:paraId="1377E68D" w14:textId="77777777" w:rsidTr="008E6BAE">
              <w:trPr>
                <w:trHeight w:val="300"/>
                <w:jc w:val="center"/>
              </w:trPr>
              <w:tc>
                <w:tcPr>
                  <w:tcW w:w="1699" w:type="dxa"/>
                  <w:tcBorders>
                    <w:top w:val="nil"/>
                    <w:left w:val="single" w:sz="4" w:space="0" w:color="595959"/>
                    <w:bottom w:val="single" w:sz="4" w:space="0" w:color="595959"/>
                    <w:right w:val="single" w:sz="4" w:space="0" w:color="595959"/>
                  </w:tcBorders>
                </w:tcPr>
                <w:p w14:paraId="4C6CF744"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Liepāja</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0B56D2E2"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Ķīvītes</w:t>
                  </w:r>
                </w:p>
              </w:tc>
              <w:tc>
                <w:tcPr>
                  <w:tcW w:w="1692" w:type="dxa"/>
                  <w:tcBorders>
                    <w:top w:val="nil"/>
                    <w:left w:val="single" w:sz="4" w:space="0" w:color="595959"/>
                    <w:bottom w:val="single" w:sz="4" w:space="0" w:color="595959"/>
                    <w:right w:val="single" w:sz="4" w:space="0" w:color="595959"/>
                  </w:tcBorders>
                </w:tcPr>
                <w:p w14:paraId="1CE4E027"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0</w:t>
                  </w:r>
                </w:p>
              </w:tc>
            </w:tr>
            <w:tr w:rsidR="00EA051D" w:rsidRPr="00D47327" w14:paraId="4174BE2F" w14:textId="77777777" w:rsidTr="008E6BAE">
              <w:trPr>
                <w:trHeight w:val="300"/>
                <w:jc w:val="center"/>
              </w:trPr>
              <w:tc>
                <w:tcPr>
                  <w:tcW w:w="1699" w:type="dxa"/>
                  <w:tcBorders>
                    <w:top w:val="nil"/>
                    <w:left w:val="single" w:sz="4" w:space="0" w:color="595959"/>
                    <w:bottom w:val="single" w:sz="4" w:space="0" w:color="595959"/>
                    <w:right w:val="single" w:sz="4" w:space="0" w:color="595959"/>
                  </w:tcBorders>
                </w:tcPr>
                <w:p w14:paraId="79D47367"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Vidusdaugava</w:t>
                  </w:r>
                </w:p>
              </w:tc>
              <w:tc>
                <w:tcPr>
                  <w:tcW w:w="1697" w:type="dxa"/>
                  <w:tcBorders>
                    <w:top w:val="nil"/>
                    <w:left w:val="single" w:sz="4" w:space="0" w:color="595959"/>
                    <w:bottom w:val="single" w:sz="4" w:space="0" w:color="595959"/>
                    <w:right w:val="single" w:sz="4" w:space="0" w:color="595959"/>
                  </w:tcBorders>
                  <w:shd w:val="clear" w:color="auto" w:fill="auto"/>
                  <w:vAlign w:val="center"/>
                </w:tcPr>
                <w:p w14:paraId="665C41DC"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Dziļā vāda</w:t>
                  </w:r>
                </w:p>
              </w:tc>
              <w:tc>
                <w:tcPr>
                  <w:tcW w:w="1692" w:type="dxa"/>
                  <w:tcBorders>
                    <w:top w:val="nil"/>
                    <w:left w:val="single" w:sz="4" w:space="0" w:color="595959"/>
                    <w:bottom w:val="single" w:sz="4" w:space="0" w:color="595959"/>
                    <w:right w:val="single" w:sz="4" w:space="0" w:color="595959"/>
                  </w:tcBorders>
                </w:tcPr>
                <w:p w14:paraId="7C57701B"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8 000</w:t>
                  </w:r>
                </w:p>
              </w:tc>
            </w:tr>
            <w:tr w:rsidR="00EA051D" w:rsidRPr="00D47327" w14:paraId="125F67DA" w14:textId="77777777" w:rsidTr="00603B7B">
              <w:trPr>
                <w:trHeight w:val="300"/>
                <w:jc w:val="center"/>
              </w:trPr>
              <w:tc>
                <w:tcPr>
                  <w:tcW w:w="1699" w:type="dxa"/>
                  <w:tcBorders>
                    <w:top w:val="nil"/>
                    <w:left w:val="single" w:sz="4" w:space="0" w:color="595959"/>
                    <w:bottom w:val="single" w:sz="4" w:space="0" w:color="auto"/>
                    <w:right w:val="single" w:sz="4" w:space="0" w:color="595959"/>
                  </w:tcBorders>
                </w:tcPr>
                <w:p w14:paraId="36B0ED03"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Austrumlatgale</w:t>
                  </w:r>
                </w:p>
              </w:tc>
              <w:tc>
                <w:tcPr>
                  <w:tcW w:w="1697" w:type="dxa"/>
                  <w:tcBorders>
                    <w:top w:val="nil"/>
                    <w:left w:val="single" w:sz="4" w:space="0" w:color="595959"/>
                    <w:bottom w:val="single" w:sz="4" w:space="0" w:color="auto"/>
                    <w:right w:val="single" w:sz="4" w:space="0" w:color="595959"/>
                  </w:tcBorders>
                  <w:shd w:val="clear" w:color="auto" w:fill="auto"/>
                  <w:vAlign w:val="center"/>
                </w:tcPr>
                <w:p w14:paraId="3C81610F"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Križevņiki</w:t>
                  </w:r>
                </w:p>
              </w:tc>
              <w:tc>
                <w:tcPr>
                  <w:tcW w:w="1692" w:type="dxa"/>
                  <w:tcBorders>
                    <w:top w:val="nil"/>
                    <w:left w:val="single" w:sz="4" w:space="0" w:color="595959"/>
                    <w:bottom w:val="single" w:sz="4" w:space="0" w:color="auto"/>
                    <w:right w:val="single" w:sz="4" w:space="0" w:color="595959"/>
                  </w:tcBorders>
                </w:tcPr>
                <w:p w14:paraId="4A75558A"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4 400</w:t>
                  </w:r>
                </w:p>
              </w:tc>
            </w:tr>
            <w:tr w:rsidR="00EA051D" w:rsidRPr="00D47327" w14:paraId="13AE5244" w14:textId="77777777" w:rsidTr="00603B7B">
              <w:trPr>
                <w:trHeight w:val="300"/>
                <w:jc w:val="center"/>
              </w:trPr>
              <w:tc>
                <w:tcPr>
                  <w:tcW w:w="1699" w:type="dxa"/>
                  <w:tcBorders>
                    <w:top w:val="single" w:sz="4" w:space="0" w:color="auto"/>
                    <w:left w:val="single" w:sz="4" w:space="0" w:color="auto"/>
                    <w:bottom w:val="single" w:sz="4" w:space="0" w:color="auto"/>
                    <w:right w:val="single" w:sz="4" w:space="0" w:color="auto"/>
                  </w:tcBorders>
                </w:tcPr>
                <w:p w14:paraId="711FCC11"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Maliena</w:t>
                  </w:r>
                </w:p>
              </w:tc>
              <w:tc>
                <w:tcPr>
                  <w:tcW w:w="1697" w:type="dxa"/>
                  <w:tcBorders>
                    <w:top w:val="single" w:sz="4" w:space="0" w:color="auto"/>
                    <w:left w:val="single" w:sz="4" w:space="0" w:color="auto"/>
                    <w:bottom w:val="single" w:sz="4" w:space="0" w:color="auto"/>
                    <w:right w:val="single" w:sz="4" w:space="0" w:color="auto"/>
                  </w:tcBorders>
                  <w:shd w:val="clear" w:color="auto" w:fill="auto"/>
                  <w:vAlign w:val="center"/>
                </w:tcPr>
                <w:p w14:paraId="6BE49904"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Kaudzītes</w:t>
                  </w:r>
                </w:p>
              </w:tc>
              <w:tc>
                <w:tcPr>
                  <w:tcW w:w="1692" w:type="dxa"/>
                  <w:tcBorders>
                    <w:top w:val="single" w:sz="4" w:space="0" w:color="auto"/>
                    <w:left w:val="single" w:sz="4" w:space="0" w:color="auto"/>
                    <w:bottom w:val="single" w:sz="4" w:space="0" w:color="auto"/>
                    <w:right w:val="single" w:sz="4" w:space="0" w:color="auto"/>
                  </w:tcBorders>
                </w:tcPr>
                <w:p w14:paraId="3BCF1D93" w14:textId="77777777" w:rsidR="00EA051D" w:rsidRPr="00D47327" w:rsidRDefault="00EA051D" w:rsidP="008E6BAE">
                  <w:pPr>
                    <w:spacing w:after="60"/>
                    <w:jc w:val="center"/>
                    <w:rPr>
                      <w:rFonts w:ascii="Times New Roman" w:hAnsi="Times New Roman" w:cs="Times New Roman"/>
                      <w:sz w:val="20"/>
                      <w:szCs w:val="20"/>
                    </w:rPr>
                  </w:pPr>
                  <w:r w:rsidRPr="00D47327">
                    <w:rPr>
                      <w:rFonts w:ascii="Times New Roman" w:hAnsi="Times New Roman" w:cs="Times New Roman"/>
                      <w:sz w:val="20"/>
                      <w:szCs w:val="20"/>
                    </w:rPr>
                    <w:t>3 500</w:t>
                  </w:r>
                </w:p>
              </w:tc>
            </w:tr>
          </w:tbl>
          <w:p w14:paraId="2196C795" w14:textId="77777777" w:rsidR="00EA051D" w:rsidRPr="00175DD0" w:rsidRDefault="00EA051D" w:rsidP="008E6BAE">
            <w:pPr>
              <w:rPr>
                <w:rFonts w:cstheme="minorHAnsi"/>
                <w:color w:val="000000"/>
                <w:lang w:eastAsia="lv-LV"/>
              </w:rPr>
            </w:pPr>
          </w:p>
        </w:tc>
      </w:tr>
    </w:tbl>
    <w:p w14:paraId="042482A7" w14:textId="2EB21978" w:rsidR="008060AC" w:rsidRPr="008060AC" w:rsidRDefault="008060AC" w:rsidP="008060AC">
      <w:pPr>
        <w:ind w:firstLine="720"/>
        <w:jc w:val="center"/>
        <w:rPr>
          <w:rFonts w:ascii="Times New Roman" w:hAnsi="Times New Roman" w:cs="Times New Roman"/>
        </w:rPr>
      </w:pPr>
      <w:r w:rsidRPr="008060AC">
        <w:rPr>
          <w:rFonts w:ascii="Times New Roman" w:hAnsi="Times New Roman" w:cs="Times New Roman"/>
          <w:b/>
          <w:color w:val="000000"/>
        </w:rPr>
        <w:t>4.</w:t>
      </w:r>
      <w:r w:rsidR="002D47ED">
        <w:rPr>
          <w:rFonts w:ascii="Times New Roman" w:hAnsi="Times New Roman" w:cs="Times New Roman"/>
          <w:b/>
          <w:color w:val="000000"/>
        </w:rPr>
        <w:t>2.</w:t>
      </w:r>
      <w:r w:rsidRPr="008060AC">
        <w:rPr>
          <w:rFonts w:ascii="Times New Roman" w:hAnsi="Times New Roman" w:cs="Times New Roman"/>
          <w:b/>
          <w:color w:val="000000"/>
        </w:rPr>
        <w:t>1. attēls.</w:t>
      </w:r>
      <w:r w:rsidRPr="008060AC">
        <w:rPr>
          <w:rFonts w:ascii="Times New Roman" w:hAnsi="Times New Roman" w:cs="Times New Roman"/>
          <w:color w:val="000000"/>
        </w:rPr>
        <w:t xml:space="preserve"> Atkritumu apsaimniekošanas reģioni un atkritumu poligoni Latvijā  (01.09.2020.)</w:t>
      </w:r>
    </w:p>
    <w:p w14:paraId="554B7DED" w14:textId="41736CDF" w:rsidR="00EA051D" w:rsidRPr="008060AC" w:rsidRDefault="00EA051D" w:rsidP="00603B7B">
      <w:pPr>
        <w:ind w:firstLine="720"/>
        <w:rPr>
          <w:rFonts w:ascii="Times New Roman" w:hAnsi="Times New Roman" w:cs="Times New Roman"/>
        </w:rPr>
      </w:pPr>
      <w:r w:rsidRPr="008060AC">
        <w:rPr>
          <w:rFonts w:ascii="Times New Roman" w:hAnsi="Times New Roman" w:cs="Times New Roman"/>
        </w:rPr>
        <w:t>Katram AAR ir izveidots vismaz viens atkritumu apglabāšanas poligons, kurā ir izveidota infrastruktūra bioloģiski noārdāmo atkritumu kompostēšanai (atkritumu reģenerācijas veida apakškods - R3A</w:t>
      </w:r>
      <w:r w:rsidRPr="008060AC">
        <w:rPr>
          <w:rStyle w:val="FootnoteReference"/>
          <w:rFonts w:ascii="Times New Roman" w:hAnsi="Times New Roman" w:cs="Times New Roman"/>
        </w:rPr>
        <w:footnoteReference w:id="21"/>
      </w:r>
      <w:r w:rsidRPr="008060AC">
        <w:rPr>
          <w:rFonts w:ascii="Times New Roman" w:hAnsi="Times New Roman" w:cs="Times New Roman"/>
        </w:rPr>
        <w:t xml:space="preserve">) - kompostēšanas laukums, kas pēc tehniskajiem </w:t>
      </w:r>
      <w:r w:rsidRPr="008060AC">
        <w:rPr>
          <w:rFonts w:ascii="Times New Roman" w:hAnsi="Times New Roman" w:cs="Times New Roman"/>
        </w:rPr>
        <w:lastRenderedPageBreak/>
        <w:t>parametriem varētu būt piemērots arī notekūdeņu dūņu, kā bioloģiski noārdāma ražošanas atlikuma kompostēšanai.</w:t>
      </w:r>
    </w:p>
    <w:p w14:paraId="4C2AC73C" w14:textId="77777777" w:rsidR="00EA051D" w:rsidRPr="008060AC" w:rsidRDefault="00EA051D" w:rsidP="00F37BC3">
      <w:pPr>
        <w:ind w:firstLine="720"/>
        <w:rPr>
          <w:rFonts w:ascii="Times New Roman" w:hAnsi="Times New Roman" w:cs="Times New Roman"/>
        </w:rPr>
      </w:pPr>
      <w:r w:rsidRPr="008060AC">
        <w:rPr>
          <w:rFonts w:ascii="Times New Roman" w:hAnsi="Times New Roman" w:cs="Times New Roman"/>
        </w:rPr>
        <w:t>Atkritumu kompostēšana pamatā tiek īstenota sadzīves atkritumu poligonos, kurā tiek radīts apmēram 40% no visa komposta apjoma, atdalot bioloģiski noārdāmos atkritumus gan no sadzīves atkritumu plūsmas, gan pieņemot dalīti vāktus bioloģiskos atkritumus.  Iegūtais tehniskais komposts tiek izmantots inženiertehniskajām vajadzībām poligonā un apglabāto atkritumu slāņu pārsegšanai. Atkritumu kompostēšana tiek veikta arī speciāli ierīkotās kompostēšanas iekārtās un vietās ārpus poligoniem, kurās iespējams ražot kvalitatīvu kompostu, kas lielākoties ir atkarīgs no izmantotās izejvielas kvalitātes un nevēlamo piemaisījumu satura.</w:t>
      </w:r>
    </w:p>
    <w:p w14:paraId="202A3658" w14:textId="77777777" w:rsidR="00EA051D" w:rsidRPr="008060AC" w:rsidRDefault="00EA051D" w:rsidP="00F37BC3">
      <w:pPr>
        <w:ind w:firstLine="720"/>
        <w:rPr>
          <w:rFonts w:ascii="Times New Roman" w:hAnsi="Times New Roman" w:cs="Times New Roman"/>
        </w:rPr>
      </w:pPr>
      <w:r w:rsidRPr="008060AC">
        <w:rPr>
          <w:rFonts w:ascii="Times New Roman" w:hAnsi="Times New Roman" w:cs="Times New Roman"/>
        </w:rPr>
        <w:t xml:space="preserve">Atkritumu poligonu darbībai izsniegtajās atļaujās norādītās kompostēšanas laukumu potenciālās jaudas ir </w:t>
      </w:r>
      <w:sdt>
        <w:sdtPr>
          <w:rPr>
            <w:rFonts w:ascii="Times New Roman" w:hAnsi="Times New Roman" w:cs="Times New Roman"/>
          </w:rPr>
          <w:tag w:val="goog_rdk_18"/>
          <w:id w:val="866878581"/>
        </w:sdtPr>
        <w:sdtContent/>
      </w:sdt>
      <w:r w:rsidRPr="008060AC">
        <w:rPr>
          <w:rFonts w:ascii="Times New Roman" w:hAnsi="Times New Roman" w:cs="Times New Roman"/>
        </w:rPr>
        <w:t xml:space="preserve">nedaudz virs 100 tūkst. tonnu gadā, tomēr tās netiek izmantotas pilnā apmērā. </w:t>
      </w:r>
      <w:r w:rsidRPr="009234A8">
        <w:rPr>
          <w:rFonts w:ascii="Times New Roman" w:hAnsi="Times New Roman" w:cs="Times New Roman"/>
        </w:rPr>
        <w:t xml:space="preserve">Atkritumu kompostēšanas laukumi ir izvietoti arī ārpus sadzīves atkritumu poligoniem. To kopējā kompostēšanas jauda sasniedz 34 tūkst.tonnu/gadā. </w:t>
      </w:r>
      <w:r w:rsidRPr="008060AC">
        <w:rPr>
          <w:rFonts w:ascii="Times New Roman" w:hAnsi="Times New Roman" w:cs="Times New Roman"/>
        </w:rPr>
        <w:t xml:space="preserve">Ārpus poligoniem kompostēšanas laukumi ir izveidoti Piejūras, Pierīgas un Vidusdaugavas AAR. </w:t>
      </w:r>
    </w:p>
    <w:p w14:paraId="0E7396E1" w14:textId="77777777" w:rsidR="00EA051D" w:rsidRPr="008060AC" w:rsidRDefault="00EA051D" w:rsidP="00F37BC3">
      <w:pPr>
        <w:ind w:firstLine="720"/>
        <w:rPr>
          <w:rFonts w:ascii="Times New Roman" w:hAnsi="Times New Roman" w:cs="Times New Roman"/>
        </w:rPr>
      </w:pPr>
      <w:r w:rsidRPr="008060AC">
        <w:rPr>
          <w:rFonts w:ascii="Times New Roman" w:hAnsi="Times New Roman" w:cs="Times New Roman"/>
        </w:rPr>
        <w:t>Papildus ir izveidots arī bīstamo atkritumu poligons „Zebrene”, kas atrodas Dobeles novada Zebrenes pagastā, kas ir vienīgā bīstamo atkritumu apglabāšanas vieta Latvijā. Šī ir vienīgā vieta Latvijā, kur var tikt apglabātas 5.klases notekūdeņu dūņas.</w:t>
      </w:r>
    </w:p>
    <w:p w14:paraId="036FDF1A" w14:textId="21FE6C26" w:rsidR="00EA051D" w:rsidRPr="008060AC" w:rsidRDefault="00EA051D" w:rsidP="00F37BC3">
      <w:pPr>
        <w:ind w:firstLine="720"/>
        <w:rPr>
          <w:rFonts w:ascii="Times New Roman" w:hAnsi="Times New Roman" w:cs="Times New Roman"/>
        </w:rPr>
      </w:pPr>
      <w:r w:rsidRPr="008060AC">
        <w:rPr>
          <w:rFonts w:ascii="Times New Roman" w:hAnsi="Times New Roman" w:cs="Times New Roman"/>
        </w:rPr>
        <w:t xml:space="preserve">Izskatot alternatīvu par notekūdeņu dūņu pārstrādi esošajos atkritumu kompostēšanas laukumos secināms, ka notekūdeņu dūņas pirms nogādāšanas kompostēšanas laukumos būtu mehāniski jāatūdeņo (jāveic to sākotnējā apstrāde), sasniedzot iespējami augstāku sausnas daudzumu dūņās. No notekūdeņu dūņu atūdeņošanas viedokļa, </w:t>
      </w:r>
      <w:sdt>
        <w:sdtPr>
          <w:rPr>
            <w:rFonts w:ascii="Times New Roman" w:hAnsi="Times New Roman" w:cs="Times New Roman"/>
          </w:rPr>
          <w:tag w:val="goog_rdk_19"/>
          <w:id w:val="-542895662"/>
        </w:sdtPr>
        <w:sdtContent/>
      </w:sdt>
      <w:r w:rsidRPr="008060AC">
        <w:rPr>
          <w:rFonts w:ascii="Times New Roman" w:hAnsi="Times New Roman" w:cs="Times New Roman"/>
        </w:rPr>
        <w:t>ekonomiski pamatoti, pie tipiskos gadījumos izmantotajiem tehnoloģiskajiem risinājumiem, ir dūņas atūdeņot līdz vidēji 18% sausnai</w:t>
      </w:r>
      <w:r w:rsidRPr="008060AC">
        <w:rPr>
          <w:rStyle w:val="FootnoteReference"/>
          <w:rFonts w:ascii="Times New Roman" w:hAnsi="Times New Roman" w:cs="Times New Roman"/>
        </w:rPr>
        <w:footnoteReference w:id="22"/>
      </w:r>
      <w:r w:rsidRPr="008060AC">
        <w:rPr>
          <w:rFonts w:ascii="Times New Roman" w:hAnsi="Times New Roman" w:cs="Times New Roman"/>
        </w:rPr>
        <w:t>, kas ir optimāls sasniegtās sausnas apjoms ņemot vērā ieguldītos resursus un sagaidāmos dūņu transportēšanas izdevumus. Šādā gadījumā kopējā atkritumu poligoniem nododamā notekūdeņu dūņu masa (ar 18% sausni) būtu aptuveni 66 700 t/gadā (neskaitot BAS Daugavgrīva notekūdeņu dūņas), kas sasniegtu aptuveni 50% no kopējās visu kompostēšanas lauku jaudas. Ņemot vērā, ka Direktīva 2018/850/ES paredz, ka dalībvalstīm līdz 2023. gada 31. decembrim jānodrošina BNA atdalīšana un pārstrāde rašanās vietā, vai dalīta savākšana, nodrošinot, ka BNA nav sajaukti ar citiem atkritumu veidiem, kam nav BNA līdzīgas bioloģiskās noārdīšanās un kompostēšanās īpašības, secināms, ka esošās kompostēšanas laukumu un  vietu jaudas, visticamāk būs nepietiekamas, lai tajās pārstrād</w:t>
      </w:r>
      <w:r w:rsidR="00010402">
        <w:rPr>
          <w:rFonts w:ascii="Times New Roman" w:hAnsi="Times New Roman" w:cs="Times New Roman"/>
        </w:rPr>
        <w:t>āt</w:t>
      </w:r>
      <w:r w:rsidRPr="008060AC">
        <w:rPr>
          <w:rFonts w:ascii="Times New Roman" w:hAnsi="Times New Roman" w:cs="Times New Roman"/>
        </w:rPr>
        <w:t>u arī notekūdeņu dūņas.</w:t>
      </w:r>
    </w:p>
    <w:p w14:paraId="75CEA61C" w14:textId="77777777" w:rsidR="00EA051D" w:rsidRPr="008060AC" w:rsidRDefault="00EA051D" w:rsidP="00EA051D">
      <w:pPr>
        <w:spacing w:after="0"/>
        <w:rPr>
          <w:rFonts w:ascii="Times New Roman" w:hAnsi="Times New Roman" w:cs="Times New Roman"/>
        </w:rPr>
      </w:pPr>
      <w:r w:rsidRPr="008060AC">
        <w:rPr>
          <w:rFonts w:ascii="Times New Roman" w:hAnsi="Times New Roman" w:cs="Times New Roman"/>
        </w:rPr>
        <w:t>Novērtējot atkritumu apsaimniekošanas sistēmas Latvijā iespējas pieņemt un pārstrādāt notekūdeņu dūņas apsaimniekošanai esošajos kompostēšanas laukumos vai izbūves stadijā esošajā infrastruktūrā  ir secināms, ka:</w:t>
      </w:r>
    </w:p>
    <w:p w14:paraId="13C76CD2" w14:textId="77777777" w:rsidR="00EA051D" w:rsidRPr="008060AC" w:rsidRDefault="00EA051D" w:rsidP="008B1B4B">
      <w:pPr>
        <w:numPr>
          <w:ilvl w:val="0"/>
          <w:numId w:val="17"/>
        </w:numPr>
        <w:pBdr>
          <w:top w:val="nil"/>
          <w:left w:val="nil"/>
          <w:bottom w:val="nil"/>
          <w:right w:val="nil"/>
          <w:between w:val="nil"/>
        </w:pBdr>
        <w:spacing w:after="0"/>
        <w:rPr>
          <w:rFonts w:ascii="Times New Roman" w:hAnsi="Times New Roman" w:cs="Times New Roman"/>
        </w:rPr>
      </w:pPr>
      <w:r w:rsidRPr="008060AC">
        <w:rPr>
          <w:rFonts w:ascii="Times New Roman" w:hAnsi="Times New Roman" w:cs="Times New Roman"/>
          <w:color w:val="000000"/>
        </w:rPr>
        <w:lastRenderedPageBreak/>
        <w:t xml:space="preserve">notekūdeņu dūņu pārstrāde kopā ar citiem BNA atkritumiem izbūves stadijā esošajos BNA pārstrādes “tuneļos” nav iespējama, jo dūņās esošais sausnas saturs (%) ir pārāk mazs un nav piemērots tajos izmantoto tehnoloģiju dēļ. Tehniski iespējama ir neliela (līdz 10%) dūņu masas (18% sausna) pievienošana pārstrādei, tās sajaucot ar citu cieto BNA masu un daļēji aizstājot ūdeni, ko uzsmidzina “tuneļos” esošajam BNA, lai veicinātu tā kompostēšanas procesu. </w:t>
      </w:r>
      <w:r w:rsidRPr="008060AC">
        <w:rPr>
          <w:rFonts w:ascii="Times New Roman" w:hAnsi="Times New Roman" w:cs="Times New Roman"/>
          <w:b/>
          <w:color w:val="000000"/>
        </w:rPr>
        <w:t>Ņemot vērā minētās tehnoloģiskās nepiemērotības, kā arī to, ka minētā infrastruktūra prioritāri paredzēta sadzīves atkritumu plūsmā esošā BNA pārstrādei šāda iespēja netiek izskatīta, kā alternatīva uz ko ir balstāma visa Latvijas notekūdeņu dūņu apsaimniekošanas stratēģija</w:t>
      </w:r>
      <w:r w:rsidRPr="008060AC">
        <w:rPr>
          <w:rFonts w:ascii="Times New Roman" w:hAnsi="Times New Roman" w:cs="Times New Roman"/>
          <w:color w:val="000000"/>
        </w:rPr>
        <w:t xml:space="preserve">; </w:t>
      </w:r>
    </w:p>
    <w:p w14:paraId="64A67673" w14:textId="6263CE13" w:rsidR="00EA051D" w:rsidRPr="008060AC" w:rsidRDefault="00EA051D" w:rsidP="008B1B4B">
      <w:pPr>
        <w:numPr>
          <w:ilvl w:val="0"/>
          <w:numId w:val="17"/>
        </w:numPr>
        <w:pBdr>
          <w:top w:val="nil"/>
          <w:left w:val="nil"/>
          <w:bottom w:val="nil"/>
          <w:right w:val="nil"/>
          <w:between w:val="nil"/>
        </w:pBdr>
        <w:spacing w:after="0"/>
        <w:rPr>
          <w:rFonts w:ascii="Times New Roman" w:hAnsi="Times New Roman" w:cs="Times New Roman"/>
        </w:rPr>
      </w:pPr>
      <w:r w:rsidRPr="008060AC">
        <w:rPr>
          <w:rFonts w:ascii="Times New Roman" w:hAnsi="Times New Roman" w:cs="Times New Roman"/>
          <w:color w:val="000000"/>
        </w:rPr>
        <w:t>notekūdeņu dūņu pārstrādi lielos apjomos ir iespējams veikt kompostēšanas laukumos, kuros notekūdeņu dūņas tiktu kompostētas un pārstrādātas kopā ar citiem bioloģiskajiem atkritumiem, piemēram, lapām, zāli, zariem, šķeldu u.c. Šobrīd Latvijā ir izbūvēti dažādu bioloģiski noārdāmu atkritumu kompostēšanas laukumi, kas ir izveidoti saskaņā ar MK noteikumu Nr. 788 “Noteikumi par atkritumu savākšanas un šķirošanas vietām”</w:t>
      </w:r>
      <w:r w:rsidRPr="008060AC">
        <w:rPr>
          <w:rStyle w:val="FootnoteReference"/>
          <w:rFonts w:ascii="Times New Roman" w:hAnsi="Times New Roman" w:cs="Times New Roman"/>
          <w:color w:val="000000"/>
        </w:rPr>
        <w:footnoteReference w:id="23"/>
      </w:r>
      <w:r w:rsidRPr="008060AC">
        <w:rPr>
          <w:rFonts w:ascii="Times New Roman" w:hAnsi="Times New Roman" w:cs="Times New Roman"/>
          <w:color w:val="000000"/>
        </w:rPr>
        <w:t xml:space="preserve"> prasībām un atrodas ārpus atkritumu apglabāšanas poligonu teritorijas. Noteikumu IV nodaļā noteiktās minimālās prasības, kas šādos laukumos jāievēro, kas tikai teorētiski ļauj tajos veikt arī notekūdeņu dūņu pārstrādi. Noteikumos paredzētās minimālās prasības neparedz aizsardzību pret nokrišņiem, dūņās esošā ūdens savākšanas un attīrīšanas sistēmas, kā arī smaku izplatības novēršanas sistēmas. Visi minētie apstākļi ir būtiski notekūdeņu dūņu kompostēšanas gadījumā. Prasībās ir noteikta nepieciešamība nodrošināt virszemes ūdeņu savākšanas sistēmas izveidošana, ar mērķi ūdeni izsmidzināt uz komposta kaudzēm, kas ir būtiski BNA ar augstu sausnas daudzumu gadījumā. Atūdeņotās notekūdeņu dūņā</w:t>
      </w:r>
      <w:r w:rsidR="00E07BEC">
        <w:rPr>
          <w:rFonts w:ascii="Times New Roman" w:hAnsi="Times New Roman" w:cs="Times New Roman"/>
          <w:color w:val="000000"/>
        </w:rPr>
        <w:t>s</w:t>
      </w:r>
      <w:r w:rsidRPr="008060AC">
        <w:rPr>
          <w:rFonts w:ascii="Times New Roman" w:hAnsi="Times New Roman" w:cs="Times New Roman"/>
          <w:color w:val="000000"/>
        </w:rPr>
        <w:t xml:space="preserve"> vairā</w:t>
      </w:r>
      <w:r w:rsidR="00010402">
        <w:rPr>
          <w:rFonts w:ascii="Times New Roman" w:hAnsi="Times New Roman" w:cs="Times New Roman"/>
          <w:color w:val="000000"/>
        </w:rPr>
        <w:t>k</w:t>
      </w:r>
      <w:r w:rsidRPr="008060AC">
        <w:rPr>
          <w:rFonts w:ascii="Times New Roman" w:hAnsi="Times New Roman" w:cs="Times New Roman"/>
          <w:color w:val="000000"/>
        </w:rPr>
        <w:t xml:space="preserve"> kā 80% masu veido ūdens, kura atdalīšana, novadīšana un arī attīrīšana ir būtiska, lai nodrošinātu dūņu masas kompostēšanu bez apkārtējās vides piesārņošanas riska. Līdz ar to būtiska ir arī aizsardzība pret papildus nokrišņu ūdeņu nonākšanu dūņu masā, kas samazina dūņu sausnas % un kavē tās kompostēšanu. </w:t>
      </w:r>
      <w:r w:rsidRPr="008060AC">
        <w:rPr>
          <w:rFonts w:ascii="Times New Roman" w:hAnsi="Times New Roman" w:cs="Times New Roman"/>
          <w:b/>
          <w:color w:val="000000"/>
        </w:rPr>
        <w:t>Ņemot vērā minēto, secināms, ka arī ārpus poligoniem esošā kompostēšanas laukumu infrastruktūra tikai teorētiski un visticamāk, nelielā īpatsvarā ir izmantojama notekūdeņu dūņu pārstrādei (kopā ar citiem BNA)</w:t>
      </w:r>
      <w:r w:rsidRPr="008060AC">
        <w:rPr>
          <w:rFonts w:ascii="Times New Roman" w:hAnsi="Times New Roman" w:cs="Times New Roman"/>
          <w:color w:val="000000"/>
        </w:rPr>
        <w:t xml:space="preserve">; </w:t>
      </w:r>
    </w:p>
    <w:p w14:paraId="611B0287" w14:textId="77777777" w:rsidR="00EA051D" w:rsidRPr="008060AC" w:rsidRDefault="00000000" w:rsidP="008B1B4B">
      <w:pPr>
        <w:numPr>
          <w:ilvl w:val="0"/>
          <w:numId w:val="17"/>
        </w:numPr>
        <w:pBdr>
          <w:top w:val="nil"/>
          <w:left w:val="nil"/>
          <w:bottom w:val="nil"/>
          <w:right w:val="nil"/>
          <w:between w:val="nil"/>
        </w:pBdr>
        <w:spacing w:after="0"/>
        <w:rPr>
          <w:rFonts w:ascii="Times New Roman" w:hAnsi="Times New Roman" w:cs="Times New Roman"/>
        </w:rPr>
      </w:pPr>
      <w:sdt>
        <w:sdtPr>
          <w:rPr>
            <w:rFonts w:ascii="Times New Roman" w:hAnsi="Times New Roman" w:cs="Times New Roman"/>
          </w:rPr>
          <w:tag w:val="goog_rdk_20"/>
          <w:id w:val="-57558328"/>
        </w:sdtPr>
        <w:sdtContent/>
      </w:sdt>
      <w:r w:rsidR="00EA051D" w:rsidRPr="008060AC">
        <w:rPr>
          <w:rFonts w:ascii="Times New Roman" w:hAnsi="Times New Roman" w:cs="Times New Roman"/>
          <w:color w:val="000000"/>
        </w:rPr>
        <w:t>izņemot atsevišķās vietās Latvijā, kompostēšanas laukos nav speciālas kompostēšanas iekārtas dūņu atbilstošai pārstrādei un sagatavojamās masas kvalitātes kontrolei saskaņā ar MK noteikumos Nr.362 noteiktajām prasībām dūņu kompostēšanai. Bioloģisko atkritumu komposts pārsvarā tiek veidots ar ekskavatoru palīdzību to ik pa laikam apmaisot, līdz ar to kompostēšanas laukumiem varētu būt apgrūtinoši esošajā situācijā nodrošināt un ievērot notekūdeņu dūņu kompostēšanai izvirzītās prasības, piemēram, par atbilstošu temperatūras režīmu kaudzes iekšienē u.c.;</w:t>
      </w:r>
    </w:p>
    <w:p w14:paraId="643CCC55" w14:textId="77777777" w:rsidR="00EA051D" w:rsidRPr="008060AC" w:rsidRDefault="00EA051D" w:rsidP="008B1B4B">
      <w:pPr>
        <w:numPr>
          <w:ilvl w:val="0"/>
          <w:numId w:val="17"/>
        </w:numPr>
        <w:pBdr>
          <w:top w:val="nil"/>
          <w:left w:val="nil"/>
          <w:bottom w:val="nil"/>
          <w:right w:val="nil"/>
          <w:between w:val="nil"/>
        </w:pBdr>
        <w:spacing w:after="0"/>
        <w:rPr>
          <w:rFonts w:ascii="Times New Roman" w:hAnsi="Times New Roman" w:cs="Times New Roman"/>
        </w:rPr>
      </w:pPr>
      <w:r w:rsidRPr="008060AC">
        <w:rPr>
          <w:rFonts w:ascii="Times New Roman" w:hAnsi="Times New Roman" w:cs="Times New Roman"/>
          <w:color w:val="000000"/>
        </w:rPr>
        <w:lastRenderedPageBreak/>
        <w:t xml:space="preserve">lai arī pastāv teorētiskas iespējas jau šobrīd notekūdeņu dūņas nodot pārstrādei pastāvošajos BNA kompostēšanas laukumos, tās tur netiek nogādātas vai netiek pieņemtas. Līdz ar to ir secināms, ka pastāv objektīvi un tehniski ierobežojumi, piemēram, neatbilstoša infrastruktūra, nepietiekams tehniskais nodrošinājums, atļauju neesamība notekūdeņu dūņu pārstrādei </w:t>
      </w:r>
      <w:sdt>
        <w:sdtPr>
          <w:rPr>
            <w:rFonts w:ascii="Times New Roman" w:hAnsi="Times New Roman" w:cs="Times New Roman"/>
          </w:rPr>
          <w:tag w:val="goog_rdk_22"/>
          <w:id w:val="-58487671"/>
        </w:sdtPr>
        <w:sdtContent>
          <w:r w:rsidRPr="008060AC">
            <w:rPr>
              <w:rFonts w:ascii="Times New Roman" w:hAnsi="Times New Roman" w:cs="Times New Roman"/>
            </w:rPr>
            <w:t>vai citi</w:t>
          </w:r>
        </w:sdtContent>
      </w:sdt>
      <w:r w:rsidRPr="008060AC">
        <w:rPr>
          <w:rFonts w:ascii="Times New Roman" w:hAnsi="Times New Roman" w:cs="Times New Roman"/>
          <w:color w:val="000000"/>
        </w:rPr>
        <w:t xml:space="preserve"> kavējoši iemesli, lai kompostēšanas laukumu operatori jau šobrīd veiktu notekūdeņu dūņas apsaimniekošanu tiem piederošajos kompostēšanas laukumos, īpaši ņemot vērā, ka to jaudas nav pilnībā noslogotas. Jāņem vērā, ka notekūdeņu dūņas ir potenciāls spēcīgu smaku emisiju avots, kas var ierobežot daļu, apdzīvotu vietu tuvumā vai to teritorijā, esošo kompostēšanas laukumu izmantošanu;</w:t>
      </w:r>
    </w:p>
    <w:p w14:paraId="0B77CA2D" w14:textId="77777777" w:rsidR="00EA051D" w:rsidRPr="008060AC" w:rsidRDefault="00EA051D" w:rsidP="008B1B4B">
      <w:pPr>
        <w:numPr>
          <w:ilvl w:val="0"/>
          <w:numId w:val="17"/>
        </w:numPr>
        <w:pBdr>
          <w:top w:val="nil"/>
          <w:left w:val="nil"/>
          <w:bottom w:val="nil"/>
          <w:right w:val="nil"/>
          <w:between w:val="nil"/>
        </w:pBdr>
        <w:spacing w:after="0"/>
        <w:rPr>
          <w:rFonts w:ascii="Times New Roman" w:hAnsi="Times New Roman" w:cs="Times New Roman"/>
        </w:rPr>
      </w:pPr>
      <w:r w:rsidRPr="008060AC">
        <w:rPr>
          <w:rFonts w:ascii="Times New Roman" w:hAnsi="Times New Roman" w:cs="Times New Roman"/>
          <w:color w:val="000000"/>
        </w:rPr>
        <w:t>BNA, īpaši no kopējās (nešķirotās) sadzīves atkritumu plūsmas savākto bioloģisko noārdāmo atkritumu kompostēšanas laukumos sagatavotajam kompostam šobrīd nav izveidoti plaši, ilgtermiņā pieejami utilizācijas ceļi, kas lielā mērā saistīti arī ar komposta kvalitātes jautājumu. Ja šādās kompostēšanas vietās katru gadu nonāktu visas Latvijas notekūdeņu dūņas, kopējais ikgadējais sagatavotās masas apjoms būtu par lielu komposta materiāla utilizācijai esošajos veidos un būtu jāmeklē jauni tā izmantošanas ceļi. Papildus ir jāņem vērā izvirzītās prasības līdz 2023.gada 31.decembrim nodrošināt, ka bioloģiskie atkritumi ir vai nu pārstrādāti rašanās vietā, vai dalīti savākti un nodoti pārstrādei, kas vēl vairāk noslogos esošās BNA pārstrādes iekārtas.</w:t>
      </w:r>
      <w:r w:rsidRPr="008060AC">
        <w:rPr>
          <w:rStyle w:val="FootnoteReference"/>
          <w:rFonts w:ascii="Times New Roman" w:hAnsi="Times New Roman" w:cs="Times New Roman"/>
        </w:rPr>
        <w:footnoteReference w:id="24"/>
      </w:r>
      <w:r w:rsidRPr="008060AC">
        <w:rPr>
          <w:rFonts w:ascii="Times New Roman" w:hAnsi="Times New Roman" w:cs="Times New Roman"/>
          <w:color w:val="000000"/>
        </w:rPr>
        <w:t>;</w:t>
      </w:r>
    </w:p>
    <w:p w14:paraId="0D93C60A" w14:textId="225B1E29" w:rsidR="00EA051D" w:rsidRPr="008060AC" w:rsidRDefault="00EA051D" w:rsidP="008B1B4B">
      <w:pPr>
        <w:numPr>
          <w:ilvl w:val="0"/>
          <w:numId w:val="17"/>
        </w:numPr>
        <w:pBdr>
          <w:top w:val="nil"/>
          <w:left w:val="nil"/>
          <w:bottom w:val="nil"/>
          <w:right w:val="nil"/>
          <w:between w:val="nil"/>
        </w:pBdr>
        <w:rPr>
          <w:rFonts w:ascii="Times New Roman" w:hAnsi="Times New Roman" w:cs="Times New Roman"/>
        </w:rPr>
      </w:pPr>
      <w:r w:rsidRPr="008060AC">
        <w:rPr>
          <w:rFonts w:ascii="Times New Roman" w:hAnsi="Times New Roman" w:cs="Times New Roman"/>
          <w:color w:val="000000"/>
        </w:rPr>
        <w:t xml:space="preserve">ņemot vērā esošo SPS pieredzi ir sagaidāms, ka arī kompostēšanas laukumos pārstrādāto </w:t>
      </w:r>
      <w:bookmarkStart w:id="81" w:name="_Hlk84370404"/>
      <w:r w:rsidR="00D92EBA" w:rsidRPr="008060AC">
        <w:rPr>
          <w:rFonts w:ascii="Times New Roman" w:hAnsi="Times New Roman" w:cs="Times New Roman"/>
          <w:color w:val="000000"/>
        </w:rPr>
        <w:t xml:space="preserve">notekūdeņu </w:t>
      </w:r>
      <w:bookmarkEnd w:id="81"/>
      <w:r w:rsidRPr="008060AC">
        <w:rPr>
          <w:rFonts w:ascii="Times New Roman" w:hAnsi="Times New Roman" w:cs="Times New Roman"/>
          <w:color w:val="000000"/>
        </w:rPr>
        <w:t>dūņu masu nebūs iespējams realizēt par maksu. Optimālākā scenārija gadījumā sagatavoto būs iespējams realizēt bez atlīdzības jeb par velti, ja tā tiks pievesta norādītajā vietā. Tas nozīmē, ka, nododot notekūdeņu dūņas pārstrādei kompostēšanas laukumos, SPS būtu jāsedz visi izdevumi, kas saistīti ne tikai ar</w:t>
      </w:r>
      <w:r w:rsidR="002B18A2" w:rsidRPr="008060AC">
        <w:rPr>
          <w:rFonts w:ascii="Times New Roman" w:hAnsi="Times New Roman" w:cs="Times New Roman"/>
          <w:color w:val="000000"/>
        </w:rPr>
        <w:t xml:space="preserve"> notekūdeņu</w:t>
      </w:r>
      <w:r w:rsidRPr="008060AC">
        <w:rPr>
          <w:rFonts w:ascii="Times New Roman" w:hAnsi="Times New Roman" w:cs="Times New Roman"/>
          <w:color w:val="000000"/>
        </w:rPr>
        <w:t xml:space="preserve"> dūņu nogādāšanu līdz pārstrādes vietai, bet arī ar notekūdeņu dūņu pārstrādi un utilizāciju saistītās izmaksas. Tā kā </w:t>
      </w:r>
      <w:sdt>
        <w:sdtPr>
          <w:rPr>
            <w:rFonts w:ascii="Times New Roman" w:hAnsi="Times New Roman" w:cs="Times New Roman"/>
          </w:rPr>
          <w:tag w:val="goog_rdk_23"/>
          <w:id w:val="-1174334016"/>
        </w:sdtPr>
        <w:sdtContent/>
      </w:sdt>
      <w:r w:rsidRPr="008060AC">
        <w:rPr>
          <w:rFonts w:ascii="Times New Roman" w:hAnsi="Times New Roman" w:cs="Times New Roman"/>
          <w:color w:val="000000"/>
        </w:rPr>
        <w:t xml:space="preserve">notekūdeņu dūņu pārstrāde sadzīves atkritumu infrastruktūrā nav sabiedriskais pakalpojums (līdzīgi kā veco lapu, zaru, skaidu u.c. līdzvērtīga materiāla pārstrāde), bet brīvā tirgus pakalpojums, SPS būs jāsedz arī uzņēmēja pieņemtais pakalpojuma sniegšanas peļņas procents, kuram nepastāv juridiski fiksēti ierobežojumi. Tādēļ secināms, ka visticamāk, papildus nepieciešamā infrastruktūra (kompostēšanas laukumi, to aprīkojums), tai skaitā specifiskais </w:t>
      </w:r>
      <w:r w:rsidR="002B18A2" w:rsidRPr="008060AC">
        <w:rPr>
          <w:rFonts w:ascii="Times New Roman" w:hAnsi="Times New Roman" w:cs="Times New Roman"/>
          <w:color w:val="000000"/>
        </w:rPr>
        <w:t xml:space="preserve">notekūdeņu </w:t>
      </w:r>
      <w:r w:rsidRPr="008060AC">
        <w:rPr>
          <w:rFonts w:ascii="Times New Roman" w:hAnsi="Times New Roman" w:cs="Times New Roman"/>
          <w:color w:val="000000"/>
        </w:rPr>
        <w:t>dūņu pārstrādei nepieciešamie laukuma elementi (jumts, infiltrāta savākšanas un attīrīšanas sistēma u.c.) būs jāsedz SPS, līdz ar to šāda notekūdeņu dūņu alternatīva zaudē sākotnēji identificētās priekšrocības.</w:t>
      </w:r>
    </w:p>
    <w:p w14:paraId="79212F1E" w14:textId="352003E6" w:rsidR="00EA051D" w:rsidRDefault="00EA051D" w:rsidP="00F37BC3">
      <w:pPr>
        <w:spacing w:after="0"/>
        <w:rPr>
          <w:rFonts w:ascii="Times New Roman" w:hAnsi="Times New Roman" w:cs="Times New Roman"/>
        </w:rPr>
      </w:pPr>
      <w:r w:rsidRPr="008060AC">
        <w:rPr>
          <w:rFonts w:ascii="Times New Roman" w:hAnsi="Times New Roman" w:cs="Times New Roman"/>
        </w:rPr>
        <w:t xml:space="preserve">Atkritumu apsaimniekošanas valsts plānā 2021.-2028. gadam notekūdeņu dūņu apsaimniekošanas jautājumi ir skatīti ļoti ierobežoti, paļaujoties, ka šo saistību skatīs notekūdeņu dūņu apsaimniekošanas stratēģija, līdz ar to, plānojot jaunas un izbūvējot esošās kompostēšanas iekārtu jaudas, nav ņemts vērā Latvijas notekūdeņu dūņu apjoms. Ievērojot </w:t>
      </w:r>
      <w:r w:rsidRPr="008060AC">
        <w:rPr>
          <w:rFonts w:ascii="Times New Roman" w:hAnsi="Times New Roman" w:cs="Times New Roman"/>
        </w:rPr>
        <w:lastRenderedPageBreak/>
        <w:t>iepriekš aprakstītos argumentus un apstākļus secināms, ka</w:t>
      </w:r>
      <w:r w:rsidRPr="008060AC">
        <w:rPr>
          <w:rFonts w:ascii="Times New Roman" w:hAnsi="Times New Roman" w:cs="Times New Roman"/>
          <w:b/>
        </w:rPr>
        <w:t xml:space="preserve"> Latvijas atkritumu apsaimniekošanas sistēma šobrīd nevar piedāvāt gatavu un uzreiz izmantojamu notekūdeņu dūņu apsaimniekošanas risinājumu. </w:t>
      </w:r>
      <w:r w:rsidRPr="008060AC">
        <w:rPr>
          <w:rFonts w:ascii="Times New Roman" w:hAnsi="Times New Roman" w:cs="Times New Roman"/>
          <w:b/>
          <w:bCs/>
        </w:rPr>
        <w:t>Kā arī</w:t>
      </w:r>
      <w:r w:rsidRPr="008060AC">
        <w:rPr>
          <w:rFonts w:ascii="Times New Roman" w:hAnsi="Times New Roman" w:cs="Times New Roman"/>
          <w:b/>
        </w:rPr>
        <w:t xml:space="preserve"> nododot notekūdeņu dūņas pārstrādei esošajos kompostēšanas laukumos, situāciju notekūdeņu dūņu apsaimniekošanas jomā būtiski neuzlabos, jo pārstrādei nododamo dūņu apjoms būtu neliels. Tomēr atkritumu apsaimniekošanas jomā ir sagaidāmas būtiskas izmaiņas, kas var mainīt kopējo situāciju un iespējas notekūdeņu dūņas apsaimniekot atkritumu apsaimniekošanas sistēmā.</w:t>
      </w:r>
      <w:r w:rsidRPr="008060AC">
        <w:rPr>
          <w:rFonts w:ascii="Times New Roman" w:hAnsi="Times New Roman" w:cs="Times New Roman"/>
        </w:rPr>
        <w:t xml:space="preserve"> Atbildība par notekūdeņu dūņām no SPS tiktu pārnesta uz kompostēšanas laukumu apsaimniekotājiem, bet dūņu pārstrādes kvalitāte un neskaidrie gala izmantošanas risinājumi, būtu līdzvērtīgi esošai situācijai, kuru stratēģijas ietvaros ir paredzēts mainīt. Tāpat ir novērtēts, ka kompostēšanas laukumi primāri ir veidoti bioloģiski noārdāmo atkritumu jeb zaļo, cieto atkritumu apstrādei un kompostēšanai, kam notekūdeņu dūņas neatbilst pēc to fiziskā satura. Notekūdeņu dūņas ir masa, kas strukturāli atšķiras un to raksturo liels ūdens saturs (ap 80%), zems sausnas apjoms (līdz 20%), liels mikroelementu un iespējams arī augsts patogēnu piesātinājums. Notekūdeņu dūņu drošai, pilnvērtīgai pārstrādei nepieciešami atšķirīgi  pārstrādes vai kompostēšanas laukumi (skat. alternatīvu B1 un B2). Vienlaikus secināms, ka šāds papildus aprīkojums nav nepieciešams tipisko BNA (bez notekūdeņu dūņām) pārstrādei, jo to neparedz esošie MK noteikumi par kompostēšanas laukumiem izvirzāmām prasībām. Faktiski visa nepieciešamā notekūdeņu dūņu pārstrādes infrastruktūra šajā gadījumā būtu </w:t>
      </w:r>
      <w:sdt>
        <w:sdtPr>
          <w:rPr>
            <w:rFonts w:ascii="Times New Roman" w:hAnsi="Times New Roman" w:cs="Times New Roman"/>
          </w:rPr>
          <w:tag w:val="goog_rdk_24"/>
          <w:id w:val="-1392651705"/>
        </w:sdtPr>
        <w:sdtContent/>
      </w:sdt>
      <w:r w:rsidRPr="008060AC">
        <w:rPr>
          <w:rFonts w:ascii="Times New Roman" w:hAnsi="Times New Roman" w:cs="Times New Roman"/>
        </w:rPr>
        <w:t>jāveido no jauna.</w:t>
      </w:r>
    </w:p>
    <w:p w14:paraId="56688374" w14:textId="77777777" w:rsidR="00F37BC3" w:rsidRPr="008060AC" w:rsidRDefault="00F37BC3" w:rsidP="00F37BC3">
      <w:pPr>
        <w:spacing w:after="0"/>
        <w:rPr>
          <w:rFonts w:ascii="Times New Roman" w:hAnsi="Times New Roman" w:cs="Times New Roman"/>
        </w:rPr>
      </w:pPr>
    </w:p>
    <w:p w14:paraId="091988AA" w14:textId="77777777" w:rsidR="00EA051D" w:rsidRPr="00D305F6" w:rsidRDefault="00EA051D" w:rsidP="00D305F6">
      <w:pPr>
        <w:jc w:val="center"/>
        <w:rPr>
          <w:rFonts w:ascii="Times New Roman" w:hAnsi="Times New Roman" w:cs="Times New Roman"/>
          <w:b/>
          <w:bCs/>
          <w:color w:val="5B9BD5" w:themeColor="accent1"/>
        </w:rPr>
      </w:pPr>
      <w:bookmarkStart w:id="82" w:name="_Toc82277622"/>
      <w:r w:rsidRPr="00D305F6">
        <w:rPr>
          <w:rFonts w:ascii="Times New Roman" w:hAnsi="Times New Roman" w:cs="Times New Roman"/>
          <w:b/>
          <w:bCs/>
          <w:color w:val="5B9BD5" w:themeColor="accent1"/>
        </w:rPr>
        <w:t>A2. Alternatīva: Notekūdeņu dūņu apsaimniekošana lauksaimniecības organizāciju infrastruktūrā</w:t>
      </w:r>
      <w:bookmarkEnd w:id="82"/>
    </w:p>
    <w:p w14:paraId="32FD1318" w14:textId="77777777" w:rsidR="00F37BC3" w:rsidRDefault="00F37BC3" w:rsidP="00F37BC3">
      <w:pPr>
        <w:spacing w:after="0"/>
        <w:rPr>
          <w:rFonts w:ascii="Times New Roman" w:hAnsi="Times New Roman" w:cs="Times New Roman"/>
        </w:rPr>
      </w:pPr>
    </w:p>
    <w:p w14:paraId="339C917D" w14:textId="5A7B1A7E" w:rsidR="00EA051D" w:rsidRPr="008060AC" w:rsidRDefault="00EA051D" w:rsidP="00F37BC3">
      <w:pPr>
        <w:spacing w:after="0"/>
        <w:ind w:firstLine="720"/>
        <w:rPr>
          <w:rFonts w:ascii="Times New Roman" w:hAnsi="Times New Roman" w:cs="Times New Roman"/>
        </w:rPr>
      </w:pPr>
      <w:r w:rsidRPr="008060AC">
        <w:rPr>
          <w:rFonts w:ascii="Times New Roman" w:hAnsi="Times New Roman" w:cs="Times New Roman"/>
        </w:rPr>
        <w:t xml:space="preserve">Novērtējot iespējas notekūdeņu dūņas apsaimniekot, izmantojot dažādu lauksaimnieku organizāciju īpašumā esošās biogāzes stacijas, secināts, ka jau šobrīd būtiska daļa Latvijas notekūdeņu dūņu tiek apstrādātas biogāzes stacijās (skat. nodaļu “Esošā situācija notekūdeņu dūņu apsaimniekošanas jomā”), t.sk tajās, kas pieder lauksaimnieku organizācijām. Lauksaimnieku organizāciju biogāzes staciju tīkls nav izvietots vienmērīgi pa visu valsts teritoriju (nav Kurzemes ziemeļu un Kurzemes centrālajā daļā), tomēr </w:t>
      </w:r>
      <w:sdt>
        <w:sdtPr>
          <w:rPr>
            <w:rFonts w:ascii="Times New Roman" w:hAnsi="Times New Roman" w:cs="Times New Roman"/>
          </w:rPr>
          <w:tag w:val="goog_rdk_25"/>
          <w:id w:val="1372953890"/>
        </w:sdtPr>
        <w:sdtContent/>
      </w:sdt>
      <w:r w:rsidRPr="008060AC">
        <w:rPr>
          <w:rFonts w:ascii="Times New Roman" w:hAnsi="Times New Roman" w:cs="Times New Roman"/>
        </w:rPr>
        <w:t>kopumā tās atrodas visos Latvijas reģionos</w:t>
      </w:r>
      <w:r w:rsidR="00C642BF">
        <w:rPr>
          <w:rFonts w:ascii="Times New Roman" w:hAnsi="Times New Roman" w:cs="Times New Roman"/>
        </w:rPr>
        <w:t xml:space="preserve"> (skat. attēlu 4.2.2)</w:t>
      </w:r>
      <w:r w:rsidRPr="008060AC">
        <w:rPr>
          <w:rFonts w:ascii="Times New Roman" w:hAnsi="Times New Roman" w:cs="Times New Roman"/>
        </w:rPr>
        <w:t xml:space="preserve">. Papildus būtiska lauksaimnieku organizāciju priekšrocība ir plašas lauksaimniecībā izmantojamo zemju teritorijas pārstrādāto </w:t>
      </w:r>
      <w:r w:rsidR="002B18A2" w:rsidRPr="008060AC">
        <w:rPr>
          <w:rFonts w:ascii="Times New Roman" w:hAnsi="Times New Roman" w:cs="Times New Roman"/>
          <w:color w:val="000000"/>
        </w:rPr>
        <w:t xml:space="preserve">notekūdeņu </w:t>
      </w:r>
      <w:r w:rsidRPr="008060AC">
        <w:rPr>
          <w:rFonts w:ascii="Times New Roman" w:hAnsi="Times New Roman" w:cs="Times New Roman"/>
        </w:rPr>
        <w:t>dūņu gala utilizācijai – iestrādei augsnē. SPS pārstrādātu notekūdeņu dūņu gala utilizācijas vieta ir galvenais izaicinājums.</w:t>
      </w:r>
    </w:p>
    <w:p w14:paraId="188636F0" w14:textId="77777777" w:rsidR="00EA051D" w:rsidRPr="00175DD0" w:rsidRDefault="0065738E" w:rsidP="00EA051D">
      <w:pPr>
        <w:jc w:val="center"/>
        <w:rPr>
          <w:rFonts w:cstheme="minorHAnsi"/>
        </w:rPr>
      </w:pPr>
      <w:r w:rsidRPr="00175DD0">
        <w:rPr>
          <w:noProof/>
          <w:lang w:eastAsia="lv-LV"/>
        </w:rPr>
        <w:lastRenderedPageBreak/>
        <w:drawing>
          <wp:inline distT="0" distB="0" distL="0" distR="0" wp14:anchorId="2566D291" wp14:editId="74A8CBDB">
            <wp:extent cx="5118253" cy="34671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6218" t="22014" r="16077" b="20536"/>
                    <a:stretch/>
                  </pic:blipFill>
                  <pic:spPr bwMode="auto">
                    <a:xfrm>
                      <a:off x="0" y="0"/>
                      <a:ext cx="5157532" cy="3493708"/>
                    </a:xfrm>
                    <a:prstGeom prst="rect">
                      <a:avLst/>
                    </a:prstGeom>
                    <a:ln>
                      <a:noFill/>
                    </a:ln>
                    <a:extLst>
                      <a:ext uri="{53640926-AAD7-44D8-BBD7-CCE9431645EC}">
                        <a14:shadowObscured xmlns:a14="http://schemas.microsoft.com/office/drawing/2010/main"/>
                      </a:ext>
                    </a:extLst>
                  </pic:spPr>
                </pic:pic>
              </a:graphicData>
            </a:graphic>
          </wp:inline>
        </w:drawing>
      </w:r>
    </w:p>
    <w:p w14:paraId="6FF65673" w14:textId="6B516708" w:rsidR="00EA051D" w:rsidRPr="008060AC" w:rsidRDefault="00EA051D" w:rsidP="00EA051D">
      <w:pPr>
        <w:jc w:val="center"/>
        <w:rPr>
          <w:rFonts w:ascii="Times New Roman" w:hAnsi="Times New Roman" w:cs="Times New Roman"/>
          <w:color w:val="000000"/>
          <w:vertAlign w:val="superscript"/>
        </w:rPr>
      </w:pPr>
      <w:r w:rsidRPr="008060AC">
        <w:rPr>
          <w:rFonts w:ascii="Times New Roman" w:hAnsi="Times New Roman" w:cs="Times New Roman"/>
          <w:b/>
          <w:bCs/>
          <w:color w:val="000000"/>
        </w:rPr>
        <w:t>4.</w:t>
      </w:r>
      <w:r w:rsidR="002B1367">
        <w:rPr>
          <w:rFonts w:ascii="Times New Roman" w:hAnsi="Times New Roman" w:cs="Times New Roman"/>
          <w:b/>
          <w:bCs/>
          <w:color w:val="000000"/>
        </w:rPr>
        <w:t>2.</w:t>
      </w:r>
      <w:r w:rsidRPr="008060AC">
        <w:rPr>
          <w:rFonts w:ascii="Times New Roman" w:hAnsi="Times New Roman" w:cs="Times New Roman"/>
          <w:b/>
          <w:bCs/>
          <w:color w:val="000000"/>
        </w:rPr>
        <w:t xml:space="preserve">2. </w:t>
      </w:r>
      <w:r w:rsidR="008060AC" w:rsidRPr="008060AC">
        <w:rPr>
          <w:rFonts w:ascii="Times New Roman" w:hAnsi="Times New Roman" w:cs="Times New Roman"/>
          <w:b/>
          <w:bCs/>
          <w:color w:val="000000"/>
        </w:rPr>
        <w:t>a</w:t>
      </w:r>
      <w:r w:rsidRPr="008060AC">
        <w:rPr>
          <w:rFonts w:ascii="Times New Roman" w:hAnsi="Times New Roman" w:cs="Times New Roman"/>
          <w:b/>
          <w:bCs/>
          <w:color w:val="000000"/>
        </w:rPr>
        <w:t>ttēls</w:t>
      </w:r>
      <w:r w:rsidR="008060AC" w:rsidRPr="008060AC">
        <w:rPr>
          <w:rFonts w:ascii="Times New Roman" w:hAnsi="Times New Roman" w:cs="Times New Roman"/>
          <w:b/>
          <w:bCs/>
          <w:color w:val="000000"/>
        </w:rPr>
        <w:t>.</w:t>
      </w:r>
      <w:r w:rsidRPr="008060AC">
        <w:rPr>
          <w:rFonts w:ascii="Times New Roman" w:hAnsi="Times New Roman" w:cs="Times New Roman"/>
          <w:color w:val="000000"/>
        </w:rPr>
        <w:t xml:space="preserve"> Biogāzes staciju izvietojums Latvijā</w:t>
      </w:r>
      <w:r w:rsidRPr="008060AC">
        <w:rPr>
          <w:rFonts w:ascii="Times New Roman" w:hAnsi="Times New Roman" w:cs="Times New Roman"/>
          <w:color w:val="000000"/>
          <w:vertAlign w:val="superscript"/>
        </w:rPr>
        <w:footnoteReference w:id="25"/>
      </w:r>
    </w:p>
    <w:p w14:paraId="585F5BA2" w14:textId="77777777" w:rsidR="00EA051D" w:rsidRPr="008060AC" w:rsidRDefault="00EA051D" w:rsidP="00457C61">
      <w:pPr>
        <w:ind w:firstLine="720"/>
        <w:rPr>
          <w:rFonts w:ascii="Times New Roman" w:hAnsi="Times New Roman" w:cs="Times New Roman"/>
        </w:rPr>
      </w:pPr>
      <w:r w:rsidRPr="008060AC">
        <w:rPr>
          <w:rFonts w:ascii="Times New Roman" w:hAnsi="Times New Roman" w:cs="Times New Roman"/>
        </w:rPr>
        <w:t>Kopējās Latvijas biogāzes staciju uzstādītās elektroenerģijas jaudas ir aptuveni 56 MW</w:t>
      </w:r>
      <w:r w:rsidRPr="008060AC">
        <w:rPr>
          <w:rStyle w:val="FootnoteReference"/>
          <w:rFonts w:ascii="Times New Roman" w:hAnsi="Times New Roman" w:cs="Times New Roman"/>
        </w:rPr>
        <w:footnoteReference w:id="26"/>
      </w:r>
      <w:r w:rsidRPr="008060AC">
        <w:rPr>
          <w:rFonts w:ascii="Times New Roman" w:hAnsi="Times New Roman" w:cs="Times New Roman"/>
        </w:rPr>
        <w:t xml:space="preserve"> un tas vidēji 30 reizes pārsniedz Latvijas notekūdeņu dūņu apsaimniekošanai nepieciešamās jaudas (skat. alternatīvu C3). Tomēr tuvākajā nākotnē pastāv būtiski riski esošās biogāzes staciju infrastruktūras pastāvēšanai ilgtermiņā</w:t>
      </w:r>
      <w:r w:rsidRPr="008060AC">
        <w:rPr>
          <w:rStyle w:val="FootnoteReference"/>
          <w:rFonts w:ascii="Times New Roman" w:hAnsi="Times New Roman" w:cs="Times New Roman"/>
        </w:rPr>
        <w:footnoteReference w:id="27"/>
      </w:r>
      <w:r w:rsidRPr="008060AC">
        <w:rPr>
          <w:rFonts w:ascii="Times New Roman" w:hAnsi="Times New Roman" w:cs="Times New Roman"/>
        </w:rPr>
        <w:t>, kas saistīts ar valsts vēlmi mazināt OIK ietvaros iepirktās elektroenerģijas ietekmi uz elektroenerģijas patēriņa gala tarifu. Šīs politikas ietvaros ir plānots būtiski samazināt vai pārtraukt atbalstu par elektroenerģiju, kas iegūta biogāzes sadedzināšanas rezultātā, kā rezultātā šādu biogāzes staciju uzturēšana jau īstermiņā var kļūt ekonomiski neizdevīga. Ja situācija attīstīsies atbilstoši šobrīd prognozētajam, iespējams, ka liela daļa biogāzes staciju īpašnieku 2022.gadā pārtrauks staciju ekspluatāciju un uzturēšanu.</w:t>
      </w:r>
    </w:p>
    <w:p w14:paraId="5D4B3861" w14:textId="6F6CF740" w:rsidR="00EA051D" w:rsidRDefault="00EA051D" w:rsidP="00457C61">
      <w:pPr>
        <w:spacing w:after="0"/>
        <w:ind w:firstLine="720"/>
        <w:rPr>
          <w:rFonts w:ascii="Times New Roman" w:hAnsi="Times New Roman" w:cs="Times New Roman"/>
        </w:rPr>
      </w:pPr>
      <w:r w:rsidRPr="008060AC">
        <w:rPr>
          <w:rFonts w:ascii="Times New Roman" w:hAnsi="Times New Roman" w:cs="Times New Roman"/>
        </w:rPr>
        <w:t xml:space="preserve">Pieņemot, ka lauksaimnieku organizācijām turpmāk nav izdevīgi ekspluatēt biogāzes stacijas, valsts subsīdiju neesamības dēļ, SPS plānojot notekūdeņu dūņu utilizāciju šādos biogāzes reaktoros, būtu jāsedz visas ar biogāzes stacijas darbību saistītās izmaksas. Aprēķini liecina (skat. veiktos aprēķinus pie C3 alternatīvas), ka notekūdeņu dūņu apjoms Latvijā (neskaitot BAS Daugavgrīva) ir pietiekošs, lai pilnībā nodrošinātu vien dažu lauksaimnieku </w:t>
      </w:r>
      <w:r w:rsidRPr="008060AC">
        <w:rPr>
          <w:rFonts w:ascii="Times New Roman" w:hAnsi="Times New Roman" w:cs="Times New Roman"/>
        </w:rPr>
        <w:lastRenderedPageBreak/>
        <w:t xml:space="preserve">organizāciju biogāzes staciju jaudas. Precīzas notekūdeņu dūņu apsaimniekošanas izmaksas šādā situācijā nav iespējams aprēķināt, jo nav iespējams paredzēt: - vai un kuru biogāzes staciju īpašnieki atbalstīs risinājumu pāriet strādāt uz notekūdeņu dūņām, un kādas investīcijas ir nepieciešamas esošo biogāzes staciju pārorientēšanai darbam tikai ar notekūdeņu dūņām. Turklāt, esošajā situācijā biomasa pēc biogāzes ieguves ļoti bieži tiek izkliedēta uz lauksaimniecības zemēm, kurās tiek audzēta biogāzes izejviela (parasti, kukurūza), bet, ja biogāzi iegūst no notekūdeņu dūņām, nav iespējams nodrošināt, ka lauksaimnieks (biogāzes stacijas īpašnieks) apsaimniekotajās lauksaimniecības zemēs vēlas audzēt kultūras, kurām ir atļauts izkliedēt digestātu no biogāzes stacijas un notekūdeņu dūņām. </w:t>
      </w:r>
      <w:r w:rsidRPr="008060AC">
        <w:rPr>
          <w:rFonts w:ascii="Times New Roman" w:hAnsi="Times New Roman" w:cs="Times New Roman"/>
          <w:b/>
        </w:rPr>
        <w:t>Ņemot vērā minēto, ka nav iespējams paredzēt un nodrošināt šādas alternatīvas stabilu un nepārtrauktu darbību ilgtermiņā, kā arī salīdzinot ar esošo situāciju, būtiski pieaugs notekūdeņu dūņu transportēšanas izmaksas, jo esošās biogāzes stacijas neatrodas lielajās pilsētās, kur veidojas lielākā notekūdeņu dūņu masa, uz šo alternatīvo risinājumu nav iespējams balstīt Latvijas notekūdeņu dūņu apsaimniekošanas stratēģiju</w:t>
      </w:r>
      <w:r w:rsidRPr="008060AC">
        <w:rPr>
          <w:rFonts w:ascii="Times New Roman" w:hAnsi="Times New Roman" w:cs="Times New Roman"/>
        </w:rPr>
        <w:t xml:space="preserve">, vienlaikus neizslēdzot iespēju, ka pie citiem nosacījumiem un dažādos reģionos biogāzes stacijas var turpināt pieņemt pārstrādei notekūdeņu dūņas. </w:t>
      </w:r>
    </w:p>
    <w:p w14:paraId="425647E3" w14:textId="50623CEC" w:rsidR="00B37FBD" w:rsidRDefault="00B37FBD">
      <w:pPr>
        <w:spacing w:after="160" w:line="259" w:lineRule="auto"/>
        <w:jc w:val="left"/>
        <w:rPr>
          <w:rFonts w:ascii="Times New Roman" w:hAnsi="Times New Roman" w:cs="Times New Roman"/>
        </w:rPr>
      </w:pPr>
      <w:r>
        <w:rPr>
          <w:rFonts w:ascii="Times New Roman" w:hAnsi="Times New Roman" w:cs="Times New Roman"/>
        </w:rPr>
        <w:br w:type="page"/>
      </w:r>
    </w:p>
    <w:p w14:paraId="63C7FA95" w14:textId="77777777" w:rsidR="00E15837" w:rsidRPr="008060AC" w:rsidRDefault="00E15837" w:rsidP="00E15837">
      <w:pPr>
        <w:spacing w:after="0"/>
        <w:rPr>
          <w:rFonts w:ascii="Times New Roman" w:hAnsi="Times New Roman" w:cs="Times New Roman"/>
        </w:rPr>
      </w:pPr>
    </w:p>
    <w:p w14:paraId="29BEDBF9" w14:textId="77777777" w:rsidR="00EA051D" w:rsidRPr="00D305F6" w:rsidRDefault="00EA051D" w:rsidP="00D305F6">
      <w:pPr>
        <w:jc w:val="center"/>
        <w:rPr>
          <w:rFonts w:ascii="Times New Roman" w:hAnsi="Times New Roman" w:cs="Times New Roman"/>
          <w:b/>
          <w:bCs/>
          <w:color w:val="5B9BD5" w:themeColor="accent1"/>
        </w:rPr>
      </w:pPr>
      <w:bookmarkStart w:id="83" w:name="_Toc82277623"/>
      <w:r w:rsidRPr="00D305F6">
        <w:rPr>
          <w:rFonts w:ascii="Times New Roman" w:hAnsi="Times New Roman" w:cs="Times New Roman"/>
          <w:b/>
          <w:bCs/>
          <w:color w:val="5B9BD5" w:themeColor="accent1"/>
        </w:rPr>
        <w:t>A3. Alternatīva: Notekūdeņu dūņu apsaimniekošanu veic jaunizveidots ārpakalpojuma sniedzējs</w:t>
      </w:r>
      <w:bookmarkEnd w:id="83"/>
    </w:p>
    <w:p w14:paraId="1A09A72B" w14:textId="0310B034" w:rsidR="00EA051D" w:rsidRPr="00E15837" w:rsidRDefault="00EA051D" w:rsidP="00E15837">
      <w:pPr>
        <w:spacing w:after="0"/>
        <w:ind w:firstLine="720"/>
        <w:rPr>
          <w:rFonts w:ascii="Times New Roman" w:hAnsi="Times New Roman" w:cs="Times New Roman"/>
        </w:rPr>
      </w:pPr>
      <w:r w:rsidRPr="00E15837">
        <w:rPr>
          <w:rFonts w:ascii="Times New Roman" w:hAnsi="Times New Roman" w:cs="Times New Roman"/>
        </w:rPr>
        <w:t xml:space="preserve">Alternatīvu salīdzināšanas ietvaros ir izvērtēta arī iespēja, ka notekūdeņu dūņu apsaimniekošanu Latvijā veic </w:t>
      </w:r>
      <w:sdt>
        <w:sdtPr>
          <w:rPr>
            <w:rFonts w:ascii="Times New Roman" w:hAnsi="Times New Roman" w:cs="Times New Roman"/>
          </w:rPr>
          <w:tag w:val="goog_rdk_29"/>
          <w:id w:val="2021661322"/>
        </w:sdtPr>
        <w:sdtContent/>
      </w:sdt>
      <w:sdt>
        <w:sdtPr>
          <w:rPr>
            <w:rFonts w:ascii="Times New Roman" w:hAnsi="Times New Roman" w:cs="Times New Roman"/>
          </w:rPr>
          <w:tag w:val="goog_rdk_30"/>
          <w:id w:val="1741758308"/>
        </w:sdtPr>
        <w:sdtContent/>
      </w:sdt>
      <w:r w:rsidRPr="00E15837">
        <w:rPr>
          <w:rFonts w:ascii="Times New Roman" w:hAnsi="Times New Roman" w:cs="Times New Roman"/>
        </w:rPr>
        <w:t xml:space="preserve">privāts investors, kas nodrošinātu </w:t>
      </w:r>
      <w:r w:rsidR="002B18A2" w:rsidRPr="00E15837">
        <w:rPr>
          <w:rFonts w:ascii="Times New Roman" w:hAnsi="Times New Roman" w:cs="Times New Roman"/>
          <w:color w:val="000000"/>
        </w:rPr>
        <w:t xml:space="preserve">notekūdeņu </w:t>
      </w:r>
      <w:r w:rsidRPr="00E15837">
        <w:rPr>
          <w:rFonts w:ascii="Times New Roman" w:hAnsi="Times New Roman" w:cs="Times New Roman"/>
        </w:rPr>
        <w:t>dūņu pārstrādes un utilizācijas pakalpojumus visā Latvijā kā ārpakalpojumu.</w:t>
      </w:r>
    </w:p>
    <w:p w14:paraId="7F5EC993" w14:textId="77777777" w:rsidR="00EA051D" w:rsidRPr="00E15837" w:rsidRDefault="00EA051D" w:rsidP="00EA051D">
      <w:pPr>
        <w:spacing w:after="0"/>
        <w:rPr>
          <w:rFonts w:ascii="Times New Roman" w:hAnsi="Times New Roman" w:cs="Times New Roman"/>
        </w:rPr>
      </w:pPr>
      <w:r w:rsidRPr="00E15837">
        <w:rPr>
          <w:rFonts w:ascii="Times New Roman" w:hAnsi="Times New Roman" w:cs="Times New Roman"/>
        </w:rPr>
        <w:t>Nevienai organizācijai vai tautsaimniecības nozarei bez iepriekš apskatītajām (atkritumu apsaimniekošana un lauksaimnieku organizāciju biogāzes stacijas) nav esoša, atbilstoša infrastruktūra notekūdeņu dūņu apsaimniekošanai visā Latvijā. Līdz ar to jāpieņem, ka privātajam investoram, lai nodrošinātu notekūdeņu dūņu apsaimniekošanu Latvijā, nepieciešamā infrastruktūra būtu jāveido no jauna. Šādam investoram papildus būs jāiegādājas nepieciešamais nekustamais īpašums vai jāslēdz līgumi par ilgtermiņa zemes nomu, lai būtu pieejama teritorija, kurā izveidot notekūdeņu dūņu apsaimniekošanas infrastruktūru. Kopumā ir identificējamas vairākas objektīvas izmaksu pozīcijas, kas šīs alternatīvas gadījumā būtu augstākas, salīdzinājumā ar citiem alternatīviem risinājumiem, vai nepastāv citu alternatīvu gadījumā:</w:t>
      </w:r>
    </w:p>
    <w:p w14:paraId="72680C01" w14:textId="77777777" w:rsidR="00EA051D" w:rsidRPr="00E15837" w:rsidRDefault="00EA051D" w:rsidP="008B1B4B">
      <w:pPr>
        <w:numPr>
          <w:ilvl w:val="0"/>
          <w:numId w:val="5"/>
        </w:numPr>
        <w:pBdr>
          <w:top w:val="nil"/>
          <w:left w:val="nil"/>
          <w:bottom w:val="nil"/>
          <w:right w:val="nil"/>
          <w:between w:val="nil"/>
        </w:pBdr>
        <w:spacing w:after="0"/>
        <w:rPr>
          <w:rFonts w:ascii="Times New Roman" w:hAnsi="Times New Roman" w:cs="Times New Roman"/>
        </w:rPr>
      </w:pPr>
      <w:r w:rsidRPr="00E15837">
        <w:rPr>
          <w:rFonts w:ascii="Times New Roman" w:hAnsi="Times New Roman" w:cs="Times New Roman"/>
          <w:color w:val="000000"/>
        </w:rPr>
        <w:t>izmaksas nekustamo īpašumu iegādei;</w:t>
      </w:r>
    </w:p>
    <w:p w14:paraId="1CA16918" w14:textId="7A559C56" w:rsidR="00EA051D" w:rsidRPr="00E15837" w:rsidRDefault="00EA051D" w:rsidP="008B1B4B">
      <w:pPr>
        <w:numPr>
          <w:ilvl w:val="0"/>
          <w:numId w:val="5"/>
        </w:numPr>
        <w:pBdr>
          <w:top w:val="nil"/>
          <w:left w:val="nil"/>
          <w:bottom w:val="nil"/>
          <w:right w:val="nil"/>
          <w:between w:val="nil"/>
        </w:pBdr>
        <w:spacing w:after="0"/>
        <w:rPr>
          <w:rFonts w:ascii="Times New Roman" w:hAnsi="Times New Roman" w:cs="Times New Roman"/>
        </w:rPr>
      </w:pPr>
      <w:r w:rsidRPr="00E15837">
        <w:rPr>
          <w:rFonts w:ascii="Times New Roman" w:hAnsi="Times New Roman" w:cs="Times New Roman"/>
          <w:color w:val="000000"/>
        </w:rPr>
        <w:t xml:space="preserve">izmaksas </w:t>
      </w:r>
      <w:r w:rsidR="002B18A2" w:rsidRPr="00E15837">
        <w:rPr>
          <w:rFonts w:ascii="Times New Roman" w:hAnsi="Times New Roman" w:cs="Times New Roman"/>
          <w:color w:val="000000"/>
        </w:rPr>
        <w:t xml:space="preserve">notekūdeņu </w:t>
      </w:r>
      <w:r w:rsidRPr="00E15837">
        <w:rPr>
          <w:rFonts w:ascii="Times New Roman" w:hAnsi="Times New Roman" w:cs="Times New Roman"/>
          <w:color w:val="000000"/>
        </w:rPr>
        <w:t>dūņu pārstrādes infrastruktūras izveidošanai no jauna;</w:t>
      </w:r>
    </w:p>
    <w:p w14:paraId="77497264" w14:textId="70B798DD" w:rsidR="00EA051D" w:rsidRPr="00E15837" w:rsidRDefault="00EA051D" w:rsidP="008B1B4B">
      <w:pPr>
        <w:numPr>
          <w:ilvl w:val="0"/>
          <w:numId w:val="5"/>
        </w:numPr>
        <w:pBdr>
          <w:top w:val="nil"/>
          <w:left w:val="nil"/>
          <w:bottom w:val="nil"/>
          <w:right w:val="nil"/>
          <w:between w:val="nil"/>
        </w:pBdr>
        <w:spacing w:after="0"/>
        <w:rPr>
          <w:rFonts w:ascii="Times New Roman" w:hAnsi="Times New Roman" w:cs="Times New Roman"/>
        </w:rPr>
      </w:pPr>
      <w:r w:rsidRPr="00E15837">
        <w:rPr>
          <w:rFonts w:ascii="Times New Roman" w:hAnsi="Times New Roman" w:cs="Times New Roman"/>
          <w:color w:val="000000"/>
        </w:rPr>
        <w:t>visu Latvijas</w:t>
      </w:r>
      <w:r w:rsidR="002B18A2" w:rsidRPr="00E15837">
        <w:rPr>
          <w:rFonts w:ascii="Times New Roman" w:hAnsi="Times New Roman" w:cs="Times New Roman"/>
          <w:color w:val="000000"/>
        </w:rPr>
        <w:t xml:space="preserve"> notekūdeņu</w:t>
      </w:r>
      <w:r w:rsidRPr="00E15837">
        <w:rPr>
          <w:rFonts w:ascii="Times New Roman" w:hAnsi="Times New Roman" w:cs="Times New Roman"/>
          <w:color w:val="000000"/>
        </w:rPr>
        <w:t xml:space="preserve"> dūņu transportēšana un atbilstošas izmaksas uz jaunizveidoto infrastruktūru;</w:t>
      </w:r>
    </w:p>
    <w:p w14:paraId="57B65AC4" w14:textId="4E705A29" w:rsidR="00EA051D" w:rsidRPr="00E15837" w:rsidRDefault="002B18A2" w:rsidP="008B1B4B">
      <w:pPr>
        <w:numPr>
          <w:ilvl w:val="0"/>
          <w:numId w:val="5"/>
        </w:numPr>
        <w:pBdr>
          <w:top w:val="nil"/>
          <w:left w:val="nil"/>
          <w:bottom w:val="nil"/>
          <w:right w:val="nil"/>
          <w:between w:val="nil"/>
        </w:pBdr>
        <w:spacing w:after="0"/>
        <w:rPr>
          <w:rFonts w:ascii="Times New Roman" w:hAnsi="Times New Roman" w:cs="Times New Roman"/>
        </w:rPr>
      </w:pPr>
      <w:r w:rsidRPr="00E15837">
        <w:rPr>
          <w:rFonts w:ascii="Times New Roman" w:hAnsi="Times New Roman" w:cs="Times New Roman"/>
          <w:color w:val="000000"/>
        </w:rPr>
        <w:t xml:space="preserve">notekūdeņu </w:t>
      </w:r>
      <w:r w:rsidR="00EA051D" w:rsidRPr="00E15837">
        <w:rPr>
          <w:rFonts w:ascii="Times New Roman" w:hAnsi="Times New Roman" w:cs="Times New Roman"/>
          <w:color w:val="000000"/>
        </w:rPr>
        <w:t xml:space="preserve">dūņu pārstrāde ārpus to rašanās vietas (ūdenssaimniecības uzņēmuma) nav uzskatāms par </w:t>
      </w:r>
      <w:sdt>
        <w:sdtPr>
          <w:rPr>
            <w:rFonts w:ascii="Times New Roman" w:hAnsi="Times New Roman" w:cs="Times New Roman"/>
          </w:rPr>
          <w:tag w:val="goog_rdk_32"/>
          <w:id w:val="-1987076011"/>
        </w:sdtPr>
        <w:sdtContent/>
      </w:sdt>
      <w:r w:rsidR="00EA051D" w:rsidRPr="00E15837">
        <w:rPr>
          <w:rFonts w:ascii="Times New Roman" w:hAnsi="Times New Roman" w:cs="Times New Roman"/>
          <w:color w:val="000000"/>
        </w:rPr>
        <w:t>sabiedrisko ūdenssaimniecības pakalpojumu, kā rezultātā grantu veidā piesaistāmais finansējums infrastruktūras izveidei ir daudz ierobežotāks un ar mazāku atbalsta intensitāti, salīdzinājumā ar SPS dotajām iespējām;</w:t>
      </w:r>
    </w:p>
    <w:p w14:paraId="09C4F589" w14:textId="6FA002A9" w:rsidR="00EA051D" w:rsidRPr="00E15837" w:rsidRDefault="002B18A2" w:rsidP="008B1B4B">
      <w:pPr>
        <w:numPr>
          <w:ilvl w:val="0"/>
          <w:numId w:val="5"/>
        </w:numPr>
        <w:pBdr>
          <w:top w:val="nil"/>
          <w:left w:val="nil"/>
          <w:bottom w:val="nil"/>
          <w:right w:val="nil"/>
          <w:between w:val="nil"/>
        </w:pBdr>
        <w:rPr>
          <w:rFonts w:ascii="Times New Roman" w:hAnsi="Times New Roman" w:cs="Times New Roman"/>
        </w:rPr>
      </w:pPr>
      <w:r w:rsidRPr="00E15837">
        <w:rPr>
          <w:rFonts w:ascii="Times New Roman" w:hAnsi="Times New Roman" w:cs="Times New Roman"/>
          <w:color w:val="000000"/>
        </w:rPr>
        <w:t>n</w:t>
      </w:r>
      <w:r w:rsidR="00EA051D" w:rsidRPr="00E15837">
        <w:rPr>
          <w:rFonts w:ascii="Times New Roman" w:hAnsi="Times New Roman" w:cs="Times New Roman"/>
          <w:color w:val="000000"/>
        </w:rPr>
        <w:t>eierobežotas privātā investora peļņas iespējas, jo nepastāvētu konkurējoši, alternatīvi risinājumi.</w:t>
      </w:r>
    </w:p>
    <w:p w14:paraId="640C448F" w14:textId="77777777" w:rsidR="00EA051D" w:rsidRPr="00E15837" w:rsidRDefault="00EA051D" w:rsidP="00457C61">
      <w:pPr>
        <w:ind w:firstLine="720"/>
        <w:rPr>
          <w:rFonts w:ascii="Times New Roman" w:hAnsi="Times New Roman" w:cs="Times New Roman"/>
        </w:rPr>
      </w:pPr>
      <w:r w:rsidRPr="00E15837">
        <w:rPr>
          <w:rFonts w:ascii="Times New Roman" w:hAnsi="Times New Roman" w:cs="Times New Roman"/>
        </w:rPr>
        <w:t xml:space="preserve">Tā kā minētās izmaksu pozīcijas būs būtiski lielākas nekā citu alternatīvu gadījumā, arī kopējā sniegtā pakalpojuma gala vērtība būtu augstāka, nekā dūņas pārstrādājot to rašanās vietā pie SPS. </w:t>
      </w:r>
    </w:p>
    <w:p w14:paraId="45AF2034" w14:textId="48DDB44D" w:rsidR="00EA051D" w:rsidRPr="00E15837" w:rsidRDefault="00EA051D" w:rsidP="00457C61">
      <w:pPr>
        <w:ind w:firstLine="720"/>
        <w:rPr>
          <w:rFonts w:ascii="Times New Roman" w:hAnsi="Times New Roman" w:cs="Times New Roman"/>
        </w:rPr>
      </w:pPr>
      <w:r w:rsidRPr="00E15837">
        <w:rPr>
          <w:rFonts w:ascii="Times New Roman" w:hAnsi="Times New Roman" w:cs="Times New Roman"/>
        </w:rPr>
        <w:t>Ņemot vērā minēto, apskatītā alternatīva, kad notekūdeņu dūņu apsaimniekošanu par konkurētspējīgām cenām var piedāvāt privāts investors, ir iespējama tikai pie nosacījuma, kad dūņu apsaimniekošanas uzņēmumam ir pašam pieejama pilnvērtīga dūņu apsaimniekošanas sistēma un tam ir zināmas</w:t>
      </w:r>
      <w:r w:rsidR="002B18A2" w:rsidRPr="00E15837">
        <w:rPr>
          <w:rFonts w:ascii="Times New Roman" w:hAnsi="Times New Roman" w:cs="Times New Roman"/>
        </w:rPr>
        <w:t xml:space="preserve"> </w:t>
      </w:r>
      <w:r w:rsidR="002B18A2" w:rsidRPr="00E15837">
        <w:rPr>
          <w:rFonts w:ascii="Times New Roman" w:hAnsi="Times New Roman" w:cs="Times New Roman"/>
          <w:color w:val="000000"/>
        </w:rPr>
        <w:t>notekūdeņu</w:t>
      </w:r>
      <w:r w:rsidRPr="00E15837">
        <w:rPr>
          <w:rFonts w:ascii="Times New Roman" w:hAnsi="Times New Roman" w:cs="Times New Roman"/>
        </w:rPr>
        <w:t xml:space="preserve"> dūņu apsaimniekošanas izmaksas. Ja tiek izveidots un rodas privāts investors, kas var nodrošināt notekūdeņu dūņu pārstrādi un utilizāciju par konkurētspējīgām cenām, tad SPS būtu jānodod notekūdeņu dūņu apsaimniekošana šāda privāta investora rokās, taču uz šīs stratēģijas izstrādes laiku šāds investors nav identificējams. </w:t>
      </w:r>
      <w:r w:rsidRPr="00E15837">
        <w:rPr>
          <w:rFonts w:ascii="Times New Roman" w:hAnsi="Times New Roman" w:cs="Times New Roman"/>
          <w:b/>
        </w:rPr>
        <w:t xml:space="preserve">Stratēģijas izstrādes laikā arī netika konstatēts tāds </w:t>
      </w:r>
      <w:r w:rsidR="002B18A2" w:rsidRPr="00E15837">
        <w:rPr>
          <w:rFonts w:ascii="Times New Roman" w:hAnsi="Times New Roman" w:cs="Times New Roman"/>
          <w:b/>
        </w:rPr>
        <w:t xml:space="preserve">notekūdeņu </w:t>
      </w:r>
      <w:r w:rsidRPr="00E15837">
        <w:rPr>
          <w:rFonts w:ascii="Times New Roman" w:hAnsi="Times New Roman" w:cs="Times New Roman"/>
          <w:b/>
        </w:rPr>
        <w:t xml:space="preserve">dūņu pārstrādes un utilizācijas veids, kas būtu īstenojams uz komercdarbības un konkurētspējīgas uzņēmējdarbības principiem. Tāpēc ir </w:t>
      </w:r>
      <w:r w:rsidRPr="00E15837">
        <w:rPr>
          <w:rFonts w:ascii="Times New Roman" w:hAnsi="Times New Roman" w:cs="Times New Roman"/>
          <w:b/>
        </w:rPr>
        <w:lastRenderedPageBreak/>
        <w:t xml:space="preserve">paredzams, ka šāda privāta </w:t>
      </w:r>
      <w:r w:rsidR="002B18A2" w:rsidRPr="00E15837">
        <w:rPr>
          <w:rFonts w:ascii="Times New Roman" w:hAnsi="Times New Roman" w:cs="Times New Roman"/>
          <w:b/>
        </w:rPr>
        <w:t xml:space="preserve">notekūdeņu </w:t>
      </w:r>
      <w:r w:rsidRPr="00E15837">
        <w:rPr>
          <w:rFonts w:ascii="Times New Roman" w:hAnsi="Times New Roman" w:cs="Times New Roman"/>
          <w:b/>
        </w:rPr>
        <w:t xml:space="preserve">dūņu </w:t>
      </w:r>
      <w:r w:rsidR="0029365F" w:rsidRPr="00E15837">
        <w:rPr>
          <w:rFonts w:ascii="Times New Roman" w:hAnsi="Times New Roman" w:cs="Times New Roman"/>
          <w:b/>
        </w:rPr>
        <w:t>apsaimniekotāja</w:t>
      </w:r>
      <w:r w:rsidRPr="00E15837">
        <w:rPr>
          <w:rFonts w:ascii="Times New Roman" w:hAnsi="Times New Roman" w:cs="Times New Roman"/>
          <w:b/>
        </w:rPr>
        <w:t xml:space="preserve"> izveide nebūs iespējama. Ņemot vērā augstāk minētos apstākļus, šī alternatīva nav izmantojama kā Latvijas notekūdeņu dūņu apsaimniekošanas stratēģiskais attīstības virziens</w:t>
      </w:r>
      <w:r w:rsidRPr="00E15837">
        <w:rPr>
          <w:rFonts w:ascii="Times New Roman" w:hAnsi="Times New Roman" w:cs="Times New Roman"/>
        </w:rPr>
        <w:t>.</w:t>
      </w:r>
    </w:p>
    <w:p w14:paraId="6A734733" w14:textId="77777777" w:rsidR="00EA051D" w:rsidRPr="00E15837" w:rsidRDefault="00EA051D" w:rsidP="00EA051D">
      <w:pPr>
        <w:jc w:val="center"/>
        <w:rPr>
          <w:rFonts w:ascii="Times New Roman" w:hAnsi="Times New Roman" w:cs="Times New Roman"/>
          <w:szCs w:val="24"/>
          <w:u w:val="single"/>
        </w:rPr>
      </w:pPr>
      <w:r w:rsidRPr="00E15837">
        <w:rPr>
          <w:rFonts w:ascii="Times New Roman" w:hAnsi="Times New Roman" w:cs="Times New Roman"/>
          <w:szCs w:val="24"/>
          <w:u w:val="single"/>
        </w:rPr>
        <w:t>Notekūdeņu dūņu ārpakalpojuma apsaimniekošanas alternatīvu izmaksu salīdzinājums</w:t>
      </w:r>
    </w:p>
    <w:p w14:paraId="637F6756" w14:textId="41F54521" w:rsidR="00EA051D" w:rsidRPr="00EC4628" w:rsidRDefault="00EA051D" w:rsidP="00457C61">
      <w:pPr>
        <w:ind w:firstLine="720"/>
        <w:rPr>
          <w:rFonts w:ascii="Times New Roman" w:hAnsi="Times New Roman" w:cs="Times New Roman"/>
        </w:rPr>
      </w:pPr>
      <w:r w:rsidRPr="00EC4628">
        <w:rPr>
          <w:rFonts w:ascii="Times New Roman" w:hAnsi="Times New Roman" w:cs="Times New Roman"/>
        </w:rPr>
        <w:t xml:space="preserve">Nododot notekūdeņu dūņas apsaimniekošanai ārpakalpojumā, ir ļoti grūti precīzi prognozēt šāda pakalpojuma izmaksu apjomu un dažādību. No vienas puses arī esošajā situācijā vairāki SPS izmanto ārpakalpojumu (nodod apstrādātas notekūdeņu dūņas pārstrādei lauksaimnieku organizāciju biogāzes stacijās) un samaksa par pakalpojumu ir precīzi noteikta, bet no otras puses situācija gan atkritumu apsaimniekošanas jomā, gan biogāzes staciju jomā ir ļoti mainīga un ir grūti prognozējama pat īstermiņā, līdz ar to šādas izmaiņas attiecīgajās nozarēs var būtiski paaugstināt esošo izmaksu apjomu. Arī konkurence starp dažādiem dūņu pārstrādes un utilizācijas ārpakalpojuma sniedzējiem šobrīd ir drīzāk teorētiska, jo no visa potenciāli iespējamo ārpakalpojumu sniedzēju skaita, dūņu pārstrādes un utilizācijas ārpakalpojumus sniedz tikai daži uzņēmumi. Pakalpojums nav pieejams vienmērīgi visā Latvijā, kas būtiski ietekmēs cenu atšķirību starp reģioniem un dažādiem ārpakalpojuma sniedzējiem. </w:t>
      </w:r>
      <w:r w:rsidR="00FF180F" w:rsidRPr="00EC4628">
        <w:rPr>
          <w:rFonts w:ascii="Times New Roman" w:hAnsi="Times New Roman" w:cs="Times New Roman"/>
        </w:rPr>
        <w:t>A</w:t>
      </w:r>
      <w:r w:rsidRPr="00EC4628">
        <w:rPr>
          <w:rFonts w:ascii="Times New Roman" w:hAnsi="Times New Roman" w:cs="Times New Roman"/>
        </w:rPr>
        <w:t xml:space="preserve">1.alternatīvas “Nodot kompostēšanas laukiem” un </w:t>
      </w:r>
      <w:r w:rsidR="00FF180F" w:rsidRPr="00EC4628">
        <w:rPr>
          <w:rFonts w:ascii="Times New Roman" w:hAnsi="Times New Roman" w:cs="Times New Roman"/>
        </w:rPr>
        <w:t>A</w:t>
      </w:r>
      <w:r w:rsidRPr="00EC4628">
        <w:rPr>
          <w:rFonts w:ascii="Times New Roman" w:hAnsi="Times New Roman" w:cs="Times New Roman"/>
        </w:rPr>
        <w:t xml:space="preserve">3.alternatīvas “Neatkarīgs, privāta kapitāla uzņēmums” risinājumiem izmaksas par apstrādātu dūņu ar 18 % sausnu nodošanu nav zināmas, savukārt </w:t>
      </w:r>
      <w:r w:rsidR="00FF180F" w:rsidRPr="00EC4628">
        <w:rPr>
          <w:rFonts w:ascii="Times New Roman" w:hAnsi="Times New Roman" w:cs="Times New Roman"/>
        </w:rPr>
        <w:t>A</w:t>
      </w:r>
      <w:r w:rsidRPr="00EC4628">
        <w:rPr>
          <w:rFonts w:ascii="Times New Roman" w:hAnsi="Times New Roman" w:cs="Times New Roman"/>
        </w:rPr>
        <w:t xml:space="preserve">2.alternatīvas “Nodot biogāzes stacijās” gadījumā izmaksu </w:t>
      </w:r>
      <w:r w:rsidR="0029365F" w:rsidRPr="00EC4628">
        <w:rPr>
          <w:rFonts w:ascii="Times New Roman" w:hAnsi="Times New Roman" w:cs="Times New Roman"/>
        </w:rPr>
        <w:t>diapazons</w:t>
      </w:r>
      <w:r w:rsidRPr="00EC4628">
        <w:rPr>
          <w:rFonts w:ascii="Times New Roman" w:hAnsi="Times New Roman" w:cs="Times New Roman"/>
        </w:rPr>
        <w:t xml:space="preserve"> svārstītos no 0,00 – 6,00 EUR/t.</w:t>
      </w:r>
    </w:p>
    <w:p w14:paraId="29AC3917" w14:textId="77777777" w:rsidR="00EA051D" w:rsidRPr="00EC4628" w:rsidRDefault="00EA051D" w:rsidP="00EA051D">
      <w:pPr>
        <w:jc w:val="center"/>
        <w:rPr>
          <w:rFonts w:ascii="Times New Roman" w:hAnsi="Times New Roman" w:cs="Times New Roman"/>
          <w:szCs w:val="24"/>
          <w:u w:val="single"/>
        </w:rPr>
      </w:pPr>
      <w:r w:rsidRPr="00EC4628">
        <w:rPr>
          <w:rFonts w:ascii="Times New Roman" w:hAnsi="Times New Roman" w:cs="Times New Roman"/>
          <w:szCs w:val="24"/>
          <w:u w:val="single"/>
        </w:rPr>
        <w:t>Notekūdeņu dūņu apsaimniekošanas ārpakalpojumā alternatīvu risku novērtējums</w:t>
      </w:r>
    </w:p>
    <w:p w14:paraId="4F1701F1" w14:textId="1234E63C" w:rsidR="00EA051D" w:rsidRPr="00EC4628" w:rsidRDefault="00EA051D" w:rsidP="00457C61">
      <w:pPr>
        <w:ind w:firstLine="720"/>
        <w:rPr>
          <w:rFonts w:ascii="Times New Roman" w:hAnsi="Times New Roman" w:cs="Times New Roman"/>
        </w:rPr>
      </w:pPr>
      <w:r w:rsidRPr="00EC4628">
        <w:rPr>
          <w:rFonts w:ascii="Times New Roman" w:hAnsi="Times New Roman" w:cs="Times New Roman"/>
        </w:rPr>
        <w:t xml:space="preserve">Novērtētās alternatīvas, lai arī teorētiski sniedz iespēju veikt notekūdeņu dūņu apsaimniekošanu, tomēr tās precīzi neatbilst izvirzītajām notekūdeņu dūņu pārstrādes un utilizācijas prasībām. Faktiski secināms, ka Latvijas BNA kompostēšanas laukumos ir iespējams veikt tikai bioloģiski noārdāmo atkritumu kompostēšanu, un tie nav tehniski, tehnoloģiski un no vides aspektiem piemēroti notekūdeņu dūņu kompostēšanai (skat. alternatīvu C2). Orientējot notekūdeņu dūņu pārstrādi šādos kompostēšanas laukumos, būs nepieciešamas investīcijas gan šo laukumu pārbūvei atbilstoši dūņu kompostēšanas prasībām, gan iegādājoties un uzturot atbilstošu pārstrādes tehniku un paplašinot to teritoriju. Savukārt </w:t>
      </w:r>
      <w:r w:rsidR="00182E45">
        <w:rPr>
          <w:rFonts w:ascii="Times New Roman" w:hAnsi="Times New Roman" w:cs="Times New Roman"/>
        </w:rPr>
        <w:t xml:space="preserve">situācija bioenerģētikas jomā, tajā skaitā biogāzes ražošanā ir ļoti mainīga, </w:t>
      </w:r>
      <w:r w:rsidRPr="00EC4628">
        <w:rPr>
          <w:rFonts w:ascii="Times New Roman" w:hAnsi="Times New Roman" w:cs="Times New Roman"/>
        </w:rPr>
        <w:t>līdz ar to neļaujot droši prognozēt faktiskās izmaksas vai visus alternatīvas ieviešanas riskus.</w:t>
      </w:r>
    </w:p>
    <w:p w14:paraId="4EEAFC86" w14:textId="03049928" w:rsidR="00EC4628" w:rsidRPr="00F679BD" w:rsidRDefault="00EA051D" w:rsidP="00F679BD">
      <w:pPr>
        <w:spacing w:after="0"/>
        <w:jc w:val="right"/>
        <w:rPr>
          <w:rFonts w:ascii="Times New Roman" w:hAnsi="Times New Roman" w:cs="Times New Roman"/>
          <w:bCs/>
          <w:szCs w:val="24"/>
        </w:rPr>
      </w:pPr>
      <w:r w:rsidRPr="00F679BD">
        <w:rPr>
          <w:rFonts w:ascii="Times New Roman" w:hAnsi="Times New Roman" w:cs="Times New Roman"/>
          <w:bCs/>
          <w:szCs w:val="24"/>
        </w:rPr>
        <w:t>4.</w:t>
      </w:r>
      <w:r w:rsidR="002B1367">
        <w:rPr>
          <w:rFonts w:ascii="Times New Roman" w:hAnsi="Times New Roman" w:cs="Times New Roman"/>
          <w:bCs/>
          <w:szCs w:val="24"/>
        </w:rPr>
        <w:t>2</w:t>
      </w:r>
      <w:r w:rsidRPr="00F679BD">
        <w:rPr>
          <w:rFonts w:ascii="Times New Roman" w:hAnsi="Times New Roman" w:cs="Times New Roman"/>
          <w:bCs/>
          <w:szCs w:val="24"/>
        </w:rPr>
        <w:t>.</w:t>
      </w:r>
      <w:r w:rsidR="00365075">
        <w:rPr>
          <w:rFonts w:ascii="Times New Roman" w:hAnsi="Times New Roman" w:cs="Times New Roman"/>
          <w:bCs/>
          <w:szCs w:val="24"/>
        </w:rPr>
        <w:t>1.</w:t>
      </w:r>
      <w:r w:rsidRPr="00F679BD">
        <w:rPr>
          <w:rFonts w:ascii="Times New Roman" w:hAnsi="Times New Roman" w:cs="Times New Roman"/>
          <w:bCs/>
          <w:szCs w:val="24"/>
        </w:rPr>
        <w:t>tabula</w:t>
      </w:r>
    </w:p>
    <w:p w14:paraId="40B26B8B" w14:textId="3805BB30" w:rsidR="00EA051D" w:rsidRPr="00F679BD" w:rsidRDefault="00EA051D" w:rsidP="00F679BD">
      <w:pPr>
        <w:spacing w:after="0"/>
        <w:jc w:val="center"/>
        <w:rPr>
          <w:rFonts w:ascii="Times New Roman" w:hAnsi="Times New Roman" w:cs="Times New Roman"/>
          <w:b/>
          <w:szCs w:val="24"/>
        </w:rPr>
      </w:pPr>
      <w:r w:rsidRPr="00F679BD">
        <w:rPr>
          <w:rFonts w:ascii="Times New Roman" w:hAnsi="Times New Roman" w:cs="Times New Roman"/>
          <w:b/>
          <w:szCs w:val="24"/>
        </w:rPr>
        <w:t>Dažādu notekūdeņu dūņu utilizācijas ārpakalpojumu sniedzēju novērtējums pēc salīdzinošajiem kritērijiem</w:t>
      </w:r>
    </w:p>
    <w:tbl>
      <w:tblPr>
        <w:tblStyle w:val="42"/>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410"/>
        <w:gridCol w:w="2409"/>
        <w:gridCol w:w="2552"/>
      </w:tblGrid>
      <w:tr w:rsidR="00EA051D" w:rsidRPr="00F679BD" w14:paraId="5BD447AC" w14:textId="77777777" w:rsidTr="008E6BAE">
        <w:tc>
          <w:tcPr>
            <w:tcW w:w="1980" w:type="dxa"/>
            <w:vAlign w:val="center"/>
          </w:tcPr>
          <w:p w14:paraId="17D48A0B" w14:textId="77777777" w:rsidR="00EA051D" w:rsidRPr="00F679BD" w:rsidRDefault="00000000" w:rsidP="000C73AC">
            <w:pPr>
              <w:spacing w:after="60"/>
              <w:jc w:val="center"/>
              <w:rPr>
                <w:rFonts w:ascii="Times New Roman" w:hAnsi="Times New Roman" w:cs="Times New Roman"/>
                <w:b/>
                <w:sz w:val="20"/>
                <w:szCs w:val="20"/>
              </w:rPr>
            </w:pPr>
            <w:sdt>
              <w:sdtPr>
                <w:rPr>
                  <w:rFonts w:ascii="Times New Roman" w:hAnsi="Times New Roman" w:cs="Times New Roman"/>
                </w:rPr>
                <w:tag w:val="goog_rdk_34"/>
                <w:id w:val="310603470"/>
              </w:sdtPr>
              <w:sdtContent>
                <w:r w:rsidR="00EA051D" w:rsidRPr="00F679BD">
                  <w:rPr>
                    <w:rFonts w:ascii="Times New Roman" w:hAnsi="Times New Roman" w:cs="Times New Roman"/>
                    <w:b/>
                    <w:sz w:val="20"/>
                    <w:szCs w:val="20"/>
                  </w:rPr>
                  <w:t>A</w:t>
                </w:r>
              </w:sdtContent>
            </w:sdt>
            <w:r w:rsidR="00EA051D" w:rsidRPr="00F679BD">
              <w:rPr>
                <w:rFonts w:ascii="Times New Roman" w:hAnsi="Times New Roman" w:cs="Times New Roman"/>
                <w:b/>
                <w:sz w:val="20"/>
                <w:szCs w:val="20"/>
              </w:rPr>
              <w:t>lternatīvu salīdzināšanas kritēriji</w:t>
            </w:r>
          </w:p>
        </w:tc>
        <w:tc>
          <w:tcPr>
            <w:tcW w:w="2410" w:type="dxa"/>
            <w:vAlign w:val="center"/>
          </w:tcPr>
          <w:p w14:paraId="4FC0739B" w14:textId="77777777" w:rsidR="00EA051D" w:rsidRPr="00F679BD" w:rsidRDefault="000C73AC"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A</w:t>
            </w:r>
            <w:r w:rsidR="00EA051D" w:rsidRPr="00F679BD">
              <w:rPr>
                <w:rFonts w:ascii="Times New Roman" w:hAnsi="Times New Roman" w:cs="Times New Roman"/>
                <w:b/>
                <w:sz w:val="20"/>
                <w:szCs w:val="20"/>
              </w:rPr>
              <w:t>1.Alternatīva: Notekūdeņu dūņu apsaimniekošana atkritumu apsaimniekošanas sistēmā</w:t>
            </w:r>
          </w:p>
        </w:tc>
        <w:tc>
          <w:tcPr>
            <w:tcW w:w="2409" w:type="dxa"/>
            <w:vAlign w:val="center"/>
          </w:tcPr>
          <w:p w14:paraId="251FD036" w14:textId="77777777" w:rsidR="00EA051D" w:rsidRPr="00F679BD" w:rsidRDefault="000C73AC"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A</w:t>
            </w:r>
            <w:r w:rsidR="00EA051D" w:rsidRPr="00F679BD">
              <w:rPr>
                <w:rFonts w:ascii="Times New Roman" w:hAnsi="Times New Roman" w:cs="Times New Roman"/>
                <w:b/>
                <w:sz w:val="20"/>
                <w:szCs w:val="20"/>
              </w:rPr>
              <w:t>2.Alternatīva: Notekūdeņu dūņu apsaimniekošana lauksaimniecības organizāciju infrastruktūrā</w:t>
            </w:r>
          </w:p>
        </w:tc>
        <w:tc>
          <w:tcPr>
            <w:tcW w:w="2552" w:type="dxa"/>
          </w:tcPr>
          <w:p w14:paraId="5083655B" w14:textId="77777777" w:rsidR="00EA051D" w:rsidRPr="00F679BD" w:rsidRDefault="000C73AC"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A</w:t>
            </w:r>
            <w:r w:rsidR="00EA051D" w:rsidRPr="00F679BD">
              <w:rPr>
                <w:rFonts w:ascii="Times New Roman" w:hAnsi="Times New Roman" w:cs="Times New Roman"/>
                <w:b/>
                <w:sz w:val="20"/>
                <w:szCs w:val="20"/>
              </w:rPr>
              <w:t>3.Alternatīva: Notekūdeņu dūņu apsaimniekošanu veic jaunizveidots ārpakalpojuma sniedzējs</w:t>
            </w:r>
          </w:p>
        </w:tc>
      </w:tr>
      <w:tr w:rsidR="00EA051D" w:rsidRPr="00F679BD" w14:paraId="054F15AA" w14:textId="77777777" w:rsidTr="008E6BAE">
        <w:tc>
          <w:tcPr>
            <w:tcW w:w="1980" w:type="dxa"/>
            <w:vAlign w:val="center"/>
          </w:tcPr>
          <w:p w14:paraId="79CE75BC" w14:textId="77777777" w:rsidR="00EA051D" w:rsidRPr="00F679BD" w:rsidRDefault="00EA051D" w:rsidP="000C73AC">
            <w:pPr>
              <w:spacing w:after="60"/>
              <w:jc w:val="center"/>
              <w:rPr>
                <w:rFonts w:ascii="Times New Roman" w:hAnsi="Times New Roman" w:cs="Times New Roman"/>
                <w:sz w:val="20"/>
                <w:szCs w:val="20"/>
              </w:rPr>
            </w:pPr>
            <w:r w:rsidRPr="00F679BD">
              <w:rPr>
                <w:rFonts w:ascii="Times New Roman" w:hAnsi="Times New Roman" w:cs="Times New Roman"/>
                <w:sz w:val="20"/>
                <w:szCs w:val="20"/>
              </w:rPr>
              <w:lastRenderedPageBreak/>
              <w:t xml:space="preserve">Atbilst ES un </w:t>
            </w:r>
            <w:sdt>
              <w:sdtPr>
                <w:rPr>
                  <w:rFonts w:ascii="Times New Roman" w:hAnsi="Times New Roman" w:cs="Times New Roman"/>
                </w:rPr>
                <w:tag w:val="goog_rdk_10"/>
                <w:id w:val="499938834"/>
              </w:sdtPr>
              <w:sdtContent/>
            </w:sdt>
            <w:r w:rsidRPr="00F679BD">
              <w:rPr>
                <w:rFonts w:ascii="Times New Roman" w:hAnsi="Times New Roman" w:cs="Times New Roman"/>
                <w:sz w:val="20"/>
                <w:szCs w:val="20"/>
              </w:rPr>
              <w:t>LR stratēģiju ilgtermiņa mērķiem</w:t>
            </w:r>
          </w:p>
        </w:tc>
        <w:tc>
          <w:tcPr>
            <w:tcW w:w="2410" w:type="dxa"/>
            <w:shd w:val="clear" w:color="auto" w:fill="FFFF00"/>
            <w:vAlign w:val="center"/>
          </w:tcPr>
          <w:p w14:paraId="0087AEDA"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Daļēji atbilst</w:t>
            </w:r>
          </w:p>
          <w:p w14:paraId="704B96EB"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Kompostēšanas laukumi nodrošina atkritumu pārstrādi, bet paši par sevi negarantē vielu atgriešanos aprites ekonomikā</w:t>
            </w:r>
          </w:p>
        </w:tc>
        <w:tc>
          <w:tcPr>
            <w:tcW w:w="2409" w:type="dxa"/>
            <w:shd w:val="clear" w:color="auto" w:fill="92D050"/>
            <w:vAlign w:val="center"/>
          </w:tcPr>
          <w:p w14:paraId="1EE99848"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0283B82F" w14:textId="6F4A97C5"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Veicot atbilstošu pārstrādi un utilizāciju augsnē, tiek atgriezt</w:t>
            </w:r>
            <w:r w:rsidR="004C30E2" w:rsidRPr="00F679BD">
              <w:rPr>
                <w:rFonts w:ascii="Times New Roman" w:hAnsi="Times New Roman" w:cs="Times New Roman"/>
                <w:sz w:val="18"/>
                <w:szCs w:val="18"/>
              </w:rPr>
              <w:t>i</w:t>
            </w:r>
            <w:r w:rsidRPr="00F679BD">
              <w:rPr>
                <w:rFonts w:ascii="Times New Roman" w:hAnsi="Times New Roman" w:cs="Times New Roman"/>
                <w:sz w:val="18"/>
                <w:szCs w:val="18"/>
              </w:rPr>
              <w:t xml:space="preserve"> gan </w:t>
            </w:r>
            <w:r w:rsidR="004C30E2" w:rsidRPr="00F679BD">
              <w:rPr>
                <w:rFonts w:ascii="Times New Roman" w:hAnsi="Times New Roman" w:cs="Times New Roman"/>
                <w:sz w:val="18"/>
                <w:szCs w:val="18"/>
              </w:rPr>
              <w:t>augu barošanās elementi</w:t>
            </w:r>
            <w:r w:rsidRPr="00F679BD">
              <w:rPr>
                <w:rFonts w:ascii="Times New Roman" w:hAnsi="Times New Roman" w:cs="Times New Roman"/>
                <w:sz w:val="18"/>
                <w:szCs w:val="18"/>
              </w:rPr>
              <w:t>, gan mikroelementi.</w:t>
            </w:r>
          </w:p>
        </w:tc>
        <w:tc>
          <w:tcPr>
            <w:tcW w:w="2552" w:type="dxa"/>
            <w:shd w:val="clear" w:color="auto" w:fill="92D050"/>
            <w:vAlign w:val="center"/>
          </w:tcPr>
          <w:p w14:paraId="123D9521"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5F8ED35A"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Privātam uzņēmumam būtu jānodrošina pārstrādāta materiāla atbilstoša utilizācija vai atgriešana</w:t>
            </w:r>
          </w:p>
        </w:tc>
      </w:tr>
      <w:tr w:rsidR="00EA051D" w:rsidRPr="00F679BD" w14:paraId="4B20BA5B" w14:textId="77777777" w:rsidTr="008E6BAE">
        <w:tc>
          <w:tcPr>
            <w:tcW w:w="1980" w:type="dxa"/>
            <w:vAlign w:val="center"/>
          </w:tcPr>
          <w:p w14:paraId="45FED8CC" w14:textId="77777777" w:rsidR="00EA051D" w:rsidRPr="00F679BD" w:rsidRDefault="00EA051D" w:rsidP="000C73AC">
            <w:pPr>
              <w:spacing w:after="60"/>
              <w:jc w:val="center"/>
              <w:rPr>
                <w:rFonts w:ascii="Times New Roman" w:hAnsi="Times New Roman" w:cs="Times New Roman"/>
                <w:sz w:val="20"/>
                <w:szCs w:val="20"/>
              </w:rPr>
            </w:pPr>
            <w:r w:rsidRPr="00F679BD">
              <w:rPr>
                <w:rFonts w:ascii="Times New Roman" w:hAnsi="Times New Roman" w:cs="Times New Roman"/>
                <w:sz w:val="20"/>
                <w:szCs w:val="20"/>
              </w:rPr>
              <w:t>Atbilst stratēģijas izvirzītajai Vīzijai un Misijai</w:t>
            </w:r>
          </w:p>
        </w:tc>
        <w:tc>
          <w:tcPr>
            <w:tcW w:w="2410" w:type="dxa"/>
            <w:shd w:val="clear" w:color="auto" w:fill="FF0000"/>
            <w:vAlign w:val="center"/>
          </w:tcPr>
          <w:p w14:paraId="5CCFF33B"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30B31891"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Esošais kompostēšanas laukumu tīkls un darbība šobrīd nepiedāvā drošus, visu Latvijas notekūdeņu dūņu apjomam pietiekamus, aprites ekonomikai atbilstošus notekūdeņu dūņu pārstrādes un utilizācijas risinājumus</w:t>
            </w:r>
          </w:p>
        </w:tc>
        <w:tc>
          <w:tcPr>
            <w:tcW w:w="2409" w:type="dxa"/>
            <w:shd w:val="clear" w:color="auto" w:fill="92D050"/>
            <w:vAlign w:val="center"/>
          </w:tcPr>
          <w:p w14:paraId="61C24F5C"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766B70B5"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Esošā vai atbilstoši pilnveidotā infrastruktūra var nodrošināt atbilstošu notekūdeņu dūņu pārstrādi un utilizāciju augsnē, tādējādi sasniedzot izvirzīto Vīziju un Misiju.</w:t>
            </w:r>
          </w:p>
        </w:tc>
        <w:tc>
          <w:tcPr>
            <w:tcW w:w="2552" w:type="dxa"/>
            <w:shd w:val="clear" w:color="auto" w:fill="92D050"/>
            <w:vAlign w:val="center"/>
          </w:tcPr>
          <w:p w14:paraId="12CFCC5D"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48DFC1F5"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sz w:val="18"/>
                <w:szCs w:val="18"/>
              </w:rPr>
              <w:t>Veidojot jauno pārstrādes infrastruktūru ir iespējams izveidot atbilstošu infrastruktūru un veikt tādu notekūdeņu dūņu pārstrādi un utilizāciju augsnē, lai sasniegtu izvirzīto Vīziju un Misiju.</w:t>
            </w:r>
          </w:p>
        </w:tc>
      </w:tr>
      <w:tr w:rsidR="00EA051D" w:rsidRPr="00F679BD" w14:paraId="3CF84182" w14:textId="77777777" w:rsidTr="008E6BAE">
        <w:tc>
          <w:tcPr>
            <w:tcW w:w="1980" w:type="dxa"/>
            <w:vAlign w:val="center"/>
          </w:tcPr>
          <w:p w14:paraId="419A138B" w14:textId="77777777" w:rsidR="00EA051D" w:rsidRPr="00F679BD" w:rsidRDefault="00EA051D" w:rsidP="000C73AC">
            <w:pPr>
              <w:spacing w:after="60"/>
              <w:jc w:val="center"/>
              <w:rPr>
                <w:rFonts w:ascii="Times New Roman" w:hAnsi="Times New Roman" w:cs="Times New Roman"/>
                <w:sz w:val="20"/>
                <w:szCs w:val="20"/>
              </w:rPr>
            </w:pPr>
            <w:r w:rsidRPr="00F679BD">
              <w:rPr>
                <w:rFonts w:ascii="Times New Roman" w:hAnsi="Times New Roman" w:cs="Times New Roman"/>
                <w:sz w:val="20"/>
                <w:szCs w:val="20"/>
              </w:rPr>
              <w:t>Zemākas uzturēšanas izmaksas</w:t>
            </w:r>
          </w:p>
        </w:tc>
        <w:tc>
          <w:tcPr>
            <w:tcW w:w="2410" w:type="dxa"/>
            <w:shd w:val="clear" w:color="auto" w:fill="FF0000"/>
            <w:vAlign w:val="center"/>
          </w:tcPr>
          <w:p w14:paraId="4EEC9735"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6571B2AE"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Kompostēšanas laukumu darbību ietekmē tā operatora vēlme darboties un gūt peļņu. Ņemot vērā, ka pastāvēs ierobežota konkurence, pakalpojumā iekļautais peļņas apmērs nav ierobežots.</w:t>
            </w:r>
          </w:p>
        </w:tc>
        <w:tc>
          <w:tcPr>
            <w:tcW w:w="2409" w:type="dxa"/>
            <w:shd w:val="clear" w:color="auto" w:fill="92D050"/>
            <w:vAlign w:val="center"/>
          </w:tcPr>
          <w:p w14:paraId="55E0A2AA"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25CD2B5A"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Biogāzes stacijas ir veidotas ar mērķi gūt peļņu no saražotās elektrības pārdošanas, tāpēc izveidotā sistēma ir tāda, lai uzturēšanas izmaksas būtu iespējami zemākas.</w:t>
            </w:r>
          </w:p>
        </w:tc>
        <w:tc>
          <w:tcPr>
            <w:tcW w:w="2552" w:type="dxa"/>
            <w:shd w:val="clear" w:color="auto" w:fill="FF0000"/>
            <w:vAlign w:val="center"/>
          </w:tcPr>
          <w:p w14:paraId="4B04DC22"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147DE649"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sz w:val="18"/>
                <w:szCs w:val="18"/>
              </w:rPr>
              <w:t>Privāta kapitāla uzņēmēja darbību ietekmē tā vēlme darboties un gūt peļņu. Ņemot vērā, ka faktiski nepastāvēs konkurence, pakalpojumā iekļautais peļņas apmērs nav ierobežots.</w:t>
            </w:r>
          </w:p>
        </w:tc>
      </w:tr>
      <w:tr w:rsidR="00EA051D" w:rsidRPr="00F679BD" w14:paraId="26162E06" w14:textId="77777777" w:rsidTr="008E6BAE">
        <w:tc>
          <w:tcPr>
            <w:tcW w:w="1980" w:type="dxa"/>
            <w:vAlign w:val="center"/>
          </w:tcPr>
          <w:p w14:paraId="1AF5DA8A" w14:textId="77777777" w:rsidR="00EA051D" w:rsidRPr="00F679BD" w:rsidRDefault="00EA051D" w:rsidP="000C73AC">
            <w:pPr>
              <w:spacing w:after="60"/>
              <w:jc w:val="center"/>
              <w:rPr>
                <w:rFonts w:ascii="Times New Roman" w:hAnsi="Times New Roman" w:cs="Times New Roman"/>
                <w:sz w:val="20"/>
                <w:szCs w:val="20"/>
              </w:rPr>
            </w:pPr>
            <w:r w:rsidRPr="00F679BD">
              <w:rPr>
                <w:rFonts w:ascii="Times New Roman" w:hAnsi="Times New Roman" w:cs="Times New Roman"/>
                <w:sz w:val="20"/>
                <w:szCs w:val="20"/>
              </w:rPr>
              <w:t>Zemākas kapitālās investīcijas</w:t>
            </w:r>
          </w:p>
        </w:tc>
        <w:tc>
          <w:tcPr>
            <w:tcW w:w="2410" w:type="dxa"/>
            <w:shd w:val="clear" w:color="auto" w:fill="FF0000"/>
            <w:vAlign w:val="center"/>
          </w:tcPr>
          <w:p w14:paraId="64CDB074"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41F7478E"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Liela daļa kompostēšanas laukumu nav piemēroti notekūdeņu dūņu pārstrādei. Ir nepieciešamas būtiskas investīcijas kompostēšanas laukumu tīklu izveidei un pilnveidei visā Latvijā</w:t>
            </w:r>
          </w:p>
        </w:tc>
        <w:tc>
          <w:tcPr>
            <w:tcW w:w="2409" w:type="dxa"/>
            <w:shd w:val="clear" w:color="auto" w:fill="92D050"/>
            <w:vAlign w:val="center"/>
          </w:tcPr>
          <w:p w14:paraId="4680DE43"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58DB9BB6"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Biogāzes staciju tīkls Latvijā jau ir izveidots un nav nepieciešamas būtiskas papildus kapitālās investīcijas tīkla pilnveidei</w:t>
            </w:r>
          </w:p>
        </w:tc>
        <w:tc>
          <w:tcPr>
            <w:tcW w:w="2552" w:type="dxa"/>
            <w:shd w:val="clear" w:color="auto" w:fill="FF0000"/>
            <w:vAlign w:val="center"/>
          </w:tcPr>
          <w:p w14:paraId="7BF17A1E"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79E6CB67"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sz w:val="18"/>
                <w:szCs w:val="18"/>
              </w:rPr>
              <w:t>Privātā kapitāla uzņēmējam nav notekūdeņu dūņu pārstrādei piemērota infrastruktūra un tālākas utilizācijas ceļi. Ir nepieciešamas ļoti būtiskas investīcijas jaunas, neatkarīgas notekūdeņu apsaimniekošanas infrastruktūras izveidei visā Latvijā</w:t>
            </w:r>
          </w:p>
        </w:tc>
      </w:tr>
      <w:tr w:rsidR="00EA051D" w:rsidRPr="00F679BD" w14:paraId="060A26DB" w14:textId="77777777" w:rsidTr="008E6BAE">
        <w:tc>
          <w:tcPr>
            <w:tcW w:w="1980" w:type="dxa"/>
            <w:vAlign w:val="center"/>
          </w:tcPr>
          <w:p w14:paraId="3BF05C8B" w14:textId="77777777" w:rsidR="00EA051D" w:rsidRPr="00F679BD"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1"/>
                <w:id w:val="-665017078"/>
              </w:sdtPr>
              <w:sdtContent>
                <w:r w:rsidR="00EA051D" w:rsidRPr="00F679BD">
                  <w:rPr>
                    <w:rFonts w:ascii="Times New Roman" w:hAnsi="Times New Roman" w:cs="Times New Roman"/>
                    <w:sz w:val="20"/>
                    <w:szCs w:val="20"/>
                  </w:rPr>
                  <w:t>V</w:t>
                </w:r>
              </w:sdtContent>
            </w:sdt>
            <w:r w:rsidR="00EA051D" w:rsidRPr="00F679BD">
              <w:rPr>
                <w:rFonts w:ascii="Times New Roman" w:hAnsi="Times New Roman" w:cs="Times New Roman"/>
                <w:sz w:val="20"/>
                <w:szCs w:val="20"/>
              </w:rPr>
              <w:t>ienkāršāks  ieviešanas scenārijs</w:t>
            </w:r>
          </w:p>
        </w:tc>
        <w:tc>
          <w:tcPr>
            <w:tcW w:w="2410" w:type="dxa"/>
            <w:shd w:val="clear" w:color="auto" w:fill="FFFF00"/>
            <w:vAlign w:val="center"/>
          </w:tcPr>
          <w:p w14:paraId="0F1B1B76"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Daļēji atbilst</w:t>
            </w:r>
          </w:p>
          <w:p w14:paraId="1DF944FA"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Ņemot vērā, ka daļēji pastāv esošs kompostēšanas laukumu tīkls, tad tas nebūtu jāveido pilnībā no jauna. To darbībai jau ir saņemtas atbilstošas atļaujas, kuras būtu jāprecizē, iekļaujot arī notekūdeņu dūņas, turklāt esošie laukumi sabiedrībā jau ir pieņemti kā vietas, kur tiek veikta BNA pārstrāde</w:t>
            </w:r>
          </w:p>
        </w:tc>
        <w:tc>
          <w:tcPr>
            <w:tcW w:w="2409" w:type="dxa"/>
            <w:shd w:val="clear" w:color="auto" w:fill="92D050"/>
            <w:vAlign w:val="center"/>
          </w:tcPr>
          <w:p w14:paraId="7ED7ECC1"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3CA2A252"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 xml:space="preserve">Biogāzes staciju tīkls Latvijā jau ir izveidots un darbojas, kā arī daļa notekūdeņu dūņu jau šobrīd tiek pārstrādātas esošajās biogāzes stacijās. </w:t>
            </w:r>
          </w:p>
        </w:tc>
        <w:tc>
          <w:tcPr>
            <w:tcW w:w="2552" w:type="dxa"/>
            <w:shd w:val="clear" w:color="auto" w:fill="FF0000"/>
            <w:vAlign w:val="center"/>
          </w:tcPr>
          <w:p w14:paraId="463A0785"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3B3F4A17"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sz w:val="18"/>
                <w:szCs w:val="18"/>
              </w:rPr>
              <w:t>Veicamās darbības un procesi ir jāveido no jauna, kas attiecas arī uz visa veida atļauju saņemšanu un dažādu prasību izpildi un ievērošanu. Turklāt jaunas, plašas infrastruktūras izveide var saskarties ar būtiskiem sabiedrības iebildumiem</w:t>
            </w:r>
          </w:p>
        </w:tc>
      </w:tr>
      <w:tr w:rsidR="00EA051D" w:rsidRPr="00F679BD" w14:paraId="1B3E09AF" w14:textId="77777777" w:rsidTr="008E6BAE">
        <w:tc>
          <w:tcPr>
            <w:tcW w:w="1980" w:type="dxa"/>
            <w:vAlign w:val="center"/>
          </w:tcPr>
          <w:p w14:paraId="4E815282" w14:textId="2D68845D" w:rsidR="00EA051D" w:rsidRPr="00F679BD" w:rsidRDefault="00EA051D" w:rsidP="000C73AC">
            <w:pPr>
              <w:spacing w:after="60"/>
              <w:jc w:val="center"/>
              <w:rPr>
                <w:rFonts w:ascii="Times New Roman" w:hAnsi="Times New Roman" w:cs="Times New Roman"/>
                <w:sz w:val="20"/>
                <w:szCs w:val="20"/>
              </w:rPr>
            </w:pPr>
            <w:r w:rsidRPr="00F679BD">
              <w:rPr>
                <w:rFonts w:ascii="Times New Roman" w:hAnsi="Times New Roman" w:cs="Times New Roman"/>
                <w:sz w:val="20"/>
                <w:szCs w:val="20"/>
              </w:rPr>
              <w:t>Alternatīvu neierobežo noteikt</w:t>
            </w:r>
            <w:r w:rsidR="007B6AC2" w:rsidRPr="00F679BD">
              <w:rPr>
                <w:rFonts w:ascii="Times New Roman" w:hAnsi="Times New Roman" w:cs="Times New Roman"/>
                <w:sz w:val="20"/>
                <w:szCs w:val="20"/>
              </w:rPr>
              <w:t>s</w:t>
            </w:r>
            <w:r w:rsidRPr="00F679BD">
              <w:rPr>
                <w:rFonts w:ascii="Times New Roman" w:hAnsi="Times New Roman" w:cs="Times New Roman"/>
                <w:sz w:val="20"/>
                <w:szCs w:val="20"/>
              </w:rPr>
              <w:t xml:space="preserve"> </w:t>
            </w:r>
            <w:r w:rsidR="002B18A2" w:rsidRPr="00F679BD">
              <w:rPr>
                <w:rFonts w:ascii="Times New Roman" w:hAnsi="Times New Roman" w:cs="Times New Roman"/>
                <w:sz w:val="20"/>
                <w:szCs w:val="20"/>
              </w:rPr>
              <w:t xml:space="preserve"> notekūdeņu </w:t>
            </w:r>
            <w:r w:rsidRPr="00F679BD">
              <w:rPr>
                <w:rFonts w:ascii="Times New Roman" w:hAnsi="Times New Roman" w:cs="Times New Roman"/>
                <w:sz w:val="20"/>
                <w:szCs w:val="20"/>
              </w:rPr>
              <w:t>dūņu apjom</w:t>
            </w:r>
            <w:r w:rsidR="007B6AC2" w:rsidRPr="00F679BD">
              <w:rPr>
                <w:rFonts w:ascii="Times New Roman" w:hAnsi="Times New Roman" w:cs="Times New Roman"/>
                <w:sz w:val="20"/>
                <w:szCs w:val="20"/>
              </w:rPr>
              <w:t>s</w:t>
            </w:r>
          </w:p>
        </w:tc>
        <w:tc>
          <w:tcPr>
            <w:tcW w:w="2410" w:type="dxa"/>
            <w:shd w:val="clear" w:color="auto" w:fill="FF0000"/>
            <w:vAlign w:val="center"/>
          </w:tcPr>
          <w:p w14:paraId="524732D9"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Neatbilst</w:t>
            </w:r>
          </w:p>
          <w:p w14:paraId="10767EB5"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 xml:space="preserve">Esošie kompostēšanas laukumi pārsvarā radīti ar mērķi veikt zaļo atkritumu kompostēšanu, taču tie var tikt papildināta ar dažāda apjoma notekūdeņu dūņu daudzumu. Tomēr secināms, </w:t>
            </w:r>
            <w:r w:rsidRPr="00F679BD">
              <w:rPr>
                <w:rFonts w:ascii="Times New Roman" w:hAnsi="Times New Roman" w:cs="Times New Roman"/>
                <w:sz w:val="18"/>
                <w:szCs w:val="18"/>
              </w:rPr>
              <w:lastRenderedPageBreak/>
              <w:t>ka esošo kompostēšanas laukumu jaudas nav pietiekošas, lai ilgtermiņā pieņemtu pārstrādei arī visas Latvijas notekūdeņu dūņas, turklāt laukumu jaudas nav plānotas atbilstoši reģionā radīto notekūdeņu dūņu apjomam</w:t>
            </w:r>
          </w:p>
        </w:tc>
        <w:tc>
          <w:tcPr>
            <w:tcW w:w="2409" w:type="dxa"/>
            <w:shd w:val="clear" w:color="auto" w:fill="92D050"/>
            <w:vAlign w:val="center"/>
          </w:tcPr>
          <w:p w14:paraId="2CE7B15C"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lastRenderedPageBreak/>
              <w:t>Atbilst</w:t>
            </w:r>
          </w:p>
          <w:p w14:paraId="4F8BD476"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 xml:space="preserve">Kamēr biogāzes staciju operatori notekūdeņu dūņas pārstrādei pieņem kā papildus masu pie to rīcībā esošās pamata masas, pārstrādei nododamais dūņu apjoms nav ierobežots. Arī vairāk kā 40 </w:t>
            </w:r>
            <w:r w:rsidRPr="00F679BD">
              <w:rPr>
                <w:rFonts w:ascii="Times New Roman" w:hAnsi="Times New Roman" w:cs="Times New Roman"/>
                <w:sz w:val="18"/>
                <w:szCs w:val="18"/>
              </w:rPr>
              <w:lastRenderedPageBreak/>
              <w:t xml:space="preserve">biogāzes staciju kopējā jauda vairāk kā 25 reizes pārsniedz notekūdeņu dūņu apstrādei vajadzīgo jaudu </w:t>
            </w:r>
          </w:p>
        </w:tc>
        <w:tc>
          <w:tcPr>
            <w:tcW w:w="2552" w:type="dxa"/>
            <w:shd w:val="clear" w:color="auto" w:fill="FF0000"/>
            <w:vAlign w:val="center"/>
          </w:tcPr>
          <w:p w14:paraId="42629BFE"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lastRenderedPageBreak/>
              <w:t>Neatbilst</w:t>
            </w:r>
          </w:p>
          <w:p w14:paraId="5C07330B"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sz w:val="18"/>
                <w:szCs w:val="18"/>
              </w:rPr>
              <w:t xml:space="preserve">Alternatīvu būtiski ierobežo noteikts dūņu apjoms. Ja nododamais dūņu apjoms būs par mazu izveidotai infrastruktūrai, tad samazināta dūņu apjomam būs jāsedz visas izmaksas. Dūņu apjomu, kas </w:t>
            </w:r>
            <w:r w:rsidRPr="00F679BD">
              <w:rPr>
                <w:rFonts w:ascii="Times New Roman" w:hAnsi="Times New Roman" w:cs="Times New Roman"/>
                <w:sz w:val="18"/>
                <w:szCs w:val="18"/>
              </w:rPr>
              <w:lastRenderedPageBreak/>
              <w:t>būs lielāks par infrastruktūras iespējām nodot nevarēs, kā rezultātā būs problēmas ar pārpalikušo apjomu. Atbilstošu infrastruktūru būtu iespējams plānot tikai gadījumā, ja valsts mērogā tiktu nodrošināta visu dūņu obligāta nodošana privātajam investoram</w:t>
            </w:r>
          </w:p>
        </w:tc>
      </w:tr>
      <w:tr w:rsidR="00EA051D" w:rsidRPr="00F679BD" w14:paraId="514E0D88" w14:textId="77777777" w:rsidTr="008E6BAE">
        <w:tc>
          <w:tcPr>
            <w:tcW w:w="1980" w:type="dxa"/>
            <w:vAlign w:val="center"/>
          </w:tcPr>
          <w:p w14:paraId="36064C80" w14:textId="03BC75BD" w:rsidR="00EA051D" w:rsidRPr="00F679BD" w:rsidRDefault="002B18A2" w:rsidP="000C73AC">
            <w:pPr>
              <w:spacing w:after="60"/>
              <w:jc w:val="center"/>
              <w:rPr>
                <w:rFonts w:ascii="Times New Roman" w:hAnsi="Times New Roman" w:cs="Times New Roman"/>
                <w:sz w:val="20"/>
                <w:szCs w:val="20"/>
              </w:rPr>
            </w:pPr>
            <w:r w:rsidRPr="00F679BD">
              <w:rPr>
                <w:rFonts w:ascii="Times New Roman" w:hAnsi="Times New Roman" w:cs="Times New Roman"/>
                <w:sz w:val="20"/>
                <w:szCs w:val="20"/>
              </w:rPr>
              <w:lastRenderedPageBreak/>
              <w:t>Notekūdeņu d</w:t>
            </w:r>
            <w:r w:rsidR="00EA051D" w:rsidRPr="00F679BD">
              <w:rPr>
                <w:rFonts w:ascii="Times New Roman" w:hAnsi="Times New Roman" w:cs="Times New Roman"/>
                <w:sz w:val="20"/>
                <w:szCs w:val="20"/>
              </w:rPr>
              <w:t>ūņu apsaimniekošanas uzraudzības ārējā kontrole ir viegli īstenojama un neprasa lielus resursus</w:t>
            </w:r>
          </w:p>
        </w:tc>
        <w:tc>
          <w:tcPr>
            <w:tcW w:w="2410" w:type="dxa"/>
            <w:shd w:val="clear" w:color="auto" w:fill="FFFF00"/>
            <w:vAlign w:val="center"/>
          </w:tcPr>
          <w:p w14:paraId="2AB1A0BE"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Daļēji atbilst</w:t>
            </w:r>
          </w:p>
          <w:p w14:paraId="7B70757B"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Kompostēšanas laukumu tīklu ir viegli plānveidīgi uzraudzīt. Pie plaša, nelielas jaudas kompostēšanas laukumu tīkla izveides, būs jāveic daudz pārbaužu, lai visus kompostēšanas laukus pārbaudītu, kaut reizi gadā.</w:t>
            </w:r>
          </w:p>
        </w:tc>
        <w:tc>
          <w:tcPr>
            <w:tcW w:w="2409" w:type="dxa"/>
            <w:shd w:val="clear" w:color="auto" w:fill="92D050"/>
            <w:vAlign w:val="center"/>
          </w:tcPr>
          <w:p w14:paraId="2457F56F"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Atbilst</w:t>
            </w:r>
          </w:p>
          <w:p w14:paraId="5D6F5FA4"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Notekūdeņu dūņu pārstrāde esošās biogāzes stacijās nerada nepieciešamību pēc papildus kontroles un uzraudzības</w:t>
            </w:r>
          </w:p>
        </w:tc>
        <w:tc>
          <w:tcPr>
            <w:tcW w:w="2552" w:type="dxa"/>
            <w:shd w:val="clear" w:color="auto" w:fill="FFFF00"/>
            <w:vAlign w:val="center"/>
          </w:tcPr>
          <w:p w14:paraId="14B4F8E3"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b/>
                <w:sz w:val="18"/>
                <w:szCs w:val="18"/>
              </w:rPr>
              <w:t>Daļēji atbilst</w:t>
            </w:r>
          </w:p>
          <w:p w14:paraId="7DBCDBED" w14:textId="77777777" w:rsidR="00EA051D" w:rsidRPr="00F679BD" w:rsidRDefault="00EA051D" w:rsidP="000C73AC">
            <w:pPr>
              <w:spacing w:after="60"/>
              <w:jc w:val="center"/>
              <w:rPr>
                <w:rFonts w:ascii="Times New Roman" w:hAnsi="Times New Roman" w:cs="Times New Roman"/>
                <w:b/>
                <w:sz w:val="18"/>
                <w:szCs w:val="18"/>
              </w:rPr>
            </w:pPr>
            <w:r w:rsidRPr="00F679BD">
              <w:rPr>
                <w:rFonts w:ascii="Times New Roman" w:hAnsi="Times New Roman" w:cs="Times New Roman"/>
                <w:sz w:val="18"/>
                <w:szCs w:val="18"/>
              </w:rPr>
              <w:t>Reģistrētās dūņu apstrādes vietas ir iespējams plānveidīgi uzraudzīt. Pie plaša, nelielas jaudas dūņu apstrādes tīkla izveides, būs jāveic daudz pārbaužu, lai visas vietas pārbaudītu, kaut reizi gadā.  Taču, ja visus laukumus apsaimnieko viens uzņēmums, to kontrole ir vieglāka nekā kompostēšanas laukumu gadījumā</w:t>
            </w:r>
          </w:p>
        </w:tc>
      </w:tr>
    </w:tbl>
    <w:p w14:paraId="0CAC737F" w14:textId="4E1126A6" w:rsidR="00EA051D" w:rsidRPr="00F679BD" w:rsidRDefault="00EA051D" w:rsidP="00EA051D">
      <w:pPr>
        <w:spacing w:before="200"/>
        <w:rPr>
          <w:rFonts w:ascii="Times New Roman" w:hAnsi="Times New Roman" w:cs="Times New Roman"/>
        </w:rPr>
      </w:pPr>
      <w:r w:rsidRPr="00F679BD">
        <w:rPr>
          <w:rFonts w:ascii="Times New Roman" w:hAnsi="Times New Roman" w:cs="Times New Roman"/>
        </w:rPr>
        <w:t>Salīdzinot alternatīvas pēc veiktā izvērtējuma 4.</w:t>
      </w:r>
      <w:r w:rsidR="00365075">
        <w:rPr>
          <w:rFonts w:ascii="Times New Roman" w:hAnsi="Times New Roman" w:cs="Times New Roman"/>
        </w:rPr>
        <w:t>2</w:t>
      </w:r>
      <w:r w:rsidRPr="00F679BD">
        <w:rPr>
          <w:rFonts w:ascii="Times New Roman" w:hAnsi="Times New Roman" w:cs="Times New Roman"/>
        </w:rPr>
        <w:t>.</w:t>
      </w:r>
      <w:r w:rsidR="00365075">
        <w:rPr>
          <w:rFonts w:ascii="Times New Roman" w:hAnsi="Times New Roman" w:cs="Times New Roman"/>
        </w:rPr>
        <w:t>1.</w:t>
      </w:r>
      <w:r w:rsidRPr="00F679BD">
        <w:rPr>
          <w:rFonts w:ascii="Times New Roman" w:hAnsi="Times New Roman" w:cs="Times New Roman"/>
        </w:rPr>
        <w:t>tabulā var izdarīt šādus secinājumus:</w:t>
      </w:r>
    </w:p>
    <w:p w14:paraId="4ED77846" w14:textId="77777777" w:rsidR="00EA051D" w:rsidRPr="00F679BD" w:rsidRDefault="00EA051D" w:rsidP="00EA051D">
      <w:pPr>
        <w:rPr>
          <w:rFonts w:ascii="Times New Roman" w:hAnsi="Times New Roman" w:cs="Times New Roman"/>
        </w:rPr>
      </w:pPr>
      <w:r w:rsidRPr="00F679BD">
        <w:rPr>
          <w:rFonts w:ascii="Times New Roman" w:hAnsi="Times New Roman" w:cs="Times New Roman"/>
          <w:b/>
          <w:szCs w:val="20"/>
        </w:rPr>
        <w:t>1. alternatīva: Notekūdeņu dūņu apsaimniekošana atkritumu apsaimniekošanas infrastruktūrā</w:t>
      </w:r>
      <w:r w:rsidRPr="00F679BD">
        <w:rPr>
          <w:rFonts w:ascii="Times New Roman" w:hAnsi="Times New Roman" w:cs="Times New Roman"/>
          <w:b/>
        </w:rPr>
        <w:t xml:space="preserve"> </w:t>
      </w:r>
      <w:r w:rsidRPr="00F679BD">
        <w:rPr>
          <w:rFonts w:ascii="Times New Roman" w:hAnsi="Times New Roman" w:cs="Times New Roman"/>
        </w:rPr>
        <w:t>kopumā ir vērtējams kā neatbilstošs risinājums, jo esošo kompostēšanas laukumu tehniskais aprīkojums un stāvoklis neatbilst notekūdeņu dūņu kompostēšanai, tajos nav notekūdeņu dūņu kompostēšanai piemērots tehniskais nodrošinājums, to jaudas un kapacitāte nav paredzētas Latvijas notekūdeņu dūņu apsaimniekošanai, kā arī nav izveidoti pastāvīgi, plaši pārstrādātā materiāla utilizācijas ceļi. Alternatīvai pastāv tikai atsevišķi, nelieli ieguvumi (esošas atļaujas, esošas un teritorijas plānojumos paredzētas darbības vietas), bet kopumā esošo kompostēšanas laukumu infrastruktūra nav piemērota un izmantojama visu Latvijas notekūdeņu dūņu pārstrādei.</w:t>
      </w:r>
    </w:p>
    <w:p w14:paraId="3B2DE48E" w14:textId="410DFBD4" w:rsidR="00EA051D" w:rsidRPr="00F679BD" w:rsidRDefault="00EA051D" w:rsidP="00EA051D">
      <w:pPr>
        <w:rPr>
          <w:rFonts w:ascii="Times New Roman" w:hAnsi="Times New Roman" w:cs="Times New Roman"/>
        </w:rPr>
      </w:pPr>
      <w:r w:rsidRPr="00F679BD">
        <w:rPr>
          <w:rFonts w:ascii="Times New Roman" w:hAnsi="Times New Roman" w:cs="Times New Roman"/>
          <w:b/>
          <w:szCs w:val="20"/>
        </w:rPr>
        <w:t xml:space="preserve">2. alternatīva: Notekūdeņu dūņu apsaimniekošana lauksaimniecības organizāciju infrastruktūrā </w:t>
      </w:r>
      <w:r w:rsidRPr="00F679BD">
        <w:rPr>
          <w:rFonts w:ascii="Times New Roman" w:hAnsi="Times New Roman" w:cs="Times New Roman"/>
        </w:rPr>
        <w:t>tiek vērtēta kā laba un kopumā atbilstoša alternatīva notekūdeņu dūņu apsaimniekošanā. Šī alternatīva precīzi sasniedz visus notekūdeņu dūņu stratēģijas izvirzītos mērķus un salīdzinošos kritērijus, turklāt esošo lauksaimnieku organizāciju biogāzes staciju jaudas būtiski pārsniedz notekūdeņu dūņu pārstrādei nepieciešamās jaudas, tāpēc teorētiski būtu iespējams panākt konkurenci starp dažādām biogāzes stacijām piedāvājot lētāko, atbilstošāko pakalpojumu notekūdeņu dūņu pārstrādei un apsaimniekošanai. Veidot notekūdeņu dūņu apsaimniekošanas sistēmu, izmantojot esošās biogāzes stacijas un to tīklu būtu ļoti ieteicams, izņemot Kurzemes ziemeļu un centrālajā daļā, kur nav nevienas atbilstošas biogāzes stacijas, kā rezultātā notekūdeņu dūņas būtu salīdzinoši tālu jātransportē vai jāplāno jaunas s</w:t>
      </w:r>
      <w:r w:rsidR="00B37FBD">
        <w:rPr>
          <w:rFonts w:ascii="Times New Roman" w:hAnsi="Times New Roman" w:cs="Times New Roman"/>
        </w:rPr>
        <w:t>t</w:t>
      </w:r>
      <w:r w:rsidRPr="00F679BD">
        <w:rPr>
          <w:rFonts w:ascii="Times New Roman" w:hAnsi="Times New Roman" w:cs="Times New Roman"/>
        </w:rPr>
        <w:t>acijas izveidei attiecīgajā reģionā.</w:t>
      </w:r>
    </w:p>
    <w:p w14:paraId="6AA5EE3B" w14:textId="748D37AC" w:rsidR="00EA051D" w:rsidRPr="00F679BD" w:rsidRDefault="00EA051D" w:rsidP="00EA051D">
      <w:pPr>
        <w:rPr>
          <w:rFonts w:ascii="Times New Roman" w:hAnsi="Times New Roman" w:cs="Times New Roman"/>
        </w:rPr>
      </w:pPr>
      <w:r w:rsidRPr="00F679BD">
        <w:rPr>
          <w:rFonts w:ascii="Times New Roman" w:hAnsi="Times New Roman" w:cs="Times New Roman"/>
          <w:b/>
          <w:szCs w:val="20"/>
        </w:rPr>
        <w:lastRenderedPageBreak/>
        <w:t xml:space="preserve">3. alternatīva: Notekūdeņu dūņu apsaimniekošanu veic jaunizveidots ārpakalpojuma sniedzējs </w:t>
      </w:r>
      <w:r w:rsidRPr="00F679BD">
        <w:rPr>
          <w:rFonts w:ascii="Times New Roman" w:hAnsi="Times New Roman" w:cs="Times New Roman"/>
        </w:rPr>
        <w:t xml:space="preserve">pēc vairākiem salīdzinošiem kritērijiem tiek vērtēts, kā neatbilstošs risinājums Latvijas apstākļiem. Šāds iespējamais notekūdeņu dūņu apsaimniekošanas alternatīvais risinājums tiek raksturots kā sarežģīts, finansiāli dārgs un ieviešanas ziņā laikietilpīgs. Alternatīvu būtiski ierobežo notekūdeņu dūņu apjoms, jo izveidotā sistēma būs paredzēta konkrētam </w:t>
      </w:r>
      <w:r w:rsidR="002B18A2" w:rsidRPr="00F679BD">
        <w:rPr>
          <w:rFonts w:ascii="Times New Roman" w:hAnsi="Times New Roman" w:cs="Times New Roman"/>
          <w:color w:val="000000"/>
        </w:rPr>
        <w:t xml:space="preserve">notekūdeņu </w:t>
      </w:r>
      <w:r w:rsidRPr="00F679BD">
        <w:rPr>
          <w:rFonts w:ascii="Times New Roman" w:hAnsi="Times New Roman" w:cs="Times New Roman"/>
        </w:rPr>
        <w:t xml:space="preserve">dūņu daudzumam. Ja </w:t>
      </w:r>
      <w:r w:rsidR="002B18A2" w:rsidRPr="00F679BD">
        <w:rPr>
          <w:rFonts w:ascii="Times New Roman" w:hAnsi="Times New Roman" w:cs="Times New Roman"/>
          <w:color w:val="000000"/>
        </w:rPr>
        <w:t xml:space="preserve">notekūdeņu </w:t>
      </w:r>
      <w:r w:rsidRPr="00F679BD">
        <w:rPr>
          <w:rFonts w:ascii="Times New Roman" w:hAnsi="Times New Roman" w:cs="Times New Roman"/>
        </w:rPr>
        <w:t xml:space="preserve">dūņas būs daudz mazāk par plānoto, tad visi izdevumi būs jāsedz </w:t>
      </w:r>
      <w:r w:rsidR="002B18A2" w:rsidRPr="00F679BD">
        <w:rPr>
          <w:rFonts w:ascii="Times New Roman" w:hAnsi="Times New Roman" w:cs="Times New Roman"/>
        </w:rPr>
        <w:t xml:space="preserve">ar tām </w:t>
      </w:r>
      <w:r w:rsidR="002B18A2" w:rsidRPr="00F679BD">
        <w:rPr>
          <w:rFonts w:ascii="Times New Roman" w:hAnsi="Times New Roman" w:cs="Times New Roman"/>
          <w:color w:val="000000"/>
        </w:rPr>
        <w:t>notekūdeņu</w:t>
      </w:r>
      <w:r w:rsidRPr="00F679BD">
        <w:rPr>
          <w:rFonts w:ascii="Times New Roman" w:hAnsi="Times New Roman" w:cs="Times New Roman"/>
        </w:rPr>
        <w:t xml:space="preserve"> dūņām, kuras ienāks pārstrādes centrā, savukārt, ja </w:t>
      </w:r>
      <w:r w:rsidR="002B18A2" w:rsidRPr="00F679BD">
        <w:rPr>
          <w:rFonts w:ascii="Times New Roman" w:hAnsi="Times New Roman" w:cs="Times New Roman"/>
          <w:color w:val="000000"/>
        </w:rPr>
        <w:t xml:space="preserve">notekūdeņu </w:t>
      </w:r>
      <w:r w:rsidRPr="00F679BD">
        <w:rPr>
          <w:rFonts w:ascii="Times New Roman" w:hAnsi="Times New Roman" w:cs="Times New Roman"/>
        </w:rPr>
        <w:t>dūņu būs par daudz, izveidotajos apstrādes centros var nepietikt vietas un liekās</w:t>
      </w:r>
      <w:r w:rsidR="002B18A2" w:rsidRPr="00F679BD">
        <w:rPr>
          <w:rFonts w:ascii="Times New Roman" w:hAnsi="Times New Roman" w:cs="Times New Roman"/>
        </w:rPr>
        <w:t xml:space="preserve"> </w:t>
      </w:r>
      <w:r w:rsidR="002B18A2" w:rsidRPr="00F679BD">
        <w:rPr>
          <w:rFonts w:ascii="Times New Roman" w:hAnsi="Times New Roman" w:cs="Times New Roman"/>
          <w:color w:val="000000"/>
        </w:rPr>
        <w:t>notekūdeņu</w:t>
      </w:r>
      <w:r w:rsidRPr="00F679BD">
        <w:rPr>
          <w:rFonts w:ascii="Times New Roman" w:hAnsi="Times New Roman" w:cs="Times New Roman"/>
        </w:rPr>
        <w:t xml:space="preserve"> dūņas tiktu nogādātas kādās ilgstošas uzglabāšanas vietā vai tām būtu jāmeklē cits apsaimniekošanas risinājums. Alternatīvas gadījumā arī no lielajām NAI</w:t>
      </w:r>
      <w:r w:rsidR="002B18A2" w:rsidRPr="00F679BD">
        <w:rPr>
          <w:rFonts w:ascii="Times New Roman" w:hAnsi="Times New Roman" w:cs="Times New Roman"/>
        </w:rPr>
        <w:t xml:space="preserve"> </w:t>
      </w:r>
      <w:r w:rsidR="002B18A2" w:rsidRPr="00F679BD">
        <w:rPr>
          <w:rFonts w:ascii="Times New Roman" w:hAnsi="Times New Roman" w:cs="Times New Roman"/>
          <w:color w:val="000000"/>
        </w:rPr>
        <w:t>notekūdeņu</w:t>
      </w:r>
      <w:r w:rsidRPr="00F679BD">
        <w:rPr>
          <w:rFonts w:ascii="Times New Roman" w:hAnsi="Times New Roman" w:cs="Times New Roman"/>
        </w:rPr>
        <w:t xml:space="preserve"> dūņas būs jāpārvieto uz pārstrādes centru, kas būtiski palielina transportēšanas izmaksas. Attiecīgi šis risinājums raksturojams ar augstām uzturēšanas izmaksām un lielām kapitālām investīcijām. </w:t>
      </w:r>
    </w:p>
    <w:p w14:paraId="7AB134AE" w14:textId="52936C0B" w:rsidR="00EA051D" w:rsidRPr="00F679BD" w:rsidRDefault="00EA051D" w:rsidP="00BD04BA">
      <w:pPr>
        <w:rPr>
          <w:rFonts w:ascii="Times New Roman" w:hAnsi="Times New Roman" w:cs="Times New Roman"/>
        </w:rPr>
      </w:pPr>
      <w:r w:rsidRPr="00F679BD">
        <w:rPr>
          <w:rFonts w:ascii="Times New Roman" w:hAnsi="Times New Roman" w:cs="Times New Roman"/>
        </w:rPr>
        <w:t>Kopā ar ārpakalpojuma sniedzēju atbilstības novērtējumu ir veikts arī apskatīto alternatīvo risinājumu risku novērtējums, kas apkopots 4.</w:t>
      </w:r>
      <w:r w:rsidR="00365075">
        <w:rPr>
          <w:rFonts w:ascii="Times New Roman" w:hAnsi="Times New Roman" w:cs="Times New Roman"/>
        </w:rPr>
        <w:t>2.2</w:t>
      </w:r>
      <w:r w:rsidRPr="00F679BD">
        <w:rPr>
          <w:rFonts w:ascii="Times New Roman" w:hAnsi="Times New Roman" w:cs="Times New Roman"/>
        </w:rPr>
        <w:t>.tabulā.</w:t>
      </w:r>
    </w:p>
    <w:p w14:paraId="23032994" w14:textId="7505F52B" w:rsidR="00F679BD" w:rsidRPr="00F679BD" w:rsidRDefault="00EA051D" w:rsidP="00F679BD">
      <w:pPr>
        <w:spacing w:after="0"/>
        <w:jc w:val="right"/>
        <w:rPr>
          <w:rFonts w:ascii="Times New Roman" w:hAnsi="Times New Roman" w:cs="Times New Roman"/>
          <w:bCs/>
          <w:szCs w:val="24"/>
        </w:rPr>
      </w:pPr>
      <w:r w:rsidRPr="00F679BD">
        <w:rPr>
          <w:rFonts w:ascii="Times New Roman" w:hAnsi="Times New Roman" w:cs="Times New Roman"/>
          <w:bCs/>
          <w:szCs w:val="24"/>
        </w:rPr>
        <w:t>4.</w:t>
      </w:r>
      <w:r w:rsidR="00365075">
        <w:rPr>
          <w:rFonts w:ascii="Times New Roman" w:hAnsi="Times New Roman" w:cs="Times New Roman"/>
          <w:bCs/>
          <w:szCs w:val="24"/>
        </w:rPr>
        <w:t>2.2</w:t>
      </w:r>
      <w:r w:rsidRPr="00F679BD">
        <w:rPr>
          <w:rFonts w:ascii="Times New Roman" w:hAnsi="Times New Roman" w:cs="Times New Roman"/>
          <w:bCs/>
          <w:szCs w:val="24"/>
        </w:rPr>
        <w:t>. tabula</w:t>
      </w:r>
    </w:p>
    <w:p w14:paraId="7B3F02F3" w14:textId="1F08787E" w:rsidR="00EA051D" w:rsidRPr="00F679BD" w:rsidRDefault="00EA051D" w:rsidP="00F679BD">
      <w:pPr>
        <w:spacing w:after="0"/>
        <w:jc w:val="center"/>
        <w:rPr>
          <w:rFonts w:ascii="Times New Roman" w:hAnsi="Times New Roman" w:cs="Times New Roman"/>
          <w:b/>
          <w:szCs w:val="24"/>
        </w:rPr>
      </w:pPr>
      <w:r w:rsidRPr="00F679BD">
        <w:rPr>
          <w:rFonts w:ascii="Times New Roman" w:hAnsi="Times New Roman" w:cs="Times New Roman"/>
          <w:b/>
          <w:szCs w:val="24"/>
        </w:rPr>
        <w:t>Dažādu notekūdeņu dūņu utilizācijas risinājumu pie ārpakalpojuma sniedzējiem risku novērtēšana</w:t>
      </w:r>
    </w:p>
    <w:tbl>
      <w:tblPr>
        <w:tblStyle w:val="4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1937"/>
        <w:gridCol w:w="1937"/>
        <w:gridCol w:w="1938"/>
      </w:tblGrid>
      <w:tr w:rsidR="00EA051D" w:rsidRPr="00F679BD" w14:paraId="5FD6414D" w14:textId="77777777" w:rsidTr="008E6BAE">
        <w:tc>
          <w:tcPr>
            <w:tcW w:w="3539" w:type="dxa"/>
            <w:vAlign w:val="center"/>
          </w:tcPr>
          <w:p w14:paraId="3B611B57" w14:textId="77777777" w:rsidR="00EA051D" w:rsidRPr="00F679BD" w:rsidRDefault="00000000" w:rsidP="000C73AC">
            <w:pPr>
              <w:spacing w:after="60"/>
              <w:jc w:val="center"/>
              <w:rPr>
                <w:rFonts w:ascii="Times New Roman" w:hAnsi="Times New Roman" w:cs="Times New Roman"/>
                <w:b/>
                <w:sz w:val="20"/>
                <w:szCs w:val="20"/>
              </w:rPr>
            </w:pPr>
            <w:sdt>
              <w:sdtPr>
                <w:rPr>
                  <w:rFonts w:ascii="Times New Roman" w:hAnsi="Times New Roman" w:cs="Times New Roman"/>
                </w:rPr>
                <w:tag w:val="goog_rdk_35"/>
                <w:id w:val="-491652091"/>
              </w:sdtPr>
              <w:sdtContent>
                <w:r w:rsidR="00EA051D" w:rsidRPr="00F679BD">
                  <w:rPr>
                    <w:rFonts w:ascii="Times New Roman" w:hAnsi="Times New Roman" w:cs="Times New Roman"/>
                    <w:b/>
                    <w:sz w:val="20"/>
                    <w:szCs w:val="20"/>
                  </w:rPr>
                  <w:t>R</w:t>
                </w:r>
              </w:sdtContent>
            </w:sdt>
            <w:r w:rsidR="00EA051D" w:rsidRPr="00F679BD">
              <w:rPr>
                <w:rFonts w:ascii="Times New Roman" w:hAnsi="Times New Roman" w:cs="Times New Roman"/>
                <w:b/>
                <w:sz w:val="20"/>
                <w:szCs w:val="20"/>
              </w:rPr>
              <w:t>isku novērtējums</w:t>
            </w:r>
          </w:p>
        </w:tc>
        <w:tc>
          <w:tcPr>
            <w:tcW w:w="1937" w:type="dxa"/>
            <w:vAlign w:val="center"/>
          </w:tcPr>
          <w:p w14:paraId="1762A436" w14:textId="77777777" w:rsidR="00EA051D" w:rsidRPr="00F679BD" w:rsidRDefault="000C73AC"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A</w:t>
            </w:r>
            <w:r w:rsidR="00EA051D" w:rsidRPr="00F679BD">
              <w:rPr>
                <w:rFonts w:ascii="Times New Roman" w:hAnsi="Times New Roman" w:cs="Times New Roman"/>
                <w:b/>
                <w:sz w:val="20"/>
                <w:szCs w:val="20"/>
              </w:rPr>
              <w:t>1.Alternatīva: Notekūdeņu dūņu apsaimniekošana atkritumu apsaimniekošanas sistēmā</w:t>
            </w:r>
          </w:p>
        </w:tc>
        <w:tc>
          <w:tcPr>
            <w:tcW w:w="1937" w:type="dxa"/>
            <w:vAlign w:val="center"/>
          </w:tcPr>
          <w:p w14:paraId="3E4269A9" w14:textId="77777777" w:rsidR="00EA051D" w:rsidRPr="00F679BD" w:rsidRDefault="000C73AC"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A</w:t>
            </w:r>
            <w:r w:rsidR="00EA051D" w:rsidRPr="00F679BD">
              <w:rPr>
                <w:rFonts w:ascii="Times New Roman" w:hAnsi="Times New Roman" w:cs="Times New Roman"/>
                <w:b/>
                <w:sz w:val="20"/>
                <w:szCs w:val="20"/>
              </w:rPr>
              <w:t>2.Alternatīva: Notekūdeņu dūņu apsaimniekošana lauksaimniecības organizāciju infrastruktūrā</w:t>
            </w:r>
          </w:p>
        </w:tc>
        <w:tc>
          <w:tcPr>
            <w:tcW w:w="1938" w:type="dxa"/>
          </w:tcPr>
          <w:p w14:paraId="14DC3B29" w14:textId="77777777" w:rsidR="00EA051D" w:rsidRPr="00F679BD" w:rsidRDefault="000C73AC"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A</w:t>
            </w:r>
            <w:r w:rsidR="00EA051D" w:rsidRPr="00F679BD">
              <w:rPr>
                <w:rFonts w:ascii="Times New Roman" w:hAnsi="Times New Roman" w:cs="Times New Roman"/>
                <w:b/>
                <w:sz w:val="20"/>
                <w:szCs w:val="20"/>
              </w:rPr>
              <w:t>3.Alternatīva: Notekūdeņu dūņu apsaimniekošanu veic jaunizveidots ārpakalpojuma sniedzējs</w:t>
            </w:r>
          </w:p>
        </w:tc>
      </w:tr>
      <w:tr w:rsidR="00EA051D" w:rsidRPr="00F679BD" w14:paraId="2C5F8068" w14:textId="77777777" w:rsidTr="008E6BAE">
        <w:tc>
          <w:tcPr>
            <w:tcW w:w="3539" w:type="dxa"/>
            <w:vAlign w:val="center"/>
          </w:tcPr>
          <w:p w14:paraId="399403A9" w14:textId="77777777" w:rsidR="00EA051D" w:rsidRPr="00F679BD" w:rsidRDefault="00EA051D"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Iekšējie riski</w:t>
            </w:r>
          </w:p>
        </w:tc>
        <w:tc>
          <w:tcPr>
            <w:tcW w:w="1937" w:type="dxa"/>
            <w:vAlign w:val="center"/>
          </w:tcPr>
          <w:p w14:paraId="7E5D3851" w14:textId="77777777" w:rsidR="00EA051D" w:rsidRPr="00F679BD" w:rsidRDefault="00EA051D" w:rsidP="000C73AC">
            <w:pPr>
              <w:spacing w:after="60"/>
              <w:jc w:val="center"/>
              <w:rPr>
                <w:rFonts w:ascii="Times New Roman" w:hAnsi="Times New Roman" w:cs="Times New Roman"/>
                <w:b/>
                <w:sz w:val="18"/>
                <w:szCs w:val="18"/>
              </w:rPr>
            </w:pPr>
          </w:p>
        </w:tc>
        <w:tc>
          <w:tcPr>
            <w:tcW w:w="1937" w:type="dxa"/>
            <w:vAlign w:val="center"/>
          </w:tcPr>
          <w:p w14:paraId="59467808" w14:textId="77777777" w:rsidR="00EA051D" w:rsidRPr="00F679BD" w:rsidRDefault="00EA051D" w:rsidP="000C73AC">
            <w:pPr>
              <w:spacing w:after="60"/>
              <w:jc w:val="center"/>
              <w:rPr>
                <w:rFonts w:ascii="Times New Roman" w:hAnsi="Times New Roman" w:cs="Times New Roman"/>
                <w:b/>
                <w:sz w:val="18"/>
                <w:szCs w:val="18"/>
              </w:rPr>
            </w:pPr>
          </w:p>
        </w:tc>
        <w:tc>
          <w:tcPr>
            <w:tcW w:w="1938" w:type="dxa"/>
          </w:tcPr>
          <w:p w14:paraId="7F77A770" w14:textId="77777777" w:rsidR="00EA051D" w:rsidRPr="00F679BD" w:rsidRDefault="00EA051D" w:rsidP="000C73AC">
            <w:pPr>
              <w:spacing w:after="60"/>
              <w:jc w:val="center"/>
              <w:rPr>
                <w:rFonts w:ascii="Times New Roman" w:hAnsi="Times New Roman" w:cs="Times New Roman"/>
                <w:b/>
                <w:sz w:val="18"/>
                <w:szCs w:val="18"/>
              </w:rPr>
            </w:pPr>
          </w:p>
        </w:tc>
      </w:tr>
      <w:tr w:rsidR="00EA051D" w:rsidRPr="00F679BD" w14:paraId="7BC51194" w14:textId="77777777" w:rsidTr="008E6BAE">
        <w:tc>
          <w:tcPr>
            <w:tcW w:w="3539" w:type="dxa"/>
            <w:vAlign w:val="center"/>
          </w:tcPr>
          <w:p w14:paraId="66CDCE0D" w14:textId="77777777" w:rsidR="00EA051D" w:rsidRPr="00F679BD"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24"/>
                <w:id w:val="-1323036876"/>
              </w:sdtPr>
              <w:sdtContent>
                <w:r w:rsidR="00EA051D" w:rsidRPr="00F679BD">
                  <w:rPr>
                    <w:rFonts w:ascii="Times New Roman" w:hAnsi="Times New Roman" w:cs="Times New Roman"/>
                    <w:sz w:val="20"/>
                    <w:szCs w:val="20"/>
                  </w:rPr>
                  <w:t>A</w:t>
                </w:r>
              </w:sdtContent>
            </w:sdt>
            <w:r w:rsidR="00EA051D" w:rsidRPr="00F679BD">
              <w:rPr>
                <w:rFonts w:ascii="Times New Roman" w:hAnsi="Times New Roman" w:cs="Times New Roman"/>
                <w:sz w:val="20"/>
                <w:szCs w:val="20"/>
              </w:rPr>
              <w:t>lternatīva paredz būtiskas izmaiņas esošajā apsaimniekošanas pārvaldībā, kam var nebūt pietiekošs atbalsts</w:t>
            </w:r>
          </w:p>
        </w:tc>
        <w:tc>
          <w:tcPr>
            <w:tcW w:w="1937" w:type="dxa"/>
            <w:shd w:val="clear" w:color="auto" w:fill="92D050"/>
            <w:vAlign w:val="center"/>
          </w:tcPr>
          <w:p w14:paraId="0066B260"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7" w:type="dxa"/>
            <w:shd w:val="clear" w:color="auto" w:fill="92D050"/>
            <w:vAlign w:val="center"/>
          </w:tcPr>
          <w:p w14:paraId="7ED5C4B1"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 xml:space="preserve">Zems </w:t>
            </w:r>
          </w:p>
        </w:tc>
        <w:tc>
          <w:tcPr>
            <w:tcW w:w="1938" w:type="dxa"/>
            <w:shd w:val="clear" w:color="auto" w:fill="FF0000"/>
            <w:vAlign w:val="center"/>
          </w:tcPr>
          <w:p w14:paraId="69E7C6DE" w14:textId="77777777" w:rsidR="00EA051D" w:rsidRPr="00F679BD" w:rsidRDefault="00000000" w:rsidP="000C73AC">
            <w:pPr>
              <w:spacing w:after="60"/>
              <w:jc w:val="center"/>
              <w:rPr>
                <w:rFonts w:ascii="Times New Roman" w:hAnsi="Times New Roman" w:cs="Times New Roman"/>
                <w:sz w:val="18"/>
                <w:szCs w:val="18"/>
              </w:rPr>
            </w:pPr>
            <w:sdt>
              <w:sdtPr>
                <w:rPr>
                  <w:rFonts w:ascii="Times New Roman" w:hAnsi="Times New Roman" w:cs="Times New Roman"/>
                </w:rPr>
                <w:tag w:val="goog_rdk_24"/>
                <w:id w:val="-1761217125"/>
                <w:showingPlcHdr/>
              </w:sdtPr>
              <w:sdtContent>
                <w:r w:rsidR="00EA051D" w:rsidRPr="00F679BD">
                  <w:rPr>
                    <w:rFonts w:ascii="Times New Roman" w:hAnsi="Times New Roman" w:cs="Times New Roman"/>
                  </w:rPr>
                  <w:t xml:space="preserve">     </w:t>
                </w:r>
              </w:sdtContent>
            </w:sdt>
            <w:r w:rsidR="00EA051D" w:rsidRPr="00F679BD">
              <w:rPr>
                <w:rFonts w:ascii="Times New Roman" w:hAnsi="Times New Roman" w:cs="Times New Roman"/>
                <w:sz w:val="18"/>
                <w:szCs w:val="18"/>
              </w:rPr>
              <w:t>Augsts</w:t>
            </w:r>
          </w:p>
        </w:tc>
      </w:tr>
      <w:tr w:rsidR="00EA051D" w:rsidRPr="00F679BD" w14:paraId="23ACB6C6" w14:textId="77777777" w:rsidTr="008E6BAE">
        <w:tc>
          <w:tcPr>
            <w:tcW w:w="3539" w:type="dxa"/>
            <w:vAlign w:val="center"/>
          </w:tcPr>
          <w:p w14:paraId="52406049"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Nepieciešams ieviest jaunas tehnoloģijas dūņu apstrādē, kas esošajiem SPS nav pazīstamas, var izraisīt būtisku pretestību</w:t>
            </w:r>
          </w:p>
        </w:tc>
        <w:tc>
          <w:tcPr>
            <w:tcW w:w="1937" w:type="dxa"/>
            <w:shd w:val="clear" w:color="auto" w:fill="FFC000"/>
            <w:vAlign w:val="center"/>
          </w:tcPr>
          <w:p w14:paraId="0ABAC4BD"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92D050"/>
            <w:vAlign w:val="center"/>
          </w:tcPr>
          <w:p w14:paraId="3A1A2F92"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 xml:space="preserve">Zems </w:t>
            </w:r>
          </w:p>
        </w:tc>
        <w:tc>
          <w:tcPr>
            <w:tcW w:w="1938" w:type="dxa"/>
            <w:shd w:val="clear" w:color="auto" w:fill="FFC000"/>
            <w:vAlign w:val="center"/>
          </w:tcPr>
          <w:p w14:paraId="199FD4A0"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0AE5811F" w14:textId="77777777" w:rsidTr="008E6BAE">
        <w:tc>
          <w:tcPr>
            <w:tcW w:w="3539" w:type="dxa"/>
            <w:vAlign w:val="center"/>
          </w:tcPr>
          <w:p w14:paraId="33EC89B2"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Nepieciešams īpaši apmācīts personāls, kas šobrīd nav pieejams</w:t>
            </w:r>
          </w:p>
        </w:tc>
        <w:tc>
          <w:tcPr>
            <w:tcW w:w="1937" w:type="dxa"/>
            <w:shd w:val="clear" w:color="auto" w:fill="FFC000"/>
            <w:vAlign w:val="center"/>
          </w:tcPr>
          <w:p w14:paraId="146B3B3F"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92D050"/>
            <w:vAlign w:val="center"/>
          </w:tcPr>
          <w:p w14:paraId="70CCA199"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8" w:type="dxa"/>
            <w:shd w:val="clear" w:color="auto" w:fill="FFC000"/>
            <w:vAlign w:val="center"/>
          </w:tcPr>
          <w:p w14:paraId="75604FE2"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0BF525CC" w14:textId="77777777" w:rsidTr="008E6BAE">
        <w:tc>
          <w:tcPr>
            <w:tcW w:w="3539" w:type="dxa"/>
            <w:vAlign w:val="center"/>
          </w:tcPr>
          <w:p w14:paraId="21974B05"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Alternatīvas ieviešanai ir nepieciešamas piesaistīt būtiskas finanšu investīcijas, kas var nebūt pieejamas</w:t>
            </w:r>
          </w:p>
        </w:tc>
        <w:tc>
          <w:tcPr>
            <w:tcW w:w="1937" w:type="dxa"/>
            <w:shd w:val="clear" w:color="auto" w:fill="FF0000"/>
            <w:vAlign w:val="center"/>
          </w:tcPr>
          <w:p w14:paraId="4425C09B"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7" w:type="dxa"/>
            <w:shd w:val="clear" w:color="auto" w:fill="92D050"/>
            <w:vAlign w:val="center"/>
          </w:tcPr>
          <w:p w14:paraId="775AC037"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8" w:type="dxa"/>
            <w:shd w:val="clear" w:color="auto" w:fill="FF0000"/>
            <w:vAlign w:val="center"/>
          </w:tcPr>
          <w:p w14:paraId="6F8CE9E0"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r>
      <w:tr w:rsidR="00EA051D" w:rsidRPr="00F679BD" w14:paraId="5D327858" w14:textId="77777777" w:rsidTr="008E6BAE">
        <w:tc>
          <w:tcPr>
            <w:tcW w:w="3539" w:type="dxa"/>
            <w:vAlign w:val="center"/>
          </w:tcPr>
          <w:p w14:paraId="56B7BA7B"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Alternatīvas ieviešanai nepieciešamas būtiskas papildus zemes platības, kas var nebūt pieejamas</w:t>
            </w:r>
          </w:p>
        </w:tc>
        <w:tc>
          <w:tcPr>
            <w:tcW w:w="1937" w:type="dxa"/>
            <w:shd w:val="clear" w:color="auto" w:fill="FFC000"/>
            <w:vAlign w:val="center"/>
          </w:tcPr>
          <w:p w14:paraId="6179E370"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92D050"/>
            <w:vAlign w:val="center"/>
          </w:tcPr>
          <w:p w14:paraId="1C1728F7"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8" w:type="dxa"/>
            <w:shd w:val="clear" w:color="auto" w:fill="FF0000"/>
            <w:vAlign w:val="center"/>
          </w:tcPr>
          <w:p w14:paraId="3F8B4713"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r>
      <w:tr w:rsidR="00EA051D" w:rsidRPr="00F679BD" w14:paraId="00197E89" w14:textId="77777777" w:rsidTr="008E6BAE">
        <w:tc>
          <w:tcPr>
            <w:tcW w:w="3539" w:type="dxa"/>
            <w:vAlign w:val="center"/>
          </w:tcPr>
          <w:p w14:paraId="743FBD01"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Ieguldītās investīcijas tiek izmantotas, bet sasniegtais rezultāts nesniedz paredzēto efektu</w:t>
            </w:r>
          </w:p>
        </w:tc>
        <w:tc>
          <w:tcPr>
            <w:tcW w:w="1937" w:type="dxa"/>
            <w:shd w:val="clear" w:color="auto" w:fill="FF0000"/>
            <w:vAlign w:val="center"/>
          </w:tcPr>
          <w:p w14:paraId="4C42C4ED"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7" w:type="dxa"/>
            <w:shd w:val="clear" w:color="auto" w:fill="92D050"/>
            <w:vAlign w:val="center"/>
          </w:tcPr>
          <w:p w14:paraId="388991CA"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8" w:type="dxa"/>
            <w:shd w:val="clear" w:color="auto" w:fill="92D050"/>
            <w:vAlign w:val="center"/>
          </w:tcPr>
          <w:p w14:paraId="10AAB61F"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r>
      <w:tr w:rsidR="00EA051D" w:rsidRPr="00F679BD" w14:paraId="17788E3E" w14:textId="77777777" w:rsidTr="008E6BAE">
        <w:tc>
          <w:tcPr>
            <w:tcW w:w="3539" w:type="dxa"/>
            <w:vAlign w:val="center"/>
          </w:tcPr>
          <w:p w14:paraId="6D17F4E1"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lastRenderedPageBreak/>
              <w:t>Augsts alternatīvas ikgadējo uzturēšanas izmaksu risks</w:t>
            </w:r>
          </w:p>
        </w:tc>
        <w:tc>
          <w:tcPr>
            <w:tcW w:w="1937" w:type="dxa"/>
            <w:shd w:val="clear" w:color="auto" w:fill="FF0000"/>
            <w:vAlign w:val="center"/>
          </w:tcPr>
          <w:p w14:paraId="4B1A54E6"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7" w:type="dxa"/>
            <w:shd w:val="clear" w:color="auto" w:fill="FFC000"/>
            <w:vAlign w:val="center"/>
          </w:tcPr>
          <w:p w14:paraId="4C37D817"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0000"/>
            <w:vAlign w:val="center"/>
          </w:tcPr>
          <w:p w14:paraId="1569D0B6"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r>
      <w:tr w:rsidR="00EA051D" w:rsidRPr="00F679BD" w14:paraId="43132AEC" w14:textId="77777777" w:rsidTr="008E6BAE">
        <w:tc>
          <w:tcPr>
            <w:tcW w:w="3539" w:type="dxa"/>
            <w:vAlign w:val="center"/>
          </w:tcPr>
          <w:p w14:paraId="06F595E0"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Netiek sasniegta aprites ekonomikas principu ieviešana, resursu atgūšana un atgriešana ekonomikā</w:t>
            </w:r>
          </w:p>
        </w:tc>
        <w:tc>
          <w:tcPr>
            <w:tcW w:w="1937" w:type="dxa"/>
            <w:shd w:val="clear" w:color="auto" w:fill="FF0000"/>
            <w:vAlign w:val="center"/>
          </w:tcPr>
          <w:p w14:paraId="16837271"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7" w:type="dxa"/>
            <w:shd w:val="clear" w:color="auto" w:fill="92D050"/>
            <w:vAlign w:val="center"/>
          </w:tcPr>
          <w:p w14:paraId="4BCA1824"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8" w:type="dxa"/>
            <w:shd w:val="clear" w:color="auto" w:fill="92D050"/>
            <w:vAlign w:val="center"/>
          </w:tcPr>
          <w:p w14:paraId="230CF4AC"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r>
      <w:tr w:rsidR="00EA051D" w:rsidRPr="00F679BD" w14:paraId="405E9090" w14:textId="77777777" w:rsidTr="008E6BAE">
        <w:tc>
          <w:tcPr>
            <w:tcW w:w="3539" w:type="dxa"/>
            <w:vAlign w:val="center"/>
          </w:tcPr>
          <w:p w14:paraId="516281AA" w14:textId="77777777" w:rsidR="00EA051D" w:rsidRPr="00F679BD" w:rsidRDefault="00EA051D"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Ārējie riski</w:t>
            </w:r>
          </w:p>
        </w:tc>
        <w:tc>
          <w:tcPr>
            <w:tcW w:w="1937" w:type="dxa"/>
            <w:vAlign w:val="center"/>
          </w:tcPr>
          <w:p w14:paraId="4B15401B" w14:textId="77777777" w:rsidR="00EA051D" w:rsidRPr="00F679BD" w:rsidRDefault="00EA051D" w:rsidP="000C73AC">
            <w:pPr>
              <w:spacing w:after="60"/>
              <w:jc w:val="center"/>
              <w:rPr>
                <w:rFonts w:ascii="Times New Roman" w:hAnsi="Times New Roman" w:cs="Times New Roman"/>
                <w:b/>
                <w:sz w:val="18"/>
                <w:szCs w:val="18"/>
              </w:rPr>
            </w:pPr>
          </w:p>
        </w:tc>
        <w:tc>
          <w:tcPr>
            <w:tcW w:w="1937" w:type="dxa"/>
            <w:vAlign w:val="center"/>
          </w:tcPr>
          <w:p w14:paraId="0949347D" w14:textId="77777777" w:rsidR="00EA051D" w:rsidRPr="00F679BD" w:rsidRDefault="00EA051D" w:rsidP="000C73AC">
            <w:pPr>
              <w:spacing w:after="60"/>
              <w:jc w:val="center"/>
              <w:rPr>
                <w:rFonts w:ascii="Times New Roman" w:hAnsi="Times New Roman" w:cs="Times New Roman"/>
                <w:b/>
                <w:sz w:val="18"/>
                <w:szCs w:val="18"/>
              </w:rPr>
            </w:pPr>
          </w:p>
        </w:tc>
        <w:tc>
          <w:tcPr>
            <w:tcW w:w="1938" w:type="dxa"/>
            <w:vAlign w:val="center"/>
          </w:tcPr>
          <w:p w14:paraId="586F495E" w14:textId="77777777" w:rsidR="00EA051D" w:rsidRPr="00F679BD" w:rsidRDefault="00EA051D" w:rsidP="000C73AC">
            <w:pPr>
              <w:spacing w:after="60"/>
              <w:jc w:val="center"/>
              <w:rPr>
                <w:rFonts w:ascii="Times New Roman" w:hAnsi="Times New Roman" w:cs="Times New Roman"/>
                <w:b/>
                <w:sz w:val="18"/>
                <w:szCs w:val="18"/>
              </w:rPr>
            </w:pPr>
          </w:p>
        </w:tc>
      </w:tr>
      <w:tr w:rsidR="00EA051D" w:rsidRPr="00F679BD" w14:paraId="26AE3CCD" w14:textId="77777777" w:rsidTr="008E6BAE">
        <w:tc>
          <w:tcPr>
            <w:tcW w:w="3539" w:type="dxa"/>
            <w:vAlign w:val="center"/>
          </w:tcPr>
          <w:p w14:paraId="06DCAFFE"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Alternatīvas ieviešanai nepieciešamas būtiskas izmaiņas esošo normatīvo aktu regulējumā</w:t>
            </w:r>
          </w:p>
        </w:tc>
        <w:tc>
          <w:tcPr>
            <w:tcW w:w="1937" w:type="dxa"/>
            <w:shd w:val="clear" w:color="auto" w:fill="FFC000"/>
            <w:vAlign w:val="center"/>
          </w:tcPr>
          <w:p w14:paraId="5B586848"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0000"/>
            <w:vAlign w:val="center"/>
          </w:tcPr>
          <w:p w14:paraId="69A57728"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8" w:type="dxa"/>
            <w:shd w:val="clear" w:color="auto" w:fill="FFC000"/>
            <w:vAlign w:val="center"/>
          </w:tcPr>
          <w:p w14:paraId="0BD9340B"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17756005" w14:textId="77777777" w:rsidTr="008E6BAE">
        <w:tc>
          <w:tcPr>
            <w:tcW w:w="3539" w:type="dxa"/>
            <w:vAlign w:val="center"/>
          </w:tcPr>
          <w:p w14:paraId="055F3DCC"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Alternatīvas ieviešanai nepieciešami būtiski ārējais atbalsts no ES, LR ministrijām u.c. institūcijām</w:t>
            </w:r>
          </w:p>
        </w:tc>
        <w:tc>
          <w:tcPr>
            <w:tcW w:w="1937" w:type="dxa"/>
            <w:shd w:val="clear" w:color="auto" w:fill="FFC000"/>
            <w:vAlign w:val="center"/>
          </w:tcPr>
          <w:p w14:paraId="31D26CDD"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0000"/>
            <w:vAlign w:val="center"/>
          </w:tcPr>
          <w:p w14:paraId="70A72523"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8" w:type="dxa"/>
            <w:shd w:val="clear" w:color="auto" w:fill="FFC000"/>
            <w:vAlign w:val="center"/>
          </w:tcPr>
          <w:p w14:paraId="57489B29"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4D4AC14C" w14:textId="77777777" w:rsidTr="008E6BAE">
        <w:tc>
          <w:tcPr>
            <w:tcW w:w="3539" w:type="dxa"/>
            <w:vAlign w:val="center"/>
          </w:tcPr>
          <w:p w14:paraId="0CF1576B" w14:textId="77777777" w:rsidR="00EA051D" w:rsidRPr="00F679BD"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13"/>
                <w:id w:val="-1217742069"/>
              </w:sdtPr>
              <w:sdtContent/>
            </w:sdt>
            <w:r w:rsidR="00EA051D" w:rsidRPr="00F679BD">
              <w:rPr>
                <w:rFonts w:ascii="Times New Roman" w:hAnsi="Times New Roman" w:cs="Times New Roman"/>
                <w:sz w:val="20"/>
                <w:szCs w:val="20"/>
              </w:rPr>
              <w:t>Alternatīvai ir būtiski riski pastāvēt ilgtermiņā</w:t>
            </w:r>
          </w:p>
        </w:tc>
        <w:tc>
          <w:tcPr>
            <w:tcW w:w="1937" w:type="dxa"/>
            <w:shd w:val="clear" w:color="auto" w:fill="92D050"/>
            <w:vAlign w:val="center"/>
          </w:tcPr>
          <w:p w14:paraId="21B34ECF"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7" w:type="dxa"/>
            <w:shd w:val="clear" w:color="auto" w:fill="FF0000"/>
            <w:vAlign w:val="center"/>
          </w:tcPr>
          <w:p w14:paraId="76E311BE"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Augsts</w:t>
            </w:r>
          </w:p>
        </w:tc>
        <w:tc>
          <w:tcPr>
            <w:tcW w:w="1938" w:type="dxa"/>
            <w:shd w:val="clear" w:color="auto" w:fill="92D050"/>
            <w:vAlign w:val="center"/>
          </w:tcPr>
          <w:p w14:paraId="002CAF39"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r>
      <w:tr w:rsidR="00EA051D" w:rsidRPr="00F679BD" w14:paraId="7EBCE047" w14:textId="77777777" w:rsidTr="008E6BAE">
        <w:tc>
          <w:tcPr>
            <w:tcW w:w="3539" w:type="dxa"/>
            <w:vAlign w:val="center"/>
          </w:tcPr>
          <w:p w14:paraId="47E6652A"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 xml:space="preserve">Alternatīvai ir būtiski aizstājoši risinājumi </w:t>
            </w:r>
          </w:p>
        </w:tc>
        <w:tc>
          <w:tcPr>
            <w:tcW w:w="1937" w:type="dxa"/>
            <w:shd w:val="clear" w:color="auto" w:fill="FFC000"/>
            <w:vAlign w:val="center"/>
          </w:tcPr>
          <w:p w14:paraId="6CC3DB57"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C000"/>
            <w:vAlign w:val="center"/>
          </w:tcPr>
          <w:p w14:paraId="30C285B4"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31900FDA"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343DA833" w14:textId="77777777" w:rsidTr="008E6BAE">
        <w:tc>
          <w:tcPr>
            <w:tcW w:w="3539" w:type="dxa"/>
            <w:vAlign w:val="center"/>
          </w:tcPr>
          <w:p w14:paraId="2EF50BF0" w14:textId="77777777" w:rsidR="00EA051D" w:rsidRPr="00F679BD"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14"/>
                <w:id w:val="167530705"/>
              </w:sdtPr>
              <w:sdtContent>
                <w:r w:rsidR="00EA051D" w:rsidRPr="00F679BD">
                  <w:rPr>
                    <w:rFonts w:ascii="Times New Roman" w:hAnsi="Times New Roman" w:cs="Times New Roman"/>
                    <w:sz w:val="20"/>
                    <w:szCs w:val="20"/>
                  </w:rPr>
                  <w:t>A</w:t>
                </w:r>
              </w:sdtContent>
            </w:sdt>
            <w:r w:rsidR="00EA051D" w:rsidRPr="00F679BD">
              <w:rPr>
                <w:rFonts w:ascii="Times New Roman" w:hAnsi="Times New Roman" w:cs="Times New Roman"/>
                <w:sz w:val="20"/>
                <w:szCs w:val="20"/>
              </w:rPr>
              <w:t xml:space="preserve">lternatīva ir </w:t>
            </w:r>
            <w:sdt>
              <w:sdtPr>
                <w:rPr>
                  <w:rFonts w:ascii="Times New Roman" w:hAnsi="Times New Roman" w:cs="Times New Roman"/>
                </w:rPr>
                <w:tag w:val="goog_rdk_14"/>
                <w:id w:val="-1191138834"/>
              </w:sdtPr>
              <w:sdtContent/>
            </w:sdt>
            <w:r w:rsidR="00EA051D" w:rsidRPr="00F679BD">
              <w:rPr>
                <w:rFonts w:ascii="Times New Roman" w:hAnsi="Times New Roman" w:cs="Times New Roman"/>
                <w:sz w:val="20"/>
                <w:szCs w:val="20"/>
              </w:rPr>
              <w:t>sarežģīta, kas rada riskus tās ieviešanai</w:t>
            </w:r>
          </w:p>
        </w:tc>
        <w:tc>
          <w:tcPr>
            <w:tcW w:w="1937" w:type="dxa"/>
            <w:shd w:val="clear" w:color="auto" w:fill="FFC000"/>
            <w:vAlign w:val="center"/>
          </w:tcPr>
          <w:p w14:paraId="09D7D1AE"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C000"/>
            <w:vAlign w:val="center"/>
          </w:tcPr>
          <w:p w14:paraId="3793AB5F"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92D050"/>
            <w:vAlign w:val="center"/>
          </w:tcPr>
          <w:p w14:paraId="372226F7"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r>
      <w:tr w:rsidR="00EA051D" w:rsidRPr="00F679BD" w14:paraId="79B54060" w14:textId="77777777" w:rsidTr="008E6BAE">
        <w:tc>
          <w:tcPr>
            <w:tcW w:w="3539" w:type="dxa"/>
            <w:vAlign w:val="center"/>
          </w:tcPr>
          <w:p w14:paraId="3C6A7788" w14:textId="77777777" w:rsidR="00EA051D" w:rsidRPr="00F679BD" w:rsidRDefault="00EA051D" w:rsidP="000C73AC">
            <w:pPr>
              <w:spacing w:after="60"/>
              <w:jc w:val="center"/>
              <w:rPr>
                <w:rFonts w:ascii="Times New Roman" w:hAnsi="Times New Roman" w:cs="Times New Roman"/>
                <w:b/>
                <w:sz w:val="20"/>
                <w:szCs w:val="20"/>
              </w:rPr>
            </w:pPr>
            <w:r w:rsidRPr="00F679BD">
              <w:rPr>
                <w:rFonts w:ascii="Times New Roman" w:hAnsi="Times New Roman" w:cs="Times New Roman"/>
                <w:b/>
                <w:sz w:val="20"/>
                <w:szCs w:val="20"/>
              </w:rPr>
              <w:t>Vides riski</w:t>
            </w:r>
          </w:p>
        </w:tc>
        <w:tc>
          <w:tcPr>
            <w:tcW w:w="1937" w:type="dxa"/>
            <w:vAlign w:val="center"/>
          </w:tcPr>
          <w:p w14:paraId="5B786F6D" w14:textId="77777777" w:rsidR="00EA051D" w:rsidRPr="00F679BD" w:rsidRDefault="00EA051D" w:rsidP="000C73AC">
            <w:pPr>
              <w:spacing w:after="60"/>
              <w:jc w:val="center"/>
              <w:rPr>
                <w:rFonts w:ascii="Times New Roman" w:hAnsi="Times New Roman" w:cs="Times New Roman"/>
                <w:b/>
                <w:sz w:val="18"/>
                <w:szCs w:val="18"/>
              </w:rPr>
            </w:pPr>
          </w:p>
        </w:tc>
        <w:tc>
          <w:tcPr>
            <w:tcW w:w="1937" w:type="dxa"/>
            <w:vAlign w:val="center"/>
          </w:tcPr>
          <w:p w14:paraId="36578C54" w14:textId="77777777" w:rsidR="00EA051D" w:rsidRPr="00F679BD" w:rsidRDefault="00EA051D" w:rsidP="000C73AC">
            <w:pPr>
              <w:spacing w:after="60"/>
              <w:jc w:val="center"/>
              <w:rPr>
                <w:rFonts w:ascii="Times New Roman" w:hAnsi="Times New Roman" w:cs="Times New Roman"/>
                <w:b/>
                <w:sz w:val="18"/>
                <w:szCs w:val="18"/>
              </w:rPr>
            </w:pPr>
          </w:p>
        </w:tc>
        <w:tc>
          <w:tcPr>
            <w:tcW w:w="1938" w:type="dxa"/>
            <w:vAlign w:val="center"/>
          </w:tcPr>
          <w:p w14:paraId="57AF434A" w14:textId="77777777" w:rsidR="00EA051D" w:rsidRPr="00F679BD" w:rsidRDefault="00EA051D" w:rsidP="000C73AC">
            <w:pPr>
              <w:spacing w:after="60"/>
              <w:jc w:val="center"/>
              <w:rPr>
                <w:rFonts w:ascii="Times New Roman" w:hAnsi="Times New Roman" w:cs="Times New Roman"/>
                <w:b/>
                <w:sz w:val="18"/>
                <w:szCs w:val="18"/>
              </w:rPr>
            </w:pPr>
          </w:p>
        </w:tc>
      </w:tr>
      <w:tr w:rsidR="00EA051D" w:rsidRPr="00F679BD" w14:paraId="2C739A72" w14:textId="77777777" w:rsidTr="008E6BAE">
        <w:tc>
          <w:tcPr>
            <w:tcW w:w="3539" w:type="dxa"/>
            <w:vAlign w:val="center"/>
          </w:tcPr>
          <w:p w14:paraId="3973A28E" w14:textId="0A27165D" w:rsidR="00EA051D" w:rsidRPr="00F679BD" w:rsidRDefault="002B18A2" w:rsidP="000C73AC">
            <w:pPr>
              <w:spacing w:after="60"/>
              <w:rPr>
                <w:rFonts w:ascii="Times New Roman" w:hAnsi="Times New Roman" w:cs="Times New Roman"/>
                <w:sz w:val="20"/>
                <w:szCs w:val="20"/>
              </w:rPr>
            </w:pPr>
            <w:r w:rsidRPr="00F679BD">
              <w:rPr>
                <w:rFonts w:ascii="Times New Roman" w:hAnsi="Times New Roman" w:cs="Times New Roman"/>
                <w:sz w:val="20"/>
                <w:szCs w:val="20"/>
              </w:rPr>
              <w:t>Notekūdeņu d</w:t>
            </w:r>
            <w:r w:rsidR="00EA051D" w:rsidRPr="00F679BD">
              <w:rPr>
                <w:rFonts w:ascii="Times New Roman" w:hAnsi="Times New Roman" w:cs="Times New Roman"/>
                <w:sz w:val="20"/>
                <w:szCs w:val="20"/>
              </w:rPr>
              <w:t>ūņu apstrāde vai utilizācija tiek veikta neatbilstoši vides prasībām</w:t>
            </w:r>
          </w:p>
        </w:tc>
        <w:tc>
          <w:tcPr>
            <w:tcW w:w="1937" w:type="dxa"/>
            <w:shd w:val="clear" w:color="auto" w:fill="FFC000"/>
            <w:vAlign w:val="center"/>
          </w:tcPr>
          <w:p w14:paraId="242FE8D8"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C000"/>
            <w:vAlign w:val="center"/>
          </w:tcPr>
          <w:p w14:paraId="5D047657"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0F3CD993"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2E423E1D" w14:textId="77777777" w:rsidTr="008E6BAE">
        <w:tc>
          <w:tcPr>
            <w:tcW w:w="3539" w:type="dxa"/>
            <w:vAlign w:val="center"/>
          </w:tcPr>
          <w:p w14:paraId="69F8CA2C" w14:textId="77777777" w:rsidR="00EA051D" w:rsidRPr="00F679BD"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15"/>
                <w:id w:val="1825154639"/>
              </w:sdtPr>
              <w:sdtContent>
                <w:r w:rsidR="00EA051D" w:rsidRPr="00F679BD">
                  <w:rPr>
                    <w:rFonts w:ascii="Times New Roman" w:hAnsi="Times New Roman" w:cs="Times New Roman"/>
                    <w:sz w:val="20"/>
                    <w:szCs w:val="20"/>
                  </w:rPr>
                  <w:t>I</w:t>
                </w:r>
              </w:sdtContent>
            </w:sdt>
            <w:r w:rsidR="00EA051D" w:rsidRPr="00F679BD">
              <w:rPr>
                <w:rFonts w:ascii="Times New Roman" w:hAnsi="Times New Roman" w:cs="Times New Roman"/>
                <w:sz w:val="20"/>
                <w:szCs w:val="20"/>
              </w:rPr>
              <w:t xml:space="preserve">zvēlētā </w:t>
            </w:r>
            <w:sdt>
              <w:sdtPr>
                <w:rPr>
                  <w:rFonts w:ascii="Times New Roman" w:hAnsi="Times New Roman" w:cs="Times New Roman"/>
                </w:rPr>
                <w:tag w:val="goog_rdk_15"/>
                <w:id w:val="2040468376"/>
              </w:sdtPr>
              <w:sdtContent/>
            </w:sdt>
            <w:r w:rsidR="00EA051D" w:rsidRPr="00F679BD">
              <w:rPr>
                <w:rFonts w:ascii="Times New Roman" w:hAnsi="Times New Roman" w:cs="Times New Roman"/>
                <w:sz w:val="20"/>
                <w:szCs w:val="20"/>
              </w:rPr>
              <w:t>alternatīva rada būtiskus vides risku draudus konkrētā vietā</w:t>
            </w:r>
          </w:p>
        </w:tc>
        <w:tc>
          <w:tcPr>
            <w:tcW w:w="1937" w:type="dxa"/>
            <w:shd w:val="clear" w:color="auto" w:fill="92D050"/>
            <w:vAlign w:val="center"/>
          </w:tcPr>
          <w:p w14:paraId="0870F41F"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7" w:type="dxa"/>
            <w:shd w:val="clear" w:color="auto" w:fill="FFC000"/>
            <w:vAlign w:val="center"/>
          </w:tcPr>
          <w:p w14:paraId="7051FF95"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14C6EB6C"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257BE6FD" w14:textId="77777777" w:rsidTr="008E6BAE">
        <w:tc>
          <w:tcPr>
            <w:tcW w:w="3539" w:type="dxa"/>
            <w:vAlign w:val="center"/>
          </w:tcPr>
          <w:p w14:paraId="3E55BAFF"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Izvēlētā alternatīva neveicina vides kvalitātes uzlabošanos</w:t>
            </w:r>
          </w:p>
        </w:tc>
        <w:tc>
          <w:tcPr>
            <w:tcW w:w="1937" w:type="dxa"/>
            <w:shd w:val="clear" w:color="auto" w:fill="FFC000"/>
            <w:vAlign w:val="center"/>
          </w:tcPr>
          <w:p w14:paraId="79F3A804"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C000"/>
            <w:vAlign w:val="center"/>
          </w:tcPr>
          <w:p w14:paraId="1381AA6D"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7073CC92"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0BE0FEEF" w14:textId="77777777" w:rsidTr="008E6BAE">
        <w:tc>
          <w:tcPr>
            <w:tcW w:w="3539" w:type="dxa"/>
            <w:vAlign w:val="center"/>
          </w:tcPr>
          <w:p w14:paraId="1D594BC2"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Tehniskais risinājums veicina atkritumu rašanos</w:t>
            </w:r>
          </w:p>
        </w:tc>
        <w:tc>
          <w:tcPr>
            <w:tcW w:w="1937" w:type="dxa"/>
            <w:shd w:val="clear" w:color="auto" w:fill="FFC000"/>
            <w:vAlign w:val="center"/>
          </w:tcPr>
          <w:p w14:paraId="05BC0EC6"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C000"/>
            <w:vAlign w:val="center"/>
          </w:tcPr>
          <w:p w14:paraId="1A8F6560"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92D050"/>
            <w:vAlign w:val="center"/>
          </w:tcPr>
          <w:p w14:paraId="0A30C422"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r>
      <w:tr w:rsidR="00EA051D" w:rsidRPr="00F679BD" w14:paraId="69D55977" w14:textId="77777777" w:rsidTr="008E6BAE">
        <w:tc>
          <w:tcPr>
            <w:tcW w:w="3539" w:type="dxa"/>
            <w:vAlign w:val="center"/>
          </w:tcPr>
          <w:p w14:paraId="51A0BB3D"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Tehniskais risinājums veicina piesārņojuma izplatību vidē</w:t>
            </w:r>
          </w:p>
        </w:tc>
        <w:tc>
          <w:tcPr>
            <w:tcW w:w="1937" w:type="dxa"/>
            <w:shd w:val="clear" w:color="auto" w:fill="FFC000"/>
            <w:vAlign w:val="center"/>
          </w:tcPr>
          <w:p w14:paraId="1E3BF7A4"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7" w:type="dxa"/>
            <w:shd w:val="clear" w:color="auto" w:fill="FFC000"/>
            <w:vAlign w:val="center"/>
          </w:tcPr>
          <w:p w14:paraId="7D98184E"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4EE95E59"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32A08BA0" w14:textId="77777777" w:rsidTr="008E6BAE">
        <w:tc>
          <w:tcPr>
            <w:tcW w:w="3539" w:type="dxa"/>
            <w:vAlign w:val="center"/>
          </w:tcPr>
          <w:p w14:paraId="38D621F7"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Tehniskais risinājums rada avāriju un katastrofu riskus</w:t>
            </w:r>
          </w:p>
        </w:tc>
        <w:tc>
          <w:tcPr>
            <w:tcW w:w="1937" w:type="dxa"/>
            <w:shd w:val="clear" w:color="auto" w:fill="92D050"/>
            <w:vAlign w:val="center"/>
          </w:tcPr>
          <w:p w14:paraId="09E1E49D"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7" w:type="dxa"/>
            <w:shd w:val="clear" w:color="auto" w:fill="FFC000"/>
            <w:vAlign w:val="center"/>
          </w:tcPr>
          <w:p w14:paraId="3A0C1362"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7C5060DA"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r w:rsidR="00EA051D" w:rsidRPr="00F679BD" w14:paraId="2E2461E5" w14:textId="77777777" w:rsidTr="008E6BAE">
        <w:tc>
          <w:tcPr>
            <w:tcW w:w="3539" w:type="dxa"/>
            <w:vAlign w:val="center"/>
          </w:tcPr>
          <w:p w14:paraId="5419397D" w14:textId="77777777" w:rsidR="00EA051D" w:rsidRPr="00F679BD" w:rsidRDefault="00EA051D" w:rsidP="000C73AC">
            <w:pPr>
              <w:spacing w:after="60"/>
              <w:rPr>
                <w:rFonts w:ascii="Times New Roman" w:hAnsi="Times New Roman" w:cs="Times New Roman"/>
                <w:sz w:val="20"/>
                <w:szCs w:val="20"/>
              </w:rPr>
            </w:pPr>
            <w:r w:rsidRPr="00F679BD">
              <w:rPr>
                <w:rFonts w:ascii="Times New Roman" w:hAnsi="Times New Roman" w:cs="Times New Roman"/>
                <w:sz w:val="20"/>
                <w:szCs w:val="20"/>
              </w:rPr>
              <w:t>Tehniskais risinājums rada cilvēku veselības riskus</w:t>
            </w:r>
          </w:p>
        </w:tc>
        <w:tc>
          <w:tcPr>
            <w:tcW w:w="1937" w:type="dxa"/>
            <w:shd w:val="clear" w:color="auto" w:fill="92D050"/>
            <w:vAlign w:val="center"/>
          </w:tcPr>
          <w:p w14:paraId="66BF4B5F"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Zems</w:t>
            </w:r>
          </w:p>
        </w:tc>
        <w:tc>
          <w:tcPr>
            <w:tcW w:w="1937" w:type="dxa"/>
            <w:shd w:val="clear" w:color="auto" w:fill="FFC000"/>
            <w:vAlign w:val="center"/>
          </w:tcPr>
          <w:p w14:paraId="53BB68FB"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c>
          <w:tcPr>
            <w:tcW w:w="1938" w:type="dxa"/>
            <w:shd w:val="clear" w:color="auto" w:fill="FFC000"/>
            <w:vAlign w:val="center"/>
          </w:tcPr>
          <w:p w14:paraId="57B74D7C" w14:textId="77777777" w:rsidR="00EA051D" w:rsidRPr="00F679BD" w:rsidRDefault="00EA051D" w:rsidP="000C73AC">
            <w:pPr>
              <w:spacing w:after="60"/>
              <w:jc w:val="center"/>
              <w:rPr>
                <w:rFonts w:ascii="Times New Roman" w:hAnsi="Times New Roman" w:cs="Times New Roman"/>
                <w:sz w:val="18"/>
                <w:szCs w:val="18"/>
              </w:rPr>
            </w:pPr>
            <w:r w:rsidRPr="00F679BD">
              <w:rPr>
                <w:rFonts w:ascii="Times New Roman" w:hAnsi="Times New Roman" w:cs="Times New Roman"/>
                <w:sz w:val="18"/>
                <w:szCs w:val="18"/>
              </w:rPr>
              <w:t>Vidējs</w:t>
            </w:r>
          </w:p>
        </w:tc>
      </w:tr>
    </w:tbl>
    <w:p w14:paraId="0057C6DF" w14:textId="77777777" w:rsidR="00F679BD" w:rsidRDefault="00F679BD" w:rsidP="00EA051D">
      <w:pPr>
        <w:rPr>
          <w:rFonts w:cstheme="minorHAnsi"/>
        </w:rPr>
      </w:pPr>
    </w:p>
    <w:p w14:paraId="6C789DD9" w14:textId="7F8D00B1" w:rsidR="00EA051D" w:rsidRPr="00F679BD" w:rsidRDefault="00EA051D" w:rsidP="00EA051D">
      <w:pPr>
        <w:rPr>
          <w:rFonts w:ascii="Times New Roman" w:hAnsi="Times New Roman" w:cs="Times New Roman"/>
        </w:rPr>
      </w:pPr>
      <w:r w:rsidRPr="00F679BD">
        <w:rPr>
          <w:rFonts w:ascii="Times New Roman" w:hAnsi="Times New Roman" w:cs="Times New Roman"/>
        </w:rPr>
        <w:t>Salīdzinot alternatīvas pēc veiktā risku izvērtējuma 4.</w:t>
      </w:r>
      <w:r w:rsidR="00365075">
        <w:rPr>
          <w:rFonts w:ascii="Times New Roman" w:hAnsi="Times New Roman" w:cs="Times New Roman"/>
        </w:rPr>
        <w:t>2.2</w:t>
      </w:r>
      <w:r w:rsidRPr="00F679BD">
        <w:rPr>
          <w:rFonts w:ascii="Times New Roman" w:hAnsi="Times New Roman" w:cs="Times New Roman"/>
        </w:rPr>
        <w:t>.tabulā var izdarīt šādus secinājumus:</w:t>
      </w:r>
    </w:p>
    <w:p w14:paraId="6A4C8ACF" w14:textId="5F0CE399" w:rsidR="00EA051D" w:rsidRPr="00F679BD" w:rsidRDefault="000C73AC" w:rsidP="00EA051D">
      <w:pPr>
        <w:rPr>
          <w:rFonts w:ascii="Times New Roman" w:hAnsi="Times New Roman" w:cs="Times New Roman"/>
        </w:rPr>
      </w:pPr>
      <w:r w:rsidRPr="00F679BD">
        <w:rPr>
          <w:rFonts w:ascii="Times New Roman" w:hAnsi="Times New Roman" w:cs="Times New Roman"/>
          <w:b/>
          <w:szCs w:val="20"/>
        </w:rPr>
        <w:t>A</w:t>
      </w:r>
      <w:r w:rsidR="00EA051D" w:rsidRPr="00F679BD">
        <w:rPr>
          <w:rFonts w:ascii="Times New Roman" w:hAnsi="Times New Roman" w:cs="Times New Roman"/>
          <w:b/>
          <w:szCs w:val="20"/>
        </w:rPr>
        <w:t>1. alternatīva: Notekūdeņu dūņu apsaimniekošana atkritumu apsaimniekošanas infrastruktūrā</w:t>
      </w:r>
      <w:r w:rsidR="00EA051D" w:rsidRPr="00F679BD">
        <w:rPr>
          <w:rFonts w:ascii="Times New Roman" w:hAnsi="Times New Roman" w:cs="Times New Roman"/>
          <w:b/>
        </w:rPr>
        <w:t xml:space="preserve"> </w:t>
      </w:r>
      <w:r w:rsidR="00EA051D" w:rsidRPr="00F679BD">
        <w:rPr>
          <w:rFonts w:ascii="Times New Roman" w:hAnsi="Times New Roman" w:cs="Times New Roman"/>
        </w:rPr>
        <w:t>vairāki iekšējie riski, tiek novērtēti ar augstu iestāšanās varbūtību, piemēram, netiek pilnībā sasniegta aprites ekonomikas principu ieviešana, jo esošajiem kompostēšanas laukumiem nav izveidota droša un stabila pā</w:t>
      </w:r>
      <w:r w:rsidR="00402C33">
        <w:rPr>
          <w:rFonts w:ascii="Times New Roman" w:hAnsi="Times New Roman" w:cs="Times New Roman"/>
        </w:rPr>
        <w:t>r</w:t>
      </w:r>
      <w:r w:rsidR="00EA051D" w:rsidRPr="00F679BD">
        <w:rPr>
          <w:rFonts w:ascii="Times New Roman" w:hAnsi="Times New Roman" w:cs="Times New Roman"/>
        </w:rPr>
        <w:t xml:space="preserve">strādātā materiāla patēriņa ceļi, turklāt izmantošana atkritumu poligonu pārklājumā nenodrošina </w:t>
      </w:r>
      <w:r w:rsidR="004C30E2" w:rsidRPr="00F679BD">
        <w:rPr>
          <w:rFonts w:ascii="Times New Roman" w:hAnsi="Times New Roman" w:cs="Times New Roman"/>
        </w:rPr>
        <w:t xml:space="preserve">augu barošanās elementu </w:t>
      </w:r>
      <w:r w:rsidR="00EA051D" w:rsidRPr="00F679BD">
        <w:rPr>
          <w:rFonts w:ascii="Times New Roman" w:hAnsi="Times New Roman" w:cs="Times New Roman"/>
        </w:rPr>
        <w:t xml:space="preserve">atkārtotu apriti. Salīdzinājumam, vairākiem lieliem SPS jau šobrīd ir izveidoti labāki un efektīvāki </w:t>
      </w:r>
      <w:r w:rsidR="00EA051D" w:rsidRPr="00F679BD">
        <w:rPr>
          <w:rFonts w:ascii="Times New Roman" w:hAnsi="Times New Roman" w:cs="Times New Roman"/>
        </w:rPr>
        <w:lastRenderedPageBreak/>
        <w:t xml:space="preserve">pārstrādātu notekūdeņu dūņu utilizācijas risinājumi, līdz ar to pastāv risks, ka ieguldītie resursi, ieviešot šādu alternatīvo risinājumu, tiek izmantoti, bet sasniegtais rezultāts pilnvērtīgi nenodrošina radītā komposta izmantošanu aprites ekonomikas ietvaros. Tā pat vairāki iekšējie riski tiek novērtēti ar vidēju iestāšanās varbūtību. </w:t>
      </w:r>
    </w:p>
    <w:p w14:paraId="15762681" w14:textId="77777777" w:rsidR="00EA051D" w:rsidRPr="00F679BD" w:rsidRDefault="00EA051D" w:rsidP="00EA051D">
      <w:pPr>
        <w:rPr>
          <w:rFonts w:ascii="Times New Roman" w:hAnsi="Times New Roman" w:cs="Times New Roman"/>
        </w:rPr>
      </w:pPr>
      <w:r w:rsidRPr="00F679BD">
        <w:rPr>
          <w:rFonts w:ascii="Times New Roman" w:hAnsi="Times New Roman" w:cs="Times New Roman"/>
        </w:rPr>
        <w:t xml:space="preserve">Novērtējot šīs alternatīvas ārējos riskus, jāsecina, ka arī tie pārsvarā ir vidējā līmenī. Pastāv iespējamība, ka mainoties kādam ES normatīvajam aktam - notekūdeņu dūņu direktīvai, notekūdeņu direktīvai, ūdens struktūrdirektīvai u.c., notekūdeņu dūņu pārstrāde kompostēšanas laukumos kopā ar citiem bioloģiskiem atkritumiem vairs nav iespējama, kā rezultātā izbūvētā vai piemērotā infrastruktūra un izveidotā sistēma var kļūt nevajadzīga, lieka un ir atkal jāveido jauna. </w:t>
      </w:r>
    </w:p>
    <w:p w14:paraId="70AFEDA4" w14:textId="787FE7A7" w:rsidR="00EA051D" w:rsidRPr="00F679BD" w:rsidRDefault="00EA051D" w:rsidP="00EA051D">
      <w:pPr>
        <w:rPr>
          <w:rFonts w:ascii="Times New Roman" w:hAnsi="Times New Roman" w:cs="Times New Roman"/>
        </w:rPr>
      </w:pPr>
      <w:r w:rsidRPr="00F679BD">
        <w:rPr>
          <w:rFonts w:ascii="Times New Roman" w:hAnsi="Times New Roman" w:cs="Times New Roman"/>
        </w:rPr>
        <w:t xml:space="preserve">Arī novērtētie vides riski pārsvarā ir vidējā līmenī, bet šajā gadījumā ir mazāki nekā </w:t>
      </w:r>
      <w:r w:rsidR="002B18A2" w:rsidRPr="00F679BD">
        <w:rPr>
          <w:rFonts w:ascii="Times New Roman" w:hAnsi="Times New Roman" w:cs="Times New Roman"/>
          <w:color w:val="000000"/>
        </w:rPr>
        <w:t xml:space="preserve">notekūdeņu </w:t>
      </w:r>
      <w:r w:rsidRPr="00F679BD">
        <w:rPr>
          <w:rFonts w:ascii="Times New Roman" w:hAnsi="Times New Roman" w:cs="Times New Roman"/>
        </w:rPr>
        <w:t xml:space="preserve">dūņu utilizācijai biogāzes stacijās gadījumā, jo tiek plānots, ka </w:t>
      </w:r>
      <w:r w:rsidR="002B18A2" w:rsidRPr="00F679BD">
        <w:rPr>
          <w:rFonts w:ascii="Times New Roman" w:hAnsi="Times New Roman" w:cs="Times New Roman"/>
          <w:color w:val="000000"/>
        </w:rPr>
        <w:t xml:space="preserve">notekūdeņu </w:t>
      </w:r>
      <w:r w:rsidRPr="00F679BD">
        <w:rPr>
          <w:rFonts w:ascii="Times New Roman" w:hAnsi="Times New Roman" w:cs="Times New Roman"/>
        </w:rPr>
        <w:t>dūņu kompostēšanas laukumi varētu būt izvietoti lielākā skaitā visā Latvijā, pārstrādātā masa ir cietā veidā, kā arī</w:t>
      </w:r>
      <w:r w:rsidR="002B18A2" w:rsidRPr="00F679BD">
        <w:rPr>
          <w:rFonts w:ascii="Times New Roman" w:hAnsi="Times New Roman" w:cs="Times New Roman"/>
        </w:rPr>
        <w:t xml:space="preserve"> </w:t>
      </w:r>
      <w:r w:rsidR="002B18A2" w:rsidRPr="00F679BD">
        <w:rPr>
          <w:rFonts w:ascii="Times New Roman" w:hAnsi="Times New Roman" w:cs="Times New Roman"/>
          <w:color w:val="000000"/>
        </w:rPr>
        <w:t xml:space="preserve">notekūdeņu </w:t>
      </w:r>
      <w:r w:rsidRPr="00F679BD">
        <w:rPr>
          <w:rFonts w:ascii="Times New Roman" w:hAnsi="Times New Roman" w:cs="Times New Roman"/>
        </w:rPr>
        <w:t>dūņās esošo vielu koncentrācija tiek mazināta tās sajaucot ar pildmateriālu.</w:t>
      </w:r>
    </w:p>
    <w:p w14:paraId="283C910F" w14:textId="77777777" w:rsidR="00EA051D" w:rsidRPr="00F679BD" w:rsidRDefault="000C73AC" w:rsidP="00EA051D">
      <w:pPr>
        <w:rPr>
          <w:rFonts w:ascii="Times New Roman" w:hAnsi="Times New Roman" w:cs="Times New Roman"/>
        </w:rPr>
      </w:pPr>
      <w:r w:rsidRPr="00F679BD">
        <w:rPr>
          <w:rFonts w:ascii="Times New Roman" w:hAnsi="Times New Roman" w:cs="Times New Roman"/>
          <w:b/>
          <w:szCs w:val="20"/>
        </w:rPr>
        <w:t>A</w:t>
      </w:r>
      <w:r w:rsidR="00EA051D" w:rsidRPr="00F679BD">
        <w:rPr>
          <w:rFonts w:ascii="Times New Roman" w:hAnsi="Times New Roman" w:cs="Times New Roman"/>
          <w:b/>
          <w:szCs w:val="20"/>
        </w:rPr>
        <w:t xml:space="preserve">2. alternatīva: Notekūdeņu dūņu apsaimniekošana lauksaimniecības organizāciju infrastruktūrā </w:t>
      </w:r>
      <w:r w:rsidR="00EA051D" w:rsidRPr="00F679BD">
        <w:rPr>
          <w:rFonts w:ascii="Times New Roman" w:hAnsi="Times New Roman" w:cs="Times New Roman"/>
          <w:szCs w:val="20"/>
        </w:rPr>
        <w:t>kopējais</w:t>
      </w:r>
      <w:r w:rsidR="00EA051D" w:rsidRPr="00F679BD">
        <w:rPr>
          <w:rFonts w:ascii="Times New Roman" w:hAnsi="Times New Roman" w:cs="Times New Roman"/>
          <w:b/>
          <w:szCs w:val="20"/>
        </w:rPr>
        <w:t xml:space="preserve"> </w:t>
      </w:r>
      <w:r w:rsidR="00EA051D" w:rsidRPr="00F679BD">
        <w:rPr>
          <w:rFonts w:ascii="Times New Roman" w:hAnsi="Times New Roman" w:cs="Times New Roman"/>
        </w:rPr>
        <w:t>iekšējo risku vērtējums ir zems, jo pastāv esoša, labi izveidota un atbilstoša pārstrādes sistēma.  Savukārt ārējo risku novērtējums ir ļoti augsts, jo iespējams, ka esošā sistēma pastāv tikai pateicoties būtiskam valsts atbalstam OIK sistēmas ietvaros. Ņemot vērā paredzamās un jau veiktās aktivitātes valsts atbalsta būtiskai samazināšanai, pastāv būtiski riski šīs sistēmas pastāvēšanas nākotnē. Alternatīvu izvērtēšanas laikā ir izskatīta iespēja, ka lauksaimnieku organizāciju biogāzes staciju tīkls varētu pastāvēt arī bez ārējā finansiālā atbalsta, bet šobrīd nav iespējams aprēķināt, kāda šajā gadījumā būtu dūņu apsaimniekošanas pakalpojumu gala cena. Alternatīvas vides risku novērtējums ir pārsvarā vidējā līmenī, jo biogāzes stacijās pārstrādājamā masa tiek koncentrēta lielos daudzumos un šķidrā veidā, tāpēc neparedzētu gadījumu vai avāriju apstākļu dēļ var rasties paaugstināts punktveida vides piesārņojums, kas var strauji izplatīties, atkarībā no stacijā koncentrētās dūņu masas daudzuma.</w:t>
      </w:r>
    </w:p>
    <w:p w14:paraId="6F5E44EE" w14:textId="2306B4A4" w:rsidR="00603B7B" w:rsidRPr="00F679BD" w:rsidRDefault="000C73AC" w:rsidP="00F679BD">
      <w:pPr>
        <w:rPr>
          <w:rFonts w:ascii="Times New Roman" w:hAnsi="Times New Roman" w:cs="Times New Roman"/>
        </w:rPr>
      </w:pPr>
      <w:r w:rsidRPr="00F679BD">
        <w:rPr>
          <w:rFonts w:ascii="Times New Roman" w:hAnsi="Times New Roman" w:cs="Times New Roman"/>
          <w:b/>
          <w:szCs w:val="20"/>
        </w:rPr>
        <w:t>A</w:t>
      </w:r>
      <w:r w:rsidR="00EA051D" w:rsidRPr="00F679BD">
        <w:rPr>
          <w:rFonts w:ascii="Times New Roman" w:hAnsi="Times New Roman" w:cs="Times New Roman"/>
          <w:b/>
          <w:szCs w:val="20"/>
        </w:rPr>
        <w:t xml:space="preserve">3. alternatīva: Notekūdeņu dūņu apsaimniekošanu veic jaunizveidots ārpakalpojuma sniedzējs </w:t>
      </w:r>
      <w:r w:rsidR="00EA051D" w:rsidRPr="00F679BD">
        <w:rPr>
          <w:rFonts w:ascii="Times New Roman" w:hAnsi="Times New Roman" w:cs="Times New Roman"/>
        </w:rPr>
        <w:t xml:space="preserve">iekšējo risku novērtējums ir mainīgs no augsta līdz zemam. Lielākie riski saistīti tieši ar jaunas sistēmas izveidošana un uzturēšanas nepieciešamību. Savukārt zemu tiek novērtēti riski, kas saistīti ar ieguldīto līdzekļu efektivitāti un resursu atgriešanu dabā. Tiek pieņemts, ka komersantam uzņemoties ilgtermiņa saistības </w:t>
      </w:r>
      <w:r w:rsidR="002B18A2" w:rsidRPr="00F679BD">
        <w:rPr>
          <w:rFonts w:ascii="Times New Roman" w:hAnsi="Times New Roman" w:cs="Times New Roman"/>
          <w:color w:val="000000"/>
        </w:rPr>
        <w:t xml:space="preserve">notekūdeņu </w:t>
      </w:r>
      <w:r w:rsidR="00EA051D" w:rsidRPr="00F679BD">
        <w:rPr>
          <w:rFonts w:ascii="Times New Roman" w:hAnsi="Times New Roman" w:cs="Times New Roman"/>
        </w:rPr>
        <w:t xml:space="preserve">dūņu apstrādē un utilizācijā, un ieguldot lielus līdzekļus sistēmas izveidē, netiks pazaudēts sistēmas izveides mērķis, jo pretējā gadījumā visi ieguldīties resursi var izrādīties lieki. Ārējie riski pārsvarā tiek novērtēti vidējā līmenī, kas saistās ar iespējamām likumdošanas izmaiņām, kā arī iespējām, ka šādai alternatīvai var tikt radīti vienkāršāki un lētāki citi risinājumi. Alternatīvas vides riski kopumā tiek vērtēti vidējā līmenī. </w:t>
      </w:r>
    </w:p>
    <w:p w14:paraId="287DB23B" w14:textId="77777777" w:rsidR="00EA051D" w:rsidRPr="00F679BD" w:rsidRDefault="00EA051D" w:rsidP="00EA051D">
      <w:pPr>
        <w:jc w:val="center"/>
        <w:rPr>
          <w:rFonts w:ascii="Times New Roman" w:hAnsi="Times New Roman" w:cs="Times New Roman"/>
          <w:szCs w:val="24"/>
          <w:u w:val="single"/>
        </w:rPr>
      </w:pPr>
      <w:r w:rsidRPr="00F679BD">
        <w:rPr>
          <w:rFonts w:ascii="Times New Roman" w:hAnsi="Times New Roman" w:cs="Times New Roman"/>
          <w:szCs w:val="24"/>
          <w:u w:val="single"/>
        </w:rPr>
        <w:t>Secinājumi par notekūdeņu dūņu apsaimniekošanu ārpakalpojumā</w:t>
      </w:r>
    </w:p>
    <w:p w14:paraId="792B5A5F" w14:textId="77777777" w:rsidR="00EA051D" w:rsidRPr="00F679BD" w:rsidRDefault="00EA051D" w:rsidP="00BD04BA">
      <w:pPr>
        <w:ind w:firstLine="720"/>
        <w:rPr>
          <w:rFonts w:ascii="Times New Roman" w:hAnsi="Times New Roman" w:cs="Times New Roman"/>
        </w:rPr>
      </w:pPr>
      <w:r w:rsidRPr="00F679BD">
        <w:rPr>
          <w:rFonts w:ascii="Times New Roman" w:hAnsi="Times New Roman" w:cs="Times New Roman"/>
        </w:rPr>
        <w:lastRenderedPageBreak/>
        <w:t xml:space="preserve">Visiem notekūdeņu dūņu pārstrādes un utilizācijas ārpakalpojumu risinājumiem ir atšķirīgi, bet vienlaikus būtiski ierobežojumi. Notekūdeņu dūņu apsaimniekošanā izmantot lauksaimnieku organizāciju biogāzes staciju tīklu ir ļoti laba iespēja, ja tiek rasts risinājums, kurā esošais biogāzes staciju tīkls spēj pastāvēt ilgtermiņā arī bez OIK maksājumu atbalsta. </w:t>
      </w:r>
      <w:r w:rsidRPr="00F679BD">
        <w:rPr>
          <w:rFonts w:ascii="Times New Roman" w:hAnsi="Times New Roman" w:cs="Times New Roman"/>
          <w:b/>
        </w:rPr>
        <w:t>Šobrīd ir neiespējami prognozēt lauksaimnieku organizāciju biogāzes staciju darbībā gaidāmās izmaiņas un izmaiņu rezultātus, līdz ar to Latvijas notekūdeņu dūņu apsaimniekošanas stratēģija nav veidojama balstoties tikai uz lauksaimnieku organizāciju biogāzes staciju tīklu.</w:t>
      </w:r>
      <w:r w:rsidRPr="00F679BD">
        <w:rPr>
          <w:rFonts w:ascii="Times New Roman" w:hAnsi="Times New Roman" w:cs="Times New Roman"/>
        </w:rPr>
        <w:t xml:space="preserve"> Tomēr tas ir izmantojams, kā laba alternatīva, kas veicina konkurenci starp dažādiem notekūdeņu apsaimniekošanas risinājumiem.</w:t>
      </w:r>
    </w:p>
    <w:p w14:paraId="0F36DFA8" w14:textId="77777777" w:rsidR="00EA051D" w:rsidRPr="00F679BD" w:rsidRDefault="00EA051D" w:rsidP="00BD04BA">
      <w:pPr>
        <w:ind w:firstLine="720"/>
        <w:rPr>
          <w:rFonts w:ascii="Times New Roman" w:hAnsi="Times New Roman" w:cs="Times New Roman"/>
        </w:rPr>
      </w:pPr>
      <w:r w:rsidRPr="00F679BD">
        <w:rPr>
          <w:rFonts w:ascii="Times New Roman" w:hAnsi="Times New Roman" w:cs="Times New Roman"/>
        </w:rPr>
        <w:t xml:space="preserve">Arī atkritumu organizāciju un pašvaldību izveidotie BNA kompostēšanas laukumi pilnībā neatbilst notekūdeņu dūņu apsaimniekošanas vajadzībām. </w:t>
      </w:r>
      <w:r w:rsidRPr="00F679BD">
        <w:rPr>
          <w:rFonts w:ascii="Times New Roman" w:hAnsi="Times New Roman" w:cs="Times New Roman"/>
          <w:b/>
        </w:rPr>
        <w:t>Ir nepieciešams laiks un lieli finanšu ieguldījumi, lai esošo BNA kompostēšanas laukumu tīklu piemērotu notekūdeņu dūņu apsaimniekošanas vajadzībām. Pat ja to izdotos paveikt, pastāvētu citi būtiski riski, lai Latvijas notekūdeņu dūņu apsaimniekošanas sistēmu varētu balstītu uz citām juridiskām personām (ne SPS) piederošu kompostēšanas laukumu tīklu.</w:t>
      </w:r>
      <w:r w:rsidRPr="00F679BD">
        <w:rPr>
          <w:rFonts w:ascii="Times New Roman" w:hAnsi="Times New Roman" w:cs="Times New Roman"/>
        </w:rPr>
        <w:t xml:space="preserve"> Dažādo valstī esoši BNA kompostēšanas laukumu piedāvātie pakalpojumi ir izmantojami kā laba alternatīva, kas veicina konkurenci starp dažādiem dūņu apsaimniekošanas risinājumiem.</w:t>
      </w:r>
    </w:p>
    <w:p w14:paraId="472EEE4C" w14:textId="22DB6C44" w:rsidR="00EA051D" w:rsidRPr="00F679BD" w:rsidRDefault="00EA051D" w:rsidP="00BD04BA">
      <w:pPr>
        <w:ind w:firstLine="720"/>
        <w:rPr>
          <w:rFonts w:ascii="Times New Roman" w:hAnsi="Times New Roman" w:cs="Times New Roman"/>
        </w:rPr>
      </w:pPr>
      <w:r w:rsidRPr="00F679BD">
        <w:rPr>
          <w:rFonts w:ascii="Times New Roman" w:hAnsi="Times New Roman" w:cs="Times New Roman"/>
        </w:rPr>
        <w:t xml:space="preserve">Privātā kapitāla dūņu pārstrādes centru risinājums faktiski nav iespējams, jo nav prognozējams laiks, kad varētu rasties atbilstošs privātais investoru, turklāt pastāv augsts risks, ka risinājuma izmaksas būs būtiski augstākas salīdzinot ar citiem ārpakalpojumu alternatīviem risinājumiem. </w:t>
      </w:r>
      <w:r w:rsidRPr="00F679BD">
        <w:rPr>
          <w:rFonts w:ascii="Times New Roman" w:hAnsi="Times New Roman" w:cs="Times New Roman"/>
          <w:b/>
        </w:rPr>
        <w:t xml:space="preserve">Privāta kapitāla </w:t>
      </w:r>
      <w:r w:rsidR="002B18A2" w:rsidRPr="00F679BD">
        <w:rPr>
          <w:rFonts w:ascii="Times New Roman" w:hAnsi="Times New Roman" w:cs="Times New Roman"/>
          <w:b/>
        </w:rPr>
        <w:t xml:space="preserve">notekūdeņu </w:t>
      </w:r>
      <w:r w:rsidRPr="00F679BD">
        <w:rPr>
          <w:rFonts w:ascii="Times New Roman" w:hAnsi="Times New Roman" w:cs="Times New Roman"/>
          <w:b/>
        </w:rPr>
        <w:t>dūņu pārstrādes centru risinājums bez valsts atbalsta un iejaukšanās šajā brīdī nav iespējams, kā rezultātā nav piemērots Latvijas apstākļiem.</w:t>
      </w:r>
      <w:r w:rsidRPr="00F679BD">
        <w:rPr>
          <w:rFonts w:ascii="Times New Roman" w:hAnsi="Times New Roman" w:cs="Times New Roman"/>
        </w:rPr>
        <w:t xml:space="preserve"> </w:t>
      </w:r>
    </w:p>
    <w:p w14:paraId="6E78B146" w14:textId="20E3CF93" w:rsidR="00EA051D" w:rsidRPr="00F679BD" w:rsidRDefault="00EA051D" w:rsidP="009241F2">
      <w:pPr>
        <w:ind w:firstLine="720"/>
        <w:rPr>
          <w:rFonts w:ascii="Times New Roman" w:hAnsi="Times New Roman" w:cs="Times New Roman"/>
        </w:rPr>
      </w:pPr>
      <w:r w:rsidRPr="00F679BD">
        <w:rPr>
          <w:rFonts w:ascii="Times New Roman" w:hAnsi="Times New Roman" w:cs="Times New Roman"/>
        </w:rPr>
        <w:t xml:space="preserve">Kopumā, veicot minēto alternatīvo ārpakalpojumu alternatīvu salīdzināšanu secināts, ka </w:t>
      </w:r>
      <w:r w:rsidRPr="00F679BD">
        <w:rPr>
          <w:rFonts w:ascii="Times New Roman" w:hAnsi="Times New Roman" w:cs="Times New Roman"/>
          <w:b/>
        </w:rPr>
        <w:t xml:space="preserve">Latvijas notekūdeņu dūņu apsaimniekošanas stratēģiju nav iespējams veidot balstot </w:t>
      </w:r>
      <w:r w:rsidR="004A1F33">
        <w:rPr>
          <w:rFonts w:ascii="Times New Roman" w:hAnsi="Times New Roman" w:cs="Times New Roman"/>
          <w:b/>
        </w:rPr>
        <w:t xml:space="preserve">tikai </w:t>
      </w:r>
      <w:r w:rsidRPr="00F679BD">
        <w:rPr>
          <w:rFonts w:ascii="Times New Roman" w:hAnsi="Times New Roman" w:cs="Times New Roman"/>
          <w:b/>
        </w:rPr>
        <w:t>uz ārpakalpojumu sniedzēju piedāvātiem risinājumiem.</w:t>
      </w:r>
      <w:r w:rsidRPr="00F679BD">
        <w:rPr>
          <w:rFonts w:ascii="Times New Roman" w:hAnsi="Times New Roman" w:cs="Times New Roman"/>
        </w:rPr>
        <w:t xml:space="preserve"> Līdz ar to ir nepieciešams izskatīt notekūdeņu dūņu apsaimniekošanas stratēģijas alternatīvu, kurā paši SPS veic notekūdeņu dūņu apsaimniekošanu savu sniegto ūdenssaimniecības pakalpojumu ietvaros.</w:t>
      </w:r>
    </w:p>
    <w:p w14:paraId="4DE660D7" w14:textId="0E875EAB" w:rsidR="007B6AC2" w:rsidRPr="00F679BD" w:rsidRDefault="002B18A2" w:rsidP="00603B7B">
      <w:pPr>
        <w:spacing w:after="160" w:line="259" w:lineRule="auto"/>
        <w:jc w:val="left"/>
        <w:rPr>
          <w:rFonts w:ascii="Times New Roman" w:hAnsi="Times New Roman" w:cs="Times New Roman"/>
        </w:rPr>
      </w:pPr>
      <w:r w:rsidRPr="00F679BD">
        <w:rPr>
          <w:rFonts w:ascii="Times New Roman" w:hAnsi="Times New Roman" w:cs="Times New Roman"/>
        </w:rPr>
        <w:br w:type="page"/>
      </w:r>
    </w:p>
    <w:p w14:paraId="52E85A69" w14:textId="033BC8F3" w:rsidR="00EA051D" w:rsidRPr="00F679BD" w:rsidRDefault="00EA051D" w:rsidP="00726055">
      <w:pPr>
        <w:spacing w:after="0"/>
        <w:jc w:val="right"/>
        <w:rPr>
          <w:rFonts w:ascii="Times New Roman" w:hAnsi="Times New Roman" w:cs="Times New Roman"/>
        </w:rPr>
      </w:pPr>
      <w:r w:rsidRPr="00F679BD">
        <w:rPr>
          <w:rFonts w:ascii="Times New Roman" w:hAnsi="Times New Roman" w:cs="Times New Roman"/>
        </w:rPr>
        <w:lastRenderedPageBreak/>
        <w:t>4.3.</w:t>
      </w:r>
      <w:r w:rsidR="00F679BD">
        <w:rPr>
          <w:rFonts w:ascii="Times New Roman" w:hAnsi="Times New Roman" w:cs="Times New Roman"/>
        </w:rPr>
        <w:t xml:space="preserve"> </w:t>
      </w:r>
      <w:bookmarkStart w:id="84" w:name="_Toc82277624"/>
      <w:r w:rsidR="00F679BD" w:rsidRPr="00F679BD">
        <w:rPr>
          <w:rFonts w:ascii="Times New Roman" w:hAnsi="Times New Roman" w:cs="Times New Roman"/>
        </w:rPr>
        <w:t>pielikums</w:t>
      </w:r>
      <w:bookmarkEnd w:id="84"/>
    </w:p>
    <w:p w14:paraId="36E15ED6" w14:textId="0A015F89" w:rsidR="00EA051D" w:rsidRDefault="004227EA" w:rsidP="00726055">
      <w:pPr>
        <w:pStyle w:val="Heading2"/>
        <w:spacing w:before="0"/>
        <w:jc w:val="center"/>
        <w:rPr>
          <w:rFonts w:ascii="Times New Roman" w:hAnsi="Times New Roman" w:cs="Times New Roman"/>
          <w:b/>
          <w:bCs/>
          <w:color w:val="auto"/>
          <w:sz w:val="24"/>
          <w:szCs w:val="24"/>
        </w:rPr>
      </w:pPr>
      <w:bookmarkStart w:id="85" w:name="_Toc82277625"/>
      <w:bookmarkStart w:id="86" w:name="_Toc107916331"/>
      <w:bookmarkStart w:id="87" w:name="_Hlk82266598"/>
      <w:r>
        <w:rPr>
          <w:rFonts w:ascii="Times New Roman" w:hAnsi="Times New Roman" w:cs="Times New Roman"/>
          <w:b/>
          <w:bCs/>
          <w:color w:val="auto"/>
          <w:sz w:val="24"/>
          <w:szCs w:val="24"/>
        </w:rPr>
        <w:t xml:space="preserve">4.3. </w:t>
      </w:r>
      <w:r w:rsidR="00726055" w:rsidRPr="00726055">
        <w:rPr>
          <w:rFonts w:ascii="Times New Roman" w:hAnsi="Times New Roman" w:cs="Times New Roman"/>
          <w:b/>
          <w:bCs/>
          <w:color w:val="auto"/>
          <w:sz w:val="24"/>
          <w:szCs w:val="24"/>
        </w:rPr>
        <w:t>Detalizēts notekūdeņu dūņu utilizācijas alternatīvu novērtējums</w:t>
      </w:r>
      <w:bookmarkEnd w:id="85"/>
      <w:bookmarkEnd w:id="86"/>
    </w:p>
    <w:p w14:paraId="1D90A7E6" w14:textId="77777777" w:rsidR="00726055" w:rsidRPr="00726055" w:rsidRDefault="00726055" w:rsidP="00726055"/>
    <w:bookmarkEnd w:id="87"/>
    <w:p w14:paraId="7F0018C5" w14:textId="54864797" w:rsidR="00EA051D" w:rsidRDefault="00EA051D" w:rsidP="00BD04BA">
      <w:pPr>
        <w:spacing w:after="0"/>
        <w:ind w:firstLine="720"/>
        <w:rPr>
          <w:rFonts w:ascii="Times New Roman" w:hAnsi="Times New Roman" w:cs="Times New Roman"/>
        </w:rPr>
      </w:pPr>
      <w:r w:rsidRPr="00457C61">
        <w:rPr>
          <w:rFonts w:ascii="Times New Roman" w:hAnsi="Times New Roman" w:cs="Times New Roman"/>
        </w:rPr>
        <w:t>Ņemot vērā 4.2.pielikumā izdarītos secinājumus, ka šobrīd nav piemērotu risinājumu attiecībā uz Latvijas notekūdeņu dūņu apsaimniekošanas nodošanu ārpakalpojuma sniedzējiem ir nepieciešams novērtēt iespējas un risinājumus, kuros SPS ir atbildīgi par notekūdeņu attīrīšanas rezultātā radušos notekūdeņu dūņu atbilstošu apsaimniekošanu. Lai rastu Latvijas apstākļiem labāko notekūdeņu dūņu apsaimniekošanas modeli sākotnēji ir veikta dažādu pārstrādātu notekūdeņu dūņu utilizācijas iespēju novērtēšana, kas ietekmē dūņu apstrādes un pārstrādes risinājumu izvēli.</w:t>
      </w:r>
    </w:p>
    <w:p w14:paraId="3E7541E0" w14:textId="77777777" w:rsidR="00457C61" w:rsidRPr="00457C61" w:rsidRDefault="00457C61" w:rsidP="00457C61">
      <w:pPr>
        <w:spacing w:after="0"/>
        <w:rPr>
          <w:rFonts w:ascii="Times New Roman" w:hAnsi="Times New Roman" w:cs="Times New Roman"/>
        </w:rPr>
      </w:pPr>
    </w:p>
    <w:p w14:paraId="41C34663" w14:textId="77777777" w:rsidR="00EA051D" w:rsidRPr="00D305F6" w:rsidRDefault="00EA051D" w:rsidP="00D305F6">
      <w:pPr>
        <w:jc w:val="center"/>
        <w:rPr>
          <w:rFonts w:ascii="Times New Roman" w:hAnsi="Times New Roman" w:cs="Times New Roman"/>
          <w:b/>
          <w:bCs/>
          <w:color w:val="5B9BD5" w:themeColor="accent1"/>
        </w:rPr>
      </w:pPr>
      <w:bookmarkStart w:id="88" w:name="_Toc82277626"/>
      <w:r w:rsidRPr="00D305F6">
        <w:rPr>
          <w:rFonts w:ascii="Times New Roman" w:hAnsi="Times New Roman" w:cs="Times New Roman"/>
          <w:b/>
          <w:bCs/>
          <w:color w:val="5B9BD5" w:themeColor="accent1"/>
        </w:rPr>
        <w:t>B1. Alternatīva: Pārstrādātu notekūdeņu dūņu iestrāde augsnē</w:t>
      </w:r>
      <w:bookmarkEnd w:id="88"/>
    </w:p>
    <w:p w14:paraId="79960F80" w14:textId="77777777" w:rsidR="00457C61" w:rsidRDefault="00457C61" w:rsidP="00457C61">
      <w:pPr>
        <w:spacing w:after="0"/>
        <w:rPr>
          <w:rFonts w:ascii="Times New Roman" w:hAnsi="Times New Roman" w:cs="Times New Roman"/>
        </w:rPr>
      </w:pPr>
    </w:p>
    <w:p w14:paraId="7B701183" w14:textId="336D0CF0" w:rsidR="00EA051D" w:rsidRPr="00457C61" w:rsidRDefault="00EA051D" w:rsidP="00BD04BA">
      <w:pPr>
        <w:spacing w:after="0"/>
        <w:ind w:firstLine="720"/>
        <w:rPr>
          <w:rFonts w:ascii="Times New Roman" w:hAnsi="Times New Roman" w:cs="Times New Roman"/>
        </w:rPr>
      </w:pPr>
      <w:r w:rsidRPr="00457C61">
        <w:rPr>
          <w:rFonts w:ascii="Times New Roman" w:hAnsi="Times New Roman" w:cs="Times New Roman"/>
        </w:rPr>
        <w:t>Pārstrādātu notekūdeņu dūņu vai no tām radīta komposta iestrāde augsnē ir viena no populārākajām šobrīd izmantotajām notekūdeņu dūņu un tā komposta gala utilizācijas metodēm Latvijā (skat. nodaļu “Esošā situācija notekūdeņu dūņu apsaimniekošanas jomā”). Lauksaimnieku organizācijas kopumā ir ieinteresētas ilgtermiņa sadarbībā un pārstrādātu notekūdeņu dūņu izmantošanā ar mērķi tās iestrādāt augsnē, lai uzlabotu lauksaimniecības zemju auglību. Ar notekūdeņu dūņām augsnē var tikt ienestas vērtīg</w:t>
      </w:r>
      <w:r w:rsidR="004C30E2" w:rsidRPr="00457C61">
        <w:rPr>
          <w:rFonts w:ascii="Times New Roman" w:hAnsi="Times New Roman" w:cs="Times New Roman"/>
        </w:rPr>
        <w:t>i</w:t>
      </w:r>
      <w:r w:rsidRPr="00457C61">
        <w:rPr>
          <w:rFonts w:ascii="Times New Roman" w:hAnsi="Times New Roman" w:cs="Times New Roman"/>
        </w:rPr>
        <w:t xml:space="preserve"> </w:t>
      </w:r>
      <w:r w:rsidR="004C30E2" w:rsidRPr="00457C61">
        <w:rPr>
          <w:rFonts w:ascii="Times New Roman" w:hAnsi="Times New Roman" w:cs="Times New Roman"/>
        </w:rPr>
        <w:t xml:space="preserve">augu barošanās elementi </w:t>
      </w:r>
      <w:r w:rsidRPr="00457C61">
        <w:rPr>
          <w:rFonts w:ascii="Times New Roman" w:hAnsi="Times New Roman" w:cs="Times New Roman"/>
        </w:rPr>
        <w:t xml:space="preserve">(fosfors, slāpeklis, kālijs), organiskās vielas, kā arī </w:t>
      </w:r>
      <w:sdt>
        <w:sdtPr>
          <w:rPr>
            <w:rFonts w:ascii="Times New Roman" w:hAnsi="Times New Roman" w:cs="Times New Roman"/>
          </w:rPr>
          <w:tag w:val="goog_rdk_45"/>
          <w:id w:val="-2009660481"/>
        </w:sdtPr>
        <w:sdtContent/>
      </w:sdt>
      <w:r w:rsidRPr="00457C61">
        <w:rPr>
          <w:rFonts w:ascii="Times New Roman" w:hAnsi="Times New Roman" w:cs="Times New Roman"/>
        </w:rPr>
        <w:t>mikroelementi. No notekūdeņu dūņām veidotu kompostu ir iespējams izmantot dažādos labiekārtošanas darbos (puķu dobes un zaļās teritorijas pilsētās, ielu un ceļu nomalēs). Tāpat ir iespējama un pieļaujama arī dūņu utilizācija meža zemju augsnēs, vai degradētu teritoriju rekultivācijā.</w:t>
      </w:r>
    </w:p>
    <w:p w14:paraId="155CCEB8" w14:textId="77777777" w:rsidR="00EA051D" w:rsidRPr="00457C61" w:rsidRDefault="00EA051D" w:rsidP="00BD04BA">
      <w:pPr>
        <w:spacing w:after="0"/>
        <w:ind w:firstLine="720"/>
        <w:rPr>
          <w:rFonts w:ascii="Times New Roman" w:hAnsi="Times New Roman" w:cs="Times New Roman"/>
        </w:rPr>
      </w:pPr>
      <w:r w:rsidRPr="00457C61">
        <w:rPr>
          <w:rFonts w:ascii="Times New Roman" w:hAnsi="Times New Roman" w:cs="Times New Roman"/>
        </w:rPr>
        <w:t>Lai notekūdeņu dūņas vai to komposts būtu pieprasīts lauksaimniecības zemju ielabošanas, mēslošanas līdzeklis, lauksaimnieku organizācijas stratēģijas izstrādes laikā ir norādījušas uz pārstrādātu dūņu īpašībām, kas būtu jāsasniedz, lai SPS varētu rēķināties ar drošu un stabilu ilgtermiņa pieprasījumu pēc pārstrādātām notekūdeņu dūņām:</w:t>
      </w:r>
    </w:p>
    <w:p w14:paraId="247333B3" w14:textId="18B8BC37" w:rsidR="00EA051D" w:rsidRPr="009234A8" w:rsidRDefault="002B18A2" w:rsidP="008B1B4B">
      <w:pPr>
        <w:pStyle w:val="ListParagraph"/>
        <w:numPr>
          <w:ilvl w:val="0"/>
          <w:numId w:val="2"/>
        </w:numPr>
        <w:suppressAutoHyphens/>
        <w:autoSpaceDN w:val="0"/>
        <w:spacing w:after="0"/>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 xml:space="preserve">notekūdeņu </w:t>
      </w:r>
      <w:r w:rsidR="00EA051D" w:rsidRPr="009234A8">
        <w:rPr>
          <w:rFonts w:ascii="Times New Roman" w:hAnsi="Times New Roman" w:cs="Times New Roman"/>
          <w:sz w:val="24"/>
          <w:szCs w:val="24"/>
        </w:rPr>
        <w:t xml:space="preserve">dūņu sausnas apjomam pārstrādātās </w:t>
      </w:r>
      <w:r w:rsidRPr="009234A8">
        <w:rPr>
          <w:rFonts w:ascii="Times New Roman" w:hAnsi="Times New Roman" w:cs="Times New Roman"/>
          <w:sz w:val="24"/>
          <w:szCs w:val="24"/>
        </w:rPr>
        <w:t xml:space="preserve">notekūdeņu </w:t>
      </w:r>
      <w:r w:rsidR="00EA051D" w:rsidRPr="009234A8">
        <w:rPr>
          <w:rFonts w:ascii="Times New Roman" w:hAnsi="Times New Roman" w:cs="Times New Roman"/>
          <w:sz w:val="24"/>
          <w:szCs w:val="24"/>
        </w:rPr>
        <w:t>dūņās jābūt lielākam par 25%;</w:t>
      </w:r>
    </w:p>
    <w:p w14:paraId="72931F1C" w14:textId="72DAA6F5" w:rsidR="00EA051D" w:rsidRPr="009234A8" w:rsidRDefault="00EA051D" w:rsidP="008B1B4B">
      <w:pPr>
        <w:pStyle w:val="ListParagraph"/>
        <w:numPr>
          <w:ilvl w:val="0"/>
          <w:numId w:val="2"/>
        </w:numPr>
        <w:suppressAutoHyphens/>
        <w:autoSpaceDN w:val="0"/>
        <w:spacing w:after="0"/>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 xml:space="preserve">jānodrošina vienmērīgs, regulārs, nepārtraukts, ilgtermiņā prognozējams </w:t>
      </w:r>
      <w:r w:rsidR="002B18A2" w:rsidRPr="009234A8">
        <w:rPr>
          <w:rFonts w:ascii="Times New Roman" w:hAnsi="Times New Roman" w:cs="Times New Roman"/>
          <w:sz w:val="24"/>
          <w:szCs w:val="24"/>
        </w:rPr>
        <w:t xml:space="preserve">notekūdeņu </w:t>
      </w:r>
      <w:r w:rsidRPr="009234A8">
        <w:rPr>
          <w:rFonts w:ascii="Times New Roman" w:hAnsi="Times New Roman" w:cs="Times New Roman"/>
          <w:sz w:val="24"/>
          <w:szCs w:val="24"/>
        </w:rPr>
        <w:t>dūņu apjoms, sastāvs, mikroelementu daudzums, kā arī jānodrošina iespēja noslēgt ilgtermiņa līgumus par sadarbību, lai būtu iespējams izstrādāt kultūraugu mēslošanas plānu;</w:t>
      </w:r>
    </w:p>
    <w:p w14:paraId="111D6126" w14:textId="688E6C6F" w:rsidR="00EA051D" w:rsidRPr="009234A8" w:rsidRDefault="00EA051D" w:rsidP="008B1B4B">
      <w:pPr>
        <w:pStyle w:val="ListParagraph"/>
        <w:numPr>
          <w:ilvl w:val="0"/>
          <w:numId w:val="2"/>
        </w:numPr>
        <w:suppressAutoHyphens/>
        <w:autoSpaceDN w:val="0"/>
        <w:spacing w:after="0"/>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 xml:space="preserve">nepieciešams papildināt un precizēt informāciju </w:t>
      </w:r>
      <w:r w:rsidR="002B18A2" w:rsidRPr="009234A8">
        <w:rPr>
          <w:rFonts w:ascii="Times New Roman" w:hAnsi="Times New Roman" w:cs="Times New Roman"/>
          <w:sz w:val="24"/>
          <w:szCs w:val="24"/>
        </w:rPr>
        <w:t xml:space="preserve">notekūdeņu </w:t>
      </w:r>
      <w:r w:rsidRPr="009234A8">
        <w:rPr>
          <w:rFonts w:ascii="Times New Roman" w:hAnsi="Times New Roman" w:cs="Times New Roman"/>
          <w:sz w:val="24"/>
          <w:szCs w:val="24"/>
        </w:rPr>
        <w:t xml:space="preserve">dūņu apliecībā, lai tā sniegtu lauksaimniecības zemju mēslošanai nepieciešamo informāciju par </w:t>
      </w:r>
      <w:r w:rsidR="002B18A2" w:rsidRPr="009234A8">
        <w:rPr>
          <w:rFonts w:ascii="Times New Roman" w:hAnsi="Times New Roman" w:cs="Times New Roman"/>
          <w:sz w:val="24"/>
          <w:szCs w:val="24"/>
        </w:rPr>
        <w:t>materiāla</w:t>
      </w:r>
      <w:r w:rsidRPr="009234A8">
        <w:rPr>
          <w:rFonts w:ascii="Times New Roman" w:hAnsi="Times New Roman" w:cs="Times New Roman"/>
          <w:sz w:val="24"/>
          <w:szCs w:val="24"/>
        </w:rPr>
        <w:t xml:space="preserve"> mitrumu, </w:t>
      </w:r>
      <w:r w:rsidR="004C30E2" w:rsidRPr="009234A8">
        <w:rPr>
          <w:rFonts w:ascii="Times New Roman" w:hAnsi="Times New Roman" w:cs="Times New Roman"/>
          <w:sz w:val="24"/>
          <w:szCs w:val="24"/>
        </w:rPr>
        <w:t xml:space="preserve">augu barošanās elementu </w:t>
      </w:r>
      <w:r w:rsidRPr="009234A8">
        <w:rPr>
          <w:rFonts w:ascii="Times New Roman" w:hAnsi="Times New Roman" w:cs="Times New Roman"/>
          <w:sz w:val="24"/>
          <w:szCs w:val="24"/>
        </w:rPr>
        <w:t xml:space="preserve">daudzums, </w:t>
      </w:r>
      <w:sdt>
        <w:sdtPr>
          <w:rPr>
            <w:rFonts w:ascii="Times New Roman" w:hAnsi="Times New Roman" w:cs="Times New Roman"/>
            <w:sz w:val="24"/>
            <w:szCs w:val="24"/>
          </w:rPr>
          <w:tag w:val="goog_rdk_47"/>
          <w:id w:val="186419086"/>
        </w:sdtPr>
        <w:sdtContent/>
      </w:sdt>
      <w:r w:rsidRPr="009234A8">
        <w:rPr>
          <w:rFonts w:ascii="Times New Roman" w:hAnsi="Times New Roman" w:cs="Times New Roman"/>
          <w:sz w:val="24"/>
          <w:szCs w:val="24"/>
        </w:rPr>
        <w:t>mikroelementu saturu u.c.;</w:t>
      </w:r>
    </w:p>
    <w:p w14:paraId="2F24988B" w14:textId="3AC99ACC" w:rsidR="00EA051D" w:rsidRPr="009234A8" w:rsidRDefault="002B18A2" w:rsidP="008B1B4B">
      <w:pPr>
        <w:pStyle w:val="ListParagraph"/>
        <w:numPr>
          <w:ilvl w:val="0"/>
          <w:numId w:val="2"/>
        </w:numPr>
        <w:suppressAutoHyphens/>
        <w:autoSpaceDN w:val="0"/>
        <w:spacing w:after="0"/>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notekūdeņu d</w:t>
      </w:r>
      <w:r w:rsidR="00EA051D" w:rsidRPr="009234A8">
        <w:rPr>
          <w:rFonts w:ascii="Times New Roman" w:hAnsi="Times New Roman" w:cs="Times New Roman"/>
          <w:sz w:val="24"/>
          <w:szCs w:val="24"/>
        </w:rPr>
        <w:t xml:space="preserve">ūņu higienizācija pirms </w:t>
      </w:r>
      <w:r w:rsidRPr="009234A8">
        <w:rPr>
          <w:rFonts w:ascii="Times New Roman" w:hAnsi="Times New Roman" w:cs="Times New Roman"/>
          <w:sz w:val="24"/>
          <w:szCs w:val="24"/>
        </w:rPr>
        <w:t>to</w:t>
      </w:r>
      <w:r w:rsidR="00EA051D" w:rsidRPr="009234A8">
        <w:rPr>
          <w:rFonts w:ascii="Times New Roman" w:hAnsi="Times New Roman" w:cs="Times New Roman"/>
          <w:sz w:val="24"/>
          <w:szCs w:val="24"/>
        </w:rPr>
        <w:t xml:space="preserve"> izmantošanas lauksaimniecības zemju mēslošanai nav obligāti nepieciešama. Lielāku efektu nodrošinātu </w:t>
      </w:r>
      <w:r w:rsidR="00EA051D" w:rsidRPr="009234A8">
        <w:rPr>
          <w:rFonts w:ascii="Times New Roman" w:hAnsi="Times New Roman" w:cs="Times New Roman"/>
          <w:sz w:val="24"/>
          <w:szCs w:val="24"/>
        </w:rPr>
        <w:lastRenderedPageBreak/>
        <w:t>kultūraugu saraksts, kuru audzēšanā ir atļauta notekūdeņu dūņu izmantošana, norādot atļautos iestrādes laikus un dozas;</w:t>
      </w:r>
    </w:p>
    <w:p w14:paraId="29FCC6A4" w14:textId="7C0E18AF" w:rsidR="00EA051D" w:rsidRPr="009234A8" w:rsidRDefault="002B18A2" w:rsidP="008B1B4B">
      <w:pPr>
        <w:pStyle w:val="ListParagraph"/>
        <w:numPr>
          <w:ilvl w:val="0"/>
          <w:numId w:val="2"/>
        </w:numPr>
        <w:suppressAutoHyphens/>
        <w:autoSpaceDN w:val="0"/>
        <w:spacing w:after="0"/>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notekūdeņu d</w:t>
      </w:r>
      <w:r w:rsidR="00EA051D" w:rsidRPr="009234A8">
        <w:rPr>
          <w:rFonts w:ascii="Times New Roman" w:hAnsi="Times New Roman" w:cs="Times New Roman"/>
          <w:sz w:val="24"/>
          <w:szCs w:val="24"/>
        </w:rPr>
        <w:t>ūņu izmantošanu lauksaimniecībā veicinātu vienota pakalpojuma piedāvājums, kura ietvaros pārstrādātas notekūdeņu dūņas tiek piedāvātas komplektā ar to iestrādi augsnē un nepieciešamās dokumentācijas sakārtošanu, tai skaitā lauksaimniecības zemju kvalitatīvā stāvokļa novērtējuma veikšanu;</w:t>
      </w:r>
    </w:p>
    <w:p w14:paraId="615D599E" w14:textId="34E0A719" w:rsidR="00EA051D" w:rsidRPr="009234A8" w:rsidRDefault="002B18A2" w:rsidP="00015FC8">
      <w:pPr>
        <w:pStyle w:val="ListParagraph"/>
        <w:numPr>
          <w:ilvl w:val="0"/>
          <w:numId w:val="2"/>
        </w:numPr>
        <w:suppressAutoHyphens/>
        <w:autoSpaceDN w:val="0"/>
        <w:spacing w:after="0"/>
        <w:contextualSpacing w:val="0"/>
        <w:jc w:val="both"/>
        <w:textAlignment w:val="baseline"/>
        <w:rPr>
          <w:rFonts w:ascii="Times New Roman" w:hAnsi="Times New Roman" w:cs="Times New Roman"/>
          <w:sz w:val="24"/>
          <w:szCs w:val="24"/>
        </w:rPr>
      </w:pPr>
      <w:r w:rsidRPr="009234A8">
        <w:rPr>
          <w:rFonts w:ascii="Times New Roman" w:hAnsi="Times New Roman" w:cs="Times New Roman"/>
          <w:sz w:val="24"/>
          <w:szCs w:val="24"/>
        </w:rPr>
        <w:t>notekūdeņu d</w:t>
      </w:r>
      <w:r w:rsidR="00EA051D" w:rsidRPr="009234A8">
        <w:rPr>
          <w:rFonts w:ascii="Times New Roman" w:hAnsi="Times New Roman" w:cs="Times New Roman"/>
          <w:sz w:val="24"/>
          <w:szCs w:val="24"/>
        </w:rPr>
        <w:t>ūņu komposta veidošana lauksaimniecības zemju mēslošanai nav obligāti nepieciešama, bet tā ir vēlama, ja tās tiek izmantotas citos gala utilizācijas veidos – apzaļumošana, rekultivācija u.c.</w:t>
      </w:r>
    </w:p>
    <w:p w14:paraId="265A5177" w14:textId="77777777" w:rsidR="00015FC8" w:rsidRDefault="00015FC8" w:rsidP="00015FC8">
      <w:pPr>
        <w:pStyle w:val="Heading3"/>
        <w:spacing w:before="0"/>
        <w:rPr>
          <w:rFonts w:ascii="Times New Roman" w:eastAsiaTheme="minorHAnsi" w:hAnsi="Times New Roman" w:cs="Times New Roman"/>
          <w:b/>
          <w:bCs/>
          <w:color w:val="5B9BD5" w:themeColor="accent1"/>
          <w:sz w:val="24"/>
        </w:rPr>
      </w:pPr>
      <w:bookmarkStart w:id="89" w:name="_Toc82277627"/>
    </w:p>
    <w:p w14:paraId="5543ECA5" w14:textId="679F7721" w:rsidR="00EA051D" w:rsidRPr="00F36C1F" w:rsidRDefault="00EA051D" w:rsidP="00F36C1F">
      <w:pPr>
        <w:jc w:val="center"/>
        <w:rPr>
          <w:rFonts w:ascii="Times New Roman" w:hAnsi="Times New Roman" w:cs="Times New Roman"/>
          <w:b/>
          <w:bCs/>
          <w:color w:val="5B9BD5" w:themeColor="accent1"/>
        </w:rPr>
      </w:pPr>
      <w:r w:rsidRPr="00F36C1F">
        <w:rPr>
          <w:rFonts w:ascii="Times New Roman" w:hAnsi="Times New Roman" w:cs="Times New Roman"/>
          <w:b/>
          <w:bCs/>
          <w:color w:val="5B9BD5" w:themeColor="accent1"/>
        </w:rPr>
        <w:t xml:space="preserve">B2. Alternatīva: Pārstrādātu </w:t>
      </w:r>
      <w:r w:rsidR="00EA2589" w:rsidRPr="00F36C1F">
        <w:rPr>
          <w:rFonts w:ascii="Times New Roman" w:hAnsi="Times New Roman" w:cs="Times New Roman"/>
          <w:b/>
          <w:bCs/>
          <w:color w:val="5B9BD5" w:themeColor="accent1"/>
        </w:rPr>
        <w:t>notekūdeņu</w:t>
      </w:r>
      <w:r w:rsidRPr="00F36C1F">
        <w:rPr>
          <w:rFonts w:ascii="Times New Roman" w:hAnsi="Times New Roman" w:cs="Times New Roman"/>
          <w:b/>
          <w:bCs/>
          <w:color w:val="5B9BD5" w:themeColor="accent1"/>
        </w:rPr>
        <w:t xml:space="preserve"> dūņu dedzināšana</w:t>
      </w:r>
      <w:bookmarkEnd w:id="89"/>
    </w:p>
    <w:p w14:paraId="3C4A7732" w14:textId="77777777" w:rsidR="00015FC8" w:rsidRPr="00015FC8" w:rsidRDefault="00015FC8" w:rsidP="00015FC8">
      <w:pPr>
        <w:spacing w:after="0"/>
        <w:ind w:firstLine="720"/>
        <w:rPr>
          <w:rFonts w:ascii="Times New Roman" w:hAnsi="Times New Roman" w:cs="Times New Roman"/>
        </w:rPr>
      </w:pPr>
    </w:p>
    <w:p w14:paraId="29DA6583" w14:textId="71F41805" w:rsidR="00EA051D" w:rsidRPr="00015FC8" w:rsidRDefault="00EA051D" w:rsidP="00015FC8">
      <w:pPr>
        <w:spacing w:after="0"/>
        <w:ind w:firstLine="720"/>
        <w:rPr>
          <w:rFonts w:ascii="Times New Roman" w:hAnsi="Times New Roman" w:cs="Times New Roman"/>
        </w:rPr>
      </w:pPr>
      <w:r w:rsidRPr="00015FC8">
        <w:rPr>
          <w:rFonts w:ascii="Times New Roman" w:hAnsi="Times New Roman" w:cs="Times New Roman"/>
        </w:rPr>
        <w:t xml:space="preserve">Alternatīva paredz iespēju veikt visu notekūdeņu dūņu dedzināšanu vai nu kā monosadedzināšanu, kad notekūdeņu dūņas tiek izmantotas kā vienīgais sadedzināmais materiāls, vai sadedzināšanu kopā ar citiem resursiem, radot jaunu produktu (cementa rūpniecība), vai kā līdzsadedzināšanu apkures iekārtās, ar mērķi iegūt enerģiju. Notekūdeņu dūņu dedzināšana nav MK noteikumos Nr.362 noteikts notekūdeņu dūņu utilizācijas vai apstrādes veids, bet ir viens no atkritumu utilizācijas veidiem, līdz ar to šāds dūņu pārstrādes veids būtu jāīsteno atbilstoši atkritumu apsaimniekošanas nozares nosacījumiem un tiesiskajam ietvaram. </w:t>
      </w:r>
    </w:p>
    <w:p w14:paraId="03C0CA7B" w14:textId="77777777" w:rsidR="00015FC8" w:rsidRDefault="00015FC8" w:rsidP="00015FC8">
      <w:pPr>
        <w:pStyle w:val="Heading3"/>
        <w:spacing w:before="0"/>
        <w:rPr>
          <w:rFonts w:ascii="Times New Roman" w:eastAsiaTheme="minorHAnsi" w:hAnsi="Times New Roman" w:cs="Times New Roman"/>
          <w:b/>
          <w:bCs/>
          <w:color w:val="5B9BD5" w:themeColor="accent1"/>
          <w:sz w:val="24"/>
        </w:rPr>
      </w:pPr>
      <w:bookmarkStart w:id="90" w:name="_Toc82277628"/>
    </w:p>
    <w:p w14:paraId="3A7517D3" w14:textId="1E0D6AA4" w:rsidR="00EA051D" w:rsidRPr="00F36C1F" w:rsidRDefault="00EA051D" w:rsidP="00F36C1F">
      <w:pPr>
        <w:jc w:val="center"/>
        <w:rPr>
          <w:rFonts w:ascii="Times New Roman" w:hAnsi="Times New Roman" w:cs="Times New Roman"/>
          <w:b/>
          <w:bCs/>
          <w:color w:val="5B9BD5" w:themeColor="accent1"/>
        </w:rPr>
      </w:pPr>
      <w:r w:rsidRPr="00F36C1F">
        <w:rPr>
          <w:rFonts w:ascii="Times New Roman" w:hAnsi="Times New Roman" w:cs="Times New Roman"/>
          <w:b/>
          <w:bCs/>
          <w:color w:val="5B9BD5" w:themeColor="accent1"/>
        </w:rPr>
        <w:t>B2.1. Alternatīva: Pārstrādātu notekūdeņu dūņu monodedzināšana</w:t>
      </w:r>
      <w:bookmarkEnd w:id="90"/>
    </w:p>
    <w:p w14:paraId="58CF26B9" w14:textId="77777777" w:rsidR="00015FC8" w:rsidRDefault="00015FC8" w:rsidP="00015FC8">
      <w:pPr>
        <w:spacing w:after="0"/>
        <w:ind w:firstLine="720"/>
        <w:rPr>
          <w:rFonts w:ascii="Times New Roman" w:hAnsi="Times New Roman" w:cs="Times New Roman"/>
        </w:rPr>
      </w:pPr>
    </w:p>
    <w:p w14:paraId="391FCD33" w14:textId="3DC8BB88" w:rsidR="00EA051D" w:rsidRPr="00015FC8" w:rsidRDefault="00EA051D" w:rsidP="00015FC8">
      <w:pPr>
        <w:spacing w:after="0"/>
        <w:ind w:firstLine="720"/>
        <w:rPr>
          <w:rFonts w:ascii="Times New Roman" w:hAnsi="Times New Roman" w:cs="Times New Roman"/>
        </w:rPr>
      </w:pPr>
      <w:r w:rsidRPr="00015FC8">
        <w:rPr>
          <w:rFonts w:ascii="Times New Roman" w:hAnsi="Times New Roman" w:cs="Times New Roman"/>
        </w:rPr>
        <w:t xml:space="preserve">Notekūdeņu dūņu monodedzināšanas iespējas Latvijā šobrīd nepastāv, jo nav izveidota neviena notekūdeņu dūņu monodedzināšanas iekārta, kuras darbību būtu iespējams novērtēt. Šādas iekārtas nav arī Lietuvā un Igaunijā, kur nepieciešamības gadījumā būtu iespējams veidot savstarpēju sadarbību. Ņemot vērā kopējo notekūdeņu dūņu daudzumu un izvietojumu Latvijā, tad </w:t>
      </w:r>
      <w:sdt>
        <w:sdtPr>
          <w:rPr>
            <w:rFonts w:ascii="Times New Roman" w:hAnsi="Times New Roman" w:cs="Times New Roman"/>
          </w:rPr>
          <w:tag w:val="goog_rdk_40"/>
          <w:id w:val="-1553767716"/>
        </w:sdtPr>
        <w:sdtContent/>
      </w:sdt>
      <w:r w:rsidRPr="00015FC8">
        <w:rPr>
          <w:rFonts w:ascii="Times New Roman" w:hAnsi="Times New Roman" w:cs="Times New Roman"/>
        </w:rPr>
        <w:t xml:space="preserve">pamatota varētu būt vienas šādas iekārtas izbūve Latvijas centrālajā daļā, jo aptuveni 40 – 50 % visu Latvijas notekūdeņu veidojas BAS </w:t>
      </w:r>
      <w:r w:rsidR="002B18A2" w:rsidRPr="00015FC8">
        <w:rPr>
          <w:rFonts w:ascii="Times New Roman" w:hAnsi="Times New Roman" w:cs="Times New Roman"/>
        </w:rPr>
        <w:t>“</w:t>
      </w:r>
      <w:r w:rsidRPr="00015FC8">
        <w:rPr>
          <w:rFonts w:ascii="Times New Roman" w:hAnsi="Times New Roman" w:cs="Times New Roman"/>
        </w:rPr>
        <w:t>Daugavgrīva</w:t>
      </w:r>
      <w:r w:rsidR="002B18A2" w:rsidRPr="00015FC8">
        <w:rPr>
          <w:rFonts w:ascii="Times New Roman" w:hAnsi="Times New Roman" w:cs="Times New Roman"/>
        </w:rPr>
        <w:t>”</w:t>
      </w:r>
      <w:r w:rsidRPr="00015FC8">
        <w:rPr>
          <w:rFonts w:ascii="Times New Roman" w:hAnsi="Times New Roman" w:cs="Times New Roman"/>
        </w:rPr>
        <w:t>, un šāda notekūdeņu dūņu monosadedzināšanas iekārtu izbūve būtu jāveic šo NAI tuvumā. SIA “Rīgas ūdens” ir norādījis, ka tiek gatavots tehniski ekonomiskais pamatojums notekūdeņu dūņu pārstrādes un utilizācijas procesu organizēšanai BAS Daugavgrīva. Pirms nav veikts detalizēts novērtējums un aprēķini, šādas monodedzināšanas iekārtas izbūve BAS Daugavgrīva teritorijā nav iespējama.</w:t>
      </w:r>
    </w:p>
    <w:p w14:paraId="20668B80" w14:textId="77777777" w:rsidR="00015FC8" w:rsidRDefault="00015FC8" w:rsidP="00015FC8">
      <w:pPr>
        <w:pStyle w:val="Heading3"/>
        <w:spacing w:before="0"/>
        <w:rPr>
          <w:rFonts w:ascii="Times New Roman" w:eastAsiaTheme="minorHAnsi" w:hAnsi="Times New Roman" w:cs="Times New Roman"/>
          <w:b/>
          <w:bCs/>
          <w:color w:val="5B9BD5" w:themeColor="accent1"/>
          <w:sz w:val="24"/>
        </w:rPr>
      </w:pPr>
      <w:bookmarkStart w:id="91" w:name="_Toc82277629"/>
    </w:p>
    <w:p w14:paraId="140FE550" w14:textId="72897434" w:rsidR="00EA051D" w:rsidRPr="00F36C1F" w:rsidRDefault="00EA051D" w:rsidP="00F36C1F">
      <w:pPr>
        <w:jc w:val="center"/>
        <w:rPr>
          <w:rFonts w:ascii="Times New Roman" w:hAnsi="Times New Roman" w:cs="Times New Roman"/>
          <w:b/>
          <w:bCs/>
          <w:color w:val="5B9BD5" w:themeColor="accent1"/>
        </w:rPr>
      </w:pPr>
      <w:r w:rsidRPr="00F36C1F">
        <w:rPr>
          <w:rFonts w:ascii="Times New Roman" w:hAnsi="Times New Roman" w:cs="Times New Roman"/>
          <w:b/>
          <w:bCs/>
          <w:color w:val="5B9BD5" w:themeColor="accent1"/>
        </w:rPr>
        <w:t>B2.2. Alternatīva: Pārstrādātu notekūdeņu dūņu līdzdedzināšana cementa rūpnīcā</w:t>
      </w:r>
      <w:bookmarkEnd w:id="91"/>
    </w:p>
    <w:p w14:paraId="0C4EFCFC" w14:textId="77777777" w:rsidR="00015FC8" w:rsidRDefault="00015FC8" w:rsidP="00015FC8">
      <w:pPr>
        <w:spacing w:after="0"/>
        <w:ind w:firstLine="720"/>
        <w:rPr>
          <w:rFonts w:ascii="Times New Roman" w:hAnsi="Times New Roman" w:cs="Times New Roman"/>
        </w:rPr>
      </w:pPr>
    </w:p>
    <w:p w14:paraId="40DCE1FD" w14:textId="190267A6" w:rsidR="00EA051D" w:rsidRPr="00015FC8" w:rsidRDefault="00EA051D" w:rsidP="00015FC8">
      <w:pPr>
        <w:spacing w:after="0"/>
        <w:ind w:firstLine="720"/>
        <w:rPr>
          <w:rFonts w:ascii="Times New Roman" w:hAnsi="Times New Roman" w:cs="Times New Roman"/>
        </w:rPr>
      </w:pPr>
      <w:r w:rsidRPr="00015FC8">
        <w:rPr>
          <w:rFonts w:ascii="Times New Roman" w:hAnsi="Times New Roman" w:cs="Times New Roman"/>
        </w:rPr>
        <w:t xml:space="preserve">Pastāv iespējas notekūdeņu dūņas dedzināt kopā ar citām vielām cementa rūpnīcās cementa masas ražošanai. Viena no tādām rūpnīcām atrodas Brocēnos (aptuveni 110 km no </w:t>
      </w:r>
      <w:r w:rsidRPr="00015FC8">
        <w:rPr>
          <w:rFonts w:ascii="Times New Roman" w:hAnsi="Times New Roman" w:cs="Times New Roman"/>
        </w:rPr>
        <w:lastRenderedPageBreak/>
        <w:t xml:space="preserve">Rīgas), bet otra Akmenē (Lietuva, aptuveni 130 km attālumā no Rīgas). Uzņēmumi izvirza konkrētas notekūdeņu dūņu kvalitātes prasības pirms pieņemšanas dedzināšanai attiecībā uz smago metālu daudzumu, sausnas daudzumu, dūņu enerģētisko vērtību un citiem rādītājiem. Novērtējot izvirzītās prasības, tika konstatēts, ka pārstrādātas Latvijas notekūdeņu dūņas izpildītu izvirzītās prasības un tās ir izmantojamas dedzināšanai cementa rūpnīcā. Turklāt jāņem vērā, ka dūņu sadedzināšanas pelnus nav nepieciešams apglabāt vai citādi utilizēt, jo tie nonāk cementa sastāvā un tiek iebūvēti reizē ar cementu. </w:t>
      </w:r>
    </w:p>
    <w:p w14:paraId="47592E42" w14:textId="5B47E803" w:rsidR="00FD6FD8" w:rsidRPr="00FD6FD8" w:rsidRDefault="00EA051D" w:rsidP="00FD6FD8">
      <w:pPr>
        <w:spacing w:after="0"/>
        <w:jc w:val="right"/>
        <w:rPr>
          <w:rFonts w:ascii="Times New Roman" w:hAnsi="Times New Roman" w:cs="Times New Roman"/>
          <w:bCs/>
          <w:szCs w:val="24"/>
        </w:rPr>
      </w:pPr>
      <w:r w:rsidRPr="00FD6FD8">
        <w:rPr>
          <w:rFonts w:ascii="Times New Roman" w:hAnsi="Times New Roman" w:cs="Times New Roman"/>
          <w:bCs/>
          <w:szCs w:val="24"/>
        </w:rPr>
        <w:t>4.</w:t>
      </w:r>
      <w:r w:rsidR="00AC63C4">
        <w:rPr>
          <w:rFonts w:ascii="Times New Roman" w:hAnsi="Times New Roman" w:cs="Times New Roman"/>
          <w:bCs/>
          <w:szCs w:val="24"/>
        </w:rPr>
        <w:t>3.1</w:t>
      </w:r>
      <w:r w:rsidRPr="00FD6FD8">
        <w:rPr>
          <w:rFonts w:ascii="Times New Roman" w:hAnsi="Times New Roman" w:cs="Times New Roman"/>
          <w:bCs/>
          <w:szCs w:val="24"/>
        </w:rPr>
        <w:t>.tabula</w:t>
      </w:r>
    </w:p>
    <w:p w14:paraId="74D67C07" w14:textId="121EEC3A" w:rsidR="00EA051D" w:rsidRPr="00FD6FD8" w:rsidRDefault="00EA051D" w:rsidP="00FD6FD8">
      <w:pPr>
        <w:spacing w:after="0"/>
        <w:jc w:val="center"/>
        <w:rPr>
          <w:rFonts w:ascii="Times New Roman" w:hAnsi="Times New Roman" w:cs="Times New Roman"/>
          <w:b/>
          <w:szCs w:val="24"/>
        </w:rPr>
      </w:pPr>
      <w:r w:rsidRPr="00FD6FD8">
        <w:rPr>
          <w:rFonts w:ascii="Times New Roman" w:hAnsi="Times New Roman" w:cs="Times New Roman"/>
          <w:b/>
          <w:szCs w:val="24"/>
        </w:rPr>
        <w:t>Atsevišķas SIA “Schwenk Latvija” izvirzītās prasības notekūdeņu dūņām (norādītas galvenās)</w:t>
      </w:r>
    </w:p>
    <w:tbl>
      <w:tblPr>
        <w:tblStyle w:val="40"/>
        <w:tblW w:w="56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1274"/>
        <w:gridCol w:w="1275"/>
      </w:tblGrid>
      <w:tr w:rsidR="00EA051D" w:rsidRPr="00FD6FD8" w14:paraId="15F21518" w14:textId="77777777" w:rsidTr="008E6BAE">
        <w:trPr>
          <w:jc w:val="center"/>
        </w:trPr>
        <w:tc>
          <w:tcPr>
            <w:tcW w:w="3116" w:type="dxa"/>
          </w:tcPr>
          <w:p w14:paraId="6360FF91" w14:textId="77777777" w:rsidR="00EA051D" w:rsidRPr="00FD6FD8" w:rsidRDefault="00000000" w:rsidP="000C73AC">
            <w:pPr>
              <w:spacing w:after="60"/>
              <w:jc w:val="center"/>
              <w:rPr>
                <w:rFonts w:ascii="Times New Roman" w:hAnsi="Times New Roman" w:cs="Times New Roman"/>
                <w:b/>
                <w:szCs w:val="24"/>
              </w:rPr>
            </w:pPr>
            <w:sdt>
              <w:sdtPr>
                <w:rPr>
                  <w:rFonts w:ascii="Times New Roman" w:hAnsi="Times New Roman" w:cs="Times New Roman"/>
                  <w:szCs w:val="24"/>
                </w:rPr>
                <w:tag w:val="goog_rdk_42"/>
                <w:id w:val="-521867227"/>
              </w:sdtPr>
              <w:sdtContent>
                <w:r w:rsidR="00EA051D" w:rsidRPr="00FD6FD8">
                  <w:rPr>
                    <w:rFonts w:ascii="Times New Roman" w:hAnsi="Times New Roman" w:cs="Times New Roman"/>
                    <w:b/>
                    <w:szCs w:val="24"/>
                  </w:rPr>
                  <w:t>D</w:t>
                </w:r>
              </w:sdtContent>
            </w:sdt>
            <w:r w:rsidR="00EA051D" w:rsidRPr="00FD6FD8">
              <w:rPr>
                <w:rFonts w:ascii="Times New Roman" w:hAnsi="Times New Roman" w:cs="Times New Roman"/>
                <w:b/>
                <w:szCs w:val="24"/>
              </w:rPr>
              <w:t>ūņas raksturojošs kritērijs</w:t>
            </w:r>
          </w:p>
        </w:tc>
        <w:tc>
          <w:tcPr>
            <w:tcW w:w="1274" w:type="dxa"/>
          </w:tcPr>
          <w:p w14:paraId="1B395497" w14:textId="77777777" w:rsidR="00EA051D" w:rsidRPr="00FD6FD8" w:rsidRDefault="00EA051D" w:rsidP="000C73AC">
            <w:pPr>
              <w:spacing w:after="60"/>
              <w:jc w:val="center"/>
              <w:rPr>
                <w:rFonts w:ascii="Times New Roman" w:hAnsi="Times New Roman" w:cs="Times New Roman"/>
                <w:b/>
                <w:szCs w:val="24"/>
              </w:rPr>
            </w:pPr>
            <w:r w:rsidRPr="00FD6FD8">
              <w:rPr>
                <w:rFonts w:ascii="Times New Roman" w:hAnsi="Times New Roman" w:cs="Times New Roman"/>
                <w:b/>
                <w:szCs w:val="24"/>
              </w:rPr>
              <w:t>Vienība</w:t>
            </w:r>
          </w:p>
        </w:tc>
        <w:tc>
          <w:tcPr>
            <w:tcW w:w="1275" w:type="dxa"/>
          </w:tcPr>
          <w:p w14:paraId="016EE273" w14:textId="77777777" w:rsidR="00EA051D" w:rsidRPr="00FD6FD8" w:rsidRDefault="00EA051D" w:rsidP="000C73AC">
            <w:pPr>
              <w:spacing w:after="60"/>
              <w:jc w:val="center"/>
              <w:rPr>
                <w:rFonts w:ascii="Times New Roman" w:hAnsi="Times New Roman" w:cs="Times New Roman"/>
                <w:b/>
                <w:szCs w:val="24"/>
              </w:rPr>
            </w:pPr>
            <w:r w:rsidRPr="00FD6FD8">
              <w:rPr>
                <w:rFonts w:ascii="Times New Roman" w:hAnsi="Times New Roman" w:cs="Times New Roman"/>
                <w:b/>
                <w:szCs w:val="24"/>
              </w:rPr>
              <w:t>Vērtība</w:t>
            </w:r>
          </w:p>
        </w:tc>
      </w:tr>
      <w:tr w:rsidR="00EA051D" w:rsidRPr="00FD6FD8" w14:paraId="03C48567" w14:textId="77777777" w:rsidTr="008E6BAE">
        <w:trPr>
          <w:jc w:val="center"/>
        </w:trPr>
        <w:tc>
          <w:tcPr>
            <w:tcW w:w="3116" w:type="dxa"/>
          </w:tcPr>
          <w:p w14:paraId="031FFFDB" w14:textId="77777777" w:rsidR="00EA051D" w:rsidRPr="00FD6FD8" w:rsidRDefault="00EA051D" w:rsidP="000C73AC">
            <w:pPr>
              <w:spacing w:after="60"/>
              <w:rPr>
                <w:rFonts w:ascii="Times New Roman" w:hAnsi="Times New Roman" w:cs="Times New Roman"/>
                <w:szCs w:val="24"/>
              </w:rPr>
            </w:pPr>
            <w:r w:rsidRPr="00FD6FD8">
              <w:rPr>
                <w:rFonts w:ascii="Times New Roman" w:hAnsi="Times New Roman" w:cs="Times New Roman"/>
                <w:szCs w:val="24"/>
              </w:rPr>
              <w:t>Kaloritāte (sausai masai)</w:t>
            </w:r>
          </w:p>
        </w:tc>
        <w:tc>
          <w:tcPr>
            <w:tcW w:w="1274" w:type="dxa"/>
          </w:tcPr>
          <w:p w14:paraId="7DA73422"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MJ</w:t>
            </w:r>
          </w:p>
        </w:tc>
        <w:tc>
          <w:tcPr>
            <w:tcW w:w="1275" w:type="dxa"/>
          </w:tcPr>
          <w:p w14:paraId="1287EE10"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&gt;12</w:t>
            </w:r>
          </w:p>
        </w:tc>
      </w:tr>
      <w:tr w:rsidR="00EA051D" w:rsidRPr="00FD6FD8" w14:paraId="5CC50367" w14:textId="77777777" w:rsidTr="008E6BAE">
        <w:trPr>
          <w:jc w:val="center"/>
        </w:trPr>
        <w:tc>
          <w:tcPr>
            <w:tcW w:w="3116" w:type="dxa"/>
          </w:tcPr>
          <w:p w14:paraId="253E6CA1" w14:textId="77777777" w:rsidR="00EA051D" w:rsidRPr="00FD6FD8" w:rsidRDefault="00EA051D" w:rsidP="000C73AC">
            <w:pPr>
              <w:spacing w:after="60"/>
              <w:rPr>
                <w:rFonts w:ascii="Times New Roman" w:hAnsi="Times New Roman" w:cs="Times New Roman"/>
                <w:szCs w:val="24"/>
              </w:rPr>
            </w:pPr>
            <w:r w:rsidRPr="00FD6FD8">
              <w:rPr>
                <w:rFonts w:ascii="Times New Roman" w:hAnsi="Times New Roman" w:cs="Times New Roman"/>
                <w:szCs w:val="24"/>
              </w:rPr>
              <w:t>Sausna</w:t>
            </w:r>
          </w:p>
        </w:tc>
        <w:tc>
          <w:tcPr>
            <w:tcW w:w="1274" w:type="dxa"/>
          </w:tcPr>
          <w:p w14:paraId="66DA1668"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w:t>
            </w:r>
          </w:p>
        </w:tc>
        <w:tc>
          <w:tcPr>
            <w:tcW w:w="1275" w:type="dxa"/>
          </w:tcPr>
          <w:p w14:paraId="579A7D47"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&gt;80</w:t>
            </w:r>
          </w:p>
        </w:tc>
      </w:tr>
      <w:tr w:rsidR="00EA051D" w:rsidRPr="00FD6FD8" w14:paraId="5C62D4A6" w14:textId="77777777" w:rsidTr="008E6BAE">
        <w:trPr>
          <w:jc w:val="center"/>
        </w:trPr>
        <w:tc>
          <w:tcPr>
            <w:tcW w:w="3116" w:type="dxa"/>
          </w:tcPr>
          <w:p w14:paraId="0D2074DE" w14:textId="77777777" w:rsidR="00EA051D" w:rsidRPr="00FD6FD8" w:rsidRDefault="00EA051D" w:rsidP="000C73AC">
            <w:pPr>
              <w:spacing w:after="60"/>
              <w:rPr>
                <w:rFonts w:ascii="Times New Roman" w:hAnsi="Times New Roman" w:cs="Times New Roman"/>
                <w:szCs w:val="24"/>
              </w:rPr>
            </w:pPr>
            <w:r w:rsidRPr="00FD6FD8">
              <w:rPr>
                <w:rFonts w:ascii="Times New Roman" w:hAnsi="Times New Roman" w:cs="Times New Roman"/>
                <w:szCs w:val="24"/>
              </w:rPr>
              <w:t>Pelnu daudzums</w:t>
            </w:r>
          </w:p>
        </w:tc>
        <w:tc>
          <w:tcPr>
            <w:tcW w:w="1274" w:type="dxa"/>
          </w:tcPr>
          <w:p w14:paraId="31301216"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w:t>
            </w:r>
          </w:p>
        </w:tc>
        <w:tc>
          <w:tcPr>
            <w:tcW w:w="1275" w:type="dxa"/>
          </w:tcPr>
          <w:p w14:paraId="1C329AA1"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&lt;40</w:t>
            </w:r>
          </w:p>
        </w:tc>
      </w:tr>
      <w:tr w:rsidR="00EA051D" w:rsidRPr="00FD6FD8" w14:paraId="402332AC" w14:textId="77777777" w:rsidTr="008E6BAE">
        <w:trPr>
          <w:jc w:val="center"/>
        </w:trPr>
        <w:tc>
          <w:tcPr>
            <w:tcW w:w="3116" w:type="dxa"/>
          </w:tcPr>
          <w:p w14:paraId="5684CD0E" w14:textId="77777777" w:rsidR="00EA051D" w:rsidRPr="00FD6FD8" w:rsidRDefault="00EA051D" w:rsidP="000C73AC">
            <w:pPr>
              <w:spacing w:after="60"/>
              <w:rPr>
                <w:rFonts w:ascii="Times New Roman" w:hAnsi="Times New Roman" w:cs="Times New Roman"/>
                <w:szCs w:val="24"/>
              </w:rPr>
            </w:pPr>
            <w:r w:rsidRPr="00FD6FD8">
              <w:rPr>
                <w:rFonts w:ascii="Times New Roman" w:hAnsi="Times New Roman" w:cs="Times New Roman"/>
                <w:szCs w:val="24"/>
              </w:rPr>
              <w:t>Sērs</w:t>
            </w:r>
          </w:p>
        </w:tc>
        <w:tc>
          <w:tcPr>
            <w:tcW w:w="1274" w:type="dxa"/>
          </w:tcPr>
          <w:p w14:paraId="3FBB6961"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w:t>
            </w:r>
          </w:p>
        </w:tc>
        <w:tc>
          <w:tcPr>
            <w:tcW w:w="1275" w:type="dxa"/>
          </w:tcPr>
          <w:p w14:paraId="13C6792B"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&lt;2</w:t>
            </w:r>
          </w:p>
        </w:tc>
      </w:tr>
      <w:tr w:rsidR="00EA051D" w:rsidRPr="00FD6FD8" w14:paraId="42309D24" w14:textId="77777777" w:rsidTr="008E6BAE">
        <w:trPr>
          <w:jc w:val="center"/>
        </w:trPr>
        <w:tc>
          <w:tcPr>
            <w:tcW w:w="3116" w:type="dxa"/>
          </w:tcPr>
          <w:p w14:paraId="215BD856" w14:textId="77777777" w:rsidR="00EA051D" w:rsidRPr="00FD6FD8" w:rsidRDefault="00EA051D" w:rsidP="000C73AC">
            <w:pPr>
              <w:spacing w:after="60"/>
              <w:rPr>
                <w:rFonts w:ascii="Times New Roman" w:hAnsi="Times New Roman" w:cs="Times New Roman"/>
                <w:szCs w:val="24"/>
              </w:rPr>
            </w:pPr>
            <w:r w:rsidRPr="00FD6FD8">
              <w:rPr>
                <w:rFonts w:ascii="Times New Roman" w:hAnsi="Times New Roman" w:cs="Times New Roman"/>
                <w:szCs w:val="24"/>
              </w:rPr>
              <w:t>Hlors</w:t>
            </w:r>
          </w:p>
        </w:tc>
        <w:tc>
          <w:tcPr>
            <w:tcW w:w="1274" w:type="dxa"/>
          </w:tcPr>
          <w:p w14:paraId="5B872BA4"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w:t>
            </w:r>
          </w:p>
        </w:tc>
        <w:tc>
          <w:tcPr>
            <w:tcW w:w="1275" w:type="dxa"/>
          </w:tcPr>
          <w:p w14:paraId="6BA20898" w14:textId="77777777" w:rsidR="00EA051D" w:rsidRPr="00FD6FD8" w:rsidRDefault="00EA051D" w:rsidP="000C73AC">
            <w:pPr>
              <w:spacing w:after="60"/>
              <w:jc w:val="center"/>
              <w:rPr>
                <w:rFonts w:ascii="Times New Roman" w:hAnsi="Times New Roman" w:cs="Times New Roman"/>
                <w:szCs w:val="24"/>
              </w:rPr>
            </w:pPr>
            <w:r w:rsidRPr="00FD6FD8">
              <w:rPr>
                <w:rFonts w:ascii="Times New Roman" w:hAnsi="Times New Roman" w:cs="Times New Roman"/>
                <w:szCs w:val="24"/>
              </w:rPr>
              <w:t>&lt;1</w:t>
            </w:r>
          </w:p>
        </w:tc>
      </w:tr>
    </w:tbl>
    <w:p w14:paraId="5E093389" w14:textId="77777777" w:rsidR="00EA051D" w:rsidRPr="00175DD0" w:rsidRDefault="00EA051D" w:rsidP="00EA051D">
      <w:pPr>
        <w:rPr>
          <w:rFonts w:cstheme="minorHAnsi"/>
        </w:rPr>
      </w:pPr>
    </w:p>
    <w:p w14:paraId="220AF739" w14:textId="3CA559BB" w:rsidR="00EA051D" w:rsidRDefault="00EA051D" w:rsidP="00244E68">
      <w:pPr>
        <w:spacing w:after="0"/>
        <w:ind w:firstLine="720"/>
        <w:rPr>
          <w:rFonts w:ascii="Times New Roman" w:hAnsi="Times New Roman" w:cs="Times New Roman"/>
        </w:rPr>
      </w:pPr>
      <w:r w:rsidRPr="00FD6FD8">
        <w:rPr>
          <w:rFonts w:ascii="Times New Roman" w:hAnsi="Times New Roman" w:cs="Times New Roman"/>
        </w:rPr>
        <w:t xml:space="preserve">Lai nodrošinātu atbilstoši pārstrādātu </w:t>
      </w:r>
      <w:r w:rsidR="002B18A2" w:rsidRPr="00FD6FD8">
        <w:rPr>
          <w:rFonts w:ascii="Times New Roman" w:hAnsi="Times New Roman" w:cs="Times New Roman"/>
          <w:color w:val="000000"/>
        </w:rPr>
        <w:t xml:space="preserve">notekūdeņu </w:t>
      </w:r>
      <w:r w:rsidRPr="00FD6FD8">
        <w:rPr>
          <w:rFonts w:ascii="Times New Roman" w:hAnsi="Times New Roman" w:cs="Times New Roman"/>
        </w:rPr>
        <w:t xml:space="preserve">dūņu padošanu uz cementa rūpnīcas dedzināšanas krāsnīm, ir nepieciešamas izmaiņas rūpnīcas darbībā, kas prasa papildu investīcijas. Tāpat nepieciešams risināt jautājumus par smaku novēršanu, ar ko saskartos rūpnīcas, kad tiktu nodrošināta visu Latvijas notekūdeņu dūņu dedzināšana. Tās būtu papildus izmaksas, kas pilnā apmērā būtu </w:t>
      </w:r>
      <w:r w:rsidR="00727281" w:rsidRPr="00FD6FD8">
        <w:rPr>
          <w:rFonts w:ascii="Times New Roman" w:hAnsi="Times New Roman" w:cs="Times New Roman"/>
        </w:rPr>
        <w:t>jāsedz</w:t>
      </w:r>
      <w:r w:rsidRPr="00FD6FD8">
        <w:rPr>
          <w:rFonts w:ascii="Times New Roman" w:hAnsi="Times New Roman" w:cs="Times New Roman"/>
        </w:rPr>
        <w:t xml:space="preserve"> SPS nododot notekūdeņu dūņas sadedzināšanai. Papildus būtu jāsedz arī dabas resursa nodokļa maksājumi un citi cementa rūpnīcas saistītie izdevumi, kas rastos dēļ </w:t>
      </w:r>
      <w:r w:rsidR="002B18A2" w:rsidRPr="00FD6FD8">
        <w:rPr>
          <w:rFonts w:ascii="Times New Roman" w:hAnsi="Times New Roman" w:cs="Times New Roman"/>
          <w:color w:val="000000"/>
        </w:rPr>
        <w:t xml:space="preserve">notekūdeņu </w:t>
      </w:r>
      <w:r w:rsidRPr="00FD6FD8">
        <w:rPr>
          <w:rFonts w:ascii="Times New Roman" w:hAnsi="Times New Roman" w:cs="Times New Roman"/>
        </w:rPr>
        <w:t>dūņu dedzināšanas. Līdz ar to aprēķināt maksu par pārstrādātu notekūdeņu dūņu dedzināšanu cementa rūpnīcā šajā brīdī nav iespējams un to nevarēja nosaukt arī rūpnīcas pārstāvji, norādot, ka, lai šādu maksu aprēķinātu, sākotnēji ir jāgarantē noteikts pārstrādājamo notekūdeņu dūņu daudzums, attiecīgi kuram tiktu aprēķināta maksa, kā arī būtu jāslēdz ilgtermiņa sadarbības līgums par dūņu nodošanu. Papildus risku rada situācija, ka cementa rūpnīcas ir neatkarīga juridiska persona un tā var pieņemt pastāvīgus lēmumus arī par sadarbības izbeigšanu vai līguma grozīšanu, kas mainītu pārstrādātu notekūdeņu dūņu nodošanas iespējas. Turklāt visu notekūdeņu dūņu nodošana pārstrādei viena vai divu komersanta rokās, rada jau iepriekš apskatītos riskus par neierobežotu peļņas daļas pieaugumu pakalpojuma maksā.</w:t>
      </w:r>
    </w:p>
    <w:p w14:paraId="3327AD62" w14:textId="77777777" w:rsidR="00244E68" w:rsidRPr="00FD6FD8" w:rsidRDefault="00244E68" w:rsidP="001D1AC9">
      <w:pPr>
        <w:spacing w:after="0"/>
        <w:ind w:firstLine="720"/>
        <w:jc w:val="center"/>
        <w:rPr>
          <w:rFonts w:ascii="Times New Roman" w:hAnsi="Times New Roman" w:cs="Times New Roman"/>
        </w:rPr>
      </w:pPr>
    </w:p>
    <w:p w14:paraId="19BB0121" w14:textId="143365F7" w:rsidR="00EA051D" w:rsidRPr="00FD2C81" w:rsidRDefault="00EA051D" w:rsidP="00FD2C81">
      <w:pPr>
        <w:jc w:val="center"/>
        <w:rPr>
          <w:rFonts w:ascii="Times New Roman" w:hAnsi="Times New Roman" w:cs="Times New Roman"/>
          <w:b/>
          <w:bCs/>
          <w:color w:val="5B9BD5" w:themeColor="accent1"/>
        </w:rPr>
      </w:pPr>
      <w:bookmarkStart w:id="92" w:name="_Toc82277630"/>
      <w:r w:rsidRPr="00FD2C81">
        <w:rPr>
          <w:rFonts w:ascii="Times New Roman" w:hAnsi="Times New Roman" w:cs="Times New Roman"/>
          <w:b/>
          <w:bCs/>
          <w:color w:val="5B9BD5" w:themeColor="accent1"/>
        </w:rPr>
        <w:t>B2.3. Alternatīva: Pārstrādātu notekūdeņu dūņu līdzsadedzināšana siltuma ražošanai</w:t>
      </w:r>
      <w:bookmarkEnd w:id="92"/>
    </w:p>
    <w:p w14:paraId="31CD5C39" w14:textId="77777777" w:rsidR="00244E68" w:rsidRDefault="00244E68" w:rsidP="00244E68">
      <w:pPr>
        <w:spacing w:after="0"/>
        <w:ind w:firstLine="720"/>
        <w:rPr>
          <w:rFonts w:cstheme="minorHAnsi"/>
        </w:rPr>
      </w:pPr>
    </w:p>
    <w:p w14:paraId="3627040A" w14:textId="210AAE4C" w:rsidR="00EA051D" w:rsidRPr="00244E68" w:rsidRDefault="00EA051D" w:rsidP="00244E68">
      <w:pPr>
        <w:spacing w:after="0"/>
        <w:ind w:firstLine="720"/>
        <w:rPr>
          <w:rFonts w:ascii="Times New Roman" w:hAnsi="Times New Roman" w:cs="Times New Roman"/>
        </w:rPr>
      </w:pPr>
      <w:r w:rsidRPr="00244E68">
        <w:rPr>
          <w:rFonts w:ascii="Times New Roman" w:hAnsi="Times New Roman" w:cs="Times New Roman"/>
        </w:rPr>
        <w:t xml:space="preserve">Šīs alternatīvas ietvaros tiek apskatīta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 xml:space="preserve">dūņu dedzināšana lielos apjomos, negranulētā veidā esošās vai jaunās apkures iekārtās, kopā ar citiem kurināmā veidiem, iegūstot siltumenerģiju. Izvērtējot Lietuvas pieredzi, kur Viļņā ir izveidota dūņu žāvēšanas </w:t>
      </w:r>
      <w:r w:rsidRPr="00244E68">
        <w:rPr>
          <w:rFonts w:ascii="Times New Roman" w:hAnsi="Times New Roman" w:cs="Times New Roman"/>
        </w:rPr>
        <w:lastRenderedPageBreak/>
        <w:t xml:space="preserve">un granulēšanas iekārta (skat. nodaļu “ES valstu pieredze notekūdeņu dūņu apsaimniekošanā un utilizācijā”) , tad šādu </w:t>
      </w:r>
      <w:sdt>
        <w:sdtPr>
          <w:rPr>
            <w:rFonts w:ascii="Times New Roman" w:hAnsi="Times New Roman" w:cs="Times New Roman"/>
          </w:rPr>
          <w:tag w:val="goog_rdk_43"/>
          <w:id w:val="829106337"/>
        </w:sdtPr>
        <w:sdtContent/>
      </w:sdt>
      <w:r w:rsidRPr="00244E68">
        <w:rPr>
          <w:rFonts w:ascii="Times New Roman" w:hAnsi="Times New Roman" w:cs="Times New Roman"/>
        </w:rPr>
        <w:t xml:space="preserve">granulu ražošanas ir papildus būtiskas izmaksas, kas nesniedz nozīmīgus ieguvumus. Ņemot vērā minēto, vienkāršāks un izmaksu ziņā mazāk ietilpīgs risinājums ir žāvētu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 xml:space="preserve">dūņu (skat. alternatīvu D4.2.) dedzināšana negranulētā veidā dažādas jaudas katlu mājās kopā ar šķeldu. Veicot papildus ieguldījumus šādās katlu mājās, būtu iespējams nodrošināt notekūdeņu dūņu pieņemšanu sadedzināšanai un dūmgāzu kontrolei. Šāda alternatīva samazinātu žāvētu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dūņu transportēšanas izmaksas uz vienu dedzināšanas punktu Latvijā (B2.1. alternatīva), bet paaugstinātu investīciju izmaksas, kas ir ieguldāmas vairākās katlu mājās visā Latvijā. Papildus, jāņem vērā, ka katlu mājām, kurās izmantotu notekūdeņu dūņas, pieaugtu uzraudzības un kontroles prasības, lai sekotu līdz dūmgāzu un pelnu kvalitātei. Pievestās</w:t>
      </w:r>
      <w:r w:rsidR="002B18A2" w:rsidRPr="00244E68">
        <w:rPr>
          <w:rFonts w:ascii="Times New Roman" w:hAnsi="Times New Roman" w:cs="Times New Roman"/>
        </w:rPr>
        <w:t xml:space="preserve"> </w:t>
      </w:r>
      <w:r w:rsidR="002B18A2" w:rsidRPr="00244E68">
        <w:rPr>
          <w:rFonts w:ascii="Times New Roman" w:hAnsi="Times New Roman" w:cs="Times New Roman"/>
          <w:color w:val="000000"/>
        </w:rPr>
        <w:t>notekūdeņu</w:t>
      </w:r>
      <w:r w:rsidRPr="00244E68">
        <w:rPr>
          <w:rFonts w:ascii="Times New Roman" w:hAnsi="Times New Roman" w:cs="Times New Roman"/>
        </w:rPr>
        <w:t xml:space="preserve"> dūņas katlu mājās radītu smakas un būtu nepieciešams veikt ieguldījumus smaku mazināšanai un pilnveidot risinājumus </w:t>
      </w:r>
      <w:r w:rsidR="002B18A2" w:rsidRPr="00244E68">
        <w:rPr>
          <w:rFonts w:ascii="Times New Roman" w:hAnsi="Times New Roman" w:cs="Times New Roman"/>
        </w:rPr>
        <w:t>to</w:t>
      </w:r>
      <w:r w:rsidRPr="00244E68">
        <w:rPr>
          <w:rFonts w:ascii="Times New Roman" w:hAnsi="Times New Roman" w:cs="Times New Roman"/>
        </w:rPr>
        <w:t xml:space="preserve"> uzglabāšanai, lai nodrošinātu to aizsardzību pret nokrišņiem un dažādu vielu emisiju. Esošo katlu māju īpašnieki un apsaimniekotāji neuzskata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 xml:space="preserve">dūņu dedzināšanu par iespējamu un piemērotu alternatīvu, turklāt kopējais enerģijas ieguldījums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 xml:space="preserve">dūņu apstrādei, žāvēšanai un nogādāšanai uz sadedzināšanas iekārtām pārsniegtu siltumenerģijas apjomu, ko no tām var iegūt. Turklāt veicot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dūņu dedzināšanu, apkures iekārtu operatoriem jārēķinās ar būtiskām administratīvām prasības, darba organizācijas un kontroles nosacījumu izmaiņām, ko, ņemot vērā, ka esošās šķeldas dedzināšanas katlu mājas vairumā gadījumu apsaimnieko nelieli uzņēmumi ar nepietiekošu profesionālo un pieredzes kapacitāti notekūdeņu dūņām līdzvērtīgu materiālu dedzināšanā, varētu būt grūti ievērot. Uzņēmumiem arī nepastāv motivācija vai interese uzņemties šāda veida papildus saistības, jo tās nav saistītas ar kādiem ekonomiskiem vai cita rakstura ieguvumiem.</w:t>
      </w:r>
    </w:p>
    <w:p w14:paraId="11D2BE31" w14:textId="6C8503DD" w:rsidR="00EA051D" w:rsidRPr="00244E68" w:rsidRDefault="00EA051D" w:rsidP="00582F75">
      <w:pPr>
        <w:ind w:firstLine="720"/>
        <w:rPr>
          <w:rFonts w:ascii="Times New Roman" w:hAnsi="Times New Roman" w:cs="Times New Roman"/>
        </w:rPr>
      </w:pPr>
      <w:r w:rsidRPr="00244E68">
        <w:rPr>
          <w:rFonts w:ascii="Times New Roman" w:hAnsi="Times New Roman" w:cs="Times New Roman"/>
        </w:rPr>
        <w:t xml:space="preserve">Papildus Latvijas atkritumu apsaimniekošanas valsts plānā 2021. - 2028. gads ir noteikts, ka šobrīd ieviešanas stadijā ir no atkritumiem iegūta kurināmā reģenerācijas iekārtu izbūve Ventspilī (plānotā jauda 15,5 tūkst.t./gadā) un Jelgavā (plānotā jauda 20-30 tūkst.t./gadā). Papildus plānā ir ieteikts līdz 2035.gadam izbūvēt vēl </w:t>
      </w:r>
      <w:sdt>
        <w:sdtPr>
          <w:rPr>
            <w:rFonts w:ascii="Times New Roman" w:hAnsi="Times New Roman" w:cs="Times New Roman"/>
          </w:rPr>
          <w:tag w:val="goog_rdk_44"/>
          <w:id w:val="58366907"/>
        </w:sdtPr>
        <w:sdtContent/>
      </w:sdt>
      <w:r w:rsidRPr="00244E68">
        <w:rPr>
          <w:rFonts w:ascii="Times New Roman" w:hAnsi="Times New Roman" w:cs="Times New Roman"/>
        </w:rPr>
        <w:t xml:space="preserve">trīs jauna reģenerācijas iekārtas Rīgā, Vidzemē un Latgalē. Tas nozīmē, ka pēc 2035.gada teorētiski parādīsies iespēja notekūdeņu dūņas dedzināt arī kopā ar citiem atkritumiem lielākās apkures iekārtās, kas varētu būt piemērotas arī notekūdeņu dūņu dedzināšanai un kurās uzstādītā un izmantotā uzraudzības un kontroles sistēma būtu atbilstoša arī dūņu dedzināšanai. Ja šāda infrastruktūra ap 2035.gadu valstī ir izbūvēta un kāda no jaunajām rūpnīcām piedāvā konkurētspējīgu dūņu utilizācijas pakalpojumu, tad tuvākie un lielākie SPS var izvēlēties šādu alternatīvu, izbūvējot infrastruktūru dūņu žāvēšanai. Tomēr šobrīd šī alternatīva nav piemērota un izmantojama visu Latvijas notekūdeņu dūņu utilizācijas plānošanai, jo plānojot šādu iekārtu jaudas atkritumu apsaimniekošanas valsts plānā, notekūdeņu dūņu daudzums netika ņemts vērā un nav paredzams, ka uzstādītās jaudas rezerves būs pietiekamas </w:t>
      </w:r>
      <w:r w:rsidR="002B18A2" w:rsidRPr="00244E68">
        <w:rPr>
          <w:rFonts w:ascii="Times New Roman" w:hAnsi="Times New Roman" w:cs="Times New Roman"/>
          <w:color w:val="000000"/>
        </w:rPr>
        <w:t xml:space="preserve">notekūdeņu </w:t>
      </w:r>
      <w:r w:rsidRPr="00244E68">
        <w:rPr>
          <w:rFonts w:ascii="Times New Roman" w:hAnsi="Times New Roman" w:cs="Times New Roman"/>
        </w:rPr>
        <w:t>dūņu sadedzināšanai.</w:t>
      </w:r>
    </w:p>
    <w:p w14:paraId="5CD70703" w14:textId="77777777" w:rsidR="00EA051D" w:rsidRPr="00244E68" w:rsidRDefault="00EA051D" w:rsidP="001D1AC9">
      <w:pPr>
        <w:ind w:firstLine="720"/>
        <w:rPr>
          <w:rFonts w:ascii="Times New Roman" w:hAnsi="Times New Roman" w:cs="Times New Roman"/>
          <w:b/>
        </w:rPr>
      </w:pPr>
      <w:r w:rsidRPr="00244E68">
        <w:rPr>
          <w:rFonts w:ascii="Times New Roman" w:hAnsi="Times New Roman" w:cs="Times New Roman"/>
          <w:b/>
        </w:rPr>
        <w:t xml:space="preserve">Izvērtējot vairākas notekūdeņu dūņu dedzināšanas iespējas, kā labākais šī brīža risinājums ir uzskatāms risinājums par visu Latvijas notekūdeņu dūņu dedzināšanu cementa rūpnīcā, sadedzināšanas pelnus iekļaujot cementa sastāvā. </w:t>
      </w:r>
    </w:p>
    <w:p w14:paraId="4034D42F" w14:textId="2F3C1CCD" w:rsidR="00EA051D" w:rsidRDefault="00EA051D" w:rsidP="00EA051D">
      <w:pPr>
        <w:spacing w:after="0"/>
        <w:ind w:left="993"/>
        <w:rPr>
          <w:rFonts w:cstheme="minorHAnsi"/>
        </w:rPr>
      </w:pPr>
    </w:p>
    <w:p w14:paraId="30299EC5" w14:textId="77777777" w:rsidR="00FD2C81" w:rsidRPr="00175DD0" w:rsidRDefault="00FD2C81" w:rsidP="00EA051D">
      <w:pPr>
        <w:spacing w:after="0"/>
        <w:ind w:left="993"/>
        <w:rPr>
          <w:rFonts w:cstheme="minorHAnsi"/>
        </w:rPr>
      </w:pPr>
    </w:p>
    <w:p w14:paraId="45BCDD99" w14:textId="77777777" w:rsidR="00EA051D" w:rsidRPr="00FD2C81" w:rsidRDefault="00EA051D" w:rsidP="00FD2C81">
      <w:pPr>
        <w:jc w:val="center"/>
        <w:rPr>
          <w:rFonts w:ascii="Times New Roman" w:hAnsi="Times New Roman" w:cs="Times New Roman"/>
          <w:b/>
          <w:bCs/>
          <w:color w:val="5B9BD5" w:themeColor="accent1"/>
        </w:rPr>
      </w:pPr>
      <w:bookmarkStart w:id="93" w:name="_Toc82277631"/>
      <w:r w:rsidRPr="00FD2C81">
        <w:rPr>
          <w:rFonts w:ascii="Times New Roman" w:hAnsi="Times New Roman" w:cs="Times New Roman"/>
          <w:b/>
          <w:bCs/>
          <w:color w:val="5B9BD5" w:themeColor="accent1"/>
        </w:rPr>
        <w:t>B3. Alternatīva: Notekūdeņu dūņu pārstrāde un gala izmantošana ar dažādām inovatīvām metodēm</w:t>
      </w:r>
      <w:bookmarkEnd w:id="93"/>
    </w:p>
    <w:p w14:paraId="798E1E34" w14:textId="3AE2C593" w:rsidR="00EA051D" w:rsidRPr="00B72FB0" w:rsidRDefault="00EA051D" w:rsidP="001D1AC9">
      <w:pPr>
        <w:ind w:firstLine="720"/>
        <w:rPr>
          <w:rFonts w:ascii="Times New Roman" w:hAnsi="Times New Roman" w:cs="Times New Roman"/>
        </w:rPr>
      </w:pPr>
      <w:r w:rsidRPr="00B72FB0">
        <w:rPr>
          <w:rFonts w:ascii="Times New Roman" w:hAnsi="Times New Roman" w:cs="Times New Roman"/>
        </w:rPr>
        <w:t xml:space="preserve">Pastāv dažādi, tai skaitā inovatīvi risinājumi, kuru ietvaros notekūdeņu dūņas ir ātrāk pārstrādājamas vai tās ir izmantojamas kā izejvielas dažādu jaunu produktu (materiālu) ražošanā, vai ir iespējama tajās esošo </w:t>
      </w:r>
      <w:r w:rsidR="004C30E2" w:rsidRPr="00B72FB0">
        <w:rPr>
          <w:rFonts w:ascii="Times New Roman" w:hAnsi="Times New Roman" w:cs="Times New Roman"/>
        </w:rPr>
        <w:t xml:space="preserve">augu barošanās elementu </w:t>
      </w:r>
      <w:r w:rsidRPr="00B72FB0">
        <w:rPr>
          <w:rFonts w:ascii="Times New Roman" w:hAnsi="Times New Roman" w:cs="Times New Roman"/>
        </w:rPr>
        <w:t xml:space="preserve">atgūšana. </w:t>
      </w:r>
    </w:p>
    <w:p w14:paraId="5C29B91C" w14:textId="267F9379" w:rsidR="00EA051D" w:rsidRPr="00B72FB0" w:rsidRDefault="00EA051D" w:rsidP="001D1AC9">
      <w:pPr>
        <w:ind w:firstLine="720"/>
        <w:rPr>
          <w:rFonts w:ascii="Times New Roman" w:hAnsi="Times New Roman" w:cs="Times New Roman"/>
        </w:rPr>
      </w:pPr>
      <w:r w:rsidRPr="00B72FB0">
        <w:rPr>
          <w:rFonts w:ascii="Times New Roman" w:hAnsi="Times New Roman" w:cs="Times New Roman"/>
        </w:rPr>
        <w:t>Notekūdeņu dūņu apstrādes procesu ir iespējams papildināt ar dūņu apstrādes KFO tehnoloģijām (dūņu kavitācija un fermentācija). Tehnoloģiju izplatītāji apliecina, ka šī tehnoloģija nodrošina lētāku un vienkāršāku</w:t>
      </w:r>
      <w:r w:rsidR="003814C1" w:rsidRPr="00B72FB0">
        <w:rPr>
          <w:rFonts w:ascii="Times New Roman" w:hAnsi="Times New Roman" w:cs="Times New Roman"/>
        </w:rPr>
        <w:t xml:space="preserve"> </w:t>
      </w:r>
      <w:r w:rsidR="003814C1" w:rsidRPr="00B72FB0">
        <w:rPr>
          <w:rFonts w:ascii="Times New Roman" w:hAnsi="Times New Roman" w:cs="Times New Roman"/>
          <w:color w:val="000000"/>
        </w:rPr>
        <w:t>notekūdeņu</w:t>
      </w:r>
      <w:r w:rsidRPr="00B72FB0">
        <w:rPr>
          <w:rFonts w:ascii="Times New Roman" w:hAnsi="Times New Roman" w:cs="Times New Roman"/>
        </w:rPr>
        <w:t xml:space="preserve"> dūņu pēcapstrādi</w:t>
      </w:r>
      <w:r w:rsidR="003814C1" w:rsidRPr="00B72FB0">
        <w:rPr>
          <w:rFonts w:ascii="Times New Roman" w:hAnsi="Times New Roman" w:cs="Times New Roman"/>
        </w:rPr>
        <w:t>, k</w:t>
      </w:r>
      <w:r w:rsidRPr="00B72FB0">
        <w:rPr>
          <w:rFonts w:ascii="Times New Roman" w:hAnsi="Times New Roman" w:cs="Times New Roman"/>
        </w:rPr>
        <w:t>as nozīmē, ka šī tehnoloģija</w:t>
      </w:r>
      <w:r w:rsidR="003814C1" w:rsidRPr="00B72FB0">
        <w:rPr>
          <w:rFonts w:ascii="Times New Roman" w:hAnsi="Times New Roman" w:cs="Times New Roman"/>
        </w:rPr>
        <w:t xml:space="preserve"> </w:t>
      </w:r>
      <w:r w:rsidR="003814C1" w:rsidRPr="00B72FB0">
        <w:rPr>
          <w:rFonts w:ascii="Times New Roman" w:hAnsi="Times New Roman" w:cs="Times New Roman"/>
          <w:color w:val="000000"/>
        </w:rPr>
        <w:t>notekūdeņu</w:t>
      </w:r>
      <w:r w:rsidRPr="00B72FB0">
        <w:rPr>
          <w:rFonts w:ascii="Times New Roman" w:hAnsi="Times New Roman" w:cs="Times New Roman"/>
        </w:rPr>
        <w:t xml:space="preserve"> dūņas nepārveido, bet maina tradicionālo to apstrādes procesu. </w:t>
      </w:r>
      <w:r w:rsidR="003814C1" w:rsidRPr="00B72FB0">
        <w:rPr>
          <w:rFonts w:ascii="Times New Roman" w:hAnsi="Times New Roman" w:cs="Times New Roman"/>
        </w:rPr>
        <w:t>Notekūdeņu d</w:t>
      </w:r>
      <w:r w:rsidRPr="00B72FB0">
        <w:rPr>
          <w:rFonts w:ascii="Times New Roman" w:hAnsi="Times New Roman" w:cs="Times New Roman"/>
        </w:rPr>
        <w:t xml:space="preserve">ūņu gala pārstrādes risinājumi (skat. alternatīvas C1., C2. un C3) jo projām ir nepieciešami, kā arī ir jālemj par labāko notekūdeņu dūņu utilizācijas alternatīvu. Šādas </w:t>
      </w:r>
      <w:r w:rsidR="003814C1" w:rsidRPr="00B72FB0">
        <w:rPr>
          <w:rFonts w:ascii="Times New Roman" w:hAnsi="Times New Roman" w:cs="Times New Roman"/>
          <w:color w:val="000000"/>
        </w:rPr>
        <w:t xml:space="preserve">notekūdeņu </w:t>
      </w:r>
      <w:r w:rsidRPr="00B72FB0">
        <w:rPr>
          <w:rFonts w:ascii="Times New Roman" w:hAnsi="Times New Roman" w:cs="Times New Roman"/>
        </w:rPr>
        <w:t xml:space="preserve">dūņu apstrādes tehnoloģijas tiek attīstītas jau kopš pagājušā gadsimta beigām, bet plaša tās pielietošana tā arī nav ieviesta. </w:t>
      </w:r>
      <w:r w:rsidR="003814C1" w:rsidRPr="00B72FB0">
        <w:rPr>
          <w:rFonts w:ascii="Times New Roman" w:hAnsi="Times New Roman" w:cs="Times New Roman"/>
        </w:rPr>
        <w:t>T</w:t>
      </w:r>
      <w:r w:rsidRPr="00B72FB0">
        <w:rPr>
          <w:rFonts w:ascii="Times New Roman" w:hAnsi="Times New Roman" w:cs="Times New Roman"/>
        </w:rPr>
        <w:t>ehnoloģijas piedāvā vairākas kompānijas</w:t>
      </w:r>
      <w:r w:rsidRPr="00B72FB0">
        <w:rPr>
          <w:rStyle w:val="FootnoteReference"/>
          <w:rFonts w:ascii="Times New Roman" w:hAnsi="Times New Roman" w:cs="Times New Roman"/>
        </w:rPr>
        <w:footnoteReference w:id="28"/>
      </w:r>
      <w:r w:rsidRPr="00B72FB0">
        <w:rPr>
          <w:rFonts w:ascii="Times New Roman" w:hAnsi="Times New Roman" w:cs="Times New Roman"/>
        </w:rPr>
        <w:t>.</w:t>
      </w:r>
    </w:p>
    <w:p w14:paraId="47AF49B4" w14:textId="28C27DC8" w:rsidR="00EA051D" w:rsidRPr="00B72FB0" w:rsidRDefault="00EA051D" w:rsidP="001D1AC9">
      <w:pPr>
        <w:ind w:firstLine="720"/>
        <w:rPr>
          <w:rFonts w:ascii="Times New Roman" w:hAnsi="Times New Roman" w:cs="Times New Roman"/>
        </w:rPr>
      </w:pPr>
      <w:r w:rsidRPr="00B72FB0">
        <w:rPr>
          <w:rFonts w:ascii="Times New Roman" w:hAnsi="Times New Roman" w:cs="Times New Roman"/>
        </w:rPr>
        <w:t>Latvijā ir pieejamas arī vairākas</w:t>
      </w:r>
      <w:r w:rsidR="003814C1" w:rsidRPr="00B72FB0">
        <w:rPr>
          <w:rFonts w:ascii="Times New Roman" w:hAnsi="Times New Roman" w:cs="Times New Roman"/>
        </w:rPr>
        <w:t xml:space="preserve"> </w:t>
      </w:r>
      <w:r w:rsidR="003814C1" w:rsidRPr="00B72FB0">
        <w:rPr>
          <w:rFonts w:ascii="Times New Roman" w:hAnsi="Times New Roman" w:cs="Times New Roman"/>
          <w:color w:val="000000"/>
        </w:rPr>
        <w:t>notekūdeņu</w:t>
      </w:r>
      <w:r w:rsidRPr="00B72FB0">
        <w:rPr>
          <w:rFonts w:ascii="Times New Roman" w:hAnsi="Times New Roman" w:cs="Times New Roman"/>
        </w:rPr>
        <w:t xml:space="preserve"> dūņu pārstrādes tehnoloģijas, kur tiek izveidots jauns gala produkts, piemēram, būvmateriāli, iepakojums, mēslojums vai cits materiāls un tādas tehnoloģijas piedāvā vairākas kompānijas</w:t>
      </w:r>
      <w:r w:rsidRPr="00B72FB0">
        <w:rPr>
          <w:rStyle w:val="FootnoteReference"/>
          <w:rFonts w:ascii="Times New Roman" w:hAnsi="Times New Roman" w:cs="Times New Roman"/>
        </w:rPr>
        <w:footnoteReference w:id="29"/>
      </w:r>
      <w:r w:rsidRPr="00B72FB0">
        <w:rPr>
          <w:rFonts w:ascii="Times New Roman" w:hAnsi="Times New Roman" w:cs="Times New Roman"/>
        </w:rPr>
        <w:t xml:space="preserve">. Notekūdeņu dūņu stratēģijas izstrādes laikā ir vērtēti vairāki šādi alternatīvi piedāvājumi – būvmateriālu ražošana no notekūdeņu dūņām un pelniem, apkurē izmantojamu </w:t>
      </w:r>
      <w:r w:rsidR="003814C1" w:rsidRPr="00B72FB0">
        <w:rPr>
          <w:rFonts w:ascii="Times New Roman" w:hAnsi="Times New Roman" w:cs="Times New Roman"/>
          <w:color w:val="000000"/>
        </w:rPr>
        <w:t xml:space="preserve">notekūdeņu </w:t>
      </w:r>
      <w:r w:rsidRPr="00B72FB0">
        <w:rPr>
          <w:rFonts w:ascii="Times New Roman" w:hAnsi="Times New Roman" w:cs="Times New Roman"/>
        </w:rPr>
        <w:t xml:space="preserve">dūņu granulu ražošana, notekūdeņu dūņu hidrotermālā karbonizācija ar vai bez iespējām atgūt </w:t>
      </w:r>
      <w:r w:rsidR="004C30E2" w:rsidRPr="00B72FB0">
        <w:rPr>
          <w:rFonts w:ascii="Times New Roman" w:hAnsi="Times New Roman" w:cs="Times New Roman"/>
        </w:rPr>
        <w:t xml:space="preserve">augu barošanās elementus </w:t>
      </w:r>
      <w:r w:rsidRPr="00B72FB0">
        <w:rPr>
          <w:rFonts w:ascii="Times New Roman" w:hAnsi="Times New Roman" w:cs="Times New Roman"/>
        </w:rPr>
        <w:t>u.c. pārstrādes tehnoloģija</w:t>
      </w:r>
      <w:r w:rsidR="003814C1" w:rsidRPr="00B72FB0">
        <w:rPr>
          <w:rFonts w:ascii="Times New Roman" w:hAnsi="Times New Roman" w:cs="Times New Roman"/>
        </w:rPr>
        <w:t>s</w:t>
      </w:r>
      <w:r w:rsidRPr="00B72FB0">
        <w:rPr>
          <w:rFonts w:ascii="Times New Roman" w:hAnsi="Times New Roman" w:cs="Times New Roman"/>
        </w:rPr>
        <w:t>.</w:t>
      </w:r>
    </w:p>
    <w:p w14:paraId="2AAB52C3" w14:textId="3BF4C29B" w:rsidR="00EA051D" w:rsidRPr="00B72FB0" w:rsidRDefault="00EA051D" w:rsidP="001D1AC9">
      <w:pPr>
        <w:ind w:firstLine="720"/>
        <w:rPr>
          <w:rFonts w:ascii="Times New Roman" w:hAnsi="Times New Roman" w:cs="Times New Roman"/>
        </w:rPr>
      </w:pPr>
      <w:r w:rsidRPr="00B72FB0">
        <w:rPr>
          <w:rFonts w:ascii="Times New Roman" w:hAnsi="Times New Roman" w:cs="Times New Roman"/>
        </w:rPr>
        <w:t>Visas inovatīvās</w:t>
      </w:r>
      <w:r w:rsidR="003814C1" w:rsidRPr="00B72FB0">
        <w:rPr>
          <w:rFonts w:ascii="Times New Roman" w:hAnsi="Times New Roman" w:cs="Times New Roman"/>
        </w:rPr>
        <w:t xml:space="preserve"> </w:t>
      </w:r>
      <w:r w:rsidR="003814C1" w:rsidRPr="00B72FB0">
        <w:rPr>
          <w:rFonts w:ascii="Times New Roman" w:hAnsi="Times New Roman" w:cs="Times New Roman"/>
          <w:color w:val="000000"/>
        </w:rPr>
        <w:t>notekūdeņu</w:t>
      </w:r>
      <w:r w:rsidRPr="00B72FB0">
        <w:rPr>
          <w:rFonts w:ascii="Times New Roman" w:hAnsi="Times New Roman" w:cs="Times New Roman"/>
        </w:rPr>
        <w:t xml:space="preserve"> dūņu utilizācijas metodes paredz ļoti lielu (vērtējot pret vienkāršākām dūņu pārstrādes metodēm – alternatīvas C1. un C2.) energoresursu patēriņu. Piemēram, kurināmā granulu ražošanai ir nepieciešams pievadīt siltumu 100 grādu temp</w:t>
      </w:r>
      <w:r w:rsidR="00E90E71">
        <w:rPr>
          <w:rFonts w:ascii="Times New Roman" w:hAnsi="Times New Roman" w:cs="Times New Roman"/>
        </w:rPr>
        <w:t>e</w:t>
      </w:r>
      <w:r w:rsidRPr="00B72FB0">
        <w:rPr>
          <w:rFonts w:ascii="Times New Roman" w:hAnsi="Times New Roman" w:cs="Times New Roman"/>
        </w:rPr>
        <w:t xml:space="preserve">ratūrā, bet hidrotermālās karbonizācijas procesu nodrošināšanai līdz pat 300 grādu temperatūru pie 140 bāru spiediena. Šādu </w:t>
      </w:r>
      <w:r w:rsidR="003814C1" w:rsidRPr="00B72FB0">
        <w:rPr>
          <w:rFonts w:ascii="Times New Roman" w:hAnsi="Times New Roman" w:cs="Times New Roman"/>
          <w:color w:val="000000"/>
        </w:rPr>
        <w:t xml:space="preserve">notekūdeņu </w:t>
      </w:r>
      <w:r w:rsidRPr="00B72FB0">
        <w:rPr>
          <w:rFonts w:ascii="Times New Roman" w:hAnsi="Times New Roman" w:cs="Times New Roman"/>
        </w:rPr>
        <w:t xml:space="preserve">dūņu pārstrādes apstākļu nodrošināšanai ir nepieciešams liels enerģijas apjoms, kura izmaksas ir atkarīgas no pielietotā enerģijas avota un tā izmaksām reģionā. Arī piedāvātā </w:t>
      </w:r>
      <w:r w:rsidR="003814C1" w:rsidRPr="00B72FB0">
        <w:rPr>
          <w:rFonts w:ascii="Times New Roman" w:hAnsi="Times New Roman" w:cs="Times New Roman"/>
          <w:color w:val="000000"/>
        </w:rPr>
        <w:t xml:space="preserve">notekūdeņu </w:t>
      </w:r>
      <w:r w:rsidRPr="00B72FB0">
        <w:rPr>
          <w:rFonts w:ascii="Times New Roman" w:hAnsi="Times New Roman" w:cs="Times New Roman"/>
        </w:rPr>
        <w:t xml:space="preserve">dūņu pārstrāde būvmateriālos paredz būtisku pelnu masas pievienošanu un sajaukšanu kopā ar apstrādātām notekūdeņu dūņām. Tehnoloģiju izplatītājs paredz, ka arī pelni ir atkritums par kuru utilizāciju to īpašnieks ir gatavs piemaksāt, kā rezultātā rodas papildus ienākumi. Pārstrādes procesā rodas materiāls, kas ir līdzīgs betona šķembām un izmantojams dažādos pamatnes stiprināšanas darbos. </w:t>
      </w:r>
    </w:p>
    <w:p w14:paraId="0992CA8D" w14:textId="3EA5384D" w:rsidR="00EA051D" w:rsidRPr="00B72FB0" w:rsidRDefault="00EA051D" w:rsidP="001D1AC9">
      <w:pPr>
        <w:ind w:firstLine="720"/>
        <w:rPr>
          <w:rFonts w:ascii="Times New Roman" w:hAnsi="Times New Roman" w:cs="Times New Roman"/>
        </w:rPr>
      </w:pPr>
      <w:r w:rsidRPr="00B72FB0">
        <w:rPr>
          <w:rFonts w:ascii="Times New Roman" w:hAnsi="Times New Roman" w:cs="Times New Roman"/>
        </w:rPr>
        <w:t xml:space="preserve">Visos gadījumos alternatīvo risinājumu dzīvotspēja tiek balstīta uz pieņēmumu, ka notekūdeņu dūņu īpašnieks būs ieinteresēts maksāt salīdzinoši augstu maksu (vidējā maksa, </w:t>
      </w:r>
      <w:r w:rsidRPr="00B72FB0">
        <w:rPr>
          <w:rFonts w:ascii="Times New Roman" w:hAnsi="Times New Roman" w:cs="Times New Roman"/>
        </w:rPr>
        <w:lastRenderedPageBreak/>
        <w:t xml:space="preserve">kur to bija iespējams aprēķināt ir aptuveni 140 EUR/t par apstrādātu </w:t>
      </w:r>
      <w:r w:rsidR="003814C1" w:rsidRPr="00B72FB0">
        <w:rPr>
          <w:rFonts w:ascii="Times New Roman" w:hAnsi="Times New Roman" w:cs="Times New Roman"/>
          <w:color w:val="000000"/>
        </w:rPr>
        <w:t xml:space="preserve">notekūdeņu </w:t>
      </w:r>
      <w:r w:rsidRPr="00B72FB0">
        <w:rPr>
          <w:rFonts w:ascii="Times New Roman" w:hAnsi="Times New Roman" w:cs="Times New Roman"/>
        </w:rPr>
        <w:t xml:space="preserve">dūņu) par notekūdeņu dūņu utilizāciju. Visas piedāvātās tehnoloģijas ir inovatīvas, tās ir aizsargātas ar ražotāju patentiem un tiem ir iegūti dažādi ES kvalitātes apliecinoši sertifikāti, kā rezultātā ir prognozējamas augstas tehnoloģiju iegādes un uzturēšanas izmaksas. Tehnoloģiju izpētes gaitā ir ļoti grūti saņemt precīzu un detalizētu informāciju par piedāvātām tehnoloģijām un to īpašībām pirms nav parakstīti dažādi nodomu protokoli. </w:t>
      </w:r>
    </w:p>
    <w:p w14:paraId="14522DF4" w14:textId="5777CEDF" w:rsidR="00EA051D" w:rsidRDefault="00EA051D" w:rsidP="001D1AC9">
      <w:pPr>
        <w:spacing w:after="0"/>
        <w:ind w:firstLine="720"/>
        <w:rPr>
          <w:rFonts w:ascii="Times New Roman" w:hAnsi="Times New Roman" w:cs="Times New Roman"/>
        </w:rPr>
      </w:pPr>
      <w:r w:rsidRPr="00B72FB0">
        <w:rPr>
          <w:rFonts w:ascii="Times New Roman" w:hAnsi="Times New Roman" w:cs="Times New Roman"/>
        </w:rPr>
        <w:t xml:space="preserve">Vērtētajām inovatīvajām notekūdeņu dūņu utilizācijas metodēm iezīmējas arī kopēji trūkumi, kas ierobežo šādu tehnoloģiju izmantošanu - </w:t>
      </w:r>
      <w:r w:rsidR="003814C1" w:rsidRPr="00B72FB0">
        <w:rPr>
          <w:rFonts w:ascii="Times New Roman" w:hAnsi="Times New Roman" w:cs="Times New Roman"/>
          <w:color w:val="000000"/>
        </w:rPr>
        <w:t xml:space="preserve">notekūdeņu </w:t>
      </w:r>
      <w:r w:rsidRPr="00B72FB0">
        <w:rPr>
          <w:rFonts w:ascii="Times New Roman" w:hAnsi="Times New Roman" w:cs="Times New Roman"/>
        </w:rPr>
        <w:t xml:space="preserve">dūņu pārstrādes rezultātā papildus radītā produkta vērtība būtiski pārsniedz tirgū jau pieejamu, līdzīgu produktu vērtību. </w:t>
      </w:r>
      <w:r w:rsidR="003814C1" w:rsidRPr="00B72FB0">
        <w:rPr>
          <w:rFonts w:ascii="Times New Roman" w:hAnsi="Times New Roman" w:cs="Times New Roman"/>
        </w:rPr>
        <w:t>Notekūdeņu d</w:t>
      </w:r>
      <w:r w:rsidRPr="00B72FB0">
        <w:rPr>
          <w:rFonts w:ascii="Times New Roman" w:hAnsi="Times New Roman" w:cs="Times New Roman"/>
        </w:rPr>
        <w:t xml:space="preserve">ūņu pārstrādes rezultātā no jauna radītais produkts nav ar būtiski labākām īpašībām, salīdzinājumā ar tirgū jau esošiem, </w:t>
      </w:r>
      <w:r w:rsidR="00E90E71" w:rsidRPr="00B72FB0">
        <w:rPr>
          <w:rFonts w:ascii="Times New Roman" w:hAnsi="Times New Roman" w:cs="Times New Roman"/>
        </w:rPr>
        <w:t>komplementāriem</w:t>
      </w:r>
      <w:r w:rsidRPr="00B72FB0">
        <w:rPr>
          <w:rFonts w:ascii="Times New Roman" w:hAnsi="Times New Roman" w:cs="Times New Roman"/>
        </w:rPr>
        <w:t xml:space="preserve"> produktiem</w:t>
      </w:r>
      <w:r w:rsidR="003814C1" w:rsidRPr="00B72FB0">
        <w:rPr>
          <w:rFonts w:ascii="Times New Roman" w:hAnsi="Times New Roman" w:cs="Times New Roman"/>
        </w:rPr>
        <w:t xml:space="preserve"> un </w:t>
      </w:r>
      <w:r w:rsidRPr="00B72FB0">
        <w:rPr>
          <w:rFonts w:ascii="Times New Roman" w:hAnsi="Times New Roman" w:cs="Times New Roman"/>
        </w:rPr>
        <w:t>radītajam produktam ir jāveido jauns produkta noieta tirgus, kas ir papildus izmaksas un būtiski riski, ja šādu noieta tirgu neizdodas izveidot. Daļa piedāvāto tehnoloģisko risinājumu ir uzskatāmi arī par eksperimentāliem (pieejamas vien atsevišķas pilotiekārtas) un tehnoloģiski ļoti sarežģītiem (ņemot vērā citus</w:t>
      </w:r>
      <w:r w:rsidR="003814C1" w:rsidRPr="00B72FB0">
        <w:rPr>
          <w:rFonts w:ascii="Times New Roman" w:hAnsi="Times New Roman" w:cs="Times New Roman"/>
        </w:rPr>
        <w:t xml:space="preserve"> </w:t>
      </w:r>
      <w:r w:rsidR="003814C1" w:rsidRPr="00B72FB0">
        <w:rPr>
          <w:rFonts w:ascii="Times New Roman" w:hAnsi="Times New Roman" w:cs="Times New Roman"/>
          <w:color w:val="000000"/>
        </w:rPr>
        <w:t>notekūdeņu</w:t>
      </w:r>
      <w:r w:rsidRPr="00B72FB0">
        <w:rPr>
          <w:rFonts w:ascii="Times New Roman" w:hAnsi="Times New Roman" w:cs="Times New Roman"/>
        </w:rPr>
        <w:t xml:space="preserve"> dūņu utilizācijas risinājumus). Ņemot vērā veikto dažādu inovatīvu dūņu utilizācijas metožu novērtējumu, neviens no tiem netika novērtēts kā perspektīvs un padziļināti analizējams Latvijas notekūdeņu dūņu utilizācijas risinājums. </w:t>
      </w:r>
    </w:p>
    <w:p w14:paraId="64AC52D1" w14:textId="77777777" w:rsidR="0065655B" w:rsidRPr="00FD2C81" w:rsidRDefault="0065655B" w:rsidP="00FD2C81">
      <w:pPr>
        <w:jc w:val="center"/>
        <w:rPr>
          <w:rFonts w:ascii="Times New Roman" w:hAnsi="Times New Roman" w:cs="Times New Roman"/>
        </w:rPr>
      </w:pPr>
    </w:p>
    <w:p w14:paraId="2FB9A9EE" w14:textId="77777777" w:rsidR="00EA051D" w:rsidRPr="00FD2C81" w:rsidRDefault="00EA051D" w:rsidP="00FD2C81">
      <w:pPr>
        <w:jc w:val="center"/>
        <w:rPr>
          <w:rFonts w:ascii="Times New Roman" w:hAnsi="Times New Roman" w:cs="Times New Roman"/>
          <w:b/>
          <w:bCs/>
          <w:color w:val="5B9BD5" w:themeColor="accent1"/>
          <w:szCs w:val="24"/>
        </w:rPr>
      </w:pPr>
      <w:bookmarkStart w:id="94" w:name="_Toc82277632"/>
      <w:r w:rsidRPr="00FD2C81">
        <w:rPr>
          <w:rFonts w:ascii="Times New Roman" w:hAnsi="Times New Roman" w:cs="Times New Roman"/>
          <w:b/>
          <w:bCs/>
          <w:color w:val="5B9BD5" w:themeColor="accent1"/>
          <w:szCs w:val="24"/>
        </w:rPr>
        <w:t>B4. Alternatīva: Pārstrādātu notekūdeņu dūņu apglabāšana atkritumu poligonos</w:t>
      </w:r>
      <w:bookmarkEnd w:id="94"/>
    </w:p>
    <w:p w14:paraId="7DCC8B13" w14:textId="77777777" w:rsidR="0065655B" w:rsidRDefault="0065655B" w:rsidP="0065655B">
      <w:pPr>
        <w:spacing w:after="0"/>
        <w:rPr>
          <w:rFonts w:cstheme="minorHAnsi"/>
        </w:rPr>
      </w:pPr>
    </w:p>
    <w:p w14:paraId="00B8E376" w14:textId="41F20C3E" w:rsidR="00EA051D" w:rsidRPr="00582F75" w:rsidRDefault="00EA051D" w:rsidP="001D1AC9">
      <w:pPr>
        <w:spacing w:after="0"/>
        <w:ind w:firstLine="720"/>
        <w:rPr>
          <w:rFonts w:ascii="Times New Roman" w:hAnsi="Times New Roman" w:cs="Times New Roman"/>
        </w:rPr>
      </w:pPr>
      <w:r w:rsidRPr="00582F75">
        <w:rPr>
          <w:rFonts w:ascii="Times New Roman" w:hAnsi="Times New Roman" w:cs="Times New Roman"/>
        </w:rPr>
        <w:t>Atbilstoši MK noteikumu Nr. 362. nosacījumiem ir iespējama apstrādātu notekūdeņu dūņu un notekūdeņu dūņu komposta apglabāšana atkritumu poligonos. Līdz ar to šī alternatīva paredz, ka notekūdeņu dūņas kā atkritumi tiek nodoti apglabāšanai atkritumu poligonā atbilstoši nosacījumiem un maksai, kuru nosaka atkritumu apglabāšanas poligons ievērojot SPRK apstiprinātos atkritumu apglabāšanas tarifus. Uz notekūdeņu dūņu stratēģijas izstrādes brīdi Latvijā ir 10 atkritumu apsaimniekošanas poligoni, no kuriem daļā ievesto atkritumu apjoms ir mazāks, par sākotnēji prognozēto.</w:t>
      </w:r>
    </w:p>
    <w:p w14:paraId="4FFACABB" w14:textId="77777777" w:rsidR="00EA051D" w:rsidRPr="00582F75" w:rsidRDefault="00EA051D" w:rsidP="001D1AC9">
      <w:pPr>
        <w:ind w:firstLine="720"/>
        <w:rPr>
          <w:rFonts w:ascii="Times New Roman" w:hAnsi="Times New Roman" w:cs="Times New Roman"/>
        </w:rPr>
      </w:pPr>
      <w:r w:rsidRPr="00582F75">
        <w:rPr>
          <w:rFonts w:ascii="Times New Roman" w:hAnsi="Times New Roman" w:cs="Times New Roman"/>
        </w:rPr>
        <w:t xml:space="preserve">Kopumā alternatīvas ilgtspēju būtiski ietekmē ES izvirzītie mērķi par resursu atgūšanu no atkritumiem, kā arī diskusijas par to, ka ES pārskatāmā nākotnē varētu pilnībā aizliegt apglabāt tādus atkritumus, kas ir pārstrādājami, t.sk. notekūdeņu dūņas. Šī alternatīva ir arī pretrunā notekūdeņu dūņu stratēģijā izvirzītai Vīzijai un Misijai. </w:t>
      </w:r>
    </w:p>
    <w:p w14:paraId="63404FDC" w14:textId="7467BE4D" w:rsidR="00EA051D" w:rsidRPr="00582F75" w:rsidRDefault="00EA051D" w:rsidP="001D1AC9">
      <w:pPr>
        <w:ind w:firstLine="720"/>
        <w:rPr>
          <w:rFonts w:ascii="Times New Roman" w:hAnsi="Times New Roman" w:cs="Times New Roman"/>
          <w:b/>
        </w:rPr>
      </w:pPr>
      <w:r w:rsidRPr="00582F75">
        <w:rPr>
          <w:rFonts w:ascii="Times New Roman" w:hAnsi="Times New Roman" w:cs="Times New Roman"/>
          <w:b/>
        </w:rPr>
        <w:t>Ņemot vērā alternatīvas neatbilstību ilgtspējīgas vides un tautsaimniecības attīstības mērķiem, kā arī prognozējamo aizliegumu tuvāko 10 gadu laikā noglabāt notekūdeņu dūņas atkritumu poligonos, šī utilizācijas alternatīva ir izslēdzama no tālākās vērtēšanas.</w:t>
      </w:r>
    </w:p>
    <w:p w14:paraId="21FEEEFF" w14:textId="7A477180" w:rsidR="00EA051D" w:rsidRPr="00582F75" w:rsidRDefault="00EA051D" w:rsidP="001D1AC9">
      <w:pPr>
        <w:ind w:firstLine="720"/>
        <w:rPr>
          <w:rFonts w:ascii="Times New Roman" w:hAnsi="Times New Roman" w:cs="Times New Roman"/>
          <w:b/>
          <w:i/>
        </w:rPr>
      </w:pPr>
      <w:r w:rsidRPr="00582F75">
        <w:rPr>
          <w:rFonts w:ascii="Times New Roman" w:hAnsi="Times New Roman" w:cs="Times New Roman"/>
        </w:rPr>
        <w:t>Notekūdeņu dūņas vai to komposts, kurās smago metālu koncentrācija atbilst piektajai klasei saskaņā ar MK noteikumu Nr.362 ir apglabājamas tikai bīstamo atkritumu poligonā. Šādiem gadījumiem nepastāv alternatīvu risinājumu, tāpēc visas 5.klases</w:t>
      </w:r>
      <w:r w:rsidR="003814C1" w:rsidRPr="00582F75">
        <w:rPr>
          <w:rFonts w:ascii="Times New Roman" w:hAnsi="Times New Roman" w:cs="Times New Roman"/>
        </w:rPr>
        <w:t xml:space="preserve"> </w:t>
      </w:r>
      <w:r w:rsidR="003814C1" w:rsidRPr="00582F75">
        <w:rPr>
          <w:rFonts w:ascii="Times New Roman" w:hAnsi="Times New Roman" w:cs="Times New Roman"/>
          <w:color w:val="000000"/>
        </w:rPr>
        <w:lastRenderedPageBreak/>
        <w:t>notekūdeņu</w:t>
      </w:r>
      <w:r w:rsidRPr="00582F75">
        <w:rPr>
          <w:rFonts w:ascii="Times New Roman" w:hAnsi="Times New Roman" w:cs="Times New Roman"/>
        </w:rPr>
        <w:t xml:space="preserve"> dūņas ir paredzēts utilizēt bīstamo atkritumu poligonā. Iepriekšējo 10 gadu laikā Latvijā nav konstatētas notekūdeņu dūņas, kuras atbilstu 5.klasei un būtu utilizējamas bīstamo atkritumu poligonā.</w:t>
      </w:r>
    </w:p>
    <w:p w14:paraId="4C2363DC" w14:textId="77777777" w:rsidR="00EA051D" w:rsidRPr="001D1AC9" w:rsidRDefault="00000000" w:rsidP="00EA051D">
      <w:pPr>
        <w:jc w:val="center"/>
        <w:rPr>
          <w:rFonts w:ascii="Times New Roman" w:hAnsi="Times New Roman" w:cs="Times New Roman"/>
          <w:szCs w:val="24"/>
          <w:u w:val="single"/>
        </w:rPr>
      </w:pPr>
      <w:sdt>
        <w:sdtPr>
          <w:rPr>
            <w:rFonts w:cstheme="minorHAnsi"/>
            <w:sz w:val="28"/>
            <w:szCs w:val="28"/>
            <w:u w:val="single"/>
          </w:rPr>
          <w:tag w:val="goog_rdk_48"/>
          <w:id w:val="-1242794995"/>
        </w:sdtPr>
        <w:sdtContent/>
      </w:sdt>
      <w:sdt>
        <w:sdtPr>
          <w:rPr>
            <w:rFonts w:ascii="Times New Roman" w:hAnsi="Times New Roman" w:cs="Times New Roman"/>
            <w:szCs w:val="24"/>
            <w:u w:val="single"/>
          </w:rPr>
          <w:tag w:val="goog_rdk_49"/>
          <w:id w:val="1641916524"/>
        </w:sdtPr>
        <w:sdtContent>
          <w:r w:rsidR="00EA051D" w:rsidRPr="001D1AC9">
            <w:rPr>
              <w:rFonts w:ascii="Times New Roman" w:hAnsi="Times New Roman" w:cs="Times New Roman"/>
              <w:szCs w:val="24"/>
              <w:u w:val="single"/>
            </w:rPr>
            <w:t>Pārstrādātu n</w:t>
          </w:r>
        </w:sdtContent>
      </w:sdt>
      <w:r w:rsidR="00EA051D" w:rsidRPr="001D1AC9">
        <w:rPr>
          <w:rFonts w:ascii="Times New Roman" w:hAnsi="Times New Roman" w:cs="Times New Roman"/>
          <w:szCs w:val="24"/>
          <w:u w:val="single"/>
        </w:rPr>
        <w:t>otekūdeņu dūņu utilizācijas alternatīvu izmaksu salīdzinājums</w:t>
      </w:r>
    </w:p>
    <w:p w14:paraId="04BAC3BF" w14:textId="24C2A0AF" w:rsidR="00EA051D" w:rsidRPr="001D1AC9" w:rsidRDefault="00EA051D" w:rsidP="00EA051D">
      <w:pPr>
        <w:spacing w:before="240"/>
        <w:rPr>
          <w:rFonts w:ascii="Times New Roman" w:hAnsi="Times New Roman" w:cs="Times New Roman"/>
        </w:rPr>
      </w:pPr>
      <w:r w:rsidRPr="001D1AC9">
        <w:rPr>
          <w:rFonts w:ascii="Times New Roman" w:hAnsi="Times New Roman" w:cs="Times New Roman"/>
        </w:rPr>
        <w:t xml:space="preserve">Lai salīdzinātu dažādos notekūdeņu dūņu utilizācijas alternatīvos risinājumus ir veikts to izmaksu salīdzinājums. Ņemot vērā, ka precīzs izmaksu apjoms objektīvu datu </w:t>
      </w:r>
      <w:r w:rsidR="00BC61B8" w:rsidRPr="001D1AC9">
        <w:rPr>
          <w:rFonts w:ascii="Times New Roman" w:hAnsi="Times New Roman" w:cs="Times New Roman"/>
        </w:rPr>
        <w:t>trūkum</w:t>
      </w:r>
      <w:r w:rsidR="00BC61B8">
        <w:rPr>
          <w:rFonts w:ascii="Times New Roman" w:hAnsi="Times New Roman" w:cs="Times New Roman"/>
        </w:rPr>
        <w:t>a</w:t>
      </w:r>
      <w:r w:rsidR="00BC61B8" w:rsidRPr="001D1AC9">
        <w:rPr>
          <w:rFonts w:ascii="Times New Roman" w:hAnsi="Times New Roman" w:cs="Times New Roman"/>
        </w:rPr>
        <w:t xml:space="preserve"> </w:t>
      </w:r>
      <w:r w:rsidRPr="001D1AC9">
        <w:rPr>
          <w:rFonts w:ascii="Times New Roman" w:hAnsi="Times New Roman" w:cs="Times New Roman"/>
        </w:rPr>
        <w:t>dēļ nav aprēķināms, ir veikts vispārīgs un salīdzinošs dažādu izmaksu novērtējums.</w:t>
      </w:r>
    </w:p>
    <w:p w14:paraId="0244B065" w14:textId="390FE0E3" w:rsidR="001D1AC9" w:rsidRPr="001D1AC9" w:rsidRDefault="00EA051D" w:rsidP="001D1AC9">
      <w:pPr>
        <w:spacing w:after="0"/>
        <w:jc w:val="right"/>
        <w:rPr>
          <w:rFonts w:ascii="Times New Roman" w:hAnsi="Times New Roman" w:cs="Times New Roman"/>
          <w:bCs/>
          <w:szCs w:val="24"/>
        </w:rPr>
      </w:pPr>
      <w:r w:rsidRPr="001D1AC9">
        <w:rPr>
          <w:rFonts w:ascii="Times New Roman" w:hAnsi="Times New Roman" w:cs="Times New Roman"/>
          <w:bCs/>
          <w:szCs w:val="24"/>
        </w:rPr>
        <w:t>4.</w:t>
      </w:r>
      <w:r w:rsidR="00F920E5">
        <w:rPr>
          <w:rFonts w:ascii="Times New Roman" w:hAnsi="Times New Roman" w:cs="Times New Roman"/>
          <w:bCs/>
          <w:szCs w:val="24"/>
        </w:rPr>
        <w:t>3.2</w:t>
      </w:r>
      <w:r w:rsidRPr="001D1AC9">
        <w:rPr>
          <w:rFonts w:ascii="Times New Roman" w:hAnsi="Times New Roman" w:cs="Times New Roman"/>
          <w:bCs/>
          <w:szCs w:val="24"/>
        </w:rPr>
        <w:t>. tabula</w:t>
      </w:r>
    </w:p>
    <w:p w14:paraId="0BF41B2E" w14:textId="1B17FCA9" w:rsidR="00EA051D" w:rsidRPr="001D1AC9" w:rsidRDefault="00000000" w:rsidP="001D1AC9">
      <w:pPr>
        <w:spacing w:after="0"/>
        <w:jc w:val="center"/>
        <w:rPr>
          <w:rFonts w:ascii="Times New Roman" w:hAnsi="Times New Roman" w:cs="Times New Roman"/>
          <w:b/>
          <w:szCs w:val="24"/>
        </w:rPr>
      </w:pPr>
      <w:sdt>
        <w:sdtPr>
          <w:rPr>
            <w:rFonts w:ascii="Times New Roman" w:hAnsi="Times New Roman" w:cs="Times New Roman"/>
            <w:szCs w:val="24"/>
          </w:rPr>
          <w:tag w:val="goog_rdk_50"/>
          <w:id w:val="-1830829609"/>
        </w:sdtPr>
        <w:sdtContent/>
      </w:sdt>
      <w:sdt>
        <w:sdtPr>
          <w:rPr>
            <w:rFonts w:ascii="Times New Roman" w:hAnsi="Times New Roman" w:cs="Times New Roman"/>
            <w:szCs w:val="24"/>
          </w:rPr>
          <w:tag w:val="goog_rdk_51"/>
          <w:id w:val="-920710113"/>
        </w:sdtPr>
        <w:sdtContent/>
      </w:sdt>
      <w:r w:rsidR="00EA051D" w:rsidRPr="001D1AC9">
        <w:rPr>
          <w:rFonts w:ascii="Times New Roman" w:hAnsi="Times New Roman" w:cs="Times New Roman"/>
          <w:b/>
          <w:szCs w:val="24"/>
        </w:rPr>
        <w:t>Notekūdeņu dūņu utilizācijas alternatīvu izmaksu novērtējums</w:t>
      </w:r>
    </w:p>
    <w:tbl>
      <w:tblPr>
        <w:tblStyle w:val="39"/>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410"/>
        <w:gridCol w:w="2409"/>
        <w:gridCol w:w="2552"/>
      </w:tblGrid>
      <w:tr w:rsidR="00EA051D" w:rsidRPr="001D1AC9" w14:paraId="600FC8F0" w14:textId="77777777" w:rsidTr="00891E32">
        <w:tc>
          <w:tcPr>
            <w:tcW w:w="1413" w:type="dxa"/>
            <w:vAlign w:val="center"/>
          </w:tcPr>
          <w:p w14:paraId="2EC36E4E" w14:textId="77777777" w:rsidR="00EA051D" w:rsidRPr="001D1AC9" w:rsidRDefault="00000000" w:rsidP="000C73AC">
            <w:pPr>
              <w:spacing w:after="60"/>
              <w:jc w:val="center"/>
              <w:rPr>
                <w:rFonts w:ascii="Times New Roman" w:hAnsi="Times New Roman" w:cs="Times New Roman"/>
                <w:b/>
                <w:sz w:val="20"/>
                <w:szCs w:val="20"/>
              </w:rPr>
            </w:pPr>
            <w:sdt>
              <w:sdtPr>
                <w:rPr>
                  <w:rFonts w:ascii="Times New Roman" w:hAnsi="Times New Roman" w:cs="Times New Roman"/>
                </w:rPr>
                <w:tag w:val="goog_rdk_52"/>
                <w:id w:val="1086957979"/>
              </w:sdtPr>
              <w:sdtContent>
                <w:r w:rsidR="00EA051D" w:rsidRPr="001D1AC9">
                  <w:rPr>
                    <w:rFonts w:ascii="Times New Roman" w:hAnsi="Times New Roman" w:cs="Times New Roman"/>
                    <w:b/>
                    <w:sz w:val="20"/>
                    <w:szCs w:val="20"/>
                  </w:rPr>
                  <w:t>I</w:t>
                </w:r>
              </w:sdtContent>
            </w:sdt>
            <w:r w:rsidR="00EA051D" w:rsidRPr="001D1AC9">
              <w:rPr>
                <w:rFonts w:ascii="Times New Roman" w:hAnsi="Times New Roman" w:cs="Times New Roman"/>
                <w:b/>
                <w:sz w:val="20"/>
                <w:szCs w:val="20"/>
              </w:rPr>
              <w:t>zmaksu veids</w:t>
            </w:r>
          </w:p>
        </w:tc>
        <w:tc>
          <w:tcPr>
            <w:tcW w:w="2410" w:type="dxa"/>
            <w:vAlign w:val="center"/>
          </w:tcPr>
          <w:p w14:paraId="1A6B81D3" w14:textId="77777777" w:rsidR="00EA051D" w:rsidRPr="001D1AC9" w:rsidDel="00F036DE" w:rsidRDefault="00EA051D" w:rsidP="000C73AC">
            <w:pPr>
              <w:spacing w:after="60"/>
              <w:jc w:val="center"/>
              <w:rPr>
                <w:rFonts w:ascii="Times New Roman" w:hAnsi="Times New Roman" w:cs="Times New Roman"/>
                <w:b/>
                <w:sz w:val="20"/>
                <w:szCs w:val="20"/>
              </w:rPr>
            </w:pPr>
            <w:r w:rsidRPr="001D1AC9">
              <w:rPr>
                <w:rFonts w:ascii="Times New Roman" w:hAnsi="Times New Roman" w:cs="Times New Roman"/>
                <w:b/>
                <w:sz w:val="20"/>
                <w:szCs w:val="20"/>
              </w:rPr>
              <w:t>B1.Alternatīva: Pārstrādātu notekūdeņu dūņu iestrāde augsnē</w:t>
            </w:r>
          </w:p>
        </w:tc>
        <w:tc>
          <w:tcPr>
            <w:tcW w:w="2409" w:type="dxa"/>
            <w:vAlign w:val="center"/>
          </w:tcPr>
          <w:p w14:paraId="29604D2D" w14:textId="77777777" w:rsidR="00EA051D" w:rsidRPr="001D1AC9" w:rsidRDefault="00EA051D" w:rsidP="000C73AC">
            <w:pPr>
              <w:spacing w:after="60"/>
              <w:jc w:val="center"/>
              <w:rPr>
                <w:rFonts w:ascii="Times New Roman" w:hAnsi="Times New Roman" w:cs="Times New Roman"/>
                <w:b/>
                <w:sz w:val="20"/>
                <w:szCs w:val="20"/>
              </w:rPr>
            </w:pPr>
            <w:r w:rsidRPr="001D1AC9">
              <w:rPr>
                <w:rFonts w:ascii="Times New Roman" w:hAnsi="Times New Roman" w:cs="Times New Roman"/>
                <w:b/>
                <w:sz w:val="20"/>
                <w:szCs w:val="20"/>
              </w:rPr>
              <w:t xml:space="preserve">B2.Alternatīva: Pārstrādātu notekūdeņu dūņu dedzināšana cementa rūpnīcā </w:t>
            </w:r>
          </w:p>
        </w:tc>
        <w:tc>
          <w:tcPr>
            <w:tcW w:w="2552" w:type="dxa"/>
            <w:vAlign w:val="center"/>
          </w:tcPr>
          <w:p w14:paraId="6E7D82CC" w14:textId="77777777" w:rsidR="00EA051D" w:rsidRPr="001D1AC9" w:rsidRDefault="00EA051D" w:rsidP="000C73AC">
            <w:pPr>
              <w:spacing w:after="60"/>
              <w:jc w:val="center"/>
              <w:rPr>
                <w:rFonts w:ascii="Times New Roman" w:hAnsi="Times New Roman" w:cs="Times New Roman"/>
                <w:b/>
                <w:sz w:val="20"/>
                <w:szCs w:val="20"/>
              </w:rPr>
            </w:pPr>
            <w:r w:rsidRPr="001D1AC9">
              <w:rPr>
                <w:rFonts w:ascii="Times New Roman" w:hAnsi="Times New Roman" w:cs="Times New Roman"/>
                <w:b/>
                <w:sz w:val="20"/>
                <w:szCs w:val="20"/>
              </w:rPr>
              <w:t>B3.Alternatīva: Notekūdeņu dūņās esošo resursu utilizācija ar dažādām inovatīvām metodēm</w:t>
            </w:r>
          </w:p>
        </w:tc>
      </w:tr>
      <w:tr w:rsidR="00EA051D" w:rsidRPr="001D1AC9" w14:paraId="203F2193" w14:textId="77777777" w:rsidTr="00891E32">
        <w:tc>
          <w:tcPr>
            <w:tcW w:w="1413" w:type="dxa"/>
            <w:vAlign w:val="center"/>
          </w:tcPr>
          <w:p w14:paraId="589C90B4" w14:textId="5D3F70E4" w:rsidR="00EA051D" w:rsidRPr="001D1AC9" w:rsidRDefault="00EA051D" w:rsidP="000C73AC">
            <w:pPr>
              <w:spacing w:after="60"/>
              <w:jc w:val="center"/>
              <w:rPr>
                <w:rFonts w:ascii="Times New Roman" w:hAnsi="Times New Roman" w:cs="Times New Roman"/>
                <w:sz w:val="20"/>
                <w:szCs w:val="20"/>
              </w:rPr>
            </w:pPr>
            <w:r w:rsidRPr="001D1AC9">
              <w:rPr>
                <w:rFonts w:ascii="Times New Roman" w:hAnsi="Times New Roman" w:cs="Times New Roman"/>
                <w:sz w:val="20"/>
                <w:szCs w:val="20"/>
              </w:rPr>
              <w:t xml:space="preserve">Maksa par pārstrādātu </w:t>
            </w:r>
            <w:r w:rsidR="007D6688" w:rsidRPr="001D1AC9">
              <w:rPr>
                <w:rFonts w:ascii="Times New Roman" w:hAnsi="Times New Roman" w:cs="Times New Roman"/>
                <w:sz w:val="20"/>
                <w:szCs w:val="20"/>
              </w:rPr>
              <w:t xml:space="preserve">notekūdeņu </w:t>
            </w:r>
            <w:r w:rsidRPr="001D1AC9">
              <w:rPr>
                <w:rFonts w:ascii="Times New Roman" w:hAnsi="Times New Roman" w:cs="Times New Roman"/>
                <w:sz w:val="20"/>
                <w:szCs w:val="20"/>
              </w:rPr>
              <w:t>dūņu nodošanu EUR/t</w:t>
            </w:r>
          </w:p>
        </w:tc>
        <w:tc>
          <w:tcPr>
            <w:tcW w:w="2410" w:type="dxa"/>
            <w:vAlign w:val="center"/>
          </w:tcPr>
          <w:p w14:paraId="09682A5A"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 xml:space="preserve">0,00 – 10,00 </w:t>
            </w:r>
          </w:p>
          <w:p w14:paraId="7C2D73D1" w14:textId="5D96906C"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 xml:space="preserve">Jau šobrīd vairāki SPS nodod pārstrādātas notekūdeņu dūņas iestrādei augsnē par velti vai par maksu, kas ir līdzvērtīga </w:t>
            </w:r>
            <w:r w:rsidR="007D6688" w:rsidRPr="001D1AC9">
              <w:rPr>
                <w:rFonts w:ascii="Times New Roman" w:hAnsi="Times New Roman" w:cs="Times New Roman"/>
                <w:sz w:val="18"/>
                <w:szCs w:val="18"/>
              </w:rPr>
              <w:t>yo</w:t>
            </w:r>
            <w:r w:rsidRPr="001D1AC9">
              <w:rPr>
                <w:rFonts w:ascii="Times New Roman" w:hAnsi="Times New Roman" w:cs="Times New Roman"/>
                <w:sz w:val="18"/>
                <w:szCs w:val="18"/>
              </w:rPr>
              <w:t xml:space="preserve"> transportēšanas izdevumu segšanai. Nav sagaidāms, ka nākotnē šī maksa varētu būtiski pieaugt.</w:t>
            </w:r>
          </w:p>
        </w:tc>
        <w:tc>
          <w:tcPr>
            <w:tcW w:w="2409" w:type="dxa"/>
            <w:vAlign w:val="center"/>
          </w:tcPr>
          <w:p w14:paraId="76C110CF" w14:textId="2C4362F8"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 xml:space="preserve">Nav </w:t>
            </w:r>
            <w:r w:rsidR="00E90E71" w:rsidRPr="001D1AC9">
              <w:rPr>
                <w:rFonts w:ascii="Times New Roman" w:hAnsi="Times New Roman" w:cs="Times New Roman"/>
                <w:b/>
                <w:sz w:val="18"/>
                <w:szCs w:val="18"/>
              </w:rPr>
              <w:t>iespējams</w:t>
            </w:r>
            <w:r w:rsidRPr="001D1AC9">
              <w:rPr>
                <w:rFonts w:ascii="Times New Roman" w:hAnsi="Times New Roman" w:cs="Times New Roman"/>
                <w:b/>
                <w:sz w:val="18"/>
                <w:szCs w:val="18"/>
              </w:rPr>
              <w:t xml:space="preserve"> aprēķināt. </w:t>
            </w:r>
          </w:p>
          <w:p w14:paraId="67AEC703" w14:textId="742F6462"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 xml:space="preserve">Maksa tiktu aprēķināta ņemot vērā investīcijas, kuras būs nepieciešamas ieguldīt tehnoloģisko procesu izmaiņām rūpnīcā un kopējā ilgtermiņā nododamo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dūņu daudzuma. Peļņas daļa pakalpojuma maksā nav ierobežota, jo nepastāv alternatīvs dedzināšanas risinājums.</w:t>
            </w:r>
          </w:p>
        </w:tc>
        <w:tc>
          <w:tcPr>
            <w:tcW w:w="2552" w:type="dxa"/>
            <w:vAlign w:val="center"/>
          </w:tcPr>
          <w:p w14:paraId="3715BAFF"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Augsta</w:t>
            </w:r>
          </w:p>
          <w:p w14:paraId="57B39A9B" w14:textId="078F59CC"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 xml:space="preserve">No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dūņām radīto produktu pašizmaksa būtiski pārsniedz līdzvērtīgu, tirgū esošu, līdzīgu produktu cenu, tāpēc ienākumi no produkcijas pārdošanas ir zemi. Nododot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dūņas pārstrādei citu produktu ražošanai, lielākos ienākumus (līdz pat 90%) veido </w:t>
            </w:r>
            <w:r w:rsidR="007D6688" w:rsidRPr="001D1AC9">
              <w:rPr>
                <w:rFonts w:ascii="Times New Roman" w:hAnsi="Times New Roman" w:cs="Times New Roman"/>
                <w:sz w:val="18"/>
                <w:szCs w:val="18"/>
              </w:rPr>
              <w:t>to</w:t>
            </w:r>
            <w:r w:rsidRPr="001D1AC9">
              <w:rPr>
                <w:rFonts w:ascii="Times New Roman" w:hAnsi="Times New Roman" w:cs="Times New Roman"/>
                <w:sz w:val="18"/>
                <w:szCs w:val="18"/>
              </w:rPr>
              <w:t xml:space="preserve"> īpašnieku maksa par vēlmi nodot notekūdeņu dūņas</w:t>
            </w:r>
            <w:r w:rsidR="007D6688" w:rsidRPr="001D1AC9">
              <w:rPr>
                <w:rFonts w:ascii="Times New Roman" w:hAnsi="Times New Roman" w:cs="Times New Roman"/>
                <w:sz w:val="18"/>
                <w:szCs w:val="18"/>
              </w:rPr>
              <w:t xml:space="preserve"> </w:t>
            </w:r>
            <w:r w:rsidRPr="001D1AC9">
              <w:rPr>
                <w:rFonts w:ascii="Times New Roman" w:hAnsi="Times New Roman" w:cs="Times New Roman"/>
                <w:sz w:val="18"/>
                <w:szCs w:val="18"/>
              </w:rPr>
              <w:t xml:space="preserve">pārstrādei </w:t>
            </w:r>
          </w:p>
        </w:tc>
      </w:tr>
      <w:tr w:rsidR="00EA051D" w:rsidRPr="001D1AC9" w14:paraId="74E43C7A" w14:textId="77777777" w:rsidTr="00891E32">
        <w:tc>
          <w:tcPr>
            <w:tcW w:w="1413" w:type="dxa"/>
            <w:vAlign w:val="center"/>
          </w:tcPr>
          <w:p w14:paraId="30F7C225" w14:textId="460D3507" w:rsidR="00EA051D" w:rsidRPr="001D1AC9" w:rsidRDefault="007D6688" w:rsidP="000C73AC">
            <w:pPr>
              <w:spacing w:after="60"/>
              <w:jc w:val="center"/>
              <w:rPr>
                <w:rFonts w:ascii="Times New Roman" w:hAnsi="Times New Roman" w:cs="Times New Roman"/>
                <w:sz w:val="20"/>
                <w:szCs w:val="20"/>
              </w:rPr>
            </w:pPr>
            <w:r w:rsidRPr="001D1AC9">
              <w:rPr>
                <w:rFonts w:ascii="Times New Roman" w:hAnsi="Times New Roman" w:cs="Times New Roman"/>
                <w:sz w:val="20"/>
                <w:szCs w:val="20"/>
              </w:rPr>
              <w:t>Notekūdeņu d</w:t>
            </w:r>
            <w:r w:rsidR="00EA051D" w:rsidRPr="001D1AC9">
              <w:rPr>
                <w:rFonts w:ascii="Times New Roman" w:hAnsi="Times New Roman" w:cs="Times New Roman"/>
                <w:sz w:val="20"/>
                <w:szCs w:val="20"/>
              </w:rPr>
              <w:t>ūņu pārstrādes izmaksas pirms utilizācijas EUR/t</w:t>
            </w:r>
          </w:p>
        </w:tc>
        <w:tc>
          <w:tcPr>
            <w:tcW w:w="2410" w:type="dxa"/>
            <w:vAlign w:val="center"/>
          </w:tcPr>
          <w:p w14:paraId="2BDFD2B2"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Vidējas</w:t>
            </w:r>
          </w:p>
          <w:p w14:paraId="44A2B48E" w14:textId="5C6D4D7B"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sz w:val="18"/>
                <w:szCs w:val="18"/>
              </w:rPr>
              <w:t xml:space="preserve">Galveno izmaksu apjomu veido nepieciešamība panākt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dūņās 25% vai lielāku sausnas apjomu, kā arī </w:t>
            </w:r>
            <w:r w:rsidR="007D6688" w:rsidRPr="001D1AC9">
              <w:rPr>
                <w:rFonts w:ascii="Times New Roman" w:hAnsi="Times New Roman" w:cs="Times New Roman"/>
                <w:sz w:val="18"/>
                <w:szCs w:val="18"/>
              </w:rPr>
              <w:t>to</w:t>
            </w:r>
            <w:r w:rsidRPr="001D1AC9">
              <w:rPr>
                <w:rFonts w:ascii="Times New Roman" w:hAnsi="Times New Roman" w:cs="Times New Roman"/>
                <w:sz w:val="18"/>
                <w:szCs w:val="18"/>
              </w:rPr>
              <w:t xml:space="preserve"> transportēšana līdz gala utilizācijas vietai. Citu papildus izmaksu apjoms ir neliels.</w:t>
            </w:r>
          </w:p>
        </w:tc>
        <w:tc>
          <w:tcPr>
            <w:tcW w:w="2409" w:type="dxa"/>
            <w:vAlign w:val="center"/>
          </w:tcPr>
          <w:p w14:paraId="30F586C6"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Ļoti augstas</w:t>
            </w:r>
          </w:p>
          <w:p w14:paraId="564035F1" w14:textId="3038A1FB" w:rsidR="00EA051D" w:rsidRPr="001D1AC9" w:rsidRDefault="007D6688"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 xml:space="preserve">Notekūdeņu </w:t>
            </w:r>
            <w:r w:rsidR="00E90E71">
              <w:rPr>
                <w:rFonts w:ascii="Times New Roman" w:hAnsi="Times New Roman" w:cs="Times New Roman"/>
                <w:sz w:val="18"/>
                <w:szCs w:val="18"/>
              </w:rPr>
              <w:t>d</w:t>
            </w:r>
            <w:r w:rsidR="00EA051D" w:rsidRPr="001D1AC9">
              <w:rPr>
                <w:rFonts w:ascii="Times New Roman" w:hAnsi="Times New Roman" w:cs="Times New Roman"/>
                <w:sz w:val="18"/>
                <w:szCs w:val="18"/>
              </w:rPr>
              <w:t>ūņas jāizžāvē līdz &gt; 80% sausnai</w:t>
            </w:r>
            <w:r w:rsidRPr="001D1AC9">
              <w:rPr>
                <w:rFonts w:ascii="Times New Roman" w:hAnsi="Times New Roman" w:cs="Times New Roman"/>
                <w:sz w:val="18"/>
                <w:szCs w:val="18"/>
              </w:rPr>
              <w:t xml:space="preserve">, bet </w:t>
            </w:r>
            <w:r w:rsidR="00EA051D" w:rsidRPr="001D1AC9">
              <w:rPr>
                <w:rFonts w:ascii="Times New Roman" w:hAnsi="Times New Roman" w:cs="Times New Roman"/>
                <w:sz w:val="18"/>
                <w:szCs w:val="18"/>
              </w:rPr>
              <w:t>pārstrādes izmaksas aprēķinātas D4.3. alternatīvas ietvaros.</w:t>
            </w:r>
          </w:p>
        </w:tc>
        <w:tc>
          <w:tcPr>
            <w:tcW w:w="2552" w:type="dxa"/>
            <w:vAlign w:val="center"/>
          </w:tcPr>
          <w:p w14:paraId="78623A7C"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Augstas</w:t>
            </w:r>
          </w:p>
          <w:p w14:paraId="6B6AA260" w14:textId="77777777"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Jebkāda produkta ražošanai no notekūdeņu dūņām, apskatīto tehnoloģiju ietvaros ir nepieciešami liels pievadīto energoresursu un/vai liels citu pievesto materiālu apjoms, kas ir jāiepērk.</w:t>
            </w:r>
          </w:p>
        </w:tc>
      </w:tr>
      <w:tr w:rsidR="00EA051D" w:rsidRPr="001D1AC9" w14:paraId="78B58F9A" w14:textId="77777777" w:rsidTr="00891E32">
        <w:tc>
          <w:tcPr>
            <w:tcW w:w="1413" w:type="dxa"/>
            <w:vAlign w:val="center"/>
          </w:tcPr>
          <w:p w14:paraId="72F0FB0B" w14:textId="281A33D9" w:rsidR="00EA051D" w:rsidRPr="001D1AC9" w:rsidRDefault="00EA051D" w:rsidP="000C73AC">
            <w:pPr>
              <w:spacing w:after="60"/>
              <w:jc w:val="center"/>
              <w:rPr>
                <w:rFonts w:ascii="Times New Roman" w:hAnsi="Times New Roman" w:cs="Times New Roman"/>
                <w:sz w:val="20"/>
                <w:szCs w:val="20"/>
              </w:rPr>
            </w:pPr>
            <w:r w:rsidRPr="001D1AC9">
              <w:rPr>
                <w:rFonts w:ascii="Times New Roman" w:hAnsi="Times New Roman" w:cs="Times New Roman"/>
                <w:sz w:val="20"/>
                <w:szCs w:val="20"/>
              </w:rPr>
              <w:t xml:space="preserve">Provizoriskās pārstrādātu </w:t>
            </w:r>
            <w:r w:rsidR="007D6688" w:rsidRPr="001D1AC9">
              <w:rPr>
                <w:rFonts w:ascii="Times New Roman" w:hAnsi="Times New Roman" w:cs="Times New Roman"/>
                <w:sz w:val="20"/>
                <w:szCs w:val="20"/>
              </w:rPr>
              <w:t xml:space="preserve">notekūdeņu </w:t>
            </w:r>
            <w:r w:rsidRPr="001D1AC9">
              <w:rPr>
                <w:rFonts w:ascii="Times New Roman" w:hAnsi="Times New Roman" w:cs="Times New Roman"/>
                <w:sz w:val="20"/>
                <w:szCs w:val="20"/>
              </w:rPr>
              <w:t>dūņu transportēšanas izmaksas EUR/t</w:t>
            </w:r>
          </w:p>
        </w:tc>
        <w:tc>
          <w:tcPr>
            <w:tcW w:w="2410" w:type="dxa"/>
            <w:vAlign w:val="center"/>
          </w:tcPr>
          <w:p w14:paraId="21DBD666"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Zemas</w:t>
            </w:r>
          </w:p>
          <w:p w14:paraId="09BCD535" w14:textId="1C5E1865"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sz w:val="18"/>
                <w:szCs w:val="18"/>
              </w:rPr>
              <w:t xml:space="preserve">Sagaidāms, ka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dūņu utilizācija augsnē ir iespējama līdz 35 km rādiusā ap dūņu apstrādes centriem (skat. 5.3. nodaļu).</w:t>
            </w:r>
          </w:p>
        </w:tc>
        <w:tc>
          <w:tcPr>
            <w:tcW w:w="2409" w:type="dxa"/>
            <w:vAlign w:val="center"/>
          </w:tcPr>
          <w:p w14:paraId="2C4C170A" w14:textId="77777777" w:rsidR="00EA051D" w:rsidRPr="001D1AC9" w:rsidRDefault="00EA051D" w:rsidP="000C73AC">
            <w:pPr>
              <w:spacing w:after="60"/>
              <w:jc w:val="center"/>
              <w:rPr>
                <w:rFonts w:ascii="Times New Roman" w:hAnsi="Times New Roman" w:cs="Times New Roman"/>
                <w:b/>
                <w:sz w:val="18"/>
                <w:szCs w:val="18"/>
              </w:rPr>
            </w:pPr>
            <w:r w:rsidRPr="001D1AC9">
              <w:rPr>
                <w:rFonts w:ascii="Times New Roman" w:hAnsi="Times New Roman" w:cs="Times New Roman"/>
                <w:b/>
                <w:sz w:val="18"/>
                <w:szCs w:val="18"/>
              </w:rPr>
              <w:t>Ļoti augstas</w:t>
            </w:r>
          </w:p>
          <w:p w14:paraId="7E1CAABA" w14:textId="1EFE49B3"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 xml:space="preserve">Visas Latvijas notekūdeņu dūņas jānogādā vienā punktā - Brocēnos. Izmaksas samazina, pārstrādāto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dūņu sausnas saturs ( &gt; 80%), kas ļauj transportēšanai izmantot lielas ietilpības autopārvadātājus un samazina transportējamo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dūņu apjomu.</w:t>
            </w:r>
          </w:p>
        </w:tc>
        <w:tc>
          <w:tcPr>
            <w:tcW w:w="2552" w:type="dxa"/>
            <w:vAlign w:val="center"/>
          </w:tcPr>
          <w:p w14:paraId="2CCEA871" w14:textId="77777777"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b/>
                <w:sz w:val="18"/>
                <w:szCs w:val="18"/>
              </w:rPr>
              <w:t>Ļoti augstas</w:t>
            </w:r>
          </w:p>
          <w:p w14:paraId="0F20CF18" w14:textId="62C5CC36" w:rsidR="00EA051D" w:rsidRPr="001D1AC9" w:rsidRDefault="00EA051D" w:rsidP="000C73AC">
            <w:pPr>
              <w:spacing w:after="60"/>
              <w:jc w:val="center"/>
              <w:rPr>
                <w:rFonts w:ascii="Times New Roman" w:hAnsi="Times New Roman" w:cs="Times New Roman"/>
                <w:sz w:val="18"/>
                <w:szCs w:val="18"/>
              </w:rPr>
            </w:pPr>
            <w:r w:rsidRPr="001D1AC9">
              <w:rPr>
                <w:rFonts w:ascii="Times New Roman" w:hAnsi="Times New Roman" w:cs="Times New Roman"/>
                <w:sz w:val="18"/>
                <w:szCs w:val="18"/>
              </w:rPr>
              <w:t xml:space="preserve">Latvijā nebūtu ekonomiski pamatoti celt vairāk par 1- 3 inovatīvām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dūņu pārstrādes rūpnīcām, kā rezultātā būtu augstas transportēšanas izmaksas. Parasti </w:t>
            </w:r>
            <w:r w:rsidR="00E90E71" w:rsidRPr="001D1AC9">
              <w:rPr>
                <w:rFonts w:ascii="Times New Roman" w:hAnsi="Times New Roman" w:cs="Times New Roman"/>
                <w:sz w:val="18"/>
                <w:szCs w:val="18"/>
              </w:rPr>
              <w:t>inovatīv</w:t>
            </w:r>
            <w:r w:rsidR="00E90E71">
              <w:rPr>
                <w:rFonts w:ascii="Times New Roman" w:hAnsi="Times New Roman" w:cs="Times New Roman"/>
                <w:sz w:val="18"/>
                <w:szCs w:val="18"/>
              </w:rPr>
              <w:t>ā</w:t>
            </w:r>
            <w:r w:rsidR="00E90E71" w:rsidRPr="001D1AC9">
              <w:rPr>
                <w:rFonts w:ascii="Times New Roman" w:hAnsi="Times New Roman" w:cs="Times New Roman"/>
                <w:sz w:val="18"/>
                <w:szCs w:val="18"/>
              </w:rPr>
              <w:t>m</w:t>
            </w:r>
            <w:r w:rsidRPr="001D1AC9">
              <w:rPr>
                <w:rFonts w:ascii="Times New Roman" w:hAnsi="Times New Roman" w:cs="Times New Roman"/>
                <w:sz w:val="18"/>
                <w:szCs w:val="18"/>
              </w:rPr>
              <w:t xml:space="preserve"> utilizācijas metodēm nav prasība par augstu sausnas saturu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dūņās, kā rezultātā samazinātos izmaksas par </w:t>
            </w:r>
            <w:r w:rsidR="007D6688" w:rsidRPr="001D1AC9">
              <w:rPr>
                <w:rFonts w:ascii="Times New Roman" w:hAnsi="Times New Roman" w:cs="Times New Roman"/>
                <w:sz w:val="18"/>
                <w:szCs w:val="18"/>
              </w:rPr>
              <w:t xml:space="preserve">notekūdeņu </w:t>
            </w:r>
            <w:r w:rsidRPr="001D1AC9">
              <w:rPr>
                <w:rFonts w:ascii="Times New Roman" w:hAnsi="Times New Roman" w:cs="Times New Roman"/>
                <w:sz w:val="18"/>
                <w:szCs w:val="18"/>
              </w:rPr>
              <w:t xml:space="preserve">dūņu </w:t>
            </w:r>
            <w:r w:rsidRPr="001D1AC9">
              <w:rPr>
                <w:rFonts w:ascii="Times New Roman" w:hAnsi="Times New Roman" w:cs="Times New Roman"/>
                <w:sz w:val="18"/>
                <w:szCs w:val="18"/>
              </w:rPr>
              <w:lastRenderedPageBreak/>
              <w:t xml:space="preserve">žāvēšanu, bet palielinātos izmaksas par </w:t>
            </w:r>
            <w:r w:rsidR="007D6688" w:rsidRPr="001D1AC9">
              <w:rPr>
                <w:rFonts w:ascii="Times New Roman" w:hAnsi="Times New Roman" w:cs="Times New Roman"/>
                <w:sz w:val="18"/>
                <w:szCs w:val="18"/>
              </w:rPr>
              <w:t>to</w:t>
            </w:r>
            <w:r w:rsidRPr="001D1AC9">
              <w:rPr>
                <w:rFonts w:ascii="Times New Roman" w:hAnsi="Times New Roman" w:cs="Times New Roman"/>
                <w:sz w:val="18"/>
                <w:szCs w:val="18"/>
              </w:rPr>
              <w:t xml:space="preserve"> transportēšanu</w:t>
            </w:r>
          </w:p>
        </w:tc>
      </w:tr>
    </w:tbl>
    <w:p w14:paraId="51C7EB43" w14:textId="1E38A0F1" w:rsidR="00EA051D" w:rsidRPr="001D1AC9" w:rsidRDefault="00EA051D" w:rsidP="001D1AC9">
      <w:pPr>
        <w:pBdr>
          <w:top w:val="nil"/>
          <w:left w:val="nil"/>
          <w:bottom w:val="nil"/>
          <w:right w:val="nil"/>
          <w:between w:val="nil"/>
        </w:pBdr>
        <w:spacing w:before="200"/>
        <w:ind w:firstLine="720"/>
        <w:rPr>
          <w:rFonts w:ascii="Times New Roman" w:hAnsi="Times New Roman" w:cs="Times New Roman"/>
        </w:rPr>
      </w:pPr>
      <w:r w:rsidRPr="001D1AC9">
        <w:rPr>
          <w:rFonts w:ascii="Times New Roman" w:hAnsi="Times New Roman" w:cs="Times New Roman"/>
        </w:rPr>
        <w:lastRenderedPageBreak/>
        <w:t>Vispārīgi novērtējot notekūdeņu dūņu utilizācijas izmaksas, zemākās un prognozējamākās izmaksas ir pārstrādātu</w:t>
      </w:r>
      <w:r w:rsidR="007D6688" w:rsidRPr="001D1AC9">
        <w:rPr>
          <w:rFonts w:ascii="Times New Roman" w:hAnsi="Times New Roman" w:cs="Times New Roman"/>
        </w:rPr>
        <w:t xml:space="preserve"> notekūdeņu</w:t>
      </w:r>
      <w:r w:rsidRPr="001D1AC9">
        <w:rPr>
          <w:rFonts w:ascii="Times New Roman" w:hAnsi="Times New Roman" w:cs="Times New Roman"/>
        </w:rPr>
        <w:t xml:space="preserve"> dūņu iestrādei augsnē. Šī metode ir aprobēta un jau šobrīd tiek plaši pielietota Latvijā, kā arī ir zināmas faktiskās izmaksu pozīcijas. Ja nākotnē tiek samazinātas lauksaimnieku iespējas izmantot minerālmēslus, bet iespējas izmantot dabīgo mēslojumu netiktu ierobežotas, šai alternatīvai ir potenciāls nodrošināt arī nelielus ienākumus pārstrādātu dūņu īpašniekiem. Citu alternatīvu gadījumā faktiskais izmaksu apjoms nav precīzi novērtējams, bet ir prognozējams ka tas būs augsts vai ļoti augsts dēļ papildus nepieciešamām investīcijām atbilstošas infrastruktūras izveidē, turklāt tiem pastāv augsts risks, ka dūņu utilizācijas risinājumi objektīvu iemeslu dēļ tiktu nostādīti monopola vai oligopola stāvoklī. Pārstrādātu notekūdeņu žāvēšanas izmaksas tiek detalizēti vērtētas alternatīvu D4.2. un D4.3. ietvaros.</w:t>
      </w:r>
    </w:p>
    <w:p w14:paraId="7D9943DA" w14:textId="77777777" w:rsidR="00EA051D" w:rsidRPr="00891E32" w:rsidRDefault="00EA051D" w:rsidP="00EA051D">
      <w:pPr>
        <w:jc w:val="center"/>
        <w:rPr>
          <w:rFonts w:ascii="Times New Roman" w:hAnsi="Times New Roman" w:cs="Times New Roman"/>
          <w:szCs w:val="24"/>
          <w:u w:val="single"/>
        </w:rPr>
      </w:pPr>
      <w:r w:rsidRPr="00891E32">
        <w:rPr>
          <w:rFonts w:ascii="Times New Roman" w:hAnsi="Times New Roman" w:cs="Times New Roman"/>
          <w:szCs w:val="24"/>
          <w:u w:val="single"/>
        </w:rPr>
        <w:t>Pārstrādātu notekūdeņu dūņu utilizācijas alternatīvu risku novērtējums</w:t>
      </w:r>
    </w:p>
    <w:p w14:paraId="7BCCEC37" w14:textId="59382CED" w:rsidR="00EA051D" w:rsidRPr="00891E32" w:rsidRDefault="00EA051D" w:rsidP="00891E32">
      <w:pPr>
        <w:spacing w:before="240"/>
        <w:ind w:firstLine="720"/>
        <w:rPr>
          <w:rFonts w:ascii="Times New Roman" w:hAnsi="Times New Roman" w:cs="Times New Roman"/>
        </w:rPr>
      </w:pPr>
      <w:r w:rsidRPr="00891E32">
        <w:rPr>
          <w:rFonts w:ascii="Times New Roman" w:hAnsi="Times New Roman" w:cs="Times New Roman"/>
        </w:rPr>
        <w:t xml:space="preserve">Visas izvirzītās notekūdeņu dūņu utilizācijas alternatīvas sniedz iespēju utilizēt visas Latvijas notekūdeņu dūņas. Visu atbilstošo utilizācijas iespēju novērtējums pēc vienotiem vērtēšanas kritērijiem  ļauj veikt to savstarpēju salīdzināšanu. Atbilstoši alternatīvu metodikas aprakstam ir veikta visu trīs dūņu utilizācijas alternatīvu salīdzināšana un risku novērtējums. </w:t>
      </w:r>
    </w:p>
    <w:p w14:paraId="74C9AF4E" w14:textId="6A7FEFFB" w:rsidR="00C00A91" w:rsidRPr="00AB1F5A" w:rsidRDefault="00EA051D" w:rsidP="00AB1F5A">
      <w:pPr>
        <w:spacing w:after="0"/>
        <w:jc w:val="right"/>
        <w:rPr>
          <w:rFonts w:ascii="Times New Roman" w:hAnsi="Times New Roman" w:cs="Times New Roman"/>
          <w:bCs/>
          <w:szCs w:val="24"/>
        </w:rPr>
      </w:pPr>
      <w:r w:rsidRPr="00AB1F5A">
        <w:rPr>
          <w:rFonts w:ascii="Times New Roman" w:hAnsi="Times New Roman" w:cs="Times New Roman"/>
          <w:bCs/>
          <w:szCs w:val="24"/>
        </w:rPr>
        <w:t>4.</w:t>
      </w:r>
      <w:r w:rsidR="005C586E">
        <w:rPr>
          <w:rFonts w:ascii="Times New Roman" w:hAnsi="Times New Roman" w:cs="Times New Roman"/>
          <w:bCs/>
          <w:szCs w:val="24"/>
        </w:rPr>
        <w:t>3.3</w:t>
      </w:r>
      <w:r w:rsidRPr="00AB1F5A">
        <w:rPr>
          <w:rFonts w:ascii="Times New Roman" w:hAnsi="Times New Roman" w:cs="Times New Roman"/>
          <w:bCs/>
          <w:szCs w:val="24"/>
        </w:rPr>
        <w:t>.tabula</w:t>
      </w:r>
    </w:p>
    <w:p w14:paraId="7F8EFB14" w14:textId="3F8BE47F" w:rsidR="00EA051D" w:rsidRPr="00AB1F5A" w:rsidRDefault="00EA051D" w:rsidP="00AB1F5A">
      <w:pPr>
        <w:spacing w:after="0"/>
        <w:jc w:val="center"/>
        <w:rPr>
          <w:rFonts w:ascii="Times New Roman" w:hAnsi="Times New Roman" w:cs="Times New Roman"/>
          <w:b/>
          <w:szCs w:val="24"/>
        </w:rPr>
      </w:pPr>
      <w:r w:rsidRPr="00AB1F5A">
        <w:rPr>
          <w:rFonts w:ascii="Times New Roman" w:hAnsi="Times New Roman" w:cs="Times New Roman"/>
          <w:b/>
          <w:szCs w:val="24"/>
        </w:rPr>
        <w:t>Notekūdeņu dūņu utilizācijas alternatīvu novērtēšana pēc salīdzinošajiem kritērijiem</w:t>
      </w:r>
    </w:p>
    <w:tbl>
      <w:tblPr>
        <w:tblStyle w:val="38"/>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551"/>
        <w:gridCol w:w="2551"/>
        <w:gridCol w:w="2410"/>
      </w:tblGrid>
      <w:tr w:rsidR="00EA051D" w:rsidRPr="00AB1F5A" w14:paraId="5E1E60F7" w14:textId="77777777" w:rsidTr="00DD0E08">
        <w:tc>
          <w:tcPr>
            <w:tcW w:w="2122" w:type="dxa"/>
            <w:vAlign w:val="center"/>
          </w:tcPr>
          <w:p w14:paraId="2B432D45"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Alternatīvu salīdzināšanas kritēriji</w:t>
            </w:r>
          </w:p>
        </w:tc>
        <w:tc>
          <w:tcPr>
            <w:tcW w:w="2551" w:type="dxa"/>
            <w:vAlign w:val="center"/>
          </w:tcPr>
          <w:p w14:paraId="4B2C8569"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B1.Alternatīva: Pārstrādātu notekūdeņu dūņu iestrāde augsnē</w:t>
            </w:r>
          </w:p>
        </w:tc>
        <w:tc>
          <w:tcPr>
            <w:tcW w:w="2551" w:type="dxa"/>
            <w:vAlign w:val="center"/>
          </w:tcPr>
          <w:p w14:paraId="0606E2B7"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 xml:space="preserve">B2.Alternatīva: Pārstrādātu notekūdeņu dūņu dedzināšana cementa rūpnīcā </w:t>
            </w:r>
          </w:p>
        </w:tc>
        <w:tc>
          <w:tcPr>
            <w:tcW w:w="2410" w:type="dxa"/>
            <w:vAlign w:val="center"/>
          </w:tcPr>
          <w:p w14:paraId="51344A97"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B3.Alternatīva: Notekūdeņu dūņās esošo resursu utilizācija ar dažādām inovatīvām metodēm</w:t>
            </w:r>
          </w:p>
        </w:tc>
      </w:tr>
      <w:tr w:rsidR="00EA051D" w:rsidRPr="00AB1F5A" w14:paraId="71EA6AEB" w14:textId="77777777" w:rsidTr="00DD0E08">
        <w:tc>
          <w:tcPr>
            <w:tcW w:w="2122" w:type="dxa"/>
            <w:vAlign w:val="center"/>
          </w:tcPr>
          <w:p w14:paraId="4E7AC2F7" w14:textId="77777777" w:rsidR="00EA051D" w:rsidRPr="00AB1F5A"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0"/>
                <w:id w:val="50123406"/>
              </w:sdtPr>
              <w:sdtContent>
                <w:r w:rsidR="00EA051D" w:rsidRPr="00AB1F5A">
                  <w:rPr>
                    <w:rFonts w:ascii="Times New Roman" w:hAnsi="Times New Roman" w:cs="Times New Roman"/>
                    <w:sz w:val="20"/>
                    <w:szCs w:val="20"/>
                  </w:rPr>
                  <w:t>A</w:t>
                </w:r>
              </w:sdtContent>
            </w:sdt>
            <w:r w:rsidR="00EA051D" w:rsidRPr="00AB1F5A">
              <w:rPr>
                <w:rFonts w:ascii="Times New Roman" w:hAnsi="Times New Roman" w:cs="Times New Roman"/>
                <w:sz w:val="20"/>
                <w:szCs w:val="20"/>
              </w:rPr>
              <w:t xml:space="preserve">tbilst ES un </w:t>
            </w:r>
            <w:sdt>
              <w:sdtPr>
                <w:rPr>
                  <w:rFonts w:ascii="Times New Roman" w:hAnsi="Times New Roman" w:cs="Times New Roman"/>
                </w:rPr>
                <w:tag w:val="goog_rdk_10"/>
                <w:id w:val="115722920"/>
              </w:sdtPr>
              <w:sdtContent/>
            </w:sdt>
            <w:r w:rsidR="00EA051D" w:rsidRPr="00AB1F5A">
              <w:rPr>
                <w:rFonts w:ascii="Times New Roman" w:hAnsi="Times New Roman" w:cs="Times New Roman"/>
                <w:sz w:val="20"/>
                <w:szCs w:val="20"/>
              </w:rPr>
              <w:t>LR stratēģiju ilgtermiņa mērķiem</w:t>
            </w:r>
          </w:p>
        </w:tc>
        <w:tc>
          <w:tcPr>
            <w:tcW w:w="2551" w:type="dxa"/>
            <w:shd w:val="clear" w:color="auto" w:fill="92D050"/>
            <w:vAlign w:val="center"/>
          </w:tcPr>
          <w:p w14:paraId="56965266"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5FE3F6A2" w14:textId="2D75B8B8"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Veicot atbilstošu pārstrādātu dūņu iestrādi augsnē, tajā tiek atgriezt</w:t>
            </w:r>
            <w:r w:rsidR="004C30E2" w:rsidRPr="00AB1F5A">
              <w:rPr>
                <w:rFonts w:ascii="Times New Roman" w:hAnsi="Times New Roman" w:cs="Times New Roman"/>
                <w:sz w:val="18"/>
                <w:szCs w:val="18"/>
              </w:rPr>
              <w:t>i</w:t>
            </w:r>
            <w:r w:rsidRPr="00AB1F5A">
              <w:rPr>
                <w:rFonts w:ascii="Times New Roman" w:hAnsi="Times New Roman" w:cs="Times New Roman"/>
                <w:sz w:val="18"/>
                <w:szCs w:val="18"/>
              </w:rPr>
              <w:t xml:space="preserve"> gan </w:t>
            </w:r>
            <w:r w:rsidR="004C30E2" w:rsidRPr="00AB1F5A">
              <w:rPr>
                <w:rFonts w:ascii="Times New Roman" w:hAnsi="Times New Roman" w:cs="Times New Roman"/>
                <w:sz w:val="18"/>
                <w:szCs w:val="18"/>
              </w:rPr>
              <w:t>augu barošanās elementi</w:t>
            </w:r>
            <w:r w:rsidRPr="00AB1F5A">
              <w:rPr>
                <w:rFonts w:ascii="Times New Roman" w:hAnsi="Times New Roman" w:cs="Times New Roman"/>
                <w:sz w:val="18"/>
                <w:szCs w:val="18"/>
              </w:rPr>
              <w:t>, gan mikroelementi.</w:t>
            </w:r>
          </w:p>
        </w:tc>
        <w:tc>
          <w:tcPr>
            <w:tcW w:w="2551" w:type="dxa"/>
            <w:shd w:val="clear" w:color="auto" w:fill="FF0000"/>
            <w:vAlign w:val="center"/>
          </w:tcPr>
          <w:p w14:paraId="47798E0D"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Neatbilst</w:t>
            </w:r>
          </w:p>
          <w:p w14:paraId="1D4B6377"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Notekūdeņu dūņu dedzināšana nenodrošina tiešu dūņās esošo resursu atguvi. Resursi daļēji tiek atgūti radītā siltuma ietvaros vai cementa rūpnīcas produkcijas ietvaros</w:t>
            </w:r>
          </w:p>
        </w:tc>
        <w:tc>
          <w:tcPr>
            <w:tcW w:w="2410" w:type="dxa"/>
            <w:shd w:val="clear" w:color="auto" w:fill="FFFF00"/>
            <w:vAlign w:val="center"/>
          </w:tcPr>
          <w:p w14:paraId="70337E6E"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028636A1"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Dūņu pārstrādes procesā ir iespējams iegūt dažādus jaunus produktus, kas veicina notekūdeņu dūņu atkārtotu izmantošanu, taču nav zināms vai tirgū pastāv pieprasījums pēc šādiem produktiem par to faktisko izmaksu cenu</w:t>
            </w:r>
          </w:p>
        </w:tc>
      </w:tr>
      <w:tr w:rsidR="00EA051D" w:rsidRPr="00AB1F5A" w14:paraId="0D5EA758" w14:textId="77777777" w:rsidTr="00DD0E08">
        <w:tc>
          <w:tcPr>
            <w:tcW w:w="2122" w:type="dxa"/>
            <w:vAlign w:val="center"/>
          </w:tcPr>
          <w:p w14:paraId="4914AE90" w14:textId="77777777" w:rsidR="00EA051D" w:rsidRPr="00AB1F5A" w:rsidRDefault="00EA051D" w:rsidP="000C73AC">
            <w:pPr>
              <w:spacing w:after="60"/>
              <w:jc w:val="center"/>
              <w:rPr>
                <w:rFonts w:ascii="Times New Roman" w:hAnsi="Times New Roman" w:cs="Times New Roman"/>
                <w:sz w:val="20"/>
                <w:szCs w:val="20"/>
              </w:rPr>
            </w:pPr>
            <w:r w:rsidRPr="00AB1F5A">
              <w:rPr>
                <w:rFonts w:ascii="Times New Roman" w:hAnsi="Times New Roman" w:cs="Times New Roman"/>
                <w:sz w:val="20"/>
                <w:szCs w:val="20"/>
              </w:rPr>
              <w:t>Atbilst stratēģijas izvirzītajai Vīzijai un Misijai</w:t>
            </w:r>
          </w:p>
        </w:tc>
        <w:tc>
          <w:tcPr>
            <w:tcW w:w="2551" w:type="dxa"/>
            <w:shd w:val="clear" w:color="auto" w:fill="92D050"/>
            <w:vAlign w:val="center"/>
          </w:tcPr>
          <w:p w14:paraId="3979982A"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08CF5289"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Dūņas tiek izmantotas videi drošā veidā, ievērojot aprites ekonomikas principus, process ir vienkāršs, izmaksu ziņā efektīvs un precīzi regulēts</w:t>
            </w:r>
          </w:p>
        </w:tc>
        <w:tc>
          <w:tcPr>
            <w:tcW w:w="2551" w:type="dxa"/>
            <w:shd w:val="clear" w:color="auto" w:fill="FFFF00"/>
            <w:vAlign w:val="center"/>
          </w:tcPr>
          <w:p w14:paraId="149E0BFE"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0E3EC7EC"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Notekūdeņu dūņas būtu pastāvīgi pieprasītas, būtu izveidots vienkāršs un stabils dūņu pārstrādes process. Netiek veicināti aprites ekonomikas principi un resursi neatgriežas aprites ciklā</w:t>
            </w:r>
          </w:p>
        </w:tc>
        <w:tc>
          <w:tcPr>
            <w:tcW w:w="2410" w:type="dxa"/>
            <w:shd w:val="clear" w:color="auto" w:fill="FFFF00"/>
            <w:vAlign w:val="center"/>
          </w:tcPr>
          <w:p w14:paraId="19886880"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211DC015"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Notekūdeņu dūņas būtu pastāvīgi pieprasītas, būtu izveidots stabils dūņu pārstrādes process, daļēji atbilst aprites ekonomikas principiem, taču nav precīza regulējuma šādu produktu izmantošanas veicināšanai</w:t>
            </w:r>
          </w:p>
        </w:tc>
      </w:tr>
      <w:tr w:rsidR="00EA051D" w:rsidRPr="00AB1F5A" w14:paraId="2EEFAA5A" w14:textId="77777777" w:rsidTr="00DD0E08">
        <w:tc>
          <w:tcPr>
            <w:tcW w:w="2122" w:type="dxa"/>
            <w:vAlign w:val="center"/>
          </w:tcPr>
          <w:p w14:paraId="034699EA" w14:textId="77777777" w:rsidR="00EA051D" w:rsidRPr="00AB1F5A"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1"/>
                <w:id w:val="-6984791"/>
              </w:sdtPr>
              <w:sdtContent>
                <w:r w:rsidR="00EA051D" w:rsidRPr="00AB1F5A">
                  <w:rPr>
                    <w:rFonts w:ascii="Times New Roman" w:hAnsi="Times New Roman" w:cs="Times New Roman"/>
                    <w:sz w:val="20"/>
                    <w:szCs w:val="20"/>
                  </w:rPr>
                  <w:t>Z</w:t>
                </w:r>
              </w:sdtContent>
            </w:sdt>
            <w:r w:rsidR="00EA051D" w:rsidRPr="00AB1F5A">
              <w:rPr>
                <w:rFonts w:ascii="Times New Roman" w:hAnsi="Times New Roman" w:cs="Times New Roman"/>
                <w:sz w:val="20"/>
                <w:szCs w:val="20"/>
              </w:rPr>
              <w:t>emākas uzturēšanas izmaksas</w:t>
            </w:r>
          </w:p>
        </w:tc>
        <w:tc>
          <w:tcPr>
            <w:tcW w:w="2551" w:type="dxa"/>
            <w:shd w:val="clear" w:color="auto" w:fill="92D050"/>
            <w:vAlign w:val="center"/>
          </w:tcPr>
          <w:p w14:paraId="468B494D"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6887D7A7"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Minimālas uzturēšanas izmaksas, kas attiecas uz nepieciešamās iestrādes tehniskas izmantošanu, kura lauksaimnieku organizācijām jau ir pieejama</w:t>
            </w:r>
          </w:p>
        </w:tc>
        <w:tc>
          <w:tcPr>
            <w:tcW w:w="2551" w:type="dxa"/>
            <w:shd w:val="clear" w:color="auto" w:fill="FFFF00"/>
            <w:vAlign w:val="center"/>
          </w:tcPr>
          <w:p w14:paraId="3E6919DA"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6111A785"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Dūņu utilizācijā tiek izmantotas esošas, bet vienlaikus tehnoloģiski sarežģītas iekārtas, kurām ir nepieciešama ikdienas uzturēšana</w:t>
            </w:r>
          </w:p>
        </w:tc>
        <w:tc>
          <w:tcPr>
            <w:tcW w:w="2410" w:type="dxa"/>
            <w:shd w:val="clear" w:color="auto" w:fill="FF0000"/>
            <w:vAlign w:val="center"/>
          </w:tcPr>
          <w:p w14:paraId="7D5485A9"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b/>
                <w:sz w:val="18"/>
                <w:szCs w:val="18"/>
              </w:rPr>
              <w:t>Neatbilst</w:t>
            </w:r>
          </w:p>
          <w:p w14:paraId="2E989743"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Jaunu produktu radīšana no notekūdeņu dūņām prasa lielus energoresursu un citu materiālu ieguldījumus, kas jāiepērk. Papildus jānodrošina jaunā produkta mārketinga un piegādes izmaksas</w:t>
            </w:r>
          </w:p>
        </w:tc>
      </w:tr>
      <w:tr w:rsidR="00EA051D" w:rsidRPr="00AB1F5A" w14:paraId="60F16B97" w14:textId="77777777" w:rsidTr="00DD0E08">
        <w:tc>
          <w:tcPr>
            <w:tcW w:w="2122" w:type="dxa"/>
            <w:vAlign w:val="center"/>
          </w:tcPr>
          <w:p w14:paraId="3B66FD56" w14:textId="77777777" w:rsidR="00EA051D" w:rsidRPr="00AB1F5A" w:rsidRDefault="00EA051D" w:rsidP="000C73AC">
            <w:pPr>
              <w:spacing w:after="60"/>
              <w:jc w:val="center"/>
              <w:rPr>
                <w:rFonts w:ascii="Times New Roman" w:hAnsi="Times New Roman" w:cs="Times New Roman"/>
                <w:sz w:val="20"/>
                <w:szCs w:val="20"/>
              </w:rPr>
            </w:pPr>
            <w:r w:rsidRPr="00AB1F5A">
              <w:rPr>
                <w:rFonts w:ascii="Times New Roman" w:hAnsi="Times New Roman" w:cs="Times New Roman"/>
                <w:sz w:val="20"/>
                <w:szCs w:val="20"/>
              </w:rPr>
              <w:t>Zemākas kapitālās investīcijas</w:t>
            </w:r>
          </w:p>
        </w:tc>
        <w:tc>
          <w:tcPr>
            <w:tcW w:w="2551" w:type="dxa"/>
            <w:shd w:val="clear" w:color="auto" w:fill="92D050"/>
            <w:vAlign w:val="center"/>
          </w:tcPr>
          <w:p w14:paraId="7911A062"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3442CF21"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 xml:space="preserve">Ir aplēsts, ka dūņu utilizāciju veic lauksaimnieki, tāpēc SPS dūņas ir jānogādā līdz lauksaimnieku organizācijām un nav nepieciešamas kapitālās investīcijas dūņu utilizācijai </w:t>
            </w:r>
          </w:p>
        </w:tc>
        <w:tc>
          <w:tcPr>
            <w:tcW w:w="2551" w:type="dxa"/>
            <w:shd w:val="clear" w:color="auto" w:fill="FF0000"/>
            <w:vAlign w:val="center"/>
          </w:tcPr>
          <w:p w14:paraId="021104D3"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Neatbilst</w:t>
            </w:r>
          </w:p>
          <w:p w14:paraId="61F2D257"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Nepieciešams pārveidot esošos procesus cementa rūpnīcā, lai drošā veidā varētu pieņemt un utilizēt notekūdeņu dūņas, rūpnīcas pārveides izmaksas nav novērtējamas, nezinot pārstrādājamo dūņu apjomu</w:t>
            </w:r>
          </w:p>
        </w:tc>
        <w:tc>
          <w:tcPr>
            <w:tcW w:w="2410" w:type="dxa"/>
            <w:shd w:val="clear" w:color="auto" w:fill="FF0000"/>
            <w:vAlign w:val="center"/>
          </w:tcPr>
          <w:p w14:paraId="3B7C3C95"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b/>
                <w:sz w:val="18"/>
                <w:szCs w:val="18"/>
              </w:rPr>
              <w:t>Neatbilst</w:t>
            </w:r>
          </w:p>
          <w:p w14:paraId="282CFCF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Jāveidoti jauni uzņēmumi, jāiegādājas un jānodod ekspluatācijā jaunas dūņu pārstrādes iekārta, jāizveido loģistikas un materiālu izplatības tīkli, kas saistīts ar augstām kapitāla izmaksām</w:t>
            </w:r>
          </w:p>
        </w:tc>
      </w:tr>
      <w:tr w:rsidR="00EA051D" w:rsidRPr="00AB1F5A" w14:paraId="11206D28" w14:textId="77777777" w:rsidTr="00DD0E08">
        <w:tc>
          <w:tcPr>
            <w:tcW w:w="2122" w:type="dxa"/>
            <w:vAlign w:val="center"/>
          </w:tcPr>
          <w:p w14:paraId="28B97439" w14:textId="77777777" w:rsidR="00EA051D" w:rsidRPr="00AB1F5A"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1"/>
                <w:id w:val="-1834592027"/>
              </w:sdtPr>
              <w:sdtContent>
                <w:r w:rsidR="00EA051D" w:rsidRPr="00AB1F5A">
                  <w:rPr>
                    <w:rFonts w:ascii="Times New Roman" w:hAnsi="Times New Roman" w:cs="Times New Roman"/>
                    <w:sz w:val="20"/>
                    <w:szCs w:val="20"/>
                  </w:rPr>
                  <w:t>V</w:t>
                </w:r>
              </w:sdtContent>
            </w:sdt>
            <w:r w:rsidR="00EA051D" w:rsidRPr="00AB1F5A">
              <w:rPr>
                <w:rFonts w:ascii="Times New Roman" w:hAnsi="Times New Roman" w:cs="Times New Roman"/>
                <w:sz w:val="20"/>
                <w:szCs w:val="20"/>
              </w:rPr>
              <w:t>ienkāršāks  ieviešanas scenārijs</w:t>
            </w:r>
          </w:p>
        </w:tc>
        <w:tc>
          <w:tcPr>
            <w:tcW w:w="2551" w:type="dxa"/>
            <w:shd w:val="clear" w:color="auto" w:fill="92D050"/>
            <w:vAlign w:val="center"/>
          </w:tcPr>
          <w:p w14:paraId="6DAC658D"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09C0D0EE"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Līdzvērtīgi dūņu utilizācijas scenāriji pastāv jau šobrīd, līdz ar to utilizācijas procesi ir izstrādāti, bet visi procesa posmi ir zināmi</w:t>
            </w:r>
          </w:p>
        </w:tc>
        <w:tc>
          <w:tcPr>
            <w:tcW w:w="2551" w:type="dxa"/>
            <w:shd w:val="clear" w:color="auto" w:fill="FFFF00"/>
            <w:vAlign w:val="center"/>
          </w:tcPr>
          <w:p w14:paraId="451BF3EE"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5C69D783"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Paša dūņu utilizācijas procesa ieviešana nav vienkārša, bet kad sistēma tiktu ieviesta, tās darbība un procesi ir vienkārši un prognozējami</w:t>
            </w:r>
          </w:p>
        </w:tc>
        <w:tc>
          <w:tcPr>
            <w:tcW w:w="2410" w:type="dxa"/>
            <w:shd w:val="clear" w:color="auto" w:fill="FF0000"/>
            <w:vAlign w:val="center"/>
          </w:tcPr>
          <w:p w14:paraId="637DA590"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Neatbilst</w:t>
            </w:r>
          </w:p>
          <w:p w14:paraId="66457182"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Pašas dūņu apstrādes infrastruktūras izveides un procesu ieviešanas scenārijs nav vienkāršs, kā arī jauno produktu izplatības ceļu organizēšana var būt sarežģīta</w:t>
            </w:r>
          </w:p>
        </w:tc>
      </w:tr>
      <w:tr w:rsidR="007B6AC2" w:rsidRPr="00AB1F5A" w14:paraId="2AD9EC78" w14:textId="77777777" w:rsidTr="00DD0E08">
        <w:tc>
          <w:tcPr>
            <w:tcW w:w="2122" w:type="dxa"/>
            <w:vAlign w:val="center"/>
          </w:tcPr>
          <w:p w14:paraId="240864B6" w14:textId="568C1424" w:rsidR="007B6AC2" w:rsidRPr="00AB1F5A" w:rsidRDefault="007B6AC2" w:rsidP="007B6AC2">
            <w:pPr>
              <w:spacing w:after="60"/>
              <w:jc w:val="center"/>
              <w:rPr>
                <w:rFonts w:ascii="Times New Roman" w:hAnsi="Times New Roman" w:cs="Times New Roman"/>
                <w:sz w:val="20"/>
                <w:szCs w:val="20"/>
              </w:rPr>
            </w:pPr>
            <w:r w:rsidRPr="00AB1F5A">
              <w:rPr>
                <w:rFonts w:ascii="Times New Roman" w:hAnsi="Times New Roman" w:cs="Times New Roman"/>
                <w:sz w:val="20"/>
                <w:szCs w:val="20"/>
              </w:rPr>
              <w:t>Alternatīvu neierobežo noteikts</w:t>
            </w:r>
            <w:r w:rsidR="007D6688" w:rsidRPr="00AB1F5A">
              <w:rPr>
                <w:rFonts w:ascii="Times New Roman" w:hAnsi="Times New Roman" w:cs="Times New Roman"/>
                <w:sz w:val="20"/>
                <w:szCs w:val="20"/>
              </w:rPr>
              <w:t xml:space="preserve"> notekūd</w:t>
            </w:r>
            <w:r w:rsidR="00CF4AA9" w:rsidRPr="00AB1F5A">
              <w:rPr>
                <w:rFonts w:ascii="Times New Roman" w:hAnsi="Times New Roman" w:cs="Times New Roman"/>
                <w:sz w:val="20"/>
                <w:szCs w:val="20"/>
              </w:rPr>
              <w:t>eņ</w:t>
            </w:r>
            <w:r w:rsidR="007D6688" w:rsidRPr="00AB1F5A">
              <w:rPr>
                <w:rFonts w:ascii="Times New Roman" w:hAnsi="Times New Roman" w:cs="Times New Roman"/>
                <w:sz w:val="20"/>
                <w:szCs w:val="20"/>
              </w:rPr>
              <w:t>u</w:t>
            </w:r>
            <w:r w:rsidRPr="00AB1F5A">
              <w:rPr>
                <w:rFonts w:ascii="Times New Roman" w:hAnsi="Times New Roman" w:cs="Times New Roman"/>
                <w:sz w:val="20"/>
                <w:szCs w:val="20"/>
              </w:rPr>
              <w:t xml:space="preserve"> dūņu apjoms</w:t>
            </w:r>
          </w:p>
        </w:tc>
        <w:tc>
          <w:tcPr>
            <w:tcW w:w="2551" w:type="dxa"/>
            <w:shd w:val="clear" w:color="auto" w:fill="FFFF00"/>
            <w:vAlign w:val="center"/>
          </w:tcPr>
          <w:p w14:paraId="710C5109" w14:textId="77777777" w:rsidR="007B6AC2" w:rsidRPr="00AB1F5A" w:rsidRDefault="007B6AC2" w:rsidP="007B6AC2">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008DCBF2" w14:textId="77777777" w:rsidR="007B6AC2" w:rsidRPr="00AB1F5A" w:rsidRDefault="007B6AC2" w:rsidP="007B6AC2">
            <w:pPr>
              <w:spacing w:after="60"/>
              <w:jc w:val="center"/>
              <w:rPr>
                <w:rFonts w:ascii="Times New Roman" w:hAnsi="Times New Roman" w:cs="Times New Roman"/>
                <w:b/>
                <w:sz w:val="18"/>
                <w:szCs w:val="18"/>
              </w:rPr>
            </w:pPr>
            <w:r w:rsidRPr="00AB1F5A">
              <w:rPr>
                <w:rFonts w:ascii="Times New Roman" w:hAnsi="Times New Roman" w:cs="Times New Roman"/>
                <w:sz w:val="18"/>
                <w:szCs w:val="18"/>
              </w:rPr>
              <w:t>Alternatīva nav iespējama pie ļoti maziem dūņu apjomiem. Dūņas ērtāk un efektīvāk ir pārstrādāt, izplatīt kā arī kontrolēt to kvalitāti lielākos dūņu pārstrādes centros.</w:t>
            </w:r>
          </w:p>
        </w:tc>
        <w:tc>
          <w:tcPr>
            <w:tcW w:w="2551" w:type="dxa"/>
            <w:shd w:val="clear" w:color="auto" w:fill="FF0000"/>
            <w:vAlign w:val="center"/>
          </w:tcPr>
          <w:p w14:paraId="5AD5B830" w14:textId="77777777" w:rsidR="007B6AC2" w:rsidRPr="00AB1F5A" w:rsidRDefault="007B6AC2" w:rsidP="007B6AC2">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Neatbilst</w:t>
            </w:r>
          </w:p>
          <w:p w14:paraId="5407E8E5" w14:textId="77777777" w:rsidR="007B6AC2" w:rsidRPr="00AB1F5A" w:rsidRDefault="007B6AC2" w:rsidP="007B6AC2">
            <w:pPr>
              <w:spacing w:after="60"/>
              <w:jc w:val="center"/>
              <w:rPr>
                <w:rFonts w:ascii="Times New Roman" w:hAnsi="Times New Roman" w:cs="Times New Roman"/>
                <w:sz w:val="18"/>
                <w:szCs w:val="18"/>
              </w:rPr>
            </w:pPr>
            <w:r w:rsidRPr="00AB1F5A">
              <w:rPr>
                <w:rFonts w:ascii="Times New Roman" w:hAnsi="Times New Roman" w:cs="Times New Roman"/>
                <w:sz w:val="18"/>
                <w:szCs w:val="18"/>
              </w:rPr>
              <w:t>Alternatīvas ieviešanai nepieciešams viss Latvijas dūņu apjoms (bez BAS Daugavgrīva), lai samazinātu kapitālo investīciju izmaksu un uzturēšanas izmaksu apjomu</w:t>
            </w:r>
          </w:p>
        </w:tc>
        <w:tc>
          <w:tcPr>
            <w:tcW w:w="2410" w:type="dxa"/>
            <w:shd w:val="clear" w:color="auto" w:fill="FF0000"/>
            <w:vAlign w:val="center"/>
          </w:tcPr>
          <w:p w14:paraId="4E7E8E3B" w14:textId="77777777" w:rsidR="007B6AC2" w:rsidRPr="00AB1F5A" w:rsidRDefault="007B6AC2" w:rsidP="007B6AC2">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Neatbilst</w:t>
            </w:r>
          </w:p>
          <w:p w14:paraId="68233CA1" w14:textId="77777777" w:rsidR="007B6AC2" w:rsidRPr="00AB1F5A" w:rsidRDefault="007B6AC2" w:rsidP="007B6AC2">
            <w:pPr>
              <w:spacing w:after="60"/>
              <w:jc w:val="center"/>
              <w:rPr>
                <w:rFonts w:ascii="Times New Roman" w:hAnsi="Times New Roman" w:cs="Times New Roman"/>
                <w:sz w:val="18"/>
                <w:szCs w:val="18"/>
              </w:rPr>
            </w:pPr>
            <w:r w:rsidRPr="00AB1F5A">
              <w:rPr>
                <w:rFonts w:ascii="Times New Roman" w:hAnsi="Times New Roman" w:cs="Times New Roman"/>
                <w:sz w:val="18"/>
                <w:szCs w:val="18"/>
              </w:rPr>
              <w:t>Alternatīva iespējama tikai pie liela notekūdeņu dūņu apjoma, lai mazinātu kapitālo investīciju izmaksas, uzturēšanas izmaksas un jaunā produkta izplatības izmaksas.</w:t>
            </w:r>
          </w:p>
        </w:tc>
      </w:tr>
      <w:tr w:rsidR="00EA051D" w:rsidRPr="00AB1F5A" w14:paraId="3040466C" w14:textId="77777777" w:rsidTr="00DD0E08">
        <w:tc>
          <w:tcPr>
            <w:tcW w:w="2122" w:type="dxa"/>
            <w:vAlign w:val="center"/>
          </w:tcPr>
          <w:p w14:paraId="0551745D" w14:textId="5E28D3AD" w:rsidR="00EA051D" w:rsidRPr="00AB1F5A" w:rsidRDefault="007D6688" w:rsidP="000C73AC">
            <w:pPr>
              <w:spacing w:after="60"/>
              <w:jc w:val="center"/>
              <w:rPr>
                <w:rFonts w:ascii="Times New Roman" w:hAnsi="Times New Roman" w:cs="Times New Roman"/>
                <w:sz w:val="20"/>
                <w:szCs w:val="20"/>
              </w:rPr>
            </w:pPr>
            <w:r w:rsidRPr="00AB1F5A">
              <w:rPr>
                <w:rFonts w:ascii="Times New Roman" w:hAnsi="Times New Roman" w:cs="Times New Roman"/>
                <w:sz w:val="20"/>
                <w:szCs w:val="20"/>
              </w:rPr>
              <w:t>Notekūdeņu d</w:t>
            </w:r>
            <w:r w:rsidR="00EA051D" w:rsidRPr="00AB1F5A">
              <w:rPr>
                <w:rFonts w:ascii="Times New Roman" w:hAnsi="Times New Roman" w:cs="Times New Roman"/>
                <w:sz w:val="20"/>
                <w:szCs w:val="20"/>
              </w:rPr>
              <w:t>ūņu apsaimniekošanas uzraudzības ārējā kontrole ir viegli īstenojama un neprasa lielus resursus</w:t>
            </w:r>
          </w:p>
        </w:tc>
        <w:tc>
          <w:tcPr>
            <w:tcW w:w="2551" w:type="dxa"/>
            <w:shd w:val="clear" w:color="auto" w:fill="FFFF00"/>
            <w:vAlign w:val="center"/>
          </w:tcPr>
          <w:p w14:paraId="20E9D32D"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Daļēji atbilst</w:t>
            </w:r>
          </w:p>
          <w:p w14:paraId="45573273"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Pastāv plašas dūņu utilizācijas iespējas augsnē, kā rezultātā nepieciešami būtiski resursi (cilvēkresursi, materiāltehniskā bāze), lai nodrošinātu neatkarīgu, paralēlu dūņu utilizācijas procesu un sistēmas uzraudzību</w:t>
            </w:r>
          </w:p>
        </w:tc>
        <w:tc>
          <w:tcPr>
            <w:tcW w:w="2551" w:type="dxa"/>
            <w:shd w:val="clear" w:color="auto" w:fill="92D050"/>
            <w:vAlign w:val="center"/>
          </w:tcPr>
          <w:p w14:paraId="3D373C18"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0B094827"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Kopējais dūņu apjoms tiek kontrolēts, uzskaitīts un reģistrēts iesaistot citu neatkarīgu struktūru – SIA “Schwenk Latvija”. ir iespējams viegli izsekot, cik daudz dūņu, no kuras vietas ir ievests gala utilizācijai</w:t>
            </w:r>
          </w:p>
        </w:tc>
        <w:tc>
          <w:tcPr>
            <w:tcW w:w="2410" w:type="dxa"/>
            <w:shd w:val="clear" w:color="auto" w:fill="92D050"/>
            <w:vAlign w:val="center"/>
          </w:tcPr>
          <w:p w14:paraId="7E21B510"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b/>
                <w:sz w:val="18"/>
                <w:szCs w:val="18"/>
              </w:rPr>
              <w:t>Atbilst</w:t>
            </w:r>
          </w:p>
          <w:p w14:paraId="6E2C3027" w14:textId="77777777" w:rsidR="00EA051D" w:rsidRPr="00AB1F5A" w:rsidRDefault="00EA051D" w:rsidP="000C73AC">
            <w:pPr>
              <w:spacing w:after="60"/>
              <w:jc w:val="center"/>
              <w:rPr>
                <w:rFonts w:ascii="Times New Roman" w:hAnsi="Times New Roman" w:cs="Times New Roman"/>
                <w:b/>
                <w:sz w:val="18"/>
                <w:szCs w:val="18"/>
              </w:rPr>
            </w:pPr>
            <w:r w:rsidRPr="00AB1F5A">
              <w:rPr>
                <w:rFonts w:ascii="Times New Roman" w:hAnsi="Times New Roman" w:cs="Times New Roman"/>
                <w:sz w:val="18"/>
                <w:szCs w:val="18"/>
              </w:rPr>
              <w:t>Kopējais dūņu apjoms tiek kontrolēts, uzskaitīts un reģistrēts iesaistot citu neatkarīgu struktūru – inovatīvo iekārtu operatoru. Ir iespējams izsekot, cik daudz dūņu, no kuras vietas ir ievests gala utilizācijai</w:t>
            </w:r>
          </w:p>
        </w:tc>
      </w:tr>
    </w:tbl>
    <w:p w14:paraId="2CDA799F" w14:textId="77777777" w:rsidR="00EA051D" w:rsidRPr="00175DD0" w:rsidRDefault="00EA051D" w:rsidP="00EA051D">
      <w:pPr>
        <w:spacing w:before="120"/>
        <w:rPr>
          <w:rFonts w:cstheme="minorHAnsi"/>
        </w:rPr>
      </w:pPr>
    </w:p>
    <w:p w14:paraId="5478A12D" w14:textId="6B9C79AC" w:rsidR="00EA051D" w:rsidRPr="00AB1F5A" w:rsidRDefault="00EA051D" w:rsidP="00EA051D">
      <w:pPr>
        <w:spacing w:before="120"/>
        <w:rPr>
          <w:rFonts w:ascii="Times New Roman" w:hAnsi="Times New Roman" w:cs="Times New Roman"/>
        </w:rPr>
      </w:pPr>
      <w:r w:rsidRPr="00AB1F5A">
        <w:rPr>
          <w:rFonts w:ascii="Times New Roman" w:hAnsi="Times New Roman" w:cs="Times New Roman"/>
        </w:rPr>
        <w:t xml:space="preserve">Salīdzinot alternatīvas pēc veiktā izvērtējuma </w:t>
      </w:r>
      <w:r w:rsidR="003D3578" w:rsidRPr="00AB1F5A">
        <w:rPr>
          <w:rFonts w:ascii="Times New Roman" w:hAnsi="Times New Roman" w:cs="Times New Roman"/>
          <w:bCs/>
          <w:szCs w:val="24"/>
        </w:rPr>
        <w:t>4.</w:t>
      </w:r>
      <w:r w:rsidR="003D3578">
        <w:rPr>
          <w:rFonts w:ascii="Times New Roman" w:hAnsi="Times New Roman" w:cs="Times New Roman"/>
          <w:bCs/>
          <w:szCs w:val="24"/>
        </w:rPr>
        <w:t>3.3</w:t>
      </w:r>
      <w:r w:rsidRPr="00AB1F5A">
        <w:rPr>
          <w:rFonts w:ascii="Times New Roman" w:hAnsi="Times New Roman" w:cs="Times New Roman"/>
        </w:rPr>
        <w:t>.tabulā var izdarīt šādus secinājumus:</w:t>
      </w:r>
    </w:p>
    <w:p w14:paraId="32CC2213" w14:textId="56ED7FFE" w:rsidR="00EA051D" w:rsidRPr="00AB1F5A" w:rsidRDefault="00EA051D" w:rsidP="00EA051D">
      <w:pPr>
        <w:rPr>
          <w:rFonts w:ascii="Times New Roman" w:hAnsi="Times New Roman" w:cs="Times New Roman"/>
          <w:b/>
          <w:szCs w:val="20"/>
        </w:rPr>
      </w:pPr>
      <w:r w:rsidRPr="00AB1F5A">
        <w:rPr>
          <w:rFonts w:ascii="Times New Roman" w:hAnsi="Times New Roman" w:cs="Times New Roman"/>
          <w:b/>
          <w:szCs w:val="20"/>
        </w:rPr>
        <w:t xml:space="preserve">B1. alternatīva: Pārstrādātu notekūdeņu dūņu iestrāde augsnē </w:t>
      </w:r>
      <w:r w:rsidRPr="00AB1F5A">
        <w:rPr>
          <w:rFonts w:ascii="Times New Roman" w:hAnsi="Times New Roman" w:cs="Times New Roman"/>
        </w:rPr>
        <w:t>ir efektīvs, piemērots un visām izvirzītajām prasībām atbilstošs dūņu gala utilizācijas risinājums, kas novērtējams kā labākais no visiem šajā ziņojumā apskatītajiem pārstrādātu dūņu utilizācijas veidiem. Notekūdeņu dūņu iestrāde augsnē ir arī ekonomiskākais utilizācijas risinājums, kā arī tas veicina aprites ekonomikas principu ievērošanu</w:t>
      </w:r>
      <w:r w:rsidR="0066043C" w:rsidRPr="00AB1F5A">
        <w:rPr>
          <w:rFonts w:ascii="Times New Roman" w:hAnsi="Times New Roman" w:cs="Times New Roman"/>
        </w:rPr>
        <w:t xml:space="preserve">, vienlaikus alternatīvas īstenošanas laikā jānodrošina precīza normatīvo aktu prasību ievērošana attiecībā uz iestrādājamo notekūdeņu </w:t>
      </w:r>
      <w:r w:rsidR="0066043C" w:rsidRPr="00AB1F5A">
        <w:rPr>
          <w:rFonts w:ascii="Times New Roman" w:hAnsi="Times New Roman" w:cs="Times New Roman"/>
        </w:rPr>
        <w:lastRenderedPageBreak/>
        <w:t xml:space="preserve">dūņu </w:t>
      </w:r>
      <w:r w:rsidR="002D6E7A" w:rsidRPr="00AB1F5A">
        <w:rPr>
          <w:rFonts w:ascii="Times New Roman" w:hAnsi="Times New Roman" w:cs="Times New Roman"/>
        </w:rPr>
        <w:t>kvalitātes kontroli un augsnes kvalitātes novērtēšanu pirms to iestrādes, tāpat nepieciešams nodrošināt, ka tiek ievēroti atļautie iestrādes laiki un audzējamās kultūras. Plānotie kontroles pasākumi veicami tāpat kā līdz šim izsniedzot notekūdeņu dūņu kvalitātes apliecības un kontrolējot lauksaimnieku mēslošanas plānus vai faktisko darbību.</w:t>
      </w:r>
    </w:p>
    <w:p w14:paraId="5C440DDD" w14:textId="1FBE655D" w:rsidR="00EA051D" w:rsidRPr="00AB1F5A" w:rsidRDefault="00EA051D" w:rsidP="00EA051D">
      <w:pPr>
        <w:rPr>
          <w:rFonts w:ascii="Times New Roman" w:hAnsi="Times New Roman" w:cs="Times New Roman"/>
        </w:rPr>
      </w:pPr>
      <w:r w:rsidRPr="00AB1F5A">
        <w:rPr>
          <w:rFonts w:ascii="Times New Roman" w:hAnsi="Times New Roman" w:cs="Times New Roman"/>
          <w:b/>
          <w:szCs w:val="20"/>
        </w:rPr>
        <w:t xml:space="preserve">B2. alternatīva: Pārstrādātu notekūdeņu dūņu dedzināšana cementa rūpnīcā. </w:t>
      </w:r>
      <w:r w:rsidRPr="00AB1F5A">
        <w:rPr>
          <w:rFonts w:ascii="Times New Roman" w:hAnsi="Times New Roman" w:cs="Times New Roman"/>
          <w:bCs/>
          <w:szCs w:val="20"/>
        </w:rPr>
        <w:t>Ziņojuma ietvaros no</w:t>
      </w:r>
      <w:r w:rsidRPr="00AB1F5A">
        <w:rPr>
          <w:rFonts w:ascii="Times New Roman" w:hAnsi="Times New Roman" w:cs="Times New Roman"/>
          <w:szCs w:val="20"/>
        </w:rPr>
        <w:t xml:space="preserve">vērtēts, </w:t>
      </w:r>
      <w:r w:rsidRPr="00AB1F5A">
        <w:rPr>
          <w:rFonts w:ascii="Times New Roman" w:hAnsi="Times New Roman" w:cs="Times New Roman"/>
        </w:rPr>
        <w:t xml:space="preserve">ka šī alternatīva kā atbilstoša ir novērtējama tikai vienā kritērijā – šo alternatīvu ir viegli kontrolēt un uzraudzīt. Alternatīvais risinājums nesasniedz arī izvirzītos ES un LR stratēģiskos mērķus. Arī vērtējumā, kas attiecas uz atbilstību stratēģijas izvirzītajai Vīzijai un Misijai, zemākām uzturēšanas izmaksām un vienkāršākam ieviešanas scenārijam alternatīva atbilst tikai daļēji. Alternatīvu būtiski ierobežo noteiktais </w:t>
      </w:r>
      <w:r w:rsidR="007D6688" w:rsidRPr="00AB1F5A">
        <w:rPr>
          <w:rFonts w:ascii="Times New Roman" w:hAnsi="Times New Roman" w:cs="Times New Roman"/>
        </w:rPr>
        <w:t xml:space="preserve">notekūdeņu </w:t>
      </w:r>
      <w:r w:rsidRPr="00AB1F5A">
        <w:rPr>
          <w:rFonts w:ascii="Times New Roman" w:hAnsi="Times New Roman" w:cs="Times New Roman"/>
        </w:rPr>
        <w:t xml:space="preserve">dūņu apjoms. No vienas puses tas ir vajadzīgs liels, lai samazinātu kopējās dedzināšanas izmaksas, bet no otras puses tas nav neierobežots, jo provizoriskie aprēķini liecina, ka Brocēnu cementa rūpnīca var sadedzināt visas Latvijas notekūdeņu dūņas, izņemot Rīgas. Prognozējams, ka šīs alternatīvas gadījumā būs augsta gan pārstrādātu dūņu dedzināšanas maksa, gan būtiskas būs </w:t>
      </w:r>
      <w:r w:rsidR="007D6688" w:rsidRPr="00AB1F5A">
        <w:rPr>
          <w:rFonts w:ascii="Times New Roman" w:hAnsi="Times New Roman" w:cs="Times New Roman"/>
        </w:rPr>
        <w:t xml:space="preserve">notekūdeņu </w:t>
      </w:r>
      <w:r w:rsidRPr="00AB1F5A">
        <w:rPr>
          <w:rFonts w:ascii="Times New Roman" w:hAnsi="Times New Roman" w:cs="Times New Roman"/>
        </w:rPr>
        <w:t>dūņu sagatavošanas (žāvēšanas) un transportēšanas izmaksas.</w:t>
      </w:r>
    </w:p>
    <w:p w14:paraId="39D4C4C2" w14:textId="039738D2" w:rsidR="00EA051D" w:rsidRPr="00AB1F5A" w:rsidRDefault="00EA051D" w:rsidP="00EA051D">
      <w:pPr>
        <w:spacing w:before="240"/>
        <w:rPr>
          <w:rFonts w:ascii="Times New Roman" w:hAnsi="Times New Roman" w:cs="Times New Roman"/>
        </w:rPr>
      </w:pPr>
      <w:r w:rsidRPr="00AB1F5A">
        <w:rPr>
          <w:rFonts w:ascii="Times New Roman" w:hAnsi="Times New Roman" w:cs="Times New Roman"/>
          <w:b/>
          <w:szCs w:val="20"/>
        </w:rPr>
        <w:t xml:space="preserve">B3. alternatīva: Notekūdeņu dūņās esošo resursu utilizācija ar dažādām inovatīvām metodēm </w:t>
      </w:r>
      <w:r w:rsidRPr="00AB1F5A">
        <w:rPr>
          <w:rFonts w:ascii="Times New Roman" w:hAnsi="Times New Roman" w:cs="Times New Roman"/>
          <w:szCs w:val="20"/>
        </w:rPr>
        <w:t xml:space="preserve">pārsvarā neatbilst vai tikai daļēji atbilst </w:t>
      </w:r>
      <w:r w:rsidR="00E90E71" w:rsidRPr="00AB1F5A">
        <w:rPr>
          <w:rFonts w:ascii="Times New Roman" w:hAnsi="Times New Roman" w:cs="Times New Roman"/>
          <w:szCs w:val="20"/>
        </w:rPr>
        <w:t>izvirzītajiem</w:t>
      </w:r>
      <w:r w:rsidRPr="00AB1F5A">
        <w:rPr>
          <w:rFonts w:ascii="Times New Roman" w:hAnsi="Times New Roman" w:cs="Times New Roman"/>
          <w:szCs w:val="20"/>
        </w:rPr>
        <w:t xml:space="preserve"> vērtēšanas kritērijiem. </w:t>
      </w:r>
      <w:r w:rsidRPr="00AB1F5A">
        <w:rPr>
          <w:rFonts w:ascii="Times New Roman" w:hAnsi="Times New Roman" w:cs="Times New Roman"/>
        </w:rPr>
        <w:t>Kā atbilstošu šī alternatīva sasniedz tikai vienu kritēriju – viegli kontrolēt un uzraudzīt. Alternatīvais risinājums tikai daļēji sasniedz izvirzītos ES un LR stratēģiskos mērķus, kā arī atbilstību izvirzītajai Vīzijai un Misijai. Pārējie vērtēšanas kritēriji tiek novērtēti kā neatbilstoši. Lielākās neatbilstības saistītas ir lielām sistēmas izveides un ikdienas uzturēšanas izmaksām, kā arī to būtiski ierobežo noteikts dūņu apjoms. Ja dūņu apjoms būs par mazu, tad ieguldītās investīcijas neatmaksāsies, vai pieaugs radītā produkta cena, savukārt ja pieejamais dūņu apjoms būs lielāks par iekārtu kapacitāti, paliks pāri nepārstrādātas notekūdeņu dūņas un netiks sasniegts mērķis un nodrošināta visa dūņu apstrāde.  Vienlaikus šai alternatīvai nav būtisku priekšrocību salīdzinot ar pārējām utilizācijas alternatīvām.</w:t>
      </w:r>
    </w:p>
    <w:p w14:paraId="47BB17B9" w14:textId="14AE384C" w:rsidR="00603B7B" w:rsidRPr="00AB1F5A" w:rsidRDefault="00EA051D" w:rsidP="00EA051D">
      <w:pPr>
        <w:rPr>
          <w:rFonts w:ascii="Times New Roman" w:hAnsi="Times New Roman" w:cs="Times New Roman"/>
        </w:rPr>
      </w:pPr>
      <w:r w:rsidRPr="00AB1F5A">
        <w:rPr>
          <w:rFonts w:ascii="Times New Roman" w:hAnsi="Times New Roman" w:cs="Times New Roman"/>
        </w:rPr>
        <w:t>Kopā ar utilizācijas alternatīvu novērtējumu pēc atbilstības kritērijiem ir veikts arī alternatīvu risku novērtējums, kas apkopots 4.</w:t>
      </w:r>
      <w:r w:rsidR="005C586E">
        <w:rPr>
          <w:rFonts w:ascii="Times New Roman" w:hAnsi="Times New Roman" w:cs="Times New Roman"/>
        </w:rPr>
        <w:t>3.4</w:t>
      </w:r>
      <w:r w:rsidRPr="00AB1F5A">
        <w:rPr>
          <w:rFonts w:ascii="Times New Roman" w:hAnsi="Times New Roman" w:cs="Times New Roman"/>
        </w:rPr>
        <w:t>.tabulā.</w:t>
      </w:r>
    </w:p>
    <w:p w14:paraId="02E55168" w14:textId="38ECA0CD" w:rsidR="00AB1F5A" w:rsidRPr="00AB1F5A" w:rsidRDefault="00EA051D" w:rsidP="00AB1F5A">
      <w:pPr>
        <w:spacing w:after="0"/>
        <w:jc w:val="right"/>
        <w:rPr>
          <w:rFonts w:ascii="Times New Roman" w:hAnsi="Times New Roman" w:cs="Times New Roman"/>
          <w:bCs/>
          <w:szCs w:val="24"/>
        </w:rPr>
      </w:pPr>
      <w:r w:rsidRPr="00AB1F5A">
        <w:rPr>
          <w:rFonts w:ascii="Times New Roman" w:hAnsi="Times New Roman" w:cs="Times New Roman"/>
          <w:bCs/>
          <w:szCs w:val="24"/>
        </w:rPr>
        <w:t>4.</w:t>
      </w:r>
      <w:r w:rsidR="005C586E">
        <w:rPr>
          <w:rFonts w:ascii="Times New Roman" w:hAnsi="Times New Roman" w:cs="Times New Roman"/>
          <w:bCs/>
          <w:szCs w:val="24"/>
        </w:rPr>
        <w:t>3.4</w:t>
      </w:r>
      <w:r w:rsidRPr="00AB1F5A">
        <w:rPr>
          <w:rFonts w:ascii="Times New Roman" w:hAnsi="Times New Roman" w:cs="Times New Roman"/>
          <w:bCs/>
          <w:szCs w:val="24"/>
        </w:rPr>
        <w:t>.tabula</w:t>
      </w:r>
    </w:p>
    <w:p w14:paraId="67889E5A" w14:textId="087B7287" w:rsidR="00EA051D" w:rsidRPr="00AB1F5A" w:rsidRDefault="00EA051D" w:rsidP="00AB1F5A">
      <w:pPr>
        <w:spacing w:after="0"/>
        <w:jc w:val="center"/>
        <w:rPr>
          <w:rFonts w:ascii="Times New Roman" w:hAnsi="Times New Roman" w:cs="Times New Roman"/>
          <w:b/>
          <w:szCs w:val="24"/>
        </w:rPr>
      </w:pPr>
      <w:r w:rsidRPr="00AB1F5A">
        <w:rPr>
          <w:rFonts w:ascii="Times New Roman" w:hAnsi="Times New Roman" w:cs="Times New Roman"/>
          <w:b/>
          <w:szCs w:val="24"/>
        </w:rPr>
        <w:t>Notekūdeņu dūņu utilizācijas alternatīvu risku novērtējums</w:t>
      </w:r>
    </w:p>
    <w:tbl>
      <w:tblPr>
        <w:tblStyle w:val="37"/>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1701"/>
        <w:gridCol w:w="1701"/>
        <w:gridCol w:w="2126"/>
      </w:tblGrid>
      <w:tr w:rsidR="00EA051D" w:rsidRPr="00AB1F5A" w14:paraId="2B5CF8C7" w14:textId="77777777" w:rsidTr="00AB1F5A">
        <w:tc>
          <w:tcPr>
            <w:tcW w:w="3256" w:type="dxa"/>
            <w:vAlign w:val="center"/>
          </w:tcPr>
          <w:p w14:paraId="7F2FC659" w14:textId="77777777" w:rsidR="00EA051D" w:rsidRPr="00AB1F5A" w:rsidRDefault="00000000" w:rsidP="000C73AC">
            <w:pPr>
              <w:spacing w:after="60"/>
              <w:jc w:val="center"/>
              <w:rPr>
                <w:rFonts w:ascii="Times New Roman" w:hAnsi="Times New Roman" w:cs="Times New Roman"/>
                <w:b/>
                <w:sz w:val="20"/>
                <w:szCs w:val="20"/>
              </w:rPr>
            </w:pPr>
            <w:sdt>
              <w:sdtPr>
                <w:rPr>
                  <w:rFonts w:ascii="Times New Roman" w:hAnsi="Times New Roman" w:cs="Times New Roman"/>
                </w:rPr>
                <w:tag w:val="goog_rdk_54"/>
                <w:id w:val="-1857648449"/>
              </w:sdtPr>
              <w:sdtContent>
                <w:r w:rsidR="00EA051D" w:rsidRPr="00AB1F5A">
                  <w:rPr>
                    <w:rFonts w:ascii="Times New Roman" w:hAnsi="Times New Roman" w:cs="Times New Roman"/>
                    <w:b/>
                    <w:sz w:val="20"/>
                    <w:szCs w:val="20"/>
                  </w:rPr>
                  <w:t>R</w:t>
                </w:r>
              </w:sdtContent>
            </w:sdt>
            <w:r w:rsidR="00EA051D" w:rsidRPr="00AB1F5A">
              <w:rPr>
                <w:rFonts w:ascii="Times New Roman" w:hAnsi="Times New Roman" w:cs="Times New Roman"/>
                <w:b/>
                <w:sz w:val="20"/>
                <w:szCs w:val="20"/>
              </w:rPr>
              <w:t>isku novērtējums</w:t>
            </w:r>
          </w:p>
        </w:tc>
        <w:tc>
          <w:tcPr>
            <w:tcW w:w="1701" w:type="dxa"/>
            <w:vAlign w:val="center"/>
          </w:tcPr>
          <w:p w14:paraId="66D9347F"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B1.Alternatīva: Pārstrādātu notekūdeņu dūņu iestrāde augsnē</w:t>
            </w:r>
          </w:p>
        </w:tc>
        <w:tc>
          <w:tcPr>
            <w:tcW w:w="1701" w:type="dxa"/>
            <w:vAlign w:val="center"/>
          </w:tcPr>
          <w:p w14:paraId="35BFE931"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 xml:space="preserve">B2.Alternatīva: Pārstrādātu notekūdeņu dūņu dedzināšana cementa rūpnīcā </w:t>
            </w:r>
          </w:p>
        </w:tc>
        <w:tc>
          <w:tcPr>
            <w:tcW w:w="2126" w:type="dxa"/>
            <w:vAlign w:val="center"/>
          </w:tcPr>
          <w:p w14:paraId="1E61DCB6"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B3.Alternatīva: Notekūdeņu dūņās esošo resursu utilizācija ar dažādām inovatīvām metodēm</w:t>
            </w:r>
          </w:p>
        </w:tc>
      </w:tr>
      <w:tr w:rsidR="00EA051D" w:rsidRPr="00AB1F5A" w14:paraId="468B21C6" w14:textId="77777777" w:rsidTr="00AB1F5A">
        <w:tc>
          <w:tcPr>
            <w:tcW w:w="3256" w:type="dxa"/>
            <w:vAlign w:val="center"/>
          </w:tcPr>
          <w:p w14:paraId="28C0A8C9"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Iekšējie riski</w:t>
            </w:r>
          </w:p>
        </w:tc>
        <w:tc>
          <w:tcPr>
            <w:tcW w:w="1701" w:type="dxa"/>
            <w:vAlign w:val="center"/>
          </w:tcPr>
          <w:p w14:paraId="0217ED3B" w14:textId="77777777" w:rsidR="00EA051D" w:rsidRPr="00AB1F5A" w:rsidRDefault="00EA051D" w:rsidP="000C73AC">
            <w:pPr>
              <w:spacing w:after="60"/>
              <w:jc w:val="center"/>
              <w:rPr>
                <w:rFonts w:ascii="Times New Roman" w:hAnsi="Times New Roman" w:cs="Times New Roman"/>
                <w:b/>
                <w:sz w:val="18"/>
                <w:szCs w:val="18"/>
              </w:rPr>
            </w:pPr>
          </w:p>
        </w:tc>
        <w:tc>
          <w:tcPr>
            <w:tcW w:w="1701" w:type="dxa"/>
            <w:vAlign w:val="center"/>
          </w:tcPr>
          <w:p w14:paraId="6AF4AB7A" w14:textId="77777777" w:rsidR="00EA051D" w:rsidRPr="00AB1F5A" w:rsidRDefault="00EA051D" w:rsidP="000C73AC">
            <w:pPr>
              <w:spacing w:after="60"/>
              <w:jc w:val="center"/>
              <w:rPr>
                <w:rFonts w:ascii="Times New Roman" w:hAnsi="Times New Roman" w:cs="Times New Roman"/>
                <w:b/>
                <w:sz w:val="18"/>
                <w:szCs w:val="18"/>
              </w:rPr>
            </w:pPr>
          </w:p>
        </w:tc>
        <w:tc>
          <w:tcPr>
            <w:tcW w:w="2126" w:type="dxa"/>
            <w:vAlign w:val="center"/>
          </w:tcPr>
          <w:p w14:paraId="47634642" w14:textId="77777777" w:rsidR="00EA051D" w:rsidRPr="00AB1F5A" w:rsidRDefault="00EA051D" w:rsidP="000C73AC">
            <w:pPr>
              <w:spacing w:after="60"/>
              <w:jc w:val="center"/>
              <w:rPr>
                <w:rFonts w:ascii="Times New Roman" w:hAnsi="Times New Roman" w:cs="Times New Roman"/>
                <w:b/>
                <w:sz w:val="18"/>
                <w:szCs w:val="18"/>
              </w:rPr>
            </w:pPr>
          </w:p>
        </w:tc>
      </w:tr>
      <w:tr w:rsidR="00EA051D" w:rsidRPr="00AB1F5A" w14:paraId="53E7FC07" w14:textId="77777777" w:rsidTr="00AB1F5A">
        <w:tc>
          <w:tcPr>
            <w:tcW w:w="3256" w:type="dxa"/>
            <w:vAlign w:val="center"/>
          </w:tcPr>
          <w:p w14:paraId="629B93ED"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lastRenderedPageBreak/>
              <w:t>Alternatīva paredz būtiskas izmaiņas esošajā apsaimniekošanas pārvaldībā, kam var nebūt pietiekošs atbalsts</w:t>
            </w:r>
          </w:p>
        </w:tc>
        <w:tc>
          <w:tcPr>
            <w:tcW w:w="1701" w:type="dxa"/>
            <w:shd w:val="clear" w:color="auto" w:fill="92D050"/>
            <w:vAlign w:val="center"/>
          </w:tcPr>
          <w:p w14:paraId="0586D3A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 xml:space="preserve">Zems </w:t>
            </w:r>
          </w:p>
        </w:tc>
        <w:tc>
          <w:tcPr>
            <w:tcW w:w="1701" w:type="dxa"/>
            <w:shd w:val="clear" w:color="auto" w:fill="FF0000"/>
            <w:vAlign w:val="center"/>
          </w:tcPr>
          <w:p w14:paraId="20716384"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39036FE2"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4C870FBD" w14:textId="77777777" w:rsidTr="00AB1F5A">
        <w:tc>
          <w:tcPr>
            <w:tcW w:w="3256" w:type="dxa"/>
            <w:vAlign w:val="center"/>
          </w:tcPr>
          <w:p w14:paraId="05BC8AF6"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Nepieciešams ieviest jaunas tehnoloģijas dūņu apstrādē, kas esošajiem SPS nav pazīstamas, var izraisīt būtisku pretestību</w:t>
            </w:r>
          </w:p>
        </w:tc>
        <w:tc>
          <w:tcPr>
            <w:tcW w:w="1701" w:type="dxa"/>
            <w:shd w:val="clear" w:color="auto" w:fill="92D050"/>
            <w:vAlign w:val="center"/>
          </w:tcPr>
          <w:p w14:paraId="2D2BC0DB"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 xml:space="preserve">Zems </w:t>
            </w:r>
          </w:p>
        </w:tc>
        <w:tc>
          <w:tcPr>
            <w:tcW w:w="1701" w:type="dxa"/>
            <w:shd w:val="clear" w:color="auto" w:fill="FF0000"/>
            <w:vAlign w:val="center"/>
          </w:tcPr>
          <w:p w14:paraId="029261F6"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44C4CA06"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4942A0BE" w14:textId="77777777" w:rsidTr="00AB1F5A">
        <w:tc>
          <w:tcPr>
            <w:tcW w:w="3256" w:type="dxa"/>
            <w:vAlign w:val="center"/>
          </w:tcPr>
          <w:p w14:paraId="7473A20B"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Nepieciešams īpaši apmācīts personāls, kas šobrīd nav pieejams</w:t>
            </w:r>
          </w:p>
        </w:tc>
        <w:tc>
          <w:tcPr>
            <w:tcW w:w="1701" w:type="dxa"/>
            <w:shd w:val="clear" w:color="auto" w:fill="FFC000"/>
            <w:vAlign w:val="center"/>
          </w:tcPr>
          <w:p w14:paraId="131C7EC7"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1701" w:type="dxa"/>
            <w:shd w:val="clear" w:color="auto" w:fill="FF0000"/>
            <w:vAlign w:val="center"/>
          </w:tcPr>
          <w:p w14:paraId="473858A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57ADFFFE"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6EF85E56" w14:textId="77777777" w:rsidTr="00AB1F5A">
        <w:tc>
          <w:tcPr>
            <w:tcW w:w="3256" w:type="dxa"/>
            <w:vAlign w:val="center"/>
          </w:tcPr>
          <w:p w14:paraId="1C1D8153"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Alternatīvas ieviešanai ir nepieciešamas piesaistīt būtiskas finanšu investīcijas, kas var nebūt pieejamas</w:t>
            </w:r>
          </w:p>
        </w:tc>
        <w:tc>
          <w:tcPr>
            <w:tcW w:w="1701" w:type="dxa"/>
            <w:shd w:val="clear" w:color="auto" w:fill="92D050"/>
            <w:vAlign w:val="center"/>
          </w:tcPr>
          <w:p w14:paraId="32F7210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0000"/>
            <w:vAlign w:val="center"/>
          </w:tcPr>
          <w:p w14:paraId="4DB9BA4A"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692C990C"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3AF8DA49" w14:textId="77777777" w:rsidTr="00AB1F5A">
        <w:tc>
          <w:tcPr>
            <w:tcW w:w="3256" w:type="dxa"/>
            <w:vAlign w:val="center"/>
          </w:tcPr>
          <w:p w14:paraId="4948088C"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Alternatīvas ieviešanai nepieciešamas būtiskas papildus zemes platības, kas var nebūt pieejamas</w:t>
            </w:r>
          </w:p>
        </w:tc>
        <w:tc>
          <w:tcPr>
            <w:tcW w:w="1701" w:type="dxa"/>
            <w:shd w:val="clear" w:color="auto" w:fill="FFC000"/>
            <w:vAlign w:val="center"/>
          </w:tcPr>
          <w:p w14:paraId="6B7CADB6"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1701" w:type="dxa"/>
            <w:shd w:val="clear" w:color="auto" w:fill="92D050"/>
            <w:vAlign w:val="center"/>
          </w:tcPr>
          <w:p w14:paraId="29210A91"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FFC000"/>
            <w:vAlign w:val="center"/>
          </w:tcPr>
          <w:p w14:paraId="739F226E"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6553F469" w14:textId="77777777" w:rsidTr="00AB1F5A">
        <w:tc>
          <w:tcPr>
            <w:tcW w:w="3256" w:type="dxa"/>
            <w:vAlign w:val="center"/>
          </w:tcPr>
          <w:p w14:paraId="77DAF3F7"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Ieguldītās investīcijas tiek izmantotas, bet sasniegtais rezultāts nesniedz paredzēto efektu</w:t>
            </w:r>
          </w:p>
        </w:tc>
        <w:tc>
          <w:tcPr>
            <w:tcW w:w="1701" w:type="dxa"/>
            <w:shd w:val="clear" w:color="auto" w:fill="92D050"/>
            <w:vAlign w:val="center"/>
          </w:tcPr>
          <w:p w14:paraId="25CE3595"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92D050"/>
            <w:vAlign w:val="center"/>
          </w:tcPr>
          <w:p w14:paraId="72EA498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FF0000"/>
            <w:vAlign w:val="center"/>
          </w:tcPr>
          <w:p w14:paraId="2112B26E"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49989816" w14:textId="77777777" w:rsidTr="00AB1F5A">
        <w:tc>
          <w:tcPr>
            <w:tcW w:w="3256" w:type="dxa"/>
            <w:vAlign w:val="center"/>
          </w:tcPr>
          <w:p w14:paraId="60D440CD"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Augsts alternatīvas ikgadējo uzturēšanas izmaksu risks</w:t>
            </w:r>
          </w:p>
        </w:tc>
        <w:tc>
          <w:tcPr>
            <w:tcW w:w="1701" w:type="dxa"/>
            <w:shd w:val="clear" w:color="auto" w:fill="92D050"/>
            <w:vAlign w:val="center"/>
          </w:tcPr>
          <w:p w14:paraId="49C6DE73"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0000"/>
            <w:vAlign w:val="center"/>
          </w:tcPr>
          <w:p w14:paraId="6D50C3C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4E73BFF9"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04CEA0C9" w14:textId="77777777" w:rsidTr="00AB1F5A">
        <w:tc>
          <w:tcPr>
            <w:tcW w:w="3256" w:type="dxa"/>
            <w:vAlign w:val="center"/>
          </w:tcPr>
          <w:p w14:paraId="7E0F5BA8"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Netiek sasniegta aprites ekonomikas principu ieviešana, resursu atgūšana un atgriešana ekonomikā</w:t>
            </w:r>
          </w:p>
        </w:tc>
        <w:tc>
          <w:tcPr>
            <w:tcW w:w="1701" w:type="dxa"/>
            <w:shd w:val="clear" w:color="auto" w:fill="92D050"/>
            <w:vAlign w:val="center"/>
          </w:tcPr>
          <w:p w14:paraId="2E3C29CD"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0000"/>
            <w:vAlign w:val="center"/>
          </w:tcPr>
          <w:p w14:paraId="551C7B5B"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C000"/>
            <w:vAlign w:val="center"/>
          </w:tcPr>
          <w:p w14:paraId="40B542C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6B6620D0" w14:textId="77777777" w:rsidTr="00AB1F5A">
        <w:tc>
          <w:tcPr>
            <w:tcW w:w="3256" w:type="dxa"/>
            <w:vAlign w:val="center"/>
          </w:tcPr>
          <w:p w14:paraId="05FAFB1E"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Ārējie riski</w:t>
            </w:r>
          </w:p>
        </w:tc>
        <w:tc>
          <w:tcPr>
            <w:tcW w:w="1701" w:type="dxa"/>
            <w:vAlign w:val="center"/>
          </w:tcPr>
          <w:p w14:paraId="088054F1" w14:textId="77777777" w:rsidR="00EA051D" w:rsidRPr="00AB1F5A" w:rsidRDefault="00EA051D" w:rsidP="000C73AC">
            <w:pPr>
              <w:spacing w:after="60"/>
              <w:jc w:val="center"/>
              <w:rPr>
                <w:rFonts w:ascii="Times New Roman" w:hAnsi="Times New Roman" w:cs="Times New Roman"/>
                <w:b/>
                <w:sz w:val="18"/>
                <w:szCs w:val="18"/>
              </w:rPr>
            </w:pPr>
          </w:p>
        </w:tc>
        <w:tc>
          <w:tcPr>
            <w:tcW w:w="1701" w:type="dxa"/>
            <w:vAlign w:val="center"/>
          </w:tcPr>
          <w:p w14:paraId="3E474704" w14:textId="77777777" w:rsidR="00EA051D" w:rsidRPr="00AB1F5A" w:rsidRDefault="00EA051D" w:rsidP="000C73AC">
            <w:pPr>
              <w:spacing w:after="60"/>
              <w:jc w:val="center"/>
              <w:rPr>
                <w:rFonts w:ascii="Times New Roman" w:hAnsi="Times New Roman" w:cs="Times New Roman"/>
                <w:b/>
                <w:sz w:val="18"/>
                <w:szCs w:val="18"/>
              </w:rPr>
            </w:pPr>
          </w:p>
        </w:tc>
        <w:tc>
          <w:tcPr>
            <w:tcW w:w="2126" w:type="dxa"/>
            <w:vAlign w:val="center"/>
          </w:tcPr>
          <w:p w14:paraId="4F7C3766" w14:textId="77777777" w:rsidR="00EA051D" w:rsidRPr="00AB1F5A" w:rsidRDefault="00EA051D" w:rsidP="000C73AC">
            <w:pPr>
              <w:spacing w:after="60"/>
              <w:jc w:val="center"/>
              <w:rPr>
                <w:rFonts w:ascii="Times New Roman" w:hAnsi="Times New Roman" w:cs="Times New Roman"/>
                <w:b/>
                <w:sz w:val="18"/>
                <w:szCs w:val="18"/>
              </w:rPr>
            </w:pPr>
          </w:p>
        </w:tc>
      </w:tr>
      <w:tr w:rsidR="00EA051D" w:rsidRPr="00AB1F5A" w14:paraId="4A604F90" w14:textId="77777777" w:rsidTr="00AB1F5A">
        <w:tc>
          <w:tcPr>
            <w:tcW w:w="3256" w:type="dxa"/>
            <w:vAlign w:val="center"/>
          </w:tcPr>
          <w:p w14:paraId="4805C6D2"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Alternatīvas ieviešanai nepieciešamas būtiskas izmaiņas esošo normatīvo aktu regulējumā</w:t>
            </w:r>
          </w:p>
        </w:tc>
        <w:tc>
          <w:tcPr>
            <w:tcW w:w="1701" w:type="dxa"/>
            <w:shd w:val="clear" w:color="auto" w:fill="92D050"/>
            <w:vAlign w:val="center"/>
          </w:tcPr>
          <w:p w14:paraId="20A9387D"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C000"/>
            <w:vAlign w:val="center"/>
          </w:tcPr>
          <w:p w14:paraId="16E8D0DB"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2126" w:type="dxa"/>
            <w:shd w:val="clear" w:color="auto" w:fill="FFC000"/>
            <w:vAlign w:val="center"/>
          </w:tcPr>
          <w:p w14:paraId="7CA112EF"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45DBE452" w14:textId="77777777" w:rsidTr="00AB1F5A">
        <w:tc>
          <w:tcPr>
            <w:tcW w:w="3256" w:type="dxa"/>
            <w:vAlign w:val="center"/>
          </w:tcPr>
          <w:p w14:paraId="6BD92126"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Alternatīvas ieviešanai nepieciešami būtiski ārējais atbalsts no ES, LR ministrijām u.c. institūcijām</w:t>
            </w:r>
          </w:p>
        </w:tc>
        <w:tc>
          <w:tcPr>
            <w:tcW w:w="1701" w:type="dxa"/>
            <w:shd w:val="clear" w:color="auto" w:fill="92D050"/>
            <w:vAlign w:val="center"/>
          </w:tcPr>
          <w:p w14:paraId="03D9A6D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0000"/>
            <w:vAlign w:val="center"/>
          </w:tcPr>
          <w:p w14:paraId="4FE25FA5"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3A7C191B"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51E4C64E" w14:textId="77777777" w:rsidTr="00AB1F5A">
        <w:tc>
          <w:tcPr>
            <w:tcW w:w="3256" w:type="dxa"/>
            <w:vAlign w:val="center"/>
          </w:tcPr>
          <w:p w14:paraId="1FD2EA85" w14:textId="77777777" w:rsidR="00EA051D" w:rsidRPr="00AB1F5A"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13"/>
                <w:id w:val="1778063609"/>
              </w:sdtPr>
              <w:sdtContent/>
            </w:sdt>
            <w:r w:rsidR="00EA051D" w:rsidRPr="00AB1F5A">
              <w:rPr>
                <w:rFonts w:ascii="Times New Roman" w:hAnsi="Times New Roman" w:cs="Times New Roman"/>
                <w:sz w:val="20"/>
                <w:szCs w:val="20"/>
              </w:rPr>
              <w:t>Alternatīvai ir būtiski riski pastāvēt ilgtermiņā</w:t>
            </w:r>
          </w:p>
        </w:tc>
        <w:tc>
          <w:tcPr>
            <w:tcW w:w="1701" w:type="dxa"/>
            <w:shd w:val="clear" w:color="auto" w:fill="92D050"/>
            <w:vAlign w:val="center"/>
          </w:tcPr>
          <w:p w14:paraId="797BA3CA"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92D050"/>
            <w:vAlign w:val="center"/>
          </w:tcPr>
          <w:p w14:paraId="1747746C"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FFC000"/>
            <w:vAlign w:val="center"/>
          </w:tcPr>
          <w:p w14:paraId="2B4A0669"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23BC8F67" w14:textId="77777777" w:rsidTr="00AB1F5A">
        <w:tc>
          <w:tcPr>
            <w:tcW w:w="3256" w:type="dxa"/>
            <w:vAlign w:val="center"/>
          </w:tcPr>
          <w:p w14:paraId="50988835"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 xml:space="preserve">Alternatīvai ir būtiski aizstājoši risinājumi </w:t>
            </w:r>
          </w:p>
        </w:tc>
        <w:tc>
          <w:tcPr>
            <w:tcW w:w="1701" w:type="dxa"/>
            <w:shd w:val="clear" w:color="auto" w:fill="92D050"/>
            <w:vAlign w:val="center"/>
          </w:tcPr>
          <w:p w14:paraId="06AE4C59"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0000"/>
            <w:vAlign w:val="center"/>
          </w:tcPr>
          <w:p w14:paraId="67B3A5CE"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71ECC7DE"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60F87FE7" w14:textId="77777777" w:rsidTr="00AB1F5A">
        <w:tc>
          <w:tcPr>
            <w:tcW w:w="3256" w:type="dxa"/>
            <w:vAlign w:val="center"/>
          </w:tcPr>
          <w:p w14:paraId="13D630B9" w14:textId="77777777" w:rsidR="00EA051D" w:rsidRPr="00AB1F5A"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14"/>
                <w:id w:val="1479727627"/>
              </w:sdtPr>
              <w:sdtContent>
                <w:r w:rsidR="00EA051D" w:rsidRPr="00AB1F5A">
                  <w:rPr>
                    <w:rFonts w:ascii="Times New Roman" w:hAnsi="Times New Roman" w:cs="Times New Roman"/>
                    <w:sz w:val="20"/>
                    <w:szCs w:val="20"/>
                  </w:rPr>
                  <w:t>A</w:t>
                </w:r>
              </w:sdtContent>
            </w:sdt>
            <w:r w:rsidR="00EA051D" w:rsidRPr="00AB1F5A">
              <w:rPr>
                <w:rFonts w:ascii="Times New Roman" w:hAnsi="Times New Roman" w:cs="Times New Roman"/>
                <w:sz w:val="20"/>
                <w:szCs w:val="20"/>
              </w:rPr>
              <w:t xml:space="preserve">lternatīva ir </w:t>
            </w:r>
            <w:sdt>
              <w:sdtPr>
                <w:rPr>
                  <w:rFonts w:ascii="Times New Roman" w:hAnsi="Times New Roman" w:cs="Times New Roman"/>
                </w:rPr>
                <w:tag w:val="goog_rdk_14"/>
                <w:id w:val="853616252"/>
              </w:sdtPr>
              <w:sdtContent/>
            </w:sdt>
            <w:r w:rsidR="00EA051D" w:rsidRPr="00AB1F5A">
              <w:rPr>
                <w:rFonts w:ascii="Times New Roman" w:hAnsi="Times New Roman" w:cs="Times New Roman"/>
                <w:sz w:val="20"/>
                <w:szCs w:val="20"/>
              </w:rPr>
              <w:t>sarežģīta, kas rada riskus tās ieviešanai</w:t>
            </w:r>
          </w:p>
        </w:tc>
        <w:tc>
          <w:tcPr>
            <w:tcW w:w="1701" w:type="dxa"/>
            <w:shd w:val="clear" w:color="auto" w:fill="92D050"/>
            <w:vAlign w:val="center"/>
          </w:tcPr>
          <w:p w14:paraId="1B17D591"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0000"/>
            <w:vAlign w:val="center"/>
          </w:tcPr>
          <w:p w14:paraId="7C68E387"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c>
          <w:tcPr>
            <w:tcW w:w="2126" w:type="dxa"/>
            <w:shd w:val="clear" w:color="auto" w:fill="FF0000"/>
            <w:vAlign w:val="center"/>
          </w:tcPr>
          <w:p w14:paraId="5EEDB9A9"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0A6A7581" w14:textId="77777777" w:rsidTr="00AB1F5A">
        <w:tc>
          <w:tcPr>
            <w:tcW w:w="3256" w:type="dxa"/>
            <w:vAlign w:val="center"/>
          </w:tcPr>
          <w:p w14:paraId="384FB642" w14:textId="77777777" w:rsidR="00EA051D" w:rsidRPr="00AB1F5A" w:rsidRDefault="00EA051D" w:rsidP="000C73AC">
            <w:pPr>
              <w:spacing w:after="60"/>
              <w:jc w:val="center"/>
              <w:rPr>
                <w:rFonts w:ascii="Times New Roman" w:hAnsi="Times New Roman" w:cs="Times New Roman"/>
                <w:b/>
                <w:sz w:val="20"/>
                <w:szCs w:val="20"/>
              </w:rPr>
            </w:pPr>
            <w:r w:rsidRPr="00AB1F5A">
              <w:rPr>
                <w:rFonts w:ascii="Times New Roman" w:hAnsi="Times New Roman" w:cs="Times New Roman"/>
                <w:b/>
                <w:sz w:val="20"/>
                <w:szCs w:val="20"/>
              </w:rPr>
              <w:t>Vides riski</w:t>
            </w:r>
          </w:p>
        </w:tc>
        <w:tc>
          <w:tcPr>
            <w:tcW w:w="1701" w:type="dxa"/>
            <w:vAlign w:val="center"/>
          </w:tcPr>
          <w:p w14:paraId="650FC6AF" w14:textId="77777777" w:rsidR="00EA051D" w:rsidRPr="00AB1F5A" w:rsidRDefault="00EA051D" w:rsidP="000C73AC">
            <w:pPr>
              <w:spacing w:after="60"/>
              <w:jc w:val="center"/>
              <w:rPr>
                <w:rFonts w:ascii="Times New Roman" w:hAnsi="Times New Roman" w:cs="Times New Roman"/>
                <w:b/>
                <w:sz w:val="18"/>
                <w:szCs w:val="18"/>
              </w:rPr>
            </w:pPr>
          </w:p>
        </w:tc>
        <w:tc>
          <w:tcPr>
            <w:tcW w:w="1701" w:type="dxa"/>
            <w:vAlign w:val="center"/>
          </w:tcPr>
          <w:p w14:paraId="29461712" w14:textId="77777777" w:rsidR="00EA051D" w:rsidRPr="00AB1F5A" w:rsidRDefault="00EA051D" w:rsidP="000C73AC">
            <w:pPr>
              <w:spacing w:after="60"/>
              <w:jc w:val="center"/>
              <w:rPr>
                <w:rFonts w:ascii="Times New Roman" w:hAnsi="Times New Roman" w:cs="Times New Roman"/>
                <w:b/>
                <w:sz w:val="18"/>
                <w:szCs w:val="18"/>
              </w:rPr>
            </w:pPr>
          </w:p>
        </w:tc>
        <w:tc>
          <w:tcPr>
            <w:tcW w:w="2126" w:type="dxa"/>
            <w:vAlign w:val="center"/>
          </w:tcPr>
          <w:p w14:paraId="00EFCBCF" w14:textId="77777777" w:rsidR="00EA051D" w:rsidRPr="00AB1F5A" w:rsidRDefault="00EA051D" w:rsidP="000C73AC">
            <w:pPr>
              <w:spacing w:after="60"/>
              <w:jc w:val="center"/>
              <w:rPr>
                <w:rFonts w:ascii="Times New Roman" w:hAnsi="Times New Roman" w:cs="Times New Roman"/>
                <w:b/>
                <w:sz w:val="18"/>
                <w:szCs w:val="18"/>
              </w:rPr>
            </w:pPr>
          </w:p>
        </w:tc>
      </w:tr>
      <w:tr w:rsidR="00EA051D" w:rsidRPr="00AB1F5A" w14:paraId="7D13BEEF" w14:textId="77777777" w:rsidTr="00AB1F5A">
        <w:tc>
          <w:tcPr>
            <w:tcW w:w="3256" w:type="dxa"/>
            <w:vAlign w:val="center"/>
          </w:tcPr>
          <w:p w14:paraId="312A9D46" w14:textId="0DFEB22F" w:rsidR="00EA051D" w:rsidRPr="00AB1F5A" w:rsidRDefault="007D6688" w:rsidP="000C73AC">
            <w:pPr>
              <w:spacing w:after="60"/>
              <w:rPr>
                <w:rFonts w:ascii="Times New Roman" w:hAnsi="Times New Roman" w:cs="Times New Roman"/>
                <w:sz w:val="20"/>
                <w:szCs w:val="20"/>
              </w:rPr>
            </w:pPr>
            <w:r w:rsidRPr="00AB1F5A">
              <w:rPr>
                <w:rFonts w:ascii="Times New Roman" w:hAnsi="Times New Roman" w:cs="Times New Roman"/>
                <w:sz w:val="20"/>
                <w:szCs w:val="20"/>
              </w:rPr>
              <w:t>Notekūdeņu d</w:t>
            </w:r>
            <w:r w:rsidR="00EA051D" w:rsidRPr="00AB1F5A">
              <w:rPr>
                <w:rFonts w:ascii="Times New Roman" w:hAnsi="Times New Roman" w:cs="Times New Roman"/>
                <w:sz w:val="20"/>
                <w:szCs w:val="20"/>
              </w:rPr>
              <w:t>ūņu pārstrāde vai utilizācija tiek veikta neatbilstoši vides prasībām</w:t>
            </w:r>
          </w:p>
        </w:tc>
        <w:tc>
          <w:tcPr>
            <w:tcW w:w="1701" w:type="dxa"/>
            <w:shd w:val="clear" w:color="auto" w:fill="FFC000"/>
            <w:vAlign w:val="center"/>
          </w:tcPr>
          <w:p w14:paraId="4AE04961"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1701" w:type="dxa"/>
            <w:shd w:val="clear" w:color="auto" w:fill="92D050"/>
            <w:vAlign w:val="center"/>
          </w:tcPr>
          <w:p w14:paraId="196BE04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92D050"/>
            <w:vAlign w:val="center"/>
          </w:tcPr>
          <w:p w14:paraId="5A86B67D"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r>
      <w:tr w:rsidR="00EA051D" w:rsidRPr="00AB1F5A" w14:paraId="48EBB71B" w14:textId="77777777" w:rsidTr="00AB1F5A">
        <w:tc>
          <w:tcPr>
            <w:tcW w:w="3256" w:type="dxa"/>
            <w:vAlign w:val="center"/>
          </w:tcPr>
          <w:p w14:paraId="7990DBBE" w14:textId="77777777" w:rsidR="00EA051D" w:rsidRPr="00AB1F5A" w:rsidRDefault="00000000" w:rsidP="000C73AC">
            <w:pPr>
              <w:spacing w:after="60"/>
              <w:rPr>
                <w:rFonts w:ascii="Times New Roman" w:hAnsi="Times New Roman" w:cs="Times New Roman"/>
                <w:sz w:val="20"/>
                <w:szCs w:val="20"/>
              </w:rPr>
            </w:pPr>
            <w:sdt>
              <w:sdtPr>
                <w:rPr>
                  <w:rFonts w:ascii="Times New Roman" w:hAnsi="Times New Roman" w:cs="Times New Roman"/>
                </w:rPr>
                <w:tag w:val="goog_rdk_15"/>
                <w:id w:val="-1342313905"/>
              </w:sdtPr>
              <w:sdtContent>
                <w:r w:rsidR="00EA051D" w:rsidRPr="00AB1F5A">
                  <w:rPr>
                    <w:rFonts w:ascii="Times New Roman" w:hAnsi="Times New Roman" w:cs="Times New Roman"/>
                    <w:sz w:val="20"/>
                    <w:szCs w:val="20"/>
                  </w:rPr>
                  <w:t>I</w:t>
                </w:r>
              </w:sdtContent>
            </w:sdt>
            <w:r w:rsidR="00EA051D" w:rsidRPr="00AB1F5A">
              <w:rPr>
                <w:rFonts w:ascii="Times New Roman" w:hAnsi="Times New Roman" w:cs="Times New Roman"/>
                <w:sz w:val="20"/>
                <w:szCs w:val="20"/>
              </w:rPr>
              <w:t xml:space="preserve">zvēlētā </w:t>
            </w:r>
            <w:sdt>
              <w:sdtPr>
                <w:rPr>
                  <w:rFonts w:ascii="Times New Roman" w:hAnsi="Times New Roman" w:cs="Times New Roman"/>
                </w:rPr>
                <w:tag w:val="goog_rdk_15"/>
                <w:id w:val="951898958"/>
              </w:sdtPr>
              <w:sdtContent/>
            </w:sdt>
            <w:r w:rsidR="00EA051D" w:rsidRPr="00AB1F5A">
              <w:rPr>
                <w:rFonts w:ascii="Times New Roman" w:hAnsi="Times New Roman" w:cs="Times New Roman"/>
                <w:sz w:val="20"/>
                <w:szCs w:val="20"/>
              </w:rPr>
              <w:t>alternatīva rada būtiskus vides risku draudus konkrētā vietā</w:t>
            </w:r>
          </w:p>
        </w:tc>
        <w:tc>
          <w:tcPr>
            <w:tcW w:w="1701" w:type="dxa"/>
            <w:shd w:val="clear" w:color="auto" w:fill="FFC000"/>
            <w:vAlign w:val="center"/>
          </w:tcPr>
          <w:p w14:paraId="454B113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1701" w:type="dxa"/>
            <w:shd w:val="clear" w:color="auto" w:fill="FFC000"/>
            <w:vAlign w:val="center"/>
          </w:tcPr>
          <w:p w14:paraId="6BE05B4C"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2126" w:type="dxa"/>
            <w:shd w:val="clear" w:color="auto" w:fill="FF0000"/>
            <w:vAlign w:val="center"/>
          </w:tcPr>
          <w:p w14:paraId="191B572A"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Augsts</w:t>
            </w:r>
          </w:p>
        </w:tc>
      </w:tr>
      <w:tr w:rsidR="00EA051D" w:rsidRPr="00AB1F5A" w14:paraId="7ABDCB5F" w14:textId="77777777" w:rsidTr="00AB1F5A">
        <w:tc>
          <w:tcPr>
            <w:tcW w:w="3256" w:type="dxa"/>
            <w:vAlign w:val="center"/>
          </w:tcPr>
          <w:p w14:paraId="15DC6047"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Izvēlētā alternatīva neveicina vides kvalitātes uzlabošanos</w:t>
            </w:r>
          </w:p>
        </w:tc>
        <w:tc>
          <w:tcPr>
            <w:tcW w:w="1701" w:type="dxa"/>
            <w:shd w:val="clear" w:color="auto" w:fill="92D050"/>
            <w:vAlign w:val="center"/>
          </w:tcPr>
          <w:p w14:paraId="426632A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92D050"/>
            <w:vAlign w:val="center"/>
          </w:tcPr>
          <w:p w14:paraId="65B0EBC1"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FFC000"/>
            <w:vAlign w:val="center"/>
          </w:tcPr>
          <w:p w14:paraId="4F513DD4"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1DBF678F" w14:textId="77777777" w:rsidTr="00AB1F5A">
        <w:tc>
          <w:tcPr>
            <w:tcW w:w="3256" w:type="dxa"/>
            <w:vAlign w:val="center"/>
          </w:tcPr>
          <w:p w14:paraId="5E300827"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lastRenderedPageBreak/>
              <w:t>Tehniskais risinājums veicina atkritumu rašanos</w:t>
            </w:r>
          </w:p>
        </w:tc>
        <w:tc>
          <w:tcPr>
            <w:tcW w:w="1701" w:type="dxa"/>
            <w:shd w:val="clear" w:color="auto" w:fill="92D050"/>
            <w:vAlign w:val="center"/>
          </w:tcPr>
          <w:p w14:paraId="73B597C2"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92D050"/>
            <w:vAlign w:val="center"/>
          </w:tcPr>
          <w:p w14:paraId="188BD44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FFC000"/>
            <w:vAlign w:val="center"/>
          </w:tcPr>
          <w:p w14:paraId="475B89B9"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5B0161BF" w14:textId="77777777" w:rsidTr="00AB1F5A">
        <w:tc>
          <w:tcPr>
            <w:tcW w:w="3256" w:type="dxa"/>
            <w:vAlign w:val="center"/>
          </w:tcPr>
          <w:p w14:paraId="52F49B43"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Tehniskais risinājums veicina piesārņojuma izplatību vidē</w:t>
            </w:r>
          </w:p>
        </w:tc>
        <w:tc>
          <w:tcPr>
            <w:tcW w:w="1701" w:type="dxa"/>
            <w:shd w:val="clear" w:color="auto" w:fill="FFC000"/>
            <w:vAlign w:val="center"/>
          </w:tcPr>
          <w:p w14:paraId="0CF529AB"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1701" w:type="dxa"/>
            <w:shd w:val="clear" w:color="auto" w:fill="92D050"/>
            <w:vAlign w:val="center"/>
          </w:tcPr>
          <w:p w14:paraId="344C2DCF"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2126" w:type="dxa"/>
            <w:shd w:val="clear" w:color="auto" w:fill="92D050"/>
            <w:vAlign w:val="center"/>
          </w:tcPr>
          <w:p w14:paraId="698629E0"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r>
      <w:tr w:rsidR="00EA051D" w:rsidRPr="00AB1F5A" w14:paraId="3E5C83C6" w14:textId="77777777" w:rsidTr="00AB1F5A">
        <w:tc>
          <w:tcPr>
            <w:tcW w:w="3256" w:type="dxa"/>
            <w:vAlign w:val="center"/>
          </w:tcPr>
          <w:p w14:paraId="5F0FC163"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Tehniskais risinājums rada avāriju un katastrofu riskus</w:t>
            </w:r>
          </w:p>
        </w:tc>
        <w:tc>
          <w:tcPr>
            <w:tcW w:w="1701" w:type="dxa"/>
            <w:shd w:val="clear" w:color="auto" w:fill="92D050"/>
            <w:vAlign w:val="center"/>
          </w:tcPr>
          <w:p w14:paraId="7A7AED7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C000"/>
            <w:vAlign w:val="center"/>
          </w:tcPr>
          <w:p w14:paraId="58F5141F"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2126" w:type="dxa"/>
            <w:shd w:val="clear" w:color="auto" w:fill="FFC000"/>
            <w:vAlign w:val="center"/>
          </w:tcPr>
          <w:p w14:paraId="4D11C91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r w:rsidR="00EA051D" w:rsidRPr="00AB1F5A" w14:paraId="2C124225" w14:textId="77777777" w:rsidTr="00AB1F5A">
        <w:tc>
          <w:tcPr>
            <w:tcW w:w="3256" w:type="dxa"/>
            <w:vAlign w:val="center"/>
          </w:tcPr>
          <w:p w14:paraId="7E38058A" w14:textId="77777777" w:rsidR="00EA051D" w:rsidRPr="00AB1F5A" w:rsidRDefault="00EA051D" w:rsidP="000C73AC">
            <w:pPr>
              <w:spacing w:after="60"/>
              <w:rPr>
                <w:rFonts w:ascii="Times New Roman" w:hAnsi="Times New Roman" w:cs="Times New Roman"/>
                <w:sz w:val="20"/>
                <w:szCs w:val="20"/>
              </w:rPr>
            </w:pPr>
            <w:r w:rsidRPr="00AB1F5A">
              <w:rPr>
                <w:rFonts w:ascii="Times New Roman" w:hAnsi="Times New Roman" w:cs="Times New Roman"/>
                <w:sz w:val="20"/>
                <w:szCs w:val="20"/>
              </w:rPr>
              <w:t>Tehniskais risinājums rada cilvēku veselības riskus</w:t>
            </w:r>
          </w:p>
        </w:tc>
        <w:tc>
          <w:tcPr>
            <w:tcW w:w="1701" w:type="dxa"/>
            <w:shd w:val="clear" w:color="auto" w:fill="92D050"/>
            <w:vAlign w:val="center"/>
          </w:tcPr>
          <w:p w14:paraId="46396B54"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Zems</w:t>
            </w:r>
          </w:p>
        </w:tc>
        <w:tc>
          <w:tcPr>
            <w:tcW w:w="1701" w:type="dxa"/>
            <w:shd w:val="clear" w:color="auto" w:fill="FFC000"/>
            <w:vAlign w:val="center"/>
          </w:tcPr>
          <w:p w14:paraId="23D75A72"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c>
          <w:tcPr>
            <w:tcW w:w="2126" w:type="dxa"/>
            <w:shd w:val="clear" w:color="auto" w:fill="FFC000"/>
            <w:vAlign w:val="center"/>
          </w:tcPr>
          <w:p w14:paraId="17B59498" w14:textId="77777777" w:rsidR="00EA051D" w:rsidRPr="00AB1F5A" w:rsidRDefault="00EA051D" w:rsidP="000C73AC">
            <w:pPr>
              <w:spacing w:after="60"/>
              <w:jc w:val="center"/>
              <w:rPr>
                <w:rFonts w:ascii="Times New Roman" w:hAnsi="Times New Roman" w:cs="Times New Roman"/>
                <w:sz w:val="18"/>
                <w:szCs w:val="18"/>
              </w:rPr>
            </w:pPr>
            <w:r w:rsidRPr="00AB1F5A">
              <w:rPr>
                <w:rFonts w:ascii="Times New Roman" w:hAnsi="Times New Roman" w:cs="Times New Roman"/>
                <w:sz w:val="18"/>
                <w:szCs w:val="18"/>
              </w:rPr>
              <w:t>Vidējs</w:t>
            </w:r>
          </w:p>
        </w:tc>
      </w:tr>
    </w:tbl>
    <w:p w14:paraId="53803E63" w14:textId="1CA0D1E9" w:rsidR="00EA051D" w:rsidRPr="00AB1F5A" w:rsidRDefault="00EA051D" w:rsidP="00EA051D">
      <w:pPr>
        <w:spacing w:before="120" w:after="120"/>
        <w:rPr>
          <w:rFonts w:ascii="Times New Roman" w:hAnsi="Times New Roman" w:cs="Times New Roman"/>
        </w:rPr>
      </w:pPr>
      <w:r w:rsidRPr="00AB1F5A">
        <w:rPr>
          <w:rFonts w:ascii="Times New Roman" w:hAnsi="Times New Roman" w:cs="Times New Roman"/>
        </w:rPr>
        <w:t>Salīdzinot alternatīvas pēc veiktā risku izvērtējuma 4</w:t>
      </w:r>
      <w:r w:rsidR="00967450" w:rsidRPr="00AB1F5A">
        <w:rPr>
          <w:rFonts w:ascii="Times New Roman" w:hAnsi="Times New Roman" w:cs="Times New Roman"/>
          <w:bCs/>
          <w:szCs w:val="24"/>
        </w:rPr>
        <w:t>.</w:t>
      </w:r>
      <w:r w:rsidR="00967450">
        <w:rPr>
          <w:rFonts w:ascii="Times New Roman" w:hAnsi="Times New Roman" w:cs="Times New Roman"/>
          <w:bCs/>
          <w:szCs w:val="24"/>
        </w:rPr>
        <w:t>3.4</w:t>
      </w:r>
      <w:r w:rsidRPr="00AB1F5A">
        <w:rPr>
          <w:rFonts w:ascii="Times New Roman" w:hAnsi="Times New Roman" w:cs="Times New Roman"/>
        </w:rPr>
        <w:t>.tabulā var izdarīt vairākus secinājumus:</w:t>
      </w:r>
    </w:p>
    <w:p w14:paraId="79E63799" w14:textId="4582B532" w:rsidR="00EA051D" w:rsidRPr="00AB1F5A" w:rsidRDefault="00EA051D" w:rsidP="00EA051D">
      <w:pPr>
        <w:rPr>
          <w:rFonts w:ascii="Times New Roman" w:hAnsi="Times New Roman" w:cs="Times New Roman"/>
        </w:rPr>
      </w:pPr>
      <w:r w:rsidRPr="00AB1F5A">
        <w:rPr>
          <w:rFonts w:ascii="Times New Roman" w:hAnsi="Times New Roman" w:cs="Times New Roman"/>
          <w:b/>
          <w:szCs w:val="20"/>
        </w:rPr>
        <w:t>B1. alternatīva: Pārstrādātu notekūdeņu dūņu iestrāde augsnē</w:t>
      </w:r>
      <w:r w:rsidRPr="00AB1F5A">
        <w:rPr>
          <w:rFonts w:ascii="Times New Roman" w:hAnsi="Times New Roman" w:cs="Times New Roman"/>
        </w:rPr>
        <w:t xml:space="preserve"> no risku izvērtējuma viedokļa ir raksturojama ar zemiem ārējiem riskiem, kā arī ar zemiem vai vidējiem iekšējiem un vides riskiem. Lielākie riski ir saistīti ar uzturēšanas izmaksu pieaugumu, salīdzinājumā pret esošo izmaksu apjomu, atbilstoša kvalificēta personāla nepieciešamību, kuru zināšanas ir viegli apgūstamas, kā arī ar nepieciešamām zemes platībām visu pārstrādātu notekūdeņu dūņu utilizācijai. Nozīmīgi ārējie riski šai alternatīvai nav identificēti. Lielākie vides riski saistīti ar atbilstoša daudzuma dūņu utilizāciju augsnē. Ņemot vērā, ka </w:t>
      </w:r>
      <w:r w:rsidR="007D6688" w:rsidRPr="00AB1F5A">
        <w:rPr>
          <w:rFonts w:ascii="Times New Roman" w:hAnsi="Times New Roman" w:cs="Times New Roman"/>
        </w:rPr>
        <w:t xml:space="preserve">notekūdeņu </w:t>
      </w:r>
      <w:r w:rsidRPr="00AB1F5A">
        <w:rPr>
          <w:rFonts w:ascii="Times New Roman" w:hAnsi="Times New Roman" w:cs="Times New Roman"/>
        </w:rPr>
        <w:t xml:space="preserve">dūņās ir dažādas vielas un elementi, kā slāpeklis, fosfors un smagie metāli, tad </w:t>
      </w:r>
      <w:r w:rsidR="007D6688" w:rsidRPr="00AB1F5A">
        <w:rPr>
          <w:rFonts w:ascii="Times New Roman" w:hAnsi="Times New Roman" w:cs="Times New Roman"/>
        </w:rPr>
        <w:t>to</w:t>
      </w:r>
      <w:r w:rsidRPr="00AB1F5A">
        <w:rPr>
          <w:rFonts w:ascii="Times New Roman" w:hAnsi="Times New Roman" w:cs="Times New Roman"/>
        </w:rPr>
        <w:t xml:space="preserve"> izkliedes blīvums iestrādei augsnē ir atkarīgs no šo vielu koncentrācijas </w:t>
      </w:r>
      <w:r w:rsidR="007D6688" w:rsidRPr="00AB1F5A">
        <w:rPr>
          <w:rFonts w:ascii="Times New Roman" w:hAnsi="Times New Roman" w:cs="Times New Roman"/>
        </w:rPr>
        <w:t>materiālā</w:t>
      </w:r>
      <w:r w:rsidRPr="00AB1F5A">
        <w:rPr>
          <w:rFonts w:ascii="Times New Roman" w:hAnsi="Times New Roman" w:cs="Times New Roman"/>
        </w:rPr>
        <w:t>. Ir jāveic precīzi aprēķini, lai zinātu atbilstoši izkliedējamo</w:t>
      </w:r>
      <w:r w:rsidR="007D6688" w:rsidRPr="00AB1F5A">
        <w:rPr>
          <w:rFonts w:ascii="Times New Roman" w:hAnsi="Times New Roman" w:cs="Times New Roman"/>
        </w:rPr>
        <w:t xml:space="preserve"> notekūdeņu</w:t>
      </w:r>
      <w:r w:rsidRPr="00AB1F5A">
        <w:rPr>
          <w:rFonts w:ascii="Times New Roman" w:hAnsi="Times New Roman" w:cs="Times New Roman"/>
        </w:rPr>
        <w:t xml:space="preserve"> dūņu daudzums uz vienu ha. Visi vērtētie riski minētai alternatīvai ir daudz mazāki salīdzinājumā ar citu alternatīvo utilizācijas  risinājumu riskiem.</w:t>
      </w:r>
      <w:r w:rsidR="00CF4AA9" w:rsidRPr="00AB1F5A">
        <w:rPr>
          <w:rFonts w:ascii="Times New Roman" w:hAnsi="Times New Roman" w:cs="Times New Roman"/>
        </w:rPr>
        <w:t xml:space="preserve"> Vienlaikus vid</w:t>
      </w:r>
      <w:r w:rsidR="00E90E71">
        <w:rPr>
          <w:rFonts w:ascii="Times New Roman" w:hAnsi="Times New Roman" w:cs="Times New Roman"/>
        </w:rPr>
        <w:t>e</w:t>
      </w:r>
      <w:r w:rsidR="00CF4AA9" w:rsidRPr="00AB1F5A">
        <w:rPr>
          <w:rFonts w:ascii="Times New Roman" w:hAnsi="Times New Roman" w:cs="Times New Roman"/>
        </w:rPr>
        <w:t xml:space="preserve">s risku novēršanai ir precīza notekūdeņu dūņu iestrādes algoritma </w:t>
      </w:r>
      <w:r w:rsidR="00AA24E2" w:rsidRPr="00AB1F5A">
        <w:rPr>
          <w:rFonts w:ascii="Times New Roman" w:hAnsi="Times New Roman" w:cs="Times New Roman"/>
        </w:rPr>
        <w:t xml:space="preserve">un nosacījumu </w:t>
      </w:r>
      <w:r w:rsidR="00CF4AA9" w:rsidRPr="00AB1F5A">
        <w:rPr>
          <w:rFonts w:ascii="Times New Roman" w:hAnsi="Times New Roman" w:cs="Times New Roman"/>
        </w:rPr>
        <w:t>ievērošana, kas noteikta attiecīgajos normatīvajos aktos</w:t>
      </w:r>
    </w:p>
    <w:p w14:paraId="0FEFEE68" w14:textId="77777777" w:rsidR="00EA051D" w:rsidRPr="00AB1F5A" w:rsidRDefault="00EA051D" w:rsidP="00EA051D">
      <w:pPr>
        <w:rPr>
          <w:rFonts w:ascii="Times New Roman" w:hAnsi="Times New Roman" w:cs="Times New Roman"/>
        </w:rPr>
      </w:pPr>
      <w:r w:rsidRPr="00AB1F5A">
        <w:rPr>
          <w:rFonts w:ascii="Times New Roman" w:hAnsi="Times New Roman" w:cs="Times New Roman"/>
          <w:b/>
          <w:szCs w:val="20"/>
        </w:rPr>
        <w:t xml:space="preserve">B2. alternatīva: Pārstrādātu notekūdeņu dūņu dedzināšana cementa rūpnīcā </w:t>
      </w:r>
      <w:r w:rsidRPr="00AB1F5A">
        <w:rPr>
          <w:rFonts w:ascii="Times New Roman" w:hAnsi="Times New Roman" w:cs="Times New Roman"/>
        </w:rPr>
        <w:t xml:space="preserve">norāda uz būtiskiem iekšējiem un ārējiem riskiem, savukārt vides riski ir salīdzinoši zemi, jo </w:t>
      </w:r>
      <w:sdt>
        <w:sdtPr>
          <w:rPr>
            <w:rFonts w:ascii="Times New Roman" w:hAnsi="Times New Roman" w:cs="Times New Roman"/>
          </w:rPr>
          <w:tag w:val="goog_rdk_56"/>
          <w:id w:val="-1088385850"/>
        </w:sdtPr>
        <w:sdtContent/>
      </w:sdt>
      <w:r w:rsidRPr="00AB1F5A">
        <w:rPr>
          <w:rFonts w:ascii="Times New Roman" w:hAnsi="Times New Roman" w:cs="Times New Roman"/>
        </w:rPr>
        <w:t xml:space="preserve">cementa rūpnīcas jau šobrīd strādā atbilstoši augstām vides prasībām un dūņu izmantošana neradītu būtiskus papildus vides riskus. Iekšējie riski ir būtiski, kas attiecas uz nepieciešamību pārkārtot visu esošo notekūdeņu dūņu apsaimniekošanas sistēmu, ieviest jaunas tehnoloģijas, kam būs nepieciešams liels finansējums, nepieciešamība pēc jauna, īpaši apmācīta personāla, augsts ikgadējo uzturēšanas izmaksu risks, kā arī risks nesasniegt aprites ekonomikas principu ievērošanu. Ar zemu risku novērtējumu tiek vērtēta papildus zemju platību nepieciešamība, kas šīs alternatīvas gadījumā faktiski nav nepieciešamas (izņemot žāvēšanas iekārtu izvietošanai), kā arī pastāv risks, ka ieguldītās investīcijas nesasniedz mērķi. Ārējo risku lielākie draudi tiek saskatīta būtiskām likumdošanas regulējuma izmaiņās un alternatīva ir tehniski sarežģīta. </w:t>
      </w:r>
    </w:p>
    <w:p w14:paraId="0299CF25" w14:textId="5474B56D" w:rsidR="00EA051D" w:rsidRPr="00AB1F5A" w:rsidRDefault="00EA051D" w:rsidP="00EA051D">
      <w:pPr>
        <w:spacing w:before="240"/>
        <w:rPr>
          <w:rFonts w:ascii="Times New Roman" w:hAnsi="Times New Roman" w:cs="Times New Roman"/>
        </w:rPr>
      </w:pPr>
      <w:r w:rsidRPr="00AB1F5A">
        <w:rPr>
          <w:rFonts w:ascii="Times New Roman" w:hAnsi="Times New Roman" w:cs="Times New Roman"/>
          <w:b/>
          <w:szCs w:val="20"/>
        </w:rPr>
        <w:t xml:space="preserve">B3. alternatīva: Notekūdeņu dūņās esošo resursu utilizācija ar dažādām inovatīvām metodēm </w:t>
      </w:r>
      <w:r w:rsidRPr="00AB1F5A">
        <w:rPr>
          <w:rFonts w:ascii="Times New Roman" w:hAnsi="Times New Roman" w:cs="Times New Roman"/>
        </w:rPr>
        <w:t xml:space="preserve">risku novērtējums liecina par augstiem iekšējiem un ārējiem riskiem, kā arī vidēji augstiem vides riskiem. Augsti iekšējie riski saistīti ar būtiskām izmaiņām esošajā </w:t>
      </w:r>
      <w:r w:rsidR="007D6688" w:rsidRPr="00AB1F5A">
        <w:rPr>
          <w:rFonts w:ascii="Times New Roman" w:hAnsi="Times New Roman" w:cs="Times New Roman"/>
        </w:rPr>
        <w:t xml:space="preserve">notekūdeņu </w:t>
      </w:r>
      <w:r w:rsidRPr="00AB1F5A">
        <w:rPr>
          <w:rFonts w:ascii="Times New Roman" w:hAnsi="Times New Roman" w:cs="Times New Roman"/>
        </w:rPr>
        <w:t xml:space="preserve">dūņu apsaimniekošanas sistēmā, nepieciešamību ieviest jaunu specifisku tehniku, kurai būs nepieciešams atbilstošs personāls un tā visa realizācijai nepieciešams liels </w:t>
      </w:r>
      <w:r w:rsidRPr="00AB1F5A">
        <w:rPr>
          <w:rFonts w:ascii="Times New Roman" w:hAnsi="Times New Roman" w:cs="Times New Roman"/>
        </w:rPr>
        <w:lastRenderedPageBreak/>
        <w:t xml:space="preserve">kapitālo investīciju ieguldījums un augstas uzturēšanas izmaksas. Ņemot vērā, ka šie inovatīvie risinājumi nav pilnībā aprobēti un ieviesti, vai plaši pārbaudīti ikdienas darbībā, tad pastāv arī augsts risks, ka alternatīva nesasniedz izvirzītos mērķus, jo jaunradītais produkts nebūs pieprasīts. Arī attiecībā uz zemes platību nepieciešamību ir skaidrs, ka šādu inovatīvu dūņu apstrādes iekārtu izvietošanai būtu nepieciešamas jaunas zemes platības, tālu no apdzīvotām vietām, jo notekūdeņu dūņas to pārstrādes procesā izplata smaku. Novērtējot ārējos riskus var secināt, ka tie ir augsti - alternatīvas ieviešanai ir nepieciešamas būtiskas valsts atbalsts, alternatīva kopumā ir sarežģīta un tai pastāv daudz labāki, aizvietojoši risinājumi. Savukārt alternatīvā risinājuma vides riski ir vidēji vai zemi, bet augstāki salīdzinājumā ar citiem alternatīviem risinājumiem. Alternatīvais risinājums rada būtiskus vides riskus konkrētā dūņu pārstrādes vietā, jo būtu jāuzglabā gan apstrādātas </w:t>
      </w:r>
      <w:r w:rsidR="007D6688" w:rsidRPr="00AB1F5A">
        <w:rPr>
          <w:rFonts w:ascii="Times New Roman" w:hAnsi="Times New Roman" w:cs="Times New Roman"/>
        </w:rPr>
        <w:t xml:space="preserve">notekūdeņu </w:t>
      </w:r>
      <w:r w:rsidRPr="00AB1F5A">
        <w:rPr>
          <w:rFonts w:ascii="Times New Roman" w:hAnsi="Times New Roman" w:cs="Times New Roman"/>
        </w:rPr>
        <w:t xml:space="preserve">dūņas,  gan pārstrādātais  notekūdeņu dūņu produkts. Lielā visu </w:t>
      </w:r>
      <w:r w:rsidR="007D6688" w:rsidRPr="00AB1F5A">
        <w:rPr>
          <w:rFonts w:ascii="Times New Roman" w:hAnsi="Times New Roman" w:cs="Times New Roman"/>
        </w:rPr>
        <w:t xml:space="preserve">notekūdeņu </w:t>
      </w:r>
      <w:r w:rsidRPr="00AB1F5A">
        <w:rPr>
          <w:rFonts w:ascii="Times New Roman" w:hAnsi="Times New Roman" w:cs="Times New Roman"/>
        </w:rPr>
        <w:t>dūņu centralizācija vienā vietā, radītu šai vietā lielus potenciālos vides piesārņojuma riskus. Tāpat risinājums neveicina būtisku kopēju vides kvalitātes uzlabošanos.</w:t>
      </w:r>
    </w:p>
    <w:p w14:paraId="61AC7D3B" w14:textId="77777777" w:rsidR="00EA051D" w:rsidRPr="00AB1F5A" w:rsidRDefault="00EA051D" w:rsidP="00EA051D">
      <w:pPr>
        <w:jc w:val="center"/>
        <w:rPr>
          <w:rFonts w:ascii="Times New Roman" w:hAnsi="Times New Roman" w:cs="Times New Roman"/>
          <w:szCs w:val="24"/>
          <w:u w:val="single"/>
        </w:rPr>
      </w:pPr>
      <w:r w:rsidRPr="00AB1F5A">
        <w:rPr>
          <w:rFonts w:ascii="Times New Roman" w:hAnsi="Times New Roman" w:cs="Times New Roman"/>
          <w:szCs w:val="24"/>
          <w:u w:val="single"/>
        </w:rPr>
        <w:t>Secinājumi par pārstrādātu notekūdeņu dūņu utilizācijas alternatīvām</w:t>
      </w:r>
    </w:p>
    <w:p w14:paraId="314D2285" w14:textId="004DADE8" w:rsidR="00EA051D" w:rsidRPr="00AB1F5A" w:rsidRDefault="00EA051D" w:rsidP="00D557B9">
      <w:pPr>
        <w:spacing w:before="240"/>
        <w:ind w:firstLine="720"/>
        <w:rPr>
          <w:rFonts w:ascii="Times New Roman" w:hAnsi="Times New Roman" w:cs="Times New Roman"/>
          <w:i/>
        </w:rPr>
      </w:pPr>
      <w:r w:rsidRPr="00AB1F5A">
        <w:rPr>
          <w:rFonts w:ascii="Times New Roman" w:hAnsi="Times New Roman" w:cs="Times New Roman"/>
        </w:rPr>
        <w:t xml:space="preserve">Novērtējot visus dūņu utilizācijas risinājumus, ir secināms, ka </w:t>
      </w:r>
      <w:r w:rsidRPr="00AB1F5A">
        <w:rPr>
          <w:rFonts w:ascii="Times New Roman" w:hAnsi="Times New Roman" w:cs="Times New Roman"/>
          <w:b/>
        </w:rPr>
        <w:t>pārstrādātu notekūdeņu dūņu iestrāde augsnē ir labākais,  efektīvākais un piemērotākais dūņu utilizācijas risinājums. Augsnes bagātināšana ar pārstrādātām notekūdeņu veicina ilgtspējīgu lauksaimniecību, kā arī noturīgu, iekļaujošu un ilgtspējīgu ekonomikas izaugsmi</w:t>
      </w:r>
      <w:r w:rsidRPr="00AB1F5A">
        <w:rPr>
          <w:rFonts w:ascii="Times New Roman" w:hAnsi="Times New Roman" w:cs="Times New Roman"/>
        </w:rPr>
        <w:t xml:space="preserve"> </w:t>
      </w:r>
      <w:r w:rsidRPr="00AB1F5A">
        <w:rPr>
          <w:rFonts w:ascii="Times New Roman" w:hAnsi="Times New Roman" w:cs="Times New Roman"/>
          <w:i/>
        </w:rPr>
        <w:t>(ANO Ilgtspējīgas attīstības mērķis, nosaukumu “Transforming our world: the 2030 Agenda for Sustainable Development”)</w:t>
      </w:r>
      <w:r w:rsidRPr="00AB1F5A">
        <w:rPr>
          <w:rStyle w:val="FootnoteReference"/>
          <w:rFonts w:ascii="Times New Roman" w:hAnsi="Times New Roman" w:cs="Times New Roman"/>
          <w:i/>
        </w:rPr>
        <w:footnoteReference w:id="30"/>
      </w:r>
      <w:r w:rsidRPr="00AB1F5A">
        <w:rPr>
          <w:rFonts w:ascii="Times New Roman" w:hAnsi="Times New Roman" w:cs="Times New Roman"/>
        </w:rPr>
        <w:t xml:space="preserve">, </w:t>
      </w:r>
      <w:r w:rsidRPr="00AB1F5A">
        <w:rPr>
          <w:rFonts w:ascii="Times New Roman" w:hAnsi="Times New Roman" w:cs="Times New Roman"/>
          <w:b/>
        </w:rPr>
        <w:t>mazina atkritumu daudzumu, atgūst resursos ieslēpto ekonomisko vērtību, samazina ietekmi uz vidi un klimata pārmaiņām</w:t>
      </w:r>
      <w:r w:rsidRPr="00AB1F5A">
        <w:rPr>
          <w:rFonts w:ascii="Times New Roman" w:hAnsi="Times New Roman" w:cs="Times New Roman"/>
        </w:rPr>
        <w:t xml:space="preserve"> </w:t>
      </w:r>
      <w:r w:rsidRPr="00AB1F5A">
        <w:rPr>
          <w:rFonts w:ascii="Times New Roman" w:hAnsi="Times New Roman" w:cs="Times New Roman"/>
          <w:i/>
        </w:rPr>
        <w:t>(Eiropas Zaļais kurss)</w:t>
      </w:r>
      <w:r w:rsidRPr="00AB1F5A">
        <w:rPr>
          <w:rStyle w:val="FootnoteReference"/>
          <w:rFonts w:ascii="Times New Roman" w:hAnsi="Times New Roman" w:cs="Times New Roman"/>
          <w:i/>
        </w:rPr>
        <w:footnoteReference w:id="31"/>
      </w:r>
      <w:r w:rsidRPr="00AB1F5A">
        <w:rPr>
          <w:rFonts w:ascii="Times New Roman" w:hAnsi="Times New Roman" w:cs="Times New Roman"/>
        </w:rPr>
        <w:t xml:space="preserve">, </w:t>
      </w:r>
      <w:r w:rsidRPr="00AB1F5A">
        <w:rPr>
          <w:rFonts w:ascii="Times New Roman" w:hAnsi="Times New Roman" w:cs="Times New Roman"/>
          <w:b/>
        </w:rPr>
        <w:t>nodrošina, ka materiāli, kurus var pārstrādāt, atkal atgriežas ekonomikā kā jaunas izejvielas un tādējādi palielina apgādes drošību</w:t>
      </w:r>
      <w:r w:rsidRPr="00AB1F5A">
        <w:rPr>
          <w:rFonts w:ascii="Times New Roman" w:hAnsi="Times New Roman" w:cs="Times New Roman"/>
        </w:rPr>
        <w:t xml:space="preserve"> </w:t>
      </w:r>
      <w:r w:rsidRPr="00AB1F5A">
        <w:rPr>
          <w:rFonts w:ascii="Times New Roman" w:hAnsi="Times New Roman" w:cs="Times New Roman"/>
          <w:i/>
        </w:rPr>
        <w:t>(ES Rīcības plāns pārejai uz aprites ekonomiku)</w:t>
      </w:r>
      <w:r w:rsidRPr="00AB1F5A">
        <w:rPr>
          <w:rStyle w:val="FootnoteReference"/>
          <w:rFonts w:ascii="Times New Roman" w:hAnsi="Times New Roman" w:cs="Times New Roman"/>
          <w:i/>
        </w:rPr>
        <w:footnoteReference w:id="32"/>
      </w:r>
      <w:r w:rsidRPr="00AB1F5A">
        <w:rPr>
          <w:rFonts w:ascii="Times New Roman" w:hAnsi="Times New Roman" w:cs="Times New Roman"/>
        </w:rPr>
        <w:t xml:space="preserve">, </w:t>
      </w:r>
      <w:r w:rsidRPr="00AB1F5A">
        <w:rPr>
          <w:rFonts w:ascii="Times New Roman" w:hAnsi="Times New Roman" w:cs="Times New Roman"/>
          <w:b/>
        </w:rPr>
        <w:t>nodrošina barības vielu ilgtspējīgāku izmantošanu un stimulē atgūto barības vielu tirgus</w:t>
      </w:r>
      <w:r w:rsidRPr="00AB1F5A">
        <w:rPr>
          <w:rFonts w:ascii="Times New Roman" w:hAnsi="Times New Roman" w:cs="Times New Roman"/>
        </w:rPr>
        <w:t xml:space="preserve"> </w:t>
      </w:r>
      <w:r w:rsidRPr="00AB1F5A">
        <w:rPr>
          <w:rFonts w:ascii="Times New Roman" w:hAnsi="Times New Roman" w:cs="Times New Roman"/>
          <w:i/>
        </w:rPr>
        <w:t>(Jauns aprites ekonomikas rīcības plāns. Par tīrāku un konkurētspējīgāku Eiropu)</w:t>
      </w:r>
      <w:r w:rsidRPr="00AB1F5A">
        <w:rPr>
          <w:rStyle w:val="FootnoteReference"/>
          <w:rFonts w:ascii="Times New Roman" w:hAnsi="Times New Roman" w:cs="Times New Roman"/>
          <w:i/>
        </w:rPr>
        <w:footnoteReference w:id="33"/>
      </w:r>
      <w:r w:rsidRPr="00AB1F5A">
        <w:rPr>
          <w:rFonts w:ascii="Times New Roman" w:hAnsi="Times New Roman" w:cs="Times New Roman"/>
        </w:rPr>
        <w:t xml:space="preserve">. </w:t>
      </w:r>
      <w:r w:rsidR="007D6688" w:rsidRPr="00AB1F5A">
        <w:rPr>
          <w:rFonts w:ascii="Times New Roman" w:hAnsi="Times New Roman" w:cs="Times New Roman"/>
          <w:b/>
        </w:rPr>
        <w:t>Notekūdeņu d</w:t>
      </w:r>
      <w:r w:rsidRPr="00AB1F5A">
        <w:rPr>
          <w:rFonts w:ascii="Times New Roman" w:hAnsi="Times New Roman" w:cs="Times New Roman"/>
          <w:b/>
        </w:rPr>
        <w:t>ūņu utilizācija ir jāveic atbildīgi, jo notekūdeņu dūņās esoš</w:t>
      </w:r>
      <w:r w:rsidR="004C30E2" w:rsidRPr="00AB1F5A">
        <w:rPr>
          <w:rFonts w:ascii="Times New Roman" w:hAnsi="Times New Roman" w:cs="Times New Roman"/>
          <w:b/>
        </w:rPr>
        <w:t>ie</w:t>
      </w:r>
      <w:r w:rsidRPr="00AB1F5A">
        <w:rPr>
          <w:rFonts w:ascii="Times New Roman" w:hAnsi="Times New Roman" w:cs="Times New Roman"/>
          <w:b/>
        </w:rPr>
        <w:t xml:space="preserve"> </w:t>
      </w:r>
      <w:r w:rsidR="004C30E2" w:rsidRPr="00AB1F5A">
        <w:rPr>
          <w:rFonts w:ascii="Times New Roman" w:hAnsi="Times New Roman" w:cs="Times New Roman"/>
          <w:b/>
        </w:rPr>
        <w:t>augu barošanās elementi</w:t>
      </w:r>
      <w:r w:rsidRPr="00AB1F5A">
        <w:rPr>
          <w:rFonts w:ascii="Times New Roman" w:hAnsi="Times New Roman" w:cs="Times New Roman"/>
          <w:b/>
        </w:rPr>
        <w:t xml:space="preserve">, smagie metāli, vai jebkādi citi piesārņojoši elementi nedrīkst radīt ietekmi uz apkārtējo vidi un </w:t>
      </w:r>
      <w:r w:rsidR="007D6688" w:rsidRPr="00AB1F5A">
        <w:rPr>
          <w:rFonts w:ascii="Times New Roman" w:hAnsi="Times New Roman" w:cs="Times New Roman"/>
          <w:b/>
        </w:rPr>
        <w:t xml:space="preserve">notekūdeņu </w:t>
      </w:r>
      <w:r w:rsidRPr="00AB1F5A">
        <w:rPr>
          <w:rFonts w:ascii="Times New Roman" w:hAnsi="Times New Roman" w:cs="Times New Roman"/>
          <w:b/>
        </w:rPr>
        <w:t>dūņu kā resursa izmantošana ir lielā mērā skatāma kontekstā ar to kvalitātes un vides nekaitīguma parametriem</w:t>
      </w:r>
      <w:r w:rsidRPr="00AB1F5A">
        <w:rPr>
          <w:rFonts w:ascii="Times New Roman" w:hAnsi="Times New Roman" w:cs="Times New Roman"/>
          <w:i/>
        </w:rPr>
        <w:t xml:space="preserve"> (Eiropas Zaļais kurss).</w:t>
      </w:r>
    </w:p>
    <w:p w14:paraId="773209E0" w14:textId="7CF181D4" w:rsidR="00EA051D" w:rsidRPr="00AB1F5A" w:rsidRDefault="00EA051D" w:rsidP="00D557B9">
      <w:pPr>
        <w:spacing w:before="240"/>
        <w:ind w:firstLine="720"/>
        <w:rPr>
          <w:rFonts w:ascii="Times New Roman" w:hAnsi="Times New Roman" w:cs="Times New Roman"/>
        </w:rPr>
      </w:pPr>
      <w:r w:rsidRPr="00AB1F5A">
        <w:rPr>
          <w:rFonts w:ascii="Times New Roman" w:hAnsi="Times New Roman" w:cs="Times New Roman"/>
        </w:rPr>
        <w:t xml:space="preserve">Pārstrādātu </w:t>
      </w:r>
      <w:r w:rsidR="007D6688" w:rsidRPr="00AB1F5A">
        <w:rPr>
          <w:rFonts w:ascii="Times New Roman" w:hAnsi="Times New Roman" w:cs="Times New Roman"/>
        </w:rPr>
        <w:t xml:space="preserve">notekūdeņu </w:t>
      </w:r>
      <w:r w:rsidRPr="00AB1F5A">
        <w:rPr>
          <w:rFonts w:ascii="Times New Roman" w:hAnsi="Times New Roman" w:cs="Times New Roman"/>
        </w:rPr>
        <w:t>dūņu utilizācijas izmaksas ir ļoti zemas salīdzinājumā ar citiem izskatītiem alternatīviem</w:t>
      </w:r>
      <w:r w:rsidR="007D6688" w:rsidRPr="00AB1F5A">
        <w:rPr>
          <w:rFonts w:ascii="Times New Roman" w:hAnsi="Times New Roman" w:cs="Times New Roman"/>
        </w:rPr>
        <w:t xml:space="preserve"> </w:t>
      </w:r>
      <w:r w:rsidRPr="00AB1F5A">
        <w:rPr>
          <w:rFonts w:ascii="Times New Roman" w:hAnsi="Times New Roman" w:cs="Times New Roman"/>
        </w:rPr>
        <w:t>utilizācijas risinājumiem.</w:t>
      </w:r>
    </w:p>
    <w:p w14:paraId="619E0A5C" w14:textId="23BAF66A" w:rsidR="00AA24E2" w:rsidRPr="00AB1F5A" w:rsidRDefault="00EA051D" w:rsidP="00D557B9">
      <w:pPr>
        <w:spacing w:before="240"/>
        <w:ind w:firstLine="720"/>
        <w:rPr>
          <w:rFonts w:ascii="Times New Roman" w:hAnsi="Times New Roman" w:cs="Times New Roman"/>
        </w:rPr>
      </w:pPr>
      <w:r w:rsidRPr="00AB1F5A">
        <w:rPr>
          <w:rFonts w:ascii="Times New Roman" w:hAnsi="Times New Roman" w:cs="Times New Roman"/>
        </w:rPr>
        <w:lastRenderedPageBreak/>
        <w:t xml:space="preserve">Pārstrādātu notekūdeņu dūņu iestrāde augsnē jau šobrīd ir ES un LR normatīvo aktu regulējumam atbilstošs risinājums, tomēr efektīvai </w:t>
      </w:r>
      <w:r w:rsidR="007D6688" w:rsidRPr="00AB1F5A">
        <w:rPr>
          <w:rFonts w:ascii="Times New Roman" w:hAnsi="Times New Roman" w:cs="Times New Roman"/>
        </w:rPr>
        <w:t xml:space="preserve">notekūdeņu </w:t>
      </w:r>
      <w:r w:rsidRPr="00AB1F5A">
        <w:rPr>
          <w:rFonts w:ascii="Times New Roman" w:hAnsi="Times New Roman" w:cs="Times New Roman"/>
        </w:rPr>
        <w:t xml:space="preserve">dūņu kā augsnes auglības bagātināšanas līdzekļa izplatībai un popularizēšanai būtu nepieciešams veikt izmaiņas MK noteikumos Nr.362, piemēram, precizēt pārstrādātu notekūdeņu dūņu (vai tā komposta) kvalitātes apliecībā iekļaujamo informāciju. </w:t>
      </w:r>
      <w:r w:rsidR="00AA24E2" w:rsidRPr="00AB1F5A">
        <w:rPr>
          <w:rFonts w:ascii="Times New Roman" w:hAnsi="Times New Roman" w:cs="Times New Roman"/>
        </w:rPr>
        <w:t xml:space="preserve">Vienlaikus risinājuma izmantošanas plašās iespējas nākotnē var ietekmēt gan plānotās izmaiņas Direktīvā 86/278/EEK, nosakot stingrākas prasības un jaunas robežvērtībās esošajiem un jaunajiem piesārņotājiem, kurus satur notekūdeņu dūņas, gan ES stratēģiskie vides mērķi lauksaimniecībā, kas paredz līdz 2030.gadam par 20% samazināt mēslošanas līdzekļu izmantošanu par 20%, bet Kopējā lauksaimniecības politikā no 2023.-2027.gadam sniegt atbalstu ekoshēmu veidā saudzējošas lauksaimniecības prakses veicināšanai, kas paredz bezaršanas vai joslu apstrādes tehnoloģiju izmantošanu zemes pastrādā, tādējādi samazinot pieprasījumu pēc notekūdeņu dūņām kā mēslošanas līdzekļa, jo tā forma (birstošs, neformēts materiāls) nav piemērota izmantošanai šādos gadījumos. Plānots šādi apstrādātu lauksaimniecības zemju platības </w:t>
      </w:r>
      <w:r w:rsidR="00BB58D7" w:rsidRPr="00AB1F5A">
        <w:rPr>
          <w:rFonts w:ascii="Times New Roman" w:hAnsi="Times New Roman" w:cs="Times New Roman"/>
        </w:rPr>
        <w:t xml:space="preserve">2027.gadā </w:t>
      </w:r>
      <w:r w:rsidR="00AA24E2" w:rsidRPr="00AB1F5A">
        <w:rPr>
          <w:rFonts w:ascii="Times New Roman" w:hAnsi="Times New Roman" w:cs="Times New Roman"/>
        </w:rPr>
        <w:t xml:space="preserve">palielināt par </w:t>
      </w:r>
      <w:r w:rsidR="00BB58D7" w:rsidRPr="00AB1F5A">
        <w:rPr>
          <w:rFonts w:ascii="Times New Roman" w:hAnsi="Times New Roman" w:cs="Times New Roman"/>
        </w:rPr>
        <w:t>~21% salīdzinot ar situāciju 2023.gadā, kas gan joprojām veidos tikai ~25% no kopējām lauksaimniecības zem</w:t>
      </w:r>
      <w:r w:rsidR="00AA7689">
        <w:rPr>
          <w:rFonts w:ascii="Times New Roman" w:hAnsi="Times New Roman" w:cs="Times New Roman"/>
        </w:rPr>
        <w:t>ē</w:t>
      </w:r>
      <w:r w:rsidR="00BB58D7" w:rsidRPr="00AB1F5A">
        <w:rPr>
          <w:rFonts w:ascii="Times New Roman" w:hAnsi="Times New Roman" w:cs="Times New Roman"/>
        </w:rPr>
        <w:t>m Latvijā.</w:t>
      </w:r>
    </w:p>
    <w:p w14:paraId="2222E1DB" w14:textId="7EAB1DC0" w:rsidR="00EA051D" w:rsidRPr="00AB1F5A" w:rsidRDefault="007D6688" w:rsidP="00D557B9">
      <w:pPr>
        <w:spacing w:before="240" w:after="0"/>
        <w:ind w:firstLine="720"/>
        <w:rPr>
          <w:rFonts w:ascii="Times New Roman" w:hAnsi="Times New Roman" w:cs="Times New Roman"/>
        </w:rPr>
      </w:pPr>
      <w:r w:rsidRPr="00AB1F5A">
        <w:rPr>
          <w:rFonts w:ascii="Times New Roman" w:hAnsi="Times New Roman" w:cs="Times New Roman"/>
        </w:rPr>
        <w:t>Notekūdeņu d</w:t>
      </w:r>
      <w:r w:rsidR="00EA051D" w:rsidRPr="00AB1F5A">
        <w:rPr>
          <w:rFonts w:ascii="Times New Roman" w:hAnsi="Times New Roman" w:cs="Times New Roman"/>
        </w:rPr>
        <w:t xml:space="preserve">ūņu utilizācijas augsnē alternatīvas atbilstošākai un efektīvākai īstenošanai, kā arī vides ietekmes novērtēšanai un mazināšanai būtu nepieciešams veicināt papildus zinātniskos pētījumus vairākās jomās, kuru Latvijā šobrīd iztrūkst: </w:t>
      </w:r>
    </w:p>
    <w:p w14:paraId="2F3F646E" w14:textId="62478CB5" w:rsidR="00EA051D" w:rsidRPr="009234A8" w:rsidRDefault="00EA051D" w:rsidP="00EA051D">
      <w:pPr>
        <w:pStyle w:val="ListBullet"/>
        <w:jc w:val="both"/>
        <w:rPr>
          <w:rFonts w:ascii="Times New Roman" w:eastAsiaTheme="minorHAnsi" w:hAnsi="Times New Roman" w:cs="Times New Roman"/>
          <w:sz w:val="24"/>
          <w:lang w:eastAsia="en-US"/>
        </w:rPr>
      </w:pPr>
      <w:r w:rsidRPr="009234A8">
        <w:rPr>
          <w:rFonts w:ascii="Times New Roman" w:eastAsiaTheme="minorHAnsi" w:hAnsi="Times New Roman" w:cs="Times New Roman"/>
          <w:sz w:val="24"/>
          <w:lang w:eastAsia="en-US"/>
        </w:rPr>
        <w:t xml:space="preserve">Plastmasas un farmācijas vielu apjoms pārstrādātās  </w:t>
      </w:r>
      <w:r w:rsidR="007D6688" w:rsidRPr="009234A8">
        <w:rPr>
          <w:rFonts w:ascii="Times New Roman" w:eastAsiaTheme="minorHAnsi" w:hAnsi="Times New Roman" w:cs="Times New Roman"/>
          <w:sz w:val="24"/>
          <w:lang w:eastAsia="en-US"/>
        </w:rPr>
        <w:t xml:space="preserve">notekūdeņu </w:t>
      </w:r>
      <w:r w:rsidRPr="009234A8">
        <w:rPr>
          <w:rFonts w:ascii="Times New Roman" w:eastAsiaTheme="minorHAnsi" w:hAnsi="Times New Roman" w:cs="Times New Roman"/>
          <w:sz w:val="24"/>
          <w:lang w:eastAsia="en-US"/>
        </w:rPr>
        <w:t>dūņās un to ietekme uz augiem, augsni un apkārtējo vidi;</w:t>
      </w:r>
    </w:p>
    <w:p w14:paraId="2DFC8995" w14:textId="167A7F92" w:rsidR="00EA051D" w:rsidRPr="009234A8" w:rsidRDefault="00EA051D" w:rsidP="00EA051D">
      <w:pPr>
        <w:pStyle w:val="ListBullet"/>
        <w:jc w:val="both"/>
        <w:rPr>
          <w:rFonts w:ascii="Times New Roman" w:eastAsiaTheme="minorHAnsi" w:hAnsi="Times New Roman" w:cs="Times New Roman"/>
          <w:sz w:val="24"/>
          <w:lang w:eastAsia="en-US"/>
        </w:rPr>
      </w:pPr>
      <w:r w:rsidRPr="009234A8">
        <w:rPr>
          <w:rFonts w:ascii="Times New Roman" w:eastAsiaTheme="minorHAnsi" w:hAnsi="Times New Roman" w:cs="Times New Roman"/>
          <w:sz w:val="24"/>
          <w:lang w:eastAsia="en-US"/>
        </w:rPr>
        <w:t>Pārstrādātu</w:t>
      </w:r>
      <w:r w:rsidR="007D6688" w:rsidRPr="009234A8">
        <w:rPr>
          <w:rFonts w:ascii="Times New Roman" w:eastAsiaTheme="minorHAnsi" w:hAnsi="Times New Roman" w:cs="Times New Roman"/>
          <w:sz w:val="24"/>
          <w:lang w:eastAsia="en-US"/>
        </w:rPr>
        <w:t xml:space="preserve"> notekūdeņu</w:t>
      </w:r>
      <w:r w:rsidRPr="009234A8">
        <w:rPr>
          <w:rFonts w:ascii="Times New Roman" w:eastAsiaTheme="minorHAnsi" w:hAnsi="Times New Roman" w:cs="Times New Roman"/>
          <w:sz w:val="24"/>
          <w:lang w:eastAsia="en-US"/>
        </w:rPr>
        <w:t xml:space="preserve"> dūņu izmantošana mežaudzēs, lai ievērotu SFC un PEFC mežu audzēšanas standartu prasības;</w:t>
      </w:r>
    </w:p>
    <w:p w14:paraId="4C36E6C1" w14:textId="541E6512" w:rsidR="00EA051D" w:rsidRPr="009234A8" w:rsidRDefault="00EA051D" w:rsidP="00EA051D">
      <w:pPr>
        <w:pStyle w:val="ListBullet"/>
        <w:jc w:val="both"/>
        <w:rPr>
          <w:rFonts w:ascii="Times New Roman" w:eastAsiaTheme="minorHAnsi" w:hAnsi="Times New Roman" w:cs="Times New Roman"/>
          <w:sz w:val="24"/>
          <w:lang w:eastAsia="en-US"/>
        </w:rPr>
      </w:pPr>
      <w:r w:rsidRPr="009234A8">
        <w:rPr>
          <w:rFonts w:ascii="Times New Roman" w:eastAsiaTheme="minorHAnsi" w:hAnsi="Times New Roman" w:cs="Times New Roman"/>
          <w:sz w:val="24"/>
          <w:lang w:eastAsia="en-US"/>
        </w:rPr>
        <w:t xml:space="preserve">Pārstrādātu </w:t>
      </w:r>
      <w:r w:rsidR="007D6688" w:rsidRPr="009234A8">
        <w:rPr>
          <w:rFonts w:ascii="Times New Roman" w:eastAsiaTheme="minorHAnsi" w:hAnsi="Times New Roman" w:cs="Times New Roman"/>
          <w:sz w:val="24"/>
          <w:lang w:eastAsia="en-US"/>
        </w:rPr>
        <w:t xml:space="preserve">notekūdeņu </w:t>
      </w:r>
      <w:r w:rsidRPr="009234A8">
        <w:rPr>
          <w:rFonts w:ascii="Times New Roman" w:eastAsiaTheme="minorHAnsi" w:hAnsi="Times New Roman" w:cs="Times New Roman"/>
          <w:sz w:val="24"/>
          <w:lang w:eastAsia="en-US"/>
        </w:rPr>
        <w:t>dūņu (vai komposta) izmantošana stād</w:t>
      </w:r>
      <w:r w:rsidR="00AA7689" w:rsidRPr="009234A8">
        <w:rPr>
          <w:rFonts w:ascii="Times New Roman" w:eastAsiaTheme="minorHAnsi" w:hAnsi="Times New Roman" w:cs="Times New Roman"/>
          <w:sz w:val="24"/>
          <w:lang w:eastAsia="en-US"/>
        </w:rPr>
        <w:t xml:space="preserve">u </w:t>
      </w:r>
      <w:r w:rsidRPr="009234A8">
        <w:rPr>
          <w:rFonts w:ascii="Times New Roman" w:eastAsiaTheme="minorHAnsi" w:hAnsi="Times New Roman" w:cs="Times New Roman"/>
          <w:sz w:val="24"/>
          <w:lang w:eastAsia="en-US"/>
        </w:rPr>
        <w:t>audzēšanā;</w:t>
      </w:r>
    </w:p>
    <w:p w14:paraId="713F5AD8" w14:textId="1C4438B6" w:rsidR="00EA051D" w:rsidRPr="009234A8" w:rsidRDefault="00EA051D" w:rsidP="00EA051D">
      <w:pPr>
        <w:pStyle w:val="ListBullet"/>
        <w:jc w:val="both"/>
        <w:rPr>
          <w:rFonts w:ascii="Times New Roman" w:eastAsiaTheme="minorHAnsi" w:hAnsi="Times New Roman" w:cs="Times New Roman"/>
          <w:sz w:val="24"/>
          <w:lang w:eastAsia="en-US"/>
        </w:rPr>
      </w:pPr>
      <w:r w:rsidRPr="009234A8">
        <w:rPr>
          <w:rFonts w:ascii="Times New Roman" w:eastAsiaTheme="minorHAnsi" w:hAnsi="Times New Roman" w:cs="Times New Roman"/>
          <w:sz w:val="24"/>
          <w:lang w:eastAsia="en-US"/>
        </w:rPr>
        <w:t xml:space="preserve">Pārstrādātu </w:t>
      </w:r>
      <w:r w:rsidR="007D6688" w:rsidRPr="009234A8">
        <w:rPr>
          <w:rFonts w:ascii="Times New Roman" w:eastAsiaTheme="minorHAnsi" w:hAnsi="Times New Roman" w:cs="Times New Roman"/>
          <w:sz w:val="24"/>
          <w:lang w:eastAsia="en-US"/>
        </w:rPr>
        <w:t xml:space="preserve">notekūdeņu </w:t>
      </w:r>
      <w:r w:rsidRPr="009234A8">
        <w:rPr>
          <w:rFonts w:ascii="Times New Roman" w:eastAsiaTheme="minorHAnsi" w:hAnsi="Times New Roman" w:cs="Times New Roman"/>
          <w:sz w:val="24"/>
          <w:lang w:eastAsia="en-US"/>
        </w:rPr>
        <w:t xml:space="preserve">dūņu izmantošana un to ietekme dažādu lauksaimniecības produkciju audzēšanā, ar mērķi noteikt kultūras, kurās pārstrādātu </w:t>
      </w:r>
      <w:r w:rsidR="007D6688" w:rsidRPr="009234A8">
        <w:rPr>
          <w:rFonts w:ascii="Times New Roman" w:eastAsiaTheme="minorHAnsi" w:hAnsi="Times New Roman" w:cs="Times New Roman"/>
          <w:sz w:val="24"/>
          <w:lang w:eastAsia="en-US"/>
        </w:rPr>
        <w:t xml:space="preserve">notekūdeņu </w:t>
      </w:r>
      <w:r w:rsidRPr="009234A8">
        <w:rPr>
          <w:rFonts w:ascii="Times New Roman" w:eastAsiaTheme="minorHAnsi" w:hAnsi="Times New Roman" w:cs="Times New Roman"/>
          <w:sz w:val="24"/>
          <w:lang w:eastAsia="en-US"/>
        </w:rPr>
        <w:t xml:space="preserve">dūņu izmantošana ir iespējama, bet kurās </w:t>
      </w:r>
      <w:r w:rsidR="007D6688" w:rsidRPr="009234A8">
        <w:rPr>
          <w:rFonts w:ascii="Times New Roman" w:eastAsiaTheme="minorHAnsi" w:hAnsi="Times New Roman" w:cs="Times New Roman"/>
          <w:sz w:val="24"/>
          <w:lang w:eastAsia="en-US"/>
        </w:rPr>
        <w:t>ierobežojama</w:t>
      </w:r>
      <w:r w:rsidRPr="009234A8">
        <w:rPr>
          <w:rFonts w:ascii="Times New Roman" w:eastAsiaTheme="minorHAnsi" w:hAnsi="Times New Roman" w:cs="Times New Roman"/>
          <w:sz w:val="24"/>
          <w:lang w:eastAsia="en-US"/>
        </w:rPr>
        <w:t>.</w:t>
      </w:r>
    </w:p>
    <w:p w14:paraId="3D92AB58" w14:textId="77777777" w:rsidR="00AA24E2" w:rsidRPr="00175DD0" w:rsidRDefault="00AA24E2" w:rsidP="002C0705">
      <w:pPr>
        <w:pStyle w:val="ListBullet"/>
        <w:numPr>
          <w:ilvl w:val="0"/>
          <w:numId w:val="0"/>
        </w:numPr>
        <w:ind w:left="1080" w:hanging="360"/>
        <w:jc w:val="both"/>
        <w:rPr>
          <w:rFonts w:asciiTheme="minorHAnsi" w:hAnsiTheme="minorHAnsi" w:cstheme="minorHAnsi"/>
        </w:rPr>
      </w:pPr>
    </w:p>
    <w:p w14:paraId="7DE1D6CF" w14:textId="77777777" w:rsidR="00AB1F5A" w:rsidRDefault="00AB1F5A">
      <w:pPr>
        <w:spacing w:after="160" w:line="259" w:lineRule="auto"/>
        <w:jc w:val="left"/>
        <w:rPr>
          <w:rFonts w:ascii="Bahnschrift SemiCondensed" w:hAnsi="Bahnschrift SemiCondensed"/>
          <w:color w:val="1F4E79" w:themeColor="accent1" w:themeShade="80"/>
          <w:sz w:val="32"/>
        </w:rPr>
      </w:pPr>
      <w:bookmarkStart w:id="95" w:name="_Toc82277633"/>
      <w:r>
        <w:rPr>
          <w:rFonts w:ascii="Bahnschrift SemiCondensed" w:hAnsi="Bahnschrift SemiCondensed"/>
          <w:color w:val="1F4E79" w:themeColor="accent1" w:themeShade="80"/>
          <w:sz w:val="32"/>
        </w:rPr>
        <w:br w:type="page"/>
      </w:r>
    </w:p>
    <w:p w14:paraId="268CFD6B" w14:textId="560D6D02" w:rsidR="00EA051D" w:rsidRPr="004F7592" w:rsidRDefault="004F7592" w:rsidP="004F7592">
      <w:pPr>
        <w:spacing w:after="0"/>
        <w:jc w:val="right"/>
        <w:rPr>
          <w:rFonts w:ascii="Times New Roman" w:hAnsi="Times New Roman" w:cs="Times New Roman"/>
          <w:szCs w:val="24"/>
        </w:rPr>
      </w:pPr>
      <w:r w:rsidRPr="004F7592">
        <w:rPr>
          <w:rFonts w:ascii="Times New Roman" w:hAnsi="Times New Roman" w:cs="Times New Roman"/>
          <w:szCs w:val="24"/>
        </w:rPr>
        <w:lastRenderedPageBreak/>
        <w:t>4.4. pielikums</w:t>
      </w:r>
      <w:bookmarkEnd w:id="95"/>
    </w:p>
    <w:p w14:paraId="09E2A98C" w14:textId="64EC60F2" w:rsidR="00EA051D" w:rsidRPr="004F7592" w:rsidRDefault="004227EA" w:rsidP="004F7592">
      <w:pPr>
        <w:pStyle w:val="Heading2"/>
        <w:spacing w:before="0"/>
        <w:jc w:val="center"/>
        <w:rPr>
          <w:rFonts w:ascii="Times New Roman" w:hAnsi="Times New Roman" w:cs="Times New Roman"/>
          <w:b/>
          <w:bCs/>
          <w:color w:val="auto"/>
          <w:sz w:val="24"/>
          <w:szCs w:val="24"/>
        </w:rPr>
      </w:pPr>
      <w:bookmarkStart w:id="96" w:name="_Toc82277634"/>
      <w:bookmarkStart w:id="97" w:name="_Toc107916332"/>
      <w:bookmarkStart w:id="98" w:name="_Hlk82267300"/>
      <w:r>
        <w:rPr>
          <w:rFonts w:ascii="Times New Roman" w:hAnsi="Times New Roman" w:cs="Times New Roman"/>
          <w:b/>
          <w:bCs/>
          <w:color w:val="auto"/>
          <w:sz w:val="24"/>
          <w:szCs w:val="24"/>
        </w:rPr>
        <w:t xml:space="preserve">4.4. </w:t>
      </w:r>
      <w:r w:rsidR="004F7592" w:rsidRPr="004F7592">
        <w:rPr>
          <w:rFonts w:ascii="Times New Roman" w:hAnsi="Times New Roman" w:cs="Times New Roman"/>
          <w:b/>
          <w:bCs/>
          <w:color w:val="auto"/>
          <w:sz w:val="24"/>
          <w:szCs w:val="24"/>
        </w:rPr>
        <w:t>Detalizēts notekūdeņu dūņu pārstrādes alternatīvu novērtējums</w:t>
      </w:r>
      <w:bookmarkEnd w:id="96"/>
      <w:bookmarkEnd w:id="97"/>
    </w:p>
    <w:bookmarkEnd w:id="98"/>
    <w:p w14:paraId="6CE06F77" w14:textId="77777777" w:rsidR="004F7592" w:rsidRDefault="004F7592" w:rsidP="004F7592">
      <w:pPr>
        <w:spacing w:after="0"/>
        <w:rPr>
          <w:rFonts w:cstheme="minorHAnsi"/>
        </w:rPr>
      </w:pPr>
    </w:p>
    <w:p w14:paraId="578F11C3" w14:textId="2E9D8ABE" w:rsidR="00EA051D" w:rsidRPr="00D557B9" w:rsidRDefault="00EA051D" w:rsidP="004F7592">
      <w:pPr>
        <w:spacing w:after="0"/>
        <w:rPr>
          <w:rFonts w:ascii="Times New Roman" w:hAnsi="Times New Roman" w:cs="Times New Roman"/>
        </w:rPr>
      </w:pPr>
      <w:r w:rsidRPr="00D557B9">
        <w:rPr>
          <w:rFonts w:ascii="Times New Roman" w:hAnsi="Times New Roman" w:cs="Times New Roman"/>
        </w:rPr>
        <w:t xml:space="preserve">Izvērtējot notekūdeņu dūņu utilizācijas risinājumus, ir secināts, ka labākais ilgtermiņa risinājums ir pārstrādātu </w:t>
      </w:r>
      <w:r w:rsidR="007D6688" w:rsidRPr="00D557B9">
        <w:rPr>
          <w:rFonts w:ascii="Times New Roman" w:hAnsi="Times New Roman" w:cs="Times New Roman"/>
        </w:rPr>
        <w:t xml:space="preserve">notekūdeņu </w:t>
      </w:r>
      <w:r w:rsidRPr="00D557B9">
        <w:rPr>
          <w:rFonts w:ascii="Times New Roman" w:hAnsi="Times New Roman" w:cs="Times New Roman"/>
        </w:rPr>
        <w:t>dūņu vai tā komposta iestrāde augsnē. Otrs iespējamais utilizācijas risinājums ir veikt to sadedzināšanu cementa rūpnīcā. Līdz ar šo notekūdeņu dūņu pārstrādes alternatīvu novērtējumā tiek vērtēti tādi pārstrādes risinājumi, kas nodrošina</w:t>
      </w:r>
      <w:r w:rsidR="007D6688" w:rsidRPr="00D557B9">
        <w:rPr>
          <w:rFonts w:ascii="Times New Roman" w:hAnsi="Times New Roman" w:cs="Times New Roman"/>
        </w:rPr>
        <w:t xml:space="preserve"> notekūdeņu</w:t>
      </w:r>
      <w:r w:rsidRPr="00D557B9">
        <w:rPr>
          <w:rFonts w:ascii="Times New Roman" w:hAnsi="Times New Roman" w:cs="Times New Roman"/>
        </w:rPr>
        <w:t xml:space="preserve"> dūņu pārstrādi un sagatavošanu </w:t>
      </w:r>
      <w:sdt>
        <w:sdtPr>
          <w:rPr>
            <w:rFonts w:ascii="Times New Roman" w:hAnsi="Times New Roman" w:cs="Times New Roman"/>
          </w:rPr>
          <w:tag w:val="goog_rdk_57"/>
          <w:id w:val="-322427531"/>
        </w:sdtPr>
        <w:sdtContent/>
      </w:sdt>
      <w:r w:rsidRPr="00D557B9">
        <w:rPr>
          <w:rFonts w:ascii="Times New Roman" w:hAnsi="Times New Roman" w:cs="Times New Roman"/>
        </w:rPr>
        <w:t>kādam no šiem utilizācijas veidiem.</w:t>
      </w:r>
    </w:p>
    <w:p w14:paraId="26A93EA2" w14:textId="77777777" w:rsidR="00EA051D" w:rsidRPr="00D557B9" w:rsidRDefault="00EA051D" w:rsidP="00EA051D">
      <w:pPr>
        <w:spacing w:after="0"/>
        <w:rPr>
          <w:rFonts w:ascii="Times New Roman" w:hAnsi="Times New Roman" w:cs="Times New Roman"/>
          <w:color w:val="000000"/>
        </w:rPr>
      </w:pPr>
      <w:r w:rsidRPr="00D557B9">
        <w:rPr>
          <w:rFonts w:ascii="Times New Roman" w:hAnsi="Times New Roman" w:cs="Times New Roman"/>
        </w:rPr>
        <w:t xml:space="preserve">Saskaņā ar MK noteikumu Nr. 362 prasībām, </w:t>
      </w:r>
    </w:p>
    <w:p w14:paraId="45D489B1" w14:textId="3944CC05" w:rsidR="00EA051D" w:rsidRPr="00D557B9" w:rsidRDefault="00EA051D" w:rsidP="008B1B4B">
      <w:pPr>
        <w:numPr>
          <w:ilvl w:val="0"/>
          <w:numId w:val="18"/>
        </w:numPr>
        <w:pBdr>
          <w:top w:val="nil"/>
          <w:left w:val="nil"/>
          <w:bottom w:val="nil"/>
          <w:right w:val="nil"/>
          <w:between w:val="nil"/>
        </w:pBdr>
        <w:spacing w:after="0"/>
        <w:rPr>
          <w:rFonts w:ascii="Times New Roman" w:hAnsi="Times New Roman" w:cs="Times New Roman"/>
        </w:rPr>
      </w:pPr>
      <w:r w:rsidRPr="00D557B9">
        <w:rPr>
          <w:rFonts w:ascii="Times New Roman" w:hAnsi="Times New Roman" w:cs="Times New Roman"/>
          <w:color w:val="000000"/>
        </w:rPr>
        <w:t xml:space="preserve">atūdeņotu (apstrādātu) notekūdeņu dūņu </w:t>
      </w:r>
      <w:r w:rsidR="002604DA" w:rsidRPr="00D557B9">
        <w:rPr>
          <w:rFonts w:ascii="Times New Roman" w:hAnsi="Times New Roman" w:cs="Times New Roman"/>
          <w:color w:val="000000"/>
        </w:rPr>
        <w:t>mezofilā</w:t>
      </w:r>
      <w:r w:rsidRPr="00D557B9">
        <w:rPr>
          <w:rFonts w:ascii="Times New Roman" w:hAnsi="Times New Roman" w:cs="Times New Roman"/>
          <w:color w:val="000000"/>
        </w:rPr>
        <w:t xml:space="preserve"> anaerobā sadalīšana - biogāzes ražošana.</w:t>
      </w:r>
    </w:p>
    <w:p w14:paraId="05B33807" w14:textId="0366689E" w:rsidR="00EA051D" w:rsidRPr="00D557B9" w:rsidRDefault="00EA051D" w:rsidP="00EA051D">
      <w:pPr>
        <w:spacing w:after="0"/>
        <w:rPr>
          <w:rFonts w:ascii="Times New Roman" w:hAnsi="Times New Roman" w:cs="Times New Roman"/>
        </w:rPr>
      </w:pPr>
      <w:r w:rsidRPr="00D557B9">
        <w:rPr>
          <w:rFonts w:ascii="Times New Roman" w:hAnsi="Times New Roman" w:cs="Times New Roman"/>
        </w:rPr>
        <w:t xml:space="preserve">Ekonomiskākā un vienkāršākā dūņu pārstrādes Latvijā ir iespējami vairāki notekūdeņu dūņu pārstrādes risinājumi, kas nodrošina notekūdeņu dūņu pārstrādi to sagatavošanai iestrādei augsnē. Ekonomiskākie un izmaksu ziņā efektīvākie, kā arī tehnoloģiski vieni no vienkāršākajiem ir šādi </w:t>
      </w:r>
      <w:r w:rsidR="007D6688" w:rsidRPr="00D557B9">
        <w:rPr>
          <w:rFonts w:ascii="Times New Roman" w:hAnsi="Times New Roman" w:cs="Times New Roman"/>
        </w:rPr>
        <w:t xml:space="preserve">notekūdeņu </w:t>
      </w:r>
      <w:r w:rsidRPr="00D557B9">
        <w:rPr>
          <w:rFonts w:ascii="Times New Roman" w:hAnsi="Times New Roman" w:cs="Times New Roman"/>
        </w:rPr>
        <w:t>dūņu pārstrādes veidi:</w:t>
      </w:r>
    </w:p>
    <w:p w14:paraId="47790729" w14:textId="0BCE462A" w:rsidR="00EA051D" w:rsidRPr="00D557B9" w:rsidRDefault="00EA051D" w:rsidP="008B1B4B">
      <w:pPr>
        <w:numPr>
          <w:ilvl w:val="0"/>
          <w:numId w:val="3"/>
        </w:numPr>
        <w:pBdr>
          <w:top w:val="nil"/>
          <w:left w:val="nil"/>
          <w:bottom w:val="nil"/>
          <w:right w:val="nil"/>
          <w:between w:val="nil"/>
        </w:pBdr>
        <w:spacing w:after="0"/>
        <w:rPr>
          <w:rFonts w:ascii="Times New Roman" w:hAnsi="Times New Roman" w:cs="Times New Roman"/>
        </w:rPr>
      </w:pPr>
      <w:r w:rsidRPr="00D557B9">
        <w:rPr>
          <w:rFonts w:ascii="Times New Roman" w:hAnsi="Times New Roman" w:cs="Times New Roman"/>
          <w:color w:val="000000"/>
        </w:rPr>
        <w:t>Mehāniski atūdeņotu (apstrādātu) notekūdeņu dūņu izturēšana 12 mēnešus</w:t>
      </w:r>
      <w:r w:rsidR="007D6688" w:rsidRPr="00D557B9">
        <w:rPr>
          <w:rFonts w:ascii="Times New Roman" w:hAnsi="Times New Roman" w:cs="Times New Roman"/>
          <w:color w:val="000000"/>
        </w:rPr>
        <w:t xml:space="preserve"> (aukstā fermentācija)</w:t>
      </w:r>
      <w:r w:rsidRPr="00D557B9">
        <w:rPr>
          <w:rFonts w:ascii="Times New Roman" w:hAnsi="Times New Roman" w:cs="Times New Roman"/>
          <w:color w:val="000000"/>
        </w:rPr>
        <w:t xml:space="preserve"> ;</w:t>
      </w:r>
    </w:p>
    <w:p w14:paraId="09148697" w14:textId="77777777" w:rsidR="00EA051D" w:rsidRPr="00D557B9" w:rsidRDefault="00EA051D" w:rsidP="008B1B4B">
      <w:pPr>
        <w:numPr>
          <w:ilvl w:val="0"/>
          <w:numId w:val="3"/>
        </w:numPr>
        <w:pBdr>
          <w:top w:val="nil"/>
          <w:left w:val="nil"/>
          <w:bottom w:val="nil"/>
          <w:right w:val="nil"/>
          <w:between w:val="nil"/>
        </w:pBdr>
        <w:spacing w:after="0"/>
        <w:rPr>
          <w:rFonts w:ascii="Times New Roman" w:hAnsi="Times New Roman" w:cs="Times New Roman"/>
        </w:rPr>
      </w:pPr>
      <w:r w:rsidRPr="00D557B9">
        <w:rPr>
          <w:rFonts w:ascii="Times New Roman" w:hAnsi="Times New Roman" w:cs="Times New Roman"/>
          <w:color w:val="000000"/>
        </w:rPr>
        <w:t>Mehāniski atūdeņotu (apstrādātu) notekūdeņu dūņu kompostēšana;</w:t>
      </w:r>
    </w:p>
    <w:p w14:paraId="737C0866" w14:textId="45A472E3" w:rsidR="00EA051D" w:rsidRPr="00D557B9" w:rsidRDefault="00EA051D" w:rsidP="00D557B9">
      <w:pPr>
        <w:pBdr>
          <w:top w:val="nil"/>
          <w:left w:val="nil"/>
          <w:bottom w:val="nil"/>
          <w:right w:val="nil"/>
          <w:between w:val="nil"/>
        </w:pBdr>
        <w:spacing w:after="0"/>
        <w:rPr>
          <w:rFonts w:ascii="Times New Roman" w:hAnsi="Times New Roman" w:cs="Times New Roman"/>
        </w:rPr>
      </w:pPr>
      <w:r w:rsidRPr="00D557B9">
        <w:rPr>
          <w:rFonts w:ascii="Times New Roman" w:hAnsi="Times New Roman" w:cs="Times New Roman"/>
          <w:color w:val="000000"/>
        </w:rPr>
        <w:t xml:space="preserve">Iebiezinātu vai mehāniski </w:t>
      </w:r>
      <w:r w:rsidRPr="00D557B9">
        <w:rPr>
          <w:rFonts w:ascii="Times New Roman" w:hAnsi="Times New Roman" w:cs="Times New Roman"/>
        </w:rPr>
        <w:t xml:space="preserve">tehnoloģija kopā ar ekonomiskāko </w:t>
      </w:r>
      <w:r w:rsidR="007D6688" w:rsidRPr="00D557B9">
        <w:rPr>
          <w:rFonts w:ascii="Times New Roman" w:hAnsi="Times New Roman" w:cs="Times New Roman"/>
        </w:rPr>
        <w:t xml:space="preserve">notekūdeņu </w:t>
      </w:r>
      <w:r w:rsidRPr="00D557B9">
        <w:rPr>
          <w:rFonts w:ascii="Times New Roman" w:hAnsi="Times New Roman" w:cs="Times New Roman"/>
        </w:rPr>
        <w:t>dūņu utilizācijas risinājumu nodrošinās arī izmaksu ziņā efektīvāko un kopumā piemērotāko</w:t>
      </w:r>
      <w:r w:rsidR="007D6688" w:rsidRPr="00D557B9">
        <w:rPr>
          <w:rFonts w:ascii="Times New Roman" w:hAnsi="Times New Roman" w:cs="Times New Roman"/>
        </w:rPr>
        <w:t xml:space="preserve"> </w:t>
      </w:r>
      <w:r w:rsidRPr="00D557B9">
        <w:rPr>
          <w:rFonts w:ascii="Times New Roman" w:hAnsi="Times New Roman" w:cs="Times New Roman"/>
        </w:rPr>
        <w:t>pārstrādes un utilizācijas alternatīvu.</w:t>
      </w:r>
    </w:p>
    <w:p w14:paraId="785B1E12" w14:textId="77777777" w:rsidR="00EA051D" w:rsidRPr="00175DD0" w:rsidRDefault="00EA051D" w:rsidP="00D557B9">
      <w:pPr>
        <w:pStyle w:val="NoSpacing"/>
        <w:rPr>
          <w:rFonts w:asciiTheme="minorHAnsi" w:hAnsiTheme="minorHAnsi" w:cstheme="minorHAnsi"/>
        </w:rPr>
      </w:pPr>
    </w:p>
    <w:p w14:paraId="5A9DA3D4" w14:textId="572FF5D4" w:rsidR="00EA051D" w:rsidRPr="00FD2C81" w:rsidRDefault="00EA051D" w:rsidP="00FD2C81">
      <w:pPr>
        <w:jc w:val="center"/>
        <w:rPr>
          <w:rFonts w:ascii="Times New Roman" w:hAnsi="Times New Roman" w:cs="Times New Roman"/>
          <w:b/>
          <w:bCs/>
          <w:color w:val="5B9BD5" w:themeColor="accent1"/>
        </w:rPr>
      </w:pPr>
      <w:bookmarkStart w:id="99" w:name="_Toc82277635"/>
      <w:r w:rsidRPr="00FD2C81">
        <w:rPr>
          <w:rFonts w:ascii="Times New Roman" w:hAnsi="Times New Roman" w:cs="Times New Roman"/>
          <w:b/>
          <w:bCs/>
          <w:color w:val="5B9BD5" w:themeColor="accent1"/>
        </w:rPr>
        <w:t xml:space="preserve">C1. Alternatīva: Mehāniski atūdeņotu (apstrādātu) </w:t>
      </w:r>
      <w:r w:rsidR="007D6688" w:rsidRPr="00FD2C81">
        <w:rPr>
          <w:rFonts w:ascii="Times New Roman" w:hAnsi="Times New Roman" w:cs="Times New Roman"/>
          <w:b/>
          <w:bCs/>
          <w:color w:val="5B9BD5" w:themeColor="accent1"/>
        </w:rPr>
        <w:t xml:space="preserve">notekūdeņu </w:t>
      </w:r>
      <w:r w:rsidRPr="00FD2C81">
        <w:rPr>
          <w:rFonts w:ascii="Times New Roman" w:hAnsi="Times New Roman" w:cs="Times New Roman"/>
          <w:b/>
          <w:bCs/>
          <w:color w:val="5B9BD5" w:themeColor="accent1"/>
        </w:rPr>
        <w:t>dūņu izturēšana 12 mēnešus</w:t>
      </w:r>
      <w:bookmarkEnd w:id="99"/>
    </w:p>
    <w:p w14:paraId="01B3D88B" w14:textId="77777777" w:rsidR="00D557B9" w:rsidRDefault="00D557B9" w:rsidP="00D557B9">
      <w:pPr>
        <w:spacing w:after="0"/>
        <w:rPr>
          <w:rFonts w:cstheme="minorHAnsi"/>
        </w:rPr>
      </w:pPr>
    </w:p>
    <w:p w14:paraId="6CA2EFA1" w14:textId="52E3A167" w:rsidR="00EA051D" w:rsidRPr="00D557B9" w:rsidRDefault="00EA051D" w:rsidP="00D557B9">
      <w:pPr>
        <w:spacing w:after="0"/>
        <w:ind w:firstLine="349"/>
        <w:rPr>
          <w:rFonts w:ascii="Times New Roman" w:hAnsi="Times New Roman" w:cs="Times New Roman"/>
        </w:rPr>
      </w:pPr>
      <w:r w:rsidRPr="00D557B9">
        <w:rPr>
          <w:rFonts w:ascii="Times New Roman" w:hAnsi="Times New Roman" w:cs="Times New Roman"/>
        </w:rPr>
        <w:t>Alternatīva paredz tādas darbības un tehnoloģiskos procesus, lai visas notekūdeņu dūņas pēc pārstrādes pilnībā atbilstu alternatīvas B1 “Pārstrādātu notekūdeņu dūņu iestrāde augsnē” ietvaros noteiktajām minimālajām pārstrādātu dūņu īpašībām. Līdz ar to alternatīvas ietvaros ir veicamas šādas ar notekūdeņu dūņu pārstrādi saistītas darbības:</w:t>
      </w:r>
    </w:p>
    <w:p w14:paraId="41CFD7BE" w14:textId="18D54079" w:rsidR="00EA051D" w:rsidRPr="009234A8" w:rsidRDefault="00EA051D" w:rsidP="00603B7B">
      <w:pPr>
        <w:pStyle w:val="ListParagraph"/>
        <w:numPr>
          <w:ilvl w:val="0"/>
          <w:numId w:val="21"/>
        </w:numPr>
        <w:suppressAutoHyphens/>
        <w:autoSpaceDN w:val="0"/>
        <w:spacing w:after="0"/>
        <w:ind w:left="709"/>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no NAI noņemtās slapjās </w:t>
      </w:r>
      <w:r w:rsidR="007D6688" w:rsidRPr="009234A8">
        <w:rPr>
          <w:rFonts w:ascii="Times New Roman" w:hAnsi="Times New Roman" w:cs="Times New Roman"/>
          <w:sz w:val="24"/>
        </w:rPr>
        <w:t xml:space="preserve">notekūdeņu </w:t>
      </w:r>
      <w:r w:rsidRPr="009234A8">
        <w:rPr>
          <w:rFonts w:ascii="Times New Roman" w:hAnsi="Times New Roman" w:cs="Times New Roman"/>
          <w:sz w:val="24"/>
        </w:rPr>
        <w:t xml:space="preserve">dūņas (1% sausna), tiek novirzītas mehāniskās atūdeņošanas iekārtās. Pievienojot polimērus </w:t>
      </w:r>
      <w:r w:rsidR="007D6688" w:rsidRPr="009234A8">
        <w:rPr>
          <w:rFonts w:ascii="Times New Roman" w:hAnsi="Times New Roman" w:cs="Times New Roman"/>
          <w:sz w:val="24"/>
        </w:rPr>
        <w:t xml:space="preserve">notekūdeņu </w:t>
      </w:r>
      <w:r w:rsidRPr="009234A8">
        <w:rPr>
          <w:rFonts w:ascii="Times New Roman" w:hAnsi="Times New Roman" w:cs="Times New Roman"/>
          <w:sz w:val="24"/>
        </w:rPr>
        <w:t>dūņas tiek mehāniski atūdeņotas līdz 18% sausnai (notekūdeņu dūņu apstrādes process);</w:t>
      </w:r>
    </w:p>
    <w:p w14:paraId="5D946F5C" w14:textId="5BD88380" w:rsidR="00EA051D" w:rsidRPr="009234A8" w:rsidRDefault="00EA051D" w:rsidP="00603B7B">
      <w:pPr>
        <w:pStyle w:val="ListParagraph"/>
        <w:numPr>
          <w:ilvl w:val="0"/>
          <w:numId w:val="21"/>
        </w:numPr>
        <w:suppressAutoHyphens/>
        <w:autoSpaceDN w:val="0"/>
        <w:spacing w:after="0"/>
        <w:ind w:left="709"/>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pēc atūdeņošanas </w:t>
      </w:r>
      <w:r w:rsidR="00FC04DB" w:rsidRPr="009234A8">
        <w:rPr>
          <w:rFonts w:ascii="Times New Roman" w:hAnsi="Times New Roman" w:cs="Times New Roman"/>
          <w:sz w:val="24"/>
        </w:rPr>
        <w:t xml:space="preserve">notekūdeņu </w:t>
      </w:r>
      <w:r w:rsidRPr="009234A8">
        <w:rPr>
          <w:rFonts w:ascii="Times New Roman" w:hAnsi="Times New Roman" w:cs="Times New Roman"/>
          <w:sz w:val="24"/>
        </w:rPr>
        <w:t>dūņas tiek nogādātas betonētā (asfaltētā) izturēšanas laukumā ar sienām un jumtu, smaku novēršanas un drenāžas sistēmu;</w:t>
      </w:r>
    </w:p>
    <w:p w14:paraId="2281065F" w14:textId="019D2AFC" w:rsidR="00EA051D" w:rsidRPr="009234A8" w:rsidRDefault="00FC04DB" w:rsidP="00603B7B">
      <w:pPr>
        <w:pStyle w:val="ListParagraph"/>
        <w:numPr>
          <w:ilvl w:val="0"/>
          <w:numId w:val="21"/>
        </w:numPr>
        <w:suppressAutoHyphens/>
        <w:autoSpaceDN w:val="0"/>
        <w:spacing w:after="0"/>
        <w:ind w:left="709"/>
        <w:contextualSpacing w:val="0"/>
        <w:jc w:val="both"/>
        <w:textAlignment w:val="baseline"/>
        <w:rPr>
          <w:rFonts w:ascii="Times New Roman" w:hAnsi="Times New Roman" w:cs="Times New Roman"/>
          <w:sz w:val="24"/>
        </w:rPr>
      </w:pPr>
      <w:r w:rsidRPr="009234A8">
        <w:rPr>
          <w:rFonts w:ascii="Times New Roman" w:hAnsi="Times New Roman" w:cs="Times New Roman"/>
          <w:sz w:val="24"/>
        </w:rPr>
        <w:t>notekūdeņu dūņas</w:t>
      </w:r>
      <w:r w:rsidR="00EA051D" w:rsidRPr="009234A8">
        <w:rPr>
          <w:rFonts w:ascii="Times New Roman" w:hAnsi="Times New Roman" w:cs="Times New Roman"/>
          <w:sz w:val="24"/>
        </w:rPr>
        <w:t xml:space="preserve"> ar frontālā iekrāvēja palīdzību tiek izklātas un izlīdzinātas vidēji 0,4 m biezumā un tiek izturētas 12 mēnešus. Atbilstoši normatīvo aktu prasībām (MK noteikumi Nr.362) šādas notekūdeņu dūņas ir uzskatāmas par atbilstošām, lai tās būtu iespējams izmantot augšņu mēslošanai un bagātināšanai;</w:t>
      </w:r>
    </w:p>
    <w:p w14:paraId="4ADE3E35" w14:textId="698EEF8D" w:rsidR="00EA051D" w:rsidRPr="009234A8" w:rsidRDefault="00FC04DB" w:rsidP="00603B7B">
      <w:pPr>
        <w:pStyle w:val="ListParagraph"/>
        <w:numPr>
          <w:ilvl w:val="0"/>
          <w:numId w:val="21"/>
        </w:numPr>
        <w:suppressAutoHyphens/>
        <w:autoSpaceDN w:val="0"/>
        <w:spacing w:after="0"/>
        <w:ind w:left="709"/>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notekūdeņu </w:t>
      </w:r>
      <w:r w:rsidR="00EA051D" w:rsidRPr="009234A8">
        <w:rPr>
          <w:rFonts w:ascii="Times New Roman" w:hAnsi="Times New Roman" w:cs="Times New Roman"/>
          <w:sz w:val="24"/>
        </w:rPr>
        <w:t xml:space="preserve">dūņu izturēšanas lauks tiek plānots par 30% lielāks par aprēķināto maksimāli nepieciešamo, lai būtu iespējams nodrošinātu </w:t>
      </w:r>
      <w:r w:rsidRPr="009234A8">
        <w:rPr>
          <w:rFonts w:ascii="Times New Roman" w:hAnsi="Times New Roman" w:cs="Times New Roman"/>
          <w:sz w:val="24"/>
        </w:rPr>
        <w:t xml:space="preserve">notekūdeņu </w:t>
      </w:r>
      <w:r w:rsidR="00EA051D" w:rsidRPr="009234A8">
        <w:rPr>
          <w:rFonts w:ascii="Times New Roman" w:hAnsi="Times New Roman" w:cs="Times New Roman"/>
          <w:sz w:val="24"/>
        </w:rPr>
        <w:t>dūņu pārstrād</w:t>
      </w:r>
      <w:r w:rsidR="004D5390" w:rsidRPr="009234A8">
        <w:rPr>
          <w:rFonts w:ascii="Times New Roman" w:hAnsi="Times New Roman" w:cs="Times New Roman"/>
          <w:sz w:val="24"/>
        </w:rPr>
        <w:t>es</w:t>
      </w:r>
      <w:r w:rsidR="00EA051D" w:rsidRPr="009234A8">
        <w:rPr>
          <w:rFonts w:ascii="Times New Roman" w:hAnsi="Times New Roman" w:cs="Times New Roman"/>
          <w:sz w:val="24"/>
        </w:rPr>
        <w:t xml:space="preserve"> tehnoloģiskos procesus, </w:t>
      </w:r>
      <w:r w:rsidR="004D5390" w:rsidRPr="009234A8">
        <w:rPr>
          <w:rFonts w:ascii="Times New Roman" w:hAnsi="Times New Roman" w:cs="Times New Roman"/>
          <w:sz w:val="24"/>
        </w:rPr>
        <w:t xml:space="preserve">tehnikas </w:t>
      </w:r>
      <w:r w:rsidR="00EA051D" w:rsidRPr="009234A8">
        <w:rPr>
          <w:rFonts w:ascii="Times New Roman" w:hAnsi="Times New Roman" w:cs="Times New Roman"/>
          <w:sz w:val="24"/>
        </w:rPr>
        <w:t>apgriešan</w:t>
      </w:r>
      <w:r w:rsidR="004D5390" w:rsidRPr="009234A8">
        <w:rPr>
          <w:rFonts w:ascii="Times New Roman" w:hAnsi="Times New Roman" w:cs="Times New Roman"/>
          <w:sz w:val="24"/>
        </w:rPr>
        <w:t>os</w:t>
      </w:r>
      <w:r w:rsidR="00EA051D" w:rsidRPr="009234A8">
        <w:rPr>
          <w:rFonts w:ascii="Times New Roman" w:hAnsi="Times New Roman" w:cs="Times New Roman"/>
          <w:sz w:val="24"/>
        </w:rPr>
        <w:t xml:space="preserve"> un pārstrād</w:t>
      </w:r>
      <w:r w:rsidR="004D5390" w:rsidRPr="009234A8">
        <w:rPr>
          <w:rFonts w:ascii="Times New Roman" w:hAnsi="Times New Roman" w:cs="Times New Roman"/>
          <w:sz w:val="24"/>
        </w:rPr>
        <w:t>i</w:t>
      </w:r>
      <w:r w:rsidR="00603B7B" w:rsidRPr="009234A8">
        <w:rPr>
          <w:rFonts w:ascii="Times New Roman" w:hAnsi="Times New Roman" w:cs="Times New Roman"/>
          <w:sz w:val="24"/>
        </w:rPr>
        <w:t>.</w:t>
      </w:r>
    </w:p>
    <w:p w14:paraId="4B054CF9" w14:textId="39AA5764" w:rsidR="00EA051D" w:rsidRPr="00D557B9" w:rsidRDefault="00FC04DB" w:rsidP="00603B7B">
      <w:pPr>
        <w:ind w:firstLine="709"/>
        <w:rPr>
          <w:rFonts w:ascii="Times New Roman" w:hAnsi="Times New Roman" w:cs="Times New Roman"/>
        </w:rPr>
      </w:pPr>
      <w:r w:rsidRPr="00D557B9">
        <w:rPr>
          <w:rFonts w:ascii="Times New Roman" w:hAnsi="Times New Roman" w:cs="Times New Roman"/>
        </w:rPr>
        <w:lastRenderedPageBreak/>
        <w:t>Notekūdeņu d</w:t>
      </w:r>
      <w:r w:rsidR="00EA051D" w:rsidRPr="00D557B9">
        <w:rPr>
          <w:rFonts w:ascii="Times New Roman" w:hAnsi="Times New Roman" w:cs="Times New Roman"/>
        </w:rPr>
        <w:t>ūņu izlīdzināšana 0,4 m biezumā ir nepieciešama, lai notekūdeņu dūņu masa ziemas periodā caursaltu un tiktu sasniegts notekūdeņu dūņu aukstās fermentēšanas mērķis. Papildus notekūdeņu dūņas šādā biezumā efektīvāk izžūst un var sasniegt izvirzīto 25% sausnes apjomu. Viss notekūdeņu dūņu pārstrādes laukums tiek paredzēts slēgts, ar jumtu un sienām, un smaku novēršanas sistēmu, kā arī ar drenāžas un savāktā ūdens attīrīšanas sistēmu, kas mazina vides piesārņojuma riskus dūņu pārstrādes vietā. Šādas pārstrādes vietas prasības nav noteiktas spēkā esošos normatīvos aktos</w:t>
      </w:r>
      <w:r w:rsidRPr="00D557B9">
        <w:rPr>
          <w:rFonts w:ascii="Times New Roman" w:hAnsi="Times New Roman" w:cs="Times New Roman"/>
        </w:rPr>
        <w:t xml:space="preserve"> un tos </w:t>
      </w:r>
      <w:r w:rsidR="00EA051D" w:rsidRPr="00D557B9">
        <w:rPr>
          <w:rFonts w:ascii="Times New Roman" w:hAnsi="Times New Roman" w:cs="Times New Roman"/>
        </w:rPr>
        <w:t xml:space="preserve">ir izstrādājuši un izvirzījuši </w:t>
      </w:r>
      <w:r w:rsidRPr="00D557B9">
        <w:rPr>
          <w:rFonts w:ascii="Times New Roman" w:hAnsi="Times New Roman" w:cs="Times New Roman"/>
        </w:rPr>
        <w:t>S</w:t>
      </w:r>
      <w:r w:rsidR="00EA051D" w:rsidRPr="00D557B9">
        <w:rPr>
          <w:rFonts w:ascii="Times New Roman" w:hAnsi="Times New Roman" w:cs="Times New Roman"/>
        </w:rPr>
        <w:t xml:space="preserve">tratēģijas </w:t>
      </w:r>
      <w:r w:rsidRPr="00D557B9">
        <w:rPr>
          <w:rFonts w:ascii="Times New Roman" w:hAnsi="Times New Roman" w:cs="Times New Roman"/>
        </w:rPr>
        <w:t>autori</w:t>
      </w:r>
      <w:r w:rsidR="00EA051D" w:rsidRPr="00D557B9">
        <w:rPr>
          <w:rFonts w:ascii="Times New Roman" w:hAnsi="Times New Roman" w:cs="Times New Roman"/>
        </w:rPr>
        <w:t>, lai nodrošinātu drošu, nekaitīgu un produktīvu dūņu pārstrādi pielietojot 12 mēnešu</w:t>
      </w:r>
      <w:r w:rsidRPr="00D557B9">
        <w:rPr>
          <w:rFonts w:ascii="Times New Roman" w:hAnsi="Times New Roman" w:cs="Times New Roman"/>
        </w:rPr>
        <w:t xml:space="preserve"> notekūdeņu</w:t>
      </w:r>
      <w:r w:rsidR="00EA051D" w:rsidRPr="00D557B9">
        <w:rPr>
          <w:rFonts w:ascii="Times New Roman" w:hAnsi="Times New Roman" w:cs="Times New Roman"/>
        </w:rPr>
        <w:t xml:space="preserve"> dūņu izturēšanas metodi. Atbilstoši aprakstītājam prasībām ir veikts </w:t>
      </w:r>
      <w:r w:rsidRPr="00D557B9">
        <w:rPr>
          <w:rFonts w:ascii="Times New Roman" w:hAnsi="Times New Roman" w:cs="Times New Roman"/>
        </w:rPr>
        <w:t xml:space="preserve">notekūdeņu </w:t>
      </w:r>
      <w:r w:rsidR="00EA051D" w:rsidRPr="00D557B9">
        <w:rPr>
          <w:rFonts w:ascii="Times New Roman" w:hAnsi="Times New Roman" w:cs="Times New Roman"/>
        </w:rPr>
        <w:t>dūņu pārstrādes vietas izveides izmaksu aprēķins.</w:t>
      </w:r>
    </w:p>
    <w:p w14:paraId="2566BE81" w14:textId="50D4DCEA" w:rsidR="00EA051D" w:rsidRPr="00D557B9" w:rsidRDefault="00EA051D" w:rsidP="00603B7B">
      <w:pPr>
        <w:ind w:firstLine="709"/>
        <w:rPr>
          <w:rFonts w:ascii="Times New Roman" w:hAnsi="Times New Roman" w:cs="Times New Roman"/>
        </w:rPr>
      </w:pPr>
      <w:r w:rsidRPr="00D557B9">
        <w:rPr>
          <w:rFonts w:ascii="Times New Roman" w:hAnsi="Times New Roman" w:cs="Times New Roman"/>
        </w:rPr>
        <w:t xml:space="preserve">Stratēģijas izstrādes laikā novērtēts (skat. </w:t>
      </w:r>
      <w:r w:rsidR="00B450A0">
        <w:rPr>
          <w:rFonts w:ascii="Times New Roman" w:hAnsi="Times New Roman" w:cs="Times New Roman"/>
        </w:rPr>
        <w:t>pielik</w:t>
      </w:r>
      <w:r w:rsidR="00B450A0" w:rsidRPr="00B450A0">
        <w:rPr>
          <w:rFonts w:ascii="Times New Roman" w:hAnsi="Times New Roman" w:cs="Times New Roman"/>
        </w:rPr>
        <w:t xml:space="preserve">umu </w:t>
      </w:r>
      <w:r w:rsidR="00B450A0" w:rsidRPr="00B450A0">
        <w:rPr>
          <w:rFonts w:ascii="Times New Roman" w:hAnsi="Times New Roman" w:cs="Times New Roman"/>
          <w:szCs w:val="24"/>
        </w:rPr>
        <w:t>4.7. Finanšu aprēķini “1. Dažādu notekūdeņu dūņu apstrādes veidu izmaksas”</w:t>
      </w:r>
      <w:r w:rsidRPr="00B450A0">
        <w:rPr>
          <w:rFonts w:ascii="Times New Roman" w:hAnsi="Times New Roman" w:cs="Times New Roman"/>
        </w:rPr>
        <w:t>),</w:t>
      </w:r>
      <w:r w:rsidRPr="00D557B9">
        <w:rPr>
          <w:rFonts w:ascii="Times New Roman" w:hAnsi="Times New Roman" w:cs="Times New Roman"/>
        </w:rPr>
        <w:t xml:space="preserve"> ka mazākais notekūdeņu dūņu apjoms, kuram ir pamatoti izbūvēt šādu pārstrādes laukumu ir vismaz 1 000 m</w:t>
      </w:r>
      <w:r w:rsidRPr="00D557B9">
        <w:rPr>
          <w:rFonts w:ascii="Times New Roman" w:hAnsi="Times New Roman" w:cs="Times New Roman"/>
          <w:vertAlign w:val="superscript"/>
        </w:rPr>
        <w:t>3</w:t>
      </w:r>
      <w:r w:rsidRPr="00D557B9">
        <w:rPr>
          <w:rFonts w:ascii="Times New Roman" w:hAnsi="Times New Roman" w:cs="Times New Roman"/>
        </w:rPr>
        <w:t xml:space="preserve"> slapju</w:t>
      </w:r>
      <w:r w:rsidR="00FC04DB" w:rsidRPr="00D557B9">
        <w:rPr>
          <w:rFonts w:ascii="Times New Roman" w:hAnsi="Times New Roman" w:cs="Times New Roman"/>
        </w:rPr>
        <w:t xml:space="preserve"> notekūdeņu</w:t>
      </w:r>
      <w:r w:rsidRPr="00D557B9">
        <w:rPr>
          <w:rFonts w:ascii="Times New Roman" w:hAnsi="Times New Roman" w:cs="Times New Roman"/>
        </w:rPr>
        <w:t xml:space="preserve"> dūņu gadā. Arī mehāniskās atūdeņošanas iekārtas ekonomiski pamatoti ir iegādāties un ekspluatēt, ja gadā apstrādājamais dūņu daudzums pārsniedz 1 000 m</w:t>
      </w:r>
      <w:r w:rsidRPr="00D557B9">
        <w:rPr>
          <w:rFonts w:ascii="Times New Roman" w:hAnsi="Times New Roman" w:cs="Times New Roman"/>
          <w:vertAlign w:val="superscript"/>
        </w:rPr>
        <w:t>3</w:t>
      </w:r>
      <w:r w:rsidRPr="00D557B9">
        <w:rPr>
          <w:rFonts w:ascii="Times New Roman" w:hAnsi="Times New Roman" w:cs="Times New Roman"/>
        </w:rPr>
        <w:t xml:space="preserve"> slapju </w:t>
      </w:r>
      <w:r w:rsidR="00FC04DB" w:rsidRPr="00D557B9">
        <w:rPr>
          <w:rFonts w:ascii="Times New Roman" w:hAnsi="Times New Roman" w:cs="Times New Roman"/>
        </w:rPr>
        <w:t xml:space="preserve">notekūdeņu </w:t>
      </w:r>
      <w:r w:rsidRPr="00D557B9">
        <w:rPr>
          <w:rFonts w:ascii="Times New Roman" w:hAnsi="Times New Roman" w:cs="Times New Roman"/>
        </w:rPr>
        <w:t xml:space="preserve">dūņu </w:t>
      </w:r>
      <w:r w:rsidR="00B450A0" w:rsidRPr="00D557B9">
        <w:rPr>
          <w:rFonts w:ascii="Times New Roman" w:hAnsi="Times New Roman" w:cs="Times New Roman"/>
        </w:rPr>
        <w:t>(</w:t>
      </w:r>
      <w:r w:rsidR="00B450A0" w:rsidRPr="00B450A0">
        <w:rPr>
          <w:rFonts w:ascii="Times New Roman" w:hAnsi="Times New Roman" w:cs="Times New Roman"/>
        </w:rPr>
        <w:t xml:space="preserve">skat. pielikumu </w:t>
      </w:r>
      <w:r w:rsidR="00B450A0" w:rsidRPr="00B450A0">
        <w:rPr>
          <w:rFonts w:ascii="Times New Roman" w:hAnsi="Times New Roman" w:cs="Times New Roman"/>
          <w:szCs w:val="24"/>
        </w:rPr>
        <w:t>4.7. Finanšu aprēķini “1. Dažādu notekūdeņu dūņu apstrādes veidu izmaksas”</w:t>
      </w:r>
      <w:r w:rsidR="00B450A0" w:rsidRPr="00B450A0">
        <w:rPr>
          <w:rFonts w:ascii="Times New Roman" w:hAnsi="Times New Roman" w:cs="Times New Roman"/>
        </w:rPr>
        <w:t>)</w:t>
      </w:r>
      <w:r w:rsidRPr="00B450A0">
        <w:rPr>
          <w:rFonts w:ascii="Times New Roman" w:hAnsi="Times New Roman" w:cs="Times New Roman"/>
        </w:rPr>
        <w:t>.</w:t>
      </w:r>
      <w:r w:rsidRPr="00D557B9">
        <w:rPr>
          <w:rFonts w:ascii="Times New Roman" w:hAnsi="Times New Roman" w:cs="Times New Roman"/>
        </w:rPr>
        <w:t xml:space="preserve"> </w:t>
      </w:r>
      <w:r w:rsidRPr="00D557B9">
        <w:rPr>
          <w:rFonts w:ascii="Times New Roman" w:hAnsi="Times New Roman" w:cs="Times New Roman"/>
          <w:b/>
        </w:rPr>
        <w:t>Līdz ar to NAI, kurās radītais notekūdeņu dūņu daudzums ir mazāks par 1 000 m</w:t>
      </w:r>
      <w:r w:rsidRPr="00D557B9">
        <w:rPr>
          <w:rFonts w:ascii="Times New Roman" w:hAnsi="Times New Roman" w:cs="Times New Roman"/>
          <w:b/>
          <w:vertAlign w:val="superscript"/>
        </w:rPr>
        <w:t>3</w:t>
      </w:r>
      <w:r w:rsidRPr="00D557B9">
        <w:rPr>
          <w:rFonts w:ascii="Times New Roman" w:hAnsi="Times New Roman" w:cs="Times New Roman"/>
          <w:b/>
        </w:rPr>
        <w:t xml:space="preserve"> slapju </w:t>
      </w:r>
      <w:r w:rsidR="00FC04DB" w:rsidRPr="00D557B9">
        <w:rPr>
          <w:rFonts w:ascii="Times New Roman" w:hAnsi="Times New Roman" w:cs="Times New Roman"/>
          <w:b/>
        </w:rPr>
        <w:t xml:space="preserve">notekūdeņu </w:t>
      </w:r>
      <w:r w:rsidRPr="00D557B9">
        <w:rPr>
          <w:rFonts w:ascii="Times New Roman" w:hAnsi="Times New Roman" w:cs="Times New Roman"/>
          <w:b/>
        </w:rPr>
        <w:t xml:space="preserve">dūņu gadā, </w:t>
      </w:r>
      <w:r w:rsidR="00FC04DB" w:rsidRPr="00D557B9">
        <w:rPr>
          <w:rFonts w:ascii="Times New Roman" w:hAnsi="Times New Roman" w:cs="Times New Roman"/>
          <w:b/>
        </w:rPr>
        <w:t>to</w:t>
      </w:r>
      <w:r w:rsidRPr="00D557B9">
        <w:rPr>
          <w:rFonts w:ascii="Times New Roman" w:hAnsi="Times New Roman" w:cs="Times New Roman"/>
          <w:b/>
        </w:rPr>
        <w:t xml:space="preserve"> mehāniska atūdeņošana un pārstrāde nav ekonomiski pamatota un tā ir plānojama ārpus NAI, kurās </w:t>
      </w:r>
      <w:r w:rsidR="00FC04DB" w:rsidRPr="00D557B9">
        <w:rPr>
          <w:rFonts w:ascii="Times New Roman" w:hAnsi="Times New Roman" w:cs="Times New Roman"/>
          <w:b/>
        </w:rPr>
        <w:t>tās</w:t>
      </w:r>
      <w:r w:rsidRPr="00D557B9">
        <w:rPr>
          <w:rFonts w:ascii="Times New Roman" w:hAnsi="Times New Roman" w:cs="Times New Roman"/>
          <w:b/>
        </w:rPr>
        <w:t xml:space="preserve"> ir radušās</w:t>
      </w:r>
      <w:r w:rsidRPr="00D557B9">
        <w:rPr>
          <w:rFonts w:ascii="Times New Roman" w:hAnsi="Times New Roman" w:cs="Times New Roman"/>
        </w:rPr>
        <w:t>.</w:t>
      </w:r>
    </w:p>
    <w:p w14:paraId="71A730BA" w14:textId="3A65B0A2" w:rsidR="00EA051D" w:rsidRPr="00D557B9" w:rsidRDefault="00EA051D" w:rsidP="00603B7B">
      <w:pPr>
        <w:ind w:firstLine="709"/>
        <w:rPr>
          <w:rFonts w:ascii="Times New Roman" w:hAnsi="Times New Roman" w:cs="Times New Roman"/>
        </w:rPr>
      </w:pPr>
      <w:r w:rsidRPr="00D557B9">
        <w:rPr>
          <w:rFonts w:ascii="Times New Roman" w:hAnsi="Times New Roman" w:cs="Times New Roman"/>
        </w:rPr>
        <w:t xml:space="preserve">Ņemot vērā notekūdeņu dūņu daudzumu, kas nonāks </w:t>
      </w:r>
      <w:r w:rsidR="00FC04DB" w:rsidRPr="00D557B9">
        <w:rPr>
          <w:rFonts w:ascii="Times New Roman" w:hAnsi="Times New Roman" w:cs="Times New Roman"/>
        </w:rPr>
        <w:t xml:space="preserve">notekūdeņu </w:t>
      </w:r>
      <w:r w:rsidRPr="00D557B9">
        <w:rPr>
          <w:rFonts w:ascii="Times New Roman" w:hAnsi="Times New Roman" w:cs="Times New Roman"/>
        </w:rPr>
        <w:t xml:space="preserve">dūņu pārstrādes vietā, alternatīvas novērtēšanas laikā ir aprēķināta </w:t>
      </w:r>
      <w:r w:rsidR="00FC04DB" w:rsidRPr="00D557B9">
        <w:rPr>
          <w:rFonts w:ascii="Times New Roman" w:hAnsi="Times New Roman" w:cs="Times New Roman"/>
        </w:rPr>
        <w:t xml:space="preserve">notekūdeņu </w:t>
      </w:r>
      <w:r w:rsidRPr="00D557B9">
        <w:rPr>
          <w:rFonts w:ascii="Times New Roman" w:hAnsi="Times New Roman" w:cs="Times New Roman"/>
        </w:rPr>
        <w:t xml:space="preserve">dūņu lauka izbūves izmaksas. </w:t>
      </w:r>
    </w:p>
    <w:p w14:paraId="46DD76EA" w14:textId="101AC7E4" w:rsidR="00D557B9" w:rsidRPr="00D557B9" w:rsidRDefault="00EA051D" w:rsidP="00D557B9">
      <w:pPr>
        <w:spacing w:after="0"/>
        <w:jc w:val="right"/>
        <w:rPr>
          <w:rFonts w:ascii="Times New Roman" w:hAnsi="Times New Roman" w:cs="Times New Roman"/>
          <w:bCs/>
          <w:szCs w:val="24"/>
        </w:rPr>
      </w:pPr>
      <w:r w:rsidRPr="00D557B9">
        <w:rPr>
          <w:rFonts w:ascii="Times New Roman" w:hAnsi="Times New Roman" w:cs="Times New Roman"/>
          <w:bCs/>
          <w:szCs w:val="24"/>
        </w:rPr>
        <w:t>4.</w:t>
      </w:r>
      <w:r w:rsidR="008D754D">
        <w:rPr>
          <w:rFonts w:ascii="Times New Roman" w:hAnsi="Times New Roman" w:cs="Times New Roman"/>
          <w:bCs/>
          <w:szCs w:val="24"/>
        </w:rPr>
        <w:t>4.1</w:t>
      </w:r>
      <w:r w:rsidRPr="00D557B9">
        <w:rPr>
          <w:rFonts w:ascii="Times New Roman" w:hAnsi="Times New Roman" w:cs="Times New Roman"/>
          <w:bCs/>
          <w:szCs w:val="24"/>
        </w:rPr>
        <w:t>. tabula</w:t>
      </w:r>
    </w:p>
    <w:p w14:paraId="360555EB" w14:textId="615BD4C0" w:rsidR="00EA051D" w:rsidRPr="00B450A0" w:rsidRDefault="00EA051D" w:rsidP="00D557B9">
      <w:pPr>
        <w:spacing w:after="0"/>
        <w:jc w:val="center"/>
        <w:rPr>
          <w:rFonts w:ascii="Times New Roman" w:hAnsi="Times New Roman" w:cs="Times New Roman"/>
          <w:b/>
          <w:bCs/>
          <w:szCs w:val="24"/>
        </w:rPr>
      </w:pPr>
      <w:r w:rsidRPr="00D557B9">
        <w:rPr>
          <w:rFonts w:ascii="Times New Roman" w:hAnsi="Times New Roman" w:cs="Times New Roman"/>
          <w:b/>
          <w:szCs w:val="24"/>
        </w:rPr>
        <w:t>Slapju (1% sausna)</w:t>
      </w:r>
      <w:r w:rsidR="00FC04DB" w:rsidRPr="00D557B9">
        <w:rPr>
          <w:rFonts w:ascii="Times New Roman" w:hAnsi="Times New Roman" w:cs="Times New Roman"/>
          <w:b/>
          <w:szCs w:val="24"/>
        </w:rPr>
        <w:t xml:space="preserve"> notekūdeņu</w:t>
      </w:r>
      <w:r w:rsidRPr="00D557B9">
        <w:rPr>
          <w:rFonts w:ascii="Times New Roman" w:hAnsi="Times New Roman" w:cs="Times New Roman"/>
          <w:b/>
          <w:szCs w:val="24"/>
        </w:rPr>
        <w:t xml:space="preserve"> dūņu pārstrādes izmaksas tās mehāniski atūdeņojot un izturot vairāk kā 12 mēnešus, EUR gadā </w:t>
      </w:r>
      <w:r w:rsidR="00B450A0" w:rsidRPr="00B450A0">
        <w:rPr>
          <w:rFonts w:ascii="Times New Roman" w:hAnsi="Times New Roman" w:cs="Times New Roman"/>
          <w:b/>
          <w:bCs/>
        </w:rPr>
        <w:t xml:space="preserve">(skat. pielikumu </w:t>
      </w:r>
      <w:r w:rsidR="00B450A0" w:rsidRPr="00B450A0">
        <w:rPr>
          <w:rFonts w:ascii="Times New Roman" w:hAnsi="Times New Roman" w:cs="Times New Roman"/>
          <w:b/>
          <w:bCs/>
          <w:szCs w:val="24"/>
        </w:rPr>
        <w:t>4.7. Finanšu aprēķini “1. Dažādu notekūdeņu dūņu apstrādes veidu izmaksas”</w:t>
      </w:r>
      <w:r w:rsidR="00B450A0" w:rsidRPr="00B450A0">
        <w:rPr>
          <w:rFonts w:ascii="Times New Roman" w:hAnsi="Times New Roman" w:cs="Times New Roman"/>
          <w:b/>
          <w:bCs/>
        </w:rPr>
        <w:t>)</w:t>
      </w:r>
    </w:p>
    <w:tbl>
      <w:tblPr>
        <w:tblStyle w:val="36"/>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567"/>
        <w:gridCol w:w="567"/>
        <w:gridCol w:w="567"/>
        <w:gridCol w:w="567"/>
        <w:gridCol w:w="851"/>
        <w:gridCol w:w="850"/>
        <w:gridCol w:w="851"/>
        <w:gridCol w:w="850"/>
        <w:gridCol w:w="851"/>
        <w:gridCol w:w="992"/>
      </w:tblGrid>
      <w:tr w:rsidR="00EA051D" w:rsidRPr="00D557B9" w14:paraId="7A9684D1" w14:textId="77777777" w:rsidTr="00182FE2">
        <w:trPr>
          <w:trHeight w:val="288"/>
        </w:trPr>
        <w:tc>
          <w:tcPr>
            <w:tcW w:w="1271" w:type="dxa"/>
          </w:tcPr>
          <w:p w14:paraId="05BDE613" w14:textId="77777777" w:rsidR="00EA051D" w:rsidRPr="00D557B9" w:rsidRDefault="00EA051D" w:rsidP="008E6BAE">
            <w:pPr>
              <w:rPr>
                <w:rFonts w:ascii="Times New Roman" w:hAnsi="Times New Roman" w:cs="Times New Roman"/>
                <w:b/>
                <w:sz w:val="20"/>
                <w:szCs w:val="20"/>
              </w:rPr>
            </w:pPr>
            <w:r w:rsidRPr="00D557B9">
              <w:rPr>
                <w:rFonts w:ascii="Times New Roman" w:hAnsi="Times New Roman" w:cs="Times New Roman"/>
                <w:b/>
                <w:sz w:val="20"/>
                <w:szCs w:val="20"/>
              </w:rPr>
              <w:t>m</w:t>
            </w:r>
            <w:r w:rsidRPr="00D557B9">
              <w:rPr>
                <w:rFonts w:ascii="Times New Roman" w:hAnsi="Times New Roman" w:cs="Times New Roman"/>
                <w:b/>
                <w:sz w:val="20"/>
                <w:szCs w:val="20"/>
                <w:vertAlign w:val="superscript"/>
              </w:rPr>
              <w:t>3</w:t>
            </w:r>
            <w:r w:rsidRPr="00D557B9">
              <w:rPr>
                <w:rFonts w:ascii="Times New Roman" w:hAnsi="Times New Roman" w:cs="Times New Roman"/>
                <w:b/>
                <w:sz w:val="20"/>
                <w:szCs w:val="20"/>
              </w:rPr>
              <w:t xml:space="preserve"> slapju dūņu gadā</w:t>
            </w:r>
          </w:p>
        </w:tc>
        <w:tc>
          <w:tcPr>
            <w:tcW w:w="567" w:type="dxa"/>
          </w:tcPr>
          <w:p w14:paraId="6130283D"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10</w:t>
            </w:r>
          </w:p>
        </w:tc>
        <w:tc>
          <w:tcPr>
            <w:tcW w:w="567" w:type="dxa"/>
          </w:tcPr>
          <w:p w14:paraId="0F8494FD"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20</w:t>
            </w:r>
          </w:p>
        </w:tc>
        <w:tc>
          <w:tcPr>
            <w:tcW w:w="567" w:type="dxa"/>
          </w:tcPr>
          <w:p w14:paraId="6C5465CE"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50</w:t>
            </w:r>
          </w:p>
        </w:tc>
        <w:tc>
          <w:tcPr>
            <w:tcW w:w="567" w:type="dxa"/>
          </w:tcPr>
          <w:p w14:paraId="7CD27D01"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100</w:t>
            </w:r>
          </w:p>
        </w:tc>
        <w:tc>
          <w:tcPr>
            <w:tcW w:w="851" w:type="dxa"/>
          </w:tcPr>
          <w:p w14:paraId="3212823B"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500*</w:t>
            </w:r>
          </w:p>
        </w:tc>
        <w:tc>
          <w:tcPr>
            <w:tcW w:w="850" w:type="dxa"/>
          </w:tcPr>
          <w:p w14:paraId="0B1AD672"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1 000</w:t>
            </w:r>
          </w:p>
        </w:tc>
        <w:tc>
          <w:tcPr>
            <w:tcW w:w="851" w:type="dxa"/>
          </w:tcPr>
          <w:p w14:paraId="1FA1920E"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5 000</w:t>
            </w:r>
          </w:p>
        </w:tc>
        <w:tc>
          <w:tcPr>
            <w:tcW w:w="850" w:type="dxa"/>
          </w:tcPr>
          <w:p w14:paraId="146CF73C"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10 000</w:t>
            </w:r>
          </w:p>
        </w:tc>
        <w:tc>
          <w:tcPr>
            <w:tcW w:w="851" w:type="dxa"/>
          </w:tcPr>
          <w:p w14:paraId="33556B99"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50 000</w:t>
            </w:r>
          </w:p>
        </w:tc>
        <w:tc>
          <w:tcPr>
            <w:tcW w:w="992" w:type="dxa"/>
          </w:tcPr>
          <w:p w14:paraId="6F0DAC43" w14:textId="77777777" w:rsidR="00EA051D" w:rsidRPr="00D557B9" w:rsidRDefault="00EA051D" w:rsidP="008E6BAE">
            <w:pPr>
              <w:jc w:val="center"/>
              <w:rPr>
                <w:rFonts w:ascii="Times New Roman" w:hAnsi="Times New Roman" w:cs="Times New Roman"/>
                <w:b/>
                <w:sz w:val="20"/>
                <w:szCs w:val="20"/>
              </w:rPr>
            </w:pPr>
            <w:r w:rsidRPr="00D557B9">
              <w:rPr>
                <w:rFonts w:ascii="Times New Roman" w:hAnsi="Times New Roman" w:cs="Times New Roman"/>
                <w:b/>
                <w:sz w:val="20"/>
                <w:szCs w:val="20"/>
              </w:rPr>
              <w:t>100 000</w:t>
            </w:r>
          </w:p>
        </w:tc>
      </w:tr>
      <w:tr w:rsidR="00EA051D" w:rsidRPr="00D557B9" w14:paraId="27604B6E" w14:textId="77777777" w:rsidTr="00182FE2">
        <w:trPr>
          <w:trHeight w:val="840"/>
        </w:trPr>
        <w:tc>
          <w:tcPr>
            <w:tcW w:w="1271" w:type="dxa"/>
          </w:tcPr>
          <w:p w14:paraId="7B723724" w14:textId="77777777" w:rsidR="00EA051D" w:rsidRPr="00D557B9" w:rsidRDefault="00EA051D" w:rsidP="008E6BAE">
            <w:pPr>
              <w:rPr>
                <w:rFonts w:ascii="Times New Roman" w:hAnsi="Times New Roman" w:cs="Times New Roman"/>
                <w:sz w:val="20"/>
                <w:szCs w:val="20"/>
              </w:rPr>
            </w:pPr>
            <w:r w:rsidRPr="00D557B9">
              <w:rPr>
                <w:rFonts w:ascii="Times New Roman" w:hAnsi="Times New Roman" w:cs="Times New Roman"/>
                <w:sz w:val="20"/>
                <w:szCs w:val="20"/>
              </w:rPr>
              <w:t>Notekūdeņu dūņu pārstrādes izmaksas, EUR gadā</w:t>
            </w:r>
          </w:p>
        </w:tc>
        <w:tc>
          <w:tcPr>
            <w:tcW w:w="2268" w:type="dxa"/>
            <w:gridSpan w:val="4"/>
            <w:vMerge w:val="restart"/>
            <w:vAlign w:val="center"/>
          </w:tcPr>
          <w:p w14:paraId="67BA4B99" w14:textId="49AC2B1C" w:rsidR="00EA051D" w:rsidRPr="00D557B9" w:rsidRDefault="00EA051D" w:rsidP="008E6BAE">
            <w:pPr>
              <w:jc w:val="center"/>
              <w:rPr>
                <w:rFonts w:ascii="Times New Roman" w:hAnsi="Times New Roman" w:cs="Times New Roman"/>
                <w:sz w:val="20"/>
                <w:szCs w:val="20"/>
              </w:rPr>
            </w:pPr>
            <w:r w:rsidRPr="00D557B9">
              <w:rPr>
                <w:rFonts w:ascii="Times New Roman" w:hAnsi="Times New Roman" w:cs="Times New Roman"/>
                <w:sz w:val="20"/>
                <w:szCs w:val="20"/>
              </w:rPr>
              <w:t>N/A</w:t>
            </w:r>
            <w:r w:rsidRPr="00D557B9">
              <w:rPr>
                <w:rFonts w:ascii="Times New Roman" w:hAnsi="Times New Roman" w:cs="Times New Roman"/>
                <w:sz w:val="20"/>
                <w:szCs w:val="20"/>
              </w:rPr>
              <w:br/>
              <w:t xml:space="preserve">Pārāk mazs </w:t>
            </w:r>
            <w:r w:rsidR="00FC04DB" w:rsidRPr="00D557B9">
              <w:rPr>
                <w:rFonts w:ascii="Times New Roman" w:hAnsi="Times New Roman" w:cs="Times New Roman"/>
                <w:sz w:val="20"/>
                <w:szCs w:val="20"/>
              </w:rPr>
              <w:t xml:space="preserve">notekūdeņu </w:t>
            </w:r>
            <w:r w:rsidRPr="00D557B9">
              <w:rPr>
                <w:rFonts w:ascii="Times New Roman" w:hAnsi="Times New Roman" w:cs="Times New Roman"/>
                <w:sz w:val="20"/>
                <w:szCs w:val="20"/>
              </w:rPr>
              <w:t>dūņu daudzums</w:t>
            </w:r>
          </w:p>
        </w:tc>
        <w:tc>
          <w:tcPr>
            <w:tcW w:w="851" w:type="dxa"/>
            <w:vAlign w:val="center"/>
          </w:tcPr>
          <w:p w14:paraId="70F31F98" w14:textId="77777777" w:rsidR="00EA051D" w:rsidRPr="00D557B9" w:rsidRDefault="00EA051D" w:rsidP="008E6BAE">
            <w:pPr>
              <w:jc w:val="center"/>
              <w:rPr>
                <w:rFonts w:ascii="Times New Roman" w:hAnsi="Times New Roman" w:cs="Times New Roman"/>
                <w:sz w:val="20"/>
                <w:szCs w:val="20"/>
              </w:rPr>
            </w:pPr>
            <w:r w:rsidRPr="00D557B9">
              <w:rPr>
                <w:rFonts w:ascii="Times New Roman" w:hAnsi="Times New Roman" w:cs="Times New Roman"/>
                <w:color w:val="000000"/>
                <w:sz w:val="20"/>
                <w:szCs w:val="20"/>
              </w:rPr>
              <w:t>12 589</w:t>
            </w:r>
          </w:p>
        </w:tc>
        <w:tc>
          <w:tcPr>
            <w:tcW w:w="850" w:type="dxa"/>
            <w:vAlign w:val="center"/>
          </w:tcPr>
          <w:p w14:paraId="3A100374" w14:textId="77777777" w:rsidR="00EA051D" w:rsidRPr="00D557B9" w:rsidRDefault="00EA051D" w:rsidP="008E6BAE">
            <w:pPr>
              <w:jc w:val="center"/>
              <w:rPr>
                <w:rFonts w:ascii="Times New Roman" w:hAnsi="Times New Roman" w:cs="Times New Roman"/>
                <w:sz w:val="20"/>
                <w:szCs w:val="20"/>
              </w:rPr>
            </w:pPr>
            <w:r w:rsidRPr="00D557B9">
              <w:rPr>
                <w:rFonts w:ascii="Times New Roman" w:hAnsi="Times New Roman" w:cs="Times New Roman"/>
                <w:color w:val="000000"/>
                <w:sz w:val="20"/>
                <w:szCs w:val="20"/>
              </w:rPr>
              <w:t>13 646</w:t>
            </w:r>
          </w:p>
        </w:tc>
        <w:tc>
          <w:tcPr>
            <w:tcW w:w="851" w:type="dxa"/>
            <w:vAlign w:val="center"/>
          </w:tcPr>
          <w:p w14:paraId="13614F16" w14:textId="77777777" w:rsidR="00EA051D" w:rsidRPr="00D557B9" w:rsidRDefault="00EA051D" w:rsidP="008E6BAE">
            <w:pPr>
              <w:jc w:val="center"/>
              <w:rPr>
                <w:rFonts w:ascii="Times New Roman" w:hAnsi="Times New Roman" w:cs="Times New Roman"/>
                <w:sz w:val="20"/>
                <w:szCs w:val="20"/>
              </w:rPr>
            </w:pPr>
            <w:r w:rsidRPr="00D557B9">
              <w:rPr>
                <w:rFonts w:ascii="Times New Roman" w:hAnsi="Times New Roman" w:cs="Times New Roman"/>
                <w:color w:val="000000"/>
                <w:sz w:val="20"/>
                <w:szCs w:val="20"/>
              </w:rPr>
              <w:t>22 094</w:t>
            </w:r>
          </w:p>
        </w:tc>
        <w:tc>
          <w:tcPr>
            <w:tcW w:w="850" w:type="dxa"/>
            <w:vAlign w:val="center"/>
          </w:tcPr>
          <w:p w14:paraId="1723BF95" w14:textId="77777777" w:rsidR="00EA051D" w:rsidRPr="00D557B9" w:rsidRDefault="00EA051D" w:rsidP="008E6BAE">
            <w:pPr>
              <w:jc w:val="center"/>
              <w:rPr>
                <w:rFonts w:ascii="Times New Roman" w:hAnsi="Times New Roman" w:cs="Times New Roman"/>
                <w:sz w:val="20"/>
                <w:szCs w:val="20"/>
              </w:rPr>
            </w:pPr>
            <w:r w:rsidRPr="00D557B9">
              <w:rPr>
                <w:rFonts w:ascii="Times New Roman" w:hAnsi="Times New Roman" w:cs="Times New Roman"/>
                <w:color w:val="000000"/>
                <w:sz w:val="20"/>
                <w:szCs w:val="20"/>
              </w:rPr>
              <w:t>36 455</w:t>
            </w:r>
          </w:p>
        </w:tc>
        <w:tc>
          <w:tcPr>
            <w:tcW w:w="851" w:type="dxa"/>
            <w:vAlign w:val="center"/>
          </w:tcPr>
          <w:p w14:paraId="517980A2" w14:textId="77777777" w:rsidR="00EA051D" w:rsidRPr="00D557B9" w:rsidRDefault="00EA051D" w:rsidP="008E6BAE">
            <w:pPr>
              <w:ind w:left="-119" w:right="-36"/>
              <w:jc w:val="center"/>
              <w:rPr>
                <w:rFonts w:ascii="Times New Roman" w:hAnsi="Times New Roman" w:cs="Times New Roman"/>
                <w:sz w:val="20"/>
                <w:szCs w:val="20"/>
              </w:rPr>
            </w:pPr>
            <w:r w:rsidRPr="00D557B9">
              <w:rPr>
                <w:rFonts w:ascii="Times New Roman" w:hAnsi="Times New Roman" w:cs="Times New Roman"/>
                <w:color w:val="000000"/>
                <w:sz w:val="20"/>
                <w:szCs w:val="20"/>
              </w:rPr>
              <w:t>145 608</w:t>
            </w:r>
          </w:p>
        </w:tc>
        <w:tc>
          <w:tcPr>
            <w:tcW w:w="992" w:type="dxa"/>
            <w:vAlign w:val="center"/>
          </w:tcPr>
          <w:p w14:paraId="3D48A7F6" w14:textId="77777777" w:rsidR="00EA051D" w:rsidRPr="00D557B9" w:rsidRDefault="00EA051D" w:rsidP="008E6BAE">
            <w:pPr>
              <w:ind w:left="-180" w:right="-104"/>
              <w:jc w:val="center"/>
              <w:rPr>
                <w:rFonts w:ascii="Times New Roman" w:hAnsi="Times New Roman" w:cs="Times New Roman"/>
                <w:sz w:val="20"/>
                <w:szCs w:val="20"/>
              </w:rPr>
            </w:pPr>
            <w:r w:rsidRPr="00D557B9">
              <w:rPr>
                <w:rFonts w:ascii="Times New Roman" w:hAnsi="Times New Roman" w:cs="Times New Roman"/>
                <w:sz w:val="20"/>
                <w:szCs w:val="20"/>
              </w:rPr>
              <w:t>251 217</w:t>
            </w:r>
          </w:p>
        </w:tc>
      </w:tr>
      <w:tr w:rsidR="00EA051D" w:rsidRPr="00D557B9" w14:paraId="4125A745" w14:textId="77777777" w:rsidTr="00182FE2">
        <w:trPr>
          <w:trHeight w:val="840"/>
        </w:trPr>
        <w:tc>
          <w:tcPr>
            <w:tcW w:w="1271" w:type="dxa"/>
          </w:tcPr>
          <w:p w14:paraId="343A843E" w14:textId="32147C6C" w:rsidR="00EA051D" w:rsidRPr="00D557B9" w:rsidRDefault="00EA051D" w:rsidP="008E6BAE">
            <w:pPr>
              <w:rPr>
                <w:rFonts w:ascii="Times New Roman" w:hAnsi="Times New Roman" w:cs="Times New Roman"/>
                <w:sz w:val="20"/>
                <w:szCs w:val="20"/>
              </w:rPr>
            </w:pPr>
            <w:r w:rsidRPr="00D557B9">
              <w:rPr>
                <w:rFonts w:ascii="Times New Roman" w:hAnsi="Times New Roman" w:cs="Times New Roman"/>
                <w:sz w:val="20"/>
                <w:szCs w:val="20"/>
              </w:rPr>
              <w:t>Izmaksas uz vienu m</w:t>
            </w:r>
            <w:r w:rsidRPr="00D557B9">
              <w:rPr>
                <w:rFonts w:ascii="Times New Roman" w:hAnsi="Times New Roman" w:cs="Times New Roman"/>
                <w:sz w:val="20"/>
                <w:szCs w:val="20"/>
                <w:vertAlign w:val="superscript"/>
              </w:rPr>
              <w:t>3</w:t>
            </w:r>
            <w:r w:rsidRPr="00D557B9">
              <w:rPr>
                <w:rFonts w:ascii="Times New Roman" w:hAnsi="Times New Roman" w:cs="Times New Roman"/>
                <w:sz w:val="20"/>
                <w:szCs w:val="20"/>
              </w:rPr>
              <w:t xml:space="preserve"> slapju </w:t>
            </w:r>
            <w:r w:rsidR="00FC04DB" w:rsidRPr="00D557B9">
              <w:rPr>
                <w:rFonts w:ascii="Times New Roman" w:hAnsi="Times New Roman" w:cs="Times New Roman"/>
                <w:sz w:val="20"/>
                <w:szCs w:val="20"/>
              </w:rPr>
              <w:t xml:space="preserve">notekūdeņu </w:t>
            </w:r>
            <w:r w:rsidRPr="00D557B9">
              <w:rPr>
                <w:rFonts w:ascii="Times New Roman" w:hAnsi="Times New Roman" w:cs="Times New Roman"/>
                <w:sz w:val="20"/>
                <w:szCs w:val="20"/>
              </w:rPr>
              <w:t>dūņu EUR</w:t>
            </w:r>
          </w:p>
        </w:tc>
        <w:tc>
          <w:tcPr>
            <w:tcW w:w="2268" w:type="dxa"/>
            <w:gridSpan w:val="4"/>
            <w:vMerge/>
          </w:tcPr>
          <w:p w14:paraId="43F00ABA" w14:textId="77777777" w:rsidR="00EA051D" w:rsidRPr="00D557B9" w:rsidRDefault="00EA051D" w:rsidP="008E6BAE">
            <w:pPr>
              <w:jc w:val="center"/>
              <w:rPr>
                <w:rFonts w:ascii="Times New Roman" w:hAnsi="Times New Roman" w:cs="Times New Roman"/>
                <w:sz w:val="20"/>
                <w:szCs w:val="20"/>
              </w:rPr>
            </w:pPr>
          </w:p>
        </w:tc>
        <w:tc>
          <w:tcPr>
            <w:tcW w:w="851" w:type="dxa"/>
            <w:vAlign w:val="center"/>
          </w:tcPr>
          <w:p w14:paraId="6AD850FE" w14:textId="77777777" w:rsidR="00EA051D" w:rsidRPr="00D557B9" w:rsidRDefault="00EA051D" w:rsidP="008E6BAE">
            <w:pPr>
              <w:jc w:val="center"/>
              <w:rPr>
                <w:rFonts w:ascii="Times New Roman" w:hAnsi="Times New Roman" w:cs="Times New Roman"/>
                <w:color w:val="000000"/>
                <w:sz w:val="20"/>
                <w:szCs w:val="20"/>
              </w:rPr>
            </w:pPr>
            <w:r w:rsidRPr="00D557B9">
              <w:rPr>
                <w:rFonts w:ascii="Times New Roman" w:hAnsi="Times New Roman" w:cs="Times New Roman"/>
                <w:color w:val="000000"/>
                <w:sz w:val="20"/>
              </w:rPr>
              <w:t>25,18</w:t>
            </w:r>
          </w:p>
        </w:tc>
        <w:tc>
          <w:tcPr>
            <w:tcW w:w="850" w:type="dxa"/>
            <w:vAlign w:val="center"/>
          </w:tcPr>
          <w:p w14:paraId="07A80ECC" w14:textId="77777777" w:rsidR="00EA051D" w:rsidRPr="00D557B9" w:rsidRDefault="00EA051D" w:rsidP="008E6BAE">
            <w:pPr>
              <w:jc w:val="center"/>
              <w:rPr>
                <w:rFonts w:ascii="Times New Roman" w:hAnsi="Times New Roman" w:cs="Times New Roman"/>
                <w:color w:val="000000"/>
                <w:sz w:val="20"/>
                <w:szCs w:val="20"/>
              </w:rPr>
            </w:pPr>
            <w:r w:rsidRPr="00D557B9">
              <w:rPr>
                <w:rFonts w:ascii="Times New Roman" w:hAnsi="Times New Roman" w:cs="Times New Roman"/>
                <w:color w:val="000000"/>
                <w:sz w:val="20"/>
              </w:rPr>
              <w:t>13,65</w:t>
            </w:r>
          </w:p>
        </w:tc>
        <w:tc>
          <w:tcPr>
            <w:tcW w:w="851" w:type="dxa"/>
            <w:vAlign w:val="center"/>
          </w:tcPr>
          <w:p w14:paraId="554C5896" w14:textId="77777777" w:rsidR="00EA051D" w:rsidRPr="00D557B9" w:rsidRDefault="00EA051D" w:rsidP="008E6BAE">
            <w:pPr>
              <w:jc w:val="center"/>
              <w:rPr>
                <w:rFonts w:ascii="Times New Roman" w:hAnsi="Times New Roman" w:cs="Times New Roman"/>
                <w:color w:val="000000"/>
                <w:sz w:val="20"/>
                <w:szCs w:val="20"/>
              </w:rPr>
            </w:pPr>
            <w:r w:rsidRPr="00D557B9">
              <w:rPr>
                <w:rFonts w:ascii="Times New Roman" w:hAnsi="Times New Roman" w:cs="Times New Roman"/>
                <w:color w:val="000000"/>
                <w:sz w:val="20"/>
              </w:rPr>
              <w:t>4,42</w:t>
            </w:r>
          </w:p>
        </w:tc>
        <w:tc>
          <w:tcPr>
            <w:tcW w:w="850" w:type="dxa"/>
            <w:vAlign w:val="center"/>
          </w:tcPr>
          <w:p w14:paraId="6CEF6056" w14:textId="77777777" w:rsidR="00EA051D" w:rsidRPr="00D557B9" w:rsidRDefault="00EA051D" w:rsidP="008E6BAE">
            <w:pPr>
              <w:jc w:val="center"/>
              <w:rPr>
                <w:rFonts w:ascii="Times New Roman" w:hAnsi="Times New Roman" w:cs="Times New Roman"/>
                <w:color w:val="000000"/>
                <w:sz w:val="20"/>
                <w:szCs w:val="20"/>
              </w:rPr>
            </w:pPr>
            <w:r w:rsidRPr="00D557B9">
              <w:rPr>
                <w:rFonts w:ascii="Times New Roman" w:hAnsi="Times New Roman" w:cs="Times New Roman"/>
                <w:color w:val="000000"/>
                <w:sz w:val="20"/>
              </w:rPr>
              <w:t>3,65</w:t>
            </w:r>
          </w:p>
        </w:tc>
        <w:tc>
          <w:tcPr>
            <w:tcW w:w="851" w:type="dxa"/>
            <w:vAlign w:val="center"/>
          </w:tcPr>
          <w:p w14:paraId="364FA806" w14:textId="77777777" w:rsidR="00EA051D" w:rsidRPr="00D557B9" w:rsidRDefault="00EA051D" w:rsidP="008E6BAE">
            <w:pPr>
              <w:ind w:left="-119" w:right="-36"/>
              <w:jc w:val="center"/>
              <w:rPr>
                <w:rFonts w:ascii="Times New Roman" w:hAnsi="Times New Roman" w:cs="Times New Roman"/>
                <w:color w:val="000000"/>
                <w:sz w:val="20"/>
                <w:szCs w:val="20"/>
              </w:rPr>
            </w:pPr>
            <w:r w:rsidRPr="00D557B9">
              <w:rPr>
                <w:rFonts w:ascii="Times New Roman" w:hAnsi="Times New Roman" w:cs="Times New Roman"/>
                <w:color w:val="000000"/>
                <w:sz w:val="20"/>
              </w:rPr>
              <w:t>2,91</w:t>
            </w:r>
          </w:p>
        </w:tc>
        <w:tc>
          <w:tcPr>
            <w:tcW w:w="992" w:type="dxa"/>
            <w:vAlign w:val="center"/>
          </w:tcPr>
          <w:p w14:paraId="28EDAD7F" w14:textId="77777777" w:rsidR="00EA051D" w:rsidRPr="00D557B9" w:rsidRDefault="00EA051D" w:rsidP="008E6BAE">
            <w:pPr>
              <w:ind w:left="-180" w:right="-104"/>
              <w:jc w:val="center"/>
              <w:rPr>
                <w:rFonts w:ascii="Times New Roman" w:hAnsi="Times New Roman" w:cs="Times New Roman"/>
                <w:sz w:val="20"/>
                <w:szCs w:val="20"/>
              </w:rPr>
            </w:pPr>
            <w:r w:rsidRPr="00D557B9">
              <w:rPr>
                <w:rFonts w:ascii="Times New Roman" w:hAnsi="Times New Roman" w:cs="Times New Roman"/>
                <w:color w:val="000000"/>
                <w:sz w:val="20"/>
              </w:rPr>
              <w:t>2,51</w:t>
            </w:r>
          </w:p>
        </w:tc>
      </w:tr>
    </w:tbl>
    <w:p w14:paraId="5C8EDC81" w14:textId="71E51B17" w:rsidR="00EA051D" w:rsidRPr="00D557B9" w:rsidRDefault="00EA051D" w:rsidP="007D45B2">
      <w:pPr>
        <w:spacing w:after="0"/>
        <w:rPr>
          <w:rFonts w:ascii="Times New Roman" w:hAnsi="Times New Roman" w:cs="Times New Roman"/>
          <w:i/>
          <w:sz w:val="20"/>
          <w:szCs w:val="20"/>
        </w:rPr>
      </w:pPr>
      <w:r w:rsidRPr="00D557B9">
        <w:rPr>
          <w:rFonts w:ascii="Times New Roman" w:hAnsi="Times New Roman" w:cs="Times New Roman"/>
          <w:i/>
          <w:sz w:val="20"/>
          <w:szCs w:val="20"/>
        </w:rPr>
        <w:t xml:space="preserve">*) Lai arī mazākais </w:t>
      </w:r>
      <w:r w:rsidR="00FC04DB" w:rsidRPr="00D557B9">
        <w:rPr>
          <w:rFonts w:ascii="Times New Roman" w:hAnsi="Times New Roman" w:cs="Times New Roman"/>
          <w:i/>
          <w:sz w:val="20"/>
          <w:szCs w:val="20"/>
        </w:rPr>
        <w:t xml:space="preserve">notekūdeņu </w:t>
      </w:r>
      <w:r w:rsidRPr="00D557B9">
        <w:rPr>
          <w:rFonts w:ascii="Times New Roman" w:hAnsi="Times New Roman" w:cs="Times New Roman"/>
          <w:i/>
          <w:sz w:val="20"/>
          <w:szCs w:val="20"/>
        </w:rPr>
        <w:t>dūņu uzglabāšanas laukums ir veidojams pie 1 000 m</w:t>
      </w:r>
      <w:r w:rsidRPr="00D557B9">
        <w:rPr>
          <w:rFonts w:ascii="Times New Roman" w:hAnsi="Times New Roman" w:cs="Times New Roman"/>
          <w:i/>
          <w:sz w:val="20"/>
          <w:szCs w:val="20"/>
          <w:vertAlign w:val="superscript"/>
        </w:rPr>
        <w:t>3</w:t>
      </w:r>
      <w:r w:rsidRPr="00D557B9">
        <w:rPr>
          <w:rFonts w:ascii="Times New Roman" w:hAnsi="Times New Roman" w:cs="Times New Roman"/>
          <w:i/>
          <w:sz w:val="20"/>
          <w:szCs w:val="20"/>
        </w:rPr>
        <w:t xml:space="preserve"> slapju </w:t>
      </w:r>
      <w:r w:rsidR="00FC04DB" w:rsidRPr="00D557B9">
        <w:rPr>
          <w:rFonts w:ascii="Times New Roman" w:hAnsi="Times New Roman" w:cs="Times New Roman"/>
          <w:i/>
          <w:sz w:val="20"/>
          <w:szCs w:val="20"/>
        </w:rPr>
        <w:t xml:space="preserve">notekūdeņu </w:t>
      </w:r>
      <w:r w:rsidRPr="00D557B9">
        <w:rPr>
          <w:rFonts w:ascii="Times New Roman" w:hAnsi="Times New Roman" w:cs="Times New Roman"/>
          <w:i/>
          <w:sz w:val="20"/>
          <w:szCs w:val="20"/>
        </w:rPr>
        <w:t>dūņu gadā, tomēr Latvijā veidosies atsevišķi pašvaldību centri ar kopējo slapju</w:t>
      </w:r>
      <w:r w:rsidR="00FC04DB" w:rsidRPr="00D557B9">
        <w:rPr>
          <w:rFonts w:ascii="Times New Roman" w:hAnsi="Times New Roman" w:cs="Times New Roman"/>
          <w:i/>
          <w:sz w:val="20"/>
          <w:szCs w:val="20"/>
        </w:rPr>
        <w:t xml:space="preserve"> notekūdeņu</w:t>
      </w:r>
      <w:r w:rsidRPr="00D557B9">
        <w:rPr>
          <w:rFonts w:ascii="Times New Roman" w:hAnsi="Times New Roman" w:cs="Times New Roman"/>
          <w:i/>
          <w:sz w:val="20"/>
          <w:szCs w:val="20"/>
        </w:rPr>
        <w:t xml:space="preserve"> dūņu apjomu līdz 500 m</w:t>
      </w:r>
      <w:r w:rsidRPr="00D557B9">
        <w:rPr>
          <w:rFonts w:ascii="Times New Roman" w:hAnsi="Times New Roman" w:cs="Times New Roman"/>
          <w:i/>
          <w:sz w:val="20"/>
          <w:szCs w:val="20"/>
          <w:vertAlign w:val="superscript"/>
        </w:rPr>
        <w:t>3</w:t>
      </w:r>
      <w:r w:rsidRPr="00D557B9">
        <w:rPr>
          <w:rFonts w:ascii="Times New Roman" w:hAnsi="Times New Roman" w:cs="Times New Roman"/>
          <w:i/>
          <w:sz w:val="20"/>
          <w:szCs w:val="20"/>
        </w:rPr>
        <w:t xml:space="preserve"> gadā, tāpēc ir veikts teorētisks šādu centru darbības izmaksu aprēķins.</w:t>
      </w:r>
    </w:p>
    <w:p w14:paraId="016738C9" w14:textId="517B77F1" w:rsidR="007D45B2" w:rsidRDefault="007D45B2" w:rsidP="007D45B2">
      <w:pPr>
        <w:pStyle w:val="Heading3"/>
        <w:spacing w:before="0"/>
        <w:jc w:val="center"/>
        <w:rPr>
          <w:rFonts w:ascii="Times New Roman" w:eastAsiaTheme="minorHAnsi" w:hAnsi="Times New Roman" w:cs="Times New Roman"/>
          <w:b/>
          <w:bCs/>
          <w:color w:val="auto"/>
          <w:sz w:val="24"/>
        </w:rPr>
      </w:pPr>
      <w:bookmarkStart w:id="100" w:name="_Toc82277636"/>
    </w:p>
    <w:p w14:paraId="08B54547" w14:textId="77777777" w:rsidR="007D45B2" w:rsidRPr="007D45B2" w:rsidRDefault="007D45B2" w:rsidP="007D45B2"/>
    <w:p w14:paraId="6FAE23EA" w14:textId="0FE28DD1" w:rsidR="00EA051D" w:rsidRPr="00FD2C81" w:rsidRDefault="00EA051D" w:rsidP="00FD2C81">
      <w:pPr>
        <w:jc w:val="center"/>
        <w:rPr>
          <w:rFonts w:ascii="Times New Roman" w:hAnsi="Times New Roman" w:cs="Times New Roman"/>
          <w:b/>
          <w:bCs/>
          <w:color w:val="5B9BD5" w:themeColor="accent1"/>
        </w:rPr>
      </w:pPr>
      <w:r w:rsidRPr="00FD2C81">
        <w:rPr>
          <w:rFonts w:ascii="Times New Roman" w:hAnsi="Times New Roman" w:cs="Times New Roman"/>
          <w:b/>
          <w:bCs/>
          <w:color w:val="5B9BD5" w:themeColor="accent1"/>
        </w:rPr>
        <w:t xml:space="preserve">C2. Alternatīva: Mehāniski atūdeņotu (apstrādātu) </w:t>
      </w:r>
      <w:r w:rsidR="00FC04DB" w:rsidRPr="00FD2C81">
        <w:rPr>
          <w:rFonts w:ascii="Times New Roman" w:hAnsi="Times New Roman" w:cs="Times New Roman"/>
          <w:b/>
          <w:bCs/>
          <w:color w:val="5B9BD5" w:themeColor="accent1"/>
        </w:rPr>
        <w:t xml:space="preserve">notekūdeņu </w:t>
      </w:r>
      <w:r w:rsidRPr="00FD2C81">
        <w:rPr>
          <w:rFonts w:ascii="Times New Roman" w:hAnsi="Times New Roman" w:cs="Times New Roman"/>
          <w:b/>
          <w:bCs/>
          <w:color w:val="5B9BD5" w:themeColor="accent1"/>
        </w:rPr>
        <w:t>dūņu kompostēšana</w:t>
      </w:r>
      <w:bookmarkEnd w:id="100"/>
    </w:p>
    <w:p w14:paraId="6C2E90F2" w14:textId="77777777" w:rsidR="007D45B2" w:rsidRDefault="007D45B2" w:rsidP="007D45B2">
      <w:pPr>
        <w:spacing w:after="0"/>
        <w:rPr>
          <w:rFonts w:cstheme="minorHAnsi"/>
        </w:rPr>
      </w:pPr>
    </w:p>
    <w:p w14:paraId="06A4CD29" w14:textId="6FFA30C9" w:rsidR="00EA051D" w:rsidRPr="007D45B2" w:rsidRDefault="00EA051D" w:rsidP="007D45B2">
      <w:pPr>
        <w:spacing w:after="0"/>
        <w:ind w:firstLine="720"/>
        <w:rPr>
          <w:rFonts w:ascii="Times New Roman" w:hAnsi="Times New Roman" w:cs="Times New Roman"/>
        </w:rPr>
      </w:pPr>
      <w:r w:rsidRPr="007D45B2">
        <w:rPr>
          <w:rFonts w:ascii="Times New Roman" w:hAnsi="Times New Roman" w:cs="Times New Roman"/>
        </w:rPr>
        <w:t>Alternatīva paredz darbības un tehnoloģiskos procesus, lai visas notekūdeņu dūņas pēc pārstrādes pilnībā atbilstu alternatīvas B1 “Pārstrādātu notekūdeņu dūņu iestrāde augsnē” ietvaros noteiktajām minimālajām pārstrādātu dūņu īpašībām. Līdz ar to ir veicamas sekojošas ar notekūdeņu dūņu pārstrādi saistītas darbības:</w:t>
      </w:r>
    </w:p>
    <w:p w14:paraId="7B5F48D3" w14:textId="77A63163" w:rsidR="00EA051D" w:rsidRPr="009234A8" w:rsidRDefault="00EA051D" w:rsidP="008B1B4B">
      <w:pPr>
        <w:pStyle w:val="ListParagraph"/>
        <w:numPr>
          <w:ilvl w:val="0"/>
          <w:numId w:val="22"/>
        </w:numPr>
        <w:suppressAutoHyphens/>
        <w:autoSpaceDN w:val="0"/>
        <w:spacing w:after="0"/>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no NAI tehnoloģiskā procesa noņemtas slapjās </w:t>
      </w:r>
      <w:r w:rsidR="00FC04DB" w:rsidRPr="009234A8">
        <w:rPr>
          <w:rFonts w:ascii="Times New Roman" w:hAnsi="Times New Roman" w:cs="Times New Roman"/>
          <w:sz w:val="24"/>
        </w:rPr>
        <w:t xml:space="preserve">notekūdeņu </w:t>
      </w:r>
      <w:r w:rsidRPr="009234A8">
        <w:rPr>
          <w:rFonts w:ascii="Times New Roman" w:hAnsi="Times New Roman" w:cs="Times New Roman"/>
          <w:sz w:val="24"/>
        </w:rPr>
        <w:t xml:space="preserve">dūņas (1% sausna), tiek novirzītas mehāniskā atūdeņošanas iekārtā. Pievienojot polimērus </w:t>
      </w:r>
      <w:r w:rsidR="00FC04DB" w:rsidRPr="009234A8">
        <w:rPr>
          <w:rFonts w:ascii="Times New Roman" w:hAnsi="Times New Roman" w:cs="Times New Roman"/>
          <w:sz w:val="24"/>
        </w:rPr>
        <w:t xml:space="preserve">notekūdeņu </w:t>
      </w:r>
      <w:r w:rsidRPr="009234A8">
        <w:rPr>
          <w:rFonts w:ascii="Times New Roman" w:hAnsi="Times New Roman" w:cs="Times New Roman"/>
          <w:sz w:val="24"/>
        </w:rPr>
        <w:t xml:space="preserve">dūņas tiek mehāniski atūdeņotas līdz 18% sausnai (notekūdeņu dūņu apstrādes process). </w:t>
      </w:r>
    </w:p>
    <w:p w14:paraId="1179C9EE" w14:textId="2149BFE8" w:rsidR="00EA051D" w:rsidRPr="009234A8" w:rsidRDefault="00EA051D" w:rsidP="008B1B4B">
      <w:pPr>
        <w:pStyle w:val="ListParagraph"/>
        <w:numPr>
          <w:ilvl w:val="0"/>
          <w:numId w:val="22"/>
        </w:numPr>
        <w:suppressAutoHyphens/>
        <w:autoSpaceDN w:val="0"/>
        <w:spacing w:after="0"/>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pēc atūdeņošanas </w:t>
      </w:r>
      <w:r w:rsidR="00FC04DB" w:rsidRPr="009234A8">
        <w:rPr>
          <w:rFonts w:ascii="Times New Roman" w:hAnsi="Times New Roman" w:cs="Times New Roman"/>
          <w:sz w:val="24"/>
        </w:rPr>
        <w:t xml:space="preserve">notekūdeņu </w:t>
      </w:r>
      <w:r w:rsidRPr="009234A8">
        <w:rPr>
          <w:rFonts w:ascii="Times New Roman" w:hAnsi="Times New Roman" w:cs="Times New Roman"/>
          <w:sz w:val="24"/>
        </w:rPr>
        <w:t xml:space="preserve">dūņas tiek nogādātas betonētā (asfaltētā) pārstrādes laukumā ar sienām un jumtu, smaku novēršanas un drenāžas sistēmu komposta veidošanai; </w:t>
      </w:r>
    </w:p>
    <w:p w14:paraId="08446BEF" w14:textId="2553D883" w:rsidR="00EA051D" w:rsidRPr="009234A8" w:rsidRDefault="00FC04DB" w:rsidP="008B1B4B">
      <w:pPr>
        <w:pStyle w:val="ListParagraph"/>
        <w:numPr>
          <w:ilvl w:val="0"/>
          <w:numId w:val="22"/>
        </w:numPr>
        <w:suppressAutoHyphens/>
        <w:autoSpaceDN w:val="0"/>
        <w:spacing w:after="0"/>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notekūdeņu </w:t>
      </w:r>
      <w:r w:rsidR="00EA051D" w:rsidRPr="009234A8">
        <w:rPr>
          <w:rFonts w:ascii="Times New Roman" w:hAnsi="Times New Roman" w:cs="Times New Roman"/>
          <w:sz w:val="24"/>
        </w:rPr>
        <w:t xml:space="preserve">dūņas tiek izklātas stirpās un vienādā apjomā tiek pievienots nepieciešamais pildmateriāls, ko veido cits organisks materiāls, piemēram, salmi, skaidas, kūdra, pelavas u.c. Speciāla komposta veidošanas tehnika (aerators) vienmērīgi samaisa notekūdeņu dūņas ar pildmateriālu. Komposta veidošanas operators kontrolē komposta veidošanos atbilstoši prasībām un nodrošina, ka vismaz trīs diennaktis temperatūra kaudzes iekšienē ir ne mazāka par 60 grādiem; </w:t>
      </w:r>
    </w:p>
    <w:p w14:paraId="43ED5357" w14:textId="21AA207A" w:rsidR="00EA051D" w:rsidRPr="009234A8" w:rsidRDefault="00FC04DB" w:rsidP="008B1B4B">
      <w:pPr>
        <w:pStyle w:val="ListParagraph"/>
        <w:numPr>
          <w:ilvl w:val="0"/>
          <w:numId w:val="22"/>
        </w:numPr>
        <w:suppressAutoHyphens/>
        <w:autoSpaceDN w:val="0"/>
        <w:contextualSpacing w:val="0"/>
        <w:jc w:val="both"/>
        <w:textAlignment w:val="baseline"/>
        <w:rPr>
          <w:rFonts w:ascii="Times New Roman" w:hAnsi="Times New Roman" w:cs="Times New Roman"/>
          <w:sz w:val="24"/>
        </w:rPr>
      </w:pPr>
      <w:r w:rsidRPr="009234A8">
        <w:rPr>
          <w:rFonts w:ascii="Times New Roman" w:hAnsi="Times New Roman" w:cs="Times New Roman"/>
          <w:sz w:val="24"/>
        </w:rPr>
        <w:t xml:space="preserve">notekūdeņu </w:t>
      </w:r>
      <w:r w:rsidR="00EA051D" w:rsidRPr="009234A8">
        <w:rPr>
          <w:rFonts w:ascii="Times New Roman" w:hAnsi="Times New Roman" w:cs="Times New Roman"/>
          <w:sz w:val="24"/>
        </w:rPr>
        <w:t xml:space="preserve">dūņas kompostā pārvēršanas vidēji 30 dienu laikā. Pēc tam stirpās sagatavoto kompostu ir iespējams sastumt lielākās kaudzēs, atbrīvojot vietu jauna </w:t>
      </w:r>
      <w:r w:rsidRPr="009234A8">
        <w:rPr>
          <w:rFonts w:ascii="Times New Roman" w:hAnsi="Times New Roman" w:cs="Times New Roman"/>
          <w:sz w:val="24"/>
        </w:rPr>
        <w:t xml:space="preserve">notekūdeņu </w:t>
      </w:r>
      <w:r w:rsidR="00EA051D" w:rsidRPr="009234A8">
        <w:rPr>
          <w:rFonts w:ascii="Times New Roman" w:hAnsi="Times New Roman" w:cs="Times New Roman"/>
          <w:sz w:val="24"/>
        </w:rPr>
        <w:t>dūņu kompostu veidošanai. Sagatavoto materiālu uzreiz pēc pārstrādes ir iespējams izvest uz gala utilizācijas vietu vai uzglabāt līdz izvešanas brīdim. Viss notekūdeņu dūņu kompostēšanas laukums tiek paredzēts slēgts, ar jumtu un sienām, un smaku novēršanas sistēmu, kā arī ar drenāžas un attīrīšanas sistēmu, lai mazinātu vides piesārņojuma riskus dūņu pārstrādes vietā.</w:t>
      </w:r>
    </w:p>
    <w:p w14:paraId="02A30E32" w14:textId="66A45747" w:rsidR="00EA051D" w:rsidRPr="007D45B2" w:rsidRDefault="00EA051D" w:rsidP="00EA051D">
      <w:pPr>
        <w:rPr>
          <w:rFonts w:ascii="Times New Roman" w:hAnsi="Times New Roman" w:cs="Times New Roman"/>
        </w:rPr>
      </w:pPr>
      <w:r w:rsidRPr="007D45B2">
        <w:rPr>
          <w:rFonts w:ascii="Times New Roman" w:hAnsi="Times New Roman" w:cs="Times New Roman"/>
        </w:rPr>
        <w:t xml:space="preserve">Šādas </w:t>
      </w:r>
      <w:r w:rsidR="00FC04DB" w:rsidRPr="007D45B2">
        <w:rPr>
          <w:rFonts w:ascii="Times New Roman" w:hAnsi="Times New Roman" w:cs="Times New Roman"/>
        </w:rPr>
        <w:t xml:space="preserve">notekūdeņu </w:t>
      </w:r>
      <w:r w:rsidRPr="007D45B2">
        <w:rPr>
          <w:rFonts w:ascii="Times New Roman" w:hAnsi="Times New Roman" w:cs="Times New Roman"/>
        </w:rPr>
        <w:t xml:space="preserve">dūņu komposta veidošanas vietas prasības nav noteiktas spēkā esošos normatīvos aktos. Tos ir izstrādājuši un izvirzījuši stratēģijas sagatavotāji, lai nodrošinātu drošu, nekaitīgu un produktīvu </w:t>
      </w:r>
      <w:r w:rsidR="00FC04DB" w:rsidRPr="007D45B2">
        <w:rPr>
          <w:rFonts w:ascii="Times New Roman" w:hAnsi="Times New Roman" w:cs="Times New Roman"/>
        </w:rPr>
        <w:t xml:space="preserve">notekūdeņu </w:t>
      </w:r>
      <w:r w:rsidRPr="007D45B2">
        <w:rPr>
          <w:rFonts w:ascii="Times New Roman" w:hAnsi="Times New Roman" w:cs="Times New Roman"/>
        </w:rPr>
        <w:t>dūņu pārstrādi pielietojot kompostēšanas metodi. Atbilstoši izvirzītajām prasībām ir veikts pārstrādes vietas izveides izmaksu aprēķins, kas ir iekļauts finanšu aprēķinos.</w:t>
      </w:r>
    </w:p>
    <w:p w14:paraId="4464429F" w14:textId="70B41CE3" w:rsidR="00EA051D" w:rsidRPr="007D45B2" w:rsidRDefault="00EA051D" w:rsidP="00EA051D">
      <w:pPr>
        <w:rPr>
          <w:rFonts w:ascii="Times New Roman" w:hAnsi="Times New Roman" w:cs="Times New Roman"/>
        </w:rPr>
      </w:pPr>
      <w:r w:rsidRPr="007D45B2">
        <w:rPr>
          <w:rFonts w:ascii="Times New Roman" w:hAnsi="Times New Roman" w:cs="Times New Roman"/>
        </w:rPr>
        <w:t>Stratēģijas izstrādes laikā ir novērtēts, ka mazākais notekūdeņu dūņu apjoms, kuram ir ekonomiski pamatoti veikt atbilstošu dūņu kompostēšanu ir vismaz 1 000 m</w:t>
      </w:r>
      <w:r w:rsidRPr="007D45B2">
        <w:rPr>
          <w:rFonts w:ascii="Times New Roman" w:hAnsi="Times New Roman" w:cs="Times New Roman"/>
          <w:vertAlign w:val="superscript"/>
        </w:rPr>
        <w:t>3</w:t>
      </w:r>
      <w:r w:rsidRPr="007D45B2">
        <w:rPr>
          <w:rFonts w:ascii="Times New Roman" w:hAnsi="Times New Roman" w:cs="Times New Roman"/>
        </w:rPr>
        <w:t xml:space="preserve"> slapju </w:t>
      </w:r>
      <w:r w:rsidR="00FC04DB" w:rsidRPr="007D45B2">
        <w:rPr>
          <w:rFonts w:ascii="Times New Roman" w:hAnsi="Times New Roman" w:cs="Times New Roman"/>
        </w:rPr>
        <w:t xml:space="preserve">notekūdeņu </w:t>
      </w:r>
      <w:r w:rsidRPr="007D45B2">
        <w:rPr>
          <w:rFonts w:ascii="Times New Roman" w:hAnsi="Times New Roman" w:cs="Times New Roman"/>
        </w:rPr>
        <w:t xml:space="preserve">dūņu gadā </w:t>
      </w:r>
      <w:r w:rsidR="00B450A0" w:rsidRPr="00B450A0">
        <w:rPr>
          <w:rFonts w:ascii="Times New Roman" w:hAnsi="Times New Roman" w:cs="Times New Roman"/>
        </w:rPr>
        <w:t xml:space="preserve">(skat. pielikumu </w:t>
      </w:r>
      <w:r w:rsidR="00B450A0" w:rsidRPr="00B450A0">
        <w:rPr>
          <w:rFonts w:ascii="Times New Roman" w:hAnsi="Times New Roman" w:cs="Times New Roman"/>
          <w:szCs w:val="24"/>
        </w:rPr>
        <w:t>4.7. Finanšu aprēķini “1. Dažādu notekūdeņu dūņu apstrādes veidu izmaksas”</w:t>
      </w:r>
      <w:r w:rsidR="00B450A0" w:rsidRPr="00B450A0">
        <w:rPr>
          <w:rFonts w:ascii="Times New Roman" w:hAnsi="Times New Roman" w:cs="Times New Roman"/>
        </w:rPr>
        <w:t>)</w:t>
      </w:r>
      <w:r w:rsidRPr="007D45B2">
        <w:rPr>
          <w:rFonts w:ascii="Times New Roman" w:hAnsi="Times New Roman" w:cs="Times New Roman"/>
        </w:rPr>
        <w:t xml:space="preserve">. Šāds ierobežojums primāri saistīts ar speciālās kompostēšanas tehnikas iegādi, kas ir dārga un ir efektīva pie liela pārstrādājamo </w:t>
      </w:r>
      <w:r w:rsidR="00FC04DB" w:rsidRPr="007D45B2">
        <w:rPr>
          <w:rFonts w:ascii="Times New Roman" w:hAnsi="Times New Roman" w:cs="Times New Roman"/>
        </w:rPr>
        <w:t xml:space="preserve">notekūdeņu </w:t>
      </w:r>
      <w:r w:rsidRPr="007D45B2">
        <w:rPr>
          <w:rFonts w:ascii="Times New Roman" w:hAnsi="Times New Roman" w:cs="Times New Roman"/>
        </w:rPr>
        <w:t xml:space="preserve">dūņu daudzuma, kā arī kompostēšanas prasībām, kas paredz, ka kaudzes iekšienē ir jānodrošina noteikts temperatūras režīms. Arī mehāniskās notekūdeņu dūņu atūdeņošanas iekārtas </w:t>
      </w:r>
      <w:r w:rsidRPr="007D45B2">
        <w:rPr>
          <w:rFonts w:ascii="Times New Roman" w:hAnsi="Times New Roman" w:cs="Times New Roman"/>
        </w:rPr>
        <w:lastRenderedPageBreak/>
        <w:t xml:space="preserve">ekonomiski pamatoti ir iegādāties un ekspluatēt, ja gadā apstrādājamais </w:t>
      </w:r>
      <w:r w:rsidR="00FC04DB" w:rsidRPr="007D45B2">
        <w:rPr>
          <w:rFonts w:ascii="Times New Roman" w:hAnsi="Times New Roman" w:cs="Times New Roman"/>
        </w:rPr>
        <w:t xml:space="preserve">notekūdeņu </w:t>
      </w:r>
      <w:r w:rsidRPr="007D45B2">
        <w:rPr>
          <w:rFonts w:ascii="Times New Roman" w:hAnsi="Times New Roman" w:cs="Times New Roman"/>
        </w:rPr>
        <w:t>dūņu daudzums pārsniedz 1 000 m</w:t>
      </w:r>
      <w:r w:rsidRPr="007D45B2">
        <w:rPr>
          <w:rFonts w:ascii="Times New Roman" w:hAnsi="Times New Roman" w:cs="Times New Roman"/>
          <w:vertAlign w:val="superscript"/>
        </w:rPr>
        <w:t>3</w:t>
      </w:r>
      <w:r w:rsidRPr="007D45B2">
        <w:rPr>
          <w:rFonts w:ascii="Times New Roman" w:hAnsi="Times New Roman" w:cs="Times New Roman"/>
        </w:rPr>
        <w:t xml:space="preserve"> slapju dūņu </w:t>
      </w:r>
      <w:r w:rsidR="00B450A0" w:rsidRPr="00B450A0">
        <w:rPr>
          <w:rFonts w:ascii="Times New Roman" w:hAnsi="Times New Roman" w:cs="Times New Roman"/>
        </w:rPr>
        <w:t xml:space="preserve">(skat. pielikumu </w:t>
      </w:r>
      <w:r w:rsidR="00B450A0" w:rsidRPr="00B450A0">
        <w:rPr>
          <w:rFonts w:ascii="Times New Roman" w:hAnsi="Times New Roman" w:cs="Times New Roman"/>
          <w:szCs w:val="24"/>
        </w:rPr>
        <w:t>4.7. Finanšu aprēķini “1. Dažādu notekūdeņu dūņu apstrādes veidu izmaksas”</w:t>
      </w:r>
      <w:r w:rsidR="00B450A0" w:rsidRPr="00B450A0">
        <w:rPr>
          <w:rFonts w:ascii="Times New Roman" w:hAnsi="Times New Roman" w:cs="Times New Roman"/>
        </w:rPr>
        <w:t>)</w:t>
      </w:r>
      <w:r w:rsidRPr="007D45B2">
        <w:rPr>
          <w:rFonts w:ascii="Times New Roman" w:hAnsi="Times New Roman" w:cs="Times New Roman"/>
        </w:rPr>
        <w:t xml:space="preserve">. </w:t>
      </w:r>
      <w:r w:rsidRPr="007D45B2">
        <w:rPr>
          <w:rFonts w:ascii="Times New Roman" w:hAnsi="Times New Roman" w:cs="Times New Roman"/>
          <w:b/>
        </w:rPr>
        <w:t>Līdz ar to NAI, kurās radītais notekūdeņu dūņu daudzums ir mazāks par 1 000 m</w:t>
      </w:r>
      <w:r w:rsidRPr="007D45B2">
        <w:rPr>
          <w:rFonts w:ascii="Times New Roman" w:hAnsi="Times New Roman" w:cs="Times New Roman"/>
          <w:b/>
          <w:vertAlign w:val="superscript"/>
        </w:rPr>
        <w:t>3</w:t>
      </w:r>
      <w:r w:rsidRPr="007D45B2">
        <w:rPr>
          <w:rFonts w:ascii="Times New Roman" w:hAnsi="Times New Roman" w:cs="Times New Roman"/>
          <w:b/>
        </w:rPr>
        <w:t xml:space="preserve"> slapju dūņu gadā, </w:t>
      </w:r>
      <w:r w:rsidR="00FC04DB" w:rsidRPr="007D45B2">
        <w:rPr>
          <w:rFonts w:ascii="Times New Roman" w:hAnsi="Times New Roman" w:cs="Times New Roman"/>
          <w:b/>
        </w:rPr>
        <w:t>to</w:t>
      </w:r>
      <w:r w:rsidRPr="007D45B2">
        <w:rPr>
          <w:rFonts w:ascii="Times New Roman" w:hAnsi="Times New Roman" w:cs="Times New Roman"/>
          <w:b/>
        </w:rPr>
        <w:t xml:space="preserve"> mehāniska atūdeņošana un kompostēšana nav ekonomiski pamatota un tā ir jāveic ārpus NAI, kurās tās ir radušās</w:t>
      </w:r>
      <w:r w:rsidRPr="007D45B2">
        <w:rPr>
          <w:rFonts w:ascii="Times New Roman" w:hAnsi="Times New Roman" w:cs="Times New Roman"/>
        </w:rPr>
        <w:t>.</w:t>
      </w:r>
    </w:p>
    <w:p w14:paraId="555C98EB" w14:textId="35E7FCFE" w:rsidR="00EA051D" w:rsidRPr="007D45B2" w:rsidRDefault="00EA051D" w:rsidP="00603B7B">
      <w:pPr>
        <w:ind w:firstLine="720"/>
        <w:rPr>
          <w:rFonts w:ascii="Times New Roman" w:hAnsi="Times New Roman" w:cs="Times New Roman"/>
        </w:rPr>
      </w:pPr>
      <w:r w:rsidRPr="007D45B2">
        <w:rPr>
          <w:rFonts w:ascii="Times New Roman" w:hAnsi="Times New Roman" w:cs="Times New Roman"/>
        </w:rPr>
        <w:t>Alternatīvas izmaksu aprēķinā ir pieņemts, ka notekūdeņu dūņu kompostēšanas laukums ir mazāks salīdzinājumā ar mehāniski atūdeņotu</w:t>
      </w:r>
      <w:r w:rsidR="00FC04DB" w:rsidRPr="007D45B2">
        <w:rPr>
          <w:rFonts w:ascii="Times New Roman" w:hAnsi="Times New Roman" w:cs="Times New Roman"/>
        </w:rPr>
        <w:t xml:space="preserve"> notekūdeņu</w:t>
      </w:r>
      <w:r w:rsidRPr="007D45B2">
        <w:rPr>
          <w:rFonts w:ascii="Times New Roman" w:hAnsi="Times New Roman" w:cs="Times New Roman"/>
        </w:rPr>
        <w:t xml:space="preserve"> dūņu 12 mēnešu izturēšanas laukumu, kas samazina laukumu izbūves kapitālās izmaksas, taču vienlaikus kompostēšanas alternatīvā tiek paredzēts, ka kompostēšanas pildmateriāls ir jāpērk, kā arī izmaksu pieaugumu veido speciālās komposta veidošanas tehnikas iegāde un uzturēšana.</w:t>
      </w:r>
    </w:p>
    <w:p w14:paraId="085CAF54" w14:textId="49C2A6AA" w:rsidR="007D45B2" w:rsidRPr="00182FE2" w:rsidRDefault="00EA051D" w:rsidP="00182FE2">
      <w:pPr>
        <w:spacing w:after="0"/>
        <w:jc w:val="right"/>
        <w:rPr>
          <w:rFonts w:ascii="Times New Roman" w:hAnsi="Times New Roman" w:cs="Times New Roman"/>
          <w:bCs/>
          <w:szCs w:val="24"/>
        </w:rPr>
      </w:pPr>
      <w:r w:rsidRPr="00182FE2">
        <w:rPr>
          <w:rFonts w:ascii="Times New Roman" w:hAnsi="Times New Roman" w:cs="Times New Roman"/>
          <w:bCs/>
          <w:szCs w:val="24"/>
        </w:rPr>
        <w:t>4.</w:t>
      </w:r>
      <w:r w:rsidR="0033476A">
        <w:rPr>
          <w:rFonts w:ascii="Times New Roman" w:hAnsi="Times New Roman" w:cs="Times New Roman"/>
          <w:bCs/>
          <w:szCs w:val="24"/>
        </w:rPr>
        <w:t>4.2</w:t>
      </w:r>
      <w:r w:rsidRPr="00182FE2">
        <w:rPr>
          <w:rFonts w:ascii="Times New Roman" w:hAnsi="Times New Roman" w:cs="Times New Roman"/>
          <w:bCs/>
          <w:szCs w:val="24"/>
        </w:rPr>
        <w:t>. tabula</w:t>
      </w:r>
    </w:p>
    <w:p w14:paraId="5C6340F7" w14:textId="078E39DF" w:rsidR="00EA051D" w:rsidRPr="007D45B2" w:rsidRDefault="00EA051D" w:rsidP="00182FE2">
      <w:pPr>
        <w:spacing w:after="0"/>
        <w:jc w:val="center"/>
        <w:rPr>
          <w:rFonts w:ascii="Times New Roman" w:hAnsi="Times New Roman" w:cs="Times New Roman"/>
          <w:b/>
          <w:szCs w:val="24"/>
        </w:rPr>
      </w:pPr>
      <w:r w:rsidRPr="007D45B2">
        <w:rPr>
          <w:rFonts w:ascii="Times New Roman" w:hAnsi="Times New Roman" w:cs="Times New Roman"/>
          <w:b/>
          <w:szCs w:val="24"/>
        </w:rPr>
        <w:t>Slapju (1% sausna)</w:t>
      </w:r>
      <w:r w:rsidR="00FC04DB" w:rsidRPr="007D45B2">
        <w:rPr>
          <w:rFonts w:ascii="Times New Roman" w:hAnsi="Times New Roman" w:cs="Times New Roman"/>
          <w:b/>
          <w:szCs w:val="24"/>
        </w:rPr>
        <w:t xml:space="preserve"> notekūdeņu</w:t>
      </w:r>
      <w:r w:rsidRPr="007D45B2">
        <w:rPr>
          <w:rFonts w:ascii="Times New Roman" w:hAnsi="Times New Roman" w:cs="Times New Roman"/>
          <w:b/>
          <w:szCs w:val="24"/>
        </w:rPr>
        <w:t xml:space="preserve"> dūņu pārstrādes izmaksas tās kompostējot, EUR gadā </w:t>
      </w:r>
      <w:r w:rsidR="00B450A0" w:rsidRPr="004E5105">
        <w:rPr>
          <w:rFonts w:ascii="Times New Roman" w:hAnsi="Times New Roman" w:cs="Times New Roman"/>
          <w:b/>
          <w:bCs/>
        </w:rPr>
        <w:t xml:space="preserve">(skat. pielikumu </w:t>
      </w:r>
      <w:r w:rsidR="00B450A0" w:rsidRPr="004E5105">
        <w:rPr>
          <w:rFonts w:ascii="Times New Roman" w:hAnsi="Times New Roman" w:cs="Times New Roman"/>
          <w:b/>
          <w:bCs/>
          <w:szCs w:val="24"/>
        </w:rPr>
        <w:t>4.7. Finanšu aprēķini “1. Dažādu notekūdeņu dūņu apstrādes veidu izmaksas”</w:t>
      </w:r>
      <w:r w:rsidR="00B450A0" w:rsidRPr="004E5105">
        <w:rPr>
          <w:rFonts w:ascii="Times New Roman" w:hAnsi="Times New Roman" w:cs="Times New Roman"/>
          <w:b/>
          <w:bCs/>
        </w:rPr>
        <w:t>)</w:t>
      </w:r>
    </w:p>
    <w:tbl>
      <w:tblPr>
        <w:tblStyle w:val="35"/>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567"/>
        <w:gridCol w:w="567"/>
        <w:gridCol w:w="567"/>
        <w:gridCol w:w="567"/>
        <w:gridCol w:w="709"/>
        <w:gridCol w:w="709"/>
        <w:gridCol w:w="708"/>
        <w:gridCol w:w="851"/>
        <w:gridCol w:w="992"/>
        <w:gridCol w:w="1418"/>
      </w:tblGrid>
      <w:tr w:rsidR="00EA051D" w:rsidRPr="00182FE2" w14:paraId="4D7296DA" w14:textId="77777777" w:rsidTr="00182FE2">
        <w:trPr>
          <w:trHeight w:val="288"/>
        </w:trPr>
        <w:tc>
          <w:tcPr>
            <w:tcW w:w="1271" w:type="dxa"/>
          </w:tcPr>
          <w:p w14:paraId="66C03C83" w14:textId="77777777" w:rsidR="00EA051D" w:rsidRPr="00182FE2" w:rsidRDefault="00EA051D" w:rsidP="008E6BAE">
            <w:pPr>
              <w:rPr>
                <w:rFonts w:ascii="Times New Roman" w:hAnsi="Times New Roman" w:cs="Times New Roman"/>
                <w:b/>
                <w:sz w:val="20"/>
                <w:szCs w:val="20"/>
                <w:vertAlign w:val="superscript"/>
              </w:rPr>
            </w:pPr>
            <w:r w:rsidRPr="00182FE2">
              <w:rPr>
                <w:rFonts w:ascii="Times New Roman" w:hAnsi="Times New Roman" w:cs="Times New Roman"/>
                <w:b/>
                <w:sz w:val="20"/>
                <w:szCs w:val="20"/>
              </w:rPr>
              <w:t>m</w:t>
            </w:r>
            <w:r w:rsidRPr="00182FE2">
              <w:rPr>
                <w:rFonts w:ascii="Times New Roman" w:hAnsi="Times New Roman" w:cs="Times New Roman"/>
                <w:b/>
                <w:sz w:val="20"/>
                <w:szCs w:val="20"/>
                <w:vertAlign w:val="superscript"/>
              </w:rPr>
              <w:t>3</w:t>
            </w:r>
          </w:p>
        </w:tc>
        <w:tc>
          <w:tcPr>
            <w:tcW w:w="567" w:type="dxa"/>
          </w:tcPr>
          <w:p w14:paraId="77DE664C"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10</w:t>
            </w:r>
          </w:p>
        </w:tc>
        <w:tc>
          <w:tcPr>
            <w:tcW w:w="567" w:type="dxa"/>
          </w:tcPr>
          <w:p w14:paraId="2A07635A"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20</w:t>
            </w:r>
          </w:p>
        </w:tc>
        <w:tc>
          <w:tcPr>
            <w:tcW w:w="567" w:type="dxa"/>
          </w:tcPr>
          <w:p w14:paraId="787B4357"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50</w:t>
            </w:r>
          </w:p>
        </w:tc>
        <w:tc>
          <w:tcPr>
            <w:tcW w:w="567" w:type="dxa"/>
          </w:tcPr>
          <w:p w14:paraId="2BD36408"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100</w:t>
            </w:r>
          </w:p>
        </w:tc>
        <w:tc>
          <w:tcPr>
            <w:tcW w:w="709" w:type="dxa"/>
          </w:tcPr>
          <w:p w14:paraId="67B15175"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500*</w:t>
            </w:r>
          </w:p>
        </w:tc>
        <w:tc>
          <w:tcPr>
            <w:tcW w:w="709" w:type="dxa"/>
          </w:tcPr>
          <w:p w14:paraId="188EEB72"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1 000</w:t>
            </w:r>
          </w:p>
        </w:tc>
        <w:tc>
          <w:tcPr>
            <w:tcW w:w="708" w:type="dxa"/>
          </w:tcPr>
          <w:p w14:paraId="3DEB2425"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5 000</w:t>
            </w:r>
          </w:p>
        </w:tc>
        <w:tc>
          <w:tcPr>
            <w:tcW w:w="851" w:type="dxa"/>
          </w:tcPr>
          <w:p w14:paraId="00D66DF8"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10 000</w:t>
            </w:r>
          </w:p>
        </w:tc>
        <w:tc>
          <w:tcPr>
            <w:tcW w:w="992" w:type="dxa"/>
          </w:tcPr>
          <w:p w14:paraId="3D45845B" w14:textId="77777777"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b/>
                <w:sz w:val="20"/>
                <w:szCs w:val="20"/>
              </w:rPr>
              <w:t>50 000</w:t>
            </w:r>
          </w:p>
        </w:tc>
        <w:tc>
          <w:tcPr>
            <w:tcW w:w="1418" w:type="dxa"/>
          </w:tcPr>
          <w:p w14:paraId="2EF378EB" w14:textId="77777777" w:rsidR="00EA051D" w:rsidRPr="00182FE2" w:rsidRDefault="00EA051D" w:rsidP="008E6BAE">
            <w:pPr>
              <w:ind w:right="-104"/>
              <w:rPr>
                <w:rFonts w:ascii="Times New Roman" w:hAnsi="Times New Roman" w:cs="Times New Roman"/>
                <w:b/>
                <w:sz w:val="20"/>
                <w:szCs w:val="20"/>
              </w:rPr>
            </w:pPr>
            <w:r w:rsidRPr="00182FE2">
              <w:rPr>
                <w:rFonts w:ascii="Times New Roman" w:hAnsi="Times New Roman" w:cs="Times New Roman"/>
                <w:b/>
                <w:sz w:val="20"/>
                <w:szCs w:val="20"/>
              </w:rPr>
              <w:t>100 000</w:t>
            </w:r>
          </w:p>
        </w:tc>
      </w:tr>
      <w:tr w:rsidR="00EA051D" w:rsidRPr="00182FE2" w14:paraId="7956A3C5" w14:textId="77777777" w:rsidTr="00182FE2">
        <w:trPr>
          <w:trHeight w:val="768"/>
        </w:trPr>
        <w:tc>
          <w:tcPr>
            <w:tcW w:w="1271" w:type="dxa"/>
          </w:tcPr>
          <w:p w14:paraId="40120DF9" w14:textId="77777777" w:rsidR="00EA051D" w:rsidRPr="00182FE2" w:rsidRDefault="00EA051D" w:rsidP="008E6BAE">
            <w:pPr>
              <w:rPr>
                <w:rFonts w:ascii="Times New Roman" w:hAnsi="Times New Roman" w:cs="Times New Roman"/>
                <w:sz w:val="20"/>
                <w:szCs w:val="20"/>
              </w:rPr>
            </w:pPr>
            <w:r w:rsidRPr="00182FE2">
              <w:rPr>
                <w:rFonts w:ascii="Times New Roman" w:hAnsi="Times New Roman" w:cs="Times New Roman"/>
                <w:sz w:val="20"/>
                <w:szCs w:val="20"/>
              </w:rPr>
              <w:t>Notekūdeņu dūņu kompostēšanas izmaksas EUR/gadā</w:t>
            </w:r>
          </w:p>
        </w:tc>
        <w:tc>
          <w:tcPr>
            <w:tcW w:w="2268" w:type="dxa"/>
            <w:gridSpan w:val="4"/>
            <w:vMerge w:val="restart"/>
            <w:vAlign w:val="center"/>
          </w:tcPr>
          <w:p w14:paraId="0FAEEF10" w14:textId="32FCE996" w:rsidR="00EA051D" w:rsidRPr="00182FE2" w:rsidRDefault="00EA051D" w:rsidP="008E6BAE">
            <w:pPr>
              <w:jc w:val="center"/>
              <w:rPr>
                <w:rFonts w:ascii="Times New Roman" w:hAnsi="Times New Roman" w:cs="Times New Roman"/>
                <w:sz w:val="20"/>
                <w:szCs w:val="20"/>
              </w:rPr>
            </w:pPr>
            <w:r w:rsidRPr="00182FE2">
              <w:rPr>
                <w:rFonts w:ascii="Times New Roman" w:hAnsi="Times New Roman" w:cs="Times New Roman"/>
                <w:sz w:val="20"/>
                <w:szCs w:val="20"/>
              </w:rPr>
              <w:t>N/A</w:t>
            </w:r>
            <w:r w:rsidRPr="00182FE2">
              <w:rPr>
                <w:rFonts w:ascii="Times New Roman" w:hAnsi="Times New Roman" w:cs="Times New Roman"/>
                <w:sz w:val="20"/>
                <w:szCs w:val="20"/>
              </w:rPr>
              <w:br/>
              <w:t>Pārāk mazs</w:t>
            </w:r>
            <w:r w:rsidR="00FC04DB" w:rsidRPr="00182FE2">
              <w:rPr>
                <w:rFonts w:ascii="Times New Roman" w:hAnsi="Times New Roman" w:cs="Times New Roman"/>
                <w:sz w:val="20"/>
                <w:szCs w:val="20"/>
              </w:rPr>
              <w:t xml:space="preserve"> notekūdeņu</w:t>
            </w:r>
            <w:r w:rsidRPr="00182FE2">
              <w:rPr>
                <w:rFonts w:ascii="Times New Roman" w:hAnsi="Times New Roman" w:cs="Times New Roman"/>
                <w:sz w:val="20"/>
                <w:szCs w:val="20"/>
              </w:rPr>
              <w:t xml:space="preserve"> dūņu daudzums</w:t>
            </w:r>
          </w:p>
        </w:tc>
        <w:tc>
          <w:tcPr>
            <w:tcW w:w="709" w:type="dxa"/>
            <w:vAlign w:val="center"/>
          </w:tcPr>
          <w:p w14:paraId="4515F7FA" w14:textId="77777777" w:rsidR="00EA051D" w:rsidRPr="00182FE2" w:rsidRDefault="00EA051D" w:rsidP="008E6BAE">
            <w:pPr>
              <w:jc w:val="center"/>
              <w:rPr>
                <w:rFonts w:ascii="Times New Roman" w:hAnsi="Times New Roman" w:cs="Times New Roman"/>
                <w:sz w:val="20"/>
                <w:szCs w:val="20"/>
              </w:rPr>
            </w:pPr>
            <w:r w:rsidRPr="00182FE2">
              <w:rPr>
                <w:rFonts w:ascii="Times New Roman" w:hAnsi="Times New Roman" w:cs="Times New Roman"/>
                <w:color w:val="000000"/>
                <w:sz w:val="20"/>
                <w:szCs w:val="20"/>
              </w:rPr>
              <w:t>18 071</w:t>
            </w:r>
          </w:p>
        </w:tc>
        <w:tc>
          <w:tcPr>
            <w:tcW w:w="709" w:type="dxa"/>
            <w:vAlign w:val="center"/>
          </w:tcPr>
          <w:p w14:paraId="76D71060" w14:textId="77777777" w:rsidR="00EA051D" w:rsidRPr="00182FE2" w:rsidRDefault="00EA051D" w:rsidP="008E6BAE">
            <w:pPr>
              <w:jc w:val="center"/>
              <w:rPr>
                <w:rFonts w:ascii="Times New Roman" w:hAnsi="Times New Roman" w:cs="Times New Roman"/>
                <w:sz w:val="20"/>
                <w:szCs w:val="20"/>
              </w:rPr>
            </w:pPr>
            <w:r w:rsidRPr="00182FE2">
              <w:rPr>
                <w:rFonts w:ascii="Times New Roman" w:hAnsi="Times New Roman" w:cs="Times New Roman"/>
                <w:color w:val="000000"/>
                <w:sz w:val="20"/>
                <w:szCs w:val="20"/>
              </w:rPr>
              <w:t>19 619</w:t>
            </w:r>
          </w:p>
        </w:tc>
        <w:tc>
          <w:tcPr>
            <w:tcW w:w="708" w:type="dxa"/>
            <w:vAlign w:val="center"/>
          </w:tcPr>
          <w:p w14:paraId="339C3BEC" w14:textId="77777777" w:rsidR="00EA051D" w:rsidRPr="00182FE2" w:rsidRDefault="00EA051D" w:rsidP="008E6BAE">
            <w:pPr>
              <w:jc w:val="center"/>
              <w:rPr>
                <w:rFonts w:ascii="Times New Roman" w:hAnsi="Times New Roman" w:cs="Times New Roman"/>
                <w:sz w:val="20"/>
                <w:szCs w:val="20"/>
              </w:rPr>
            </w:pPr>
            <w:r w:rsidRPr="00182FE2">
              <w:rPr>
                <w:rFonts w:ascii="Times New Roman" w:hAnsi="Times New Roman" w:cs="Times New Roman"/>
                <w:color w:val="000000"/>
                <w:sz w:val="20"/>
                <w:szCs w:val="20"/>
              </w:rPr>
              <w:t>34 460</w:t>
            </w:r>
          </w:p>
        </w:tc>
        <w:tc>
          <w:tcPr>
            <w:tcW w:w="851" w:type="dxa"/>
            <w:vAlign w:val="center"/>
          </w:tcPr>
          <w:p w14:paraId="0BB388C1" w14:textId="77777777" w:rsidR="00EA051D" w:rsidRPr="00182FE2" w:rsidRDefault="00EA051D" w:rsidP="008E6BAE">
            <w:pPr>
              <w:jc w:val="center"/>
              <w:rPr>
                <w:rFonts w:ascii="Times New Roman" w:hAnsi="Times New Roman" w:cs="Times New Roman"/>
                <w:sz w:val="20"/>
                <w:szCs w:val="20"/>
              </w:rPr>
            </w:pPr>
            <w:r w:rsidRPr="00182FE2">
              <w:rPr>
                <w:rFonts w:ascii="Times New Roman" w:hAnsi="Times New Roman" w:cs="Times New Roman"/>
                <w:color w:val="000000"/>
                <w:sz w:val="20"/>
                <w:szCs w:val="20"/>
              </w:rPr>
              <w:t>53 791</w:t>
            </w:r>
          </w:p>
        </w:tc>
        <w:tc>
          <w:tcPr>
            <w:tcW w:w="992" w:type="dxa"/>
            <w:vAlign w:val="center"/>
          </w:tcPr>
          <w:p w14:paraId="01921A8D" w14:textId="77777777" w:rsidR="00EA051D" w:rsidRPr="00182FE2" w:rsidRDefault="00EA051D" w:rsidP="008B1B4B">
            <w:pPr>
              <w:numPr>
                <w:ilvl w:val="0"/>
                <w:numId w:val="19"/>
              </w:numPr>
              <w:pBdr>
                <w:top w:val="nil"/>
                <w:left w:val="nil"/>
                <w:bottom w:val="nil"/>
                <w:right w:val="nil"/>
                <w:between w:val="nil"/>
              </w:pBdr>
              <w:spacing w:after="0"/>
              <w:ind w:right="-153"/>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 xml:space="preserve"> 560</w:t>
            </w:r>
          </w:p>
        </w:tc>
        <w:tc>
          <w:tcPr>
            <w:tcW w:w="1418" w:type="dxa"/>
            <w:vAlign w:val="center"/>
          </w:tcPr>
          <w:p w14:paraId="5D113CCE" w14:textId="77777777" w:rsidR="00EA051D" w:rsidRPr="00182FE2" w:rsidRDefault="00EA051D" w:rsidP="008E6BAE">
            <w:pPr>
              <w:pBdr>
                <w:top w:val="nil"/>
                <w:left w:val="nil"/>
                <w:bottom w:val="nil"/>
                <w:right w:val="nil"/>
                <w:between w:val="nil"/>
              </w:pBdr>
              <w:ind w:left="-27" w:right="-104"/>
              <w:rPr>
                <w:rFonts w:ascii="Times New Roman" w:hAnsi="Times New Roman" w:cs="Times New Roman"/>
                <w:color w:val="000000"/>
                <w:sz w:val="20"/>
                <w:szCs w:val="20"/>
              </w:rPr>
            </w:pPr>
            <w:r w:rsidRPr="00182FE2">
              <w:rPr>
                <w:rFonts w:ascii="Times New Roman" w:hAnsi="Times New Roman" w:cs="Times New Roman"/>
                <w:color w:val="000000"/>
                <w:sz w:val="20"/>
                <w:szCs w:val="20"/>
              </w:rPr>
              <w:t>230 121</w:t>
            </w:r>
          </w:p>
        </w:tc>
      </w:tr>
      <w:tr w:rsidR="00EA051D" w:rsidRPr="00182FE2" w14:paraId="4D4DBF19" w14:textId="77777777" w:rsidTr="00182FE2">
        <w:trPr>
          <w:trHeight w:val="768"/>
        </w:trPr>
        <w:tc>
          <w:tcPr>
            <w:tcW w:w="1271" w:type="dxa"/>
          </w:tcPr>
          <w:p w14:paraId="0BD5A851" w14:textId="506D3363" w:rsidR="00EA051D" w:rsidRPr="00182FE2" w:rsidRDefault="00EA051D" w:rsidP="008E6BAE">
            <w:pPr>
              <w:rPr>
                <w:rFonts w:ascii="Times New Roman" w:hAnsi="Times New Roman" w:cs="Times New Roman"/>
                <w:b/>
                <w:sz w:val="20"/>
                <w:szCs w:val="20"/>
              </w:rPr>
            </w:pPr>
            <w:r w:rsidRPr="00182FE2">
              <w:rPr>
                <w:rFonts w:ascii="Times New Roman" w:hAnsi="Times New Roman" w:cs="Times New Roman"/>
                <w:sz w:val="20"/>
                <w:szCs w:val="20"/>
              </w:rPr>
              <w:t>Izmaksas uz vienu m</w:t>
            </w:r>
            <w:r w:rsidRPr="00182FE2">
              <w:rPr>
                <w:rFonts w:ascii="Times New Roman" w:hAnsi="Times New Roman" w:cs="Times New Roman"/>
                <w:sz w:val="20"/>
                <w:szCs w:val="20"/>
                <w:vertAlign w:val="superscript"/>
              </w:rPr>
              <w:t>3</w:t>
            </w:r>
            <w:r w:rsidRPr="00182FE2">
              <w:rPr>
                <w:rFonts w:ascii="Times New Roman" w:hAnsi="Times New Roman" w:cs="Times New Roman"/>
                <w:sz w:val="20"/>
                <w:szCs w:val="20"/>
              </w:rPr>
              <w:t xml:space="preserve"> slapju </w:t>
            </w:r>
            <w:r w:rsidR="00FC04DB" w:rsidRPr="00182FE2">
              <w:rPr>
                <w:rFonts w:ascii="Times New Roman" w:hAnsi="Times New Roman" w:cs="Times New Roman"/>
                <w:sz w:val="20"/>
                <w:szCs w:val="20"/>
              </w:rPr>
              <w:t xml:space="preserve">notekūdeņu </w:t>
            </w:r>
            <w:r w:rsidRPr="00182FE2">
              <w:rPr>
                <w:rFonts w:ascii="Times New Roman" w:hAnsi="Times New Roman" w:cs="Times New Roman"/>
                <w:sz w:val="20"/>
                <w:szCs w:val="20"/>
              </w:rPr>
              <w:t>dūņu EUR</w:t>
            </w:r>
          </w:p>
        </w:tc>
        <w:tc>
          <w:tcPr>
            <w:tcW w:w="2268" w:type="dxa"/>
            <w:gridSpan w:val="4"/>
            <w:vMerge/>
          </w:tcPr>
          <w:p w14:paraId="1EA6E6B2" w14:textId="77777777" w:rsidR="00EA051D" w:rsidRPr="00182FE2" w:rsidRDefault="00EA051D" w:rsidP="008E6BAE">
            <w:pPr>
              <w:jc w:val="center"/>
              <w:rPr>
                <w:rFonts w:ascii="Times New Roman" w:hAnsi="Times New Roman" w:cs="Times New Roman"/>
                <w:sz w:val="20"/>
                <w:szCs w:val="20"/>
              </w:rPr>
            </w:pPr>
          </w:p>
        </w:tc>
        <w:tc>
          <w:tcPr>
            <w:tcW w:w="709" w:type="dxa"/>
            <w:vAlign w:val="center"/>
          </w:tcPr>
          <w:p w14:paraId="03ED0825" w14:textId="77777777" w:rsidR="00EA051D" w:rsidRPr="00182FE2" w:rsidRDefault="00EA051D" w:rsidP="008E6BAE">
            <w:pPr>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36,14</w:t>
            </w:r>
          </w:p>
        </w:tc>
        <w:tc>
          <w:tcPr>
            <w:tcW w:w="709" w:type="dxa"/>
            <w:vAlign w:val="center"/>
          </w:tcPr>
          <w:p w14:paraId="375E1FE0" w14:textId="77777777" w:rsidR="00EA051D" w:rsidRPr="00182FE2" w:rsidRDefault="00EA051D" w:rsidP="008E6BAE">
            <w:pPr>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19,62</w:t>
            </w:r>
          </w:p>
        </w:tc>
        <w:tc>
          <w:tcPr>
            <w:tcW w:w="708" w:type="dxa"/>
            <w:vAlign w:val="center"/>
          </w:tcPr>
          <w:p w14:paraId="30F9A333" w14:textId="77777777" w:rsidR="00EA051D" w:rsidRPr="00182FE2" w:rsidRDefault="00EA051D" w:rsidP="008E6BAE">
            <w:pPr>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6,89</w:t>
            </w:r>
          </w:p>
        </w:tc>
        <w:tc>
          <w:tcPr>
            <w:tcW w:w="851" w:type="dxa"/>
            <w:vAlign w:val="center"/>
          </w:tcPr>
          <w:p w14:paraId="73F6B8A9" w14:textId="77777777" w:rsidR="00EA051D" w:rsidRPr="00182FE2" w:rsidRDefault="00EA051D" w:rsidP="008E6BAE">
            <w:pPr>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5,38</w:t>
            </w:r>
          </w:p>
        </w:tc>
        <w:tc>
          <w:tcPr>
            <w:tcW w:w="992" w:type="dxa"/>
            <w:vAlign w:val="center"/>
          </w:tcPr>
          <w:p w14:paraId="5B172321" w14:textId="77777777" w:rsidR="00EA051D" w:rsidRPr="00182FE2" w:rsidRDefault="00EA051D" w:rsidP="008E6BAE">
            <w:pPr>
              <w:pBdr>
                <w:top w:val="nil"/>
                <w:left w:val="nil"/>
                <w:bottom w:val="nil"/>
                <w:right w:val="nil"/>
                <w:between w:val="nil"/>
              </w:pBdr>
              <w:ind w:left="-213" w:right="-153"/>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2,75</w:t>
            </w:r>
          </w:p>
        </w:tc>
        <w:tc>
          <w:tcPr>
            <w:tcW w:w="1418" w:type="dxa"/>
            <w:vAlign w:val="center"/>
          </w:tcPr>
          <w:p w14:paraId="21AB8D05" w14:textId="77777777" w:rsidR="00EA051D" w:rsidRPr="00182FE2" w:rsidRDefault="00EA051D" w:rsidP="008E6BAE">
            <w:pPr>
              <w:pBdr>
                <w:top w:val="nil"/>
                <w:left w:val="nil"/>
                <w:bottom w:val="nil"/>
                <w:right w:val="nil"/>
                <w:between w:val="nil"/>
              </w:pBdr>
              <w:ind w:left="-27" w:right="-104"/>
              <w:jc w:val="center"/>
              <w:rPr>
                <w:rFonts w:ascii="Times New Roman" w:hAnsi="Times New Roman" w:cs="Times New Roman"/>
                <w:color w:val="000000"/>
                <w:sz w:val="20"/>
                <w:szCs w:val="20"/>
              </w:rPr>
            </w:pPr>
            <w:r w:rsidRPr="00182FE2">
              <w:rPr>
                <w:rFonts w:ascii="Times New Roman" w:hAnsi="Times New Roman" w:cs="Times New Roman"/>
                <w:color w:val="000000"/>
                <w:sz w:val="20"/>
                <w:szCs w:val="20"/>
              </w:rPr>
              <w:t>2,30</w:t>
            </w:r>
          </w:p>
        </w:tc>
      </w:tr>
    </w:tbl>
    <w:p w14:paraId="3AA90A75" w14:textId="1330CC61" w:rsidR="00EA051D" w:rsidRPr="00182FE2" w:rsidRDefault="00EA051D" w:rsidP="00C552D8">
      <w:pPr>
        <w:spacing w:after="0"/>
        <w:rPr>
          <w:rFonts w:ascii="Times New Roman" w:hAnsi="Times New Roman" w:cs="Times New Roman"/>
          <w:i/>
          <w:sz w:val="20"/>
          <w:szCs w:val="20"/>
        </w:rPr>
      </w:pPr>
      <w:r w:rsidRPr="00182FE2">
        <w:rPr>
          <w:rFonts w:ascii="Times New Roman" w:hAnsi="Times New Roman" w:cs="Times New Roman"/>
          <w:i/>
          <w:sz w:val="20"/>
          <w:szCs w:val="20"/>
        </w:rPr>
        <w:t>*) Lai arī notekūdeņu dūņu kompostēšana ir veidojams pie 1 000 m</w:t>
      </w:r>
      <w:r w:rsidRPr="00182FE2">
        <w:rPr>
          <w:rFonts w:ascii="Times New Roman" w:hAnsi="Times New Roman" w:cs="Times New Roman"/>
          <w:i/>
          <w:sz w:val="20"/>
          <w:szCs w:val="20"/>
          <w:vertAlign w:val="superscript"/>
        </w:rPr>
        <w:t>3</w:t>
      </w:r>
      <w:r w:rsidRPr="00182FE2">
        <w:rPr>
          <w:rFonts w:ascii="Times New Roman" w:hAnsi="Times New Roman" w:cs="Times New Roman"/>
          <w:i/>
          <w:sz w:val="20"/>
          <w:szCs w:val="20"/>
        </w:rPr>
        <w:t xml:space="preserve"> slapju </w:t>
      </w:r>
      <w:r w:rsidR="00FC04DB" w:rsidRPr="00182FE2">
        <w:rPr>
          <w:rFonts w:ascii="Times New Roman" w:hAnsi="Times New Roman" w:cs="Times New Roman"/>
          <w:i/>
          <w:sz w:val="20"/>
          <w:szCs w:val="20"/>
        </w:rPr>
        <w:t xml:space="preserve">notekūdeņu </w:t>
      </w:r>
      <w:r w:rsidRPr="00182FE2">
        <w:rPr>
          <w:rFonts w:ascii="Times New Roman" w:hAnsi="Times New Roman" w:cs="Times New Roman"/>
          <w:i/>
          <w:sz w:val="20"/>
          <w:szCs w:val="20"/>
        </w:rPr>
        <w:t>dūņu gadā, tomēr Latvijā veidosies atsevišķi pašvaldību centri ar kopējo slapju</w:t>
      </w:r>
      <w:r w:rsidR="00FC04DB" w:rsidRPr="00182FE2">
        <w:rPr>
          <w:rFonts w:ascii="Times New Roman" w:hAnsi="Times New Roman" w:cs="Times New Roman"/>
          <w:i/>
          <w:sz w:val="20"/>
          <w:szCs w:val="20"/>
        </w:rPr>
        <w:t xml:space="preserve"> notekūdeņu</w:t>
      </w:r>
      <w:r w:rsidRPr="00182FE2">
        <w:rPr>
          <w:rFonts w:ascii="Times New Roman" w:hAnsi="Times New Roman" w:cs="Times New Roman"/>
          <w:i/>
          <w:sz w:val="20"/>
          <w:szCs w:val="20"/>
        </w:rPr>
        <w:t xml:space="preserve"> dūņu apjomu līdz 500 m</w:t>
      </w:r>
      <w:r w:rsidRPr="00182FE2">
        <w:rPr>
          <w:rFonts w:ascii="Times New Roman" w:hAnsi="Times New Roman" w:cs="Times New Roman"/>
          <w:i/>
          <w:sz w:val="20"/>
          <w:szCs w:val="20"/>
          <w:vertAlign w:val="superscript"/>
        </w:rPr>
        <w:t>3</w:t>
      </w:r>
      <w:r w:rsidRPr="00182FE2">
        <w:rPr>
          <w:rFonts w:ascii="Times New Roman" w:hAnsi="Times New Roman" w:cs="Times New Roman"/>
          <w:i/>
          <w:sz w:val="20"/>
          <w:szCs w:val="20"/>
        </w:rPr>
        <w:t xml:space="preserve"> gadā, tāpēc ir veikts teorētisks šādu centru darbības izmaksu aprēķins.</w:t>
      </w:r>
    </w:p>
    <w:p w14:paraId="7B43C90A" w14:textId="77777777" w:rsidR="00C552D8" w:rsidRDefault="00C552D8" w:rsidP="00C552D8">
      <w:pPr>
        <w:pStyle w:val="Heading3"/>
        <w:spacing w:before="0"/>
        <w:jc w:val="center"/>
        <w:rPr>
          <w:rFonts w:ascii="Times New Roman" w:eastAsiaTheme="minorHAnsi" w:hAnsi="Times New Roman" w:cs="Times New Roman"/>
          <w:b/>
          <w:bCs/>
          <w:color w:val="auto"/>
          <w:sz w:val="24"/>
        </w:rPr>
      </w:pPr>
      <w:bookmarkStart w:id="101" w:name="_Toc82277637"/>
    </w:p>
    <w:p w14:paraId="02030552" w14:textId="6B162C90" w:rsidR="00EA051D" w:rsidRPr="00FD2C81" w:rsidRDefault="00EA051D" w:rsidP="00FD2C81">
      <w:pPr>
        <w:jc w:val="center"/>
        <w:rPr>
          <w:rFonts w:ascii="Times New Roman" w:hAnsi="Times New Roman" w:cs="Times New Roman"/>
          <w:b/>
          <w:bCs/>
          <w:color w:val="5B9BD5" w:themeColor="accent1"/>
        </w:rPr>
      </w:pPr>
      <w:r w:rsidRPr="00FD2C81">
        <w:rPr>
          <w:rFonts w:ascii="Times New Roman" w:hAnsi="Times New Roman" w:cs="Times New Roman"/>
          <w:b/>
          <w:bCs/>
          <w:color w:val="5B9BD5" w:themeColor="accent1"/>
        </w:rPr>
        <w:t xml:space="preserve">C3. Alternatīva: Iebiezinātu vai mehāniski atūdeņotu (apstrādātu) notekūdeņu dūņu </w:t>
      </w:r>
      <w:r w:rsidR="002604DA" w:rsidRPr="00FD2C81">
        <w:rPr>
          <w:rFonts w:ascii="Times New Roman" w:hAnsi="Times New Roman" w:cs="Times New Roman"/>
          <w:b/>
          <w:bCs/>
          <w:color w:val="5B9BD5" w:themeColor="accent1"/>
        </w:rPr>
        <w:t>mezofilā</w:t>
      </w:r>
      <w:r w:rsidRPr="00FD2C81">
        <w:rPr>
          <w:rFonts w:ascii="Times New Roman" w:hAnsi="Times New Roman" w:cs="Times New Roman"/>
          <w:b/>
          <w:bCs/>
          <w:color w:val="5B9BD5" w:themeColor="accent1"/>
        </w:rPr>
        <w:t xml:space="preserve"> anaerobā sadalīšana – biogāzes ražošana</w:t>
      </w:r>
      <w:bookmarkEnd w:id="101"/>
    </w:p>
    <w:p w14:paraId="60421EFD" w14:textId="77777777" w:rsidR="00C552D8" w:rsidRDefault="00C552D8" w:rsidP="00C552D8">
      <w:pPr>
        <w:spacing w:after="0"/>
        <w:ind w:firstLine="720"/>
        <w:rPr>
          <w:rFonts w:cstheme="minorHAnsi"/>
        </w:rPr>
      </w:pPr>
    </w:p>
    <w:p w14:paraId="48EFD3F6" w14:textId="6655522E" w:rsidR="00EA051D" w:rsidRPr="00C552D8" w:rsidRDefault="00EA051D" w:rsidP="00C552D8">
      <w:pPr>
        <w:spacing w:after="0"/>
        <w:ind w:firstLine="720"/>
        <w:rPr>
          <w:rFonts w:ascii="Times New Roman" w:hAnsi="Times New Roman" w:cs="Times New Roman"/>
        </w:rPr>
      </w:pPr>
      <w:r w:rsidRPr="00C552D8">
        <w:rPr>
          <w:rFonts w:ascii="Times New Roman" w:hAnsi="Times New Roman" w:cs="Times New Roman"/>
        </w:rPr>
        <w:t xml:space="preserve">Notekūdeņu dūņu </w:t>
      </w:r>
      <w:r w:rsidR="002604DA" w:rsidRPr="00C552D8">
        <w:rPr>
          <w:rFonts w:ascii="Times New Roman" w:hAnsi="Times New Roman" w:cs="Times New Roman"/>
        </w:rPr>
        <w:t>mezofilās</w:t>
      </w:r>
      <w:r w:rsidRPr="00C552D8">
        <w:rPr>
          <w:rFonts w:ascii="Times New Roman" w:hAnsi="Times New Roman" w:cs="Times New Roman"/>
        </w:rPr>
        <w:t xml:space="preserve"> anaerobās sadalīšanas laikā tiek iegūta biogāze, kas tiek sadedzināta speciālā koģenerācijas iekārtā</w:t>
      </w:r>
      <w:r w:rsidR="00FC04DB" w:rsidRPr="00C552D8">
        <w:rPr>
          <w:rFonts w:ascii="Times New Roman" w:hAnsi="Times New Roman" w:cs="Times New Roman"/>
        </w:rPr>
        <w:t xml:space="preserve">, iegūstot </w:t>
      </w:r>
      <w:r w:rsidRPr="00C552D8">
        <w:rPr>
          <w:rFonts w:ascii="Times New Roman" w:hAnsi="Times New Roman" w:cs="Times New Roman"/>
        </w:rPr>
        <w:t>elektrīb</w:t>
      </w:r>
      <w:r w:rsidR="00467956">
        <w:rPr>
          <w:rFonts w:ascii="Times New Roman" w:hAnsi="Times New Roman" w:cs="Times New Roman"/>
        </w:rPr>
        <w:t>u</w:t>
      </w:r>
      <w:r w:rsidRPr="00C552D8">
        <w:rPr>
          <w:rFonts w:ascii="Times New Roman" w:hAnsi="Times New Roman" w:cs="Times New Roman"/>
        </w:rPr>
        <w:t xml:space="preserve">, siltumu, kā arī pārstrādātas slapjas </w:t>
      </w:r>
      <w:r w:rsidR="00FC04DB" w:rsidRPr="00C552D8">
        <w:rPr>
          <w:rFonts w:ascii="Times New Roman" w:hAnsi="Times New Roman" w:cs="Times New Roman"/>
        </w:rPr>
        <w:t xml:space="preserve">notekūdeņu </w:t>
      </w:r>
      <w:r w:rsidRPr="00C552D8">
        <w:rPr>
          <w:rFonts w:ascii="Times New Roman" w:hAnsi="Times New Roman" w:cs="Times New Roman"/>
        </w:rPr>
        <w:t xml:space="preserve">dūņas. Kopumā tehnoloģiskais process ir izmaksu ziņā ietilpīgs un tehnoloģiski sarežģīts. Vidējais </w:t>
      </w:r>
      <w:r w:rsidR="00FC04DB" w:rsidRPr="00C552D8">
        <w:rPr>
          <w:rFonts w:ascii="Times New Roman" w:hAnsi="Times New Roman" w:cs="Times New Roman"/>
        </w:rPr>
        <w:t xml:space="preserve">notekūdeņu </w:t>
      </w:r>
      <w:r w:rsidRPr="00C552D8">
        <w:rPr>
          <w:rFonts w:ascii="Times New Roman" w:hAnsi="Times New Roman" w:cs="Times New Roman"/>
        </w:rPr>
        <w:t xml:space="preserve">dūņu daudzums pie kāda alternatīvas ienākumi kļūst lielāki par izdevumiem ir virs 200 000 t slapju (1% sausna) dūņu gadā, ja neskaita nepieciešamos izdevumus digestāta utilizācijai. Šāds notekūdeņu dūņu apjoms vienuviet ir tikai BAS </w:t>
      </w:r>
      <w:r w:rsidR="00FC04DB" w:rsidRPr="00C552D8">
        <w:rPr>
          <w:rFonts w:ascii="Times New Roman" w:hAnsi="Times New Roman" w:cs="Times New Roman"/>
        </w:rPr>
        <w:t>“</w:t>
      </w:r>
      <w:r w:rsidRPr="00C552D8">
        <w:rPr>
          <w:rFonts w:ascii="Times New Roman" w:hAnsi="Times New Roman" w:cs="Times New Roman"/>
        </w:rPr>
        <w:t>Daugavgrīva</w:t>
      </w:r>
      <w:r w:rsidR="00FC04DB" w:rsidRPr="00C552D8">
        <w:rPr>
          <w:rFonts w:ascii="Times New Roman" w:hAnsi="Times New Roman" w:cs="Times New Roman"/>
        </w:rPr>
        <w:t>”</w:t>
      </w:r>
      <w:r w:rsidRPr="00C552D8">
        <w:rPr>
          <w:rFonts w:ascii="Times New Roman" w:hAnsi="Times New Roman" w:cs="Times New Roman"/>
        </w:rPr>
        <w:t xml:space="preserve">. Pie mazāka notekūdeņu dūņu apjoma dūņu mezofilā anaerobā </w:t>
      </w:r>
      <w:r w:rsidRPr="00C552D8">
        <w:rPr>
          <w:rFonts w:ascii="Times New Roman" w:hAnsi="Times New Roman" w:cs="Times New Roman"/>
        </w:rPr>
        <w:lastRenderedPageBreak/>
        <w:t xml:space="preserve">sadalīšana prasa papildus izdevumus (līdzīgi kā visas citas pārstrādes alternatīvas). Lai sasniegtu 200 000 t slapju </w:t>
      </w:r>
      <w:r w:rsidR="00FC04DB" w:rsidRPr="00C552D8">
        <w:rPr>
          <w:rFonts w:ascii="Times New Roman" w:hAnsi="Times New Roman" w:cs="Times New Roman"/>
        </w:rPr>
        <w:t xml:space="preserve">notekūdeņu </w:t>
      </w:r>
      <w:r w:rsidRPr="00C552D8">
        <w:rPr>
          <w:rFonts w:ascii="Times New Roman" w:hAnsi="Times New Roman" w:cs="Times New Roman"/>
        </w:rPr>
        <w:t xml:space="preserve">dūņu robežu tās ir iespējams centralizēt, sasniedzot nepieciešamo notekūdeņu dūņu daudzumu vienā pārstrādes vietā (skatīt D4 alternatīvu). </w:t>
      </w:r>
    </w:p>
    <w:p w14:paraId="33A34E8D" w14:textId="6EA90714" w:rsidR="00EA051D" w:rsidRPr="0033498C" w:rsidRDefault="00EA051D" w:rsidP="00EA051D">
      <w:pPr>
        <w:spacing w:after="0"/>
        <w:rPr>
          <w:rFonts w:ascii="Times New Roman" w:hAnsi="Times New Roman" w:cs="Times New Roman"/>
          <w:szCs w:val="24"/>
        </w:rPr>
      </w:pPr>
      <w:r w:rsidRPr="0033498C">
        <w:rPr>
          <w:rFonts w:ascii="Times New Roman" w:hAnsi="Times New Roman" w:cs="Times New Roman"/>
          <w:szCs w:val="24"/>
        </w:rPr>
        <w:t>Alternatīva paredz tādas darbības un tehnoloģiskos procesus, lai visas notekūdeņu dūņas pēc pārstrādes pilnībā atbilstu alternatīvas B1 “Pārstrādātu notekūdeņu dūņu iestrāde augsnē” ietvaros noteiktajām minimālajām pārstrādātu</w:t>
      </w:r>
      <w:r w:rsidR="00FC04DB" w:rsidRPr="0033498C">
        <w:rPr>
          <w:rFonts w:ascii="Times New Roman" w:hAnsi="Times New Roman" w:cs="Times New Roman"/>
          <w:szCs w:val="24"/>
        </w:rPr>
        <w:t xml:space="preserve"> notekūdeņu</w:t>
      </w:r>
      <w:r w:rsidRPr="0033498C">
        <w:rPr>
          <w:rFonts w:ascii="Times New Roman" w:hAnsi="Times New Roman" w:cs="Times New Roman"/>
          <w:szCs w:val="24"/>
        </w:rPr>
        <w:t xml:space="preserve"> dūņu īpašībām. Līdz ar to alternatīvas ietvaros ir veicamas šādas ar notekūdeņu dūņu pārstrādi saistītas darbības:</w:t>
      </w:r>
    </w:p>
    <w:p w14:paraId="1B093AF6" w14:textId="7F5A3EA2" w:rsidR="00EA051D" w:rsidRPr="0033498C" w:rsidRDefault="00EA051D" w:rsidP="008B1B4B">
      <w:pPr>
        <w:pStyle w:val="ListParagraph"/>
        <w:numPr>
          <w:ilvl w:val="0"/>
          <w:numId w:val="23"/>
        </w:numPr>
        <w:suppressAutoHyphens/>
        <w:autoSpaceDN w:val="0"/>
        <w:spacing w:after="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no NAI tehnoloģiskā procesa noņemtas slapjās</w:t>
      </w:r>
      <w:r w:rsidR="00FC04DB" w:rsidRPr="0033498C">
        <w:rPr>
          <w:rFonts w:ascii="Times New Roman" w:hAnsi="Times New Roman" w:cs="Times New Roman"/>
          <w:sz w:val="24"/>
          <w:szCs w:val="24"/>
        </w:rPr>
        <w:t xml:space="preserve"> notekūdeņu</w:t>
      </w:r>
      <w:r w:rsidRPr="0033498C">
        <w:rPr>
          <w:rFonts w:ascii="Times New Roman" w:hAnsi="Times New Roman" w:cs="Times New Roman"/>
          <w:sz w:val="24"/>
          <w:szCs w:val="24"/>
        </w:rPr>
        <w:t xml:space="preserve"> dūņas (1% sausna) tiek iebiezinātas līdz sasniedz vidēji 7% sausnas un tiek novirzītas raudzēšanai fermenterī;</w:t>
      </w:r>
    </w:p>
    <w:p w14:paraId="4C27AAA3" w14:textId="32E0F64C" w:rsidR="00EA051D" w:rsidRPr="0033498C" w:rsidRDefault="00EA051D" w:rsidP="008B1B4B">
      <w:pPr>
        <w:pStyle w:val="ListParagraph"/>
        <w:numPr>
          <w:ilvl w:val="0"/>
          <w:numId w:val="23"/>
        </w:numPr>
        <w:suppressAutoHyphens/>
        <w:autoSpaceDN w:val="0"/>
        <w:spacing w:after="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fermenterī </w:t>
      </w:r>
      <w:r w:rsidR="00FC04DB" w:rsidRPr="0033498C">
        <w:rPr>
          <w:rFonts w:ascii="Times New Roman" w:hAnsi="Times New Roman" w:cs="Times New Roman"/>
          <w:sz w:val="24"/>
          <w:szCs w:val="24"/>
        </w:rPr>
        <w:t xml:space="preserve">notekūdeņu </w:t>
      </w:r>
      <w:r w:rsidRPr="0033498C">
        <w:rPr>
          <w:rFonts w:ascii="Times New Roman" w:hAnsi="Times New Roman" w:cs="Times New Roman"/>
          <w:sz w:val="24"/>
          <w:szCs w:val="24"/>
        </w:rPr>
        <w:t>dūņas rūgst vidēji 25 – 30 dienas veidojot biogāzi. Rūgšanas laikā fermenterī ievadītā masā samazinās organisko vielu apjoms par vidēji 30%;</w:t>
      </w:r>
    </w:p>
    <w:p w14:paraId="28C9FCB1" w14:textId="24D72721" w:rsidR="00EA051D" w:rsidRPr="0033498C" w:rsidRDefault="00EA051D" w:rsidP="008B1B4B">
      <w:pPr>
        <w:pStyle w:val="ListParagraph"/>
        <w:numPr>
          <w:ilvl w:val="0"/>
          <w:numId w:val="23"/>
        </w:numPr>
        <w:suppressAutoHyphens/>
        <w:autoSpaceDN w:val="0"/>
        <w:spacing w:after="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pēc rūgšanas procesa pabeigšanas no fermentera izplūst slapjas, izrūgušas notekūdeņu dūņas ar vidēji 4% sausni - digestāts. Lauksaimnieku organizāciju biogāzes stacijās radītais digestāts tiek uzkrāts rezervuāros (lagūnās) un, kad to pieļauj likumdošana (MK noteikumi Nr.384), tas tiek izkliedēts uz lauksaimniecības zemēm šķidrā veidā. Veidojot notekūdeņu dūņu pārstrādes biogāzes staciju pie pilsētu NAI, šāda iespēja nepastāv, jo tas saistīts ar vairākiem būtiskiem vides riskiem vai tehnoloģiskiem ierobežojumiem:</w:t>
      </w:r>
    </w:p>
    <w:p w14:paraId="67EFE518" w14:textId="00D5E9F0" w:rsidR="00EA051D" w:rsidRPr="0033498C" w:rsidRDefault="00EA051D" w:rsidP="008B1B4B">
      <w:pPr>
        <w:pStyle w:val="ListParagraph"/>
        <w:numPr>
          <w:ilvl w:val="0"/>
          <w:numId w:val="24"/>
        </w:numPr>
        <w:suppressAutoHyphens/>
        <w:autoSpaceDN w:val="0"/>
        <w:spacing w:after="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kopējā raudzēto </w:t>
      </w:r>
      <w:r w:rsidR="00FC04DB" w:rsidRPr="0033498C">
        <w:rPr>
          <w:rFonts w:ascii="Times New Roman" w:hAnsi="Times New Roman" w:cs="Times New Roman"/>
          <w:sz w:val="24"/>
          <w:szCs w:val="24"/>
        </w:rPr>
        <w:t xml:space="preserve">notekūdeņu </w:t>
      </w:r>
      <w:r w:rsidRPr="0033498C">
        <w:rPr>
          <w:rFonts w:ascii="Times New Roman" w:hAnsi="Times New Roman" w:cs="Times New Roman"/>
          <w:sz w:val="24"/>
          <w:szCs w:val="24"/>
        </w:rPr>
        <w:t>dūņu masa pēc biogāzes stacijas būs vismaz 100 000 m</w:t>
      </w:r>
      <w:r w:rsidRPr="0033498C">
        <w:rPr>
          <w:rFonts w:ascii="Times New Roman" w:hAnsi="Times New Roman" w:cs="Times New Roman"/>
          <w:sz w:val="24"/>
          <w:szCs w:val="24"/>
          <w:vertAlign w:val="superscript"/>
        </w:rPr>
        <w:t>3</w:t>
      </w:r>
      <w:r w:rsidRPr="0033498C">
        <w:rPr>
          <w:rFonts w:ascii="Times New Roman" w:hAnsi="Times New Roman" w:cs="Times New Roman"/>
          <w:sz w:val="24"/>
          <w:szCs w:val="24"/>
        </w:rPr>
        <w:t xml:space="preserve"> gadā. Lielākajās stacijās līdz pat 300 000 m</w:t>
      </w:r>
      <w:r w:rsidRPr="0033498C">
        <w:rPr>
          <w:rFonts w:ascii="Times New Roman" w:hAnsi="Times New Roman" w:cs="Times New Roman"/>
          <w:sz w:val="24"/>
          <w:szCs w:val="24"/>
          <w:vertAlign w:val="superscript"/>
        </w:rPr>
        <w:t>3</w:t>
      </w:r>
      <w:r w:rsidRPr="0033498C">
        <w:rPr>
          <w:rFonts w:ascii="Times New Roman" w:hAnsi="Times New Roman" w:cs="Times New Roman"/>
          <w:sz w:val="24"/>
          <w:szCs w:val="24"/>
        </w:rPr>
        <w:t xml:space="preserve"> gadā. Lai šādu masu izvestu 40 t lielās cisternās, kopumā ir jābrauc 2 500 – 7 500 reizes;</w:t>
      </w:r>
    </w:p>
    <w:p w14:paraId="7934BEE7" w14:textId="6D3F9115" w:rsidR="00EA051D" w:rsidRPr="0033498C" w:rsidRDefault="00EA051D" w:rsidP="008B1B4B">
      <w:pPr>
        <w:pStyle w:val="ListParagraph"/>
        <w:numPr>
          <w:ilvl w:val="0"/>
          <w:numId w:val="24"/>
        </w:numPr>
        <w:suppressAutoHyphens/>
        <w:autoSpaceDN w:val="0"/>
        <w:spacing w:after="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droša raudzētu </w:t>
      </w:r>
      <w:r w:rsidR="002536B3" w:rsidRPr="0033498C">
        <w:rPr>
          <w:rFonts w:ascii="Times New Roman" w:hAnsi="Times New Roman" w:cs="Times New Roman"/>
          <w:sz w:val="24"/>
          <w:szCs w:val="24"/>
        </w:rPr>
        <w:t>notekūdeņu</w:t>
      </w:r>
      <w:r w:rsidR="00FC04DB" w:rsidRPr="0033498C">
        <w:rPr>
          <w:rFonts w:ascii="Times New Roman" w:hAnsi="Times New Roman" w:cs="Times New Roman"/>
          <w:sz w:val="24"/>
          <w:szCs w:val="24"/>
        </w:rPr>
        <w:t xml:space="preserve"> </w:t>
      </w:r>
      <w:r w:rsidRPr="0033498C">
        <w:rPr>
          <w:rFonts w:ascii="Times New Roman" w:hAnsi="Times New Roman" w:cs="Times New Roman"/>
          <w:sz w:val="24"/>
          <w:szCs w:val="24"/>
        </w:rPr>
        <w:t>dūņu masas utilizācija lauksaimniecības zemēs ir iespējama tikai divus – trīs mēnešus gadā (rudenī). Pārējā laikā zeme ir sasalusi vai tajā aug lauksaimniecības produkcija. Tas nozīmē, ka vidēji mēnesī ir jāizved 800 – 2 500 cisternas ar digestātu;</w:t>
      </w:r>
    </w:p>
    <w:p w14:paraId="778CA76A" w14:textId="1CBD66F7" w:rsidR="00EA051D" w:rsidRPr="0033498C" w:rsidRDefault="00EA051D" w:rsidP="008B1B4B">
      <w:pPr>
        <w:pStyle w:val="ListParagraph"/>
        <w:numPr>
          <w:ilvl w:val="0"/>
          <w:numId w:val="24"/>
        </w:numPr>
        <w:suppressAutoHyphens/>
        <w:autoSpaceDN w:val="0"/>
        <w:spacing w:after="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biogāzes staciju izbūve ir efektīva pie Latvijas lielāko pilsētu NAI. Raudzēt</w:t>
      </w:r>
      <w:r w:rsidR="00FC04DB" w:rsidRPr="0033498C">
        <w:rPr>
          <w:rFonts w:ascii="Times New Roman" w:hAnsi="Times New Roman" w:cs="Times New Roman"/>
          <w:sz w:val="24"/>
          <w:szCs w:val="24"/>
        </w:rPr>
        <w:t xml:space="preserve">ās </w:t>
      </w:r>
      <w:r w:rsidRPr="0033498C">
        <w:rPr>
          <w:rFonts w:ascii="Times New Roman" w:hAnsi="Times New Roman" w:cs="Times New Roman"/>
          <w:sz w:val="24"/>
          <w:szCs w:val="24"/>
        </w:rPr>
        <w:t>masas transportēšana caru pilsētu vai gar tās robežām, skars lielu daudzumu iedzīvotāju, kas protestēs pret notiekošo raudzēt</w:t>
      </w:r>
      <w:r w:rsidR="00FC04DB" w:rsidRPr="0033498C">
        <w:rPr>
          <w:rFonts w:ascii="Times New Roman" w:hAnsi="Times New Roman" w:cs="Times New Roman"/>
          <w:sz w:val="24"/>
          <w:szCs w:val="24"/>
        </w:rPr>
        <w:t xml:space="preserve">o notekūdeņu </w:t>
      </w:r>
      <w:r w:rsidRPr="0033498C">
        <w:rPr>
          <w:rFonts w:ascii="Times New Roman" w:hAnsi="Times New Roman" w:cs="Times New Roman"/>
          <w:sz w:val="24"/>
          <w:szCs w:val="24"/>
        </w:rPr>
        <w:t>dūņu transportēšanu un spēcīgas smakas izplatību. Lai šo ietekmi mazinātu, tad digestāta utilizācijai var rēķināties tikai ar tām lauksaimniecības zemēm, kas atrodas virzienā prom no pilsētas un būtiski samazina pieejamo lauksaimniecības zemju platības. Bet arī šis risinājums aprakstīto problēmu pilnībā neatrisina;</w:t>
      </w:r>
    </w:p>
    <w:p w14:paraId="69FF8551" w14:textId="77777777" w:rsidR="00EA051D" w:rsidRPr="0033498C" w:rsidRDefault="00EA051D" w:rsidP="008B1B4B">
      <w:pPr>
        <w:pStyle w:val="ListParagraph"/>
        <w:numPr>
          <w:ilvl w:val="0"/>
          <w:numId w:val="24"/>
        </w:numPr>
        <w:suppressAutoHyphens/>
        <w:autoSpaceDN w:val="0"/>
        <w:spacing w:after="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digestāta transportēšanas laikā nav iespējams novērst smaku izplatību no cisternām. Rūgušu notekūdeņu dūņu smaka visapkārt transportēšanas ceļiem būs visus digestāta transportēšanas mēnešus;</w:t>
      </w:r>
    </w:p>
    <w:p w14:paraId="0AAA5F5A" w14:textId="2923CA4E" w:rsidR="00EA051D" w:rsidRPr="0033498C" w:rsidRDefault="00EA051D" w:rsidP="008B1B4B">
      <w:pPr>
        <w:pStyle w:val="ListParagraph"/>
        <w:numPr>
          <w:ilvl w:val="0"/>
          <w:numId w:val="24"/>
        </w:numPr>
        <w:suppressAutoHyphens/>
        <w:autoSpaceDN w:val="0"/>
        <w:spacing w:after="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 nav iespējams pilnībā novērst nopilējumus no cisternām transportēšanas laikā. Ja pa vienu un to pašu ceļu pārvietojas 800 – 2500 cisternas, tad veidosies rūgušu notekūdeņu dūņu “sliede” uz transportēšanas ceļa;</w:t>
      </w:r>
    </w:p>
    <w:p w14:paraId="4518BAE4" w14:textId="11F813A0" w:rsidR="00EA051D" w:rsidRPr="0033498C" w:rsidRDefault="00EA051D" w:rsidP="008B1B4B">
      <w:pPr>
        <w:pStyle w:val="ListParagraph"/>
        <w:numPr>
          <w:ilvl w:val="0"/>
          <w:numId w:val="24"/>
        </w:numPr>
        <w:suppressAutoHyphens/>
        <w:autoSpaceDN w:val="0"/>
        <w:spacing w:after="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pēc pārstrādes biogāzes stacijās, digestāts ir jāuzglabā lagūnās. Lagūnas tiek plānotas un veidots ar ierobežotu ietilpību vienam gadam. Ņemot vērā, ka SPS pašiem nav savas lauksaimniecības zemes digestāta utilizācijai, tad par </w:t>
      </w:r>
      <w:r w:rsidRPr="0033498C">
        <w:rPr>
          <w:rFonts w:ascii="Times New Roman" w:hAnsi="Times New Roman" w:cs="Times New Roman"/>
          <w:sz w:val="24"/>
          <w:szCs w:val="24"/>
        </w:rPr>
        <w:lastRenderedPageBreak/>
        <w:t>to ir jāvienojas ar tuvumā esošajām lauksaimniecības organizācijām. Ja kādā no gadiem neizdodas izvest visu digestāta apjomu no lagūnas, tad nākamajā gadā dūņu raudzēšana ir jāpārtrauc, jo nebūs vietas, kur uzglabāt izrūgušo dūņu masu. Ko darīt ar notekūdeņu dūņām ša</w:t>
      </w:r>
      <w:r w:rsidR="00AD7F72">
        <w:rPr>
          <w:rFonts w:ascii="Times New Roman" w:hAnsi="Times New Roman" w:cs="Times New Roman"/>
          <w:sz w:val="24"/>
          <w:szCs w:val="24"/>
        </w:rPr>
        <w:t>jā gadījumā</w:t>
      </w:r>
      <w:r w:rsidRPr="0033498C">
        <w:rPr>
          <w:rFonts w:ascii="Times New Roman" w:hAnsi="Times New Roman" w:cs="Times New Roman"/>
          <w:sz w:val="24"/>
          <w:szCs w:val="24"/>
        </w:rPr>
        <w:t>, risinājuma nav;</w:t>
      </w:r>
    </w:p>
    <w:p w14:paraId="60C68355" w14:textId="77777777" w:rsidR="00EA051D" w:rsidRPr="0033498C" w:rsidRDefault="00EA051D" w:rsidP="008B1B4B">
      <w:pPr>
        <w:pStyle w:val="ListParagraph"/>
        <w:numPr>
          <w:ilvl w:val="0"/>
          <w:numId w:val="24"/>
        </w:numPr>
        <w:suppressAutoHyphens/>
        <w:autoSpaceDN w:val="0"/>
        <w:ind w:left="156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digestāta transportēšana (4% sausne) faktiski nozīmē netīra ūdens transportēšanu. Ņemot vērā aprakstītos ierobežojumus, šāda ūdens transportēšana ir jāplāno vismaz 100 km robežās līdz lauksaimniecības zemēm.</w:t>
      </w:r>
    </w:p>
    <w:p w14:paraId="3AA95129" w14:textId="6E562F48" w:rsidR="00EA051D" w:rsidRPr="0033498C" w:rsidRDefault="00EA051D" w:rsidP="008B1B4B">
      <w:pPr>
        <w:pStyle w:val="ListParagraph"/>
        <w:numPr>
          <w:ilvl w:val="0"/>
          <w:numId w:val="23"/>
        </w:numPr>
        <w:suppressAutoHyphens/>
        <w:autoSpaceDN w:val="0"/>
        <w:spacing w:after="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pēc </w:t>
      </w:r>
      <w:r w:rsidR="00FC04DB" w:rsidRPr="0033498C">
        <w:rPr>
          <w:rFonts w:ascii="Times New Roman" w:hAnsi="Times New Roman" w:cs="Times New Roman"/>
          <w:sz w:val="24"/>
          <w:szCs w:val="24"/>
        </w:rPr>
        <w:t xml:space="preserve">notekūdeņu </w:t>
      </w:r>
      <w:r w:rsidRPr="0033498C">
        <w:rPr>
          <w:rFonts w:ascii="Times New Roman" w:hAnsi="Times New Roman" w:cs="Times New Roman"/>
          <w:sz w:val="24"/>
          <w:szCs w:val="24"/>
        </w:rPr>
        <w:t xml:space="preserve">dūņu fermentēšanas iegūto digestātu (4% sausna) līdzīgi kā slapjas dūņas ir iespējams mehāniski atūdeņot </w:t>
      </w:r>
      <w:sdt>
        <w:sdtPr>
          <w:rPr>
            <w:rFonts w:ascii="Times New Roman" w:hAnsi="Times New Roman" w:cs="Times New Roman"/>
            <w:sz w:val="24"/>
            <w:szCs w:val="24"/>
          </w:rPr>
          <w:tag w:val="goog_rdk_62"/>
          <w:id w:val="-1213959119"/>
        </w:sdtPr>
        <w:sdtContent/>
      </w:sdt>
      <w:r w:rsidRPr="0033498C">
        <w:rPr>
          <w:rFonts w:ascii="Times New Roman" w:hAnsi="Times New Roman" w:cs="Times New Roman"/>
          <w:sz w:val="24"/>
          <w:szCs w:val="24"/>
        </w:rPr>
        <w:t xml:space="preserve">līdz sausnas saturam 23 -25%. Atūdeņoto masu ir iespējams izvietot segtos uzglabāšanas laukos. Ņemot vērā, ka dūņas jau ir pārstrādātas un papildus pārstrāde nav nepieciešama, </w:t>
      </w:r>
      <w:r w:rsidR="00FC04DB" w:rsidRPr="0033498C">
        <w:rPr>
          <w:rFonts w:ascii="Times New Roman" w:hAnsi="Times New Roman" w:cs="Times New Roman"/>
          <w:sz w:val="24"/>
          <w:szCs w:val="24"/>
        </w:rPr>
        <w:t>tās</w:t>
      </w:r>
      <w:r w:rsidRPr="0033498C">
        <w:rPr>
          <w:rFonts w:ascii="Times New Roman" w:hAnsi="Times New Roman" w:cs="Times New Roman"/>
          <w:sz w:val="24"/>
          <w:szCs w:val="24"/>
        </w:rPr>
        <w:t xml:space="preserve"> dūņu laukos var uzglabāt lielās kaudzēs, līdz brīdim, kad atbilstoši likumdošanā noteiktajām prasībām (MK noteikumi Nr.362)  pārstrādātu dūņu masu ir iespējams utilizēt lauksaimniecības zemēs. Tas būtiski samazina slēgtu dūņu lauku platības un izbūves izmaksas salīdzinot ar alternatīvām C1 un C2. </w:t>
      </w:r>
    </w:p>
    <w:p w14:paraId="0C9B6059" w14:textId="77777777" w:rsidR="00EA051D" w:rsidRPr="0033498C" w:rsidRDefault="00EA051D" w:rsidP="008B1B4B">
      <w:pPr>
        <w:pStyle w:val="ListParagraph"/>
        <w:numPr>
          <w:ilvl w:val="0"/>
          <w:numId w:val="23"/>
        </w:numPr>
        <w:suppressAutoHyphens/>
        <w:autoSpaceDN w:val="0"/>
        <w:contextualSpacing w:val="0"/>
        <w:jc w:val="both"/>
        <w:textAlignment w:val="baseline"/>
        <w:rPr>
          <w:rFonts w:ascii="Times New Roman" w:hAnsi="Times New Roman" w:cs="Times New Roman"/>
          <w:sz w:val="24"/>
          <w:szCs w:val="24"/>
        </w:rPr>
      </w:pPr>
      <w:r w:rsidRPr="0033498C">
        <w:rPr>
          <w:rFonts w:ascii="Times New Roman" w:hAnsi="Times New Roman" w:cs="Times New Roman"/>
          <w:sz w:val="24"/>
          <w:szCs w:val="24"/>
        </w:rPr>
        <w:t xml:space="preserve">digestātu atūdeņojot un noņemot pārstrādātās dūņas, atlikumā veidojas piesārņots ūdens - fugāts, ar ļoti koncentrētu slāpekļa un fosfora saturu. Šādu ūdeni dabā novadīt nav iespējams un tas ir papildus jāattīra. Vieglākais šāda ūdens attīrīšanas veids ir to novadīt atpakaļ NAI, kas atrodas blakus biogāzes stacijai, atkārtotai bioloģiskai attīrīšanai. Ja esošo NAI jauda nav pietiekama, lai uzņemtu un attīrītu papildus piesārņojuma apjomu, blakus biogāzes stacijai ir jābūvē atsevišķs bioloģisko NAI attīrīšanas bloks, tikai fugāta ūdens bioloģiskai attīrīšanai. </w:t>
      </w:r>
      <w:sdt>
        <w:sdtPr>
          <w:rPr>
            <w:rFonts w:ascii="Times New Roman" w:hAnsi="Times New Roman" w:cs="Times New Roman"/>
            <w:sz w:val="24"/>
            <w:szCs w:val="24"/>
          </w:rPr>
          <w:tag w:val="goog_rdk_63"/>
          <w:id w:val="-820270625"/>
        </w:sdtPr>
        <w:sdtContent/>
      </w:sdt>
      <w:r w:rsidRPr="0033498C">
        <w:rPr>
          <w:rFonts w:ascii="Times New Roman" w:hAnsi="Times New Roman" w:cs="Times New Roman"/>
          <w:sz w:val="24"/>
          <w:szCs w:val="24"/>
        </w:rPr>
        <w:t xml:space="preserve">Šāda fugāta ūdens attīrīšanas izmaksas ir ļoti augstas, un pārsniedz biogāzes stacijas būvniecības un uzturēšanas izmaksas. Minēto izmaksu dēļ, esošajās biogāzes stacijās, kuras apsaimnieko lauksaimniecības organizācijas, digestāts netiek atūdeņots, bet to izmanto kā gala produktu un iestrādā augsnē šķidrā veidā. </w:t>
      </w:r>
    </w:p>
    <w:p w14:paraId="53B3B568" w14:textId="77777777" w:rsidR="00C552D8" w:rsidRPr="0033498C" w:rsidRDefault="00EA051D" w:rsidP="002C5C8B">
      <w:pPr>
        <w:spacing w:after="0"/>
        <w:ind w:left="360" w:firstLine="360"/>
        <w:rPr>
          <w:rFonts w:ascii="Times New Roman" w:hAnsi="Times New Roman" w:cs="Times New Roman"/>
          <w:szCs w:val="24"/>
        </w:rPr>
      </w:pPr>
      <w:r w:rsidRPr="0033498C">
        <w:rPr>
          <w:rFonts w:ascii="Times New Roman" w:hAnsi="Times New Roman" w:cs="Times New Roman"/>
          <w:szCs w:val="24"/>
        </w:rPr>
        <w:t xml:space="preserve">Notekūdeņu dūņu pārstrāde lielās biogāzes stacijās sniedz ieņēmumus, kas ilgtermiņā sedz biogāzes stacijas izbūves izmaksas, taču sarežģītais digestāta utilizācijas process prasa lielus papildu izdevumus, kā rezultātā netiek sasniegts būtisks ekonomiskais efekts. </w:t>
      </w:r>
    </w:p>
    <w:p w14:paraId="1F001AAA" w14:textId="77777777" w:rsidR="00C552D8" w:rsidRDefault="00C552D8" w:rsidP="00C552D8">
      <w:pPr>
        <w:spacing w:after="0"/>
        <w:ind w:left="360"/>
        <w:rPr>
          <w:rFonts w:ascii="Times New Roman" w:hAnsi="Times New Roman" w:cs="Times New Roman"/>
        </w:rPr>
      </w:pPr>
    </w:p>
    <w:p w14:paraId="44EFD9AC" w14:textId="563DCDA1" w:rsidR="00C552D8" w:rsidRPr="00C552D8" w:rsidRDefault="00EA051D" w:rsidP="00C552D8">
      <w:pPr>
        <w:spacing w:after="0"/>
        <w:ind w:left="360"/>
        <w:jc w:val="right"/>
        <w:rPr>
          <w:rFonts w:ascii="Times New Roman" w:hAnsi="Times New Roman" w:cs="Times New Roman"/>
          <w:szCs w:val="24"/>
        </w:rPr>
      </w:pPr>
      <w:r w:rsidRPr="00C552D8">
        <w:rPr>
          <w:rFonts w:ascii="Times New Roman" w:hAnsi="Times New Roman" w:cs="Times New Roman"/>
          <w:bCs/>
          <w:szCs w:val="24"/>
        </w:rPr>
        <w:t>4.</w:t>
      </w:r>
      <w:r w:rsidR="002709F5">
        <w:rPr>
          <w:rFonts w:ascii="Times New Roman" w:hAnsi="Times New Roman" w:cs="Times New Roman"/>
          <w:bCs/>
          <w:szCs w:val="24"/>
        </w:rPr>
        <w:t>4.3</w:t>
      </w:r>
      <w:r w:rsidRPr="00C552D8">
        <w:rPr>
          <w:rFonts w:ascii="Times New Roman" w:hAnsi="Times New Roman" w:cs="Times New Roman"/>
          <w:bCs/>
          <w:szCs w:val="24"/>
        </w:rPr>
        <w:t>. tabula</w:t>
      </w:r>
    </w:p>
    <w:p w14:paraId="0DDB101B" w14:textId="1917CACC" w:rsidR="00EA051D" w:rsidRPr="00C552D8" w:rsidRDefault="00EA051D" w:rsidP="00C552D8">
      <w:pPr>
        <w:spacing w:after="0"/>
        <w:ind w:left="360"/>
        <w:jc w:val="center"/>
        <w:rPr>
          <w:rFonts w:ascii="Times New Roman" w:hAnsi="Times New Roman" w:cs="Times New Roman"/>
          <w:szCs w:val="24"/>
        </w:rPr>
      </w:pPr>
      <w:r w:rsidRPr="00C552D8">
        <w:rPr>
          <w:rFonts w:ascii="Times New Roman" w:hAnsi="Times New Roman" w:cs="Times New Roman"/>
          <w:b/>
          <w:szCs w:val="24"/>
        </w:rPr>
        <w:t xml:space="preserve">Slapju (1% sausna) </w:t>
      </w:r>
      <w:r w:rsidR="00FC04DB" w:rsidRPr="00C552D8">
        <w:rPr>
          <w:rFonts w:ascii="Times New Roman" w:hAnsi="Times New Roman" w:cs="Times New Roman"/>
          <w:b/>
          <w:szCs w:val="24"/>
        </w:rPr>
        <w:t xml:space="preserve">notekūdeņu </w:t>
      </w:r>
      <w:r w:rsidRPr="00C552D8">
        <w:rPr>
          <w:rFonts w:ascii="Times New Roman" w:hAnsi="Times New Roman" w:cs="Times New Roman"/>
          <w:b/>
          <w:szCs w:val="24"/>
        </w:rPr>
        <w:t xml:space="preserve">dūņu pārstrādes izmaksas biogāzes stacijās, EUR gadā </w:t>
      </w:r>
      <w:r w:rsidR="004E5105" w:rsidRPr="004E5105">
        <w:rPr>
          <w:rFonts w:ascii="Times New Roman" w:hAnsi="Times New Roman" w:cs="Times New Roman"/>
          <w:b/>
          <w:bCs/>
        </w:rPr>
        <w:t xml:space="preserve">(skat. pielikumu </w:t>
      </w:r>
      <w:r w:rsidR="004E5105" w:rsidRPr="004E5105">
        <w:rPr>
          <w:rFonts w:ascii="Times New Roman" w:hAnsi="Times New Roman" w:cs="Times New Roman"/>
          <w:b/>
          <w:bCs/>
          <w:szCs w:val="24"/>
        </w:rPr>
        <w:t>4.7. Finanšu aprēķini “1. Dažādu notekūdeņu dūņu apstrādes veidu izmaksas”</w:t>
      </w:r>
      <w:r w:rsidR="004E5105" w:rsidRPr="004E5105">
        <w:rPr>
          <w:rFonts w:ascii="Times New Roman" w:hAnsi="Times New Roman" w:cs="Times New Roman"/>
          <w:b/>
          <w:bCs/>
        </w:rPr>
        <w:t>)</w:t>
      </w:r>
    </w:p>
    <w:tbl>
      <w:tblPr>
        <w:tblW w:w="8789" w:type="dxa"/>
        <w:tblInd w:w="-10" w:type="dxa"/>
        <w:tblLook w:val="04A0" w:firstRow="1" w:lastRow="0" w:firstColumn="1" w:lastColumn="0" w:noHBand="0" w:noVBand="1"/>
      </w:tblPr>
      <w:tblGrid>
        <w:gridCol w:w="3402"/>
        <w:gridCol w:w="709"/>
        <w:gridCol w:w="709"/>
        <w:gridCol w:w="709"/>
        <w:gridCol w:w="708"/>
        <w:gridCol w:w="851"/>
        <w:gridCol w:w="850"/>
        <w:gridCol w:w="851"/>
      </w:tblGrid>
      <w:tr w:rsidR="007B173C" w:rsidRPr="002C5C8B" w14:paraId="622AD71C" w14:textId="77777777" w:rsidTr="006D1E47">
        <w:trPr>
          <w:trHeight w:val="288"/>
        </w:trPr>
        <w:tc>
          <w:tcPr>
            <w:tcW w:w="3402" w:type="dxa"/>
            <w:tcBorders>
              <w:top w:val="single" w:sz="8" w:space="0" w:color="auto"/>
              <w:left w:val="single" w:sz="8" w:space="0" w:color="auto"/>
              <w:bottom w:val="single" w:sz="4" w:space="0" w:color="auto"/>
              <w:right w:val="single" w:sz="4" w:space="0" w:color="auto"/>
            </w:tcBorders>
            <w:shd w:val="clear" w:color="auto" w:fill="E2EFD9" w:themeFill="accent6" w:themeFillTint="33"/>
            <w:noWrap/>
            <w:vAlign w:val="center"/>
            <w:hideMark/>
          </w:tcPr>
          <w:p w14:paraId="28059774"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Elektrostacijas jaudas MW</w:t>
            </w:r>
          </w:p>
        </w:tc>
        <w:tc>
          <w:tcPr>
            <w:tcW w:w="709" w:type="dxa"/>
            <w:tcBorders>
              <w:top w:val="single" w:sz="8" w:space="0" w:color="auto"/>
              <w:left w:val="nil"/>
              <w:bottom w:val="single" w:sz="4" w:space="0" w:color="auto"/>
              <w:right w:val="single" w:sz="4" w:space="0" w:color="auto"/>
            </w:tcBorders>
            <w:shd w:val="clear" w:color="auto" w:fill="E2EFD9" w:themeFill="accent6" w:themeFillTint="33"/>
            <w:noWrap/>
            <w:vAlign w:val="center"/>
            <w:hideMark/>
          </w:tcPr>
          <w:p w14:paraId="79900717"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0,5</w:t>
            </w:r>
          </w:p>
        </w:tc>
        <w:tc>
          <w:tcPr>
            <w:tcW w:w="709" w:type="dxa"/>
            <w:tcBorders>
              <w:top w:val="single" w:sz="8" w:space="0" w:color="auto"/>
              <w:left w:val="nil"/>
              <w:bottom w:val="single" w:sz="4" w:space="0" w:color="auto"/>
              <w:right w:val="single" w:sz="4" w:space="0" w:color="auto"/>
            </w:tcBorders>
            <w:shd w:val="clear" w:color="auto" w:fill="E2EFD9" w:themeFill="accent6" w:themeFillTint="33"/>
            <w:noWrap/>
            <w:vAlign w:val="center"/>
            <w:hideMark/>
          </w:tcPr>
          <w:p w14:paraId="256D0846"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1,0</w:t>
            </w:r>
          </w:p>
        </w:tc>
        <w:tc>
          <w:tcPr>
            <w:tcW w:w="709" w:type="dxa"/>
            <w:tcBorders>
              <w:top w:val="single" w:sz="8" w:space="0" w:color="auto"/>
              <w:left w:val="nil"/>
              <w:bottom w:val="single" w:sz="4" w:space="0" w:color="auto"/>
              <w:right w:val="single" w:sz="4" w:space="0" w:color="auto"/>
            </w:tcBorders>
            <w:shd w:val="clear" w:color="auto" w:fill="E2EFD9" w:themeFill="accent6" w:themeFillTint="33"/>
            <w:noWrap/>
            <w:vAlign w:val="center"/>
            <w:hideMark/>
          </w:tcPr>
          <w:p w14:paraId="62E33647"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1,5</w:t>
            </w:r>
          </w:p>
        </w:tc>
        <w:tc>
          <w:tcPr>
            <w:tcW w:w="708" w:type="dxa"/>
            <w:tcBorders>
              <w:top w:val="single" w:sz="8" w:space="0" w:color="auto"/>
              <w:left w:val="nil"/>
              <w:bottom w:val="single" w:sz="4" w:space="0" w:color="auto"/>
              <w:right w:val="single" w:sz="4" w:space="0" w:color="auto"/>
            </w:tcBorders>
            <w:shd w:val="clear" w:color="auto" w:fill="E2EFD9" w:themeFill="accent6" w:themeFillTint="33"/>
            <w:noWrap/>
            <w:vAlign w:val="center"/>
            <w:hideMark/>
          </w:tcPr>
          <w:p w14:paraId="41A61B42"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2,0</w:t>
            </w:r>
          </w:p>
        </w:tc>
        <w:tc>
          <w:tcPr>
            <w:tcW w:w="851" w:type="dxa"/>
            <w:tcBorders>
              <w:top w:val="single" w:sz="8" w:space="0" w:color="auto"/>
              <w:left w:val="nil"/>
              <w:bottom w:val="single" w:sz="4" w:space="0" w:color="auto"/>
              <w:right w:val="single" w:sz="4" w:space="0" w:color="auto"/>
            </w:tcBorders>
            <w:shd w:val="clear" w:color="auto" w:fill="E2EFD9" w:themeFill="accent6" w:themeFillTint="33"/>
            <w:noWrap/>
            <w:vAlign w:val="center"/>
            <w:hideMark/>
          </w:tcPr>
          <w:p w14:paraId="1C70882C"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3,0</w:t>
            </w:r>
          </w:p>
        </w:tc>
        <w:tc>
          <w:tcPr>
            <w:tcW w:w="850" w:type="dxa"/>
            <w:tcBorders>
              <w:top w:val="single" w:sz="8" w:space="0" w:color="auto"/>
              <w:left w:val="nil"/>
              <w:bottom w:val="single" w:sz="4" w:space="0" w:color="auto"/>
              <w:right w:val="single" w:sz="4" w:space="0" w:color="auto"/>
            </w:tcBorders>
            <w:shd w:val="clear" w:color="auto" w:fill="E2EFD9" w:themeFill="accent6" w:themeFillTint="33"/>
            <w:noWrap/>
            <w:vAlign w:val="center"/>
            <w:hideMark/>
          </w:tcPr>
          <w:p w14:paraId="2424C79E"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4,0</w:t>
            </w:r>
          </w:p>
        </w:tc>
        <w:tc>
          <w:tcPr>
            <w:tcW w:w="851" w:type="dxa"/>
            <w:tcBorders>
              <w:top w:val="single" w:sz="8" w:space="0" w:color="auto"/>
              <w:left w:val="nil"/>
              <w:bottom w:val="single" w:sz="4" w:space="0" w:color="auto"/>
              <w:right w:val="single" w:sz="8" w:space="0" w:color="auto"/>
            </w:tcBorders>
            <w:shd w:val="clear" w:color="auto" w:fill="E2EFD9" w:themeFill="accent6" w:themeFillTint="33"/>
            <w:noWrap/>
            <w:vAlign w:val="center"/>
            <w:hideMark/>
          </w:tcPr>
          <w:p w14:paraId="320AC4C0"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5,0</w:t>
            </w:r>
          </w:p>
        </w:tc>
      </w:tr>
      <w:tr w:rsidR="007B173C" w:rsidRPr="002C5C8B" w14:paraId="07C0D7C1" w14:textId="77777777" w:rsidTr="006D1E47">
        <w:trPr>
          <w:trHeight w:val="288"/>
        </w:trPr>
        <w:tc>
          <w:tcPr>
            <w:tcW w:w="3402" w:type="dxa"/>
            <w:tcBorders>
              <w:top w:val="single" w:sz="4" w:space="0" w:color="auto"/>
              <w:left w:val="single" w:sz="8" w:space="0" w:color="auto"/>
              <w:bottom w:val="single" w:sz="4" w:space="0" w:color="auto"/>
              <w:right w:val="single" w:sz="4" w:space="0" w:color="auto"/>
            </w:tcBorders>
            <w:shd w:val="clear" w:color="auto" w:fill="E2EFD9" w:themeFill="accent6" w:themeFillTint="33"/>
            <w:noWrap/>
            <w:vAlign w:val="center"/>
            <w:hideMark/>
          </w:tcPr>
          <w:p w14:paraId="208B3374" w14:textId="505D88D2"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Koģenerācijas darbības param</w:t>
            </w:r>
            <w:r w:rsidR="00EB0AFA">
              <w:rPr>
                <w:rFonts w:ascii="Times New Roman" w:eastAsia="Times New Roman" w:hAnsi="Times New Roman" w:cs="Times New Roman"/>
                <w:b/>
                <w:bCs/>
                <w:sz w:val="20"/>
                <w:szCs w:val="20"/>
              </w:rPr>
              <w:t>e</w:t>
            </w:r>
            <w:r w:rsidRPr="002C5C8B">
              <w:rPr>
                <w:rFonts w:ascii="Times New Roman" w:eastAsia="Times New Roman" w:hAnsi="Times New Roman" w:cs="Times New Roman"/>
                <w:b/>
                <w:bCs/>
                <w:sz w:val="20"/>
                <w:szCs w:val="20"/>
              </w:rPr>
              <w:t>tri</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17419A4C"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4AC90F14"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1E545852"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c>
          <w:tcPr>
            <w:tcW w:w="708" w:type="dxa"/>
            <w:tcBorders>
              <w:top w:val="nil"/>
              <w:left w:val="nil"/>
              <w:bottom w:val="single" w:sz="4" w:space="0" w:color="auto"/>
              <w:right w:val="single" w:sz="4" w:space="0" w:color="auto"/>
            </w:tcBorders>
            <w:shd w:val="clear" w:color="auto" w:fill="E2EFD9" w:themeFill="accent6" w:themeFillTint="33"/>
            <w:noWrap/>
            <w:vAlign w:val="center"/>
            <w:hideMark/>
          </w:tcPr>
          <w:p w14:paraId="24CD0467"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c>
          <w:tcPr>
            <w:tcW w:w="851" w:type="dxa"/>
            <w:tcBorders>
              <w:top w:val="nil"/>
              <w:left w:val="nil"/>
              <w:bottom w:val="single" w:sz="4" w:space="0" w:color="auto"/>
              <w:right w:val="single" w:sz="4" w:space="0" w:color="auto"/>
            </w:tcBorders>
            <w:shd w:val="clear" w:color="auto" w:fill="E2EFD9" w:themeFill="accent6" w:themeFillTint="33"/>
            <w:noWrap/>
            <w:vAlign w:val="center"/>
            <w:hideMark/>
          </w:tcPr>
          <w:p w14:paraId="682EA940"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c>
          <w:tcPr>
            <w:tcW w:w="850" w:type="dxa"/>
            <w:tcBorders>
              <w:top w:val="nil"/>
              <w:left w:val="nil"/>
              <w:bottom w:val="single" w:sz="4" w:space="0" w:color="auto"/>
              <w:right w:val="single" w:sz="4" w:space="0" w:color="auto"/>
            </w:tcBorders>
            <w:shd w:val="clear" w:color="auto" w:fill="E2EFD9" w:themeFill="accent6" w:themeFillTint="33"/>
            <w:noWrap/>
            <w:vAlign w:val="center"/>
            <w:hideMark/>
          </w:tcPr>
          <w:p w14:paraId="611FE12D"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c>
          <w:tcPr>
            <w:tcW w:w="851" w:type="dxa"/>
            <w:tcBorders>
              <w:top w:val="nil"/>
              <w:left w:val="nil"/>
              <w:bottom w:val="single" w:sz="4" w:space="0" w:color="auto"/>
              <w:right w:val="single" w:sz="8" w:space="0" w:color="auto"/>
            </w:tcBorders>
            <w:shd w:val="clear" w:color="auto" w:fill="E2EFD9" w:themeFill="accent6" w:themeFillTint="33"/>
            <w:noWrap/>
            <w:vAlign w:val="center"/>
            <w:hideMark/>
          </w:tcPr>
          <w:p w14:paraId="1F0E6EE4"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p>
        </w:tc>
      </w:tr>
      <w:tr w:rsidR="007B173C" w:rsidRPr="002C5C8B" w14:paraId="1EAD0CA2" w14:textId="77777777" w:rsidTr="006D1E47">
        <w:trPr>
          <w:trHeight w:val="288"/>
        </w:trPr>
        <w:tc>
          <w:tcPr>
            <w:tcW w:w="3402" w:type="dxa"/>
            <w:tcBorders>
              <w:top w:val="single" w:sz="4" w:space="0" w:color="auto"/>
              <w:left w:val="single" w:sz="8" w:space="0" w:color="auto"/>
              <w:bottom w:val="single" w:sz="4" w:space="0" w:color="auto"/>
              <w:right w:val="single" w:sz="4" w:space="0" w:color="auto"/>
            </w:tcBorders>
            <w:shd w:val="clear" w:color="auto" w:fill="E2EFD9" w:themeFill="accent6" w:themeFillTint="33"/>
            <w:noWrap/>
            <w:vAlign w:val="center"/>
            <w:hideMark/>
          </w:tcPr>
          <w:p w14:paraId="0C21C010"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Darba stundas gadā</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05D1DB17"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5ECEBA7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3BD3B75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c>
          <w:tcPr>
            <w:tcW w:w="708" w:type="dxa"/>
            <w:tcBorders>
              <w:top w:val="nil"/>
              <w:left w:val="nil"/>
              <w:bottom w:val="single" w:sz="4" w:space="0" w:color="auto"/>
              <w:right w:val="single" w:sz="4" w:space="0" w:color="auto"/>
            </w:tcBorders>
            <w:shd w:val="clear" w:color="auto" w:fill="E2EFD9" w:themeFill="accent6" w:themeFillTint="33"/>
            <w:noWrap/>
            <w:vAlign w:val="center"/>
            <w:hideMark/>
          </w:tcPr>
          <w:p w14:paraId="442DCEE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c>
          <w:tcPr>
            <w:tcW w:w="851" w:type="dxa"/>
            <w:tcBorders>
              <w:top w:val="nil"/>
              <w:left w:val="nil"/>
              <w:bottom w:val="single" w:sz="4" w:space="0" w:color="auto"/>
              <w:right w:val="single" w:sz="4" w:space="0" w:color="auto"/>
            </w:tcBorders>
            <w:shd w:val="clear" w:color="auto" w:fill="E2EFD9" w:themeFill="accent6" w:themeFillTint="33"/>
            <w:noWrap/>
            <w:vAlign w:val="center"/>
            <w:hideMark/>
          </w:tcPr>
          <w:p w14:paraId="2C67AAF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c>
          <w:tcPr>
            <w:tcW w:w="850" w:type="dxa"/>
            <w:tcBorders>
              <w:top w:val="nil"/>
              <w:left w:val="nil"/>
              <w:bottom w:val="single" w:sz="4" w:space="0" w:color="auto"/>
              <w:right w:val="single" w:sz="4" w:space="0" w:color="auto"/>
            </w:tcBorders>
            <w:shd w:val="clear" w:color="auto" w:fill="E2EFD9" w:themeFill="accent6" w:themeFillTint="33"/>
            <w:noWrap/>
            <w:vAlign w:val="center"/>
            <w:hideMark/>
          </w:tcPr>
          <w:p w14:paraId="2016BC4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c>
          <w:tcPr>
            <w:tcW w:w="851" w:type="dxa"/>
            <w:tcBorders>
              <w:top w:val="nil"/>
              <w:left w:val="nil"/>
              <w:bottom w:val="single" w:sz="4" w:space="0" w:color="auto"/>
              <w:right w:val="single" w:sz="8" w:space="0" w:color="auto"/>
            </w:tcBorders>
            <w:shd w:val="clear" w:color="auto" w:fill="E2EFD9" w:themeFill="accent6" w:themeFillTint="33"/>
            <w:noWrap/>
            <w:vAlign w:val="center"/>
            <w:hideMark/>
          </w:tcPr>
          <w:p w14:paraId="2341642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8 000</w:t>
            </w:r>
          </w:p>
        </w:tc>
      </w:tr>
      <w:tr w:rsidR="007B173C" w:rsidRPr="002C5C8B" w14:paraId="6BC88246" w14:textId="77777777" w:rsidTr="006D1E47">
        <w:trPr>
          <w:trHeight w:val="288"/>
        </w:trPr>
        <w:tc>
          <w:tcPr>
            <w:tcW w:w="3402" w:type="dxa"/>
            <w:tcBorders>
              <w:top w:val="single" w:sz="4" w:space="0" w:color="auto"/>
              <w:left w:val="single" w:sz="8" w:space="0" w:color="auto"/>
              <w:bottom w:val="single" w:sz="4" w:space="0" w:color="auto"/>
              <w:right w:val="single" w:sz="4" w:space="0" w:color="auto"/>
            </w:tcBorders>
            <w:shd w:val="clear" w:color="auto" w:fill="E2EFD9" w:themeFill="accent6" w:themeFillTint="33"/>
            <w:vAlign w:val="center"/>
            <w:hideMark/>
          </w:tcPr>
          <w:p w14:paraId="6FCA671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Saražotā elektroenerģija MWh gadā (41%)</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42E2893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1 640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07B7007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3 280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129A786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4 920</w:t>
            </w:r>
          </w:p>
        </w:tc>
        <w:tc>
          <w:tcPr>
            <w:tcW w:w="708" w:type="dxa"/>
            <w:tcBorders>
              <w:top w:val="nil"/>
              <w:left w:val="nil"/>
              <w:bottom w:val="single" w:sz="4" w:space="0" w:color="auto"/>
              <w:right w:val="single" w:sz="4" w:space="0" w:color="auto"/>
            </w:tcBorders>
            <w:shd w:val="clear" w:color="auto" w:fill="E2EFD9" w:themeFill="accent6" w:themeFillTint="33"/>
            <w:noWrap/>
            <w:vAlign w:val="center"/>
            <w:hideMark/>
          </w:tcPr>
          <w:p w14:paraId="4B09DBB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6 560</w:t>
            </w:r>
          </w:p>
        </w:tc>
        <w:tc>
          <w:tcPr>
            <w:tcW w:w="851" w:type="dxa"/>
            <w:tcBorders>
              <w:top w:val="nil"/>
              <w:left w:val="nil"/>
              <w:bottom w:val="single" w:sz="4" w:space="0" w:color="auto"/>
              <w:right w:val="single" w:sz="4" w:space="0" w:color="auto"/>
            </w:tcBorders>
            <w:shd w:val="clear" w:color="auto" w:fill="E2EFD9" w:themeFill="accent6" w:themeFillTint="33"/>
            <w:noWrap/>
            <w:vAlign w:val="center"/>
            <w:hideMark/>
          </w:tcPr>
          <w:p w14:paraId="543EBC3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9 840</w:t>
            </w:r>
          </w:p>
        </w:tc>
        <w:tc>
          <w:tcPr>
            <w:tcW w:w="850" w:type="dxa"/>
            <w:tcBorders>
              <w:top w:val="nil"/>
              <w:left w:val="nil"/>
              <w:bottom w:val="single" w:sz="4" w:space="0" w:color="auto"/>
              <w:right w:val="single" w:sz="4" w:space="0" w:color="auto"/>
            </w:tcBorders>
            <w:shd w:val="clear" w:color="auto" w:fill="E2EFD9" w:themeFill="accent6" w:themeFillTint="33"/>
            <w:noWrap/>
            <w:vAlign w:val="center"/>
            <w:hideMark/>
          </w:tcPr>
          <w:p w14:paraId="05C787C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13 120</w:t>
            </w:r>
          </w:p>
        </w:tc>
        <w:tc>
          <w:tcPr>
            <w:tcW w:w="851" w:type="dxa"/>
            <w:tcBorders>
              <w:top w:val="nil"/>
              <w:left w:val="nil"/>
              <w:bottom w:val="single" w:sz="4" w:space="0" w:color="auto"/>
              <w:right w:val="single" w:sz="8" w:space="0" w:color="auto"/>
            </w:tcBorders>
            <w:shd w:val="clear" w:color="auto" w:fill="E2EFD9" w:themeFill="accent6" w:themeFillTint="33"/>
            <w:noWrap/>
            <w:vAlign w:val="center"/>
            <w:hideMark/>
          </w:tcPr>
          <w:p w14:paraId="52B102E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16 400</w:t>
            </w:r>
          </w:p>
        </w:tc>
      </w:tr>
      <w:tr w:rsidR="007B173C" w:rsidRPr="002C5C8B" w14:paraId="5EEC2EFD" w14:textId="77777777" w:rsidTr="006D1E47">
        <w:trPr>
          <w:trHeight w:val="288"/>
        </w:trPr>
        <w:tc>
          <w:tcPr>
            <w:tcW w:w="3402" w:type="dxa"/>
            <w:tcBorders>
              <w:top w:val="single" w:sz="4" w:space="0" w:color="auto"/>
              <w:left w:val="single" w:sz="8" w:space="0" w:color="auto"/>
              <w:bottom w:val="single" w:sz="4" w:space="0" w:color="auto"/>
              <w:right w:val="single" w:sz="4" w:space="0" w:color="auto"/>
            </w:tcBorders>
            <w:shd w:val="clear" w:color="auto" w:fill="E2EFD9" w:themeFill="accent6" w:themeFillTint="33"/>
            <w:vAlign w:val="center"/>
            <w:hideMark/>
          </w:tcPr>
          <w:p w14:paraId="063AA00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Saražotais siltums MWh gadā (45%)</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121A1C4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1 800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0EBB098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3 600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3868B1E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5 400</w:t>
            </w:r>
          </w:p>
        </w:tc>
        <w:tc>
          <w:tcPr>
            <w:tcW w:w="708" w:type="dxa"/>
            <w:tcBorders>
              <w:top w:val="nil"/>
              <w:left w:val="nil"/>
              <w:bottom w:val="single" w:sz="4" w:space="0" w:color="auto"/>
              <w:right w:val="single" w:sz="4" w:space="0" w:color="auto"/>
            </w:tcBorders>
            <w:shd w:val="clear" w:color="auto" w:fill="E2EFD9" w:themeFill="accent6" w:themeFillTint="33"/>
            <w:noWrap/>
            <w:vAlign w:val="center"/>
            <w:hideMark/>
          </w:tcPr>
          <w:p w14:paraId="237D66B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7 200</w:t>
            </w:r>
          </w:p>
        </w:tc>
        <w:tc>
          <w:tcPr>
            <w:tcW w:w="851" w:type="dxa"/>
            <w:tcBorders>
              <w:top w:val="nil"/>
              <w:left w:val="nil"/>
              <w:bottom w:val="single" w:sz="4" w:space="0" w:color="auto"/>
              <w:right w:val="single" w:sz="4" w:space="0" w:color="auto"/>
            </w:tcBorders>
            <w:shd w:val="clear" w:color="auto" w:fill="E2EFD9" w:themeFill="accent6" w:themeFillTint="33"/>
            <w:noWrap/>
            <w:vAlign w:val="center"/>
            <w:hideMark/>
          </w:tcPr>
          <w:p w14:paraId="1CDA9A7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10 800</w:t>
            </w:r>
          </w:p>
        </w:tc>
        <w:tc>
          <w:tcPr>
            <w:tcW w:w="850" w:type="dxa"/>
            <w:tcBorders>
              <w:top w:val="nil"/>
              <w:left w:val="nil"/>
              <w:bottom w:val="single" w:sz="4" w:space="0" w:color="auto"/>
              <w:right w:val="single" w:sz="4" w:space="0" w:color="auto"/>
            </w:tcBorders>
            <w:shd w:val="clear" w:color="auto" w:fill="E2EFD9" w:themeFill="accent6" w:themeFillTint="33"/>
            <w:noWrap/>
            <w:vAlign w:val="center"/>
            <w:hideMark/>
          </w:tcPr>
          <w:p w14:paraId="0964266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14 400</w:t>
            </w:r>
          </w:p>
        </w:tc>
        <w:tc>
          <w:tcPr>
            <w:tcW w:w="851" w:type="dxa"/>
            <w:tcBorders>
              <w:top w:val="nil"/>
              <w:left w:val="nil"/>
              <w:bottom w:val="single" w:sz="4" w:space="0" w:color="auto"/>
              <w:right w:val="single" w:sz="8" w:space="0" w:color="auto"/>
            </w:tcBorders>
            <w:shd w:val="clear" w:color="auto" w:fill="E2EFD9" w:themeFill="accent6" w:themeFillTint="33"/>
            <w:noWrap/>
            <w:vAlign w:val="center"/>
            <w:hideMark/>
          </w:tcPr>
          <w:p w14:paraId="622274E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18 000</w:t>
            </w:r>
          </w:p>
        </w:tc>
      </w:tr>
      <w:tr w:rsidR="007B173C" w:rsidRPr="002C5C8B" w14:paraId="5E9B1495" w14:textId="77777777" w:rsidTr="006D1E47">
        <w:trPr>
          <w:trHeight w:val="921"/>
        </w:trPr>
        <w:tc>
          <w:tcPr>
            <w:tcW w:w="3402" w:type="dxa"/>
            <w:tcBorders>
              <w:top w:val="single" w:sz="4" w:space="0" w:color="auto"/>
              <w:left w:val="single" w:sz="8" w:space="0" w:color="auto"/>
              <w:bottom w:val="single" w:sz="4" w:space="0" w:color="auto"/>
              <w:right w:val="single" w:sz="4" w:space="0" w:color="auto"/>
            </w:tcBorders>
            <w:shd w:val="clear" w:color="auto" w:fill="E2EFD9" w:themeFill="accent6" w:themeFillTint="33"/>
            <w:vAlign w:val="center"/>
            <w:hideMark/>
          </w:tcPr>
          <w:p w14:paraId="25D3950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lastRenderedPageBreak/>
              <w:t>Siltums nepieciešams biogāzes procesu nodrošināšanai MWh gadā (25- 40% no saražotā siltuma)</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4108DD5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720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0C2074D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1 260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542EA62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1 890</w:t>
            </w:r>
          </w:p>
        </w:tc>
        <w:tc>
          <w:tcPr>
            <w:tcW w:w="708" w:type="dxa"/>
            <w:tcBorders>
              <w:top w:val="nil"/>
              <w:left w:val="nil"/>
              <w:bottom w:val="single" w:sz="4" w:space="0" w:color="auto"/>
              <w:right w:val="single" w:sz="4" w:space="0" w:color="auto"/>
            </w:tcBorders>
            <w:shd w:val="clear" w:color="auto" w:fill="E2EFD9" w:themeFill="accent6" w:themeFillTint="33"/>
            <w:noWrap/>
            <w:vAlign w:val="center"/>
            <w:hideMark/>
          </w:tcPr>
          <w:p w14:paraId="1CA92EC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2 160</w:t>
            </w:r>
          </w:p>
        </w:tc>
        <w:tc>
          <w:tcPr>
            <w:tcW w:w="851" w:type="dxa"/>
            <w:tcBorders>
              <w:top w:val="nil"/>
              <w:left w:val="nil"/>
              <w:bottom w:val="single" w:sz="4" w:space="0" w:color="auto"/>
              <w:right w:val="single" w:sz="4" w:space="0" w:color="auto"/>
            </w:tcBorders>
            <w:shd w:val="clear" w:color="auto" w:fill="E2EFD9" w:themeFill="accent6" w:themeFillTint="33"/>
            <w:noWrap/>
            <w:vAlign w:val="center"/>
            <w:hideMark/>
          </w:tcPr>
          <w:p w14:paraId="2173CDB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3 240</w:t>
            </w:r>
          </w:p>
        </w:tc>
        <w:tc>
          <w:tcPr>
            <w:tcW w:w="850" w:type="dxa"/>
            <w:tcBorders>
              <w:top w:val="nil"/>
              <w:left w:val="nil"/>
              <w:bottom w:val="single" w:sz="4" w:space="0" w:color="auto"/>
              <w:right w:val="single" w:sz="4" w:space="0" w:color="auto"/>
            </w:tcBorders>
            <w:shd w:val="clear" w:color="auto" w:fill="E2EFD9" w:themeFill="accent6" w:themeFillTint="33"/>
            <w:noWrap/>
            <w:vAlign w:val="center"/>
            <w:hideMark/>
          </w:tcPr>
          <w:p w14:paraId="72A72437"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3 600</w:t>
            </w:r>
          </w:p>
        </w:tc>
        <w:tc>
          <w:tcPr>
            <w:tcW w:w="851" w:type="dxa"/>
            <w:tcBorders>
              <w:top w:val="nil"/>
              <w:left w:val="nil"/>
              <w:bottom w:val="single" w:sz="4" w:space="0" w:color="auto"/>
              <w:right w:val="single" w:sz="8" w:space="0" w:color="auto"/>
            </w:tcBorders>
            <w:shd w:val="clear" w:color="auto" w:fill="E2EFD9" w:themeFill="accent6" w:themeFillTint="33"/>
            <w:noWrap/>
            <w:vAlign w:val="center"/>
            <w:hideMark/>
          </w:tcPr>
          <w:p w14:paraId="11254A2B"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4 500</w:t>
            </w:r>
          </w:p>
        </w:tc>
      </w:tr>
      <w:tr w:rsidR="007B173C" w:rsidRPr="002C5C8B" w14:paraId="4F7B299C" w14:textId="77777777" w:rsidTr="006D1E47">
        <w:trPr>
          <w:trHeight w:val="288"/>
        </w:trPr>
        <w:tc>
          <w:tcPr>
            <w:tcW w:w="3402" w:type="dxa"/>
            <w:tcBorders>
              <w:top w:val="single" w:sz="4" w:space="0" w:color="auto"/>
              <w:left w:val="single" w:sz="8" w:space="0" w:color="auto"/>
              <w:bottom w:val="single" w:sz="4" w:space="0" w:color="auto"/>
              <w:right w:val="single" w:sz="4" w:space="0" w:color="auto"/>
            </w:tcBorders>
            <w:shd w:val="clear" w:color="auto" w:fill="E2EFD9" w:themeFill="accent6" w:themeFillTint="33"/>
            <w:vAlign w:val="center"/>
            <w:hideMark/>
          </w:tcPr>
          <w:p w14:paraId="67EB2CB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Siltums pārdošanai MWh gadā</w:t>
            </w:r>
          </w:p>
          <w:p w14:paraId="44203430" w14:textId="77777777" w:rsidR="00603B7B" w:rsidRPr="002C5C8B" w:rsidRDefault="00603B7B" w:rsidP="008E6BAE">
            <w:pPr>
              <w:spacing w:after="0" w:line="240" w:lineRule="auto"/>
              <w:jc w:val="center"/>
              <w:rPr>
                <w:rFonts w:ascii="Times New Roman" w:eastAsia="Times New Roman" w:hAnsi="Times New Roman" w:cs="Times New Roman"/>
                <w:sz w:val="20"/>
                <w:szCs w:val="20"/>
              </w:rPr>
            </w:pPr>
          </w:p>
          <w:p w14:paraId="7E718479" w14:textId="77777777" w:rsidR="00603B7B" w:rsidRPr="002C5C8B" w:rsidRDefault="00603B7B" w:rsidP="008E6BAE">
            <w:pPr>
              <w:spacing w:after="0" w:line="240"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63F408D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1 080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24034BA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2 340</w:t>
            </w:r>
          </w:p>
        </w:tc>
        <w:tc>
          <w:tcPr>
            <w:tcW w:w="709" w:type="dxa"/>
            <w:tcBorders>
              <w:top w:val="nil"/>
              <w:left w:val="nil"/>
              <w:bottom w:val="single" w:sz="4" w:space="0" w:color="auto"/>
              <w:right w:val="single" w:sz="4" w:space="0" w:color="auto"/>
            </w:tcBorders>
            <w:shd w:val="clear" w:color="auto" w:fill="E2EFD9" w:themeFill="accent6" w:themeFillTint="33"/>
            <w:noWrap/>
            <w:vAlign w:val="center"/>
            <w:hideMark/>
          </w:tcPr>
          <w:p w14:paraId="2D7A776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3 510</w:t>
            </w:r>
          </w:p>
        </w:tc>
        <w:tc>
          <w:tcPr>
            <w:tcW w:w="708" w:type="dxa"/>
            <w:tcBorders>
              <w:top w:val="nil"/>
              <w:left w:val="nil"/>
              <w:bottom w:val="single" w:sz="4" w:space="0" w:color="auto"/>
              <w:right w:val="single" w:sz="4" w:space="0" w:color="auto"/>
            </w:tcBorders>
            <w:shd w:val="clear" w:color="auto" w:fill="E2EFD9" w:themeFill="accent6" w:themeFillTint="33"/>
            <w:noWrap/>
            <w:vAlign w:val="center"/>
            <w:hideMark/>
          </w:tcPr>
          <w:p w14:paraId="4E43583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5 040</w:t>
            </w:r>
          </w:p>
        </w:tc>
        <w:tc>
          <w:tcPr>
            <w:tcW w:w="851" w:type="dxa"/>
            <w:tcBorders>
              <w:top w:val="nil"/>
              <w:left w:val="nil"/>
              <w:bottom w:val="single" w:sz="4" w:space="0" w:color="auto"/>
              <w:right w:val="single" w:sz="4" w:space="0" w:color="auto"/>
            </w:tcBorders>
            <w:shd w:val="clear" w:color="auto" w:fill="E2EFD9" w:themeFill="accent6" w:themeFillTint="33"/>
            <w:noWrap/>
            <w:vAlign w:val="center"/>
            <w:hideMark/>
          </w:tcPr>
          <w:p w14:paraId="089B75B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7 560</w:t>
            </w:r>
          </w:p>
        </w:tc>
        <w:tc>
          <w:tcPr>
            <w:tcW w:w="850" w:type="dxa"/>
            <w:tcBorders>
              <w:top w:val="nil"/>
              <w:left w:val="nil"/>
              <w:bottom w:val="single" w:sz="4" w:space="0" w:color="auto"/>
              <w:right w:val="single" w:sz="4" w:space="0" w:color="auto"/>
            </w:tcBorders>
            <w:shd w:val="clear" w:color="auto" w:fill="E2EFD9" w:themeFill="accent6" w:themeFillTint="33"/>
            <w:noWrap/>
            <w:vAlign w:val="center"/>
            <w:hideMark/>
          </w:tcPr>
          <w:p w14:paraId="4EFEE6F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10 800</w:t>
            </w:r>
          </w:p>
        </w:tc>
        <w:tc>
          <w:tcPr>
            <w:tcW w:w="851" w:type="dxa"/>
            <w:tcBorders>
              <w:top w:val="nil"/>
              <w:left w:val="nil"/>
              <w:bottom w:val="single" w:sz="4" w:space="0" w:color="auto"/>
              <w:right w:val="single" w:sz="8" w:space="0" w:color="auto"/>
            </w:tcBorders>
            <w:shd w:val="clear" w:color="auto" w:fill="E2EFD9" w:themeFill="accent6" w:themeFillTint="33"/>
            <w:noWrap/>
            <w:vAlign w:val="center"/>
            <w:hideMark/>
          </w:tcPr>
          <w:p w14:paraId="23F029A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13 500</w:t>
            </w:r>
          </w:p>
        </w:tc>
      </w:tr>
      <w:tr w:rsidR="007B173C" w:rsidRPr="002C5C8B" w14:paraId="157F104E" w14:textId="77777777" w:rsidTr="006D1E47">
        <w:trPr>
          <w:trHeight w:val="312"/>
        </w:trPr>
        <w:tc>
          <w:tcPr>
            <w:tcW w:w="3402"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42F8311F"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Resursi</w:t>
            </w:r>
          </w:p>
        </w:tc>
        <w:tc>
          <w:tcPr>
            <w:tcW w:w="709" w:type="dxa"/>
            <w:tcBorders>
              <w:top w:val="single" w:sz="4" w:space="0" w:color="auto"/>
              <w:left w:val="nil"/>
              <w:bottom w:val="single" w:sz="4" w:space="0" w:color="auto"/>
              <w:right w:val="single" w:sz="4" w:space="0" w:color="auto"/>
            </w:tcBorders>
            <w:shd w:val="clear" w:color="000000" w:fill="D9E1F2"/>
            <w:noWrap/>
            <w:vAlign w:val="center"/>
            <w:hideMark/>
          </w:tcPr>
          <w:p w14:paraId="468137D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9" w:type="dxa"/>
            <w:tcBorders>
              <w:top w:val="single" w:sz="4" w:space="0" w:color="auto"/>
              <w:left w:val="nil"/>
              <w:bottom w:val="single" w:sz="4" w:space="0" w:color="auto"/>
              <w:right w:val="single" w:sz="4" w:space="0" w:color="auto"/>
            </w:tcBorders>
            <w:shd w:val="clear" w:color="000000" w:fill="D9E1F2"/>
            <w:noWrap/>
            <w:vAlign w:val="center"/>
            <w:hideMark/>
          </w:tcPr>
          <w:p w14:paraId="6649360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9" w:type="dxa"/>
            <w:tcBorders>
              <w:top w:val="single" w:sz="4" w:space="0" w:color="auto"/>
              <w:left w:val="nil"/>
              <w:bottom w:val="single" w:sz="4" w:space="0" w:color="auto"/>
              <w:right w:val="single" w:sz="4" w:space="0" w:color="auto"/>
            </w:tcBorders>
            <w:shd w:val="clear" w:color="000000" w:fill="D9E1F2"/>
            <w:noWrap/>
            <w:vAlign w:val="center"/>
            <w:hideMark/>
          </w:tcPr>
          <w:p w14:paraId="21AAD0D0"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8" w:type="dxa"/>
            <w:tcBorders>
              <w:top w:val="single" w:sz="4" w:space="0" w:color="auto"/>
              <w:left w:val="nil"/>
              <w:bottom w:val="single" w:sz="4" w:space="0" w:color="auto"/>
              <w:right w:val="single" w:sz="4" w:space="0" w:color="auto"/>
            </w:tcBorders>
            <w:shd w:val="clear" w:color="000000" w:fill="D9E1F2"/>
            <w:noWrap/>
            <w:vAlign w:val="center"/>
            <w:hideMark/>
          </w:tcPr>
          <w:p w14:paraId="3119715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1" w:type="dxa"/>
            <w:tcBorders>
              <w:top w:val="single" w:sz="4" w:space="0" w:color="auto"/>
              <w:left w:val="nil"/>
              <w:bottom w:val="single" w:sz="4" w:space="0" w:color="auto"/>
              <w:right w:val="single" w:sz="4" w:space="0" w:color="auto"/>
            </w:tcBorders>
            <w:shd w:val="clear" w:color="000000" w:fill="D9E1F2"/>
            <w:noWrap/>
            <w:vAlign w:val="center"/>
            <w:hideMark/>
          </w:tcPr>
          <w:p w14:paraId="381EC04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0" w:type="dxa"/>
            <w:tcBorders>
              <w:top w:val="single" w:sz="4" w:space="0" w:color="auto"/>
              <w:left w:val="nil"/>
              <w:bottom w:val="single" w:sz="4" w:space="0" w:color="auto"/>
              <w:right w:val="single" w:sz="4" w:space="0" w:color="auto"/>
            </w:tcBorders>
            <w:shd w:val="clear" w:color="000000" w:fill="D9E1F2"/>
            <w:noWrap/>
            <w:vAlign w:val="center"/>
            <w:hideMark/>
          </w:tcPr>
          <w:p w14:paraId="0EC3F057"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1" w:type="dxa"/>
            <w:tcBorders>
              <w:top w:val="single" w:sz="4" w:space="0" w:color="auto"/>
              <w:left w:val="nil"/>
              <w:bottom w:val="single" w:sz="4" w:space="0" w:color="auto"/>
              <w:right w:val="single" w:sz="4" w:space="0" w:color="auto"/>
            </w:tcBorders>
            <w:shd w:val="clear" w:color="000000" w:fill="D9E1F2"/>
            <w:noWrap/>
            <w:vAlign w:val="center"/>
            <w:hideMark/>
          </w:tcPr>
          <w:p w14:paraId="0DE7ED1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r>
      <w:tr w:rsidR="007B173C" w:rsidRPr="002C5C8B" w14:paraId="0B8B0610" w14:textId="77777777" w:rsidTr="006D1E47">
        <w:trPr>
          <w:trHeight w:val="648"/>
        </w:trPr>
        <w:tc>
          <w:tcPr>
            <w:tcW w:w="3402" w:type="dxa"/>
            <w:tcBorders>
              <w:top w:val="single" w:sz="4" w:space="0" w:color="auto"/>
              <w:left w:val="single" w:sz="8" w:space="0" w:color="auto"/>
              <w:bottom w:val="single" w:sz="4" w:space="0" w:color="auto"/>
              <w:right w:val="single" w:sz="4" w:space="0" w:color="auto"/>
            </w:tcBorders>
            <w:shd w:val="clear" w:color="000000" w:fill="D9E1F2"/>
            <w:vAlign w:val="center"/>
            <w:hideMark/>
          </w:tcPr>
          <w:p w14:paraId="46A1335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Nepieciešamais biogāzes daudzums m3/gadā (1 kWh=0.45 m3 gāzes)</w:t>
            </w:r>
          </w:p>
        </w:tc>
        <w:tc>
          <w:tcPr>
            <w:tcW w:w="709" w:type="dxa"/>
            <w:tcBorders>
              <w:top w:val="nil"/>
              <w:left w:val="nil"/>
              <w:bottom w:val="single" w:sz="4" w:space="0" w:color="auto"/>
              <w:right w:val="single" w:sz="4" w:space="0" w:color="auto"/>
            </w:tcBorders>
            <w:shd w:val="clear" w:color="000000" w:fill="D9E1F2"/>
            <w:noWrap/>
            <w:vAlign w:val="center"/>
            <w:hideMark/>
          </w:tcPr>
          <w:p w14:paraId="313C450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1 548 000</w:t>
            </w:r>
          </w:p>
        </w:tc>
        <w:tc>
          <w:tcPr>
            <w:tcW w:w="709" w:type="dxa"/>
            <w:tcBorders>
              <w:top w:val="nil"/>
              <w:left w:val="nil"/>
              <w:bottom w:val="single" w:sz="4" w:space="0" w:color="auto"/>
              <w:right w:val="single" w:sz="4" w:space="0" w:color="auto"/>
            </w:tcBorders>
            <w:shd w:val="clear" w:color="000000" w:fill="D9E1F2"/>
            <w:noWrap/>
            <w:vAlign w:val="center"/>
            <w:hideMark/>
          </w:tcPr>
          <w:p w14:paraId="70304FD7"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3 096 000</w:t>
            </w:r>
          </w:p>
        </w:tc>
        <w:tc>
          <w:tcPr>
            <w:tcW w:w="709" w:type="dxa"/>
            <w:tcBorders>
              <w:top w:val="nil"/>
              <w:left w:val="nil"/>
              <w:bottom w:val="single" w:sz="4" w:space="0" w:color="auto"/>
              <w:right w:val="single" w:sz="4" w:space="0" w:color="auto"/>
            </w:tcBorders>
            <w:shd w:val="clear" w:color="000000" w:fill="D9E1F2"/>
            <w:noWrap/>
            <w:vAlign w:val="center"/>
            <w:hideMark/>
          </w:tcPr>
          <w:p w14:paraId="0873DD7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4 644 000</w:t>
            </w:r>
          </w:p>
        </w:tc>
        <w:tc>
          <w:tcPr>
            <w:tcW w:w="708" w:type="dxa"/>
            <w:tcBorders>
              <w:top w:val="nil"/>
              <w:left w:val="nil"/>
              <w:bottom w:val="single" w:sz="4" w:space="0" w:color="auto"/>
              <w:right w:val="single" w:sz="4" w:space="0" w:color="auto"/>
            </w:tcBorders>
            <w:shd w:val="clear" w:color="000000" w:fill="D9E1F2"/>
            <w:noWrap/>
            <w:vAlign w:val="center"/>
            <w:hideMark/>
          </w:tcPr>
          <w:p w14:paraId="60033F7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6 192 000</w:t>
            </w:r>
          </w:p>
        </w:tc>
        <w:tc>
          <w:tcPr>
            <w:tcW w:w="851" w:type="dxa"/>
            <w:tcBorders>
              <w:top w:val="nil"/>
              <w:left w:val="nil"/>
              <w:bottom w:val="single" w:sz="4" w:space="0" w:color="auto"/>
              <w:right w:val="single" w:sz="4" w:space="0" w:color="auto"/>
            </w:tcBorders>
            <w:shd w:val="clear" w:color="000000" w:fill="D9E1F2"/>
            <w:noWrap/>
            <w:vAlign w:val="center"/>
            <w:hideMark/>
          </w:tcPr>
          <w:p w14:paraId="77A5DAD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9 288 000</w:t>
            </w:r>
          </w:p>
        </w:tc>
        <w:tc>
          <w:tcPr>
            <w:tcW w:w="850" w:type="dxa"/>
            <w:tcBorders>
              <w:top w:val="nil"/>
              <w:left w:val="nil"/>
              <w:bottom w:val="single" w:sz="4" w:space="0" w:color="auto"/>
              <w:right w:val="single" w:sz="4" w:space="0" w:color="auto"/>
            </w:tcBorders>
            <w:shd w:val="clear" w:color="000000" w:fill="D9E1F2"/>
            <w:noWrap/>
            <w:vAlign w:val="center"/>
            <w:hideMark/>
          </w:tcPr>
          <w:p w14:paraId="30CA6A6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12 384 000</w:t>
            </w:r>
          </w:p>
        </w:tc>
        <w:tc>
          <w:tcPr>
            <w:tcW w:w="851" w:type="dxa"/>
            <w:tcBorders>
              <w:top w:val="nil"/>
              <w:left w:val="nil"/>
              <w:bottom w:val="single" w:sz="4" w:space="0" w:color="auto"/>
              <w:right w:val="single" w:sz="8" w:space="0" w:color="auto"/>
            </w:tcBorders>
            <w:shd w:val="clear" w:color="000000" w:fill="D9E1F2"/>
            <w:noWrap/>
            <w:vAlign w:val="center"/>
            <w:hideMark/>
          </w:tcPr>
          <w:p w14:paraId="6061306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15 480 000</w:t>
            </w:r>
          </w:p>
        </w:tc>
      </w:tr>
      <w:tr w:rsidR="007B173C" w:rsidRPr="002C5C8B" w14:paraId="5EA8DC3E" w14:textId="77777777" w:rsidTr="006D1E47">
        <w:trPr>
          <w:trHeight w:val="936"/>
        </w:trPr>
        <w:tc>
          <w:tcPr>
            <w:tcW w:w="3402" w:type="dxa"/>
            <w:tcBorders>
              <w:top w:val="single" w:sz="4" w:space="0" w:color="auto"/>
              <w:left w:val="single" w:sz="8" w:space="0" w:color="auto"/>
              <w:bottom w:val="single" w:sz="4" w:space="0" w:color="auto"/>
              <w:right w:val="single" w:sz="4" w:space="0" w:color="auto"/>
            </w:tcBorders>
            <w:shd w:val="clear" w:color="000000" w:fill="D9E1F2"/>
            <w:vAlign w:val="center"/>
            <w:hideMark/>
          </w:tcPr>
          <w:p w14:paraId="6F74461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Nepieciešamais dūņu daudzums m3/gadā  (1 t dūņu = 15 m3 gāzes)</w:t>
            </w:r>
          </w:p>
        </w:tc>
        <w:tc>
          <w:tcPr>
            <w:tcW w:w="709" w:type="dxa"/>
            <w:tcBorders>
              <w:top w:val="nil"/>
              <w:left w:val="nil"/>
              <w:bottom w:val="single" w:sz="4" w:space="0" w:color="auto"/>
              <w:right w:val="single" w:sz="4" w:space="0" w:color="auto"/>
            </w:tcBorders>
            <w:shd w:val="clear" w:color="000000" w:fill="D9E1F2"/>
            <w:noWrap/>
            <w:vAlign w:val="center"/>
            <w:hideMark/>
          </w:tcPr>
          <w:p w14:paraId="5AB1B59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310 000</w:t>
            </w:r>
          </w:p>
        </w:tc>
        <w:tc>
          <w:tcPr>
            <w:tcW w:w="709" w:type="dxa"/>
            <w:tcBorders>
              <w:top w:val="nil"/>
              <w:left w:val="nil"/>
              <w:bottom w:val="single" w:sz="4" w:space="0" w:color="auto"/>
              <w:right w:val="single" w:sz="4" w:space="0" w:color="auto"/>
            </w:tcBorders>
            <w:shd w:val="clear" w:color="000000" w:fill="D9E1F2"/>
            <w:noWrap/>
            <w:vAlign w:val="center"/>
            <w:hideMark/>
          </w:tcPr>
          <w:p w14:paraId="6E9189D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619 200</w:t>
            </w:r>
          </w:p>
        </w:tc>
        <w:tc>
          <w:tcPr>
            <w:tcW w:w="709" w:type="dxa"/>
            <w:tcBorders>
              <w:top w:val="nil"/>
              <w:left w:val="nil"/>
              <w:bottom w:val="single" w:sz="4" w:space="0" w:color="auto"/>
              <w:right w:val="single" w:sz="4" w:space="0" w:color="auto"/>
            </w:tcBorders>
            <w:shd w:val="clear" w:color="000000" w:fill="D9E1F2"/>
            <w:noWrap/>
            <w:vAlign w:val="center"/>
            <w:hideMark/>
          </w:tcPr>
          <w:p w14:paraId="60632C8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928 800</w:t>
            </w:r>
          </w:p>
        </w:tc>
        <w:tc>
          <w:tcPr>
            <w:tcW w:w="708" w:type="dxa"/>
            <w:tcBorders>
              <w:top w:val="nil"/>
              <w:left w:val="nil"/>
              <w:bottom w:val="single" w:sz="4" w:space="0" w:color="auto"/>
              <w:right w:val="single" w:sz="4" w:space="0" w:color="auto"/>
            </w:tcBorders>
            <w:shd w:val="clear" w:color="000000" w:fill="D9E1F2"/>
            <w:noWrap/>
            <w:vAlign w:val="center"/>
            <w:hideMark/>
          </w:tcPr>
          <w:p w14:paraId="57B0A62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1 238 400</w:t>
            </w:r>
          </w:p>
        </w:tc>
        <w:tc>
          <w:tcPr>
            <w:tcW w:w="851" w:type="dxa"/>
            <w:tcBorders>
              <w:top w:val="nil"/>
              <w:left w:val="nil"/>
              <w:bottom w:val="single" w:sz="4" w:space="0" w:color="auto"/>
              <w:right w:val="single" w:sz="4" w:space="0" w:color="auto"/>
            </w:tcBorders>
            <w:shd w:val="clear" w:color="000000" w:fill="D9E1F2"/>
            <w:noWrap/>
            <w:vAlign w:val="center"/>
            <w:hideMark/>
          </w:tcPr>
          <w:p w14:paraId="2EE27E2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1 857 600</w:t>
            </w:r>
          </w:p>
        </w:tc>
        <w:tc>
          <w:tcPr>
            <w:tcW w:w="850" w:type="dxa"/>
            <w:tcBorders>
              <w:top w:val="nil"/>
              <w:left w:val="nil"/>
              <w:bottom w:val="single" w:sz="4" w:space="0" w:color="auto"/>
              <w:right w:val="single" w:sz="4" w:space="0" w:color="auto"/>
            </w:tcBorders>
            <w:shd w:val="clear" w:color="000000" w:fill="D9E1F2"/>
            <w:noWrap/>
            <w:vAlign w:val="center"/>
            <w:hideMark/>
          </w:tcPr>
          <w:p w14:paraId="420E9E8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2 476 800</w:t>
            </w:r>
          </w:p>
        </w:tc>
        <w:tc>
          <w:tcPr>
            <w:tcW w:w="851" w:type="dxa"/>
            <w:tcBorders>
              <w:top w:val="nil"/>
              <w:left w:val="nil"/>
              <w:bottom w:val="single" w:sz="4" w:space="0" w:color="auto"/>
              <w:right w:val="single" w:sz="8" w:space="0" w:color="auto"/>
            </w:tcBorders>
            <w:shd w:val="clear" w:color="000000" w:fill="D9E1F2"/>
            <w:noWrap/>
            <w:vAlign w:val="center"/>
            <w:hideMark/>
          </w:tcPr>
          <w:p w14:paraId="45E433E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3 096 000</w:t>
            </w:r>
          </w:p>
        </w:tc>
      </w:tr>
      <w:tr w:rsidR="007B173C" w:rsidRPr="002C5C8B" w14:paraId="6FD4971E" w14:textId="77777777" w:rsidTr="006D1E47">
        <w:trPr>
          <w:trHeight w:val="624"/>
        </w:trPr>
        <w:tc>
          <w:tcPr>
            <w:tcW w:w="3402" w:type="dxa"/>
            <w:tcBorders>
              <w:top w:val="single" w:sz="4" w:space="0" w:color="auto"/>
              <w:left w:val="single" w:sz="8" w:space="0" w:color="auto"/>
              <w:bottom w:val="single" w:sz="4" w:space="0" w:color="auto"/>
              <w:right w:val="single" w:sz="4" w:space="0" w:color="auto"/>
            </w:tcBorders>
            <w:shd w:val="clear" w:color="000000" w:fill="D9E1F2"/>
            <w:vAlign w:val="center"/>
            <w:hideMark/>
          </w:tcPr>
          <w:p w14:paraId="0F162BD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Izrūgušo dūņu daudzums pēc apstrādes (m3/gadā)</w:t>
            </w:r>
          </w:p>
        </w:tc>
        <w:tc>
          <w:tcPr>
            <w:tcW w:w="709" w:type="dxa"/>
            <w:tcBorders>
              <w:top w:val="nil"/>
              <w:left w:val="nil"/>
              <w:bottom w:val="single" w:sz="4" w:space="0" w:color="auto"/>
              <w:right w:val="single" w:sz="4" w:space="0" w:color="auto"/>
            </w:tcBorders>
            <w:shd w:val="clear" w:color="000000" w:fill="D9E1F2"/>
            <w:noWrap/>
            <w:vAlign w:val="center"/>
            <w:hideMark/>
          </w:tcPr>
          <w:p w14:paraId="609D81F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72 240</w:t>
            </w:r>
          </w:p>
        </w:tc>
        <w:tc>
          <w:tcPr>
            <w:tcW w:w="709" w:type="dxa"/>
            <w:tcBorders>
              <w:top w:val="nil"/>
              <w:left w:val="nil"/>
              <w:bottom w:val="single" w:sz="4" w:space="0" w:color="auto"/>
              <w:right w:val="single" w:sz="4" w:space="0" w:color="auto"/>
            </w:tcBorders>
            <w:shd w:val="clear" w:color="000000" w:fill="D9E1F2"/>
            <w:noWrap/>
            <w:vAlign w:val="center"/>
            <w:hideMark/>
          </w:tcPr>
          <w:p w14:paraId="1590DCC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144 480</w:t>
            </w:r>
          </w:p>
        </w:tc>
        <w:tc>
          <w:tcPr>
            <w:tcW w:w="709" w:type="dxa"/>
            <w:tcBorders>
              <w:top w:val="nil"/>
              <w:left w:val="nil"/>
              <w:bottom w:val="single" w:sz="4" w:space="0" w:color="auto"/>
              <w:right w:val="single" w:sz="4" w:space="0" w:color="auto"/>
            </w:tcBorders>
            <w:shd w:val="clear" w:color="000000" w:fill="D9E1F2"/>
            <w:noWrap/>
            <w:vAlign w:val="center"/>
            <w:hideMark/>
          </w:tcPr>
          <w:p w14:paraId="71722FD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216 720</w:t>
            </w:r>
          </w:p>
        </w:tc>
        <w:tc>
          <w:tcPr>
            <w:tcW w:w="708" w:type="dxa"/>
            <w:tcBorders>
              <w:top w:val="nil"/>
              <w:left w:val="nil"/>
              <w:bottom w:val="single" w:sz="4" w:space="0" w:color="auto"/>
              <w:right w:val="single" w:sz="4" w:space="0" w:color="auto"/>
            </w:tcBorders>
            <w:shd w:val="clear" w:color="000000" w:fill="D9E1F2"/>
            <w:noWrap/>
            <w:vAlign w:val="center"/>
            <w:hideMark/>
          </w:tcPr>
          <w:p w14:paraId="44A1D60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288 960</w:t>
            </w:r>
          </w:p>
        </w:tc>
        <w:tc>
          <w:tcPr>
            <w:tcW w:w="851" w:type="dxa"/>
            <w:tcBorders>
              <w:top w:val="nil"/>
              <w:left w:val="nil"/>
              <w:bottom w:val="single" w:sz="4" w:space="0" w:color="auto"/>
              <w:right w:val="single" w:sz="4" w:space="0" w:color="auto"/>
            </w:tcBorders>
            <w:shd w:val="clear" w:color="000000" w:fill="D9E1F2"/>
            <w:noWrap/>
            <w:vAlign w:val="center"/>
            <w:hideMark/>
          </w:tcPr>
          <w:p w14:paraId="0F9D51EB"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433 440</w:t>
            </w:r>
          </w:p>
        </w:tc>
        <w:tc>
          <w:tcPr>
            <w:tcW w:w="850" w:type="dxa"/>
            <w:tcBorders>
              <w:top w:val="nil"/>
              <w:left w:val="nil"/>
              <w:bottom w:val="single" w:sz="4" w:space="0" w:color="auto"/>
              <w:right w:val="single" w:sz="4" w:space="0" w:color="auto"/>
            </w:tcBorders>
            <w:shd w:val="clear" w:color="000000" w:fill="D9E1F2"/>
            <w:noWrap/>
            <w:vAlign w:val="center"/>
            <w:hideMark/>
          </w:tcPr>
          <w:p w14:paraId="215C69C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577 920</w:t>
            </w:r>
          </w:p>
        </w:tc>
        <w:tc>
          <w:tcPr>
            <w:tcW w:w="851" w:type="dxa"/>
            <w:tcBorders>
              <w:top w:val="nil"/>
              <w:left w:val="nil"/>
              <w:bottom w:val="single" w:sz="4" w:space="0" w:color="auto"/>
              <w:right w:val="single" w:sz="8" w:space="0" w:color="auto"/>
            </w:tcBorders>
            <w:shd w:val="clear" w:color="000000" w:fill="D9E1F2"/>
            <w:noWrap/>
            <w:vAlign w:val="center"/>
            <w:hideMark/>
          </w:tcPr>
          <w:p w14:paraId="7151F29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722 400</w:t>
            </w:r>
          </w:p>
        </w:tc>
      </w:tr>
      <w:tr w:rsidR="007B173C" w:rsidRPr="002C5C8B" w14:paraId="0714C5A6" w14:textId="77777777" w:rsidTr="006D1E47">
        <w:trPr>
          <w:trHeight w:val="312"/>
        </w:trPr>
        <w:tc>
          <w:tcPr>
            <w:tcW w:w="3402" w:type="dxa"/>
            <w:tcBorders>
              <w:top w:val="single" w:sz="4" w:space="0" w:color="auto"/>
              <w:left w:val="single" w:sz="8" w:space="0" w:color="auto"/>
              <w:bottom w:val="single" w:sz="4" w:space="0" w:color="auto"/>
              <w:right w:val="single" w:sz="4" w:space="0" w:color="auto"/>
            </w:tcBorders>
            <w:shd w:val="clear" w:color="000000" w:fill="FCE4D6"/>
            <w:vAlign w:val="center"/>
            <w:hideMark/>
          </w:tcPr>
          <w:p w14:paraId="49B65B4D"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Izmaksas EUR</w:t>
            </w:r>
          </w:p>
        </w:tc>
        <w:tc>
          <w:tcPr>
            <w:tcW w:w="709" w:type="dxa"/>
            <w:tcBorders>
              <w:top w:val="nil"/>
              <w:left w:val="nil"/>
              <w:bottom w:val="single" w:sz="4" w:space="0" w:color="auto"/>
              <w:right w:val="single" w:sz="4" w:space="0" w:color="auto"/>
            </w:tcBorders>
            <w:shd w:val="clear" w:color="000000" w:fill="FCE4D6"/>
            <w:noWrap/>
            <w:vAlign w:val="center"/>
            <w:hideMark/>
          </w:tcPr>
          <w:p w14:paraId="73D9671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CE4D6"/>
            <w:noWrap/>
            <w:vAlign w:val="center"/>
            <w:hideMark/>
          </w:tcPr>
          <w:p w14:paraId="7655FB6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CE4D6"/>
            <w:noWrap/>
            <w:vAlign w:val="center"/>
            <w:hideMark/>
          </w:tcPr>
          <w:p w14:paraId="5B9ABB6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8" w:type="dxa"/>
            <w:tcBorders>
              <w:top w:val="nil"/>
              <w:left w:val="nil"/>
              <w:bottom w:val="single" w:sz="4" w:space="0" w:color="auto"/>
              <w:right w:val="single" w:sz="4" w:space="0" w:color="auto"/>
            </w:tcBorders>
            <w:shd w:val="clear" w:color="000000" w:fill="FCE4D6"/>
            <w:noWrap/>
            <w:vAlign w:val="center"/>
            <w:hideMark/>
          </w:tcPr>
          <w:p w14:paraId="5A13D9D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000000" w:fill="FCE4D6"/>
            <w:noWrap/>
            <w:vAlign w:val="center"/>
            <w:hideMark/>
          </w:tcPr>
          <w:p w14:paraId="4699309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000000" w:fill="FCE4D6"/>
            <w:noWrap/>
            <w:vAlign w:val="center"/>
            <w:hideMark/>
          </w:tcPr>
          <w:p w14:paraId="7DEA447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8" w:space="0" w:color="auto"/>
            </w:tcBorders>
            <w:shd w:val="clear" w:color="000000" w:fill="FCE4D6"/>
            <w:noWrap/>
            <w:vAlign w:val="center"/>
            <w:hideMark/>
          </w:tcPr>
          <w:p w14:paraId="1F51256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r>
      <w:tr w:rsidR="007B173C" w:rsidRPr="002C5C8B" w14:paraId="0EF2490F" w14:textId="77777777" w:rsidTr="006D1E47">
        <w:trPr>
          <w:trHeight w:val="636"/>
        </w:trPr>
        <w:tc>
          <w:tcPr>
            <w:tcW w:w="3402" w:type="dxa"/>
            <w:tcBorders>
              <w:top w:val="single" w:sz="4" w:space="0" w:color="auto"/>
              <w:left w:val="single" w:sz="8" w:space="0" w:color="auto"/>
              <w:bottom w:val="single" w:sz="4" w:space="0" w:color="auto"/>
              <w:right w:val="single" w:sz="4" w:space="0" w:color="auto"/>
            </w:tcBorders>
            <w:shd w:val="clear" w:color="000000" w:fill="FCE4D6"/>
            <w:vAlign w:val="center"/>
            <w:hideMark/>
          </w:tcPr>
          <w:p w14:paraId="42EF33F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Biogāzes stacijas celtniecības izmaksas EUR</w:t>
            </w:r>
          </w:p>
        </w:tc>
        <w:tc>
          <w:tcPr>
            <w:tcW w:w="709" w:type="dxa"/>
            <w:tcBorders>
              <w:top w:val="nil"/>
              <w:left w:val="nil"/>
              <w:bottom w:val="single" w:sz="4" w:space="0" w:color="auto"/>
              <w:right w:val="single" w:sz="4" w:space="0" w:color="auto"/>
            </w:tcBorders>
            <w:shd w:val="clear" w:color="000000" w:fill="FCE4D6"/>
            <w:noWrap/>
            <w:vAlign w:val="center"/>
            <w:hideMark/>
          </w:tcPr>
          <w:p w14:paraId="6DAA641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2 500 000</w:t>
            </w:r>
          </w:p>
        </w:tc>
        <w:tc>
          <w:tcPr>
            <w:tcW w:w="709" w:type="dxa"/>
            <w:tcBorders>
              <w:top w:val="nil"/>
              <w:left w:val="nil"/>
              <w:bottom w:val="single" w:sz="4" w:space="0" w:color="auto"/>
              <w:right w:val="single" w:sz="4" w:space="0" w:color="auto"/>
            </w:tcBorders>
            <w:shd w:val="clear" w:color="000000" w:fill="FCE4D6"/>
            <w:noWrap/>
            <w:vAlign w:val="center"/>
            <w:hideMark/>
          </w:tcPr>
          <w:p w14:paraId="3CCE0DB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3 000 000</w:t>
            </w:r>
          </w:p>
        </w:tc>
        <w:tc>
          <w:tcPr>
            <w:tcW w:w="709" w:type="dxa"/>
            <w:tcBorders>
              <w:top w:val="nil"/>
              <w:left w:val="nil"/>
              <w:bottom w:val="single" w:sz="4" w:space="0" w:color="auto"/>
              <w:right w:val="single" w:sz="4" w:space="0" w:color="auto"/>
            </w:tcBorders>
            <w:shd w:val="clear" w:color="000000" w:fill="FCE4D6"/>
            <w:noWrap/>
            <w:vAlign w:val="center"/>
            <w:hideMark/>
          </w:tcPr>
          <w:p w14:paraId="47F0CCAB"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3 500 000</w:t>
            </w:r>
          </w:p>
        </w:tc>
        <w:tc>
          <w:tcPr>
            <w:tcW w:w="708" w:type="dxa"/>
            <w:tcBorders>
              <w:top w:val="nil"/>
              <w:left w:val="nil"/>
              <w:bottom w:val="single" w:sz="4" w:space="0" w:color="auto"/>
              <w:right w:val="single" w:sz="4" w:space="0" w:color="auto"/>
            </w:tcBorders>
            <w:shd w:val="clear" w:color="000000" w:fill="FCE4D6"/>
            <w:noWrap/>
            <w:vAlign w:val="center"/>
            <w:hideMark/>
          </w:tcPr>
          <w:p w14:paraId="7BE895E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4 000 000</w:t>
            </w:r>
          </w:p>
        </w:tc>
        <w:tc>
          <w:tcPr>
            <w:tcW w:w="851" w:type="dxa"/>
            <w:tcBorders>
              <w:top w:val="nil"/>
              <w:left w:val="nil"/>
              <w:bottom w:val="single" w:sz="4" w:space="0" w:color="auto"/>
              <w:right w:val="single" w:sz="4" w:space="0" w:color="auto"/>
            </w:tcBorders>
            <w:shd w:val="clear" w:color="000000" w:fill="FCE4D6"/>
            <w:noWrap/>
            <w:vAlign w:val="center"/>
            <w:hideMark/>
          </w:tcPr>
          <w:p w14:paraId="24CAF02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4 500 000</w:t>
            </w:r>
          </w:p>
        </w:tc>
        <w:tc>
          <w:tcPr>
            <w:tcW w:w="850" w:type="dxa"/>
            <w:tcBorders>
              <w:top w:val="nil"/>
              <w:left w:val="nil"/>
              <w:bottom w:val="single" w:sz="4" w:space="0" w:color="auto"/>
              <w:right w:val="single" w:sz="4" w:space="0" w:color="auto"/>
            </w:tcBorders>
            <w:shd w:val="clear" w:color="000000" w:fill="FCE4D6"/>
            <w:noWrap/>
            <w:vAlign w:val="center"/>
            <w:hideMark/>
          </w:tcPr>
          <w:p w14:paraId="186C7F3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5 000 000</w:t>
            </w:r>
          </w:p>
        </w:tc>
        <w:tc>
          <w:tcPr>
            <w:tcW w:w="851" w:type="dxa"/>
            <w:tcBorders>
              <w:top w:val="nil"/>
              <w:left w:val="nil"/>
              <w:bottom w:val="single" w:sz="4" w:space="0" w:color="auto"/>
              <w:right w:val="single" w:sz="8" w:space="0" w:color="auto"/>
            </w:tcBorders>
            <w:shd w:val="clear" w:color="000000" w:fill="FCE4D6"/>
            <w:noWrap/>
            <w:vAlign w:val="center"/>
            <w:hideMark/>
          </w:tcPr>
          <w:p w14:paraId="1558E91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5 500 000</w:t>
            </w:r>
          </w:p>
        </w:tc>
      </w:tr>
      <w:tr w:rsidR="007B173C" w:rsidRPr="002C5C8B" w14:paraId="47022F6C" w14:textId="77777777" w:rsidTr="006D1E47">
        <w:trPr>
          <w:trHeight w:val="984"/>
        </w:trPr>
        <w:tc>
          <w:tcPr>
            <w:tcW w:w="3402" w:type="dxa"/>
            <w:tcBorders>
              <w:top w:val="single" w:sz="4" w:space="0" w:color="auto"/>
              <w:left w:val="single" w:sz="8" w:space="0" w:color="auto"/>
              <w:bottom w:val="single" w:sz="4" w:space="0" w:color="auto"/>
              <w:right w:val="single" w:sz="4" w:space="0" w:color="auto"/>
            </w:tcBorders>
            <w:shd w:val="clear" w:color="000000" w:fill="FCE4D6"/>
            <w:vAlign w:val="center"/>
            <w:hideMark/>
          </w:tcPr>
          <w:p w14:paraId="7FE97F0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Citas saistītās vienreizējās projektēšanas, būvuzraudzības, autoruzraudzības, palaišanas u.c. izmaksas (25%)</w:t>
            </w:r>
          </w:p>
        </w:tc>
        <w:tc>
          <w:tcPr>
            <w:tcW w:w="709" w:type="dxa"/>
            <w:tcBorders>
              <w:top w:val="nil"/>
              <w:left w:val="nil"/>
              <w:bottom w:val="single" w:sz="4" w:space="0" w:color="auto"/>
              <w:right w:val="single" w:sz="4" w:space="0" w:color="auto"/>
            </w:tcBorders>
            <w:shd w:val="clear" w:color="000000" w:fill="FCE4D6"/>
            <w:noWrap/>
            <w:vAlign w:val="center"/>
            <w:hideMark/>
          </w:tcPr>
          <w:p w14:paraId="3BBBA47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625 000</w:t>
            </w:r>
          </w:p>
        </w:tc>
        <w:tc>
          <w:tcPr>
            <w:tcW w:w="709" w:type="dxa"/>
            <w:tcBorders>
              <w:top w:val="nil"/>
              <w:left w:val="nil"/>
              <w:bottom w:val="single" w:sz="4" w:space="0" w:color="auto"/>
              <w:right w:val="single" w:sz="4" w:space="0" w:color="auto"/>
            </w:tcBorders>
            <w:shd w:val="clear" w:color="000000" w:fill="FCE4D6"/>
            <w:noWrap/>
            <w:vAlign w:val="center"/>
            <w:hideMark/>
          </w:tcPr>
          <w:p w14:paraId="28A1FAA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750 000</w:t>
            </w:r>
          </w:p>
        </w:tc>
        <w:tc>
          <w:tcPr>
            <w:tcW w:w="709" w:type="dxa"/>
            <w:tcBorders>
              <w:top w:val="nil"/>
              <w:left w:val="nil"/>
              <w:bottom w:val="single" w:sz="4" w:space="0" w:color="auto"/>
              <w:right w:val="single" w:sz="4" w:space="0" w:color="auto"/>
            </w:tcBorders>
            <w:shd w:val="clear" w:color="000000" w:fill="FCE4D6"/>
            <w:noWrap/>
            <w:vAlign w:val="center"/>
            <w:hideMark/>
          </w:tcPr>
          <w:p w14:paraId="69195E5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875 000</w:t>
            </w:r>
          </w:p>
        </w:tc>
        <w:tc>
          <w:tcPr>
            <w:tcW w:w="708" w:type="dxa"/>
            <w:tcBorders>
              <w:top w:val="nil"/>
              <w:left w:val="nil"/>
              <w:bottom w:val="single" w:sz="4" w:space="0" w:color="auto"/>
              <w:right w:val="single" w:sz="4" w:space="0" w:color="auto"/>
            </w:tcBorders>
            <w:shd w:val="clear" w:color="000000" w:fill="FCE4D6"/>
            <w:noWrap/>
            <w:vAlign w:val="center"/>
            <w:hideMark/>
          </w:tcPr>
          <w:p w14:paraId="0D45E82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1 000 000</w:t>
            </w:r>
          </w:p>
        </w:tc>
        <w:tc>
          <w:tcPr>
            <w:tcW w:w="851" w:type="dxa"/>
            <w:tcBorders>
              <w:top w:val="nil"/>
              <w:left w:val="nil"/>
              <w:bottom w:val="single" w:sz="4" w:space="0" w:color="auto"/>
              <w:right w:val="single" w:sz="4" w:space="0" w:color="auto"/>
            </w:tcBorders>
            <w:shd w:val="clear" w:color="000000" w:fill="FCE4D6"/>
            <w:noWrap/>
            <w:vAlign w:val="center"/>
            <w:hideMark/>
          </w:tcPr>
          <w:p w14:paraId="4DE72BBB"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1 125 000</w:t>
            </w:r>
          </w:p>
        </w:tc>
        <w:tc>
          <w:tcPr>
            <w:tcW w:w="850" w:type="dxa"/>
            <w:tcBorders>
              <w:top w:val="nil"/>
              <w:left w:val="nil"/>
              <w:bottom w:val="single" w:sz="4" w:space="0" w:color="auto"/>
              <w:right w:val="single" w:sz="4" w:space="0" w:color="auto"/>
            </w:tcBorders>
            <w:shd w:val="clear" w:color="000000" w:fill="FCE4D6"/>
            <w:noWrap/>
            <w:vAlign w:val="center"/>
            <w:hideMark/>
          </w:tcPr>
          <w:p w14:paraId="3885746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1 250 000</w:t>
            </w:r>
          </w:p>
        </w:tc>
        <w:tc>
          <w:tcPr>
            <w:tcW w:w="851" w:type="dxa"/>
            <w:tcBorders>
              <w:top w:val="nil"/>
              <w:left w:val="nil"/>
              <w:bottom w:val="single" w:sz="4" w:space="0" w:color="auto"/>
              <w:right w:val="single" w:sz="8" w:space="0" w:color="auto"/>
            </w:tcBorders>
            <w:shd w:val="clear" w:color="000000" w:fill="FCE4D6"/>
            <w:noWrap/>
            <w:vAlign w:val="center"/>
            <w:hideMark/>
          </w:tcPr>
          <w:p w14:paraId="72D0957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1 375 000</w:t>
            </w:r>
          </w:p>
        </w:tc>
      </w:tr>
      <w:tr w:rsidR="007B173C" w:rsidRPr="002C5C8B" w14:paraId="5127582F" w14:textId="77777777" w:rsidTr="006D1E47">
        <w:trPr>
          <w:trHeight w:val="288"/>
        </w:trPr>
        <w:tc>
          <w:tcPr>
            <w:tcW w:w="3402" w:type="dxa"/>
            <w:tcBorders>
              <w:top w:val="single" w:sz="4" w:space="0" w:color="auto"/>
              <w:left w:val="single" w:sz="8" w:space="0" w:color="auto"/>
              <w:bottom w:val="single" w:sz="4" w:space="0" w:color="auto"/>
              <w:right w:val="single" w:sz="4" w:space="0" w:color="auto"/>
            </w:tcBorders>
            <w:shd w:val="clear" w:color="000000" w:fill="FCE4D6"/>
            <w:vAlign w:val="center"/>
            <w:hideMark/>
          </w:tcPr>
          <w:p w14:paraId="39E22990"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Uzturēšanas izmaksas gadā (10%)</w:t>
            </w:r>
          </w:p>
        </w:tc>
        <w:tc>
          <w:tcPr>
            <w:tcW w:w="709" w:type="dxa"/>
            <w:tcBorders>
              <w:top w:val="nil"/>
              <w:left w:val="nil"/>
              <w:bottom w:val="single" w:sz="4" w:space="0" w:color="auto"/>
              <w:right w:val="single" w:sz="4" w:space="0" w:color="auto"/>
            </w:tcBorders>
            <w:shd w:val="clear" w:color="000000" w:fill="FCE4D6"/>
            <w:noWrap/>
            <w:vAlign w:val="center"/>
            <w:hideMark/>
          </w:tcPr>
          <w:p w14:paraId="34613F4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250 000</w:t>
            </w:r>
          </w:p>
        </w:tc>
        <w:tc>
          <w:tcPr>
            <w:tcW w:w="709" w:type="dxa"/>
            <w:tcBorders>
              <w:top w:val="nil"/>
              <w:left w:val="nil"/>
              <w:bottom w:val="single" w:sz="4" w:space="0" w:color="auto"/>
              <w:right w:val="single" w:sz="4" w:space="0" w:color="auto"/>
            </w:tcBorders>
            <w:shd w:val="clear" w:color="000000" w:fill="FCE4D6"/>
            <w:noWrap/>
            <w:vAlign w:val="center"/>
            <w:hideMark/>
          </w:tcPr>
          <w:p w14:paraId="11C6131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300 000</w:t>
            </w:r>
          </w:p>
        </w:tc>
        <w:tc>
          <w:tcPr>
            <w:tcW w:w="709" w:type="dxa"/>
            <w:tcBorders>
              <w:top w:val="nil"/>
              <w:left w:val="nil"/>
              <w:bottom w:val="single" w:sz="4" w:space="0" w:color="auto"/>
              <w:right w:val="single" w:sz="4" w:space="0" w:color="auto"/>
            </w:tcBorders>
            <w:shd w:val="clear" w:color="000000" w:fill="FCE4D6"/>
            <w:noWrap/>
            <w:vAlign w:val="center"/>
            <w:hideMark/>
          </w:tcPr>
          <w:p w14:paraId="76D80477"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350 000</w:t>
            </w:r>
          </w:p>
        </w:tc>
        <w:tc>
          <w:tcPr>
            <w:tcW w:w="708" w:type="dxa"/>
            <w:tcBorders>
              <w:top w:val="nil"/>
              <w:left w:val="nil"/>
              <w:bottom w:val="single" w:sz="4" w:space="0" w:color="auto"/>
              <w:right w:val="single" w:sz="4" w:space="0" w:color="auto"/>
            </w:tcBorders>
            <w:shd w:val="clear" w:color="000000" w:fill="FCE4D6"/>
            <w:noWrap/>
            <w:vAlign w:val="center"/>
            <w:hideMark/>
          </w:tcPr>
          <w:p w14:paraId="58304DA1"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400 000</w:t>
            </w:r>
          </w:p>
        </w:tc>
        <w:tc>
          <w:tcPr>
            <w:tcW w:w="851" w:type="dxa"/>
            <w:tcBorders>
              <w:top w:val="nil"/>
              <w:left w:val="nil"/>
              <w:bottom w:val="single" w:sz="4" w:space="0" w:color="auto"/>
              <w:right w:val="single" w:sz="4" w:space="0" w:color="auto"/>
            </w:tcBorders>
            <w:shd w:val="clear" w:color="000000" w:fill="FCE4D6"/>
            <w:noWrap/>
            <w:vAlign w:val="center"/>
            <w:hideMark/>
          </w:tcPr>
          <w:p w14:paraId="501EF1D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450 000</w:t>
            </w:r>
          </w:p>
        </w:tc>
        <w:tc>
          <w:tcPr>
            <w:tcW w:w="850" w:type="dxa"/>
            <w:tcBorders>
              <w:top w:val="nil"/>
              <w:left w:val="nil"/>
              <w:bottom w:val="single" w:sz="4" w:space="0" w:color="auto"/>
              <w:right w:val="single" w:sz="4" w:space="0" w:color="auto"/>
            </w:tcBorders>
            <w:shd w:val="clear" w:color="000000" w:fill="FCE4D6"/>
            <w:noWrap/>
            <w:vAlign w:val="center"/>
            <w:hideMark/>
          </w:tcPr>
          <w:p w14:paraId="4E3031C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500 000</w:t>
            </w:r>
          </w:p>
        </w:tc>
        <w:tc>
          <w:tcPr>
            <w:tcW w:w="851" w:type="dxa"/>
            <w:tcBorders>
              <w:top w:val="nil"/>
              <w:left w:val="nil"/>
              <w:bottom w:val="single" w:sz="4" w:space="0" w:color="auto"/>
              <w:right w:val="single" w:sz="8" w:space="0" w:color="auto"/>
            </w:tcBorders>
            <w:shd w:val="clear" w:color="000000" w:fill="FCE4D6"/>
            <w:noWrap/>
            <w:vAlign w:val="center"/>
            <w:hideMark/>
          </w:tcPr>
          <w:p w14:paraId="29F2580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550 000</w:t>
            </w:r>
          </w:p>
        </w:tc>
      </w:tr>
      <w:tr w:rsidR="007B173C" w:rsidRPr="002C5C8B" w14:paraId="3BC41360" w14:textId="77777777" w:rsidTr="006D1E47">
        <w:trPr>
          <w:trHeight w:val="288"/>
        </w:trPr>
        <w:tc>
          <w:tcPr>
            <w:tcW w:w="3402" w:type="dxa"/>
            <w:tcBorders>
              <w:top w:val="single" w:sz="4" w:space="0" w:color="auto"/>
              <w:left w:val="single" w:sz="8" w:space="0" w:color="auto"/>
              <w:bottom w:val="single" w:sz="4" w:space="0" w:color="auto"/>
              <w:right w:val="single" w:sz="4" w:space="0" w:color="000000"/>
            </w:tcBorders>
            <w:shd w:val="clear" w:color="000000" w:fill="FCE4D6"/>
            <w:vAlign w:val="center"/>
            <w:hideMark/>
          </w:tcPr>
          <w:p w14:paraId="6D6EEEE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Fugāta attīrīšanas iekārtas izmaksas</w:t>
            </w:r>
          </w:p>
        </w:tc>
        <w:tc>
          <w:tcPr>
            <w:tcW w:w="709" w:type="dxa"/>
            <w:tcBorders>
              <w:top w:val="nil"/>
              <w:left w:val="nil"/>
              <w:bottom w:val="single" w:sz="4" w:space="0" w:color="auto"/>
              <w:right w:val="single" w:sz="4" w:space="0" w:color="auto"/>
            </w:tcBorders>
            <w:shd w:val="clear" w:color="000000" w:fill="FCE4D6"/>
            <w:noWrap/>
            <w:vAlign w:val="center"/>
            <w:hideMark/>
          </w:tcPr>
          <w:p w14:paraId="53CFAFA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2 500 000</w:t>
            </w:r>
          </w:p>
        </w:tc>
        <w:tc>
          <w:tcPr>
            <w:tcW w:w="709" w:type="dxa"/>
            <w:tcBorders>
              <w:top w:val="nil"/>
              <w:left w:val="nil"/>
              <w:bottom w:val="single" w:sz="4" w:space="0" w:color="auto"/>
              <w:right w:val="single" w:sz="4" w:space="0" w:color="auto"/>
            </w:tcBorders>
            <w:shd w:val="clear" w:color="000000" w:fill="FCE4D6"/>
            <w:noWrap/>
            <w:vAlign w:val="center"/>
            <w:hideMark/>
          </w:tcPr>
          <w:p w14:paraId="6192088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5 000 000</w:t>
            </w:r>
          </w:p>
        </w:tc>
        <w:tc>
          <w:tcPr>
            <w:tcW w:w="709" w:type="dxa"/>
            <w:tcBorders>
              <w:top w:val="nil"/>
              <w:left w:val="nil"/>
              <w:bottom w:val="single" w:sz="4" w:space="0" w:color="auto"/>
              <w:right w:val="single" w:sz="4" w:space="0" w:color="auto"/>
            </w:tcBorders>
            <w:shd w:val="clear" w:color="000000" w:fill="FCE4D6"/>
            <w:noWrap/>
            <w:vAlign w:val="center"/>
            <w:hideMark/>
          </w:tcPr>
          <w:p w14:paraId="3A5D4C9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9 000 000</w:t>
            </w:r>
          </w:p>
        </w:tc>
        <w:tc>
          <w:tcPr>
            <w:tcW w:w="708" w:type="dxa"/>
            <w:tcBorders>
              <w:top w:val="nil"/>
              <w:left w:val="nil"/>
              <w:bottom w:val="single" w:sz="4" w:space="0" w:color="auto"/>
              <w:right w:val="single" w:sz="4" w:space="0" w:color="auto"/>
            </w:tcBorders>
            <w:shd w:val="clear" w:color="000000" w:fill="FCE4D6"/>
            <w:noWrap/>
            <w:vAlign w:val="center"/>
            <w:hideMark/>
          </w:tcPr>
          <w:p w14:paraId="284F8C1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14 500 000</w:t>
            </w:r>
          </w:p>
        </w:tc>
        <w:tc>
          <w:tcPr>
            <w:tcW w:w="851" w:type="dxa"/>
            <w:tcBorders>
              <w:top w:val="nil"/>
              <w:left w:val="nil"/>
              <w:bottom w:val="single" w:sz="4" w:space="0" w:color="auto"/>
              <w:right w:val="single" w:sz="4" w:space="0" w:color="auto"/>
            </w:tcBorders>
            <w:shd w:val="clear" w:color="000000" w:fill="FCE4D6"/>
            <w:noWrap/>
            <w:vAlign w:val="center"/>
            <w:hideMark/>
          </w:tcPr>
          <w:p w14:paraId="0EBDAB9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18 000 000</w:t>
            </w:r>
          </w:p>
        </w:tc>
        <w:tc>
          <w:tcPr>
            <w:tcW w:w="850" w:type="dxa"/>
            <w:tcBorders>
              <w:top w:val="nil"/>
              <w:left w:val="nil"/>
              <w:bottom w:val="single" w:sz="4" w:space="0" w:color="auto"/>
              <w:right w:val="single" w:sz="4" w:space="0" w:color="auto"/>
            </w:tcBorders>
            <w:shd w:val="clear" w:color="000000" w:fill="FCE4D6"/>
            <w:noWrap/>
            <w:vAlign w:val="center"/>
            <w:hideMark/>
          </w:tcPr>
          <w:p w14:paraId="1D6C8EE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25 000 000</w:t>
            </w:r>
          </w:p>
        </w:tc>
        <w:tc>
          <w:tcPr>
            <w:tcW w:w="851" w:type="dxa"/>
            <w:tcBorders>
              <w:top w:val="nil"/>
              <w:left w:val="nil"/>
              <w:bottom w:val="single" w:sz="4" w:space="0" w:color="auto"/>
              <w:right w:val="single" w:sz="8" w:space="0" w:color="auto"/>
            </w:tcBorders>
            <w:shd w:val="clear" w:color="000000" w:fill="FCE4D6"/>
            <w:noWrap/>
            <w:vAlign w:val="center"/>
            <w:hideMark/>
          </w:tcPr>
          <w:p w14:paraId="68B325F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33 000 000</w:t>
            </w:r>
          </w:p>
        </w:tc>
      </w:tr>
      <w:tr w:rsidR="007B173C" w:rsidRPr="002C5C8B" w14:paraId="0E31228C" w14:textId="77777777" w:rsidTr="006D1E47">
        <w:trPr>
          <w:trHeight w:val="624"/>
        </w:trPr>
        <w:tc>
          <w:tcPr>
            <w:tcW w:w="3402" w:type="dxa"/>
            <w:tcBorders>
              <w:top w:val="single" w:sz="4" w:space="0" w:color="auto"/>
              <w:left w:val="single" w:sz="8" w:space="0" w:color="auto"/>
              <w:bottom w:val="single" w:sz="4" w:space="0" w:color="auto"/>
              <w:right w:val="single" w:sz="4" w:space="0" w:color="000000"/>
            </w:tcBorders>
            <w:shd w:val="clear" w:color="000000" w:fill="FCE4D6"/>
            <w:vAlign w:val="center"/>
            <w:hideMark/>
          </w:tcPr>
          <w:p w14:paraId="6C282EE0"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Fugāta attīrīšanas iekārtas uzturēšanas izmaksas gadā (10%)</w:t>
            </w:r>
          </w:p>
        </w:tc>
        <w:tc>
          <w:tcPr>
            <w:tcW w:w="709" w:type="dxa"/>
            <w:tcBorders>
              <w:top w:val="nil"/>
              <w:left w:val="nil"/>
              <w:bottom w:val="single" w:sz="4" w:space="0" w:color="auto"/>
              <w:right w:val="single" w:sz="4" w:space="0" w:color="auto"/>
            </w:tcBorders>
            <w:shd w:val="clear" w:color="000000" w:fill="FCE4D6"/>
            <w:noWrap/>
            <w:vAlign w:val="center"/>
            <w:hideMark/>
          </w:tcPr>
          <w:p w14:paraId="5C9B41E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250 000</w:t>
            </w:r>
          </w:p>
        </w:tc>
        <w:tc>
          <w:tcPr>
            <w:tcW w:w="709" w:type="dxa"/>
            <w:tcBorders>
              <w:top w:val="nil"/>
              <w:left w:val="nil"/>
              <w:bottom w:val="single" w:sz="4" w:space="0" w:color="auto"/>
              <w:right w:val="single" w:sz="4" w:space="0" w:color="auto"/>
            </w:tcBorders>
            <w:shd w:val="clear" w:color="000000" w:fill="FCE4D6"/>
            <w:noWrap/>
            <w:vAlign w:val="center"/>
            <w:hideMark/>
          </w:tcPr>
          <w:p w14:paraId="4B3B5457"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500 000</w:t>
            </w:r>
          </w:p>
        </w:tc>
        <w:tc>
          <w:tcPr>
            <w:tcW w:w="709" w:type="dxa"/>
            <w:tcBorders>
              <w:top w:val="nil"/>
              <w:left w:val="nil"/>
              <w:bottom w:val="single" w:sz="4" w:space="0" w:color="auto"/>
              <w:right w:val="single" w:sz="4" w:space="0" w:color="auto"/>
            </w:tcBorders>
            <w:shd w:val="clear" w:color="000000" w:fill="FCE4D6"/>
            <w:noWrap/>
            <w:vAlign w:val="center"/>
            <w:hideMark/>
          </w:tcPr>
          <w:p w14:paraId="3E1F744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900 000</w:t>
            </w:r>
          </w:p>
        </w:tc>
        <w:tc>
          <w:tcPr>
            <w:tcW w:w="708" w:type="dxa"/>
            <w:tcBorders>
              <w:top w:val="nil"/>
              <w:left w:val="nil"/>
              <w:bottom w:val="single" w:sz="4" w:space="0" w:color="auto"/>
              <w:right w:val="single" w:sz="4" w:space="0" w:color="auto"/>
            </w:tcBorders>
            <w:shd w:val="clear" w:color="000000" w:fill="FCE4D6"/>
            <w:noWrap/>
            <w:vAlign w:val="center"/>
            <w:hideMark/>
          </w:tcPr>
          <w:p w14:paraId="57BBDBF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1 450 000</w:t>
            </w:r>
          </w:p>
        </w:tc>
        <w:tc>
          <w:tcPr>
            <w:tcW w:w="851" w:type="dxa"/>
            <w:tcBorders>
              <w:top w:val="nil"/>
              <w:left w:val="nil"/>
              <w:bottom w:val="single" w:sz="4" w:space="0" w:color="auto"/>
              <w:right w:val="single" w:sz="4" w:space="0" w:color="auto"/>
            </w:tcBorders>
            <w:shd w:val="clear" w:color="000000" w:fill="FCE4D6"/>
            <w:noWrap/>
            <w:vAlign w:val="center"/>
            <w:hideMark/>
          </w:tcPr>
          <w:p w14:paraId="5CF2AAA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1 800 000</w:t>
            </w:r>
          </w:p>
        </w:tc>
        <w:tc>
          <w:tcPr>
            <w:tcW w:w="850" w:type="dxa"/>
            <w:tcBorders>
              <w:top w:val="nil"/>
              <w:left w:val="nil"/>
              <w:bottom w:val="single" w:sz="4" w:space="0" w:color="auto"/>
              <w:right w:val="single" w:sz="4" w:space="0" w:color="auto"/>
            </w:tcBorders>
            <w:shd w:val="clear" w:color="000000" w:fill="FCE4D6"/>
            <w:noWrap/>
            <w:vAlign w:val="center"/>
            <w:hideMark/>
          </w:tcPr>
          <w:p w14:paraId="648AE37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2 500 000</w:t>
            </w:r>
          </w:p>
        </w:tc>
        <w:tc>
          <w:tcPr>
            <w:tcW w:w="851" w:type="dxa"/>
            <w:tcBorders>
              <w:top w:val="nil"/>
              <w:left w:val="nil"/>
              <w:bottom w:val="single" w:sz="4" w:space="0" w:color="auto"/>
              <w:right w:val="single" w:sz="8" w:space="0" w:color="auto"/>
            </w:tcBorders>
            <w:shd w:val="clear" w:color="000000" w:fill="FCE4D6"/>
            <w:noWrap/>
            <w:vAlign w:val="center"/>
            <w:hideMark/>
          </w:tcPr>
          <w:p w14:paraId="3F467CD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3 300 000</w:t>
            </w:r>
          </w:p>
        </w:tc>
      </w:tr>
      <w:tr w:rsidR="007B173C" w:rsidRPr="002C5C8B" w14:paraId="7A76A150" w14:textId="77777777" w:rsidTr="006D1E47">
        <w:trPr>
          <w:trHeight w:val="312"/>
        </w:trPr>
        <w:tc>
          <w:tcPr>
            <w:tcW w:w="3402" w:type="dxa"/>
            <w:tcBorders>
              <w:top w:val="single" w:sz="4" w:space="0" w:color="auto"/>
              <w:left w:val="single" w:sz="8" w:space="0" w:color="auto"/>
              <w:bottom w:val="single" w:sz="4" w:space="0" w:color="auto"/>
              <w:right w:val="single" w:sz="4" w:space="0" w:color="auto"/>
            </w:tcBorders>
            <w:shd w:val="clear" w:color="000000" w:fill="FFF2CC"/>
            <w:vAlign w:val="center"/>
            <w:hideMark/>
          </w:tcPr>
          <w:p w14:paraId="0E071CCB" w14:textId="77777777" w:rsidR="00EA051D" w:rsidRPr="002C5C8B" w:rsidRDefault="00EA051D" w:rsidP="008E6BAE">
            <w:pPr>
              <w:spacing w:after="0" w:line="240" w:lineRule="auto"/>
              <w:jc w:val="center"/>
              <w:rPr>
                <w:rFonts w:ascii="Times New Roman" w:eastAsia="Times New Roman" w:hAnsi="Times New Roman" w:cs="Times New Roman"/>
                <w:b/>
                <w:bCs/>
                <w:sz w:val="20"/>
                <w:szCs w:val="20"/>
              </w:rPr>
            </w:pPr>
            <w:r w:rsidRPr="002C5C8B">
              <w:rPr>
                <w:rFonts w:ascii="Times New Roman" w:eastAsia="Times New Roman" w:hAnsi="Times New Roman" w:cs="Times New Roman"/>
                <w:b/>
                <w:bCs/>
                <w:sz w:val="20"/>
                <w:szCs w:val="20"/>
              </w:rPr>
              <w:t>Ieņēmumi EUR</w:t>
            </w:r>
          </w:p>
        </w:tc>
        <w:tc>
          <w:tcPr>
            <w:tcW w:w="709" w:type="dxa"/>
            <w:tcBorders>
              <w:top w:val="nil"/>
              <w:left w:val="nil"/>
              <w:bottom w:val="single" w:sz="4" w:space="0" w:color="auto"/>
              <w:right w:val="single" w:sz="4" w:space="0" w:color="auto"/>
            </w:tcBorders>
            <w:shd w:val="clear" w:color="000000" w:fill="FFF2CC"/>
            <w:noWrap/>
            <w:vAlign w:val="center"/>
            <w:hideMark/>
          </w:tcPr>
          <w:p w14:paraId="41E8599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FF2CC"/>
            <w:noWrap/>
            <w:vAlign w:val="center"/>
            <w:hideMark/>
          </w:tcPr>
          <w:p w14:paraId="09C2828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FF2CC"/>
            <w:noWrap/>
            <w:vAlign w:val="center"/>
            <w:hideMark/>
          </w:tcPr>
          <w:p w14:paraId="06171CA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708" w:type="dxa"/>
            <w:tcBorders>
              <w:top w:val="nil"/>
              <w:left w:val="nil"/>
              <w:bottom w:val="single" w:sz="4" w:space="0" w:color="auto"/>
              <w:right w:val="single" w:sz="4" w:space="0" w:color="auto"/>
            </w:tcBorders>
            <w:shd w:val="clear" w:color="000000" w:fill="FFF2CC"/>
            <w:noWrap/>
            <w:vAlign w:val="center"/>
            <w:hideMark/>
          </w:tcPr>
          <w:p w14:paraId="3FB262A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000000" w:fill="FFF2CC"/>
            <w:noWrap/>
            <w:vAlign w:val="center"/>
            <w:hideMark/>
          </w:tcPr>
          <w:p w14:paraId="397F2E1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000000" w:fill="FFF2CC"/>
            <w:noWrap/>
            <w:vAlign w:val="center"/>
            <w:hideMark/>
          </w:tcPr>
          <w:p w14:paraId="5F17A2C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8" w:space="0" w:color="auto"/>
            </w:tcBorders>
            <w:shd w:val="clear" w:color="000000" w:fill="FFF2CC"/>
            <w:noWrap/>
            <w:vAlign w:val="center"/>
            <w:hideMark/>
          </w:tcPr>
          <w:p w14:paraId="28CDCE7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p>
        </w:tc>
      </w:tr>
      <w:tr w:rsidR="007B173C" w:rsidRPr="002C5C8B" w14:paraId="684C3482" w14:textId="77777777" w:rsidTr="006D1E47">
        <w:trPr>
          <w:trHeight w:val="636"/>
        </w:trPr>
        <w:tc>
          <w:tcPr>
            <w:tcW w:w="3402" w:type="dxa"/>
            <w:tcBorders>
              <w:top w:val="single" w:sz="4" w:space="0" w:color="auto"/>
              <w:left w:val="single" w:sz="8" w:space="0" w:color="auto"/>
              <w:bottom w:val="single" w:sz="4" w:space="0" w:color="auto"/>
              <w:right w:val="single" w:sz="4" w:space="0" w:color="auto"/>
            </w:tcBorders>
            <w:shd w:val="clear" w:color="000000" w:fill="FFF2CC"/>
            <w:vAlign w:val="center"/>
            <w:hideMark/>
          </w:tcPr>
          <w:p w14:paraId="3417847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Saražotās elektroenerģijas aizvietošana ar iepirkto elektroenerģiju (0,1 EUR/KWh)</w:t>
            </w:r>
          </w:p>
        </w:tc>
        <w:tc>
          <w:tcPr>
            <w:tcW w:w="709" w:type="dxa"/>
            <w:tcBorders>
              <w:top w:val="nil"/>
              <w:left w:val="nil"/>
              <w:bottom w:val="single" w:sz="4" w:space="0" w:color="auto"/>
              <w:right w:val="single" w:sz="4" w:space="0" w:color="auto"/>
            </w:tcBorders>
            <w:shd w:val="clear" w:color="000000" w:fill="FFF2CC"/>
            <w:noWrap/>
            <w:vAlign w:val="center"/>
            <w:hideMark/>
          </w:tcPr>
          <w:p w14:paraId="054142D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164 000</w:t>
            </w:r>
          </w:p>
        </w:tc>
        <w:tc>
          <w:tcPr>
            <w:tcW w:w="709" w:type="dxa"/>
            <w:tcBorders>
              <w:top w:val="nil"/>
              <w:left w:val="nil"/>
              <w:bottom w:val="single" w:sz="4" w:space="0" w:color="auto"/>
              <w:right w:val="single" w:sz="4" w:space="0" w:color="auto"/>
            </w:tcBorders>
            <w:shd w:val="clear" w:color="000000" w:fill="FFF2CC"/>
            <w:noWrap/>
            <w:vAlign w:val="center"/>
            <w:hideMark/>
          </w:tcPr>
          <w:p w14:paraId="33AEE144"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328 000</w:t>
            </w:r>
          </w:p>
        </w:tc>
        <w:tc>
          <w:tcPr>
            <w:tcW w:w="709" w:type="dxa"/>
            <w:tcBorders>
              <w:top w:val="nil"/>
              <w:left w:val="nil"/>
              <w:bottom w:val="single" w:sz="4" w:space="0" w:color="auto"/>
              <w:right w:val="single" w:sz="4" w:space="0" w:color="auto"/>
            </w:tcBorders>
            <w:shd w:val="clear" w:color="000000" w:fill="FFF2CC"/>
            <w:noWrap/>
            <w:vAlign w:val="center"/>
            <w:hideMark/>
          </w:tcPr>
          <w:p w14:paraId="5704C465"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492 000</w:t>
            </w:r>
          </w:p>
        </w:tc>
        <w:tc>
          <w:tcPr>
            <w:tcW w:w="708" w:type="dxa"/>
            <w:tcBorders>
              <w:top w:val="nil"/>
              <w:left w:val="nil"/>
              <w:bottom w:val="single" w:sz="4" w:space="0" w:color="auto"/>
              <w:right w:val="single" w:sz="4" w:space="0" w:color="auto"/>
            </w:tcBorders>
            <w:shd w:val="clear" w:color="000000" w:fill="FFF2CC"/>
            <w:noWrap/>
            <w:vAlign w:val="center"/>
            <w:hideMark/>
          </w:tcPr>
          <w:p w14:paraId="6CEF369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656 000</w:t>
            </w:r>
          </w:p>
        </w:tc>
        <w:tc>
          <w:tcPr>
            <w:tcW w:w="851" w:type="dxa"/>
            <w:tcBorders>
              <w:top w:val="nil"/>
              <w:left w:val="nil"/>
              <w:bottom w:val="single" w:sz="4" w:space="0" w:color="auto"/>
              <w:right w:val="single" w:sz="4" w:space="0" w:color="auto"/>
            </w:tcBorders>
            <w:shd w:val="clear" w:color="000000" w:fill="FFF2CC"/>
            <w:noWrap/>
            <w:vAlign w:val="center"/>
            <w:hideMark/>
          </w:tcPr>
          <w:p w14:paraId="300E789B"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984 000</w:t>
            </w:r>
          </w:p>
        </w:tc>
        <w:tc>
          <w:tcPr>
            <w:tcW w:w="850" w:type="dxa"/>
            <w:tcBorders>
              <w:top w:val="nil"/>
              <w:left w:val="nil"/>
              <w:bottom w:val="single" w:sz="4" w:space="0" w:color="auto"/>
              <w:right w:val="single" w:sz="4" w:space="0" w:color="auto"/>
            </w:tcBorders>
            <w:shd w:val="clear" w:color="000000" w:fill="FFF2CC"/>
            <w:noWrap/>
            <w:vAlign w:val="center"/>
            <w:hideMark/>
          </w:tcPr>
          <w:p w14:paraId="363590E0"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1 312 000</w:t>
            </w:r>
          </w:p>
        </w:tc>
        <w:tc>
          <w:tcPr>
            <w:tcW w:w="851" w:type="dxa"/>
            <w:tcBorders>
              <w:top w:val="nil"/>
              <w:left w:val="nil"/>
              <w:bottom w:val="single" w:sz="4" w:space="0" w:color="auto"/>
              <w:right w:val="single" w:sz="8" w:space="0" w:color="auto"/>
            </w:tcBorders>
            <w:shd w:val="clear" w:color="000000" w:fill="FFF2CC"/>
            <w:noWrap/>
            <w:vAlign w:val="center"/>
            <w:hideMark/>
          </w:tcPr>
          <w:p w14:paraId="4003AE8D"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1 640 000</w:t>
            </w:r>
          </w:p>
        </w:tc>
      </w:tr>
      <w:tr w:rsidR="007B173C" w:rsidRPr="002C5C8B" w14:paraId="41A2875C" w14:textId="77777777" w:rsidTr="006D1E47">
        <w:trPr>
          <w:trHeight w:val="576"/>
        </w:trPr>
        <w:tc>
          <w:tcPr>
            <w:tcW w:w="3402" w:type="dxa"/>
            <w:tcBorders>
              <w:top w:val="single" w:sz="4" w:space="0" w:color="auto"/>
              <w:left w:val="single" w:sz="8" w:space="0" w:color="auto"/>
              <w:bottom w:val="single" w:sz="8" w:space="0" w:color="auto"/>
              <w:right w:val="single" w:sz="4" w:space="0" w:color="auto"/>
            </w:tcBorders>
            <w:shd w:val="clear" w:color="000000" w:fill="FFF2CC"/>
            <w:vAlign w:val="center"/>
            <w:hideMark/>
          </w:tcPr>
          <w:p w14:paraId="4E873E89"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Liekās siltumenerģijas pārdošana 30 EUR MWh</w:t>
            </w:r>
          </w:p>
        </w:tc>
        <w:tc>
          <w:tcPr>
            <w:tcW w:w="709" w:type="dxa"/>
            <w:tcBorders>
              <w:top w:val="nil"/>
              <w:left w:val="nil"/>
              <w:bottom w:val="single" w:sz="8" w:space="0" w:color="auto"/>
              <w:right w:val="single" w:sz="4" w:space="0" w:color="auto"/>
            </w:tcBorders>
            <w:shd w:val="clear" w:color="000000" w:fill="FFF2CC"/>
            <w:noWrap/>
            <w:vAlign w:val="center"/>
            <w:hideMark/>
          </w:tcPr>
          <w:p w14:paraId="3576E968"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32 400</w:t>
            </w:r>
          </w:p>
        </w:tc>
        <w:tc>
          <w:tcPr>
            <w:tcW w:w="709" w:type="dxa"/>
            <w:tcBorders>
              <w:top w:val="nil"/>
              <w:left w:val="nil"/>
              <w:bottom w:val="single" w:sz="8" w:space="0" w:color="auto"/>
              <w:right w:val="single" w:sz="4" w:space="0" w:color="auto"/>
            </w:tcBorders>
            <w:shd w:val="clear" w:color="000000" w:fill="FFF2CC"/>
            <w:noWrap/>
            <w:vAlign w:val="center"/>
            <w:hideMark/>
          </w:tcPr>
          <w:p w14:paraId="2DE51A3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70 200</w:t>
            </w:r>
          </w:p>
        </w:tc>
        <w:tc>
          <w:tcPr>
            <w:tcW w:w="709" w:type="dxa"/>
            <w:tcBorders>
              <w:top w:val="nil"/>
              <w:left w:val="nil"/>
              <w:bottom w:val="single" w:sz="8" w:space="0" w:color="auto"/>
              <w:right w:val="single" w:sz="4" w:space="0" w:color="auto"/>
            </w:tcBorders>
            <w:shd w:val="clear" w:color="000000" w:fill="FFF2CC"/>
            <w:noWrap/>
            <w:vAlign w:val="center"/>
            <w:hideMark/>
          </w:tcPr>
          <w:p w14:paraId="492C7FBC"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105 300</w:t>
            </w:r>
          </w:p>
        </w:tc>
        <w:tc>
          <w:tcPr>
            <w:tcW w:w="708" w:type="dxa"/>
            <w:tcBorders>
              <w:top w:val="nil"/>
              <w:left w:val="nil"/>
              <w:bottom w:val="single" w:sz="8" w:space="0" w:color="auto"/>
              <w:right w:val="single" w:sz="4" w:space="0" w:color="auto"/>
            </w:tcBorders>
            <w:shd w:val="clear" w:color="000000" w:fill="FFF2CC"/>
            <w:noWrap/>
            <w:vAlign w:val="center"/>
            <w:hideMark/>
          </w:tcPr>
          <w:p w14:paraId="4B2D268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151 200</w:t>
            </w:r>
          </w:p>
        </w:tc>
        <w:tc>
          <w:tcPr>
            <w:tcW w:w="851" w:type="dxa"/>
            <w:tcBorders>
              <w:top w:val="nil"/>
              <w:left w:val="nil"/>
              <w:bottom w:val="single" w:sz="8" w:space="0" w:color="auto"/>
              <w:right w:val="single" w:sz="4" w:space="0" w:color="auto"/>
            </w:tcBorders>
            <w:shd w:val="clear" w:color="000000" w:fill="FFF2CC"/>
            <w:noWrap/>
            <w:vAlign w:val="center"/>
            <w:hideMark/>
          </w:tcPr>
          <w:p w14:paraId="1E2B59E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226 800</w:t>
            </w:r>
          </w:p>
        </w:tc>
        <w:tc>
          <w:tcPr>
            <w:tcW w:w="850" w:type="dxa"/>
            <w:tcBorders>
              <w:top w:val="nil"/>
              <w:left w:val="nil"/>
              <w:bottom w:val="single" w:sz="8" w:space="0" w:color="auto"/>
              <w:right w:val="single" w:sz="4" w:space="0" w:color="auto"/>
            </w:tcBorders>
            <w:shd w:val="clear" w:color="000000" w:fill="FFF2CC"/>
            <w:noWrap/>
            <w:vAlign w:val="center"/>
            <w:hideMark/>
          </w:tcPr>
          <w:p w14:paraId="0025362F"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324 000</w:t>
            </w:r>
          </w:p>
        </w:tc>
        <w:tc>
          <w:tcPr>
            <w:tcW w:w="851" w:type="dxa"/>
            <w:tcBorders>
              <w:top w:val="nil"/>
              <w:left w:val="nil"/>
              <w:bottom w:val="single" w:sz="8" w:space="0" w:color="auto"/>
              <w:right w:val="single" w:sz="8" w:space="0" w:color="auto"/>
            </w:tcBorders>
            <w:shd w:val="clear" w:color="000000" w:fill="FFF2CC"/>
            <w:noWrap/>
            <w:vAlign w:val="center"/>
            <w:hideMark/>
          </w:tcPr>
          <w:p w14:paraId="2E9C6A30"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405 000</w:t>
            </w:r>
          </w:p>
        </w:tc>
      </w:tr>
      <w:tr w:rsidR="007B173C" w:rsidRPr="002C5C8B" w14:paraId="4CD6C7EA" w14:textId="77777777" w:rsidTr="006D1E47">
        <w:trPr>
          <w:trHeight w:val="612"/>
        </w:trPr>
        <w:tc>
          <w:tcPr>
            <w:tcW w:w="3402" w:type="dxa"/>
            <w:tcBorders>
              <w:top w:val="single" w:sz="8" w:space="0" w:color="auto"/>
              <w:left w:val="single" w:sz="8" w:space="0" w:color="auto"/>
              <w:bottom w:val="single" w:sz="8" w:space="0" w:color="auto"/>
              <w:right w:val="single" w:sz="4" w:space="0" w:color="auto"/>
            </w:tcBorders>
            <w:shd w:val="clear" w:color="000000" w:fill="FFC000"/>
            <w:vAlign w:val="center"/>
            <w:hideMark/>
          </w:tcPr>
          <w:p w14:paraId="132FA712"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Cik biogāzes stacijas Latvijā ir nepieciešamas</w:t>
            </w:r>
          </w:p>
        </w:tc>
        <w:tc>
          <w:tcPr>
            <w:tcW w:w="709" w:type="dxa"/>
            <w:tcBorders>
              <w:top w:val="nil"/>
              <w:left w:val="nil"/>
              <w:bottom w:val="single" w:sz="8" w:space="0" w:color="auto"/>
              <w:right w:val="single" w:sz="4" w:space="0" w:color="auto"/>
            </w:tcBorders>
            <w:shd w:val="clear" w:color="000000" w:fill="FFC000"/>
            <w:noWrap/>
            <w:vAlign w:val="center"/>
            <w:hideMark/>
          </w:tcPr>
          <w:p w14:paraId="26291E6E"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3,9</w:t>
            </w:r>
          </w:p>
        </w:tc>
        <w:tc>
          <w:tcPr>
            <w:tcW w:w="709" w:type="dxa"/>
            <w:tcBorders>
              <w:top w:val="nil"/>
              <w:left w:val="nil"/>
              <w:bottom w:val="single" w:sz="8" w:space="0" w:color="auto"/>
              <w:right w:val="single" w:sz="4" w:space="0" w:color="auto"/>
            </w:tcBorders>
            <w:shd w:val="clear" w:color="000000" w:fill="FFC000"/>
            <w:noWrap/>
            <w:vAlign w:val="center"/>
            <w:hideMark/>
          </w:tcPr>
          <w:p w14:paraId="128120FB"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1,9</w:t>
            </w:r>
          </w:p>
        </w:tc>
        <w:tc>
          <w:tcPr>
            <w:tcW w:w="709" w:type="dxa"/>
            <w:tcBorders>
              <w:top w:val="nil"/>
              <w:left w:val="nil"/>
              <w:bottom w:val="single" w:sz="8" w:space="0" w:color="auto"/>
              <w:right w:val="single" w:sz="4" w:space="0" w:color="auto"/>
            </w:tcBorders>
            <w:shd w:val="clear" w:color="000000" w:fill="FFC000"/>
            <w:noWrap/>
            <w:vAlign w:val="center"/>
            <w:hideMark/>
          </w:tcPr>
          <w:p w14:paraId="7EDAE771"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1,3</w:t>
            </w:r>
          </w:p>
        </w:tc>
        <w:tc>
          <w:tcPr>
            <w:tcW w:w="708" w:type="dxa"/>
            <w:tcBorders>
              <w:top w:val="nil"/>
              <w:left w:val="nil"/>
              <w:bottom w:val="single" w:sz="8" w:space="0" w:color="auto"/>
              <w:right w:val="single" w:sz="4" w:space="0" w:color="auto"/>
            </w:tcBorders>
            <w:shd w:val="clear" w:color="000000" w:fill="FFC000"/>
            <w:noWrap/>
            <w:vAlign w:val="center"/>
            <w:hideMark/>
          </w:tcPr>
          <w:p w14:paraId="2EEDC4FA"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1,0</w:t>
            </w:r>
          </w:p>
        </w:tc>
        <w:tc>
          <w:tcPr>
            <w:tcW w:w="851" w:type="dxa"/>
            <w:tcBorders>
              <w:top w:val="nil"/>
              <w:left w:val="nil"/>
              <w:bottom w:val="single" w:sz="8" w:space="0" w:color="auto"/>
              <w:right w:val="single" w:sz="4" w:space="0" w:color="auto"/>
            </w:tcBorders>
            <w:shd w:val="clear" w:color="000000" w:fill="FFC000"/>
            <w:noWrap/>
            <w:vAlign w:val="center"/>
            <w:hideMark/>
          </w:tcPr>
          <w:p w14:paraId="72AA661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0,6</w:t>
            </w:r>
          </w:p>
        </w:tc>
        <w:tc>
          <w:tcPr>
            <w:tcW w:w="850" w:type="dxa"/>
            <w:tcBorders>
              <w:top w:val="nil"/>
              <w:left w:val="nil"/>
              <w:bottom w:val="single" w:sz="8" w:space="0" w:color="auto"/>
              <w:right w:val="single" w:sz="4" w:space="0" w:color="auto"/>
            </w:tcBorders>
            <w:shd w:val="clear" w:color="000000" w:fill="FFC000"/>
            <w:noWrap/>
            <w:vAlign w:val="center"/>
            <w:hideMark/>
          </w:tcPr>
          <w:p w14:paraId="0E1B4DD6"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0,5</w:t>
            </w:r>
          </w:p>
        </w:tc>
        <w:tc>
          <w:tcPr>
            <w:tcW w:w="851" w:type="dxa"/>
            <w:tcBorders>
              <w:top w:val="nil"/>
              <w:left w:val="nil"/>
              <w:bottom w:val="single" w:sz="8" w:space="0" w:color="auto"/>
              <w:right w:val="single" w:sz="8" w:space="0" w:color="auto"/>
            </w:tcBorders>
            <w:shd w:val="clear" w:color="000000" w:fill="FFC000"/>
            <w:noWrap/>
            <w:vAlign w:val="center"/>
            <w:hideMark/>
          </w:tcPr>
          <w:p w14:paraId="4885B753" w14:textId="77777777" w:rsidR="00EA051D" w:rsidRPr="002C5C8B" w:rsidRDefault="00EA051D" w:rsidP="008E6BAE">
            <w:pPr>
              <w:spacing w:after="0" w:line="240" w:lineRule="auto"/>
              <w:jc w:val="center"/>
              <w:rPr>
                <w:rFonts w:ascii="Times New Roman" w:eastAsia="Times New Roman" w:hAnsi="Times New Roman" w:cs="Times New Roman"/>
                <w:sz w:val="20"/>
                <w:szCs w:val="20"/>
              </w:rPr>
            </w:pPr>
            <w:r w:rsidRPr="002C5C8B">
              <w:rPr>
                <w:rFonts w:ascii="Times New Roman" w:eastAsia="Times New Roman" w:hAnsi="Times New Roman" w:cs="Times New Roman"/>
                <w:sz w:val="20"/>
                <w:szCs w:val="20"/>
              </w:rPr>
              <w:t>0,4</w:t>
            </w:r>
          </w:p>
        </w:tc>
      </w:tr>
    </w:tbl>
    <w:p w14:paraId="0D6483A9" w14:textId="77777777" w:rsidR="00B6449F" w:rsidRDefault="00B6449F" w:rsidP="00EA051D">
      <w:pPr>
        <w:rPr>
          <w:rFonts w:ascii="Times New Roman" w:hAnsi="Times New Roman" w:cs="Times New Roman"/>
        </w:rPr>
      </w:pPr>
    </w:p>
    <w:p w14:paraId="2E72E5BC" w14:textId="193B3446" w:rsidR="00603B7B" w:rsidRDefault="00EA051D" w:rsidP="002C5C8B">
      <w:pPr>
        <w:ind w:firstLine="48"/>
        <w:rPr>
          <w:rFonts w:ascii="Times New Roman" w:hAnsi="Times New Roman" w:cs="Times New Roman"/>
        </w:rPr>
      </w:pPr>
      <w:r w:rsidRPr="00B6449F">
        <w:rPr>
          <w:rFonts w:ascii="Times New Roman" w:hAnsi="Times New Roman" w:cs="Times New Roman"/>
        </w:rPr>
        <w:t>Novērtējot alternatīvas izmaksas 4.</w:t>
      </w:r>
      <w:r w:rsidR="00DE411E">
        <w:rPr>
          <w:rFonts w:ascii="Times New Roman" w:hAnsi="Times New Roman" w:cs="Times New Roman"/>
        </w:rPr>
        <w:t>4.3</w:t>
      </w:r>
      <w:r w:rsidRPr="00B6449F">
        <w:rPr>
          <w:rFonts w:ascii="Times New Roman" w:hAnsi="Times New Roman" w:cs="Times New Roman"/>
        </w:rPr>
        <w:t>.tabulā var secināt, ka lielākie izdevumi ir nevis par biogāzes staciju izveidi un ekspluatāciju, bet fugāta attīrīšanu, kas šo alternatīvu padara izmaksu ziņā nepiemērotu un dārgu. Veiktie aprēķini ļauj secināt, ka Latvijas kopējais notekūdeņu dūņu apjoms ir pietiekošs tikai vienas vidēji 2,0 MW</w:t>
      </w:r>
      <w:r w:rsidR="00283E98">
        <w:rPr>
          <w:rFonts w:ascii="Times New Roman" w:hAnsi="Times New Roman" w:cs="Times New Roman"/>
        </w:rPr>
        <w:t>h</w:t>
      </w:r>
      <w:r w:rsidRPr="00B6449F">
        <w:rPr>
          <w:rFonts w:ascii="Times New Roman" w:hAnsi="Times New Roman" w:cs="Times New Roman"/>
        </w:rPr>
        <w:t xml:space="preserve"> lielas biogāzes stacijas izbūvei (neskaitot BAS </w:t>
      </w:r>
      <w:r w:rsidR="00FC04DB" w:rsidRPr="00B6449F">
        <w:rPr>
          <w:rFonts w:ascii="Times New Roman" w:hAnsi="Times New Roman" w:cs="Times New Roman"/>
        </w:rPr>
        <w:t>“</w:t>
      </w:r>
      <w:r w:rsidRPr="00B6449F">
        <w:rPr>
          <w:rFonts w:ascii="Times New Roman" w:hAnsi="Times New Roman" w:cs="Times New Roman"/>
        </w:rPr>
        <w:t>Daugavgrīva</w:t>
      </w:r>
      <w:r w:rsidR="00FC04DB" w:rsidRPr="00B6449F">
        <w:rPr>
          <w:rFonts w:ascii="Times New Roman" w:hAnsi="Times New Roman" w:cs="Times New Roman"/>
        </w:rPr>
        <w:t xml:space="preserve">” </w:t>
      </w:r>
      <w:r w:rsidRPr="00B6449F">
        <w:rPr>
          <w:rFonts w:ascii="Times New Roman" w:hAnsi="Times New Roman" w:cs="Times New Roman"/>
        </w:rPr>
        <w:t>radīto</w:t>
      </w:r>
      <w:r w:rsidR="00FC04DB" w:rsidRPr="00B6449F">
        <w:rPr>
          <w:rFonts w:ascii="Times New Roman" w:hAnsi="Times New Roman" w:cs="Times New Roman"/>
        </w:rPr>
        <w:t xml:space="preserve"> notekūdeņu</w:t>
      </w:r>
      <w:r w:rsidRPr="00B6449F">
        <w:rPr>
          <w:rFonts w:ascii="Times New Roman" w:hAnsi="Times New Roman" w:cs="Times New Roman"/>
        </w:rPr>
        <w:t xml:space="preserve"> dūņu apjomu), kas būtiski palielina arī dūņu transportēšanas izmaksas.</w:t>
      </w:r>
    </w:p>
    <w:p w14:paraId="0C583BB0" w14:textId="77777777" w:rsidR="0033498C" w:rsidRDefault="0033498C" w:rsidP="002C5C8B">
      <w:pPr>
        <w:ind w:firstLine="48"/>
        <w:rPr>
          <w:rFonts w:ascii="Times New Roman" w:hAnsi="Times New Roman" w:cs="Times New Roman"/>
        </w:rPr>
      </w:pPr>
    </w:p>
    <w:p w14:paraId="362C9461" w14:textId="77777777" w:rsidR="007503CB" w:rsidRPr="009B0439" w:rsidRDefault="007503CB" w:rsidP="002C5C8B">
      <w:pPr>
        <w:ind w:firstLine="48"/>
        <w:rPr>
          <w:rFonts w:ascii="Times New Roman" w:hAnsi="Times New Roman" w:cs="Times New Roman"/>
        </w:rPr>
      </w:pPr>
    </w:p>
    <w:p w14:paraId="337DB669" w14:textId="63E03DEA" w:rsidR="006D1E47" w:rsidRPr="00DE411E" w:rsidRDefault="00DE411E" w:rsidP="00DE411E">
      <w:pPr>
        <w:pBdr>
          <w:top w:val="nil"/>
          <w:left w:val="nil"/>
          <w:bottom w:val="nil"/>
          <w:right w:val="nil"/>
          <w:between w:val="nil"/>
        </w:pBdr>
        <w:suppressAutoHyphens/>
        <w:autoSpaceDN w:val="0"/>
        <w:spacing w:after="0"/>
        <w:ind w:left="48"/>
        <w:jc w:val="right"/>
        <w:textAlignment w:val="baseline"/>
        <w:rPr>
          <w:rFonts w:ascii="Times New Roman" w:hAnsi="Times New Roman" w:cs="Times New Roman"/>
          <w:bCs/>
          <w:color w:val="000000"/>
          <w:szCs w:val="24"/>
        </w:rPr>
      </w:pPr>
      <w:r>
        <w:rPr>
          <w:rFonts w:ascii="Times New Roman" w:hAnsi="Times New Roman" w:cs="Times New Roman"/>
          <w:bCs/>
          <w:color w:val="000000"/>
          <w:szCs w:val="24"/>
        </w:rPr>
        <w:lastRenderedPageBreak/>
        <w:t>4.4.4.</w:t>
      </w:r>
      <w:r w:rsidR="00EA051D" w:rsidRPr="00DE411E">
        <w:rPr>
          <w:rFonts w:ascii="Times New Roman" w:hAnsi="Times New Roman" w:cs="Times New Roman"/>
          <w:bCs/>
          <w:color w:val="000000"/>
          <w:szCs w:val="24"/>
        </w:rPr>
        <w:t>tabula</w:t>
      </w:r>
    </w:p>
    <w:p w14:paraId="7620E009" w14:textId="2BD96FDF" w:rsidR="00EA051D" w:rsidRPr="00305705" w:rsidRDefault="00EA051D" w:rsidP="00305705">
      <w:pPr>
        <w:pBdr>
          <w:top w:val="nil"/>
          <w:left w:val="nil"/>
          <w:bottom w:val="nil"/>
          <w:right w:val="nil"/>
          <w:between w:val="nil"/>
        </w:pBdr>
        <w:suppressAutoHyphens/>
        <w:autoSpaceDN w:val="0"/>
        <w:spacing w:after="0"/>
        <w:ind w:left="48"/>
        <w:jc w:val="center"/>
        <w:textAlignment w:val="baseline"/>
        <w:rPr>
          <w:rFonts w:ascii="Times New Roman" w:hAnsi="Times New Roman" w:cs="Times New Roman"/>
          <w:b/>
          <w:color w:val="000000"/>
          <w:szCs w:val="24"/>
        </w:rPr>
      </w:pPr>
      <w:r w:rsidRPr="00305705">
        <w:rPr>
          <w:rFonts w:ascii="Times New Roman" w:hAnsi="Times New Roman" w:cs="Times New Roman"/>
          <w:b/>
          <w:color w:val="000000"/>
          <w:szCs w:val="24"/>
        </w:rPr>
        <w:t xml:space="preserve">Slapju </w:t>
      </w:r>
      <w:r w:rsidR="00FC04DB" w:rsidRPr="00305705">
        <w:rPr>
          <w:rFonts w:ascii="Times New Roman" w:hAnsi="Times New Roman" w:cs="Times New Roman"/>
          <w:b/>
          <w:color w:val="000000"/>
          <w:szCs w:val="24"/>
        </w:rPr>
        <w:t xml:space="preserve">notekūdeņu </w:t>
      </w:r>
      <w:r w:rsidRPr="00305705">
        <w:rPr>
          <w:rFonts w:ascii="Times New Roman" w:hAnsi="Times New Roman" w:cs="Times New Roman"/>
          <w:b/>
          <w:color w:val="000000"/>
          <w:szCs w:val="24"/>
        </w:rPr>
        <w:t xml:space="preserve">dūņu (1% sausna) pārstrādes izmaksas biogāzes stacijās, EUR gadā </w:t>
      </w:r>
      <w:r w:rsidR="004E5105" w:rsidRPr="004E5105">
        <w:rPr>
          <w:rFonts w:ascii="Times New Roman" w:hAnsi="Times New Roman" w:cs="Times New Roman"/>
          <w:b/>
          <w:bCs/>
        </w:rPr>
        <w:t xml:space="preserve">(skat. pielikumu </w:t>
      </w:r>
      <w:r w:rsidR="004E5105" w:rsidRPr="004E5105">
        <w:rPr>
          <w:rFonts w:ascii="Times New Roman" w:hAnsi="Times New Roman" w:cs="Times New Roman"/>
          <w:b/>
          <w:bCs/>
          <w:szCs w:val="24"/>
        </w:rPr>
        <w:t>4.7. Finanšu aprēķini “1. Dažādu notekūdeņu dūņu apstrādes veidu izmaksas”</w:t>
      </w:r>
      <w:r w:rsidR="004E5105" w:rsidRPr="004E5105">
        <w:rPr>
          <w:rFonts w:ascii="Times New Roman" w:hAnsi="Times New Roman" w:cs="Times New Roman"/>
          <w:b/>
          <w:bCs/>
        </w:rPr>
        <w:t>)</w:t>
      </w:r>
    </w:p>
    <w:tbl>
      <w:tblPr>
        <w:tblStyle w:val="34"/>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992"/>
        <w:gridCol w:w="992"/>
        <w:gridCol w:w="1134"/>
        <w:gridCol w:w="1134"/>
        <w:gridCol w:w="1134"/>
        <w:gridCol w:w="1134"/>
        <w:gridCol w:w="851"/>
      </w:tblGrid>
      <w:tr w:rsidR="00EA051D" w:rsidRPr="00305705" w14:paraId="3C46D61A" w14:textId="77777777" w:rsidTr="00305705">
        <w:trPr>
          <w:trHeight w:val="518"/>
        </w:trPr>
        <w:tc>
          <w:tcPr>
            <w:tcW w:w="1276" w:type="dxa"/>
          </w:tcPr>
          <w:p w14:paraId="663FBC78" w14:textId="77777777" w:rsidR="00EA051D" w:rsidRPr="00305705" w:rsidRDefault="00EA051D" w:rsidP="008E6BAE">
            <w:pPr>
              <w:jc w:val="center"/>
              <w:rPr>
                <w:rFonts w:ascii="Times New Roman" w:hAnsi="Times New Roman" w:cs="Times New Roman"/>
                <w:b/>
                <w:sz w:val="20"/>
                <w:szCs w:val="20"/>
                <w:vertAlign w:val="superscript"/>
              </w:rPr>
            </w:pPr>
            <w:r w:rsidRPr="00305705">
              <w:rPr>
                <w:rFonts w:ascii="Times New Roman" w:hAnsi="Times New Roman" w:cs="Times New Roman"/>
                <w:b/>
                <w:sz w:val="20"/>
                <w:szCs w:val="20"/>
              </w:rPr>
              <w:t>Slapju dūņu (1% sausna) m</w:t>
            </w:r>
            <w:r w:rsidRPr="00305705">
              <w:rPr>
                <w:rFonts w:ascii="Times New Roman" w:hAnsi="Times New Roman" w:cs="Times New Roman"/>
                <w:b/>
                <w:sz w:val="20"/>
                <w:szCs w:val="20"/>
                <w:vertAlign w:val="superscript"/>
              </w:rPr>
              <w:t>3</w:t>
            </w:r>
          </w:p>
        </w:tc>
        <w:tc>
          <w:tcPr>
            <w:tcW w:w="992" w:type="dxa"/>
            <w:vAlign w:val="center"/>
          </w:tcPr>
          <w:p w14:paraId="362E2388"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310 000</w:t>
            </w:r>
          </w:p>
        </w:tc>
        <w:tc>
          <w:tcPr>
            <w:tcW w:w="992" w:type="dxa"/>
            <w:vAlign w:val="center"/>
          </w:tcPr>
          <w:p w14:paraId="2315ED61"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619 200</w:t>
            </w:r>
          </w:p>
        </w:tc>
        <w:tc>
          <w:tcPr>
            <w:tcW w:w="1134" w:type="dxa"/>
            <w:vAlign w:val="center"/>
          </w:tcPr>
          <w:p w14:paraId="1B4054F8"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928 800</w:t>
            </w:r>
          </w:p>
        </w:tc>
        <w:tc>
          <w:tcPr>
            <w:tcW w:w="1134" w:type="dxa"/>
            <w:vAlign w:val="center"/>
          </w:tcPr>
          <w:p w14:paraId="0E086073"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1 238 400</w:t>
            </w:r>
          </w:p>
        </w:tc>
        <w:tc>
          <w:tcPr>
            <w:tcW w:w="1134" w:type="dxa"/>
            <w:vAlign w:val="center"/>
          </w:tcPr>
          <w:p w14:paraId="7268D1A6"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1 857 600</w:t>
            </w:r>
          </w:p>
        </w:tc>
        <w:tc>
          <w:tcPr>
            <w:tcW w:w="1134" w:type="dxa"/>
            <w:vAlign w:val="center"/>
          </w:tcPr>
          <w:p w14:paraId="3A3FBE26"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2 476 800</w:t>
            </w:r>
          </w:p>
        </w:tc>
        <w:tc>
          <w:tcPr>
            <w:tcW w:w="851" w:type="dxa"/>
            <w:vAlign w:val="center"/>
          </w:tcPr>
          <w:p w14:paraId="3A6E8090" w14:textId="77777777" w:rsidR="00EA051D" w:rsidRPr="00305705" w:rsidRDefault="00EA051D" w:rsidP="008E6BAE">
            <w:pPr>
              <w:jc w:val="center"/>
              <w:rPr>
                <w:rFonts w:ascii="Times New Roman" w:hAnsi="Times New Roman" w:cs="Times New Roman"/>
                <w:b/>
                <w:sz w:val="20"/>
                <w:szCs w:val="20"/>
              </w:rPr>
            </w:pPr>
            <w:r w:rsidRPr="00305705">
              <w:rPr>
                <w:rFonts w:ascii="Times New Roman" w:eastAsia="Times New Roman" w:hAnsi="Times New Roman" w:cs="Times New Roman"/>
                <w:b/>
                <w:sz w:val="20"/>
                <w:szCs w:val="20"/>
                <w:lang w:eastAsia="en-US"/>
              </w:rPr>
              <w:t>3 096 000</w:t>
            </w:r>
          </w:p>
        </w:tc>
      </w:tr>
      <w:tr w:rsidR="00EA051D" w:rsidRPr="00305705" w14:paraId="4B79611D" w14:textId="77777777" w:rsidTr="00305705">
        <w:tc>
          <w:tcPr>
            <w:tcW w:w="1276" w:type="dxa"/>
          </w:tcPr>
          <w:p w14:paraId="0490695B" w14:textId="77777777" w:rsidR="00EA051D" w:rsidRPr="00305705" w:rsidRDefault="00EA051D" w:rsidP="008E6BAE">
            <w:pPr>
              <w:rPr>
                <w:rFonts w:ascii="Times New Roman" w:hAnsi="Times New Roman" w:cs="Times New Roman"/>
                <w:sz w:val="20"/>
                <w:szCs w:val="20"/>
              </w:rPr>
            </w:pPr>
            <w:r w:rsidRPr="00305705">
              <w:rPr>
                <w:rFonts w:ascii="Times New Roman" w:hAnsi="Times New Roman" w:cs="Times New Roman"/>
                <w:sz w:val="20"/>
                <w:szCs w:val="20"/>
              </w:rPr>
              <w:t>Ar fugāta attīrīšanu</w:t>
            </w:r>
          </w:p>
        </w:tc>
        <w:tc>
          <w:tcPr>
            <w:tcW w:w="992" w:type="dxa"/>
            <w:vAlign w:val="center"/>
          </w:tcPr>
          <w:p w14:paraId="33268D98"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584 850</w:t>
            </w:r>
          </w:p>
        </w:tc>
        <w:tc>
          <w:tcPr>
            <w:tcW w:w="992" w:type="dxa"/>
            <w:vAlign w:val="center"/>
          </w:tcPr>
          <w:p w14:paraId="6912C946"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839 300</w:t>
            </w:r>
          </w:p>
        </w:tc>
        <w:tc>
          <w:tcPr>
            <w:tcW w:w="1134" w:type="dxa"/>
            <w:vAlign w:val="center"/>
          </w:tcPr>
          <w:p w14:paraId="10C06018"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1 321 450</w:t>
            </w:r>
          </w:p>
        </w:tc>
        <w:tc>
          <w:tcPr>
            <w:tcW w:w="1134" w:type="dxa"/>
            <w:vAlign w:val="center"/>
          </w:tcPr>
          <w:p w14:paraId="3F332E25"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2 017 800</w:t>
            </w:r>
          </w:p>
        </w:tc>
        <w:tc>
          <w:tcPr>
            <w:tcW w:w="1134" w:type="dxa"/>
            <w:vAlign w:val="center"/>
          </w:tcPr>
          <w:p w14:paraId="297E087A"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2 220 450</w:t>
            </w:r>
          </w:p>
        </w:tc>
        <w:tc>
          <w:tcPr>
            <w:tcW w:w="1134" w:type="dxa"/>
            <w:vAlign w:val="center"/>
          </w:tcPr>
          <w:p w14:paraId="6317EB49"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2 926 500</w:t>
            </w:r>
          </w:p>
        </w:tc>
        <w:tc>
          <w:tcPr>
            <w:tcW w:w="851" w:type="dxa"/>
            <w:vAlign w:val="center"/>
          </w:tcPr>
          <w:p w14:paraId="27AA4DDA"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color w:val="000000"/>
                <w:sz w:val="20"/>
                <w:szCs w:val="20"/>
              </w:rPr>
              <w:t>3 798 750</w:t>
            </w:r>
          </w:p>
        </w:tc>
      </w:tr>
      <w:tr w:rsidR="00EA051D" w:rsidRPr="00305705" w14:paraId="0BFEE791" w14:textId="77777777" w:rsidTr="00305705">
        <w:tc>
          <w:tcPr>
            <w:tcW w:w="1276" w:type="dxa"/>
          </w:tcPr>
          <w:p w14:paraId="0A8F62DD" w14:textId="77777777" w:rsidR="00EA051D" w:rsidRPr="00305705" w:rsidRDefault="00EA051D" w:rsidP="008E6BAE">
            <w:pPr>
              <w:rPr>
                <w:rFonts w:ascii="Times New Roman" w:hAnsi="Times New Roman" w:cs="Times New Roman"/>
                <w:sz w:val="20"/>
                <w:szCs w:val="20"/>
              </w:rPr>
            </w:pPr>
            <w:r w:rsidRPr="00305705">
              <w:rPr>
                <w:rFonts w:ascii="Times New Roman" w:hAnsi="Times New Roman" w:cs="Times New Roman"/>
                <w:sz w:val="20"/>
                <w:szCs w:val="20"/>
              </w:rPr>
              <w:t>Bez fugāta attīrīšanas</w:t>
            </w:r>
          </w:p>
        </w:tc>
        <w:tc>
          <w:tcPr>
            <w:tcW w:w="992" w:type="dxa"/>
            <w:vAlign w:val="center"/>
          </w:tcPr>
          <w:p w14:paraId="39D07D25"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sz w:val="20"/>
                <w:szCs w:val="20"/>
              </w:rPr>
              <w:t>209 850</w:t>
            </w:r>
          </w:p>
        </w:tc>
        <w:tc>
          <w:tcPr>
            <w:tcW w:w="992" w:type="dxa"/>
            <w:vAlign w:val="center"/>
          </w:tcPr>
          <w:p w14:paraId="0E5DCB83"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sz w:val="20"/>
                <w:szCs w:val="20"/>
              </w:rPr>
              <w:t>89 300</w:t>
            </w:r>
          </w:p>
        </w:tc>
        <w:tc>
          <w:tcPr>
            <w:tcW w:w="1134" w:type="dxa"/>
            <w:vAlign w:val="center"/>
          </w:tcPr>
          <w:p w14:paraId="3F55169D"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sz w:val="20"/>
                <w:szCs w:val="20"/>
              </w:rPr>
              <w:t>-28 550*</w:t>
            </w:r>
          </w:p>
        </w:tc>
        <w:tc>
          <w:tcPr>
            <w:tcW w:w="1134" w:type="dxa"/>
            <w:vAlign w:val="center"/>
          </w:tcPr>
          <w:p w14:paraId="3E515D73"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sz w:val="20"/>
                <w:szCs w:val="20"/>
              </w:rPr>
              <w:t>-157 200*</w:t>
            </w:r>
          </w:p>
        </w:tc>
        <w:tc>
          <w:tcPr>
            <w:tcW w:w="1134" w:type="dxa"/>
            <w:vAlign w:val="center"/>
          </w:tcPr>
          <w:p w14:paraId="527AEB81"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sz w:val="20"/>
                <w:szCs w:val="20"/>
              </w:rPr>
              <w:t>-479 550*</w:t>
            </w:r>
          </w:p>
        </w:tc>
        <w:tc>
          <w:tcPr>
            <w:tcW w:w="1134" w:type="dxa"/>
            <w:vAlign w:val="center"/>
          </w:tcPr>
          <w:p w14:paraId="50A98ED3" w14:textId="77777777" w:rsidR="00EA051D" w:rsidRPr="00305705" w:rsidRDefault="00EA051D" w:rsidP="008E6BAE">
            <w:pPr>
              <w:jc w:val="center"/>
              <w:rPr>
                <w:rFonts w:ascii="Times New Roman" w:hAnsi="Times New Roman" w:cs="Times New Roman"/>
                <w:b/>
                <w:sz w:val="20"/>
                <w:szCs w:val="20"/>
              </w:rPr>
            </w:pPr>
            <w:r w:rsidRPr="00305705">
              <w:rPr>
                <w:rFonts w:ascii="Times New Roman" w:hAnsi="Times New Roman" w:cs="Times New Roman"/>
                <w:sz w:val="20"/>
                <w:szCs w:val="20"/>
              </w:rPr>
              <w:t>-823 500*</w:t>
            </w:r>
          </w:p>
        </w:tc>
        <w:tc>
          <w:tcPr>
            <w:tcW w:w="851" w:type="dxa"/>
            <w:vAlign w:val="center"/>
          </w:tcPr>
          <w:p w14:paraId="13D92220" w14:textId="77777777" w:rsidR="00EA051D" w:rsidRPr="00305705" w:rsidRDefault="00EA051D" w:rsidP="008E6BAE">
            <w:pPr>
              <w:ind w:left="-130" w:right="-104"/>
              <w:jc w:val="center"/>
              <w:rPr>
                <w:rFonts w:ascii="Times New Roman" w:hAnsi="Times New Roman" w:cs="Times New Roman"/>
                <w:b/>
                <w:sz w:val="20"/>
                <w:szCs w:val="20"/>
              </w:rPr>
            </w:pPr>
            <w:r w:rsidRPr="00305705">
              <w:rPr>
                <w:rFonts w:ascii="Times New Roman" w:hAnsi="Times New Roman" w:cs="Times New Roman"/>
                <w:sz w:val="20"/>
                <w:szCs w:val="20"/>
              </w:rPr>
              <w:t>-1 151 250*</w:t>
            </w:r>
          </w:p>
        </w:tc>
      </w:tr>
    </w:tbl>
    <w:p w14:paraId="4D065328" w14:textId="77777777" w:rsidR="00EA051D" w:rsidRPr="00305705" w:rsidRDefault="00EA051D" w:rsidP="00EA051D">
      <w:pPr>
        <w:spacing w:after="0"/>
        <w:ind w:left="360"/>
        <w:rPr>
          <w:rFonts w:ascii="Times New Roman" w:hAnsi="Times New Roman" w:cs="Times New Roman"/>
          <w:sz w:val="20"/>
        </w:rPr>
      </w:pPr>
      <w:r w:rsidRPr="00305705">
        <w:rPr>
          <w:rFonts w:ascii="Times New Roman" w:hAnsi="Times New Roman" w:cs="Times New Roman"/>
          <w:sz w:val="20"/>
        </w:rPr>
        <w:t>*) Izmaksas ir mazākas par ieņēmumiem, veidojas peļņa</w:t>
      </w:r>
    </w:p>
    <w:p w14:paraId="75C9B15A" w14:textId="77777777" w:rsidR="002C5C8B" w:rsidRPr="00175DD0" w:rsidRDefault="002C5C8B" w:rsidP="00EA051D">
      <w:pPr>
        <w:spacing w:after="0"/>
        <w:ind w:left="360"/>
        <w:rPr>
          <w:rFonts w:cstheme="minorHAnsi"/>
          <w:b/>
        </w:rPr>
      </w:pPr>
    </w:p>
    <w:p w14:paraId="50BA403E" w14:textId="77777777" w:rsidR="00EA051D" w:rsidRPr="002C5C8B" w:rsidRDefault="00EA051D" w:rsidP="002C5C8B">
      <w:pPr>
        <w:jc w:val="center"/>
        <w:rPr>
          <w:rFonts w:ascii="Times New Roman" w:hAnsi="Times New Roman" w:cs="Times New Roman"/>
          <w:u w:val="single"/>
        </w:rPr>
      </w:pPr>
      <w:bookmarkStart w:id="102" w:name="_Toc82277638"/>
      <w:r w:rsidRPr="002C5C8B">
        <w:rPr>
          <w:rFonts w:ascii="Times New Roman" w:hAnsi="Times New Roman" w:cs="Times New Roman"/>
          <w:u w:val="single"/>
        </w:rPr>
        <w:t>Notekūdeņu dūņu pārstrādes laikā radušos smaku novēršana</w:t>
      </w:r>
      <w:bookmarkEnd w:id="102"/>
    </w:p>
    <w:p w14:paraId="143F6125" w14:textId="77777777" w:rsidR="00EA051D" w:rsidRPr="00C5249A" w:rsidRDefault="00EA051D" w:rsidP="00C5249A">
      <w:pPr>
        <w:ind w:firstLine="720"/>
        <w:rPr>
          <w:rFonts w:ascii="Times New Roman" w:hAnsi="Times New Roman" w:cs="Times New Roman"/>
        </w:rPr>
      </w:pPr>
      <w:r w:rsidRPr="00C5249A">
        <w:rPr>
          <w:rFonts w:ascii="Times New Roman" w:hAnsi="Times New Roman" w:cs="Times New Roman"/>
        </w:rPr>
        <w:t>Notekūdeņu dūņu pārstrādes laikā notiek būtiskas kanalizācijai raksturīgu smaku emisijas, kas ir ne tikai ļoti nepatīkamas, bet ir uzskatāmas arī par vides piesārņojumu. SPS nereti saņem sūdzības par šādu smaku izplatību no NAI vai citas ar tām saistītās infrastruktūras, tāpēc organizējot notekūdeņu dūņu pārstrādi notekūdeņu dūņu laukos, smaku izplatības novēršana būs viens no izaicinājumiem notekūdeņu dūņu pārstrādē, īpaši vietās, kur NAI tuvumā ir koncentrēta blīva apbūve.</w:t>
      </w:r>
    </w:p>
    <w:p w14:paraId="5E7E7B04" w14:textId="77777777" w:rsidR="00EA051D" w:rsidRPr="00C5249A" w:rsidRDefault="00EA051D" w:rsidP="00C5249A">
      <w:pPr>
        <w:ind w:firstLine="720"/>
        <w:rPr>
          <w:rFonts w:ascii="Times New Roman" w:hAnsi="Times New Roman" w:cs="Times New Roman"/>
        </w:rPr>
      </w:pPr>
      <w:r w:rsidRPr="00C5249A">
        <w:rPr>
          <w:rFonts w:ascii="Times New Roman" w:hAnsi="Times New Roman" w:cs="Times New Roman"/>
        </w:rPr>
        <w:t>Viens no risinājumiem būtiskai smaku izplatības mazināšanai ir veidot slēgtus dūņu pārstrādes laukumus, kas palīdz ierobežot smaku izplatību ar vēju, tomēr nav pietiekošs risinājums. Notekūdeņu dūņu pārstrādes rezultātā izdalītās smakas un citas gāzveida vielas slēgtā dūņu pārstrādes centrā uzkrājās un ir kaitīgas darbiniekiem, tehnoloģiskajām iekārtām un veido nepiemērotus darba apstākļus, tāpēc, lai mazinātu smaku un citu kaitīgu vielu uzkrāšanos, slēgtos dūņu pārstrādes laukumos ir jāpielieto dažādi smaku novēršanas tehniskie risinājumi.</w:t>
      </w:r>
    </w:p>
    <w:p w14:paraId="35423999" w14:textId="6A6D0D3A" w:rsidR="00EA051D" w:rsidRPr="00C5249A" w:rsidRDefault="00EA051D" w:rsidP="00C5249A">
      <w:pPr>
        <w:ind w:firstLine="720"/>
        <w:rPr>
          <w:rFonts w:ascii="Times New Roman" w:hAnsi="Times New Roman" w:cs="Times New Roman"/>
        </w:rPr>
      </w:pPr>
      <w:r w:rsidRPr="00C5249A">
        <w:rPr>
          <w:rFonts w:ascii="Times New Roman" w:hAnsi="Times New Roman" w:cs="Times New Roman"/>
        </w:rPr>
        <w:t>Viens no risinājumiem ir smaku savākšana ar smalku ūdens pilienu palīdzību, kam pievienotas īpašas smaku un gāzu uztveršanas saistvielas. Šādu smaku savākšanas risinājumu nodrošina vairākas Latvijas un Eiropas kompānijas. Atsevišķ</w:t>
      </w:r>
      <w:r w:rsidR="00FC04DB" w:rsidRPr="00C5249A">
        <w:rPr>
          <w:rFonts w:ascii="Times New Roman" w:hAnsi="Times New Roman" w:cs="Times New Roman"/>
        </w:rPr>
        <w:t xml:space="preserve">ās NAI </w:t>
      </w:r>
      <w:r w:rsidRPr="00C5249A">
        <w:rPr>
          <w:rFonts w:ascii="Times New Roman" w:hAnsi="Times New Roman" w:cs="Times New Roman"/>
        </w:rPr>
        <w:t>Latvijā šādas iekārtas jau tiek izmantotas un uzrāda ļoti labus rezultātus. Šīs sistēmas izveidošanai ir nepieciešams izbūvēt ūdens pilienu izsmidzināšanas sistēmu un nodrošināt tās uzturēšanu. Uzturēšanas izmaksas, galvenokārt, veido izdevumi par elektrību, ūdeni un pievienojamo saistvielu.</w:t>
      </w:r>
    </w:p>
    <w:p w14:paraId="48A860B3" w14:textId="77777777" w:rsidR="00EA051D" w:rsidRPr="00C5249A" w:rsidRDefault="00EA051D" w:rsidP="00C5249A">
      <w:pPr>
        <w:ind w:firstLine="720"/>
        <w:rPr>
          <w:rFonts w:ascii="Times New Roman" w:hAnsi="Times New Roman" w:cs="Times New Roman"/>
        </w:rPr>
      </w:pPr>
      <w:r w:rsidRPr="00C5249A">
        <w:rPr>
          <w:rFonts w:ascii="Times New Roman" w:hAnsi="Times New Roman" w:cs="Times New Roman"/>
        </w:rPr>
        <w:t xml:space="preserve">Cits risinājums ir slēgtā dūņu lauka teritorijā ierīkot smaku un gāzu savākšanas sistēmu. To veido dūņu centrā izbūvētā gaisa ventilācijas sistēma, kas savāc dūņu centrā esošās smakas un gāzveida vielas, kā arī piegādā svaigu gaisu. Pēc gāzu un smaku savākšanas ar piespiedu ventilācijas sūkņu palīdzību tās tiek novadītas uz filtriem, kas veic smaku un gāzu attīrīšanu. Izmaksas šādā gadījumā veido, galvenokārt, sākotnējās ventilācijas sistēmas un filtru ierīkošanas izmaksas, bet uzturēšanas laikā izmaksas par elektrību un filtru </w:t>
      </w:r>
      <w:r w:rsidRPr="00C5249A">
        <w:rPr>
          <w:rFonts w:ascii="Times New Roman" w:hAnsi="Times New Roman" w:cs="Times New Roman"/>
        </w:rPr>
        <w:lastRenderedPageBreak/>
        <w:t>uzturēšanu. Kopējais novadāmais un attīrāmais gaisa daudzums (m</w:t>
      </w:r>
      <w:r w:rsidRPr="00C5249A">
        <w:rPr>
          <w:rFonts w:ascii="Times New Roman" w:hAnsi="Times New Roman" w:cs="Times New Roman"/>
          <w:vertAlign w:val="superscript"/>
        </w:rPr>
        <w:t>3</w:t>
      </w:r>
      <w:r w:rsidRPr="00C5249A">
        <w:rPr>
          <w:rFonts w:ascii="Times New Roman" w:hAnsi="Times New Roman" w:cs="Times New Roman"/>
        </w:rPr>
        <w:t>) būs ļoti liels, jo notekūdeņu dūņas ir koncentrēts smaku un gāzveida vielu emisiju avots, bet dūņu lauku platības un attiecīgi ēkas tilpums liels.</w:t>
      </w:r>
    </w:p>
    <w:p w14:paraId="7E927CC1" w14:textId="77777777" w:rsidR="00EA051D" w:rsidRPr="00C5249A" w:rsidRDefault="00EA051D" w:rsidP="00C5249A">
      <w:pPr>
        <w:ind w:firstLine="720"/>
        <w:rPr>
          <w:rFonts w:ascii="Times New Roman" w:hAnsi="Times New Roman" w:cs="Times New Roman"/>
        </w:rPr>
      </w:pPr>
      <w:r w:rsidRPr="00C5249A">
        <w:rPr>
          <w:rFonts w:ascii="Times New Roman" w:hAnsi="Times New Roman" w:cs="Times New Roman"/>
        </w:rPr>
        <w:t>Ir izstrādāti un pieejami arī vairākas uz atšķirīgiem principiem strādājošas smaku novēršanas sistēmas, piemēram, UV gaisma, ozonēšana, aktīvās ogles filtrēšana u.c. kurām ir savas priekšrocības un trūkumi. Dūņu pārstrādes centru izveidošanas laikā smakām ir nepieciešams pievērst īpašu uzmanību un rast katrai situācijai atbilstošāko risinājumu, lai mazinātu smaku emisiju apkārtējā vidē.</w:t>
      </w:r>
    </w:p>
    <w:p w14:paraId="54C8EE20" w14:textId="77777777" w:rsidR="00EA051D" w:rsidRPr="00C5249A" w:rsidRDefault="00EA051D" w:rsidP="00C5249A">
      <w:pPr>
        <w:jc w:val="center"/>
        <w:rPr>
          <w:rFonts w:ascii="Times New Roman" w:hAnsi="Times New Roman" w:cs="Times New Roman"/>
          <w:u w:val="single"/>
        </w:rPr>
      </w:pPr>
      <w:bookmarkStart w:id="103" w:name="_Toc82277639"/>
      <w:r w:rsidRPr="00C5249A">
        <w:rPr>
          <w:rFonts w:ascii="Times New Roman" w:hAnsi="Times New Roman" w:cs="Times New Roman"/>
          <w:u w:val="single"/>
        </w:rPr>
        <w:t>Notekūdeņu dūņu pārstrādes alternatīvu izmaksu salīdzinājums</w:t>
      </w:r>
      <w:bookmarkEnd w:id="103"/>
    </w:p>
    <w:p w14:paraId="3B641EC3" w14:textId="537C7B04" w:rsidR="00EA051D" w:rsidRPr="00C5249A" w:rsidRDefault="00FC04DB" w:rsidP="00C5249A">
      <w:pPr>
        <w:ind w:firstLine="720"/>
        <w:rPr>
          <w:rFonts w:ascii="Times New Roman" w:hAnsi="Times New Roman" w:cs="Times New Roman"/>
        </w:rPr>
      </w:pPr>
      <w:r w:rsidRPr="00C5249A">
        <w:rPr>
          <w:rFonts w:ascii="Times New Roman" w:hAnsi="Times New Roman" w:cs="Times New Roman"/>
        </w:rPr>
        <w:t>Notekūdeņu d</w:t>
      </w:r>
      <w:r w:rsidR="00EA051D" w:rsidRPr="00C5249A">
        <w:rPr>
          <w:rFonts w:ascii="Times New Roman" w:hAnsi="Times New Roman" w:cs="Times New Roman"/>
        </w:rPr>
        <w:t xml:space="preserve">ūņu pārstrādes alternatīvu salīdzinājuma ietvaros viegli ir savstarpēji salīdzināt C1. un C2. alternatīvas, jo to tehnoloģiskais process ir salīdzinoši līdzīgs un tās ir salīdzinoši plaši izplatītas esošajā situācijā, savukārt </w:t>
      </w:r>
      <w:r w:rsidRPr="00C5249A">
        <w:rPr>
          <w:rFonts w:ascii="Times New Roman" w:hAnsi="Times New Roman" w:cs="Times New Roman"/>
        </w:rPr>
        <w:t xml:space="preserve">notekūdeņu </w:t>
      </w:r>
      <w:r w:rsidR="00EA051D" w:rsidRPr="00C5249A">
        <w:rPr>
          <w:rFonts w:ascii="Times New Roman" w:hAnsi="Times New Roman" w:cs="Times New Roman"/>
        </w:rPr>
        <w:t xml:space="preserve">dūņu pārstrāde biogāzes stacijās, lai arī ir faktiski izmantots risinājums esošajā situācijā, tomēr ir tehnoloģiski sarežģītāka un būtiski atšķirīga alternatīva. </w:t>
      </w:r>
      <w:r w:rsidRPr="00C5249A">
        <w:rPr>
          <w:rFonts w:ascii="Times New Roman" w:hAnsi="Times New Roman" w:cs="Times New Roman"/>
        </w:rPr>
        <w:t>P</w:t>
      </w:r>
      <w:r w:rsidR="00EA051D" w:rsidRPr="00C5249A">
        <w:rPr>
          <w:rFonts w:ascii="Times New Roman" w:hAnsi="Times New Roman" w:cs="Times New Roman"/>
        </w:rPr>
        <w:t>ārstrādes alternatīvu izmaksas, kas apkopotas 4.</w:t>
      </w:r>
      <w:r w:rsidR="008B1A89">
        <w:rPr>
          <w:rFonts w:ascii="Times New Roman" w:hAnsi="Times New Roman" w:cs="Times New Roman"/>
        </w:rPr>
        <w:t>4.5</w:t>
      </w:r>
      <w:r w:rsidR="00EA051D" w:rsidRPr="00C5249A">
        <w:rPr>
          <w:rFonts w:ascii="Times New Roman" w:hAnsi="Times New Roman" w:cs="Times New Roman"/>
        </w:rPr>
        <w:t xml:space="preserve">.tabulā ir aprēķinātas šī alternatīvu novērtējuma ietvaros, bet precīza aprēķinu gaita, izejas dati un izmantotie pieņēmumi pievienoti pielikumos </w:t>
      </w:r>
      <w:r w:rsidR="004E5105" w:rsidRPr="00B450A0">
        <w:rPr>
          <w:rFonts w:ascii="Times New Roman" w:hAnsi="Times New Roman" w:cs="Times New Roman"/>
          <w:szCs w:val="24"/>
        </w:rPr>
        <w:t>4.7. Finanšu aprēķini “1. Dažādu notekūdeņu dūņu apstrādes veidu izmaksas”</w:t>
      </w:r>
      <w:r w:rsidR="004E5105" w:rsidRPr="00B450A0">
        <w:rPr>
          <w:rFonts w:ascii="Times New Roman" w:hAnsi="Times New Roman" w:cs="Times New Roman"/>
        </w:rPr>
        <w:t>)</w:t>
      </w:r>
      <w:r w:rsidR="00EA051D" w:rsidRPr="00C5249A">
        <w:rPr>
          <w:rFonts w:ascii="Times New Roman" w:hAnsi="Times New Roman" w:cs="Times New Roman"/>
        </w:rPr>
        <w:t xml:space="preserve"> un </w:t>
      </w:r>
      <w:r w:rsidR="0025304F" w:rsidRPr="0025304F">
        <w:rPr>
          <w:rFonts w:ascii="Times New Roman" w:hAnsi="Times New Roman" w:cs="Times New Roman"/>
          <w:bCs/>
          <w:szCs w:val="20"/>
        </w:rPr>
        <w:t>4.9. Finanšu aprēķini “3. Uzturēšanas izmaksas notekūdeņu dūņu pārstrādē”</w:t>
      </w:r>
      <w:r w:rsidR="00EA051D" w:rsidRPr="0025304F">
        <w:rPr>
          <w:rFonts w:ascii="Times New Roman" w:hAnsi="Times New Roman" w:cs="Times New Roman"/>
          <w:bCs/>
        </w:rPr>
        <w:t>.</w:t>
      </w:r>
    </w:p>
    <w:p w14:paraId="570E91F3" w14:textId="649C93A9" w:rsidR="00C5249A" w:rsidRPr="008B1A89" w:rsidRDefault="008B1A89" w:rsidP="008B1A89">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bCs/>
          <w:color w:val="000000"/>
          <w:szCs w:val="24"/>
        </w:rPr>
      </w:pPr>
      <w:r>
        <w:rPr>
          <w:rFonts w:ascii="Times New Roman" w:hAnsi="Times New Roman" w:cs="Times New Roman"/>
          <w:bCs/>
          <w:color w:val="000000"/>
          <w:szCs w:val="24"/>
        </w:rPr>
        <w:t>4.4.5.</w:t>
      </w:r>
      <w:r w:rsidR="00C5249A" w:rsidRPr="008B1A89">
        <w:rPr>
          <w:rFonts w:ascii="Times New Roman" w:hAnsi="Times New Roman" w:cs="Times New Roman"/>
          <w:bCs/>
          <w:color w:val="000000"/>
          <w:szCs w:val="24"/>
        </w:rPr>
        <w:t>t</w:t>
      </w:r>
      <w:r w:rsidR="00EA051D" w:rsidRPr="008B1A89">
        <w:rPr>
          <w:rFonts w:ascii="Times New Roman" w:hAnsi="Times New Roman" w:cs="Times New Roman"/>
          <w:bCs/>
          <w:color w:val="000000"/>
          <w:szCs w:val="24"/>
        </w:rPr>
        <w:t>abula</w:t>
      </w:r>
    </w:p>
    <w:p w14:paraId="0AFCF037" w14:textId="19AB2DF3" w:rsidR="00EA051D" w:rsidRPr="00C5249A" w:rsidRDefault="00EA051D" w:rsidP="00C5249A">
      <w:pPr>
        <w:pBdr>
          <w:top w:val="nil"/>
          <w:left w:val="nil"/>
          <w:bottom w:val="nil"/>
          <w:right w:val="nil"/>
          <w:between w:val="nil"/>
        </w:pBdr>
        <w:suppressAutoHyphens/>
        <w:autoSpaceDN w:val="0"/>
        <w:spacing w:after="0" w:line="240" w:lineRule="auto"/>
        <w:ind w:left="48"/>
        <w:jc w:val="center"/>
        <w:textAlignment w:val="baseline"/>
        <w:rPr>
          <w:rFonts w:ascii="Times New Roman" w:hAnsi="Times New Roman" w:cs="Times New Roman"/>
          <w:b/>
          <w:color w:val="000000"/>
          <w:szCs w:val="24"/>
        </w:rPr>
      </w:pPr>
      <w:r w:rsidRPr="00C5249A">
        <w:rPr>
          <w:rFonts w:ascii="Times New Roman" w:hAnsi="Times New Roman" w:cs="Times New Roman"/>
          <w:b/>
          <w:color w:val="000000"/>
          <w:szCs w:val="24"/>
        </w:rPr>
        <w:t>Notekūdeņu dūņu pārstrādes alternatīvu izmaksu novērtējums</w:t>
      </w:r>
    </w:p>
    <w:tbl>
      <w:tblPr>
        <w:tblStyle w:val="33"/>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268"/>
        <w:gridCol w:w="2409"/>
        <w:gridCol w:w="2694"/>
      </w:tblGrid>
      <w:tr w:rsidR="00EA051D" w:rsidRPr="00C5249A" w14:paraId="0F514D89" w14:textId="77777777" w:rsidTr="00C5249A">
        <w:tc>
          <w:tcPr>
            <w:tcW w:w="1555" w:type="dxa"/>
            <w:vAlign w:val="center"/>
          </w:tcPr>
          <w:p w14:paraId="24982B80" w14:textId="77777777" w:rsidR="00EA051D" w:rsidRPr="00C5249A" w:rsidRDefault="00EA051D" w:rsidP="000C73AC">
            <w:pPr>
              <w:spacing w:after="60"/>
              <w:jc w:val="center"/>
              <w:rPr>
                <w:rFonts w:ascii="Times New Roman" w:hAnsi="Times New Roman" w:cs="Times New Roman"/>
                <w:b/>
                <w:sz w:val="18"/>
                <w:szCs w:val="20"/>
              </w:rPr>
            </w:pPr>
            <w:r w:rsidRPr="00C5249A">
              <w:rPr>
                <w:rFonts w:ascii="Times New Roman" w:hAnsi="Times New Roman" w:cs="Times New Roman"/>
                <w:b/>
                <w:sz w:val="18"/>
                <w:szCs w:val="20"/>
              </w:rPr>
              <w:t>Izmaksu veids</w:t>
            </w:r>
          </w:p>
        </w:tc>
        <w:tc>
          <w:tcPr>
            <w:tcW w:w="2268" w:type="dxa"/>
            <w:vAlign w:val="center"/>
          </w:tcPr>
          <w:p w14:paraId="7CC985D8" w14:textId="77777777" w:rsidR="00EA051D" w:rsidRPr="00C5249A" w:rsidRDefault="00EA051D" w:rsidP="000C73AC">
            <w:pPr>
              <w:spacing w:after="60"/>
              <w:jc w:val="center"/>
              <w:rPr>
                <w:rFonts w:ascii="Times New Roman" w:hAnsi="Times New Roman" w:cs="Times New Roman"/>
                <w:b/>
                <w:sz w:val="18"/>
                <w:szCs w:val="20"/>
              </w:rPr>
            </w:pPr>
            <w:r w:rsidRPr="00C5249A">
              <w:rPr>
                <w:rFonts w:ascii="Times New Roman" w:hAnsi="Times New Roman" w:cs="Times New Roman"/>
                <w:b/>
                <w:sz w:val="18"/>
                <w:szCs w:val="20"/>
              </w:rPr>
              <w:t>C1.Alternatīva: Mehāniski atūdeņotu (apstrādātu) notekūdeņu dūņu izturēšanas 12 mēnešus</w:t>
            </w:r>
          </w:p>
        </w:tc>
        <w:tc>
          <w:tcPr>
            <w:tcW w:w="2409" w:type="dxa"/>
            <w:vAlign w:val="center"/>
          </w:tcPr>
          <w:p w14:paraId="5A20A016" w14:textId="77777777" w:rsidR="00EA051D" w:rsidRPr="00C5249A" w:rsidRDefault="00EA051D" w:rsidP="000C73AC">
            <w:pPr>
              <w:spacing w:after="60"/>
              <w:jc w:val="center"/>
              <w:rPr>
                <w:rFonts w:ascii="Times New Roman" w:hAnsi="Times New Roman" w:cs="Times New Roman"/>
                <w:b/>
                <w:sz w:val="18"/>
                <w:szCs w:val="20"/>
              </w:rPr>
            </w:pPr>
            <w:r w:rsidRPr="00C5249A">
              <w:rPr>
                <w:rFonts w:ascii="Times New Roman" w:hAnsi="Times New Roman" w:cs="Times New Roman"/>
                <w:b/>
                <w:sz w:val="18"/>
                <w:szCs w:val="20"/>
              </w:rPr>
              <w:t>C2.Alternatīva: Mehāniski atūdeņotu (apstrādātu) notekūdeņu dūņu kompostēšana</w:t>
            </w:r>
          </w:p>
        </w:tc>
        <w:tc>
          <w:tcPr>
            <w:tcW w:w="2694" w:type="dxa"/>
            <w:vAlign w:val="center"/>
          </w:tcPr>
          <w:p w14:paraId="30AA4622" w14:textId="1DA4EB8C" w:rsidR="00EA051D" w:rsidRPr="00C5249A" w:rsidRDefault="00EA051D" w:rsidP="000C73AC">
            <w:pPr>
              <w:spacing w:after="60"/>
              <w:jc w:val="center"/>
              <w:rPr>
                <w:rFonts w:ascii="Times New Roman" w:hAnsi="Times New Roman" w:cs="Times New Roman"/>
                <w:b/>
                <w:sz w:val="18"/>
                <w:szCs w:val="20"/>
              </w:rPr>
            </w:pPr>
            <w:r w:rsidRPr="00C5249A">
              <w:rPr>
                <w:rFonts w:ascii="Times New Roman" w:hAnsi="Times New Roman" w:cs="Times New Roman"/>
                <w:b/>
                <w:sz w:val="18"/>
                <w:szCs w:val="20"/>
              </w:rPr>
              <w:t xml:space="preserve">C3.Alternatīva: Iebiezinātu vai mehāniski atūdeņotu (apstrādātu) notekūdeņu dūņu </w:t>
            </w:r>
            <w:r w:rsidR="00C37B12" w:rsidRPr="00C5249A">
              <w:rPr>
                <w:rFonts w:ascii="Times New Roman" w:hAnsi="Times New Roman" w:cs="Times New Roman"/>
                <w:b/>
                <w:sz w:val="18"/>
                <w:szCs w:val="20"/>
              </w:rPr>
              <w:t>mezofilā</w:t>
            </w:r>
            <w:r w:rsidRPr="00C5249A">
              <w:rPr>
                <w:rFonts w:ascii="Times New Roman" w:hAnsi="Times New Roman" w:cs="Times New Roman"/>
                <w:b/>
                <w:sz w:val="18"/>
                <w:szCs w:val="20"/>
              </w:rPr>
              <w:t xml:space="preserve"> anaerobā sadalīšana – biogāzes ražošana</w:t>
            </w:r>
          </w:p>
        </w:tc>
      </w:tr>
      <w:tr w:rsidR="00EA051D" w:rsidRPr="00C5249A" w14:paraId="670F1794" w14:textId="77777777" w:rsidTr="00C5249A">
        <w:tc>
          <w:tcPr>
            <w:tcW w:w="1555" w:type="dxa"/>
            <w:vAlign w:val="center"/>
          </w:tcPr>
          <w:p w14:paraId="3D1849AD" w14:textId="6196F6D7" w:rsidR="00EA051D" w:rsidRPr="00C5249A" w:rsidRDefault="00EA051D" w:rsidP="000C73AC">
            <w:pPr>
              <w:spacing w:after="60"/>
              <w:jc w:val="center"/>
              <w:rPr>
                <w:rFonts w:ascii="Times New Roman" w:hAnsi="Times New Roman" w:cs="Times New Roman"/>
                <w:sz w:val="20"/>
                <w:szCs w:val="20"/>
              </w:rPr>
            </w:pPr>
            <w:r w:rsidRPr="00C5249A">
              <w:rPr>
                <w:rFonts w:ascii="Times New Roman" w:hAnsi="Times New Roman" w:cs="Times New Roman"/>
                <w:sz w:val="20"/>
                <w:szCs w:val="20"/>
              </w:rPr>
              <w:t>Ikgadējās pārstrādes izmaksas pie 10 000 m</w:t>
            </w:r>
            <w:r w:rsidRPr="00C5249A">
              <w:rPr>
                <w:rFonts w:ascii="Times New Roman" w:hAnsi="Times New Roman" w:cs="Times New Roman"/>
                <w:sz w:val="20"/>
                <w:szCs w:val="20"/>
                <w:vertAlign w:val="superscript"/>
              </w:rPr>
              <w:t>3</w:t>
            </w:r>
            <w:r w:rsidRPr="00C5249A">
              <w:rPr>
                <w:rFonts w:ascii="Times New Roman" w:hAnsi="Times New Roman" w:cs="Times New Roman"/>
                <w:sz w:val="20"/>
                <w:szCs w:val="20"/>
              </w:rPr>
              <w:t xml:space="preserve"> slapju </w:t>
            </w:r>
            <w:r w:rsidR="00FC04DB" w:rsidRPr="00C5249A">
              <w:rPr>
                <w:rFonts w:ascii="Times New Roman" w:hAnsi="Times New Roman" w:cs="Times New Roman"/>
                <w:sz w:val="20"/>
                <w:szCs w:val="20"/>
              </w:rPr>
              <w:t xml:space="preserve">notekūdeņu </w:t>
            </w:r>
            <w:r w:rsidRPr="00C5249A">
              <w:rPr>
                <w:rFonts w:ascii="Times New Roman" w:hAnsi="Times New Roman" w:cs="Times New Roman"/>
                <w:sz w:val="20"/>
                <w:szCs w:val="20"/>
              </w:rPr>
              <w:t>dūņu</w:t>
            </w:r>
          </w:p>
        </w:tc>
        <w:tc>
          <w:tcPr>
            <w:tcW w:w="2268" w:type="dxa"/>
            <w:vAlign w:val="center"/>
          </w:tcPr>
          <w:p w14:paraId="67CF4192"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36 455 EUR</w:t>
            </w:r>
          </w:p>
          <w:p w14:paraId="15136212"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Izmaksas veido tikai dūņu atūdeņošana, transportēšana uz dūņu lauku un pārvietošana dūņu laukā (sastumšana, pārkraušana)</w:t>
            </w:r>
          </w:p>
        </w:tc>
        <w:tc>
          <w:tcPr>
            <w:tcW w:w="2409" w:type="dxa"/>
            <w:vAlign w:val="center"/>
          </w:tcPr>
          <w:p w14:paraId="23A612D3"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53 791</w:t>
            </w:r>
          </w:p>
          <w:p w14:paraId="352CEAAA" w14:textId="394A74A8"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Papildus C1 iekļautajām izma</w:t>
            </w:r>
            <w:r w:rsidR="00C37B12">
              <w:rPr>
                <w:rFonts w:ascii="Times New Roman" w:hAnsi="Times New Roman" w:cs="Times New Roman"/>
                <w:sz w:val="18"/>
                <w:szCs w:val="18"/>
              </w:rPr>
              <w:t>k</w:t>
            </w:r>
            <w:r w:rsidRPr="00C5249A">
              <w:rPr>
                <w:rFonts w:ascii="Times New Roman" w:hAnsi="Times New Roman" w:cs="Times New Roman"/>
                <w:sz w:val="18"/>
                <w:szCs w:val="18"/>
              </w:rPr>
              <w:t>sām, tās palielina speciālās aerācijas tehnikas ekspluatācija, kā arī nepieciešamā pildmateriāla iegāde</w:t>
            </w:r>
          </w:p>
        </w:tc>
        <w:tc>
          <w:tcPr>
            <w:tcW w:w="2694" w:type="dxa"/>
            <w:vAlign w:val="center"/>
          </w:tcPr>
          <w:p w14:paraId="17335693"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500 000</w:t>
            </w:r>
          </w:p>
          <w:p w14:paraId="278CFE93"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Dūņu pārstrādes izmaksas pie minimālā dūņu daudzuma 300 000 m</w:t>
            </w:r>
            <w:r w:rsidRPr="00C5249A">
              <w:rPr>
                <w:rFonts w:ascii="Times New Roman" w:hAnsi="Times New Roman" w:cs="Times New Roman"/>
                <w:sz w:val="18"/>
                <w:szCs w:val="18"/>
                <w:vertAlign w:val="superscript"/>
              </w:rPr>
              <w:t>3</w:t>
            </w:r>
            <w:r w:rsidRPr="00C5249A">
              <w:rPr>
                <w:rFonts w:ascii="Times New Roman" w:hAnsi="Times New Roman" w:cs="Times New Roman"/>
                <w:sz w:val="18"/>
                <w:szCs w:val="18"/>
              </w:rPr>
              <w:t xml:space="preserve"> gadā ir aptuveni 250 000 EUR. Papildus jāpieskaita arī fugāta ūdens attīrīšanas izmaksas, kas arī tiek novērtētas vidēji 250 000 EUR apjomā.</w:t>
            </w:r>
          </w:p>
        </w:tc>
      </w:tr>
      <w:tr w:rsidR="00EA051D" w:rsidRPr="00C5249A" w14:paraId="4A6526AC" w14:textId="77777777" w:rsidTr="00C5249A">
        <w:tc>
          <w:tcPr>
            <w:tcW w:w="1555" w:type="dxa"/>
            <w:vAlign w:val="center"/>
          </w:tcPr>
          <w:p w14:paraId="49088239" w14:textId="2A281C08" w:rsidR="00EA051D" w:rsidRPr="00C5249A" w:rsidRDefault="00EA051D" w:rsidP="000C73AC">
            <w:pPr>
              <w:spacing w:after="60"/>
              <w:ind w:right="-79"/>
              <w:jc w:val="center"/>
              <w:rPr>
                <w:rFonts w:ascii="Times New Roman" w:hAnsi="Times New Roman" w:cs="Times New Roman"/>
                <w:sz w:val="20"/>
                <w:szCs w:val="20"/>
              </w:rPr>
            </w:pPr>
            <w:r w:rsidRPr="00C5249A">
              <w:rPr>
                <w:rFonts w:ascii="Times New Roman" w:hAnsi="Times New Roman" w:cs="Times New Roman"/>
                <w:sz w:val="20"/>
                <w:szCs w:val="20"/>
              </w:rPr>
              <w:t>Investīciju ieguldījumu izmaksas pie 10 000 m</w:t>
            </w:r>
            <w:r w:rsidRPr="00C5249A">
              <w:rPr>
                <w:rFonts w:ascii="Times New Roman" w:hAnsi="Times New Roman" w:cs="Times New Roman"/>
                <w:sz w:val="20"/>
                <w:szCs w:val="20"/>
                <w:vertAlign w:val="superscript"/>
              </w:rPr>
              <w:t>3</w:t>
            </w:r>
            <w:r w:rsidRPr="00C5249A">
              <w:rPr>
                <w:rFonts w:ascii="Times New Roman" w:hAnsi="Times New Roman" w:cs="Times New Roman"/>
                <w:sz w:val="20"/>
                <w:szCs w:val="20"/>
              </w:rPr>
              <w:t xml:space="preserve"> slapju </w:t>
            </w:r>
            <w:r w:rsidR="00FC04DB" w:rsidRPr="00C5249A">
              <w:rPr>
                <w:rFonts w:ascii="Times New Roman" w:hAnsi="Times New Roman" w:cs="Times New Roman"/>
                <w:sz w:val="20"/>
                <w:szCs w:val="20"/>
              </w:rPr>
              <w:t xml:space="preserve">notekūdeņu </w:t>
            </w:r>
            <w:r w:rsidRPr="00C5249A">
              <w:rPr>
                <w:rFonts w:ascii="Times New Roman" w:hAnsi="Times New Roman" w:cs="Times New Roman"/>
                <w:sz w:val="20"/>
                <w:szCs w:val="20"/>
              </w:rPr>
              <w:t>dūņu</w:t>
            </w:r>
          </w:p>
        </w:tc>
        <w:tc>
          <w:tcPr>
            <w:tcW w:w="2268" w:type="dxa"/>
            <w:vAlign w:val="center"/>
          </w:tcPr>
          <w:p w14:paraId="6678AF67"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890 000 EUR</w:t>
            </w:r>
          </w:p>
          <w:p w14:paraId="3EEDF56F" w14:textId="7E8B45EB"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Lielākās izmaksu pozīcijas veido atbilstoša dūņu lauka izbūve un tehnoloģiskā aprīkojuma (t.sk.</w:t>
            </w:r>
            <w:r w:rsidR="0080477B">
              <w:rPr>
                <w:rFonts w:ascii="Times New Roman" w:hAnsi="Times New Roman" w:cs="Times New Roman"/>
                <w:sz w:val="18"/>
                <w:szCs w:val="18"/>
              </w:rPr>
              <w:t xml:space="preserve"> </w:t>
            </w:r>
            <w:r w:rsidRPr="00C5249A">
              <w:rPr>
                <w:rFonts w:ascii="Times New Roman" w:hAnsi="Times New Roman" w:cs="Times New Roman"/>
                <w:sz w:val="18"/>
                <w:szCs w:val="18"/>
              </w:rPr>
              <w:t>traktortehnika u.c.) iegāde</w:t>
            </w:r>
          </w:p>
        </w:tc>
        <w:tc>
          <w:tcPr>
            <w:tcW w:w="2409" w:type="dxa"/>
            <w:vAlign w:val="center"/>
          </w:tcPr>
          <w:p w14:paraId="49ED7632"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785 000 EUR</w:t>
            </w:r>
          </w:p>
          <w:p w14:paraId="35DC31F5"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Vērtējot pret C1 alternatīvu mazākas izmaksas nepieciešamas dūņu lauka ierīkošanai, jo dūņu pārstrādes process ir ātrāks, līdz ar to nepieciešama mazāka dūņu lauku platība</w:t>
            </w:r>
          </w:p>
        </w:tc>
        <w:tc>
          <w:tcPr>
            <w:tcW w:w="2694" w:type="dxa"/>
            <w:vAlign w:val="center"/>
          </w:tcPr>
          <w:p w14:paraId="5B755D04" w14:textId="77777777" w:rsidR="00EA051D" w:rsidRPr="00C5249A" w:rsidRDefault="00EA051D" w:rsidP="000C73AC">
            <w:pPr>
              <w:spacing w:after="60"/>
              <w:jc w:val="center"/>
              <w:rPr>
                <w:rFonts w:ascii="Times New Roman" w:hAnsi="Times New Roman" w:cs="Times New Roman"/>
                <w:b/>
                <w:bCs/>
                <w:sz w:val="18"/>
                <w:szCs w:val="18"/>
              </w:rPr>
            </w:pPr>
            <w:r w:rsidRPr="00C5249A">
              <w:rPr>
                <w:rFonts w:ascii="Times New Roman" w:hAnsi="Times New Roman" w:cs="Times New Roman"/>
                <w:b/>
                <w:bCs/>
                <w:sz w:val="18"/>
                <w:szCs w:val="18"/>
              </w:rPr>
              <w:t>5 625 000</w:t>
            </w:r>
          </w:p>
          <w:p w14:paraId="407E5A90"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Pie minimālā dūņu daudzums 300 000 m</w:t>
            </w:r>
            <w:r w:rsidRPr="00C5249A">
              <w:rPr>
                <w:rFonts w:ascii="Times New Roman" w:hAnsi="Times New Roman" w:cs="Times New Roman"/>
                <w:sz w:val="18"/>
                <w:szCs w:val="18"/>
                <w:vertAlign w:val="superscript"/>
              </w:rPr>
              <w:t>3</w:t>
            </w:r>
            <w:r w:rsidRPr="00C5249A">
              <w:rPr>
                <w:rFonts w:ascii="Times New Roman" w:hAnsi="Times New Roman" w:cs="Times New Roman"/>
                <w:sz w:val="18"/>
                <w:szCs w:val="18"/>
              </w:rPr>
              <w:t xml:space="preserve"> gadā biogāzes stacijas izbūvei kopējās nepieciešamās investīcijas ir  3 125 000 EUR, bet fugāta ūdens attīrīšanas investīciju izmaksas - 2 500 000 EUR</w:t>
            </w:r>
          </w:p>
        </w:tc>
      </w:tr>
      <w:tr w:rsidR="00EA051D" w:rsidRPr="00C5249A" w14:paraId="38E5FD5D" w14:textId="77777777" w:rsidTr="00C5249A">
        <w:tc>
          <w:tcPr>
            <w:tcW w:w="1555" w:type="dxa"/>
            <w:vAlign w:val="center"/>
          </w:tcPr>
          <w:p w14:paraId="25895E97" w14:textId="5FC83B11" w:rsidR="00EA051D" w:rsidRPr="00C5249A" w:rsidRDefault="00EA051D" w:rsidP="000C73AC">
            <w:pPr>
              <w:spacing w:after="60"/>
              <w:jc w:val="center"/>
              <w:rPr>
                <w:rFonts w:ascii="Times New Roman" w:hAnsi="Times New Roman" w:cs="Times New Roman"/>
                <w:sz w:val="20"/>
                <w:szCs w:val="20"/>
              </w:rPr>
            </w:pPr>
            <w:r w:rsidRPr="00C5249A">
              <w:rPr>
                <w:rFonts w:ascii="Times New Roman" w:hAnsi="Times New Roman" w:cs="Times New Roman"/>
                <w:sz w:val="20"/>
                <w:szCs w:val="20"/>
              </w:rPr>
              <w:t xml:space="preserve">Sagaidāmie ienākumi pie </w:t>
            </w:r>
            <w:r w:rsidRPr="00C5249A">
              <w:rPr>
                <w:rFonts w:ascii="Times New Roman" w:hAnsi="Times New Roman" w:cs="Times New Roman"/>
                <w:sz w:val="20"/>
                <w:szCs w:val="20"/>
              </w:rPr>
              <w:lastRenderedPageBreak/>
              <w:t>10 000 m</w:t>
            </w:r>
            <w:r w:rsidRPr="00C5249A">
              <w:rPr>
                <w:rFonts w:ascii="Times New Roman" w:hAnsi="Times New Roman" w:cs="Times New Roman"/>
                <w:sz w:val="20"/>
                <w:szCs w:val="20"/>
                <w:vertAlign w:val="superscript"/>
              </w:rPr>
              <w:t>3</w:t>
            </w:r>
            <w:r w:rsidRPr="00C5249A">
              <w:rPr>
                <w:rFonts w:ascii="Times New Roman" w:hAnsi="Times New Roman" w:cs="Times New Roman"/>
                <w:sz w:val="20"/>
                <w:szCs w:val="20"/>
              </w:rPr>
              <w:t xml:space="preserve"> slapju </w:t>
            </w:r>
            <w:r w:rsidR="00FC04DB" w:rsidRPr="00C5249A">
              <w:rPr>
                <w:rFonts w:ascii="Times New Roman" w:hAnsi="Times New Roman" w:cs="Times New Roman"/>
                <w:sz w:val="20"/>
                <w:szCs w:val="20"/>
              </w:rPr>
              <w:t xml:space="preserve">notekūdeņu </w:t>
            </w:r>
            <w:r w:rsidRPr="00C5249A">
              <w:rPr>
                <w:rFonts w:ascii="Times New Roman" w:hAnsi="Times New Roman" w:cs="Times New Roman"/>
                <w:sz w:val="20"/>
                <w:szCs w:val="20"/>
              </w:rPr>
              <w:t>dūņu</w:t>
            </w:r>
          </w:p>
        </w:tc>
        <w:tc>
          <w:tcPr>
            <w:tcW w:w="2268" w:type="dxa"/>
            <w:vAlign w:val="center"/>
          </w:tcPr>
          <w:p w14:paraId="21FE92FC"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lastRenderedPageBreak/>
              <w:t>NAV</w:t>
            </w:r>
          </w:p>
          <w:p w14:paraId="3E599601"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lastRenderedPageBreak/>
              <w:t>No notekūdeņu dūņu pārstrādes ienākumi nav paredzēti</w:t>
            </w:r>
          </w:p>
        </w:tc>
        <w:tc>
          <w:tcPr>
            <w:tcW w:w="2409" w:type="dxa"/>
            <w:vAlign w:val="center"/>
          </w:tcPr>
          <w:p w14:paraId="0DDC70A5"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lastRenderedPageBreak/>
              <w:t>Ļoti zemi</w:t>
            </w:r>
          </w:p>
          <w:p w14:paraId="5CDA19F8"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lastRenderedPageBreak/>
              <w:t xml:space="preserve">Ir novērojama tendence, ka patērētāji ir gatavi maksāt ļoti zemu maksu par kvalitatīvu dūņu kompostu </w:t>
            </w:r>
          </w:p>
        </w:tc>
        <w:tc>
          <w:tcPr>
            <w:tcW w:w="2694" w:type="dxa"/>
            <w:vAlign w:val="center"/>
          </w:tcPr>
          <w:p w14:paraId="3623297E"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lastRenderedPageBreak/>
              <w:t>Augsti</w:t>
            </w:r>
          </w:p>
          <w:p w14:paraId="7DFB9DE9"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lastRenderedPageBreak/>
              <w:t>Pie minimālā dūņu daudzuma 300 000 m</w:t>
            </w:r>
            <w:r w:rsidRPr="00C5249A">
              <w:rPr>
                <w:rFonts w:ascii="Times New Roman" w:hAnsi="Times New Roman" w:cs="Times New Roman"/>
                <w:sz w:val="18"/>
                <w:szCs w:val="18"/>
                <w:vertAlign w:val="superscript"/>
              </w:rPr>
              <w:t>3</w:t>
            </w:r>
            <w:r w:rsidRPr="00C5249A">
              <w:rPr>
                <w:rFonts w:ascii="Times New Roman" w:hAnsi="Times New Roman" w:cs="Times New Roman"/>
                <w:sz w:val="18"/>
                <w:szCs w:val="18"/>
              </w:rPr>
              <w:t xml:space="preserve"> gadā ir iespējams ražot un aizstāt dūņu pārstrādes procesā nepieciešamo elektrību un siltumu</w:t>
            </w:r>
          </w:p>
        </w:tc>
      </w:tr>
      <w:tr w:rsidR="00EA051D" w:rsidRPr="00C5249A" w14:paraId="760E9210" w14:textId="77777777" w:rsidTr="00C5249A">
        <w:tc>
          <w:tcPr>
            <w:tcW w:w="1555" w:type="dxa"/>
            <w:vAlign w:val="center"/>
          </w:tcPr>
          <w:p w14:paraId="6A35AD3A" w14:textId="0B1F79B1" w:rsidR="00EA051D" w:rsidRPr="00C5249A" w:rsidRDefault="00EA051D" w:rsidP="000C73AC">
            <w:pPr>
              <w:spacing w:after="60"/>
              <w:jc w:val="center"/>
              <w:rPr>
                <w:rFonts w:ascii="Times New Roman" w:hAnsi="Times New Roman" w:cs="Times New Roman"/>
                <w:sz w:val="20"/>
                <w:szCs w:val="20"/>
              </w:rPr>
            </w:pPr>
            <w:r w:rsidRPr="00C5249A">
              <w:rPr>
                <w:rFonts w:ascii="Times New Roman" w:hAnsi="Times New Roman" w:cs="Times New Roman"/>
                <w:sz w:val="20"/>
                <w:szCs w:val="20"/>
              </w:rPr>
              <w:lastRenderedPageBreak/>
              <w:t xml:space="preserve">Provizoriskās pārstrādātu </w:t>
            </w:r>
            <w:r w:rsidR="0006564A" w:rsidRPr="00C5249A">
              <w:rPr>
                <w:rFonts w:ascii="Times New Roman" w:hAnsi="Times New Roman" w:cs="Times New Roman"/>
                <w:sz w:val="20"/>
                <w:szCs w:val="20"/>
              </w:rPr>
              <w:t xml:space="preserve">notekūdeņu </w:t>
            </w:r>
            <w:r w:rsidRPr="00C5249A">
              <w:rPr>
                <w:rFonts w:ascii="Times New Roman" w:hAnsi="Times New Roman" w:cs="Times New Roman"/>
                <w:sz w:val="20"/>
                <w:szCs w:val="20"/>
              </w:rPr>
              <w:t>dūņu transportēšanas izmaksas EUR/t pie 10 000 m</w:t>
            </w:r>
            <w:r w:rsidRPr="00C5249A">
              <w:rPr>
                <w:rFonts w:ascii="Times New Roman" w:hAnsi="Times New Roman" w:cs="Times New Roman"/>
                <w:sz w:val="20"/>
                <w:szCs w:val="20"/>
                <w:vertAlign w:val="superscript"/>
              </w:rPr>
              <w:t>3</w:t>
            </w:r>
            <w:r w:rsidRPr="00C5249A">
              <w:rPr>
                <w:rFonts w:ascii="Times New Roman" w:hAnsi="Times New Roman" w:cs="Times New Roman"/>
                <w:sz w:val="20"/>
                <w:szCs w:val="20"/>
              </w:rPr>
              <w:t xml:space="preserve"> slapju </w:t>
            </w:r>
            <w:r w:rsidR="0006564A" w:rsidRPr="00C5249A">
              <w:rPr>
                <w:rFonts w:ascii="Times New Roman" w:hAnsi="Times New Roman" w:cs="Times New Roman"/>
                <w:sz w:val="20"/>
                <w:szCs w:val="20"/>
              </w:rPr>
              <w:t xml:space="preserve">notekūdeņu </w:t>
            </w:r>
            <w:r w:rsidRPr="00C5249A">
              <w:rPr>
                <w:rFonts w:ascii="Times New Roman" w:hAnsi="Times New Roman" w:cs="Times New Roman"/>
                <w:sz w:val="20"/>
                <w:szCs w:val="20"/>
              </w:rPr>
              <w:t>dūņu apjoma</w:t>
            </w:r>
          </w:p>
        </w:tc>
        <w:tc>
          <w:tcPr>
            <w:tcW w:w="2268" w:type="dxa"/>
            <w:vAlign w:val="center"/>
          </w:tcPr>
          <w:p w14:paraId="28437F1C"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Zemas</w:t>
            </w:r>
          </w:p>
          <w:p w14:paraId="4070245F" w14:textId="1AAF2871"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 xml:space="preserve">Prognozējams, ka </w:t>
            </w:r>
            <w:r w:rsidR="0006564A" w:rsidRPr="00C5249A">
              <w:rPr>
                <w:rFonts w:ascii="Times New Roman" w:hAnsi="Times New Roman" w:cs="Times New Roman"/>
                <w:sz w:val="18"/>
                <w:szCs w:val="18"/>
              </w:rPr>
              <w:t xml:space="preserve">notekūdeņu </w:t>
            </w:r>
            <w:r w:rsidRPr="00C5249A">
              <w:rPr>
                <w:rFonts w:ascii="Times New Roman" w:hAnsi="Times New Roman" w:cs="Times New Roman"/>
                <w:sz w:val="18"/>
                <w:szCs w:val="18"/>
              </w:rPr>
              <w:t>dūņu apjoms pēc pārstrādes būs samazinājies par 30% un utilizācija augsnē ir iespējama &lt; 35 km rādiusā ap dūņu pārstrādes centram (skat. 5.3.nodaļu)</w:t>
            </w:r>
          </w:p>
        </w:tc>
        <w:tc>
          <w:tcPr>
            <w:tcW w:w="2409" w:type="dxa"/>
            <w:vAlign w:val="center"/>
          </w:tcPr>
          <w:p w14:paraId="29302A21"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Vidējas</w:t>
            </w:r>
          </w:p>
          <w:p w14:paraId="37CCF0C2" w14:textId="77777777"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Kopējā komposta masa pieaug dēļ kompostā iestrādātā pildmateriāla (tā īpatsvars komposta masā ap 50%).  Utilizācija augsnē ir iespējama &lt; 35 km rādiusā ap dūņu apstrādes centram (skat. 5.3.nodaļu)</w:t>
            </w:r>
          </w:p>
        </w:tc>
        <w:tc>
          <w:tcPr>
            <w:tcW w:w="2694" w:type="dxa"/>
            <w:vAlign w:val="center"/>
          </w:tcPr>
          <w:p w14:paraId="4C3D01DE" w14:textId="77777777" w:rsidR="00EA051D" w:rsidRPr="00C5249A" w:rsidRDefault="00EA051D" w:rsidP="000C73AC">
            <w:pPr>
              <w:spacing w:after="60"/>
              <w:jc w:val="center"/>
              <w:rPr>
                <w:rFonts w:ascii="Times New Roman" w:hAnsi="Times New Roman" w:cs="Times New Roman"/>
                <w:b/>
                <w:sz w:val="18"/>
                <w:szCs w:val="18"/>
              </w:rPr>
            </w:pPr>
            <w:r w:rsidRPr="00C5249A">
              <w:rPr>
                <w:rFonts w:ascii="Times New Roman" w:hAnsi="Times New Roman" w:cs="Times New Roman"/>
                <w:b/>
                <w:sz w:val="18"/>
                <w:szCs w:val="18"/>
              </w:rPr>
              <w:t>Ļoti zemas</w:t>
            </w:r>
          </w:p>
          <w:p w14:paraId="5B7D6EC0" w14:textId="005FDF21" w:rsidR="00EA051D" w:rsidRPr="00C5249A" w:rsidRDefault="00EA051D" w:rsidP="000C73AC">
            <w:pPr>
              <w:spacing w:after="60"/>
              <w:jc w:val="center"/>
              <w:rPr>
                <w:rFonts w:ascii="Times New Roman" w:hAnsi="Times New Roman" w:cs="Times New Roman"/>
                <w:sz w:val="18"/>
                <w:szCs w:val="18"/>
              </w:rPr>
            </w:pPr>
            <w:r w:rsidRPr="00C5249A">
              <w:rPr>
                <w:rFonts w:ascii="Times New Roman" w:hAnsi="Times New Roman" w:cs="Times New Roman"/>
                <w:sz w:val="18"/>
                <w:szCs w:val="18"/>
              </w:rPr>
              <w:t xml:space="preserve">Biogāzes pārstrādes procesā un pēc digestāta mehāniskās atūdeņošanas ir iespējams panākt mazāko dūņu apjomu, kā rezultātā arī zemākās dūņu transportēšanas </w:t>
            </w:r>
            <w:r w:rsidRPr="0009576F">
              <w:rPr>
                <w:rFonts w:ascii="Times New Roman" w:hAnsi="Times New Roman" w:cs="Times New Roman"/>
                <w:sz w:val="18"/>
                <w:szCs w:val="18"/>
              </w:rPr>
              <w:t xml:space="preserve">izmaksas (skat. </w:t>
            </w:r>
            <w:r w:rsidR="0009576F" w:rsidRPr="0009576F">
              <w:rPr>
                <w:rFonts w:ascii="Times New Roman" w:hAnsi="Times New Roman" w:cs="Times New Roman"/>
                <w:sz w:val="18"/>
                <w:szCs w:val="18"/>
              </w:rPr>
              <w:t>4.5.15</w:t>
            </w:r>
            <w:r w:rsidRPr="0009576F">
              <w:rPr>
                <w:rFonts w:ascii="Times New Roman" w:hAnsi="Times New Roman" w:cs="Times New Roman"/>
                <w:sz w:val="18"/>
                <w:szCs w:val="18"/>
              </w:rPr>
              <w:t>.tabulu</w:t>
            </w:r>
            <w:r w:rsidRPr="00C5249A">
              <w:rPr>
                <w:rFonts w:ascii="Times New Roman" w:hAnsi="Times New Roman" w:cs="Times New Roman"/>
                <w:sz w:val="18"/>
                <w:szCs w:val="18"/>
              </w:rPr>
              <w:t>)</w:t>
            </w:r>
          </w:p>
        </w:tc>
      </w:tr>
    </w:tbl>
    <w:p w14:paraId="1EB54EFD" w14:textId="77777777" w:rsidR="007069AF" w:rsidRDefault="007069AF" w:rsidP="0033498C">
      <w:pPr>
        <w:rPr>
          <w:rFonts w:ascii="Times New Roman" w:hAnsi="Times New Roman" w:cs="Times New Roman"/>
          <w:u w:val="single"/>
        </w:rPr>
      </w:pPr>
      <w:bookmarkStart w:id="104" w:name="_Toc82277640"/>
    </w:p>
    <w:p w14:paraId="1B740AA6" w14:textId="15C0C0E8" w:rsidR="00EA051D" w:rsidRPr="007069AF" w:rsidRDefault="00EA051D" w:rsidP="007069AF">
      <w:pPr>
        <w:jc w:val="center"/>
        <w:rPr>
          <w:rFonts w:ascii="Times New Roman" w:hAnsi="Times New Roman" w:cs="Times New Roman"/>
          <w:u w:val="single"/>
        </w:rPr>
      </w:pPr>
      <w:r w:rsidRPr="007069AF">
        <w:rPr>
          <w:rFonts w:ascii="Times New Roman" w:hAnsi="Times New Roman" w:cs="Times New Roman"/>
          <w:u w:val="single"/>
        </w:rPr>
        <w:t>Notekūdeņu dūņu pārstrādes alternatīvu risku novērtējums</w:t>
      </w:r>
      <w:bookmarkEnd w:id="104"/>
    </w:p>
    <w:p w14:paraId="4DC945E4" w14:textId="77777777" w:rsidR="00EA051D" w:rsidRPr="007069AF" w:rsidRDefault="00EA051D" w:rsidP="007069AF">
      <w:pPr>
        <w:spacing w:before="240"/>
        <w:ind w:firstLine="720"/>
        <w:rPr>
          <w:rFonts w:ascii="Times New Roman" w:hAnsi="Times New Roman" w:cs="Times New Roman"/>
        </w:rPr>
      </w:pPr>
      <w:r w:rsidRPr="007069AF">
        <w:rPr>
          <w:rFonts w:ascii="Times New Roman" w:hAnsi="Times New Roman" w:cs="Times New Roman"/>
        </w:rPr>
        <w:t>Visas izvirzītās notekūdeņu dūņu pārstrādes alternatīvas paredz normatīvajiem aktiem atbilstošu notekūdeņu dūņu pārstrādi, lai nodrošinātu notekūdeņu dūņu atbilstību pirms to iestrādes augsnē un sagatavošanu atbilstoši lauksaimnieku organizāciju izvirzītajām prasībām. Pielietojot vienotus alternatīvu vērtēšanas kritērijus ir iespējams objektīvi salīdzināt trīs atšķirīgo alternatīvo risinājumu priekšrocības un izvēlēties atbilstošāko notekūdeņu dūņu pārstrādes metodi. Atbilstoši alternatīvu metodikas aprakstam ir veikta trīs dūņu pārstrādes alternatīvu salīdzināšana un risku novērtējums.</w:t>
      </w:r>
    </w:p>
    <w:p w14:paraId="7BD8F248" w14:textId="4AD8F6AE" w:rsidR="007069AF" w:rsidRPr="008B1A89" w:rsidRDefault="008B1A89" w:rsidP="008B1A89">
      <w:pPr>
        <w:pBdr>
          <w:top w:val="nil"/>
          <w:left w:val="nil"/>
          <w:bottom w:val="nil"/>
          <w:right w:val="nil"/>
          <w:between w:val="nil"/>
        </w:pBdr>
        <w:suppressAutoHyphens/>
        <w:autoSpaceDN w:val="0"/>
        <w:spacing w:after="0"/>
        <w:ind w:left="48"/>
        <w:jc w:val="right"/>
        <w:textAlignment w:val="baseline"/>
        <w:rPr>
          <w:rFonts w:ascii="Times New Roman" w:hAnsi="Times New Roman" w:cs="Times New Roman"/>
          <w:bCs/>
          <w:color w:val="000000"/>
          <w:szCs w:val="24"/>
        </w:rPr>
      </w:pPr>
      <w:r>
        <w:rPr>
          <w:rFonts w:ascii="Times New Roman" w:hAnsi="Times New Roman" w:cs="Times New Roman"/>
          <w:bCs/>
          <w:color w:val="000000"/>
          <w:szCs w:val="24"/>
        </w:rPr>
        <w:t>4.4.6.</w:t>
      </w:r>
      <w:r w:rsidR="00EA051D" w:rsidRPr="008B1A89">
        <w:rPr>
          <w:rFonts w:ascii="Times New Roman" w:hAnsi="Times New Roman" w:cs="Times New Roman"/>
          <w:bCs/>
          <w:color w:val="000000"/>
          <w:szCs w:val="24"/>
        </w:rPr>
        <w:t>tabula</w:t>
      </w:r>
    </w:p>
    <w:p w14:paraId="3D8B0F86" w14:textId="62A555C9" w:rsidR="00EA051D" w:rsidRPr="00512910" w:rsidRDefault="00EA051D" w:rsidP="00512910">
      <w:pPr>
        <w:pBdr>
          <w:top w:val="nil"/>
          <w:left w:val="nil"/>
          <w:bottom w:val="nil"/>
          <w:right w:val="nil"/>
          <w:between w:val="nil"/>
        </w:pBdr>
        <w:suppressAutoHyphens/>
        <w:autoSpaceDN w:val="0"/>
        <w:spacing w:after="0"/>
        <w:ind w:left="48"/>
        <w:jc w:val="center"/>
        <w:textAlignment w:val="baseline"/>
        <w:rPr>
          <w:rFonts w:ascii="Times New Roman" w:hAnsi="Times New Roman" w:cs="Times New Roman"/>
          <w:b/>
          <w:color w:val="000000"/>
          <w:szCs w:val="24"/>
        </w:rPr>
      </w:pPr>
      <w:r w:rsidRPr="00512910">
        <w:rPr>
          <w:rFonts w:ascii="Times New Roman" w:hAnsi="Times New Roman" w:cs="Times New Roman"/>
          <w:b/>
          <w:color w:val="000000"/>
          <w:szCs w:val="24"/>
        </w:rPr>
        <w:t>Notekūdeņu dūņu pārstrādes alternatīvu novērtēšana pēc salīdzinošajiem kritērijiem</w:t>
      </w:r>
    </w:p>
    <w:tbl>
      <w:tblPr>
        <w:tblStyle w:val="32"/>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268"/>
        <w:gridCol w:w="2410"/>
        <w:gridCol w:w="2552"/>
      </w:tblGrid>
      <w:tr w:rsidR="00EA051D" w:rsidRPr="00512910" w14:paraId="6F8129FC" w14:textId="77777777" w:rsidTr="00512910">
        <w:tc>
          <w:tcPr>
            <w:tcW w:w="1696" w:type="dxa"/>
            <w:vAlign w:val="center"/>
          </w:tcPr>
          <w:p w14:paraId="1ADF5D66" w14:textId="77777777" w:rsidR="00EA051D" w:rsidRPr="00512910" w:rsidRDefault="00EA051D" w:rsidP="000C73AC">
            <w:pPr>
              <w:spacing w:after="60"/>
              <w:jc w:val="center"/>
              <w:rPr>
                <w:rFonts w:ascii="Times New Roman" w:hAnsi="Times New Roman" w:cs="Times New Roman"/>
                <w:b/>
                <w:sz w:val="18"/>
                <w:szCs w:val="20"/>
              </w:rPr>
            </w:pPr>
            <w:r w:rsidRPr="00512910">
              <w:rPr>
                <w:rFonts w:ascii="Times New Roman" w:hAnsi="Times New Roman" w:cs="Times New Roman"/>
                <w:b/>
                <w:sz w:val="18"/>
                <w:szCs w:val="20"/>
              </w:rPr>
              <w:t>Alternatīvu salīdzināšanas kritēriji</w:t>
            </w:r>
          </w:p>
        </w:tc>
        <w:tc>
          <w:tcPr>
            <w:tcW w:w="2268" w:type="dxa"/>
            <w:vAlign w:val="center"/>
          </w:tcPr>
          <w:p w14:paraId="060EE41B" w14:textId="77777777" w:rsidR="00EA051D" w:rsidRPr="00512910" w:rsidRDefault="00EA051D" w:rsidP="000C73AC">
            <w:pPr>
              <w:spacing w:after="60"/>
              <w:ind w:left="-108" w:right="-148"/>
              <w:jc w:val="center"/>
              <w:rPr>
                <w:rFonts w:ascii="Times New Roman" w:hAnsi="Times New Roman" w:cs="Times New Roman"/>
                <w:b/>
                <w:sz w:val="18"/>
                <w:szCs w:val="20"/>
              </w:rPr>
            </w:pPr>
            <w:r w:rsidRPr="00512910">
              <w:rPr>
                <w:rFonts w:ascii="Times New Roman" w:hAnsi="Times New Roman" w:cs="Times New Roman"/>
                <w:b/>
                <w:sz w:val="18"/>
                <w:szCs w:val="20"/>
              </w:rPr>
              <w:t>C1.Alternatīva: Mehāniski atūdeņotu (apstrādātu) notekūdeņu dūņu izturēšanas 12 mēnešus</w:t>
            </w:r>
          </w:p>
        </w:tc>
        <w:tc>
          <w:tcPr>
            <w:tcW w:w="2410" w:type="dxa"/>
            <w:vAlign w:val="center"/>
          </w:tcPr>
          <w:p w14:paraId="04518F51" w14:textId="77777777" w:rsidR="00EA051D" w:rsidRPr="00512910" w:rsidRDefault="00EA051D" w:rsidP="000C73AC">
            <w:pPr>
              <w:spacing w:after="60"/>
              <w:jc w:val="center"/>
              <w:rPr>
                <w:rFonts w:ascii="Times New Roman" w:hAnsi="Times New Roman" w:cs="Times New Roman"/>
                <w:b/>
                <w:sz w:val="18"/>
                <w:szCs w:val="20"/>
              </w:rPr>
            </w:pPr>
            <w:r w:rsidRPr="00512910">
              <w:rPr>
                <w:rFonts w:ascii="Times New Roman" w:hAnsi="Times New Roman" w:cs="Times New Roman"/>
                <w:b/>
                <w:sz w:val="18"/>
                <w:szCs w:val="20"/>
              </w:rPr>
              <w:t>C2.Alternatīva: Mehāniski atūdeņotu (apstrādātu) notekūdeņu dūņu kompostēšana</w:t>
            </w:r>
          </w:p>
        </w:tc>
        <w:tc>
          <w:tcPr>
            <w:tcW w:w="2552" w:type="dxa"/>
            <w:vAlign w:val="center"/>
          </w:tcPr>
          <w:p w14:paraId="47F3D00C" w14:textId="4D4313E7" w:rsidR="00EA051D" w:rsidRPr="00512910" w:rsidRDefault="00EA051D" w:rsidP="000C73AC">
            <w:pPr>
              <w:spacing w:after="60"/>
              <w:jc w:val="center"/>
              <w:rPr>
                <w:rFonts w:ascii="Times New Roman" w:hAnsi="Times New Roman" w:cs="Times New Roman"/>
                <w:b/>
                <w:sz w:val="18"/>
                <w:szCs w:val="20"/>
              </w:rPr>
            </w:pPr>
            <w:r w:rsidRPr="00512910">
              <w:rPr>
                <w:rFonts w:ascii="Times New Roman" w:hAnsi="Times New Roman" w:cs="Times New Roman"/>
                <w:b/>
                <w:sz w:val="18"/>
                <w:szCs w:val="20"/>
              </w:rPr>
              <w:t xml:space="preserve">C3.Alternatīva: Iebiezinātu vai mehāniski atūdeņotu (apstrādātu) notekūdeņu dūņu </w:t>
            </w:r>
            <w:r w:rsidR="0080477B" w:rsidRPr="00512910">
              <w:rPr>
                <w:rFonts w:ascii="Times New Roman" w:hAnsi="Times New Roman" w:cs="Times New Roman"/>
                <w:b/>
                <w:sz w:val="18"/>
                <w:szCs w:val="20"/>
              </w:rPr>
              <w:t>mezofilā</w:t>
            </w:r>
            <w:r w:rsidRPr="00512910">
              <w:rPr>
                <w:rFonts w:ascii="Times New Roman" w:hAnsi="Times New Roman" w:cs="Times New Roman"/>
                <w:b/>
                <w:sz w:val="18"/>
                <w:szCs w:val="20"/>
              </w:rPr>
              <w:t xml:space="preserve"> anaerobā sadalīšana – biogāzes ražošana</w:t>
            </w:r>
          </w:p>
        </w:tc>
      </w:tr>
      <w:tr w:rsidR="00EA051D" w:rsidRPr="00512910" w14:paraId="2140508D" w14:textId="77777777" w:rsidTr="00512910">
        <w:tc>
          <w:tcPr>
            <w:tcW w:w="1696" w:type="dxa"/>
            <w:vAlign w:val="center"/>
          </w:tcPr>
          <w:p w14:paraId="49348947" w14:textId="77777777" w:rsidR="00EA051D" w:rsidRPr="00512910"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0"/>
                <w:id w:val="1702279903"/>
              </w:sdtPr>
              <w:sdtContent>
                <w:r w:rsidR="00EA051D" w:rsidRPr="00512910">
                  <w:rPr>
                    <w:rFonts w:ascii="Times New Roman" w:hAnsi="Times New Roman" w:cs="Times New Roman"/>
                    <w:sz w:val="20"/>
                    <w:szCs w:val="20"/>
                  </w:rPr>
                  <w:t>A</w:t>
                </w:r>
              </w:sdtContent>
            </w:sdt>
            <w:r w:rsidR="00EA051D" w:rsidRPr="00512910">
              <w:rPr>
                <w:rFonts w:ascii="Times New Roman" w:hAnsi="Times New Roman" w:cs="Times New Roman"/>
                <w:sz w:val="20"/>
                <w:szCs w:val="20"/>
              </w:rPr>
              <w:t xml:space="preserve">tbilst ES un </w:t>
            </w:r>
            <w:sdt>
              <w:sdtPr>
                <w:rPr>
                  <w:rFonts w:ascii="Times New Roman" w:hAnsi="Times New Roman" w:cs="Times New Roman"/>
                </w:rPr>
                <w:tag w:val="goog_rdk_10"/>
                <w:id w:val="1801714930"/>
              </w:sdtPr>
              <w:sdtContent/>
            </w:sdt>
            <w:r w:rsidR="00EA051D" w:rsidRPr="00512910">
              <w:rPr>
                <w:rFonts w:ascii="Times New Roman" w:hAnsi="Times New Roman" w:cs="Times New Roman"/>
                <w:sz w:val="20"/>
                <w:szCs w:val="20"/>
              </w:rPr>
              <w:t>LR stratēģiju ilgtermiņa mērķiem</w:t>
            </w:r>
          </w:p>
        </w:tc>
        <w:tc>
          <w:tcPr>
            <w:tcW w:w="2268" w:type="dxa"/>
            <w:shd w:val="clear" w:color="auto" w:fill="92D050"/>
            <w:vAlign w:val="center"/>
          </w:tcPr>
          <w:p w14:paraId="7F8355CF"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6C7FF16A"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veicina ES un LR ilgtermiņa attīstības stratēģiju mērķu sasniegšanu un veicina aprites ekonomikas principu ievērošanu</w:t>
            </w:r>
          </w:p>
        </w:tc>
        <w:tc>
          <w:tcPr>
            <w:tcW w:w="2410" w:type="dxa"/>
            <w:shd w:val="clear" w:color="auto" w:fill="92D050"/>
            <w:vAlign w:val="center"/>
          </w:tcPr>
          <w:p w14:paraId="035D5C3C"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2FA80C7D"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veicina ES un LR ilgtermiņa attīstības stratēģiju mērķu sasniegšanu un veicina aprites ekonomikas principu ievērošanu</w:t>
            </w:r>
          </w:p>
        </w:tc>
        <w:tc>
          <w:tcPr>
            <w:tcW w:w="2552" w:type="dxa"/>
            <w:shd w:val="clear" w:color="auto" w:fill="92D050"/>
            <w:vAlign w:val="center"/>
          </w:tcPr>
          <w:p w14:paraId="5CF3F512"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160D8F54"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veicina ES un LR ilgtermiņa attīstības stratēģiju mērķu sasniegšanu un veicina aprites ekonomikas principu ievērošanu</w:t>
            </w:r>
          </w:p>
        </w:tc>
      </w:tr>
      <w:tr w:rsidR="00EA051D" w:rsidRPr="00512910" w14:paraId="57EBB966" w14:textId="77777777" w:rsidTr="00512910">
        <w:tc>
          <w:tcPr>
            <w:tcW w:w="1696" w:type="dxa"/>
            <w:vAlign w:val="center"/>
          </w:tcPr>
          <w:p w14:paraId="3B5EEC31" w14:textId="77777777" w:rsidR="00EA051D" w:rsidRPr="00512910" w:rsidRDefault="00EA051D" w:rsidP="000C73AC">
            <w:pPr>
              <w:spacing w:after="60"/>
              <w:jc w:val="center"/>
              <w:rPr>
                <w:rFonts w:ascii="Times New Roman" w:hAnsi="Times New Roman" w:cs="Times New Roman"/>
                <w:sz w:val="20"/>
                <w:szCs w:val="20"/>
              </w:rPr>
            </w:pPr>
            <w:r w:rsidRPr="00512910">
              <w:rPr>
                <w:rFonts w:ascii="Times New Roman" w:hAnsi="Times New Roman" w:cs="Times New Roman"/>
                <w:sz w:val="20"/>
                <w:szCs w:val="20"/>
              </w:rPr>
              <w:t>Atbilst stratēģijas izvirzītajai Vīzijai un Misijai</w:t>
            </w:r>
          </w:p>
        </w:tc>
        <w:tc>
          <w:tcPr>
            <w:tcW w:w="2268" w:type="dxa"/>
            <w:shd w:val="clear" w:color="auto" w:fill="92D050"/>
            <w:vAlign w:val="center"/>
          </w:tcPr>
          <w:p w14:paraId="4397EBC4"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363CA17C"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veicina notekūdeņu dūņu stratēģijas Vīzijas un Misijas sasniegšanu</w:t>
            </w:r>
          </w:p>
        </w:tc>
        <w:tc>
          <w:tcPr>
            <w:tcW w:w="2410" w:type="dxa"/>
            <w:shd w:val="clear" w:color="auto" w:fill="92D050"/>
            <w:vAlign w:val="center"/>
          </w:tcPr>
          <w:p w14:paraId="4F0BDF5F"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15852ABD"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veicina notekūdeņu dūņu stratēģijas Vīzijas un Misijas sasniegšanu</w:t>
            </w:r>
          </w:p>
        </w:tc>
        <w:tc>
          <w:tcPr>
            <w:tcW w:w="2552" w:type="dxa"/>
            <w:shd w:val="clear" w:color="auto" w:fill="92D050"/>
            <w:vAlign w:val="center"/>
          </w:tcPr>
          <w:p w14:paraId="30C5455D"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1B02DD2D"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veicina notekūdeņu dūņu stratēģijas Vīzijas un Misijas sasniegšanu</w:t>
            </w:r>
          </w:p>
        </w:tc>
      </w:tr>
      <w:tr w:rsidR="00EA051D" w:rsidRPr="00512910" w14:paraId="50633CF7" w14:textId="77777777" w:rsidTr="00512910">
        <w:tc>
          <w:tcPr>
            <w:tcW w:w="1696" w:type="dxa"/>
            <w:vAlign w:val="center"/>
          </w:tcPr>
          <w:p w14:paraId="093464C9" w14:textId="77777777" w:rsidR="00EA051D" w:rsidRPr="00512910"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1"/>
                <w:id w:val="894248498"/>
              </w:sdtPr>
              <w:sdtContent>
                <w:r w:rsidR="00EA051D" w:rsidRPr="00512910">
                  <w:rPr>
                    <w:rFonts w:ascii="Times New Roman" w:hAnsi="Times New Roman" w:cs="Times New Roman"/>
                    <w:sz w:val="20"/>
                    <w:szCs w:val="20"/>
                  </w:rPr>
                  <w:t>Z</w:t>
                </w:r>
              </w:sdtContent>
            </w:sdt>
            <w:r w:rsidR="00EA051D" w:rsidRPr="00512910">
              <w:rPr>
                <w:rFonts w:ascii="Times New Roman" w:hAnsi="Times New Roman" w:cs="Times New Roman"/>
                <w:sz w:val="20"/>
                <w:szCs w:val="20"/>
              </w:rPr>
              <w:t>emākas uzturēšanas izmaksas</w:t>
            </w:r>
          </w:p>
        </w:tc>
        <w:tc>
          <w:tcPr>
            <w:tcW w:w="2268" w:type="dxa"/>
            <w:shd w:val="clear" w:color="auto" w:fill="FFFF00"/>
            <w:vAlign w:val="center"/>
          </w:tcPr>
          <w:p w14:paraId="3A0B279F"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58FBC5DE"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nodrošina vidēji lielas dūņu pārstrādes izmaksas</w:t>
            </w:r>
          </w:p>
        </w:tc>
        <w:tc>
          <w:tcPr>
            <w:tcW w:w="2410" w:type="dxa"/>
            <w:shd w:val="clear" w:color="auto" w:fill="FFFF00"/>
            <w:vAlign w:val="center"/>
          </w:tcPr>
          <w:p w14:paraId="4DE2BDF3"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b/>
                <w:sz w:val="18"/>
                <w:szCs w:val="18"/>
              </w:rPr>
              <w:t>Daļēji atbilst</w:t>
            </w:r>
          </w:p>
          <w:p w14:paraId="0E9DE720"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nodrošina vidēji lielas dūņu pārstrādes izmaksas</w:t>
            </w:r>
          </w:p>
        </w:tc>
        <w:tc>
          <w:tcPr>
            <w:tcW w:w="2552" w:type="dxa"/>
            <w:shd w:val="clear" w:color="auto" w:fill="FFFF00"/>
            <w:vAlign w:val="center"/>
          </w:tcPr>
          <w:p w14:paraId="5AB873EA"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7143C82C"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sz w:val="18"/>
                <w:szCs w:val="18"/>
              </w:rPr>
              <w:t>Dūņu pārstrādes metode nodrošina zemas uzturēšanas izmaksas, pie nosacījuma, ka vienuviet tiek nodrošināts ļoti liels pārstrādājamo dūņu apjoms</w:t>
            </w:r>
          </w:p>
        </w:tc>
      </w:tr>
      <w:tr w:rsidR="00EA051D" w:rsidRPr="00512910" w14:paraId="43B4094E" w14:textId="77777777" w:rsidTr="00512910">
        <w:tc>
          <w:tcPr>
            <w:tcW w:w="1696" w:type="dxa"/>
            <w:vAlign w:val="center"/>
          </w:tcPr>
          <w:p w14:paraId="0A26A8AD" w14:textId="77777777" w:rsidR="00EA051D" w:rsidRPr="00512910" w:rsidRDefault="00EA051D" w:rsidP="000C73AC">
            <w:pPr>
              <w:spacing w:after="60"/>
              <w:jc w:val="center"/>
              <w:rPr>
                <w:rFonts w:ascii="Times New Roman" w:hAnsi="Times New Roman" w:cs="Times New Roman"/>
                <w:sz w:val="20"/>
                <w:szCs w:val="20"/>
              </w:rPr>
            </w:pPr>
            <w:r w:rsidRPr="00512910">
              <w:rPr>
                <w:rFonts w:ascii="Times New Roman" w:hAnsi="Times New Roman" w:cs="Times New Roman"/>
                <w:sz w:val="20"/>
                <w:szCs w:val="20"/>
              </w:rPr>
              <w:t>Zemākas kapitālās investīcijas</w:t>
            </w:r>
          </w:p>
        </w:tc>
        <w:tc>
          <w:tcPr>
            <w:tcW w:w="2268" w:type="dxa"/>
            <w:shd w:val="clear" w:color="auto" w:fill="FFFF00"/>
            <w:vAlign w:val="center"/>
          </w:tcPr>
          <w:p w14:paraId="08219944"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0C0183D2"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paredz vidēji lielas nepieciešamās kapitālās investīcijas</w:t>
            </w:r>
          </w:p>
        </w:tc>
        <w:tc>
          <w:tcPr>
            <w:tcW w:w="2410" w:type="dxa"/>
            <w:shd w:val="clear" w:color="auto" w:fill="FFFF00"/>
            <w:vAlign w:val="center"/>
          </w:tcPr>
          <w:p w14:paraId="312AD905"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53D46477"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metode paredz vidēji lielas nepieciešamās kapitālās investīcijas</w:t>
            </w:r>
          </w:p>
        </w:tc>
        <w:tc>
          <w:tcPr>
            <w:tcW w:w="2552" w:type="dxa"/>
            <w:shd w:val="clear" w:color="auto" w:fill="FFFF00"/>
            <w:vAlign w:val="center"/>
          </w:tcPr>
          <w:p w14:paraId="161F064B"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3F4135A6"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pārstrādes kapitālās investīcijas ir zemas pie nosacījuma, ka vienuviet tiek nodrošināts ļoti liels pārstrādājamo dūņu apjoms</w:t>
            </w:r>
          </w:p>
        </w:tc>
      </w:tr>
      <w:tr w:rsidR="00EA051D" w:rsidRPr="00512910" w14:paraId="3CFABCB4" w14:textId="77777777" w:rsidTr="00512910">
        <w:tc>
          <w:tcPr>
            <w:tcW w:w="1696" w:type="dxa"/>
            <w:vAlign w:val="center"/>
          </w:tcPr>
          <w:p w14:paraId="6CD5D3AB" w14:textId="77777777" w:rsidR="00EA051D" w:rsidRPr="00512910" w:rsidRDefault="00000000" w:rsidP="000C73AC">
            <w:pPr>
              <w:spacing w:after="60"/>
              <w:jc w:val="center"/>
              <w:rPr>
                <w:rFonts w:ascii="Times New Roman" w:hAnsi="Times New Roman" w:cs="Times New Roman"/>
                <w:sz w:val="20"/>
                <w:szCs w:val="20"/>
              </w:rPr>
            </w:pPr>
            <w:sdt>
              <w:sdtPr>
                <w:rPr>
                  <w:rFonts w:ascii="Times New Roman" w:hAnsi="Times New Roman" w:cs="Times New Roman"/>
                </w:rPr>
                <w:tag w:val="goog_rdk_11"/>
                <w:id w:val="-1863112886"/>
              </w:sdtPr>
              <w:sdtContent>
                <w:r w:rsidR="00EA051D" w:rsidRPr="00512910">
                  <w:rPr>
                    <w:rFonts w:ascii="Times New Roman" w:hAnsi="Times New Roman" w:cs="Times New Roman"/>
                    <w:sz w:val="20"/>
                    <w:szCs w:val="20"/>
                  </w:rPr>
                  <w:t>V</w:t>
                </w:r>
              </w:sdtContent>
            </w:sdt>
            <w:r w:rsidR="00EA051D" w:rsidRPr="00512910">
              <w:rPr>
                <w:rFonts w:ascii="Times New Roman" w:hAnsi="Times New Roman" w:cs="Times New Roman"/>
                <w:sz w:val="20"/>
                <w:szCs w:val="20"/>
              </w:rPr>
              <w:t>ienkāršāks  ieviešanas scenārijs</w:t>
            </w:r>
          </w:p>
        </w:tc>
        <w:tc>
          <w:tcPr>
            <w:tcW w:w="2268" w:type="dxa"/>
            <w:shd w:val="clear" w:color="auto" w:fill="92D050"/>
            <w:vAlign w:val="center"/>
          </w:tcPr>
          <w:p w14:paraId="62263B42"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6FBC41CB"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Vienkāršākā no dūņu pārstrādes metodēm</w:t>
            </w:r>
          </w:p>
        </w:tc>
        <w:tc>
          <w:tcPr>
            <w:tcW w:w="2410" w:type="dxa"/>
            <w:shd w:val="clear" w:color="auto" w:fill="92D050"/>
            <w:vAlign w:val="center"/>
          </w:tcPr>
          <w:p w14:paraId="2434FB63"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1F9CDB82"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pārstrāde metode kopumā nav sarežģīta</w:t>
            </w:r>
          </w:p>
        </w:tc>
        <w:tc>
          <w:tcPr>
            <w:tcW w:w="2552" w:type="dxa"/>
            <w:shd w:val="clear" w:color="auto" w:fill="FF0000"/>
            <w:vAlign w:val="center"/>
          </w:tcPr>
          <w:p w14:paraId="5F9DDC32"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Neatbilst</w:t>
            </w:r>
          </w:p>
          <w:p w14:paraId="46155F6D"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Dūņu apstrādes metode paredz dažādu tehnoloģisko vienību iesaisti, kuras regulāri jāapkalpo, pastāvīgi jākontrolē to darbība, rezultāti un darba kvalitāte. Pārstrādes process saistīts ar paaugstinātu bīstamību apkalpojošam personālam.</w:t>
            </w:r>
          </w:p>
        </w:tc>
      </w:tr>
      <w:tr w:rsidR="007B6AC2" w:rsidRPr="00512910" w14:paraId="084F9D63" w14:textId="77777777" w:rsidTr="00512910">
        <w:tc>
          <w:tcPr>
            <w:tcW w:w="1696" w:type="dxa"/>
            <w:vAlign w:val="center"/>
          </w:tcPr>
          <w:p w14:paraId="7A2612A3" w14:textId="1A04BED5" w:rsidR="007B6AC2" w:rsidRPr="00512910" w:rsidRDefault="007B6AC2" w:rsidP="007B6AC2">
            <w:pPr>
              <w:spacing w:after="60"/>
              <w:jc w:val="center"/>
              <w:rPr>
                <w:rFonts w:ascii="Times New Roman" w:hAnsi="Times New Roman" w:cs="Times New Roman"/>
                <w:sz w:val="20"/>
                <w:szCs w:val="20"/>
              </w:rPr>
            </w:pPr>
            <w:r w:rsidRPr="00512910">
              <w:rPr>
                <w:rFonts w:ascii="Times New Roman" w:hAnsi="Times New Roman" w:cs="Times New Roman"/>
                <w:sz w:val="20"/>
                <w:szCs w:val="20"/>
              </w:rPr>
              <w:t>Alternatīvu neierobežo noteikts</w:t>
            </w:r>
            <w:r w:rsidR="0006564A" w:rsidRPr="00512910">
              <w:rPr>
                <w:rFonts w:ascii="Times New Roman" w:hAnsi="Times New Roman" w:cs="Times New Roman"/>
                <w:sz w:val="20"/>
                <w:szCs w:val="20"/>
              </w:rPr>
              <w:t xml:space="preserve"> notekūdeņu</w:t>
            </w:r>
            <w:r w:rsidRPr="00512910">
              <w:rPr>
                <w:rFonts w:ascii="Times New Roman" w:hAnsi="Times New Roman" w:cs="Times New Roman"/>
                <w:sz w:val="20"/>
                <w:szCs w:val="20"/>
              </w:rPr>
              <w:t xml:space="preserve"> dūņu apjoms</w:t>
            </w:r>
          </w:p>
        </w:tc>
        <w:tc>
          <w:tcPr>
            <w:tcW w:w="2268" w:type="dxa"/>
            <w:shd w:val="clear" w:color="auto" w:fill="FFFF00"/>
            <w:vAlign w:val="center"/>
          </w:tcPr>
          <w:p w14:paraId="21A601D6" w14:textId="77777777" w:rsidR="007B6AC2" w:rsidRPr="00512910" w:rsidRDefault="007B6AC2" w:rsidP="007B6AC2">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78A123B7" w14:textId="77777777" w:rsidR="007B6AC2" w:rsidRPr="00512910" w:rsidRDefault="007B6AC2" w:rsidP="007B6AC2">
            <w:pPr>
              <w:spacing w:after="60"/>
              <w:jc w:val="center"/>
              <w:rPr>
                <w:rFonts w:ascii="Times New Roman" w:hAnsi="Times New Roman" w:cs="Times New Roman"/>
                <w:sz w:val="18"/>
                <w:szCs w:val="18"/>
              </w:rPr>
            </w:pPr>
            <w:r w:rsidRPr="00512910">
              <w:rPr>
                <w:rFonts w:ascii="Times New Roman" w:hAnsi="Times New Roman" w:cs="Times New Roman"/>
                <w:sz w:val="18"/>
                <w:szCs w:val="18"/>
              </w:rPr>
              <w:t>Alternatīvas ieviešana ir efektīva pie maza vai vidēja dūņu daudzuma (1 000 – 50 000 m</w:t>
            </w:r>
            <w:r w:rsidRPr="00512910">
              <w:rPr>
                <w:rFonts w:ascii="Times New Roman" w:hAnsi="Times New Roman" w:cs="Times New Roman"/>
                <w:sz w:val="18"/>
                <w:szCs w:val="18"/>
                <w:vertAlign w:val="superscript"/>
              </w:rPr>
              <w:t>3</w:t>
            </w:r>
            <w:r w:rsidRPr="00512910">
              <w:rPr>
                <w:rFonts w:ascii="Times New Roman" w:hAnsi="Times New Roman" w:cs="Times New Roman"/>
                <w:sz w:val="18"/>
                <w:szCs w:val="18"/>
              </w:rPr>
              <w:t xml:space="preserve"> slapju dūņu gadā)</w:t>
            </w:r>
          </w:p>
        </w:tc>
        <w:tc>
          <w:tcPr>
            <w:tcW w:w="2410" w:type="dxa"/>
            <w:shd w:val="clear" w:color="auto" w:fill="FFFF00"/>
            <w:vAlign w:val="center"/>
          </w:tcPr>
          <w:p w14:paraId="58E40D6E" w14:textId="77777777" w:rsidR="007B6AC2" w:rsidRPr="00512910" w:rsidRDefault="007B6AC2" w:rsidP="007B6AC2">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Daļēji atbilst</w:t>
            </w:r>
          </w:p>
          <w:p w14:paraId="3FE408CE" w14:textId="77777777" w:rsidR="007B6AC2" w:rsidRPr="00512910" w:rsidRDefault="007B6AC2" w:rsidP="007B6AC2">
            <w:pPr>
              <w:spacing w:after="60"/>
              <w:jc w:val="center"/>
              <w:rPr>
                <w:rFonts w:ascii="Times New Roman" w:hAnsi="Times New Roman" w:cs="Times New Roman"/>
                <w:sz w:val="18"/>
                <w:szCs w:val="18"/>
              </w:rPr>
            </w:pPr>
            <w:r w:rsidRPr="00512910">
              <w:rPr>
                <w:rFonts w:ascii="Times New Roman" w:hAnsi="Times New Roman" w:cs="Times New Roman"/>
                <w:sz w:val="18"/>
                <w:szCs w:val="18"/>
              </w:rPr>
              <w:t>Alternatīvas ieviešana ir efektīva pie  liela dūņu daudzuma (vairāk par 50 000 m</w:t>
            </w:r>
            <w:r w:rsidRPr="00512910">
              <w:rPr>
                <w:rFonts w:ascii="Times New Roman" w:hAnsi="Times New Roman" w:cs="Times New Roman"/>
                <w:sz w:val="18"/>
                <w:szCs w:val="18"/>
                <w:vertAlign w:val="superscript"/>
              </w:rPr>
              <w:t>3</w:t>
            </w:r>
            <w:r w:rsidRPr="00512910">
              <w:rPr>
                <w:rFonts w:ascii="Times New Roman" w:hAnsi="Times New Roman" w:cs="Times New Roman"/>
                <w:sz w:val="18"/>
                <w:szCs w:val="18"/>
              </w:rPr>
              <w:t xml:space="preserve"> slapju dūņu gadā)</w:t>
            </w:r>
          </w:p>
        </w:tc>
        <w:tc>
          <w:tcPr>
            <w:tcW w:w="2552" w:type="dxa"/>
            <w:shd w:val="clear" w:color="auto" w:fill="FF0000"/>
            <w:vAlign w:val="center"/>
          </w:tcPr>
          <w:p w14:paraId="2A32AA7E" w14:textId="77777777" w:rsidR="007B6AC2" w:rsidRPr="00512910" w:rsidRDefault="007B6AC2" w:rsidP="007B6AC2">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Neatbilst</w:t>
            </w:r>
          </w:p>
          <w:p w14:paraId="74C36D93" w14:textId="77777777" w:rsidR="007B6AC2" w:rsidRPr="00512910" w:rsidRDefault="007B6AC2" w:rsidP="007B6AC2">
            <w:pPr>
              <w:spacing w:after="60"/>
              <w:jc w:val="center"/>
              <w:rPr>
                <w:rFonts w:ascii="Times New Roman" w:hAnsi="Times New Roman" w:cs="Times New Roman"/>
                <w:sz w:val="18"/>
                <w:szCs w:val="18"/>
              </w:rPr>
            </w:pPr>
            <w:r w:rsidRPr="00512910">
              <w:rPr>
                <w:rFonts w:ascii="Times New Roman" w:hAnsi="Times New Roman" w:cs="Times New Roman"/>
                <w:sz w:val="18"/>
                <w:szCs w:val="18"/>
              </w:rPr>
              <w:t>Alternatīvas efektivitāte ir cieši saistīta ar apstrādāto dūņu daudzumu un pieaug pie ļoti liela apstrādājamo dūņu apjoma</w:t>
            </w:r>
          </w:p>
        </w:tc>
      </w:tr>
      <w:tr w:rsidR="00EA051D" w:rsidRPr="00512910" w14:paraId="725751C7" w14:textId="77777777" w:rsidTr="00512910">
        <w:tc>
          <w:tcPr>
            <w:tcW w:w="1696" w:type="dxa"/>
            <w:vAlign w:val="center"/>
          </w:tcPr>
          <w:p w14:paraId="7155918A" w14:textId="39D585FD" w:rsidR="00EA051D" w:rsidRPr="00512910" w:rsidRDefault="0006564A" w:rsidP="000C73AC">
            <w:pPr>
              <w:spacing w:after="60"/>
              <w:jc w:val="center"/>
              <w:rPr>
                <w:rFonts w:ascii="Times New Roman" w:hAnsi="Times New Roman" w:cs="Times New Roman"/>
                <w:sz w:val="20"/>
                <w:szCs w:val="20"/>
              </w:rPr>
            </w:pPr>
            <w:r w:rsidRPr="00512910">
              <w:rPr>
                <w:rFonts w:ascii="Times New Roman" w:hAnsi="Times New Roman" w:cs="Times New Roman"/>
                <w:sz w:val="20"/>
                <w:szCs w:val="20"/>
              </w:rPr>
              <w:t>Notekūdeņu d</w:t>
            </w:r>
            <w:r w:rsidR="00EA051D" w:rsidRPr="00512910">
              <w:rPr>
                <w:rFonts w:ascii="Times New Roman" w:hAnsi="Times New Roman" w:cs="Times New Roman"/>
                <w:sz w:val="20"/>
                <w:szCs w:val="20"/>
              </w:rPr>
              <w:t>ūņu apsaimniekošanas uzraudzības ārējā kontrole ir viegli īstenojama un neprasa lielus resursus</w:t>
            </w:r>
          </w:p>
        </w:tc>
        <w:tc>
          <w:tcPr>
            <w:tcW w:w="2268" w:type="dxa"/>
            <w:shd w:val="clear" w:color="auto" w:fill="92D050"/>
            <w:vAlign w:val="center"/>
          </w:tcPr>
          <w:p w14:paraId="7ABD4C45"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4B23FE0F"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Ārējā kontrole ir viegli nodrošināma</w:t>
            </w:r>
          </w:p>
        </w:tc>
        <w:tc>
          <w:tcPr>
            <w:tcW w:w="2410" w:type="dxa"/>
            <w:shd w:val="clear" w:color="auto" w:fill="92D050"/>
            <w:vAlign w:val="center"/>
          </w:tcPr>
          <w:p w14:paraId="3ED65D31"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40C1EF2D"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Ārējā kontrole ir viegli nodrošināma</w:t>
            </w:r>
          </w:p>
        </w:tc>
        <w:tc>
          <w:tcPr>
            <w:tcW w:w="2552" w:type="dxa"/>
            <w:shd w:val="clear" w:color="auto" w:fill="92D050"/>
            <w:vAlign w:val="center"/>
          </w:tcPr>
          <w:p w14:paraId="6B016B09" w14:textId="77777777" w:rsidR="00EA051D" w:rsidRPr="00512910" w:rsidRDefault="00EA051D" w:rsidP="000C73AC">
            <w:pPr>
              <w:spacing w:after="60"/>
              <w:jc w:val="center"/>
              <w:rPr>
                <w:rFonts w:ascii="Times New Roman" w:hAnsi="Times New Roman" w:cs="Times New Roman"/>
                <w:b/>
                <w:sz w:val="18"/>
                <w:szCs w:val="18"/>
              </w:rPr>
            </w:pPr>
            <w:r w:rsidRPr="00512910">
              <w:rPr>
                <w:rFonts w:ascii="Times New Roman" w:hAnsi="Times New Roman" w:cs="Times New Roman"/>
                <w:b/>
                <w:sz w:val="18"/>
                <w:szCs w:val="18"/>
              </w:rPr>
              <w:t>Atbilst</w:t>
            </w:r>
          </w:p>
          <w:p w14:paraId="3074225F" w14:textId="77777777" w:rsidR="00EA051D" w:rsidRPr="00512910" w:rsidRDefault="00EA051D" w:rsidP="000C73AC">
            <w:pPr>
              <w:spacing w:after="60"/>
              <w:jc w:val="center"/>
              <w:rPr>
                <w:rFonts w:ascii="Times New Roman" w:hAnsi="Times New Roman" w:cs="Times New Roman"/>
                <w:sz w:val="18"/>
                <w:szCs w:val="18"/>
              </w:rPr>
            </w:pPr>
            <w:r w:rsidRPr="00512910">
              <w:rPr>
                <w:rFonts w:ascii="Times New Roman" w:hAnsi="Times New Roman" w:cs="Times New Roman"/>
                <w:sz w:val="18"/>
                <w:szCs w:val="18"/>
              </w:rPr>
              <w:t>Ārējā kontrole ir viegli nodrošināma</w:t>
            </w:r>
          </w:p>
        </w:tc>
      </w:tr>
    </w:tbl>
    <w:p w14:paraId="1AE93322" w14:textId="77777777" w:rsidR="00EA051D" w:rsidRPr="00640223" w:rsidRDefault="00EA051D" w:rsidP="00EA051D">
      <w:pPr>
        <w:rPr>
          <w:rFonts w:ascii="Times New Roman" w:hAnsi="Times New Roman" w:cs="Times New Roman"/>
          <w:highlight w:val="yellow"/>
        </w:rPr>
      </w:pPr>
    </w:p>
    <w:p w14:paraId="7F5B724B" w14:textId="0BF1D7DC" w:rsidR="00EA051D" w:rsidRPr="00640223" w:rsidRDefault="00EA051D" w:rsidP="00603B7B">
      <w:pPr>
        <w:spacing w:after="0"/>
        <w:ind w:firstLine="720"/>
        <w:rPr>
          <w:rFonts w:ascii="Times New Roman" w:hAnsi="Times New Roman" w:cs="Times New Roman"/>
        </w:rPr>
      </w:pPr>
      <w:r w:rsidRPr="00640223">
        <w:rPr>
          <w:rFonts w:ascii="Times New Roman" w:hAnsi="Times New Roman" w:cs="Times New Roman"/>
        </w:rPr>
        <w:t>Salīdzinot alternatīvas pēc veiktā izvērtējuma 4.</w:t>
      </w:r>
      <w:r w:rsidR="008B1A89">
        <w:rPr>
          <w:rFonts w:ascii="Times New Roman" w:hAnsi="Times New Roman" w:cs="Times New Roman"/>
        </w:rPr>
        <w:t>4.6</w:t>
      </w:r>
      <w:r w:rsidRPr="00640223">
        <w:rPr>
          <w:rFonts w:ascii="Times New Roman" w:hAnsi="Times New Roman" w:cs="Times New Roman"/>
        </w:rPr>
        <w:t>.tabulā var izdarīt šādus secinājumus:</w:t>
      </w:r>
    </w:p>
    <w:p w14:paraId="723CAA5E" w14:textId="77777777" w:rsidR="00EA051D" w:rsidRPr="00640223" w:rsidRDefault="00EA051D" w:rsidP="00EA051D">
      <w:pPr>
        <w:rPr>
          <w:rFonts w:ascii="Times New Roman" w:hAnsi="Times New Roman" w:cs="Times New Roman"/>
          <w:szCs w:val="20"/>
        </w:rPr>
      </w:pPr>
      <w:r w:rsidRPr="00640223">
        <w:rPr>
          <w:rFonts w:ascii="Times New Roman" w:hAnsi="Times New Roman" w:cs="Times New Roman"/>
          <w:b/>
          <w:szCs w:val="20"/>
        </w:rPr>
        <w:t xml:space="preserve">C1. alternatīva: Mehāniski atūdeņotu (apstrādātu) notekūdeņu dūņu izturēšanas 12 mēnešus </w:t>
      </w:r>
      <w:r w:rsidRPr="00640223">
        <w:rPr>
          <w:rFonts w:ascii="Times New Roman" w:hAnsi="Times New Roman" w:cs="Times New Roman"/>
          <w:szCs w:val="20"/>
        </w:rPr>
        <w:t xml:space="preserve">un </w:t>
      </w:r>
      <w:r w:rsidRPr="00640223">
        <w:rPr>
          <w:rFonts w:ascii="Times New Roman" w:hAnsi="Times New Roman" w:cs="Times New Roman"/>
          <w:b/>
          <w:szCs w:val="20"/>
        </w:rPr>
        <w:t xml:space="preserve">C2. alternatīva: Mehāniski atūdeņotu (apstrādātu) notekūdeņu dūņu kompostēšana </w:t>
      </w:r>
      <w:r w:rsidRPr="00640223">
        <w:rPr>
          <w:rFonts w:ascii="Times New Roman" w:hAnsi="Times New Roman" w:cs="Times New Roman"/>
          <w:szCs w:val="20"/>
        </w:rPr>
        <w:t xml:space="preserve">pēc alternatīvu salīdzinošiem kritērijiem ir vienādas. Tās pilnībā atbilst ES un LR stratēģiju ilgtermiņa mērķiem, kā arī izvirzītajām stratēģijas Vīzijai un Misijai. Abas alternatīvas ir salīdzinoši vienkāršas un jau pazīstamas Latvijas SPS, kā arī sagaidāmā pārstrādes metožu ārējā uzraudzība un kontrole ir vienkārša. Abas alternatīvas raksturo vidēji liels izmaksu apjoms gan ikgadējo uzturēšanas izmaksu jomā, gan nepieciešamo kapitālo investīciju jomā. </w:t>
      </w:r>
    </w:p>
    <w:p w14:paraId="1C60D38F" w14:textId="64699723" w:rsidR="00EA051D" w:rsidRPr="00640223" w:rsidRDefault="00EA051D" w:rsidP="00EA051D">
      <w:pPr>
        <w:rPr>
          <w:rFonts w:ascii="Times New Roman" w:hAnsi="Times New Roman" w:cs="Times New Roman"/>
        </w:rPr>
      </w:pPr>
      <w:r w:rsidRPr="00640223">
        <w:rPr>
          <w:rFonts w:ascii="Times New Roman" w:hAnsi="Times New Roman" w:cs="Times New Roman"/>
          <w:b/>
          <w:szCs w:val="20"/>
        </w:rPr>
        <w:lastRenderedPageBreak/>
        <w:t xml:space="preserve">C3. alternatīva: Iebiezinātu vai mehāniski atūdeņotu (apstrādātu) notekūdeņu dūņu </w:t>
      </w:r>
      <w:r w:rsidR="0080477B" w:rsidRPr="00640223">
        <w:rPr>
          <w:rFonts w:ascii="Times New Roman" w:hAnsi="Times New Roman" w:cs="Times New Roman"/>
          <w:b/>
          <w:szCs w:val="20"/>
        </w:rPr>
        <w:t>mezofilā</w:t>
      </w:r>
      <w:r w:rsidRPr="00640223">
        <w:rPr>
          <w:rFonts w:ascii="Times New Roman" w:hAnsi="Times New Roman" w:cs="Times New Roman"/>
          <w:b/>
          <w:szCs w:val="20"/>
        </w:rPr>
        <w:t xml:space="preserve"> anaerobā sadalīšana – biogāzes ražošana </w:t>
      </w:r>
      <w:r w:rsidRPr="00640223">
        <w:rPr>
          <w:rFonts w:ascii="Times New Roman" w:hAnsi="Times New Roman" w:cs="Times New Roman"/>
          <w:szCs w:val="20"/>
        </w:rPr>
        <w:t>pēc alternatīvu salīdzinošiem kritērijiem ir sliktāka salīdzinājumā ar C1. un C2. alternatīvām. Šo alternatīvu neraksturo vienkāršs ieviešanas scenārijs, kā arī tās priekšrocības izpaužas tikai pie ļoti liela notekūdeņu dūņu apjoma. Alternatīva atbilst un kopumā sasniedz ES un LR stratēģiju ilgtermiņa mērķus, kā arī izvirzītās stratēģijas Vīziju un Misiju un tai ir iespējams nodrošināt vienkāršu ārējo kontroli un uzraudzību, kas neprasa lielus administratīvos resursus. Alternatīvas kapitālās investīcijas un uzturēšanas izmaksas ir zemas tikai pie pietiekami liela pārstrādājamo notekūdeņu dūņu apjoma, kura koncentrēšana nozīmē papildus izmaksas notekūdeņu dūņu pārvadāšanai, savukārt, liela dūņu apjoma koncentrēšana palielina izmaksas fugāta ūdeņu attīrīšanai.</w:t>
      </w:r>
    </w:p>
    <w:p w14:paraId="49A0CEB8" w14:textId="1914FFC0" w:rsidR="00EA051D" w:rsidRDefault="00EA051D" w:rsidP="00EA051D">
      <w:pPr>
        <w:rPr>
          <w:rFonts w:ascii="Times New Roman" w:hAnsi="Times New Roman" w:cs="Times New Roman"/>
        </w:rPr>
      </w:pPr>
      <w:r w:rsidRPr="00640223">
        <w:rPr>
          <w:rFonts w:ascii="Times New Roman" w:hAnsi="Times New Roman" w:cs="Times New Roman"/>
        </w:rPr>
        <w:t>Kopā ar notekūdeņu dūņu pārstrādes veidu atbilstības novērtējumu tiek veikts arī visu alternatīvo risinājumu risku novērtējums.</w:t>
      </w:r>
    </w:p>
    <w:p w14:paraId="55A428F7" w14:textId="77777777" w:rsidR="00640223" w:rsidRPr="00640223" w:rsidRDefault="00640223" w:rsidP="00EA051D">
      <w:pPr>
        <w:rPr>
          <w:rFonts w:ascii="Times New Roman" w:hAnsi="Times New Roman" w:cs="Times New Roman"/>
        </w:rPr>
      </w:pPr>
    </w:p>
    <w:p w14:paraId="126D58EE" w14:textId="44AF844B" w:rsidR="00640223" w:rsidRPr="008B1A89" w:rsidRDefault="008B1A89" w:rsidP="008B1A89">
      <w:p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Cs w:val="24"/>
        </w:rPr>
      </w:pPr>
      <w:r>
        <w:rPr>
          <w:rFonts w:ascii="Times New Roman" w:hAnsi="Times New Roman" w:cs="Times New Roman"/>
          <w:bCs/>
          <w:color w:val="000000"/>
          <w:szCs w:val="24"/>
        </w:rPr>
        <w:t>4.4.7.</w:t>
      </w:r>
      <w:r w:rsidR="00640223" w:rsidRPr="008B1A89">
        <w:rPr>
          <w:rFonts w:ascii="Times New Roman" w:hAnsi="Times New Roman" w:cs="Times New Roman"/>
          <w:bCs/>
          <w:color w:val="000000"/>
          <w:szCs w:val="24"/>
        </w:rPr>
        <w:t>t</w:t>
      </w:r>
      <w:r w:rsidR="00EA051D" w:rsidRPr="008B1A89">
        <w:rPr>
          <w:rFonts w:ascii="Times New Roman" w:hAnsi="Times New Roman" w:cs="Times New Roman"/>
          <w:bCs/>
          <w:color w:val="000000"/>
          <w:szCs w:val="24"/>
        </w:rPr>
        <w:t>abula</w:t>
      </w:r>
    </w:p>
    <w:p w14:paraId="39274468" w14:textId="7BF8CA14" w:rsidR="00EA051D" w:rsidRPr="00640223" w:rsidRDefault="00EA051D" w:rsidP="00640223">
      <w:pPr>
        <w:pBdr>
          <w:top w:val="nil"/>
          <w:left w:val="nil"/>
          <w:bottom w:val="nil"/>
          <w:right w:val="nil"/>
          <w:between w:val="nil"/>
        </w:pBdr>
        <w:suppressAutoHyphens/>
        <w:autoSpaceDN w:val="0"/>
        <w:spacing w:after="0"/>
        <w:ind w:left="48"/>
        <w:jc w:val="center"/>
        <w:textAlignment w:val="baseline"/>
        <w:rPr>
          <w:rFonts w:ascii="Times New Roman" w:hAnsi="Times New Roman" w:cs="Times New Roman"/>
          <w:b/>
          <w:color w:val="000000"/>
          <w:szCs w:val="24"/>
        </w:rPr>
      </w:pPr>
      <w:r w:rsidRPr="00640223">
        <w:rPr>
          <w:rFonts w:ascii="Times New Roman" w:hAnsi="Times New Roman" w:cs="Times New Roman"/>
          <w:b/>
          <w:color w:val="000000"/>
          <w:szCs w:val="24"/>
        </w:rPr>
        <w:t>Notekūdeņu dūņu pārstrādes alternatīvu risku novērtējums</w:t>
      </w:r>
    </w:p>
    <w:tbl>
      <w:tblPr>
        <w:tblStyle w:val="31"/>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985"/>
        <w:gridCol w:w="2126"/>
        <w:gridCol w:w="2552"/>
      </w:tblGrid>
      <w:tr w:rsidR="00EA051D" w:rsidRPr="00640223" w14:paraId="5ECF37DD" w14:textId="77777777" w:rsidTr="00640223">
        <w:tc>
          <w:tcPr>
            <w:tcW w:w="2263" w:type="dxa"/>
            <w:vAlign w:val="center"/>
          </w:tcPr>
          <w:p w14:paraId="32782246" w14:textId="77777777" w:rsidR="00EA051D" w:rsidRPr="00640223" w:rsidRDefault="00000000" w:rsidP="004E438F">
            <w:pPr>
              <w:spacing w:after="60"/>
              <w:jc w:val="left"/>
              <w:rPr>
                <w:rFonts w:ascii="Times New Roman" w:hAnsi="Times New Roman" w:cs="Times New Roman"/>
                <w:b/>
                <w:sz w:val="20"/>
                <w:szCs w:val="20"/>
              </w:rPr>
            </w:pPr>
            <w:sdt>
              <w:sdtPr>
                <w:rPr>
                  <w:rFonts w:ascii="Times New Roman" w:hAnsi="Times New Roman" w:cs="Times New Roman"/>
                </w:rPr>
                <w:tag w:val="goog_rdk_66"/>
                <w:id w:val="-1645581549"/>
              </w:sdtPr>
              <w:sdtContent>
                <w:r w:rsidR="00EA051D" w:rsidRPr="00640223">
                  <w:rPr>
                    <w:rFonts w:ascii="Times New Roman" w:hAnsi="Times New Roman" w:cs="Times New Roman"/>
                    <w:b/>
                    <w:sz w:val="20"/>
                    <w:szCs w:val="20"/>
                  </w:rPr>
                  <w:t>R</w:t>
                </w:r>
              </w:sdtContent>
            </w:sdt>
            <w:r w:rsidR="00EA051D" w:rsidRPr="00640223">
              <w:rPr>
                <w:rFonts w:ascii="Times New Roman" w:hAnsi="Times New Roman" w:cs="Times New Roman"/>
                <w:b/>
                <w:sz w:val="20"/>
                <w:szCs w:val="20"/>
              </w:rPr>
              <w:t>isku novērtējums</w:t>
            </w:r>
          </w:p>
        </w:tc>
        <w:tc>
          <w:tcPr>
            <w:tcW w:w="1985" w:type="dxa"/>
            <w:shd w:val="clear" w:color="auto" w:fill="auto"/>
            <w:vAlign w:val="center"/>
          </w:tcPr>
          <w:p w14:paraId="45C79EC3" w14:textId="77777777" w:rsidR="00EA051D" w:rsidRPr="00640223" w:rsidRDefault="00EA051D" w:rsidP="0006564A">
            <w:pPr>
              <w:spacing w:after="60"/>
              <w:ind w:left="-108" w:right="-15"/>
              <w:jc w:val="center"/>
              <w:rPr>
                <w:rFonts w:ascii="Times New Roman" w:hAnsi="Times New Roman" w:cs="Times New Roman"/>
                <w:b/>
                <w:sz w:val="20"/>
                <w:szCs w:val="20"/>
              </w:rPr>
            </w:pPr>
            <w:r w:rsidRPr="00640223">
              <w:rPr>
                <w:rFonts w:ascii="Times New Roman" w:hAnsi="Times New Roman" w:cs="Times New Roman"/>
                <w:b/>
                <w:sz w:val="20"/>
                <w:szCs w:val="20"/>
              </w:rPr>
              <w:t>C1.Alternatīva: Mehāniski atūdeņotu (apstrādātu) notekūdeņu dūņu izturēšanas 12 mēnešus</w:t>
            </w:r>
          </w:p>
        </w:tc>
        <w:tc>
          <w:tcPr>
            <w:tcW w:w="2126" w:type="dxa"/>
            <w:shd w:val="clear" w:color="auto" w:fill="auto"/>
            <w:vAlign w:val="center"/>
          </w:tcPr>
          <w:p w14:paraId="162275AF" w14:textId="77777777" w:rsidR="00EA051D" w:rsidRPr="00640223" w:rsidRDefault="00EA051D" w:rsidP="000C73AC">
            <w:pPr>
              <w:spacing w:after="60"/>
              <w:jc w:val="center"/>
              <w:rPr>
                <w:rFonts w:ascii="Times New Roman" w:hAnsi="Times New Roman" w:cs="Times New Roman"/>
                <w:b/>
                <w:sz w:val="20"/>
                <w:szCs w:val="20"/>
              </w:rPr>
            </w:pPr>
            <w:r w:rsidRPr="00640223">
              <w:rPr>
                <w:rFonts w:ascii="Times New Roman" w:hAnsi="Times New Roman" w:cs="Times New Roman"/>
                <w:b/>
                <w:sz w:val="20"/>
                <w:szCs w:val="20"/>
              </w:rPr>
              <w:t>C2.Alternatīva: Mehāniski atūdeņotu (apstrādātu) notekūdeņu dūņu kompostēšana</w:t>
            </w:r>
          </w:p>
        </w:tc>
        <w:tc>
          <w:tcPr>
            <w:tcW w:w="2552" w:type="dxa"/>
            <w:vAlign w:val="center"/>
          </w:tcPr>
          <w:p w14:paraId="4309820E" w14:textId="15C9B333" w:rsidR="00EA051D" w:rsidRPr="00640223" w:rsidRDefault="00EA051D" w:rsidP="000C73AC">
            <w:pPr>
              <w:spacing w:after="60"/>
              <w:jc w:val="center"/>
              <w:rPr>
                <w:rFonts w:ascii="Times New Roman" w:hAnsi="Times New Roman" w:cs="Times New Roman"/>
                <w:b/>
                <w:sz w:val="20"/>
                <w:szCs w:val="20"/>
              </w:rPr>
            </w:pPr>
            <w:r w:rsidRPr="00640223">
              <w:rPr>
                <w:rFonts w:ascii="Times New Roman" w:hAnsi="Times New Roman" w:cs="Times New Roman"/>
                <w:b/>
                <w:sz w:val="20"/>
                <w:szCs w:val="20"/>
              </w:rPr>
              <w:t xml:space="preserve">C3.Alternatīva: Iebiezinātu vai mehāniski atūdeņotu (apstrādātu) notekūdeņu dūņu </w:t>
            </w:r>
            <w:r w:rsidR="0080477B" w:rsidRPr="00640223">
              <w:rPr>
                <w:rFonts w:ascii="Times New Roman" w:hAnsi="Times New Roman" w:cs="Times New Roman"/>
                <w:b/>
                <w:sz w:val="20"/>
                <w:szCs w:val="20"/>
              </w:rPr>
              <w:t>mezofilā</w:t>
            </w:r>
            <w:r w:rsidRPr="00640223">
              <w:rPr>
                <w:rFonts w:ascii="Times New Roman" w:hAnsi="Times New Roman" w:cs="Times New Roman"/>
                <w:b/>
                <w:sz w:val="20"/>
                <w:szCs w:val="20"/>
              </w:rPr>
              <w:t xml:space="preserve"> anaerobā sadalīšana – biogāzes ražošana</w:t>
            </w:r>
          </w:p>
        </w:tc>
      </w:tr>
      <w:tr w:rsidR="00EA051D" w:rsidRPr="00640223" w14:paraId="488EC0C1" w14:textId="77777777" w:rsidTr="00640223">
        <w:tc>
          <w:tcPr>
            <w:tcW w:w="2263" w:type="dxa"/>
            <w:vAlign w:val="center"/>
          </w:tcPr>
          <w:p w14:paraId="4E9EFEE3" w14:textId="77777777" w:rsidR="00EA051D" w:rsidRPr="00640223" w:rsidRDefault="00EA051D" w:rsidP="004E438F">
            <w:pPr>
              <w:spacing w:after="60"/>
              <w:jc w:val="left"/>
              <w:rPr>
                <w:rFonts w:ascii="Times New Roman" w:hAnsi="Times New Roman" w:cs="Times New Roman"/>
                <w:b/>
                <w:sz w:val="20"/>
                <w:szCs w:val="20"/>
              </w:rPr>
            </w:pPr>
            <w:r w:rsidRPr="00640223">
              <w:rPr>
                <w:rFonts w:ascii="Times New Roman" w:hAnsi="Times New Roman" w:cs="Times New Roman"/>
                <w:b/>
                <w:sz w:val="20"/>
                <w:szCs w:val="20"/>
              </w:rPr>
              <w:t>Iekšējie riski</w:t>
            </w:r>
          </w:p>
        </w:tc>
        <w:tc>
          <w:tcPr>
            <w:tcW w:w="1985" w:type="dxa"/>
            <w:shd w:val="clear" w:color="auto" w:fill="auto"/>
            <w:vAlign w:val="center"/>
          </w:tcPr>
          <w:p w14:paraId="44A52FFE" w14:textId="77777777" w:rsidR="00EA051D" w:rsidRPr="00640223" w:rsidRDefault="00EA051D" w:rsidP="000C73AC">
            <w:pPr>
              <w:spacing w:after="60"/>
              <w:jc w:val="center"/>
              <w:rPr>
                <w:rFonts w:ascii="Times New Roman" w:hAnsi="Times New Roman" w:cs="Times New Roman"/>
                <w:b/>
                <w:sz w:val="18"/>
                <w:szCs w:val="18"/>
              </w:rPr>
            </w:pPr>
          </w:p>
        </w:tc>
        <w:tc>
          <w:tcPr>
            <w:tcW w:w="2126" w:type="dxa"/>
            <w:shd w:val="clear" w:color="auto" w:fill="auto"/>
            <w:vAlign w:val="center"/>
          </w:tcPr>
          <w:p w14:paraId="102F01D6" w14:textId="77777777" w:rsidR="00EA051D" w:rsidRPr="00640223" w:rsidRDefault="00EA051D" w:rsidP="000C73AC">
            <w:pPr>
              <w:spacing w:after="60"/>
              <w:jc w:val="center"/>
              <w:rPr>
                <w:rFonts w:ascii="Times New Roman" w:hAnsi="Times New Roman" w:cs="Times New Roman"/>
                <w:b/>
                <w:sz w:val="18"/>
                <w:szCs w:val="18"/>
              </w:rPr>
            </w:pPr>
          </w:p>
        </w:tc>
        <w:tc>
          <w:tcPr>
            <w:tcW w:w="2552" w:type="dxa"/>
            <w:vAlign w:val="center"/>
          </w:tcPr>
          <w:p w14:paraId="76662B0E" w14:textId="77777777" w:rsidR="00EA051D" w:rsidRPr="00640223" w:rsidRDefault="00EA051D" w:rsidP="000C73AC">
            <w:pPr>
              <w:spacing w:after="60"/>
              <w:jc w:val="center"/>
              <w:rPr>
                <w:rFonts w:ascii="Times New Roman" w:hAnsi="Times New Roman" w:cs="Times New Roman"/>
                <w:b/>
                <w:sz w:val="18"/>
                <w:szCs w:val="18"/>
              </w:rPr>
            </w:pPr>
          </w:p>
        </w:tc>
      </w:tr>
      <w:tr w:rsidR="00EA051D" w:rsidRPr="00640223" w14:paraId="5A4271F0" w14:textId="77777777" w:rsidTr="00640223">
        <w:tc>
          <w:tcPr>
            <w:tcW w:w="2263" w:type="dxa"/>
            <w:vAlign w:val="center"/>
          </w:tcPr>
          <w:p w14:paraId="278591F1"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Alternatīva paredz būtiskas izmaiņas esošajā apsaimniekošanas pārvaldībā, kam var nebūt pietiekošs atbalsts</w:t>
            </w:r>
          </w:p>
        </w:tc>
        <w:tc>
          <w:tcPr>
            <w:tcW w:w="1985" w:type="dxa"/>
            <w:shd w:val="clear" w:color="auto" w:fill="92D050"/>
            <w:vAlign w:val="center"/>
          </w:tcPr>
          <w:p w14:paraId="4A3C9E9F"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129E0BF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543D99CF"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37B568E2" w14:textId="77777777" w:rsidTr="00640223">
        <w:tc>
          <w:tcPr>
            <w:tcW w:w="2263" w:type="dxa"/>
            <w:vAlign w:val="center"/>
          </w:tcPr>
          <w:p w14:paraId="4219F8ED"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Nepieciešams ieviest jaunas tehnoloģijas dūņu pārstrādē, kas esošajiem SPS nav pazīstamas, var izraisīt būtisku pretestību</w:t>
            </w:r>
          </w:p>
        </w:tc>
        <w:tc>
          <w:tcPr>
            <w:tcW w:w="1985" w:type="dxa"/>
            <w:shd w:val="clear" w:color="auto" w:fill="92D050"/>
            <w:vAlign w:val="center"/>
          </w:tcPr>
          <w:p w14:paraId="796F75C9"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44068A1E"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49ED8288"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r w:rsidR="00EA051D" w:rsidRPr="00640223" w14:paraId="385CA4C4" w14:textId="77777777" w:rsidTr="00640223">
        <w:tc>
          <w:tcPr>
            <w:tcW w:w="2263" w:type="dxa"/>
            <w:vAlign w:val="center"/>
          </w:tcPr>
          <w:p w14:paraId="458578E6"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Nepieciešams īpaši apmācīts personāls, kas šobrīd nav pieejams</w:t>
            </w:r>
          </w:p>
        </w:tc>
        <w:tc>
          <w:tcPr>
            <w:tcW w:w="1985" w:type="dxa"/>
            <w:shd w:val="clear" w:color="auto" w:fill="92D050"/>
            <w:vAlign w:val="center"/>
          </w:tcPr>
          <w:p w14:paraId="2C7BDE61"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270F0C60"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075A9040"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r w:rsidR="00EA051D" w:rsidRPr="00640223" w14:paraId="56AAD0A9" w14:textId="77777777" w:rsidTr="00640223">
        <w:tc>
          <w:tcPr>
            <w:tcW w:w="2263" w:type="dxa"/>
            <w:vAlign w:val="center"/>
          </w:tcPr>
          <w:p w14:paraId="5529D1E9"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Alternatīvas ieviešanai ir nepieciešamas piesaistīt būtiskas finanšu investīcijas, kas var nebūt pieejamas</w:t>
            </w:r>
          </w:p>
        </w:tc>
        <w:tc>
          <w:tcPr>
            <w:tcW w:w="1985" w:type="dxa"/>
            <w:shd w:val="clear" w:color="auto" w:fill="92D050"/>
            <w:vAlign w:val="center"/>
          </w:tcPr>
          <w:p w14:paraId="4066C843"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421D8C67"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02A03200"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1D9B5DF6" w14:textId="77777777" w:rsidTr="00640223">
        <w:tc>
          <w:tcPr>
            <w:tcW w:w="2263" w:type="dxa"/>
            <w:vAlign w:val="center"/>
          </w:tcPr>
          <w:p w14:paraId="7213D91B"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 xml:space="preserve">Alternatīvas ieviešanai nepieciešamas būtiskas </w:t>
            </w:r>
            <w:r w:rsidRPr="00640223">
              <w:rPr>
                <w:rFonts w:ascii="Times New Roman" w:hAnsi="Times New Roman" w:cs="Times New Roman"/>
                <w:sz w:val="20"/>
                <w:szCs w:val="20"/>
              </w:rPr>
              <w:lastRenderedPageBreak/>
              <w:t>papildus zemes platības, kas var nebūt pieejamas</w:t>
            </w:r>
          </w:p>
        </w:tc>
        <w:tc>
          <w:tcPr>
            <w:tcW w:w="1985" w:type="dxa"/>
            <w:shd w:val="clear" w:color="auto" w:fill="92D050"/>
            <w:vAlign w:val="center"/>
          </w:tcPr>
          <w:p w14:paraId="7E7CDF5C"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lastRenderedPageBreak/>
              <w:t>Zems</w:t>
            </w:r>
          </w:p>
        </w:tc>
        <w:tc>
          <w:tcPr>
            <w:tcW w:w="2126" w:type="dxa"/>
            <w:shd w:val="clear" w:color="auto" w:fill="92D050"/>
            <w:vAlign w:val="center"/>
          </w:tcPr>
          <w:p w14:paraId="1791C4AF"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92D050"/>
            <w:vAlign w:val="center"/>
          </w:tcPr>
          <w:p w14:paraId="4E333594"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r>
      <w:tr w:rsidR="00EA051D" w:rsidRPr="00640223" w14:paraId="7A2F509E" w14:textId="77777777" w:rsidTr="00640223">
        <w:tc>
          <w:tcPr>
            <w:tcW w:w="2263" w:type="dxa"/>
            <w:vAlign w:val="center"/>
          </w:tcPr>
          <w:p w14:paraId="6C706F1F"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Ieguldītās investīcijas tiek izmantotas, bet sasniegtais rezultāts nesniedz paredzēto efektu</w:t>
            </w:r>
          </w:p>
        </w:tc>
        <w:tc>
          <w:tcPr>
            <w:tcW w:w="1985" w:type="dxa"/>
            <w:shd w:val="clear" w:color="auto" w:fill="92D050"/>
            <w:vAlign w:val="center"/>
          </w:tcPr>
          <w:p w14:paraId="3063E06A"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02A50892"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92D050"/>
            <w:vAlign w:val="center"/>
          </w:tcPr>
          <w:p w14:paraId="1046762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r>
      <w:tr w:rsidR="00EA051D" w:rsidRPr="00640223" w14:paraId="00C4FA3D" w14:textId="77777777" w:rsidTr="00640223">
        <w:tc>
          <w:tcPr>
            <w:tcW w:w="2263" w:type="dxa"/>
            <w:vAlign w:val="center"/>
          </w:tcPr>
          <w:p w14:paraId="0434B2D1"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Augsts alternatīvas ikgadējo uzturēšanas izmaksu risks</w:t>
            </w:r>
          </w:p>
        </w:tc>
        <w:tc>
          <w:tcPr>
            <w:tcW w:w="1985" w:type="dxa"/>
            <w:shd w:val="clear" w:color="auto" w:fill="92D050"/>
            <w:vAlign w:val="center"/>
          </w:tcPr>
          <w:p w14:paraId="74BCA150"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FFC000"/>
            <w:vAlign w:val="center"/>
          </w:tcPr>
          <w:p w14:paraId="03856C68"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c>
          <w:tcPr>
            <w:tcW w:w="2552" w:type="dxa"/>
            <w:shd w:val="clear" w:color="auto" w:fill="FFC000"/>
            <w:vAlign w:val="center"/>
          </w:tcPr>
          <w:p w14:paraId="309C8C74"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31ADA8AC" w14:textId="77777777" w:rsidTr="00640223">
        <w:tc>
          <w:tcPr>
            <w:tcW w:w="2263" w:type="dxa"/>
            <w:vAlign w:val="center"/>
          </w:tcPr>
          <w:p w14:paraId="1FC09D33"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Netiek sasniegta aprites ekonomikas principu ieviešana, resursu atgūšana un atgriešana ekonomikā</w:t>
            </w:r>
          </w:p>
        </w:tc>
        <w:tc>
          <w:tcPr>
            <w:tcW w:w="1985" w:type="dxa"/>
            <w:shd w:val="clear" w:color="auto" w:fill="92D050"/>
            <w:vAlign w:val="center"/>
          </w:tcPr>
          <w:p w14:paraId="3B5B795B"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3F4B7682"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92D050"/>
            <w:vAlign w:val="center"/>
          </w:tcPr>
          <w:p w14:paraId="4D0E1E4F"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r>
      <w:tr w:rsidR="00EA051D" w:rsidRPr="00640223" w14:paraId="105B5404" w14:textId="77777777" w:rsidTr="00640223">
        <w:tc>
          <w:tcPr>
            <w:tcW w:w="2263" w:type="dxa"/>
            <w:vAlign w:val="center"/>
          </w:tcPr>
          <w:p w14:paraId="6E2C9E81" w14:textId="77777777" w:rsidR="00EA051D" w:rsidRPr="00640223" w:rsidRDefault="00EA051D" w:rsidP="004E438F">
            <w:pPr>
              <w:spacing w:after="60"/>
              <w:jc w:val="left"/>
              <w:rPr>
                <w:rFonts w:ascii="Times New Roman" w:hAnsi="Times New Roman" w:cs="Times New Roman"/>
                <w:b/>
                <w:sz w:val="20"/>
                <w:szCs w:val="20"/>
              </w:rPr>
            </w:pPr>
            <w:r w:rsidRPr="00640223">
              <w:rPr>
                <w:rFonts w:ascii="Times New Roman" w:hAnsi="Times New Roman" w:cs="Times New Roman"/>
                <w:b/>
                <w:sz w:val="20"/>
                <w:szCs w:val="20"/>
              </w:rPr>
              <w:t>Ārējie riski</w:t>
            </w:r>
          </w:p>
        </w:tc>
        <w:tc>
          <w:tcPr>
            <w:tcW w:w="1985" w:type="dxa"/>
            <w:shd w:val="clear" w:color="auto" w:fill="auto"/>
            <w:vAlign w:val="center"/>
          </w:tcPr>
          <w:p w14:paraId="40C9BAC4" w14:textId="77777777" w:rsidR="00EA051D" w:rsidRPr="00640223" w:rsidRDefault="00EA051D" w:rsidP="000C73AC">
            <w:pPr>
              <w:spacing w:after="60"/>
              <w:jc w:val="center"/>
              <w:rPr>
                <w:rFonts w:ascii="Times New Roman" w:hAnsi="Times New Roman" w:cs="Times New Roman"/>
                <w:b/>
                <w:sz w:val="18"/>
                <w:szCs w:val="18"/>
              </w:rPr>
            </w:pPr>
          </w:p>
        </w:tc>
        <w:tc>
          <w:tcPr>
            <w:tcW w:w="2126" w:type="dxa"/>
            <w:shd w:val="clear" w:color="auto" w:fill="auto"/>
            <w:vAlign w:val="center"/>
          </w:tcPr>
          <w:p w14:paraId="160ECD71" w14:textId="77777777" w:rsidR="00EA051D" w:rsidRPr="00640223" w:rsidRDefault="00EA051D" w:rsidP="000C73AC">
            <w:pPr>
              <w:spacing w:after="60"/>
              <w:jc w:val="center"/>
              <w:rPr>
                <w:rFonts w:ascii="Times New Roman" w:hAnsi="Times New Roman" w:cs="Times New Roman"/>
                <w:b/>
                <w:sz w:val="18"/>
                <w:szCs w:val="18"/>
              </w:rPr>
            </w:pPr>
          </w:p>
        </w:tc>
        <w:tc>
          <w:tcPr>
            <w:tcW w:w="2552" w:type="dxa"/>
            <w:vAlign w:val="center"/>
          </w:tcPr>
          <w:p w14:paraId="50EC3287" w14:textId="77777777" w:rsidR="00EA051D" w:rsidRPr="00640223" w:rsidRDefault="00EA051D" w:rsidP="000C73AC">
            <w:pPr>
              <w:spacing w:after="60"/>
              <w:jc w:val="center"/>
              <w:rPr>
                <w:rFonts w:ascii="Times New Roman" w:hAnsi="Times New Roman" w:cs="Times New Roman"/>
                <w:b/>
                <w:sz w:val="18"/>
                <w:szCs w:val="18"/>
              </w:rPr>
            </w:pPr>
          </w:p>
        </w:tc>
      </w:tr>
      <w:tr w:rsidR="00EA051D" w:rsidRPr="00640223" w14:paraId="6444D7EC" w14:textId="77777777" w:rsidTr="00640223">
        <w:tc>
          <w:tcPr>
            <w:tcW w:w="2263" w:type="dxa"/>
            <w:vAlign w:val="center"/>
          </w:tcPr>
          <w:p w14:paraId="1AB2D14E"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Alternatīvas ieviešanai nepieciešamas būtiskas izmaiņas esošo normatīvo aktu regulējumā</w:t>
            </w:r>
          </w:p>
        </w:tc>
        <w:tc>
          <w:tcPr>
            <w:tcW w:w="1985" w:type="dxa"/>
            <w:shd w:val="clear" w:color="auto" w:fill="92D050"/>
            <w:vAlign w:val="center"/>
          </w:tcPr>
          <w:p w14:paraId="59146B7C"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7F6C5F31"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7B8CD142"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1087C18B" w14:textId="77777777" w:rsidTr="00640223">
        <w:tc>
          <w:tcPr>
            <w:tcW w:w="2263" w:type="dxa"/>
            <w:vAlign w:val="center"/>
          </w:tcPr>
          <w:p w14:paraId="401C57D2"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Alternatīvas ieviešanai nepieciešami būtiski ārējais atbalsts no ES, LR ministrijām u.c. institūcijām</w:t>
            </w:r>
          </w:p>
        </w:tc>
        <w:tc>
          <w:tcPr>
            <w:tcW w:w="1985" w:type="dxa"/>
            <w:shd w:val="clear" w:color="auto" w:fill="92D050"/>
            <w:vAlign w:val="center"/>
          </w:tcPr>
          <w:p w14:paraId="1A61DA0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36F5DDA4"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11449EAB"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r w:rsidR="00EA051D" w:rsidRPr="00640223" w14:paraId="50A4D7BB" w14:textId="77777777" w:rsidTr="00640223">
        <w:tc>
          <w:tcPr>
            <w:tcW w:w="2263" w:type="dxa"/>
            <w:vAlign w:val="center"/>
          </w:tcPr>
          <w:p w14:paraId="4318A68C" w14:textId="77777777" w:rsidR="00EA051D" w:rsidRPr="00640223" w:rsidRDefault="00000000" w:rsidP="004E438F">
            <w:pPr>
              <w:spacing w:after="60"/>
              <w:jc w:val="left"/>
              <w:rPr>
                <w:rFonts w:ascii="Times New Roman" w:hAnsi="Times New Roman" w:cs="Times New Roman"/>
                <w:sz w:val="20"/>
                <w:szCs w:val="20"/>
              </w:rPr>
            </w:pPr>
            <w:sdt>
              <w:sdtPr>
                <w:rPr>
                  <w:rFonts w:ascii="Times New Roman" w:hAnsi="Times New Roman" w:cs="Times New Roman"/>
                </w:rPr>
                <w:tag w:val="goog_rdk_13"/>
                <w:id w:val="565610185"/>
              </w:sdtPr>
              <w:sdtContent/>
            </w:sdt>
            <w:r w:rsidR="00EA051D" w:rsidRPr="00640223">
              <w:rPr>
                <w:rFonts w:ascii="Times New Roman" w:hAnsi="Times New Roman" w:cs="Times New Roman"/>
                <w:sz w:val="20"/>
                <w:szCs w:val="20"/>
              </w:rPr>
              <w:t>Alternatīvai ir būtiski riski pastāvēt ilgtermiņā</w:t>
            </w:r>
          </w:p>
        </w:tc>
        <w:tc>
          <w:tcPr>
            <w:tcW w:w="1985" w:type="dxa"/>
            <w:shd w:val="clear" w:color="auto" w:fill="92D050"/>
            <w:vAlign w:val="center"/>
          </w:tcPr>
          <w:p w14:paraId="23BA136A"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34879915"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 xml:space="preserve">Zems </w:t>
            </w:r>
          </w:p>
        </w:tc>
        <w:tc>
          <w:tcPr>
            <w:tcW w:w="2552" w:type="dxa"/>
            <w:shd w:val="clear" w:color="auto" w:fill="92D050"/>
            <w:vAlign w:val="center"/>
          </w:tcPr>
          <w:p w14:paraId="510890B9"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r>
      <w:tr w:rsidR="00EA051D" w:rsidRPr="00640223" w14:paraId="46986030" w14:textId="77777777" w:rsidTr="00640223">
        <w:tc>
          <w:tcPr>
            <w:tcW w:w="2263" w:type="dxa"/>
            <w:vAlign w:val="center"/>
          </w:tcPr>
          <w:p w14:paraId="5EF5088F"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 xml:space="preserve">Alternatīvai ir būtiski aizstājoši risinājumi </w:t>
            </w:r>
          </w:p>
        </w:tc>
        <w:tc>
          <w:tcPr>
            <w:tcW w:w="1985" w:type="dxa"/>
            <w:shd w:val="clear" w:color="auto" w:fill="92D050"/>
            <w:vAlign w:val="center"/>
          </w:tcPr>
          <w:p w14:paraId="795637CD"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7BA7BC37"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6CEC76D9"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01BE0923" w14:textId="77777777" w:rsidTr="00640223">
        <w:tc>
          <w:tcPr>
            <w:tcW w:w="2263" w:type="dxa"/>
            <w:vAlign w:val="center"/>
          </w:tcPr>
          <w:p w14:paraId="5EAEE6EE" w14:textId="77777777" w:rsidR="00EA051D" w:rsidRPr="00640223" w:rsidRDefault="00000000" w:rsidP="004E438F">
            <w:pPr>
              <w:spacing w:after="60"/>
              <w:jc w:val="left"/>
              <w:rPr>
                <w:rFonts w:ascii="Times New Roman" w:hAnsi="Times New Roman" w:cs="Times New Roman"/>
                <w:sz w:val="20"/>
                <w:szCs w:val="20"/>
              </w:rPr>
            </w:pPr>
            <w:sdt>
              <w:sdtPr>
                <w:rPr>
                  <w:rFonts w:ascii="Times New Roman" w:hAnsi="Times New Roman" w:cs="Times New Roman"/>
                </w:rPr>
                <w:tag w:val="goog_rdk_14"/>
                <w:id w:val="609249227"/>
              </w:sdtPr>
              <w:sdtContent>
                <w:r w:rsidR="00EA051D" w:rsidRPr="00640223">
                  <w:rPr>
                    <w:rFonts w:ascii="Times New Roman" w:hAnsi="Times New Roman" w:cs="Times New Roman"/>
                    <w:sz w:val="20"/>
                    <w:szCs w:val="20"/>
                  </w:rPr>
                  <w:t>A</w:t>
                </w:r>
              </w:sdtContent>
            </w:sdt>
            <w:r w:rsidR="00EA051D" w:rsidRPr="00640223">
              <w:rPr>
                <w:rFonts w:ascii="Times New Roman" w:hAnsi="Times New Roman" w:cs="Times New Roman"/>
                <w:sz w:val="20"/>
                <w:szCs w:val="20"/>
              </w:rPr>
              <w:t xml:space="preserve">lternatīva ir </w:t>
            </w:r>
            <w:sdt>
              <w:sdtPr>
                <w:rPr>
                  <w:rFonts w:ascii="Times New Roman" w:hAnsi="Times New Roman" w:cs="Times New Roman"/>
                </w:rPr>
                <w:tag w:val="goog_rdk_14"/>
                <w:id w:val="682477346"/>
              </w:sdtPr>
              <w:sdtContent/>
            </w:sdt>
            <w:r w:rsidR="00EA051D" w:rsidRPr="00640223">
              <w:rPr>
                <w:rFonts w:ascii="Times New Roman" w:hAnsi="Times New Roman" w:cs="Times New Roman"/>
                <w:sz w:val="20"/>
                <w:szCs w:val="20"/>
              </w:rPr>
              <w:t>sarežģīta, kas rada riskus tās ieviešanai</w:t>
            </w:r>
          </w:p>
        </w:tc>
        <w:tc>
          <w:tcPr>
            <w:tcW w:w="1985" w:type="dxa"/>
            <w:shd w:val="clear" w:color="auto" w:fill="92D050"/>
            <w:vAlign w:val="center"/>
          </w:tcPr>
          <w:p w14:paraId="76DE1BF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41E3B4F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57A2204D"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r w:rsidR="00EA051D" w:rsidRPr="00640223" w14:paraId="2D89111F" w14:textId="77777777" w:rsidTr="00640223">
        <w:tc>
          <w:tcPr>
            <w:tcW w:w="2263" w:type="dxa"/>
            <w:vAlign w:val="center"/>
          </w:tcPr>
          <w:p w14:paraId="72712B0D" w14:textId="77777777" w:rsidR="00EA051D" w:rsidRPr="00640223" w:rsidRDefault="00EA051D" w:rsidP="004E438F">
            <w:pPr>
              <w:spacing w:after="60"/>
              <w:jc w:val="left"/>
              <w:rPr>
                <w:rFonts w:ascii="Times New Roman" w:hAnsi="Times New Roman" w:cs="Times New Roman"/>
                <w:b/>
                <w:sz w:val="20"/>
                <w:szCs w:val="20"/>
              </w:rPr>
            </w:pPr>
            <w:r w:rsidRPr="00640223">
              <w:rPr>
                <w:rFonts w:ascii="Times New Roman" w:hAnsi="Times New Roman" w:cs="Times New Roman"/>
                <w:b/>
                <w:sz w:val="20"/>
                <w:szCs w:val="20"/>
              </w:rPr>
              <w:t>Vides riski</w:t>
            </w:r>
          </w:p>
        </w:tc>
        <w:tc>
          <w:tcPr>
            <w:tcW w:w="1985" w:type="dxa"/>
            <w:shd w:val="clear" w:color="auto" w:fill="auto"/>
            <w:vAlign w:val="center"/>
          </w:tcPr>
          <w:p w14:paraId="7A8D796C" w14:textId="77777777" w:rsidR="00EA051D" w:rsidRPr="00640223" w:rsidRDefault="00EA051D" w:rsidP="000C73AC">
            <w:pPr>
              <w:spacing w:after="60"/>
              <w:jc w:val="center"/>
              <w:rPr>
                <w:rFonts w:ascii="Times New Roman" w:hAnsi="Times New Roman" w:cs="Times New Roman"/>
                <w:b/>
                <w:sz w:val="18"/>
                <w:szCs w:val="18"/>
              </w:rPr>
            </w:pPr>
          </w:p>
        </w:tc>
        <w:tc>
          <w:tcPr>
            <w:tcW w:w="2126" w:type="dxa"/>
            <w:shd w:val="clear" w:color="auto" w:fill="auto"/>
            <w:vAlign w:val="center"/>
          </w:tcPr>
          <w:p w14:paraId="20782424" w14:textId="77777777" w:rsidR="00EA051D" w:rsidRPr="00640223" w:rsidRDefault="00EA051D" w:rsidP="000C73AC">
            <w:pPr>
              <w:spacing w:after="60"/>
              <w:jc w:val="center"/>
              <w:rPr>
                <w:rFonts w:ascii="Times New Roman" w:hAnsi="Times New Roman" w:cs="Times New Roman"/>
                <w:b/>
                <w:sz w:val="18"/>
                <w:szCs w:val="18"/>
              </w:rPr>
            </w:pPr>
          </w:p>
        </w:tc>
        <w:tc>
          <w:tcPr>
            <w:tcW w:w="2552" w:type="dxa"/>
            <w:vAlign w:val="center"/>
          </w:tcPr>
          <w:p w14:paraId="3C0F2EF4" w14:textId="77777777" w:rsidR="00EA051D" w:rsidRPr="00640223" w:rsidRDefault="00EA051D" w:rsidP="000C73AC">
            <w:pPr>
              <w:spacing w:after="60"/>
              <w:jc w:val="center"/>
              <w:rPr>
                <w:rFonts w:ascii="Times New Roman" w:hAnsi="Times New Roman" w:cs="Times New Roman"/>
                <w:b/>
                <w:sz w:val="18"/>
                <w:szCs w:val="18"/>
              </w:rPr>
            </w:pPr>
          </w:p>
        </w:tc>
      </w:tr>
      <w:tr w:rsidR="00EA051D" w:rsidRPr="00640223" w14:paraId="0DDFC70F" w14:textId="77777777" w:rsidTr="00640223">
        <w:tc>
          <w:tcPr>
            <w:tcW w:w="2263" w:type="dxa"/>
            <w:vAlign w:val="center"/>
          </w:tcPr>
          <w:p w14:paraId="7E629ADD" w14:textId="0B6B9288" w:rsidR="00EA051D" w:rsidRPr="00640223" w:rsidRDefault="0006564A"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Notekūdeņu d</w:t>
            </w:r>
            <w:r w:rsidR="00EA051D" w:rsidRPr="00640223">
              <w:rPr>
                <w:rFonts w:ascii="Times New Roman" w:hAnsi="Times New Roman" w:cs="Times New Roman"/>
                <w:sz w:val="20"/>
                <w:szCs w:val="20"/>
              </w:rPr>
              <w:t>ūņu apstrāde vai utilizācija tiek veikta neatbilstoši vides prasībām</w:t>
            </w:r>
          </w:p>
        </w:tc>
        <w:tc>
          <w:tcPr>
            <w:tcW w:w="1985" w:type="dxa"/>
            <w:shd w:val="clear" w:color="auto" w:fill="92D050"/>
            <w:vAlign w:val="center"/>
          </w:tcPr>
          <w:p w14:paraId="27DC10DD"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407FBC70"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7F6CD978"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0C40EF66" w14:textId="77777777" w:rsidTr="00640223">
        <w:tc>
          <w:tcPr>
            <w:tcW w:w="2263" w:type="dxa"/>
            <w:vAlign w:val="center"/>
          </w:tcPr>
          <w:p w14:paraId="5CE444AB" w14:textId="77777777" w:rsidR="00EA051D" w:rsidRPr="00640223" w:rsidRDefault="00000000" w:rsidP="004E438F">
            <w:pPr>
              <w:spacing w:after="60"/>
              <w:jc w:val="left"/>
              <w:rPr>
                <w:rFonts w:ascii="Times New Roman" w:hAnsi="Times New Roman" w:cs="Times New Roman"/>
                <w:sz w:val="20"/>
                <w:szCs w:val="20"/>
              </w:rPr>
            </w:pPr>
            <w:sdt>
              <w:sdtPr>
                <w:rPr>
                  <w:rFonts w:ascii="Times New Roman" w:hAnsi="Times New Roman" w:cs="Times New Roman"/>
                </w:rPr>
                <w:tag w:val="goog_rdk_15"/>
                <w:id w:val="-937282906"/>
              </w:sdtPr>
              <w:sdtContent>
                <w:r w:rsidR="00EA051D" w:rsidRPr="00640223">
                  <w:rPr>
                    <w:rFonts w:ascii="Times New Roman" w:hAnsi="Times New Roman" w:cs="Times New Roman"/>
                    <w:sz w:val="20"/>
                    <w:szCs w:val="20"/>
                  </w:rPr>
                  <w:t>I</w:t>
                </w:r>
              </w:sdtContent>
            </w:sdt>
            <w:r w:rsidR="00EA051D" w:rsidRPr="00640223">
              <w:rPr>
                <w:rFonts w:ascii="Times New Roman" w:hAnsi="Times New Roman" w:cs="Times New Roman"/>
                <w:sz w:val="20"/>
                <w:szCs w:val="20"/>
              </w:rPr>
              <w:t xml:space="preserve">zvēlētā </w:t>
            </w:r>
            <w:sdt>
              <w:sdtPr>
                <w:rPr>
                  <w:rFonts w:ascii="Times New Roman" w:hAnsi="Times New Roman" w:cs="Times New Roman"/>
                </w:rPr>
                <w:tag w:val="goog_rdk_15"/>
                <w:id w:val="1481805170"/>
              </w:sdtPr>
              <w:sdtContent/>
            </w:sdt>
            <w:r w:rsidR="00EA051D" w:rsidRPr="00640223">
              <w:rPr>
                <w:rFonts w:ascii="Times New Roman" w:hAnsi="Times New Roman" w:cs="Times New Roman"/>
                <w:sz w:val="20"/>
                <w:szCs w:val="20"/>
              </w:rPr>
              <w:t>alternatīva rada būtiskus vides risku draudus konkrētā vietā</w:t>
            </w:r>
          </w:p>
        </w:tc>
        <w:tc>
          <w:tcPr>
            <w:tcW w:w="1985" w:type="dxa"/>
            <w:shd w:val="clear" w:color="auto" w:fill="FFC000"/>
            <w:vAlign w:val="center"/>
          </w:tcPr>
          <w:p w14:paraId="3C2B3321"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c>
          <w:tcPr>
            <w:tcW w:w="2126" w:type="dxa"/>
            <w:shd w:val="clear" w:color="auto" w:fill="92D050"/>
            <w:vAlign w:val="center"/>
          </w:tcPr>
          <w:p w14:paraId="60555F1D"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462ECB7A"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r w:rsidR="00EA051D" w:rsidRPr="00640223" w14:paraId="098FEBEE" w14:textId="77777777" w:rsidTr="00640223">
        <w:tc>
          <w:tcPr>
            <w:tcW w:w="2263" w:type="dxa"/>
            <w:vAlign w:val="center"/>
          </w:tcPr>
          <w:p w14:paraId="322CDAFF"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Izvēlētā alternatīva neveicina vides kvalitātes uzlabošanos</w:t>
            </w:r>
          </w:p>
        </w:tc>
        <w:tc>
          <w:tcPr>
            <w:tcW w:w="1985" w:type="dxa"/>
            <w:shd w:val="clear" w:color="auto" w:fill="92D050"/>
            <w:vAlign w:val="center"/>
          </w:tcPr>
          <w:p w14:paraId="7DDA324A"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36C82FED"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92D050"/>
            <w:vAlign w:val="center"/>
          </w:tcPr>
          <w:p w14:paraId="38E3786E"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r>
      <w:tr w:rsidR="00EA051D" w:rsidRPr="00640223" w14:paraId="06971F22" w14:textId="77777777" w:rsidTr="00640223">
        <w:tc>
          <w:tcPr>
            <w:tcW w:w="2263" w:type="dxa"/>
            <w:vAlign w:val="center"/>
          </w:tcPr>
          <w:p w14:paraId="715AC660"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lastRenderedPageBreak/>
              <w:t>Tehniskais risinājums veicina atkritumu rašanos</w:t>
            </w:r>
          </w:p>
        </w:tc>
        <w:tc>
          <w:tcPr>
            <w:tcW w:w="1985" w:type="dxa"/>
            <w:shd w:val="clear" w:color="auto" w:fill="92D050"/>
            <w:vAlign w:val="center"/>
          </w:tcPr>
          <w:p w14:paraId="42794491"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41483389"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09EDE5D7"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3E630387" w14:textId="77777777" w:rsidTr="00640223">
        <w:tc>
          <w:tcPr>
            <w:tcW w:w="2263" w:type="dxa"/>
            <w:vAlign w:val="center"/>
          </w:tcPr>
          <w:p w14:paraId="6E920D67"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Tehniskais risinājums veicina piesārņojuma izplatību vidē</w:t>
            </w:r>
          </w:p>
        </w:tc>
        <w:tc>
          <w:tcPr>
            <w:tcW w:w="1985" w:type="dxa"/>
            <w:shd w:val="clear" w:color="auto" w:fill="92D050"/>
            <w:vAlign w:val="center"/>
          </w:tcPr>
          <w:p w14:paraId="74190F24"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0066D97C"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C000"/>
            <w:vAlign w:val="center"/>
          </w:tcPr>
          <w:p w14:paraId="04B211D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Vidējs</w:t>
            </w:r>
          </w:p>
        </w:tc>
      </w:tr>
      <w:tr w:rsidR="00EA051D" w:rsidRPr="00640223" w14:paraId="2648DDAF" w14:textId="77777777" w:rsidTr="00640223">
        <w:tc>
          <w:tcPr>
            <w:tcW w:w="2263" w:type="dxa"/>
            <w:vAlign w:val="center"/>
          </w:tcPr>
          <w:p w14:paraId="778B3083"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Tehniskais risinājums rada avāriju un katastrofu riskus</w:t>
            </w:r>
          </w:p>
        </w:tc>
        <w:tc>
          <w:tcPr>
            <w:tcW w:w="1985" w:type="dxa"/>
            <w:shd w:val="clear" w:color="auto" w:fill="92D050"/>
            <w:vAlign w:val="center"/>
          </w:tcPr>
          <w:p w14:paraId="31D0FCD0"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397F8EB4"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6D9272BE"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r w:rsidR="00EA051D" w:rsidRPr="00640223" w14:paraId="1A3549DE" w14:textId="77777777" w:rsidTr="00640223">
        <w:tc>
          <w:tcPr>
            <w:tcW w:w="2263" w:type="dxa"/>
            <w:vAlign w:val="center"/>
          </w:tcPr>
          <w:p w14:paraId="546D4363" w14:textId="77777777" w:rsidR="00EA051D" w:rsidRPr="00640223" w:rsidRDefault="00EA051D" w:rsidP="004E438F">
            <w:pPr>
              <w:spacing w:after="60"/>
              <w:jc w:val="left"/>
              <w:rPr>
                <w:rFonts w:ascii="Times New Roman" w:hAnsi="Times New Roman" w:cs="Times New Roman"/>
                <w:sz w:val="20"/>
                <w:szCs w:val="20"/>
              </w:rPr>
            </w:pPr>
            <w:r w:rsidRPr="00640223">
              <w:rPr>
                <w:rFonts w:ascii="Times New Roman" w:hAnsi="Times New Roman" w:cs="Times New Roman"/>
                <w:sz w:val="20"/>
                <w:szCs w:val="20"/>
              </w:rPr>
              <w:t>Tehniskais risinājums rada cilvēku veselības riskus</w:t>
            </w:r>
          </w:p>
        </w:tc>
        <w:tc>
          <w:tcPr>
            <w:tcW w:w="1985" w:type="dxa"/>
            <w:shd w:val="clear" w:color="auto" w:fill="92D050"/>
            <w:vAlign w:val="center"/>
          </w:tcPr>
          <w:p w14:paraId="7EBF0B5F"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126" w:type="dxa"/>
            <w:shd w:val="clear" w:color="auto" w:fill="92D050"/>
            <w:vAlign w:val="center"/>
          </w:tcPr>
          <w:p w14:paraId="0224369F"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Zems</w:t>
            </w:r>
          </w:p>
        </w:tc>
        <w:tc>
          <w:tcPr>
            <w:tcW w:w="2552" w:type="dxa"/>
            <w:shd w:val="clear" w:color="auto" w:fill="FF0000"/>
            <w:vAlign w:val="center"/>
          </w:tcPr>
          <w:p w14:paraId="42503606" w14:textId="77777777" w:rsidR="00EA051D" w:rsidRPr="00640223" w:rsidRDefault="00EA051D" w:rsidP="000C73AC">
            <w:pPr>
              <w:spacing w:after="60"/>
              <w:jc w:val="center"/>
              <w:rPr>
                <w:rFonts w:ascii="Times New Roman" w:hAnsi="Times New Roman" w:cs="Times New Roman"/>
                <w:sz w:val="18"/>
                <w:szCs w:val="18"/>
              </w:rPr>
            </w:pPr>
            <w:r w:rsidRPr="00640223">
              <w:rPr>
                <w:rFonts w:ascii="Times New Roman" w:hAnsi="Times New Roman" w:cs="Times New Roman"/>
                <w:sz w:val="18"/>
                <w:szCs w:val="18"/>
              </w:rPr>
              <w:t>Augsts</w:t>
            </w:r>
          </w:p>
        </w:tc>
      </w:tr>
    </w:tbl>
    <w:p w14:paraId="095F9149" w14:textId="77777777" w:rsidR="00EA051D" w:rsidRPr="00175DD0" w:rsidRDefault="00EA051D" w:rsidP="00EA051D">
      <w:pPr>
        <w:spacing w:after="0"/>
        <w:rPr>
          <w:rFonts w:cstheme="minorHAnsi"/>
        </w:rPr>
      </w:pPr>
    </w:p>
    <w:p w14:paraId="32554382" w14:textId="49882F42" w:rsidR="00EA051D" w:rsidRPr="00640223" w:rsidRDefault="00EA051D" w:rsidP="004E438F">
      <w:pPr>
        <w:spacing w:after="0"/>
        <w:ind w:firstLine="720"/>
        <w:rPr>
          <w:rFonts w:ascii="Times New Roman" w:hAnsi="Times New Roman" w:cs="Times New Roman"/>
        </w:rPr>
      </w:pPr>
      <w:r w:rsidRPr="00640223">
        <w:rPr>
          <w:rFonts w:ascii="Times New Roman" w:hAnsi="Times New Roman" w:cs="Times New Roman"/>
        </w:rPr>
        <w:t>Salīdzinot alternatīvas pēc veiktā risku izvērtējuma 4.</w:t>
      </w:r>
      <w:r w:rsidR="008B1A89">
        <w:rPr>
          <w:rFonts w:ascii="Times New Roman" w:hAnsi="Times New Roman" w:cs="Times New Roman"/>
        </w:rPr>
        <w:t>4.7</w:t>
      </w:r>
      <w:r w:rsidRPr="00640223">
        <w:rPr>
          <w:rFonts w:ascii="Times New Roman" w:hAnsi="Times New Roman" w:cs="Times New Roman"/>
        </w:rPr>
        <w:t>.tabulā var izdarīt vairākus secinājumus:</w:t>
      </w:r>
    </w:p>
    <w:p w14:paraId="0C0BAF97" w14:textId="77777777" w:rsidR="00EA051D" w:rsidRPr="00640223" w:rsidRDefault="00EA051D" w:rsidP="00EA051D">
      <w:pPr>
        <w:rPr>
          <w:rFonts w:ascii="Times New Roman" w:hAnsi="Times New Roman" w:cs="Times New Roman"/>
        </w:rPr>
      </w:pPr>
      <w:r w:rsidRPr="00640223">
        <w:rPr>
          <w:rFonts w:ascii="Times New Roman" w:hAnsi="Times New Roman" w:cs="Times New Roman"/>
          <w:szCs w:val="20"/>
        </w:rPr>
        <w:t xml:space="preserve">Novērtējot </w:t>
      </w:r>
      <w:r w:rsidRPr="00640223">
        <w:rPr>
          <w:rFonts w:ascii="Times New Roman" w:hAnsi="Times New Roman" w:cs="Times New Roman"/>
          <w:b/>
          <w:szCs w:val="20"/>
        </w:rPr>
        <w:t>C1. alternatīvas: Mehāniski atūdeņotu (apstrādātu) notekūdeņu dūņu izturēšana 12 mēnešus</w:t>
      </w:r>
      <w:r w:rsidRPr="00640223">
        <w:rPr>
          <w:rFonts w:ascii="Times New Roman" w:hAnsi="Times New Roman" w:cs="Times New Roman"/>
        </w:rPr>
        <w:t xml:space="preserve"> un </w:t>
      </w:r>
      <w:r w:rsidRPr="00640223">
        <w:rPr>
          <w:rFonts w:ascii="Times New Roman" w:hAnsi="Times New Roman" w:cs="Times New Roman"/>
          <w:b/>
          <w:szCs w:val="20"/>
        </w:rPr>
        <w:t xml:space="preserve">C2. alternatīvas: Mehāniski atūdeņotu (apstrādātu) notekūdeņu dūņu kompostēšana </w:t>
      </w:r>
      <w:r w:rsidRPr="00640223">
        <w:rPr>
          <w:rFonts w:ascii="Times New Roman" w:hAnsi="Times New Roman" w:cs="Times New Roman"/>
          <w:szCs w:val="20"/>
        </w:rPr>
        <w:t xml:space="preserve">iekšējos, ārējos un vides riskus, var novērtēt, ka šīs alternatīvas saskaras kopumā ar līdzīgi zemu dažādu risku novērtējumu. </w:t>
      </w:r>
      <w:r w:rsidRPr="00640223">
        <w:rPr>
          <w:rFonts w:ascii="Times New Roman" w:hAnsi="Times New Roman" w:cs="Times New Roman"/>
        </w:rPr>
        <w:t>Visi iekšējie riski tiek novērtēti zemā līmenī un faktiski, neierobežo alternatīvas ieviešanu, tāpat kā ārējie riski. Vides risku jomā tiek atzīmēts, ka šīs alternatīvas, lai samazinātu izmaksas, prasa dūņu centralizāciju vienā punktā, kas relatīvi palielina vides piesārņojuma riskus konkrētajā vietā, kur tās tiek koncentrētas. Taču vides risku faktisko iestāšanos samazina paredzētais dūņu lauku aprīkojums ar sienām, griestiem, smaku novēršanas sistēmu un drenāžas sistēmu, kas paaugstina alternatīvu ieviešanas un uzturēšanas izmaksas, bet samazina dažādu vides risku ietekmi.</w:t>
      </w:r>
    </w:p>
    <w:p w14:paraId="5DA3A415" w14:textId="62B86A5B" w:rsidR="00EA746C" w:rsidRDefault="00EA051D" w:rsidP="00640223">
      <w:pPr>
        <w:spacing w:after="0"/>
        <w:rPr>
          <w:rFonts w:ascii="Times New Roman" w:hAnsi="Times New Roman" w:cs="Times New Roman"/>
        </w:rPr>
      </w:pPr>
      <w:r w:rsidRPr="00640223">
        <w:rPr>
          <w:rFonts w:ascii="Times New Roman" w:hAnsi="Times New Roman" w:cs="Times New Roman"/>
          <w:b/>
          <w:szCs w:val="20"/>
        </w:rPr>
        <w:t xml:space="preserve">C3. alternatīva: Iebiezinātu vai mehāniski atūdeņotu (apstrādātu) notekūdeņu dūņu </w:t>
      </w:r>
      <w:r w:rsidR="00B87791" w:rsidRPr="00640223">
        <w:rPr>
          <w:rFonts w:ascii="Times New Roman" w:hAnsi="Times New Roman" w:cs="Times New Roman"/>
          <w:b/>
          <w:szCs w:val="20"/>
        </w:rPr>
        <w:t>mezofilā</w:t>
      </w:r>
      <w:r w:rsidRPr="00640223">
        <w:rPr>
          <w:rFonts w:ascii="Times New Roman" w:hAnsi="Times New Roman" w:cs="Times New Roman"/>
          <w:b/>
          <w:szCs w:val="20"/>
        </w:rPr>
        <w:t xml:space="preserve"> anaerobā sadalīšana – biogāzes ražošana</w:t>
      </w:r>
      <w:r w:rsidRPr="00640223">
        <w:rPr>
          <w:rFonts w:ascii="Times New Roman" w:hAnsi="Times New Roman" w:cs="Times New Roman"/>
        </w:rPr>
        <w:t xml:space="preserve"> iekļauj sevī daudz vairāk dažādus ieviešanas risku kā C1. un C2. risinājumi. Kā augsti iekšējie riski tiek novērtēta nepieciešamība ieviest jaunas tehnoloģijas, kuras SPS līdz šim nav pazīstamas. Ar jaunajām tehnoloģijām būtu jāstrādā īpaši apmācītam personālam, kuru būs nepieciešams papildus piesaistīt, kā arī šīs alternatīvas ieviešanai ir nepieciešams liels papildu finansējums, jo tā ir iespējama tikai pie lielu notekūdeņu dūņu daudzuma, kuru būs sarežģīti nodrošināt. Papildus tiek identificēts arī vidējs uzturēšanas izmaksu risks, kas saistīts ar augstajām izmaksām fugāta attīrīšanai. Ārējo risku vērtējumā alternatīvu būtiski var ietekmēt nepieciešamais būtiskais valsts institūciju atbalsts un tās tehnoloģiskā sarežģītība. Papildus alternatīvai ir būtiski aizstājoši risinājumi, kas dūņu īpašniekus var aicināt izvēlēties citus, vienkāršākus risinājumus. Vides risku gadījumā lielākie negatīvie novērtējumi saistīti tieši ar lielu notekūdeņu dūņu centralizāciju vienā punktā, kas konkrētai vietai rada augstus vides piesārņojuma riskus, kā arī dūņu pārvadāšanu lielos attālumos un atbilstošu siltumnīcefektu gāzu izplatību. Arī izvēlētais tehniskais risinājums ir ar paaugstinātu tehnoloģisko bīstamību un var radīt avāriju un katastrofu riskus, kā arī papildus riskus cilvēku veselībai. Citi vides </w:t>
      </w:r>
      <w:r w:rsidRPr="00640223">
        <w:rPr>
          <w:rFonts w:ascii="Times New Roman" w:hAnsi="Times New Roman" w:cs="Times New Roman"/>
        </w:rPr>
        <w:lastRenderedPageBreak/>
        <w:t>riski ir novērtēti vidējā līmenī, kas nozīmē, ka no vides aizsardzības un potenciālās negatīvās vides ietekmes viedokļa šī alternatīva nav vērtējama kā piemērotākā.</w:t>
      </w:r>
      <w:bookmarkStart w:id="105" w:name="_Toc82277641"/>
    </w:p>
    <w:p w14:paraId="00245A02" w14:textId="77777777" w:rsidR="00640223" w:rsidRPr="00640223" w:rsidRDefault="00640223" w:rsidP="00640223">
      <w:pPr>
        <w:spacing w:after="0"/>
        <w:rPr>
          <w:rFonts w:ascii="Times New Roman" w:hAnsi="Times New Roman" w:cs="Times New Roman"/>
        </w:rPr>
      </w:pPr>
    </w:p>
    <w:p w14:paraId="69DA9976" w14:textId="77777777" w:rsidR="00EA051D" w:rsidRPr="00640223" w:rsidRDefault="00EA051D" w:rsidP="00640223">
      <w:pPr>
        <w:spacing w:after="0"/>
        <w:jc w:val="center"/>
        <w:rPr>
          <w:rFonts w:ascii="Times New Roman" w:hAnsi="Times New Roman" w:cs="Times New Roman"/>
          <w:u w:val="single"/>
        </w:rPr>
      </w:pPr>
      <w:r w:rsidRPr="00640223">
        <w:rPr>
          <w:rFonts w:ascii="Times New Roman" w:hAnsi="Times New Roman" w:cs="Times New Roman"/>
          <w:u w:val="single"/>
        </w:rPr>
        <w:t>Secinājumi par notekūdeņu dūņu pārstrādes alternatīvām</w:t>
      </w:r>
      <w:bookmarkEnd w:id="105"/>
    </w:p>
    <w:p w14:paraId="75C766B1" w14:textId="77777777" w:rsidR="00640223" w:rsidRDefault="00640223" w:rsidP="00640223">
      <w:pPr>
        <w:spacing w:after="0"/>
        <w:ind w:firstLine="720"/>
        <w:rPr>
          <w:rFonts w:cstheme="minorHAnsi"/>
        </w:rPr>
      </w:pPr>
    </w:p>
    <w:p w14:paraId="023E29EC" w14:textId="0D9DB221" w:rsidR="00EA051D" w:rsidRPr="00640223" w:rsidRDefault="00EA051D" w:rsidP="00640223">
      <w:pPr>
        <w:spacing w:after="0"/>
        <w:ind w:firstLine="720"/>
        <w:rPr>
          <w:rFonts w:ascii="Times New Roman" w:hAnsi="Times New Roman" w:cs="Times New Roman"/>
        </w:rPr>
      </w:pPr>
      <w:r w:rsidRPr="00640223">
        <w:rPr>
          <w:rFonts w:ascii="Times New Roman" w:hAnsi="Times New Roman" w:cs="Times New Roman"/>
        </w:rPr>
        <w:t xml:space="preserve">Notekūdeņu dūņu pārstrādē ir apskatīti risinājumi, kas nodrošina iegūtā produkta izmantošana augsnes bagātināšanai. </w:t>
      </w:r>
      <w:r w:rsidRPr="00640223">
        <w:rPr>
          <w:rFonts w:ascii="Times New Roman" w:hAnsi="Times New Roman" w:cs="Times New Roman"/>
          <w:b/>
        </w:rPr>
        <w:t xml:space="preserve">Būtiski labāki un tehniski vienkāršāki dūņu pārstrādes risinājumi ir mehāniski atūdeņotu dūņu izturēšana 12 mēnešus un </w:t>
      </w:r>
      <w:r w:rsidR="0006564A" w:rsidRPr="00640223">
        <w:rPr>
          <w:rFonts w:ascii="Times New Roman" w:hAnsi="Times New Roman" w:cs="Times New Roman"/>
          <w:b/>
        </w:rPr>
        <w:t>to</w:t>
      </w:r>
      <w:r w:rsidRPr="00640223">
        <w:rPr>
          <w:rFonts w:ascii="Times New Roman" w:hAnsi="Times New Roman" w:cs="Times New Roman"/>
          <w:b/>
        </w:rPr>
        <w:t xml:space="preserve"> kompostēšana. Šāda </w:t>
      </w:r>
      <w:r w:rsidR="0006564A" w:rsidRPr="00640223">
        <w:rPr>
          <w:rFonts w:ascii="Times New Roman" w:hAnsi="Times New Roman" w:cs="Times New Roman"/>
          <w:b/>
        </w:rPr>
        <w:t xml:space="preserve">notekūdeņu </w:t>
      </w:r>
      <w:r w:rsidRPr="00640223">
        <w:rPr>
          <w:rFonts w:ascii="Times New Roman" w:hAnsi="Times New Roman" w:cs="Times New Roman"/>
          <w:b/>
        </w:rPr>
        <w:t xml:space="preserve">dūņu pārstrāde veicina otrreizējo izejmateriālu un blakusproduktu vienoto tirgu. Dūņu, kā barības vielu resursa un notekūdeņu apstrādes procesa atlikuma izmantošanu atkārtoti </w:t>
      </w:r>
      <w:r w:rsidRPr="00640223">
        <w:rPr>
          <w:rFonts w:ascii="Times New Roman" w:hAnsi="Times New Roman" w:cs="Times New Roman"/>
          <w:i/>
        </w:rPr>
        <w:t>(Eiropas Zaļais kurss)</w:t>
      </w:r>
      <w:r w:rsidRPr="00640223">
        <w:rPr>
          <w:rFonts w:ascii="Times New Roman" w:hAnsi="Times New Roman" w:cs="Times New Roman"/>
        </w:rPr>
        <w:t>.</w:t>
      </w:r>
    </w:p>
    <w:p w14:paraId="25DB0559" w14:textId="29009ACB" w:rsidR="00EA051D" w:rsidRPr="00640223" w:rsidRDefault="00EA051D" w:rsidP="004E438F">
      <w:pPr>
        <w:ind w:firstLine="720"/>
        <w:rPr>
          <w:rFonts w:ascii="Times New Roman" w:hAnsi="Times New Roman" w:cs="Times New Roman"/>
        </w:rPr>
      </w:pPr>
      <w:r w:rsidRPr="00640223">
        <w:rPr>
          <w:rFonts w:ascii="Times New Roman" w:hAnsi="Times New Roman" w:cs="Times New Roman"/>
        </w:rPr>
        <w:t xml:space="preserve">Risinājums par dūņu </w:t>
      </w:r>
      <w:r w:rsidR="00B87791" w:rsidRPr="00640223">
        <w:rPr>
          <w:rFonts w:ascii="Times New Roman" w:hAnsi="Times New Roman" w:cs="Times New Roman"/>
        </w:rPr>
        <w:t>mezofilu</w:t>
      </w:r>
      <w:r w:rsidRPr="00640223">
        <w:rPr>
          <w:rFonts w:ascii="Times New Roman" w:hAnsi="Times New Roman" w:cs="Times New Roman"/>
        </w:rPr>
        <w:t xml:space="preserve"> anaerobu pārstrādi var tikt pieņemti vietās, kur tiek rasti efektīvi digestāta izmantošanas risinājumi. Lai arī dūņu </w:t>
      </w:r>
      <w:r w:rsidR="00B87791" w:rsidRPr="00640223">
        <w:rPr>
          <w:rFonts w:ascii="Times New Roman" w:hAnsi="Times New Roman" w:cs="Times New Roman"/>
        </w:rPr>
        <w:t>mezofilā</w:t>
      </w:r>
      <w:r w:rsidRPr="00640223">
        <w:rPr>
          <w:rFonts w:ascii="Times New Roman" w:hAnsi="Times New Roman" w:cs="Times New Roman"/>
        </w:rPr>
        <w:t xml:space="preserve"> anaerobā pārstrāde pēc vairākiem salīdzinošiem kritērijiem tiek vērtēta sliktāk, tomēr līdzšinējā lauksaimnieku organizāciju pieredze liecina, ka pie konkrētiem apstākļiem tas var būt ļoti labs dūņu pārstrādes veids, īpaši gadījumos, kad iegūto digestātu ir iespējams izkliedēt šķidrā veidā tuvu biogāzes stacijai.</w:t>
      </w:r>
    </w:p>
    <w:p w14:paraId="5E68ED2A" w14:textId="77777777" w:rsidR="00EA051D" w:rsidRPr="00640223" w:rsidRDefault="00EA051D" w:rsidP="004E438F">
      <w:pPr>
        <w:ind w:firstLine="720"/>
        <w:rPr>
          <w:rFonts w:ascii="Times New Roman" w:hAnsi="Times New Roman" w:cs="Times New Roman"/>
        </w:rPr>
      </w:pPr>
      <w:r w:rsidRPr="00640223">
        <w:rPr>
          <w:rFonts w:ascii="Times New Roman" w:hAnsi="Times New Roman" w:cs="Times New Roman"/>
        </w:rPr>
        <w:t>Visas norādītās dūņu pārstrādes metodes jau šobrīd ir atbilstošas, bieži izmantotas un paredzētas nacionālajos normatīvajos aktos par notekūdeņu dūņu apsaimniekošanu.</w:t>
      </w:r>
    </w:p>
    <w:p w14:paraId="7A5F6030" w14:textId="77777777" w:rsidR="00EA051D" w:rsidRPr="00640223" w:rsidRDefault="00EA051D" w:rsidP="00B84F9A">
      <w:pPr>
        <w:spacing w:after="0"/>
        <w:ind w:firstLine="709"/>
        <w:rPr>
          <w:rFonts w:ascii="Times New Roman" w:hAnsi="Times New Roman" w:cs="Times New Roman"/>
        </w:rPr>
      </w:pPr>
      <w:r w:rsidRPr="00640223">
        <w:rPr>
          <w:rFonts w:ascii="Times New Roman" w:hAnsi="Times New Roman" w:cs="Times New Roman"/>
        </w:rPr>
        <w:t>Stratēģijas izstrādes laikā ir konstatēts, ka nav veikti pietiekami detalizēti zinātniski pētījumi par dažādo notekūdeņu dūņu pārstrādes metožu ietekmi uz notekūdeņu dūņu sastāvā esošajām vielām un to izmaiņām. Veicot atbilstošus pētījumus būtu iespējams uzlabot piedāvātās dūņu apstrādes metodes, gan uzlabojot dūņu pārstrādes procesu aprakstus, gan ieviešot papildus risinājumus, kas iespējams mainītu pārstrādātu dūņu sastāvu un nodrošinātu atbilstošāku to utilizāciju un ietekmes efektivitāti iestrādājot augsnē.</w:t>
      </w:r>
    </w:p>
    <w:p w14:paraId="2D33A60A" w14:textId="77777777" w:rsidR="00B84F9A" w:rsidRDefault="00B84F9A">
      <w:pPr>
        <w:spacing w:after="160" w:line="259" w:lineRule="auto"/>
        <w:jc w:val="left"/>
        <w:rPr>
          <w:rFonts w:ascii="Times New Roman" w:hAnsi="Times New Roman" w:cs="Times New Roman"/>
        </w:rPr>
      </w:pPr>
      <w:bookmarkStart w:id="106" w:name="_Toc82277642"/>
      <w:bookmarkStart w:id="107" w:name="_Hlk82267926"/>
      <w:r>
        <w:rPr>
          <w:rFonts w:ascii="Times New Roman" w:hAnsi="Times New Roman" w:cs="Times New Roman"/>
        </w:rPr>
        <w:br w:type="page"/>
      </w:r>
    </w:p>
    <w:p w14:paraId="37F9FBE9" w14:textId="5AA6E491" w:rsidR="00EA051D" w:rsidRPr="00B84F9A" w:rsidRDefault="00B84F9A" w:rsidP="00B84F9A">
      <w:pPr>
        <w:spacing w:after="0"/>
        <w:jc w:val="right"/>
        <w:rPr>
          <w:rFonts w:ascii="Times New Roman" w:hAnsi="Times New Roman" w:cs="Times New Roman"/>
        </w:rPr>
      </w:pPr>
      <w:r w:rsidRPr="00B84F9A">
        <w:rPr>
          <w:rFonts w:ascii="Times New Roman" w:hAnsi="Times New Roman" w:cs="Times New Roman"/>
        </w:rPr>
        <w:lastRenderedPageBreak/>
        <w:t>4.</w:t>
      </w:r>
      <w:r w:rsidR="00751374">
        <w:rPr>
          <w:rFonts w:ascii="Times New Roman" w:hAnsi="Times New Roman" w:cs="Times New Roman"/>
        </w:rPr>
        <w:t>5</w:t>
      </w:r>
      <w:r w:rsidRPr="00B84F9A">
        <w:rPr>
          <w:rFonts w:ascii="Times New Roman" w:hAnsi="Times New Roman" w:cs="Times New Roman"/>
        </w:rPr>
        <w:t>. pielikums</w:t>
      </w:r>
      <w:bookmarkEnd w:id="106"/>
    </w:p>
    <w:p w14:paraId="0C41F7D5" w14:textId="573567BA" w:rsidR="00EA051D" w:rsidRDefault="001051E2" w:rsidP="00B84F9A">
      <w:pPr>
        <w:pStyle w:val="Heading2"/>
        <w:spacing w:before="0"/>
        <w:jc w:val="center"/>
        <w:rPr>
          <w:rFonts w:ascii="Times New Roman" w:hAnsi="Times New Roman" w:cs="Times New Roman"/>
          <w:b/>
          <w:bCs/>
          <w:color w:val="auto"/>
          <w:sz w:val="24"/>
          <w:szCs w:val="24"/>
        </w:rPr>
      </w:pPr>
      <w:bookmarkStart w:id="108" w:name="_Toc82277643"/>
      <w:bookmarkStart w:id="109" w:name="_Toc107916333"/>
      <w:r>
        <w:rPr>
          <w:rFonts w:ascii="Times New Roman" w:hAnsi="Times New Roman" w:cs="Times New Roman"/>
          <w:b/>
          <w:bCs/>
          <w:color w:val="auto"/>
          <w:sz w:val="24"/>
          <w:szCs w:val="24"/>
        </w:rPr>
        <w:t xml:space="preserve">4.5. </w:t>
      </w:r>
      <w:r w:rsidR="00B84F9A">
        <w:rPr>
          <w:rFonts w:ascii="Times New Roman" w:hAnsi="Times New Roman" w:cs="Times New Roman"/>
          <w:b/>
          <w:bCs/>
          <w:color w:val="auto"/>
          <w:sz w:val="24"/>
          <w:szCs w:val="24"/>
        </w:rPr>
        <w:t>N</w:t>
      </w:r>
      <w:r w:rsidR="00B84F9A" w:rsidRPr="00B84F9A">
        <w:rPr>
          <w:rFonts w:ascii="Times New Roman" w:hAnsi="Times New Roman" w:cs="Times New Roman"/>
          <w:b/>
          <w:bCs/>
          <w:color w:val="auto"/>
          <w:sz w:val="24"/>
          <w:szCs w:val="24"/>
        </w:rPr>
        <w:t>otekūdeņu dūņu apstrādes un centralizācijas alternatīvu novērtējums</w:t>
      </w:r>
      <w:bookmarkEnd w:id="108"/>
      <w:bookmarkEnd w:id="109"/>
    </w:p>
    <w:p w14:paraId="15A578C3" w14:textId="77777777" w:rsidR="00B84F9A" w:rsidRPr="00B84F9A" w:rsidRDefault="00B84F9A" w:rsidP="00B84F9A">
      <w:pPr>
        <w:spacing w:after="0"/>
      </w:pPr>
    </w:p>
    <w:bookmarkEnd w:id="107"/>
    <w:p w14:paraId="59CD6637" w14:textId="758FC452" w:rsidR="00EA051D" w:rsidRDefault="00EA051D" w:rsidP="00653C33">
      <w:pPr>
        <w:spacing w:after="0"/>
        <w:ind w:firstLine="720"/>
        <w:rPr>
          <w:rFonts w:ascii="Times New Roman" w:hAnsi="Times New Roman" w:cs="Times New Roman"/>
        </w:rPr>
      </w:pPr>
      <w:r w:rsidRPr="00207E30">
        <w:rPr>
          <w:rFonts w:ascii="Times New Roman" w:hAnsi="Times New Roman" w:cs="Times New Roman"/>
        </w:rPr>
        <w:t>Novērtējot pārstrādātu notekūdeņu dūņu kvalitātes prasības pirms izvēlētā utilizācijas veida (skat. alternatīvu B1 “Pārstrādātu notekūdeņu dūņu iestrāde augsnē”), ir konstatēts, ka tās nav iespējams nodrošināt pie katras no 921 stratēģijas izstrādes tvērumā iekļautajām NAI. Notekūdeņu dūņu pārstrādes alternatīvu novērtējums (skat. alternatīvu C1, C2 un C3) norāda, ka ekonomiska dūņu apstrāde un pārstrāde ir uzsākama pie minimālā dūņu daudzuma - 1 000 m</w:t>
      </w:r>
      <w:r w:rsidRPr="00207E30">
        <w:rPr>
          <w:rFonts w:ascii="Times New Roman" w:hAnsi="Times New Roman" w:cs="Times New Roman"/>
          <w:vertAlign w:val="superscript"/>
        </w:rPr>
        <w:t>3</w:t>
      </w:r>
      <w:r w:rsidRPr="00207E30">
        <w:rPr>
          <w:rFonts w:ascii="Times New Roman" w:hAnsi="Times New Roman" w:cs="Times New Roman"/>
        </w:rPr>
        <w:t xml:space="preserve"> slapju (1% sausna) dūņu gadā vai vidēji 3 m</w:t>
      </w:r>
      <w:r w:rsidRPr="00207E30">
        <w:rPr>
          <w:rFonts w:ascii="Times New Roman" w:hAnsi="Times New Roman" w:cs="Times New Roman"/>
          <w:vertAlign w:val="superscript"/>
        </w:rPr>
        <w:t>3</w:t>
      </w:r>
      <w:r w:rsidRPr="00207E30">
        <w:rPr>
          <w:rFonts w:ascii="Times New Roman" w:hAnsi="Times New Roman" w:cs="Times New Roman"/>
        </w:rPr>
        <w:t xml:space="preserve"> slapju dūņu dienā. Tomēr arī situācijā pie 1 000 m</w:t>
      </w:r>
      <w:r w:rsidRPr="00207E30">
        <w:rPr>
          <w:rFonts w:ascii="Times New Roman" w:hAnsi="Times New Roman" w:cs="Times New Roman"/>
          <w:vertAlign w:val="superscript"/>
        </w:rPr>
        <w:t>3</w:t>
      </w:r>
      <w:r w:rsidRPr="00207E30">
        <w:rPr>
          <w:rFonts w:ascii="Times New Roman" w:hAnsi="Times New Roman" w:cs="Times New Roman"/>
        </w:rPr>
        <w:t xml:space="preserve"> slapju (1% sausna) dūņu gadā pārstrādātu dūņu gala iznākums (30% sausna) būs aptuveni 33 t pārstrādātu dūņu (divas nepilnas kravas automašīnas) gadā, kas ir ļoti mazs apjoms. Izmaksas dūņu pārstrādei šādos ļoti mazos centros ziņojuma izstrādes laikā ir aprēķinātas 5 – 6 reizes augstākas, salīdzinot ar dūņu pārstrādi lielākos centros</w:t>
      </w:r>
      <w:r w:rsidR="0003630B">
        <w:rPr>
          <w:rFonts w:ascii="Times New Roman" w:hAnsi="Times New Roman" w:cs="Times New Roman"/>
        </w:rPr>
        <w:t xml:space="preserve">. </w:t>
      </w:r>
      <w:r w:rsidRPr="00207E30">
        <w:rPr>
          <w:rFonts w:ascii="Times New Roman" w:hAnsi="Times New Roman" w:cs="Times New Roman"/>
        </w:rPr>
        <w:t>Ņemot vērā minēto, notekūdeņu dūņu stratēģijas ietvaros ir veikts aprēķins par visu notekūdeņu dūņu apstrādi, pārstrādi un centralizāciju dažāda lieluma notekūdeņu dūņu pārstrādes centros, kas izvietoti pie esošām NAI, lai novērtētu efektīvāko dūņu pārstrādes centru skaitu.</w:t>
      </w:r>
    </w:p>
    <w:p w14:paraId="14799234" w14:textId="1ED51B46" w:rsidR="1BD1FE61" w:rsidRDefault="1BD1FE61" w:rsidP="1BD1FE61">
      <w:pPr>
        <w:spacing w:after="0"/>
        <w:ind w:firstLine="720"/>
        <w:rPr>
          <w:rFonts w:ascii="Times New Roman" w:hAnsi="Times New Roman" w:cs="Times New Roman"/>
          <w:szCs w:val="24"/>
        </w:rPr>
      </w:pPr>
      <w:r w:rsidRPr="1BD1FE61">
        <w:rPr>
          <w:rFonts w:ascii="Times New Roman" w:hAnsi="Times New Roman" w:cs="Times New Roman"/>
          <w:szCs w:val="24"/>
        </w:rPr>
        <w:t xml:space="preserve">Vērtējot centralizācijas iespējas, ārpus aprēķiniem ir atstāta BAS “Daugavgrīva”, jo dūņas netiek plānots transportēt uz vai no tās. Ņemot vērā BAS “Daugavgrīva” novietojumu, nav ērti uz to nogādāt dūņas no citām NAI un uz vietas radīto dūņu apstrāde un pārstrāde tie nodrošināta.  </w:t>
      </w:r>
    </w:p>
    <w:p w14:paraId="572A9B75" w14:textId="2E5E241F" w:rsidR="1BD1FE61" w:rsidRDefault="1BD1FE61" w:rsidP="1BD1FE61">
      <w:pPr>
        <w:spacing w:after="0"/>
        <w:ind w:firstLine="720"/>
        <w:rPr>
          <w:rFonts w:ascii="Times New Roman" w:hAnsi="Times New Roman" w:cs="Times New Roman"/>
          <w:szCs w:val="24"/>
        </w:rPr>
      </w:pPr>
    </w:p>
    <w:p w14:paraId="4F7CA822" w14:textId="77777777" w:rsidR="00207E30" w:rsidRPr="00207E30" w:rsidRDefault="00207E30" w:rsidP="00B84F9A">
      <w:pPr>
        <w:spacing w:after="0"/>
        <w:rPr>
          <w:rFonts w:ascii="Times New Roman" w:hAnsi="Times New Roman" w:cs="Times New Roman"/>
        </w:rPr>
      </w:pPr>
    </w:p>
    <w:p w14:paraId="37D742E4" w14:textId="77777777" w:rsidR="00EA051D" w:rsidRPr="0033498C" w:rsidRDefault="00EA051D" w:rsidP="0033498C">
      <w:pPr>
        <w:jc w:val="center"/>
        <w:rPr>
          <w:rFonts w:ascii="Times New Roman" w:hAnsi="Times New Roman" w:cs="Times New Roman"/>
          <w:b/>
          <w:bCs/>
        </w:rPr>
      </w:pPr>
      <w:bookmarkStart w:id="110" w:name="_Toc82277644"/>
      <w:r w:rsidRPr="0033498C">
        <w:rPr>
          <w:rFonts w:ascii="Times New Roman" w:hAnsi="Times New Roman" w:cs="Times New Roman"/>
          <w:b/>
          <w:bCs/>
          <w:color w:val="5B9BD5" w:themeColor="accent1"/>
        </w:rPr>
        <w:t>Notekūdeņu dūņu centralizācija un apstrāde 41 pašvaldības robežās</w:t>
      </w:r>
      <w:bookmarkEnd w:id="110"/>
    </w:p>
    <w:p w14:paraId="582E08C8" w14:textId="697D5A0E" w:rsidR="00EA051D" w:rsidRPr="007C29F8" w:rsidRDefault="00EA051D" w:rsidP="00653C33">
      <w:pPr>
        <w:ind w:firstLine="720"/>
        <w:rPr>
          <w:rFonts w:ascii="Times New Roman" w:hAnsi="Times New Roman" w:cs="Times New Roman"/>
        </w:rPr>
      </w:pPr>
      <w:r w:rsidRPr="007C29F8">
        <w:rPr>
          <w:rFonts w:ascii="Times New Roman" w:hAnsi="Times New Roman" w:cs="Times New Roman"/>
        </w:rPr>
        <w:t xml:space="preserve">Visi turpmāk apskatītie, dažādie notekūdeņu dūņu centralizācijas varianti paredz vienotu pamata risinājumu – pašvaldības administratīvajā teritorijā (robežu situācijā pēc ATR 2021.gadā) radītās notekūdeņu dūņas primāri tiek centralizētas attiecīgā pašvaldības lielākajās NAI, par ko lēmumu pieņem pašvaldība sadarbība ar novada SPS. </w:t>
      </w:r>
    </w:p>
    <w:p w14:paraId="2FEE586B" w14:textId="7564DAEA" w:rsidR="004E438F" w:rsidRPr="00653C33" w:rsidRDefault="00EA051D" w:rsidP="00653C33">
      <w:pPr>
        <w:ind w:firstLine="720"/>
        <w:rPr>
          <w:rFonts w:ascii="Times New Roman" w:hAnsi="Times New Roman" w:cs="Times New Roman"/>
        </w:rPr>
      </w:pPr>
      <w:r w:rsidRPr="007C29F8">
        <w:rPr>
          <w:rFonts w:ascii="Times New Roman" w:hAnsi="Times New Roman" w:cs="Times New Roman"/>
        </w:rPr>
        <w:t xml:space="preserve">Stratēģijas izstrādes ietvaros ir veikts izmaksu salīdzinājums (skat. </w:t>
      </w:r>
      <w:r w:rsidR="0025304F" w:rsidRPr="0025304F">
        <w:rPr>
          <w:rFonts w:ascii="Times New Roman" w:hAnsi="Times New Roman" w:cs="Times New Roman"/>
        </w:rPr>
        <w:t xml:space="preserve">Pielikumu </w:t>
      </w:r>
      <w:r w:rsidR="0025304F" w:rsidRPr="0025304F">
        <w:rPr>
          <w:rFonts w:ascii="Times New Roman" w:hAnsi="Times New Roman" w:cs="Times New Roman"/>
          <w:szCs w:val="24"/>
        </w:rPr>
        <w:t>4.7. Finanšu aprēķini “1. Dažādu notekūdeņu dūņu apstrādes veidu izmaksas”</w:t>
      </w:r>
      <w:r w:rsidR="0025304F">
        <w:rPr>
          <w:rFonts w:ascii="Times New Roman" w:hAnsi="Times New Roman" w:cs="Times New Roman"/>
        </w:rPr>
        <w:t>)</w:t>
      </w:r>
      <w:r w:rsidRPr="007C29F8">
        <w:rPr>
          <w:rFonts w:ascii="Times New Roman" w:hAnsi="Times New Roman" w:cs="Times New Roman"/>
        </w:rPr>
        <w:t>, lai novērtētu, kādas konsistences dūņas (slapjas ar 1% sausni vai mehāniski atūdeņotas ar 18% sausni) ir izdevīgāk transportēt un cik lielā attālumā. Ņemot vērā, veiktos aprēķinus, ir secināts, ka neatkarīgi no dūņu transportēšanas attāluma viena novada ietvaros, ja viena NAI radītais slapju dūņu (1% sausna) daudzums ir mazāks par 1 000 m</w:t>
      </w:r>
      <w:r w:rsidRPr="007C29F8">
        <w:rPr>
          <w:rFonts w:ascii="Times New Roman" w:hAnsi="Times New Roman" w:cs="Times New Roman"/>
          <w:vertAlign w:val="superscript"/>
        </w:rPr>
        <w:t>3</w:t>
      </w:r>
      <w:r w:rsidRPr="007C29F8">
        <w:rPr>
          <w:rFonts w:ascii="Times New Roman" w:hAnsi="Times New Roman" w:cs="Times New Roman"/>
        </w:rPr>
        <w:t xml:space="preserve"> gadā, dūņas ekonomiski izdevīgāk ir transportētas šķidrā veidā, bet, ja slapju dūņu apjoms ir lielāks par 1 000 m</w:t>
      </w:r>
      <w:r w:rsidRPr="007C29F8">
        <w:rPr>
          <w:rFonts w:ascii="Times New Roman" w:hAnsi="Times New Roman" w:cs="Times New Roman"/>
          <w:vertAlign w:val="superscript"/>
        </w:rPr>
        <w:t>3</w:t>
      </w:r>
      <w:r w:rsidRPr="007C29F8">
        <w:rPr>
          <w:rFonts w:ascii="Times New Roman" w:hAnsi="Times New Roman" w:cs="Times New Roman"/>
        </w:rPr>
        <w:t xml:space="preserve"> gadā, dūņas pirms transportēšanas ir nepieciešams mehāniski atūdeņot (apstrādāt). Stratēģijas izstrādes gaitā, katra pašvaldība ir skatīta atsevišķi un novērtēts notekūdeņu dūņu apjoms katrās NAI individuāli, kā arī ir novērtēts potenciālais transportēšanas attālums un izmaksas uz lielākajām pašvaldības NAI (skat. </w:t>
      </w:r>
      <w:r w:rsidRPr="0025304F">
        <w:rPr>
          <w:rFonts w:ascii="Times New Roman" w:hAnsi="Times New Roman" w:cs="Times New Roman"/>
        </w:rPr>
        <w:t xml:space="preserve">pielikumu </w:t>
      </w:r>
      <w:r w:rsidR="0025304F" w:rsidRPr="0025304F">
        <w:rPr>
          <w:rFonts w:ascii="Times New Roman" w:hAnsi="Times New Roman" w:cs="Times New Roman"/>
          <w:szCs w:val="20"/>
        </w:rPr>
        <w:t>4.8. Finanšu aprēķini “2. notekūdeņu dūņu apstrādes izmaksas pašvaldībās”</w:t>
      </w:r>
      <w:r w:rsidRPr="0025304F">
        <w:rPr>
          <w:rFonts w:ascii="Times New Roman" w:hAnsi="Times New Roman" w:cs="Times New Roman"/>
        </w:rPr>
        <w:t>)</w:t>
      </w:r>
      <w:r w:rsidRPr="007C29F8">
        <w:rPr>
          <w:rFonts w:ascii="Times New Roman" w:hAnsi="Times New Roman" w:cs="Times New Roman"/>
        </w:rPr>
        <w:t xml:space="preserve">. Lai visu pašvaldību ietvaros varētu nodrošināt dūņu transportēšanu līdz novada lielākajām NAI, tiek pieņemts, ka esošajā situācijā pašvaldībā nav atbilstoša notekūdeņu dūņu apstrādes infrastruktūra un tā ir jāveido no jauna. Tas sevī iekļauj </w:t>
      </w:r>
      <w:r w:rsidRPr="007C29F8">
        <w:rPr>
          <w:rFonts w:ascii="Times New Roman" w:hAnsi="Times New Roman" w:cs="Times New Roman"/>
        </w:rPr>
        <w:lastRenderedPageBreak/>
        <w:t>gan šķidru, gan mehāniski atūdeņotu dūņu transporta vienības, gan mehāniskās notekūdeņu dūņu atūdeņošanas iekārtas katrai pašvaldībai nepieciešamajā apjomā (NAI ar slapju dūņu apjomi lielāku par 1 000 m</w:t>
      </w:r>
      <w:r w:rsidRPr="007C29F8">
        <w:rPr>
          <w:rFonts w:ascii="Times New Roman" w:hAnsi="Times New Roman" w:cs="Times New Roman"/>
          <w:vertAlign w:val="superscript"/>
        </w:rPr>
        <w:t>3</w:t>
      </w:r>
      <w:r w:rsidRPr="007C29F8">
        <w:rPr>
          <w:rFonts w:ascii="Times New Roman" w:hAnsi="Times New Roman" w:cs="Times New Roman"/>
        </w:rPr>
        <w:t xml:space="preserve"> gadā). Stratēģijas izstrādes ietvaros ir aprēķināts nepieciešamais investīciju apjoms šādas pamata sistēmas izveidošanai. Minētajam pamatrisinājumam pašvaldības ietvaros nav alternatīva risinājuma. Pašvaldības teritorijā radīto dūņu centralizācija un apstrāde pie lielākajām pašvaldības NAI ir jāveic jebkuras dūņu centralizācijas alternatīvas gadījumā un to izmaksu apjoms ir nemainīgs pie jebkuras dūņu pārstrādes centru skaita alternatīvas.</w:t>
      </w:r>
    </w:p>
    <w:p w14:paraId="37F1F3FA" w14:textId="62C9BC0C" w:rsidR="00653C33" w:rsidRPr="00045C5C" w:rsidRDefault="00045C5C" w:rsidP="00045C5C">
      <w:pPr>
        <w:pBdr>
          <w:top w:val="nil"/>
          <w:left w:val="nil"/>
          <w:bottom w:val="nil"/>
          <w:right w:val="nil"/>
          <w:between w:val="nil"/>
        </w:pBdr>
        <w:suppressAutoHyphens/>
        <w:autoSpaceDN w:val="0"/>
        <w:spacing w:after="0" w:line="240" w:lineRule="auto"/>
        <w:ind w:left="48"/>
        <w:jc w:val="right"/>
        <w:textAlignment w:val="baseline"/>
        <w:rPr>
          <w:rFonts w:ascii="Times New Roman" w:hAnsi="Times New Roman" w:cs="Times New Roman"/>
        </w:rPr>
      </w:pPr>
      <w:r>
        <w:rPr>
          <w:rFonts w:ascii="Times New Roman" w:hAnsi="Times New Roman" w:cs="Times New Roman"/>
        </w:rPr>
        <w:t>4.5.1.</w:t>
      </w:r>
      <w:r w:rsidR="00EA051D" w:rsidRPr="00045C5C">
        <w:rPr>
          <w:rFonts w:ascii="Times New Roman" w:hAnsi="Times New Roman" w:cs="Times New Roman"/>
        </w:rPr>
        <w:t>tabula</w:t>
      </w:r>
    </w:p>
    <w:p w14:paraId="06AC9761" w14:textId="0A16D649" w:rsidR="00EA051D" w:rsidRPr="00653C33" w:rsidRDefault="00EA051D" w:rsidP="00653C33">
      <w:pPr>
        <w:pBdr>
          <w:top w:val="nil"/>
          <w:left w:val="nil"/>
          <w:bottom w:val="nil"/>
          <w:right w:val="nil"/>
          <w:between w:val="nil"/>
        </w:pBdr>
        <w:suppressAutoHyphens/>
        <w:autoSpaceDN w:val="0"/>
        <w:spacing w:after="0" w:line="240" w:lineRule="auto"/>
        <w:ind w:left="48"/>
        <w:jc w:val="center"/>
        <w:textAlignment w:val="baseline"/>
        <w:rPr>
          <w:rFonts w:ascii="Times New Roman" w:hAnsi="Times New Roman" w:cs="Times New Roman"/>
          <w:b/>
          <w:bCs/>
        </w:rPr>
      </w:pPr>
      <w:r w:rsidRPr="00653C33">
        <w:rPr>
          <w:rFonts w:ascii="Times New Roman" w:hAnsi="Times New Roman" w:cs="Times New Roman"/>
          <w:b/>
          <w:bCs/>
        </w:rPr>
        <w:t xml:space="preserve">Pašvaldības teritorijā radīto notekūdeņu dūņu centralizēšanai pašvaldības lielākajās NAI nepieciešamais kapitālo investīciju apjoms EUR (aprēķinus skatīt pielikumā </w:t>
      </w:r>
      <w:r w:rsidR="003C2ECF">
        <w:rPr>
          <w:rFonts w:ascii="Times New Roman" w:hAnsi="Times New Roman" w:cs="Times New Roman"/>
          <w:b/>
          <w:bCs/>
          <w:szCs w:val="20"/>
        </w:rPr>
        <w:t xml:space="preserve">4.10. </w:t>
      </w:r>
      <w:r w:rsidR="003C2ECF" w:rsidRPr="009B6F7F">
        <w:rPr>
          <w:rFonts w:ascii="Times New Roman" w:hAnsi="Times New Roman" w:cs="Times New Roman"/>
          <w:b/>
          <w:bCs/>
          <w:szCs w:val="20"/>
        </w:rPr>
        <w:t>Finanšu aprēķini “4. Kapitālās investīcijas notekūdeņu dūņu pārstrādē”</w:t>
      </w:r>
      <w:r w:rsidRPr="00653C33">
        <w:rPr>
          <w:rFonts w:ascii="Times New Roman" w:hAnsi="Times New Roman" w:cs="Times New Roman"/>
          <w:b/>
          <w:bCs/>
        </w:rPr>
        <w:t>)</w:t>
      </w:r>
    </w:p>
    <w:tbl>
      <w:tblPr>
        <w:tblStyle w:val="30"/>
        <w:tblW w:w="8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1275"/>
        <w:gridCol w:w="1418"/>
        <w:gridCol w:w="1276"/>
        <w:gridCol w:w="1701"/>
        <w:gridCol w:w="1559"/>
      </w:tblGrid>
      <w:tr w:rsidR="00EA051D" w:rsidRPr="00653C33" w14:paraId="794B0A59" w14:textId="77777777" w:rsidTr="00653C33">
        <w:trPr>
          <w:trHeight w:val="288"/>
        </w:trPr>
        <w:tc>
          <w:tcPr>
            <w:tcW w:w="1545" w:type="dxa"/>
            <w:tcBorders>
              <w:top w:val="single" w:sz="12" w:space="0" w:color="auto"/>
              <w:left w:val="single" w:sz="12" w:space="0" w:color="auto"/>
            </w:tcBorders>
          </w:tcPr>
          <w:p w14:paraId="26381851"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Pašvaldība</w:t>
            </w:r>
          </w:p>
        </w:tc>
        <w:tc>
          <w:tcPr>
            <w:tcW w:w="1275" w:type="dxa"/>
            <w:tcBorders>
              <w:top w:val="single" w:sz="12" w:space="0" w:color="auto"/>
              <w:right w:val="single" w:sz="12" w:space="0" w:color="auto"/>
            </w:tcBorders>
          </w:tcPr>
          <w:p w14:paraId="5109981E"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Kopā izmaksas</w:t>
            </w:r>
            <w:r w:rsidRPr="00653C33">
              <w:rPr>
                <w:rFonts w:ascii="Times New Roman" w:hAnsi="Times New Roman" w:cs="Times New Roman"/>
                <w:b/>
                <w:sz w:val="20"/>
                <w:szCs w:val="20"/>
              </w:rPr>
              <w:br/>
              <w:t>EUR</w:t>
            </w:r>
          </w:p>
        </w:tc>
        <w:tc>
          <w:tcPr>
            <w:tcW w:w="1418" w:type="dxa"/>
            <w:tcBorders>
              <w:top w:val="single" w:sz="12" w:space="0" w:color="auto"/>
              <w:left w:val="single" w:sz="12" w:space="0" w:color="auto"/>
            </w:tcBorders>
          </w:tcPr>
          <w:p w14:paraId="781D95AE"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Pašvaldība</w:t>
            </w:r>
          </w:p>
        </w:tc>
        <w:tc>
          <w:tcPr>
            <w:tcW w:w="1276" w:type="dxa"/>
            <w:tcBorders>
              <w:top w:val="single" w:sz="12" w:space="0" w:color="auto"/>
              <w:right w:val="single" w:sz="12" w:space="0" w:color="auto"/>
            </w:tcBorders>
          </w:tcPr>
          <w:p w14:paraId="22042BCC"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Kopā izmaksas</w:t>
            </w:r>
            <w:r w:rsidRPr="00653C33">
              <w:rPr>
                <w:rFonts w:ascii="Times New Roman" w:hAnsi="Times New Roman" w:cs="Times New Roman"/>
                <w:b/>
                <w:sz w:val="20"/>
                <w:szCs w:val="20"/>
              </w:rPr>
              <w:br/>
              <w:t>EUR</w:t>
            </w:r>
          </w:p>
        </w:tc>
        <w:tc>
          <w:tcPr>
            <w:tcW w:w="1701" w:type="dxa"/>
            <w:tcBorders>
              <w:top w:val="single" w:sz="12" w:space="0" w:color="auto"/>
              <w:left w:val="single" w:sz="12" w:space="0" w:color="auto"/>
            </w:tcBorders>
          </w:tcPr>
          <w:p w14:paraId="1511070E"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Pašvaldība</w:t>
            </w:r>
          </w:p>
        </w:tc>
        <w:tc>
          <w:tcPr>
            <w:tcW w:w="1559" w:type="dxa"/>
            <w:tcBorders>
              <w:top w:val="single" w:sz="12" w:space="0" w:color="auto"/>
              <w:right w:val="single" w:sz="12" w:space="0" w:color="auto"/>
            </w:tcBorders>
          </w:tcPr>
          <w:p w14:paraId="494864AD"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Kopā izmaksas</w:t>
            </w:r>
            <w:r w:rsidRPr="00653C33">
              <w:rPr>
                <w:rFonts w:ascii="Times New Roman" w:hAnsi="Times New Roman" w:cs="Times New Roman"/>
                <w:b/>
                <w:sz w:val="20"/>
                <w:szCs w:val="20"/>
              </w:rPr>
              <w:br/>
              <w:t>EUR</w:t>
            </w:r>
          </w:p>
        </w:tc>
      </w:tr>
      <w:tr w:rsidR="00EA051D" w:rsidRPr="00653C33" w14:paraId="1D950D17" w14:textId="77777777" w:rsidTr="00653C33">
        <w:trPr>
          <w:trHeight w:val="288"/>
        </w:trPr>
        <w:tc>
          <w:tcPr>
            <w:tcW w:w="1545" w:type="dxa"/>
            <w:tcBorders>
              <w:left w:val="single" w:sz="12" w:space="0" w:color="auto"/>
            </w:tcBorders>
            <w:vAlign w:val="center"/>
          </w:tcPr>
          <w:p w14:paraId="4ED8FFC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Aizkraukles novads</w:t>
            </w:r>
          </w:p>
        </w:tc>
        <w:tc>
          <w:tcPr>
            <w:tcW w:w="1275" w:type="dxa"/>
            <w:tcBorders>
              <w:right w:val="single" w:sz="12" w:space="0" w:color="auto"/>
            </w:tcBorders>
            <w:vAlign w:val="center"/>
          </w:tcPr>
          <w:p w14:paraId="75DA44E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867 827</w:t>
            </w:r>
          </w:p>
        </w:tc>
        <w:tc>
          <w:tcPr>
            <w:tcW w:w="1418" w:type="dxa"/>
            <w:tcBorders>
              <w:left w:val="single" w:sz="12" w:space="0" w:color="auto"/>
            </w:tcBorders>
            <w:vAlign w:val="center"/>
          </w:tcPr>
          <w:p w14:paraId="5191F4D5"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Jūrmalas pilsēta</w:t>
            </w:r>
          </w:p>
        </w:tc>
        <w:tc>
          <w:tcPr>
            <w:tcW w:w="1276" w:type="dxa"/>
            <w:tcBorders>
              <w:right w:val="single" w:sz="12" w:space="0" w:color="auto"/>
            </w:tcBorders>
            <w:vAlign w:val="center"/>
          </w:tcPr>
          <w:p w14:paraId="676A8218"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600 000</w:t>
            </w:r>
          </w:p>
        </w:tc>
        <w:tc>
          <w:tcPr>
            <w:tcW w:w="1701" w:type="dxa"/>
            <w:tcBorders>
              <w:left w:val="single" w:sz="12" w:space="0" w:color="auto"/>
            </w:tcBorders>
            <w:vAlign w:val="center"/>
          </w:tcPr>
          <w:p w14:paraId="7C0DB013"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Rēzeknes novads</w:t>
            </w:r>
          </w:p>
        </w:tc>
        <w:tc>
          <w:tcPr>
            <w:tcW w:w="1559" w:type="dxa"/>
            <w:tcBorders>
              <w:right w:val="single" w:sz="12" w:space="0" w:color="auto"/>
            </w:tcBorders>
            <w:vAlign w:val="center"/>
          </w:tcPr>
          <w:p w14:paraId="3428D58B"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273 000</w:t>
            </w:r>
          </w:p>
        </w:tc>
      </w:tr>
      <w:tr w:rsidR="00EA051D" w:rsidRPr="00653C33" w14:paraId="72B08D22" w14:textId="77777777" w:rsidTr="00653C33">
        <w:trPr>
          <w:trHeight w:val="288"/>
        </w:trPr>
        <w:tc>
          <w:tcPr>
            <w:tcW w:w="1545" w:type="dxa"/>
            <w:tcBorders>
              <w:left w:val="single" w:sz="12" w:space="0" w:color="auto"/>
            </w:tcBorders>
            <w:vAlign w:val="center"/>
          </w:tcPr>
          <w:p w14:paraId="7A23EBCA"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Alūksnes novads</w:t>
            </w:r>
          </w:p>
        </w:tc>
        <w:tc>
          <w:tcPr>
            <w:tcW w:w="1275" w:type="dxa"/>
            <w:tcBorders>
              <w:right w:val="single" w:sz="12" w:space="0" w:color="auto"/>
            </w:tcBorders>
            <w:vAlign w:val="center"/>
          </w:tcPr>
          <w:p w14:paraId="4F19ACAD"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330 000</w:t>
            </w:r>
          </w:p>
        </w:tc>
        <w:tc>
          <w:tcPr>
            <w:tcW w:w="1418" w:type="dxa"/>
            <w:tcBorders>
              <w:left w:val="single" w:sz="12" w:space="0" w:color="auto"/>
            </w:tcBorders>
            <w:vAlign w:val="center"/>
          </w:tcPr>
          <w:p w14:paraId="27025246"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Krāslavas novads</w:t>
            </w:r>
          </w:p>
        </w:tc>
        <w:tc>
          <w:tcPr>
            <w:tcW w:w="1276" w:type="dxa"/>
            <w:tcBorders>
              <w:right w:val="single" w:sz="12" w:space="0" w:color="auto"/>
            </w:tcBorders>
            <w:vAlign w:val="center"/>
          </w:tcPr>
          <w:p w14:paraId="1F1B10B6"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620 000</w:t>
            </w:r>
          </w:p>
        </w:tc>
        <w:tc>
          <w:tcPr>
            <w:tcW w:w="1701" w:type="dxa"/>
            <w:tcBorders>
              <w:left w:val="single" w:sz="12" w:space="0" w:color="auto"/>
            </w:tcBorders>
            <w:vAlign w:val="center"/>
          </w:tcPr>
          <w:p w14:paraId="6C5CE251"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Ropažu novads</w:t>
            </w:r>
          </w:p>
        </w:tc>
        <w:tc>
          <w:tcPr>
            <w:tcW w:w="1559" w:type="dxa"/>
            <w:tcBorders>
              <w:right w:val="single" w:sz="12" w:space="0" w:color="auto"/>
            </w:tcBorders>
            <w:vAlign w:val="center"/>
          </w:tcPr>
          <w:p w14:paraId="42633337"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1 518 837</w:t>
            </w:r>
          </w:p>
        </w:tc>
      </w:tr>
      <w:tr w:rsidR="00EA051D" w:rsidRPr="00653C33" w14:paraId="3369F5F7" w14:textId="77777777" w:rsidTr="00653C33">
        <w:trPr>
          <w:trHeight w:val="288"/>
        </w:trPr>
        <w:tc>
          <w:tcPr>
            <w:tcW w:w="1545" w:type="dxa"/>
            <w:tcBorders>
              <w:left w:val="single" w:sz="12" w:space="0" w:color="auto"/>
            </w:tcBorders>
            <w:vAlign w:val="center"/>
          </w:tcPr>
          <w:p w14:paraId="7A234E7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Augšdaugavas novads</w:t>
            </w:r>
          </w:p>
        </w:tc>
        <w:tc>
          <w:tcPr>
            <w:tcW w:w="1275" w:type="dxa"/>
            <w:tcBorders>
              <w:right w:val="single" w:sz="12" w:space="0" w:color="auto"/>
            </w:tcBorders>
            <w:vAlign w:val="center"/>
          </w:tcPr>
          <w:p w14:paraId="3786ABB6"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418" w:type="dxa"/>
            <w:tcBorders>
              <w:left w:val="single" w:sz="12" w:space="0" w:color="auto"/>
            </w:tcBorders>
            <w:vAlign w:val="center"/>
          </w:tcPr>
          <w:p w14:paraId="447635AA"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Kuldīgas novads</w:t>
            </w:r>
          </w:p>
        </w:tc>
        <w:tc>
          <w:tcPr>
            <w:tcW w:w="1276" w:type="dxa"/>
            <w:tcBorders>
              <w:right w:val="single" w:sz="12" w:space="0" w:color="auto"/>
            </w:tcBorders>
            <w:vAlign w:val="center"/>
          </w:tcPr>
          <w:p w14:paraId="05F59EB7"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400 000</w:t>
            </w:r>
          </w:p>
        </w:tc>
        <w:tc>
          <w:tcPr>
            <w:tcW w:w="1701" w:type="dxa"/>
            <w:tcBorders>
              <w:left w:val="single" w:sz="12" w:space="0" w:color="auto"/>
            </w:tcBorders>
            <w:vAlign w:val="center"/>
          </w:tcPr>
          <w:p w14:paraId="3AD691CC"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Salaspils novads</w:t>
            </w:r>
          </w:p>
        </w:tc>
        <w:tc>
          <w:tcPr>
            <w:tcW w:w="1559" w:type="dxa"/>
            <w:tcBorders>
              <w:right w:val="single" w:sz="12" w:space="0" w:color="auto"/>
            </w:tcBorders>
            <w:vAlign w:val="center"/>
          </w:tcPr>
          <w:p w14:paraId="54A4053E"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400 000</w:t>
            </w:r>
          </w:p>
        </w:tc>
      </w:tr>
      <w:tr w:rsidR="00EA051D" w:rsidRPr="00653C33" w14:paraId="24DAADC0" w14:textId="77777777" w:rsidTr="00653C33">
        <w:trPr>
          <w:trHeight w:val="288"/>
        </w:trPr>
        <w:tc>
          <w:tcPr>
            <w:tcW w:w="1545" w:type="dxa"/>
            <w:tcBorders>
              <w:left w:val="single" w:sz="12" w:space="0" w:color="auto"/>
            </w:tcBorders>
            <w:vAlign w:val="center"/>
          </w:tcPr>
          <w:p w14:paraId="030DC16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Ādažu novads</w:t>
            </w:r>
          </w:p>
        </w:tc>
        <w:tc>
          <w:tcPr>
            <w:tcW w:w="1275" w:type="dxa"/>
            <w:tcBorders>
              <w:right w:val="single" w:sz="12" w:space="0" w:color="auto"/>
            </w:tcBorders>
            <w:vAlign w:val="center"/>
          </w:tcPr>
          <w:p w14:paraId="41C22B05"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690 000</w:t>
            </w:r>
          </w:p>
        </w:tc>
        <w:tc>
          <w:tcPr>
            <w:tcW w:w="1418" w:type="dxa"/>
            <w:tcBorders>
              <w:left w:val="single" w:sz="12" w:space="0" w:color="auto"/>
            </w:tcBorders>
            <w:vAlign w:val="center"/>
          </w:tcPr>
          <w:p w14:paraId="50F9300A"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Ķekavas novads</w:t>
            </w:r>
          </w:p>
        </w:tc>
        <w:tc>
          <w:tcPr>
            <w:tcW w:w="1276" w:type="dxa"/>
            <w:tcBorders>
              <w:right w:val="single" w:sz="12" w:space="0" w:color="auto"/>
            </w:tcBorders>
            <w:vAlign w:val="center"/>
          </w:tcPr>
          <w:p w14:paraId="02B4DC95"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668 125</w:t>
            </w:r>
          </w:p>
        </w:tc>
        <w:tc>
          <w:tcPr>
            <w:tcW w:w="1701" w:type="dxa"/>
            <w:tcBorders>
              <w:left w:val="single" w:sz="12" w:space="0" w:color="auto"/>
            </w:tcBorders>
            <w:vAlign w:val="center"/>
          </w:tcPr>
          <w:p w14:paraId="6F7EF7A6"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Saldus novads</w:t>
            </w:r>
          </w:p>
        </w:tc>
        <w:tc>
          <w:tcPr>
            <w:tcW w:w="1559" w:type="dxa"/>
            <w:tcBorders>
              <w:right w:val="single" w:sz="12" w:space="0" w:color="auto"/>
            </w:tcBorders>
            <w:vAlign w:val="center"/>
          </w:tcPr>
          <w:p w14:paraId="74EF8BFF"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633 000</w:t>
            </w:r>
          </w:p>
        </w:tc>
      </w:tr>
      <w:tr w:rsidR="00EA051D" w:rsidRPr="00653C33" w14:paraId="72C4C005" w14:textId="77777777" w:rsidTr="00653C33">
        <w:trPr>
          <w:trHeight w:val="288"/>
        </w:trPr>
        <w:tc>
          <w:tcPr>
            <w:tcW w:w="1545" w:type="dxa"/>
            <w:tcBorders>
              <w:left w:val="single" w:sz="12" w:space="0" w:color="auto"/>
            </w:tcBorders>
            <w:vAlign w:val="center"/>
          </w:tcPr>
          <w:p w14:paraId="744858D1"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Balvu novads</w:t>
            </w:r>
          </w:p>
        </w:tc>
        <w:tc>
          <w:tcPr>
            <w:tcW w:w="1275" w:type="dxa"/>
            <w:tcBorders>
              <w:right w:val="single" w:sz="12" w:space="0" w:color="auto"/>
            </w:tcBorders>
            <w:vAlign w:val="center"/>
          </w:tcPr>
          <w:p w14:paraId="1684415D"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418" w:type="dxa"/>
            <w:tcBorders>
              <w:left w:val="single" w:sz="12" w:space="0" w:color="auto"/>
            </w:tcBorders>
            <w:vAlign w:val="center"/>
          </w:tcPr>
          <w:p w14:paraId="6ACC54F0"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Liepājas pilsēta</w:t>
            </w:r>
          </w:p>
        </w:tc>
        <w:tc>
          <w:tcPr>
            <w:tcW w:w="1276" w:type="dxa"/>
            <w:tcBorders>
              <w:right w:val="single" w:sz="12" w:space="0" w:color="auto"/>
            </w:tcBorders>
            <w:vAlign w:val="center"/>
          </w:tcPr>
          <w:p w14:paraId="3BE37851"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600 000</w:t>
            </w:r>
          </w:p>
        </w:tc>
        <w:tc>
          <w:tcPr>
            <w:tcW w:w="1701" w:type="dxa"/>
            <w:tcBorders>
              <w:left w:val="single" w:sz="12" w:space="0" w:color="auto"/>
            </w:tcBorders>
            <w:vAlign w:val="center"/>
          </w:tcPr>
          <w:p w14:paraId="208BA274"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Saulkrastu novads</w:t>
            </w:r>
          </w:p>
        </w:tc>
        <w:tc>
          <w:tcPr>
            <w:tcW w:w="1559" w:type="dxa"/>
            <w:tcBorders>
              <w:right w:val="single" w:sz="12" w:space="0" w:color="auto"/>
            </w:tcBorders>
            <w:vAlign w:val="center"/>
          </w:tcPr>
          <w:p w14:paraId="27E40C9E"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r>
      <w:tr w:rsidR="00EA051D" w:rsidRPr="00653C33" w14:paraId="7A9AE082" w14:textId="77777777" w:rsidTr="00653C33">
        <w:trPr>
          <w:trHeight w:val="288"/>
        </w:trPr>
        <w:tc>
          <w:tcPr>
            <w:tcW w:w="1545" w:type="dxa"/>
            <w:tcBorders>
              <w:left w:val="single" w:sz="12" w:space="0" w:color="auto"/>
            </w:tcBorders>
            <w:vAlign w:val="center"/>
          </w:tcPr>
          <w:p w14:paraId="0107699F"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Bauskas novads</w:t>
            </w:r>
          </w:p>
        </w:tc>
        <w:tc>
          <w:tcPr>
            <w:tcW w:w="1275" w:type="dxa"/>
            <w:tcBorders>
              <w:right w:val="single" w:sz="12" w:space="0" w:color="auto"/>
            </w:tcBorders>
            <w:vAlign w:val="center"/>
          </w:tcPr>
          <w:p w14:paraId="146B9829"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920 000</w:t>
            </w:r>
          </w:p>
        </w:tc>
        <w:tc>
          <w:tcPr>
            <w:tcW w:w="1418" w:type="dxa"/>
            <w:tcBorders>
              <w:left w:val="single" w:sz="12" w:space="0" w:color="auto"/>
            </w:tcBorders>
            <w:vAlign w:val="center"/>
          </w:tcPr>
          <w:p w14:paraId="7EB9147D"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Limbažu novads</w:t>
            </w:r>
          </w:p>
        </w:tc>
        <w:tc>
          <w:tcPr>
            <w:tcW w:w="1276" w:type="dxa"/>
            <w:tcBorders>
              <w:right w:val="single" w:sz="12" w:space="0" w:color="auto"/>
            </w:tcBorders>
            <w:vAlign w:val="center"/>
          </w:tcPr>
          <w:p w14:paraId="1D540293"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806 000</w:t>
            </w:r>
          </w:p>
        </w:tc>
        <w:tc>
          <w:tcPr>
            <w:tcW w:w="1701" w:type="dxa"/>
            <w:tcBorders>
              <w:left w:val="single" w:sz="12" w:space="0" w:color="auto"/>
            </w:tcBorders>
            <w:vAlign w:val="center"/>
          </w:tcPr>
          <w:p w14:paraId="3AF386B6"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Siguldas novads</w:t>
            </w:r>
          </w:p>
        </w:tc>
        <w:tc>
          <w:tcPr>
            <w:tcW w:w="1559" w:type="dxa"/>
            <w:tcBorders>
              <w:right w:val="single" w:sz="12" w:space="0" w:color="auto"/>
            </w:tcBorders>
            <w:vAlign w:val="center"/>
          </w:tcPr>
          <w:p w14:paraId="2B83CEA2"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400 000</w:t>
            </w:r>
          </w:p>
        </w:tc>
      </w:tr>
      <w:tr w:rsidR="00EA051D" w:rsidRPr="00653C33" w14:paraId="716499EE" w14:textId="77777777" w:rsidTr="00653C33">
        <w:trPr>
          <w:trHeight w:val="288"/>
        </w:trPr>
        <w:tc>
          <w:tcPr>
            <w:tcW w:w="1545" w:type="dxa"/>
            <w:tcBorders>
              <w:left w:val="single" w:sz="12" w:space="0" w:color="auto"/>
            </w:tcBorders>
            <w:vAlign w:val="center"/>
          </w:tcPr>
          <w:p w14:paraId="22A3DC41"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Cēsu novads</w:t>
            </w:r>
          </w:p>
        </w:tc>
        <w:tc>
          <w:tcPr>
            <w:tcW w:w="1275" w:type="dxa"/>
            <w:tcBorders>
              <w:right w:val="single" w:sz="12" w:space="0" w:color="auto"/>
            </w:tcBorders>
            <w:vAlign w:val="center"/>
          </w:tcPr>
          <w:p w14:paraId="03457B5D"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856 000</w:t>
            </w:r>
          </w:p>
        </w:tc>
        <w:tc>
          <w:tcPr>
            <w:tcW w:w="1418" w:type="dxa"/>
            <w:tcBorders>
              <w:left w:val="single" w:sz="12" w:space="0" w:color="auto"/>
            </w:tcBorders>
            <w:vAlign w:val="center"/>
          </w:tcPr>
          <w:p w14:paraId="1B9A58C8"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Līvānu novads</w:t>
            </w:r>
          </w:p>
        </w:tc>
        <w:tc>
          <w:tcPr>
            <w:tcW w:w="1276" w:type="dxa"/>
            <w:tcBorders>
              <w:right w:val="single" w:sz="12" w:space="0" w:color="auto"/>
            </w:tcBorders>
            <w:vAlign w:val="center"/>
          </w:tcPr>
          <w:p w14:paraId="0B4CBAC4"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701" w:type="dxa"/>
            <w:tcBorders>
              <w:left w:val="single" w:sz="12" w:space="0" w:color="auto"/>
            </w:tcBorders>
            <w:vAlign w:val="center"/>
          </w:tcPr>
          <w:p w14:paraId="19A5ADF9"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Smiltenes novads</w:t>
            </w:r>
          </w:p>
        </w:tc>
        <w:tc>
          <w:tcPr>
            <w:tcW w:w="1559" w:type="dxa"/>
            <w:tcBorders>
              <w:right w:val="single" w:sz="12" w:space="0" w:color="auto"/>
            </w:tcBorders>
            <w:vAlign w:val="center"/>
          </w:tcPr>
          <w:p w14:paraId="040FE8DA"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503 000</w:t>
            </w:r>
          </w:p>
        </w:tc>
      </w:tr>
      <w:tr w:rsidR="00EA051D" w:rsidRPr="00653C33" w14:paraId="2E7E827B" w14:textId="77777777" w:rsidTr="00653C33">
        <w:trPr>
          <w:trHeight w:val="288"/>
        </w:trPr>
        <w:tc>
          <w:tcPr>
            <w:tcW w:w="1545" w:type="dxa"/>
            <w:tcBorders>
              <w:left w:val="single" w:sz="12" w:space="0" w:color="auto"/>
            </w:tcBorders>
            <w:vAlign w:val="center"/>
          </w:tcPr>
          <w:p w14:paraId="3B723C24"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Daugavpils pilsēta</w:t>
            </w:r>
          </w:p>
        </w:tc>
        <w:tc>
          <w:tcPr>
            <w:tcW w:w="1275" w:type="dxa"/>
            <w:tcBorders>
              <w:right w:val="single" w:sz="12" w:space="0" w:color="auto"/>
            </w:tcBorders>
            <w:vAlign w:val="center"/>
          </w:tcPr>
          <w:p w14:paraId="287A1482"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600 000</w:t>
            </w:r>
          </w:p>
        </w:tc>
        <w:tc>
          <w:tcPr>
            <w:tcW w:w="1418" w:type="dxa"/>
            <w:tcBorders>
              <w:left w:val="single" w:sz="12" w:space="0" w:color="auto"/>
            </w:tcBorders>
            <w:vAlign w:val="center"/>
          </w:tcPr>
          <w:p w14:paraId="6E719A7D"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Ludzas novads</w:t>
            </w:r>
          </w:p>
        </w:tc>
        <w:tc>
          <w:tcPr>
            <w:tcW w:w="1276" w:type="dxa"/>
            <w:tcBorders>
              <w:right w:val="single" w:sz="12" w:space="0" w:color="auto"/>
            </w:tcBorders>
            <w:vAlign w:val="center"/>
          </w:tcPr>
          <w:p w14:paraId="17409065"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701" w:type="dxa"/>
            <w:tcBorders>
              <w:left w:val="single" w:sz="12" w:space="0" w:color="auto"/>
            </w:tcBorders>
            <w:vAlign w:val="center"/>
          </w:tcPr>
          <w:p w14:paraId="22F02439"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Talsu novads</w:t>
            </w:r>
          </w:p>
        </w:tc>
        <w:tc>
          <w:tcPr>
            <w:tcW w:w="1559" w:type="dxa"/>
            <w:tcBorders>
              <w:right w:val="single" w:sz="12" w:space="0" w:color="auto"/>
            </w:tcBorders>
            <w:vAlign w:val="center"/>
          </w:tcPr>
          <w:p w14:paraId="71AA54A7"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690 000</w:t>
            </w:r>
          </w:p>
        </w:tc>
      </w:tr>
      <w:tr w:rsidR="00EA051D" w:rsidRPr="00653C33" w14:paraId="08A443F8" w14:textId="77777777" w:rsidTr="00653C33">
        <w:trPr>
          <w:trHeight w:val="288"/>
        </w:trPr>
        <w:tc>
          <w:tcPr>
            <w:tcW w:w="1545" w:type="dxa"/>
            <w:tcBorders>
              <w:left w:val="single" w:sz="12" w:space="0" w:color="auto"/>
            </w:tcBorders>
            <w:vAlign w:val="center"/>
          </w:tcPr>
          <w:p w14:paraId="46606D3E"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Dienvidkurzemes novads</w:t>
            </w:r>
          </w:p>
        </w:tc>
        <w:tc>
          <w:tcPr>
            <w:tcW w:w="1275" w:type="dxa"/>
            <w:tcBorders>
              <w:right w:val="single" w:sz="12" w:space="0" w:color="auto"/>
            </w:tcBorders>
            <w:vAlign w:val="center"/>
          </w:tcPr>
          <w:p w14:paraId="7C4BC514"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418" w:type="dxa"/>
            <w:tcBorders>
              <w:left w:val="single" w:sz="12" w:space="0" w:color="auto"/>
            </w:tcBorders>
            <w:vAlign w:val="center"/>
          </w:tcPr>
          <w:p w14:paraId="01D47D24"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Madonas novads</w:t>
            </w:r>
          </w:p>
        </w:tc>
        <w:tc>
          <w:tcPr>
            <w:tcW w:w="1276" w:type="dxa"/>
            <w:tcBorders>
              <w:right w:val="single" w:sz="12" w:space="0" w:color="auto"/>
            </w:tcBorders>
            <w:vAlign w:val="center"/>
          </w:tcPr>
          <w:p w14:paraId="4FD17EB5"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1 602 490</w:t>
            </w:r>
          </w:p>
        </w:tc>
        <w:tc>
          <w:tcPr>
            <w:tcW w:w="1701" w:type="dxa"/>
            <w:tcBorders>
              <w:left w:val="single" w:sz="12" w:space="0" w:color="auto"/>
            </w:tcBorders>
            <w:vAlign w:val="center"/>
          </w:tcPr>
          <w:p w14:paraId="32F6BB2D"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Tukuma novads</w:t>
            </w:r>
          </w:p>
        </w:tc>
        <w:tc>
          <w:tcPr>
            <w:tcW w:w="1559" w:type="dxa"/>
            <w:tcBorders>
              <w:right w:val="single" w:sz="12" w:space="0" w:color="auto"/>
            </w:tcBorders>
            <w:vAlign w:val="center"/>
          </w:tcPr>
          <w:p w14:paraId="3E777A86"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1 452 596</w:t>
            </w:r>
          </w:p>
        </w:tc>
      </w:tr>
      <w:tr w:rsidR="00EA051D" w:rsidRPr="00653C33" w14:paraId="523C362F" w14:textId="77777777" w:rsidTr="00653C33">
        <w:trPr>
          <w:trHeight w:val="288"/>
        </w:trPr>
        <w:tc>
          <w:tcPr>
            <w:tcW w:w="1545" w:type="dxa"/>
            <w:tcBorders>
              <w:left w:val="single" w:sz="12" w:space="0" w:color="auto"/>
            </w:tcBorders>
            <w:vAlign w:val="center"/>
          </w:tcPr>
          <w:p w14:paraId="20D03A0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Dobeles novads</w:t>
            </w:r>
          </w:p>
        </w:tc>
        <w:tc>
          <w:tcPr>
            <w:tcW w:w="1275" w:type="dxa"/>
            <w:tcBorders>
              <w:right w:val="single" w:sz="12" w:space="0" w:color="auto"/>
            </w:tcBorders>
            <w:vAlign w:val="center"/>
          </w:tcPr>
          <w:p w14:paraId="6F4F6D44"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832 731</w:t>
            </w:r>
          </w:p>
        </w:tc>
        <w:tc>
          <w:tcPr>
            <w:tcW w:w="1418" w:type="dxa"/>
            <w:tcBorders>
              <w:left w:val="single" w:sz="12" w:space="0" w:color="auto"/>
            </w:tcBorders>
            <w:vAlign w:val="center"/>
          </w:tcPr>
          <w:p w14:paraId="551FCF86"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Mārupes novads</w:t>
            </w:r>
          </w:p>
        </w:tc>
        <w:tc>
          <w:tcPr>
            <w:tcW w:w="1276" w:type="dxa"/>
            <w:tcBorders>
              <w:right w:val="single" w:sz="12" w:space="0" w:color="auto"/>
            </w:tcBorders>
            <w:vAlign w:val="center"/>
          </w:tcPr>
          <w:p w14:paraId="40693167"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701" w:type="dxa"/>
            <w:tcBorders>
              <w:left w:val="single" w:sz="12" w:space="0" w:color="auto"/>
            </w:tcBorders>
            <w:vAlign w:val="center"/>
          </w:tcPr>
          <w:p w14:paraId="1E992193"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Valkas novads</w:t>
            </w:r>
          </w:p>
        </w:tc>
        <w:tc>
          <w:tcPr>
            <w:tcW w:w="1559" w:type="dxa"/>
            <w:tcBorders>
              <w:right w:val="single" w:sz="12" w:space="0" w:color="auto"/>
            </w:tcBorders>
            <w:vAlign w:val="center"/>
          </w:tcPr>
          <w:p w14:paraId="73A9C01E"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r>
      <w:tr w:rsidR="00EA051D" w:rsidRPr="00653C33" w14:paraId="1052AD6E" w14:textId="77777777" w:rsidTr="00653C33">
        <w:trPr>
          <w:trHeight w:val="288"/>
        </w:trPr>
        <w:tc>
          <w:tcPr>
            <w:tcW w:w="1545" w:type="dxa"/>
            <w:tcBorders>
              <w:left w:val="single" w:sz="12" w:space="0" w:color="auto"/>
            </w:tcBorders>
            <w:vAlign w:val="center"/>
          </w:tcPr>
          <w:p w14:paraId="6AF78981"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Gulbenes novads</w:t>
            </w:r>
          </w:p>
        </w:tc>
        <w:tc>
          <w:tcPr>
            <w:tcW w:w="1275" w:type="dxa"/>
            <w:tcBorders>
              <w:right w:val="single" w:sz="12" w:space="0" w:color="auto"/>
            </w:tcBorders>
            <w:vAlign w:val="center"/>
          </w:tcPr>
          <w:p w14:paraId="3563114D"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400 000</w:t>
            </w:r>
          </w:p>
        </w:tc>
        <w:tc>
          <w:tcPr>
            <w:tcW w:w="1418" w:type="dxa"/>
            <w:tcBorders>
              <w:left w:val="single" w:sz="12" w:space="0" w:color="auto"/>
            </w:tcBorders>
            <w:vAlign w:val="center"/>
          </w:tcPr>
          <w:p w14:paraId="349B7F21"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Ogres novads</w:t>
            </w:r>
          </w:p>
        </w:tc>
        <w:tc>
          <w:tcPr>
            <w:tcW w:w="1276" w:type="dxa"/>
            <w:tcBorders>
              <w:right w:val="single" w:sz="12" w:space="0" w:color="auto"/>
            </w:tcBorders>
            <w:vAlign w:val="center"/>
          </w:tcPr>
          <w:p w14:paraId="4C68EBC1"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1 038 750</w:t>
            </w:r>
          </w:p>
        </w:tc>
        <w:tc>
          <w:tcPr>
            <w:tcW w:w="1701" w:type="dxa"/>
            <w:tcBorders>
              <w:left w:val="single" w:sz="12" w:space="0" w:color="auto"/>
            </w:tcBorders>
            <w:vAlign w:val="center"/>
          </w:tcPr>
          <w:p w14:paraId="702931FD"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Valmieras novads</w:t>
            </w:r>
          </w:p>
        </w:tc>
        <w:tc>
          <w:tcPr>
            <w:tcW w:w="1559" w:type="dxa"/>
            <w:tcBorders>
              <w:right w:val="single" w:sz="12" w:space="0" w:color="auto"/>
            </w:tcBorders>
            <w:vAlign w:val="center"/>
          </w:tcPr>
          <w:p w14:paraId="776F9FCF"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400 000</w:t>
            </w:r>
          </w:p>
        </w:tc>
      </w:tr>
      <w:tr w:rsidR="00EA051D" w:rsidRPr="00653C33" w14:paraId="5C1BFAB1" w14:textId="77777777" w:rsidTr="00653C33">
        <w:trPr>
          <w:trHeight w:val="288"/>
        </w:trPr>
        <w:tc>
          <w:tcPr>
            <w:tcW w:w="1545" w:type="dxa"/>
            <w:tcBorders>
              <w:left w:val="single" w:sz="12" w:space="0" w:color="auto"/>
            </w:tcBorders>
            <w:vAlign w:val="center"/>
          </w:tcPr>
          <w:p w14:paraId="4ED417B9"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Jelgavas pilsēta</w:t>
            </w:r>
          </w:p>
        </w:tc>
        <w:tc>
          <w:tcPr>
            <w:tcW w:w="1275" w:type="dxa"/>
            <w:tcBorders>
              <w:right w:val="single" w:sz="12" w:space="0" w:color="auto"/>
            </w:tcBorders>
            <w:vAlign w:val="center"/>
          </w:tcPr>
          <w:p w14:paraId="399EE7FA"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600 000</w:t>
            </w:r>
          </w:p>
        </w:tc>
        <w:tc>
          <w:tcPr>
            <w:tcW w:w="1418" w:type="dxa"/>
            <w:tcBorders>
              <w:left w:val="single" w:sz="12" w:space="0" w:color="auto"/>
            </w:tcBorders>
            <w:vAlign w:val="center"/>
          </w:tcPr>
          <w:p w14:paraId="20363E82"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Olaines novads</w:t>
            </w:r>
          </w:p>
        </w:tc>
        <w:tc>
          <w:tcPr>
            <w:tcW w:w="1276" w:type="dxa"/>
            <w:tcBorders>
              <w:right w:val="single" w:sz="12" w:space="0" w:color="auto"/>
            </w:tcBorders>
            <w:vAlign w:val="center"/>
          </w:tcPr>
          <w:p w14:paraId="5C08CF27"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400 000</w:t>
            </w:r>
          </w:p>
        </w:tc>
        <w:tc>
          <w:tcPr>
            <w:tcW w:w="1701" w:type="dxa"/>
            <w:tcBorders>
              <w:left w:val="single" w:sz="12" w:space="0" w:color="auto"/>
            </w:tcBorders>
            <w:vAlign w:val="center"/>
          </w:tcPr>
          <w:p w14:paraId="58FFE169"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Ventspils pilsēta</w:t>
            </w:r>
          </w:p>
        </w:tc>
        <w:tc>
          <w:tcPr>
            <w:tcW w:w="1559" w:type="dxa"/>
            <w:tcBorders>
              <w:right w:val="single" w:sz="12" w:space="0" w:color="auto"/>
            </w:tcBorders>
            <w:vAlign w:val="center"/>
          </w:tcPr>
          <w:p w14:paraId="6B77559B"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600 000</w:t>
            </w:r>
          </w:p>
        </w:tc>
      </w:tr>
      <w:tr w:rsidR="00EA051D" w:rsidRPr="00653C33" w14:paraId="5F7EBFFC" w14:textId="77777777" w:rsidTr="00653C33">
        <w:trPr>
          <w:trHeight w:val="288"/>
        </w:trPr>
        <w:tc>
          <w:tcPr>
            <w:tcW w:w="1545" w:type="dxa"/>
            <w:tcBorders>
              <w:left w:val="single" w:sz="12" w:space="0" w:color="auto"/>
            </w:tcBorders>
            <w:vAlign w:val="center"/>
          </w:tcPr>
          <w:p w14:paraId="386D3AF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Jelgavas novads</w:t>
            </w:r>
          </w:p>
        </w:tc>
        <w:tc>
          <w:tcPr>
            <w:tcW w:w="1275" w:type="dxa"/>
            <w:tcBorders>
              <w:right w:val="single" w:sz="12" w:space="0" w:color="auto"/>
            </w:tcBorders>
            <w:vAlign w:val="center"/>
          </w:tcPr>
          <w:p w14:paraId="517C917D"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418" w:type="dxa"/>
            <w:tcBorders>
              <w:left w:val="single" w:sz="12" w:space="0" w:color="auto"/>
            </w:tcBorders>
            <w:vAlign w:val="center"/>
          </w:tcPr>
          <w:p w14:paraId="32E64E3D"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Preiļu novads</w:t>
            </w:r>
          </w:p>
        </w:tc>
        <w:tc>
          <w:tcPr>
            <w:tcW w:w="1276" w:type="dxa"/>
            <w:tcBorders>
              <w:right w:val="single" w:sz="12" w:space="0" w:color="auto"/>
            </w:tcBorders>
            <w:vAlign w:val="center"/>
          </w:tcPr>
          <w:p w14:paraId="48544E3B"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c>
          <w:tcPr>
            <w:tcW w:w="1701" w:type="dxa"/>
            <w:tcBorders>
              <w:left w:val="single" w:sz="12" w:space="0" w:color="auto"/>
            </w:tcBorders>
            <w:vAlign w:val="center"/>
          </w:tcPr>
          <w:p w14:paraId="6549FFA1" w14:textId="77777777" w:rsidR="00EA051D" w:rsidRPr="00653C33" w:rsidRDefault="00EA051D" w:rsidP="000C73AC">
            <w:pPr>
              <w:spacing w:after="60"/>
              <w:rPr>
                <w:rFonts w:ascii="Times New Roman" w:hAnsi="Times New Roman" w:cs="Times New Roman"/>
                <w:color w:val="000000"/>
                <w:sz w:val="20"/>
                <w:szCs w:val="20"/>
              </w:rPr>
            </w:pPr>
            <w:r w:rsidRPr="00653C33">
              <w:rPr>
                <w:rFonts w:ascii="Times New Roman" w:hAnsi="Times New Roman" w:cs="Times New Roman"/>
                <w:color w:val="000000"/>
                <w:sz w:val="20"/>
                <w:szCs w:val="20"/>
              </w:rPr>
              <w:t>Ventspils novads</w:t>
            </w:r>
          </w:p>
        </w:tc>
        <w:tc>
          <w:tcPr>
            <w:tcW w:w="1559" w:type="dxa"/>
            <w:tcBorders>
              <w:right w:val="single" w:sz="12" w:space="0" w:color="auto"/>
            </w:tcBorders>
            <w:vAlign w:val="center"/>
          </w:tcPr>
          <w:p w14:paraId="62E0A74A" w14:textId="77777777" w:rsidR="00EA051D" w:rsidRPr="00653C33" w:rsidRDefault="00EA051D" w:rsidP="000C73AC">
            <w:pPr>
              <w:spacing w:after="60"/>
              <w:jc w:val="center"/>
              <w:rPr>
                <w:rFonts w:ascii="Times New Roman" w:hAnsi="Times New Roman" w:cs="Times New Roman"/>
                <w:color w:val="000000"/>
                <w:sz w:val="20"/>
                <w:szCs w:val="20"/>
              </w:rPr>
            </w:pPr>
            <w:r w:rsidRPr="00653C33">
              <w:rPr>
                <w:rFonts w:ascii="Times New Roman" w:hAnsi="Times New Roman" w:cs="Times New Roman"/>
                <w:color w:val="000000"/>
                <w:sz w:val="20"/>
                <w:szCs w:val="20"/>
              </w:rPr>
              <w:t>330 000</w:t>
            </w:r>
          </w:p>
        </w:tc>
      </w:tr>
      <w:tr w:rsidR="00EA051D" w:rsidRPr="00653C33" w14:paraId="2883F971" w14:textId="77777777" w:rsidTr="00653C33">
        <w:trPr>
          <w:trHeight w:val="288"/>
        </w:trPr>
        <w:tc>
          <w:tcPr>
            <w:tcW w:w="1545" w:type="dxa"/>
            <w:tcBorders>
              <w:left w:val="single" w:sz="12" w:space="0" w:color="auto"/>
              <w:bottom w:val="single" w:sz="12" w:space="0" w:color="auto"/>
            </w:tcBorders>
            <w:vAlign w:val="center"/>
          </w:tcPr>
          <w:p w14:paraId="1C981B4A"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Jēkabpils novads</w:t>
            </w:r>
          </w:p>
        </w:tc>
        <w:tc>
          <w:tcPr>
            <w:tcW w:w="1275" w:type="dxa"/>
            <w:tcBorders>
              <w:bottom w:val="single" w:sz="12" w:space="0" w:color="auto"/>
              <w:right w:val="single" w:sz="12" w:space="0" w:color="auto"/>
            </w:tcBorders>
            <w:vAlign w:val="center"/>
          </w:tcPr>
          <w:p w14:paraId="125B9936"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400 000</w:t>
            </w:r>
          </w:p>
        </w:tc>
        <w:tc>
          <w:tcPr>
            <w:tcW w:w="1418" w:type="dxa"/>
            <w:tcBorders>
              <w:left w:val="single" w:sz="12" w:space="0" w:color="auto"/>
              <w:bottom w:val="single" w:sz="12" w:space="0" w:color="auto"/>
            </w:tcBorders>
            <w:vAlign w:val="center"/>
          </w:tcPr>
          <w:p w14:paraId="5F11705A"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Rēzeknes pilsēta</w:t>
            </w:r>
          </w:p>
        </w:tc>
        <w:tc>
          <w:tcPr>
            <w:tcW w:w="1276" w:type="dxa"/>
            <w:tcBorders>
              <w:bottom w:val="single" w:sz="12" w:space="0" w:color="auto"/>
              <w:right w:val="single" w:sz="12" w:space="0" w:color="auto"/>
            </w:tcBorders>
            <w:vAlign w:val="center"/>
          </w:tcPr>
          <w:p w14:paraId="3B100E54"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600 000</w:t>
            </w:r>
          </w:p>
        </w:tc>
        <w:tc>
          <w:tcPr>
            <w:tcW w:w="1701" w:type="dxa"/>
            <w:tcBorders>
              <w:left w:val="single" w:sz="12" w:space="0" w:color="auto"/>
              <w:bottom w:val="single" w:sz="12" w:space="0" w:color="auto"/>
            </w:tcBorders>
            <w:vAlign w:val="center"/>
          </w:tcPr>
          <w:p w14:paraId="720279FD" w14:textId="77777777" w:rsidR="00EA051D" w:rsidRPr="00653C33" w:rsidRDefault="00EA051D" w:rsidP="000C73AC">
            <w:pPr>
              <w:spacing w:after="60"/>
              <w:jc w:val="center"/>
              <w:rPr>
                <w:rFonts w:ascii="Times New Roman" w:hAnsi="Times New Roman" w:cs="Times New Roman"/>
                <w:b/>
              </w:rPr>
            </w:pPr>
            <w:r w:rsidRPr="00653C33">
              <w:rPr>
                <w:rFonts w:ascii="Times New Roman" w:hAnsi="Times New Roman" w:cs="Times New Roman"/>
                <w:b/>
              </w:rPr>
              <w:t>KOPĀ</w:t>
            </w:r>
          </w:p>
        </w:tc>
        <w:tc>
          <w:tcPr>
            <w:tcW w:w="1559" w:type="dxa"/>
            <w:tcBorders>
              <w:bottom w:val="single" w:sz="12" w:space="0" w:color="auto"/>
              <w:right w:val="single" w:sz="12" w:space="0" w:color="auto"/>
            </w:tcBorders>
            <w:vAlign w:val="center"/>
          </w:tcPr>
          <w:p w14:paraId="640ED811" w14:textId="77777777" w:rsidR="00EA051D" w:rsidRPr="00653C33" w:rsidRDefault="00EA051D" w:rsidP="000C73AC">
            <w:pPr>
              <w:pBdr>
                <w:top w:val="nil"/>
                <w:left w:val="nil"/>
                <w:bottom w:val="nil"/>
                <w:right w:val="nil"/>
                <w:between w:val="nil"/>
              </w:pBdr>
              <w:spacing w:after="60"/>
              <w:rPr>
                <w:rFonts w:ascii="Times New Roman" w:hAnsi="Times New Roman" w:cs="Times New Roman"/>
                <w:b/>
                <w:color w:val="000000"/>
              </w:rPr>
            </w:pPr>
            <w:r w:rsidRPr="00653C33">
              <w:rPr>
                <w:rFonts w:ascii="Times New Roman" w:hAnsi="Times New Roman" w:cs="Times New Roman"/>
                <w:b/>
                <w:color w:val="000000"/>
              </w:rPr>
              <w:t>24 332 356</w:t>
            </w:r>
          </w:p>
        </w:tc>
      </w:tr>
    </w:tbl>
    <w:p w14:paraId="6A0521CA" w14:textId="77777777" w:rsidR="00EA051D" w:rsidRPr="00653C33" w:rsidRDefault="00EA051D" w:rsidP="00653C33">
      <w:pPr>
        <w:spacing w:before="120"/>
        <w:ind w:firstLine="720"/>
        <w:rPr>
          <w:rFonts w:ascii="Times New Roman" w:hAnsi="Times New Roman" w:cs="Times New Roman"/>
        </w:rPr>
      </w:pPr>
      <w:r w:rsidRPr="00653C33">
        <w:rPr>
          <w:rFonts w:ascii="Times New Roman" w:hAnsi="Times New Roman" w:cs="Times New Roman"/>
        </w:rPr>
        <w:t>Pēc 2021. gadā īstenotās ATR Latvijā būs pašvaldības, kurās ir vairākas NAI ar slapju dūņu apjomu virs 1 000 m</w:t>
      </w:r>
      <w:r w:rsidRPr="00653C33">
        <w:rPr>
          <w:rFonts w:ascii="Times New Roman" w:hAnsi="Times New Roman" w:cs="Times New Roman"/>
          <w:vertAlign w:val="superscript"/>
        </w:rPr>
        <w:t>3</w:t>
      </w:r>
      <w:r w:rsidRPr="00653C33">
        <w:rPr>
          <w:rFonts w:ascii="Times New Roman" w:hAnsi="Times New Roman" w:cs="Times New Roman"/>
        </w:rPr>
        <w:t xml:space="preserve"> gadā un būs nepieciešamas vairākas mehāniskās dūņu </w:t>
      </w:r>
      <w:r w:rsidRPr="00653C33">
        <w:rPr>
          <w:rFonts w:ascii="Times New Roman" w:hAnsi="Times New Roman" w:cs="Times New Roman"/>
        </w:rPr>
        <w:lastRenderedPageBreak/>
        <w:t xml:space="preserve">atūdeņošanas iekārtas, piemēram, Limbažu, Madonas, Ogres, Ropažu u.c. novadi, vienlaikus joprojām būs arī tādas pašvaldības, kur būs nepieciešama tikai viena mehāniskā dūņu atūdeņošanas iekārta, piemēram, Alūksnes, Balvu, Gulbenes, Līvānu, Ludzas u.c. novadi. Pašvaldībās ar vairākām mehāniskām dūņu atūdeņošanas iekārtām slapju dūņu transportēšanu ir iespējams optimizēt tās vedot līdz tuvākajām dūņu mehāniskās atūdeņošanas iekārtām, bet dūņu pārstrādes centrā tās tiek nogādātas jau mehāniski atūdeņotas, tādējādi samazinot apstrādāto dūņu transportēšanas izmaksas. Mazās pašvaldībās ar vienām slapju dūņu mehāniskās atūdeņošanas iekārtām visu dūņu transportēšana būtu jāveic uz šo vienīgo atūdeņošanas iekārtu, kas izvietota pašvaldības lielākajās NAI. Tomēr arī šajā gadījumā ir iespējams optimizēt slapju dūņu transportēšanu viena brauciena laikā apkalpojot vairākas mazās NAI, jo stratēģijā veiktajos aprēķinos pieņemts, ka no katras mazās NAI uz lielākajām NAI dūņas tiek pārvestas atsevišķi. </w:t>
      </w:r>
    </w:p>
    <w:p w14:paraId="61EE35FF" w14:textId="77777777" w:rsidR="00EA051D" w:rsidRPr="00653C33" w:rsidRDefault="00EA051D" w:rsidP="00653C33">
      <w:pPr>
        <w:ind w:firstLine="720"/>
        <w:rPr>
          <w:rFonts w:ascii="Times New Roman" w:hAnsi="Times New Roman" w:cs="Times New Roman"/>
        </w:rPr>
      </w:pPr>
      <w:r w:rsidRPr="00653C33">
        <w:rPr>
          <w:rFonts w:ascii="Times New Roman" w:hAnsi="Times New Roman" w:cs="Times New Roman"/>
        </w:rPr>
        <w:t>Notekūdeņu dūņu apsaimniekošanas stratēģijas izstrādes ietvaros ir aprēķinātas arī ikgadējās izmaksas par visu notekūdeņu dūņu atūdeņošanu un transportēšanu uz pašvaldību lielākajām NAI. Norādītās izmaksas vienas pašvaldības ietvaros ir iespējams samazināt, izstrādājot katras pašvaldības specifiskajai situācijai atbilstošu dūņu loģistikas plānu.</w:t>
      </w:r>
    </w:p>
    <w:p w14:paraId="6AD8DDE5" w14:textId="7873EC45" w:rsidR="00653C33" w:rsidRPr="00045C5C" w:rsidRDefault="00045C5C" w:rsidP="00045C5C">
      <w:pPr>
        <w:pBdr>
          <w:top w:val="nil"/>
          <w:left w:val="nil"/>
          <w:bottom w:val="nil"/>
          <w:right w:val="nil"/>
          <w:between w:val="nil"/>
        </w:pBdr>
        <w:suppressAutoHyphens/>
        <w:autoSpaceDN w:val="0"/>
        <w:spacing w:after="0"/>
        <w:ind w:left="48"/>
        <w:jc w:val="right"/>
        <w:textAlignment w:val="baseline"/>
        <w:rPr>
          <w:rFonts w:ascii="Times New Roman" w:hAnsi="Times New Roman" w:cs="Times New Roman"/>
        </w:rPr>
      </w:pPr>
      <w:r>
        <w:rPr>
          <w:rFonts w:ascii="Times New Roman" w:hAnsi="Times New Roman" w:cs="Times New Roman"/>
        </w:rPr>
        <w:t>4.5.2.</w:t>
      </w:r>
      <w:r w:rsidR="00653C33" w:rsidRPr="00045C5C">
        <w:rPr>
          <w:rFonts w:ascii="Times New Roman" w:hAnsi="Times New Roman" w:cs="Times New Roman"/>
        </w:rPr>
        <w:t>t</w:t>
      </w:r>
      <w:r w:rsidR="00EA051D" w:rsidRPr="00045C5C">
        <w:rPr>
          <w:rFonts w:ascii="Times New Roman" w:hAnsi="Times New Roman" w:cs="Times New Roman"/>
        </w:rPr>
        <w:t>abula</w:t>
      </w:r>
    </w:p>
    <w:p w14:paraId="0A9A5BE5" w14:textId="44ED50C8" w:rsidR="00EA051D" w:rsidRPr="00653C33" w:rsidRDefault="00EA051D" w:rsidP="00653C33">
      <w:pPr>
        <w:pBdr>
          <w:top w:val="nil"/>
          <w:left w:val="nil"/>
          <w:bottom w:val="nil"/>
          <w:right w:val="nil"/>
          <w:between w:val="nil"/>
        </w:pBdr>
        <w:suppressAutoHyphens/>
        <w:autoSpaceDN w:val="0"/>
        <w:spacing w:after="0"/>
        <w:ind w:left="48"/>
        <w:jc w:val="center"/>
        <w:textAlignment w:val="baseline"/>
        <w:rPr>
          <w:rFonts w:ascii="Times New Roman" w:hAnsi="Times New Roman" w:cs="Times New Roman"/>
          <w:b/>
          <w:bCs/>
        </w:rPr>
      </w:pPr>
      <w:r w:rsidRPr="00653C33">
        <w:rPr>
          <w:rFonts w:ascii="Times New Roman" w:hAnsi="Times New Roman" w:cs="Times New Roman"/>
          <w:b/>
          <w:bCs/>
        </w:rPr>
        <w:t xml:space="preserve">Pašvaldības teritorijā radīto notekūdeņu dūņu centralizēšanai pašvaldības lielākajās NAI nepieciešamais transportēšanu izmaksu apjoms EUR/gadā (aprēķinus skatīt pielikumā </w:t>
      </w:r>
      <w:r w:rsidR="003C2ECF" w:rsidRPr="003C2ECF">
        <w:rPr>
          <w:rFonts w:ascii="Times New Roman" w:hAnsi="Times New Roman" w:cs="Times New Roman"/>
          <w:b/>
          <w:bCs/>
        </w:rPr>
        <w:t>4.8. Finanšu aprēķini “2. notekūdeņu dūņu apstrādes izmaksas pašvaldībās”</w:t>
      </w:r>
      <w:r w:rsidRPr="00653C33">
        <w:rPr>
          <w:rFonts w:ascii="Times New Roman" w:hAnsi="Times New Roman" w:cs="Times New Roman"/>
          <w:b/>
          <w:bCs/>
        </w:rPr>
        <w:t>)</w:t>
      </w:r>
    </w:p>
    <w:tbl>
      <w:tblPr>
        <w:tblStyle w:val="29"/>
        <w:tblW w:w="8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1275"/>
        <w:gridCol w:w="1560"/>
        <w:gridCol w:w="1417"/>
        <w:gridCol w:w="1418"/>
        <w:gridCol w:w="1559"/>
      </w:tblGrid>
      <w:tr w:rsidR="00EA051D" w:rsidRPr="00653C33" w14:paraId="604066B9" w14:textId="77777777" w:rsidTr="00653C33">
        <w:trPr>
          <w:trHeight w:val="288"/>
        </w:trPr>
        <w:tc>
          <w:tcPr>
            <w:tcW w:w="1545" w:type="dxa"/>
            <w:tcBorders>
              <w:top w:val="single" w:sz="12" w:space="0" w:color="auto"/>
              <w:left w:val="single" w:sz="12" w:space="0" w:color="auto"/>
            </w:tcBorders>
          </w:tcPr>
          <w:p w14:paraId="5EC41504"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Pašvaldība</w:t>
            </w:r>
          </w:p>
        </w:tc>
        <w:tc>
          <w:tcPr>
            <w:tcW w:w="1275" w:type="dxa"/>
            <w:tcBorders>
              <w:top w:val="single" w:sz="12" w:space="0" w:color="auto"/>
              <w:right w:val="single" w:sz="12" w:space="0" w:color="auto"/>
            </w:tcBorders>
          </w:tcPr>
          <w:p w14:paraId="23671678"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Kopā izmaksas</w:t>
            </w:r>
            <w:r w:rsidRPr="00653C33">
              <w:rPr>
                <w:rFonts w:ascii="Times New Roman" w:hAnsi="Times New Roman" w:cs="Times New Roman"/>
                <w:b/>
                <w:sz w:val="20"/>
                <w:szCs w:val="20"/>
              </w:rPr>
              <w:br/>
              <w:t>EUR</w:t>
            </w:r>
          </w:p>
        </w:tc>
        <w:tc>
          <w:tcPr>
            <w:tcW w:w="1560" w:type="dxa"/>
            <w:tcBorders>
              <w:top w:val="single" w:sz="12" w:space="0" w:color="auto"/>
              <w:left w:val="single" w:sz="12" w:space="0" w:color="auto"/>
            </w:tcBorders>
          </w:tcPr>
          <w:p w14:paraId="44D5AF2B"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Pašvaldība</w:t>
            </w:r>
          </w:p>
        </w:tc>
        <w:tc>
          <w:tcPr>
            <w:tcW w:w="1417" w:type="dxa"/>
            <w:tcBorders>
              <w:top w:val="single" w:sz="12" w:space="0" w:color="auto"/>
              <w:right w:val="single" w:sz="12" w:space="0" w:color="auto"/>
            </w:tcBorders>
          </w:tcPr>
          <w:p w14:paraId="54ADD997"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Kopā izmaksas</w:t>
            </w:r>
            <w:r w:rsidRPr="00653C33">
              <w:rPr>
                <w:rFonts w:ascii="Times New Roman" w:hAnsi="Times New Roman" w:cs="Times New Roman"/>
                <w:b/>
                <w:sz w:val="20"/>
                <w:szCs w:val="20"/>
              </w:rPr>
              <w:br/>
              <w:t>EUR</w:t>
            </w:r>
          </w:p>
        </w:tc>
        <w:tc>
          <w:tcPr>
            <w:tcW w:w="1418" w:type="dxa"/>
            <w:tcBorders>
              <w:top w:val="single" w:sz="12" w:space="0" w:color="auto"/>
              <w:left w:val="single" w:sz="12" w:space="0" w:color="auto"/>
            </w:tcBorders>
          </w:tcPr>
          <w:p w14:paraId="2C814EF2"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Pašvaldība</w:t>
            </w:r>
          </w:p>
        </w:tc>
        <w:tc>
          <w:tcPr>
            <w:tcW w:w="1559" w:type="dxa"/>
            <w:tcBorders>
              <w:top w:val="single" w:sz="12" w:space="0" w:color="auto"/>
              <w:right w:val="single" w:sz="12" w:space="0" w:color="auto"/>
            </w:tcBorders>
          </w:tcPr>
          <w:p w14:paraId="77BE72A0" w14:textId="77777777" w:rsidR="00EA051D" w:rsidRPr="00653C33" w:rsidRDefault="00EA051D" w:rsidP="000C73AC">
            <w:pPr>
              <w:spacing w:after="60"/>
              <w:jc w:val="center"/>
              <w:rPr>
                <w:rFonts w:ascii="Times New Roman" w:hAnsi="Times New Roman" w:cs="Times New Roman"/>
                <w:b/>
                <w:sz w:val="20"/>
                <w:szCs w:val="20"/>
              </w:rPr>
            </w:pPr>
            <w:r w:rsidRPr="00653C33">
              <w:rPr>
                <w:rFonts w:ascii="Times New Roman" w:hAnsi="Times New Roman" w:cs="Times New Roman"/>
                <w:b/>
                <w:sz w:val="20"/>
                <w:szCs w:val="20"/>
              </w:rPr>
              <w:t>Kopā izmaksas</w:t>
            </w:r>
            <w:r w:rsidRPr="00653C33">
              <w:rPr>
                <w:rFonts w:ascii="Times New Roman" w:hAnsi="Times New Roman" w:cs="Times New Roman"/>
                <w:b/>
                <w:sz w:val="20"/>
                <w:szCs w:val="20"/>
              </w:rPr>
              <w:br/>
              <w:t>EUR</w:t>
            </w:r>
          </w:p>
        </w:tc>
      </w:tr>
      <w:tr w:rsidR="00EA051D" w:rsidRPr="00653C33" w14:paraId="1938B1FE" w14:textId="77777777" w:rsidTr="00653C33">
        <w:trPr>
          <w:trHeight w:val="288"/>
        </w:trPr>
        <w:tc>
          <w:tcPr>
            <w:tcW w:w="1545" w:type="dxa"/>
            <w:tcBorders>
              <w:left w:val="single" w:sz="12" w:space="0" w:color="auto"/>
            </w:tcBorders>
            <w:vAlign w:val="center"/>
          </w:tcPr>
          <w:p w14:paraId="21B1B820"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Aizkraukles novads</w:t>
            </w:r>
          </w:p>
        </w:tc>
        <w:tc>
          <w:tcPr>
            <w:tcW w:w="1275" w:type="dxa"/>
            <w:tcBorders>
              <w:right w:val="single" w:sz="12" w:space="0" w:color="auto"/>
            </w:tcBorders>
            <w:vAlign w:val="center"/>
          </w:tcPr>
          <w:p w14:paraId="39F17333"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38 570</w:t>
            </w:r>
          </w:p>
        </w:tc>
        <w:tc>
          <w:tcPr>
            <w:tcW w:w="1560" w:type="dxa"/>
            <w:tcBorders>
              <w:left w:val="single" w:sz="12" w:space="0" w:color="auto"/>
            </w:tcBorders>
            <w:vAlign w:val="center"/>
          </w:tcPr>
          <w:p w14:paraId="7EDD419E"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Jūrmalas pilsēta</w:t>
            </w:r>
          </w:p>
        </w:tc>
        <w:tc>
          <w:tcPr>
            <w:tcW w:w="1417" w:type="dxa"/>
            <w:tcBorders>
              <w:right w:val="single" w:sz="12" w:space="0" w:color="auto"/>
            </w:tcBorders>
            <w:vAlign w:val="center"/>
          </w:tcPr>
          <w:p w14:paraId="092B3F4A"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25 993</w:t>
            </w:r>
          </w:p>
        </w:tc>
        <w:tc>
          <w:tcPr>
            <w:tcW w:w="1418" w:type="dxa"/>
            <w:tcBorders>
              <w:left w:val="single" w:sz="12" w:space="0" w:color="auto"/>
            </w:tcBorders>
            <w:vAlign w:val="center"/>
          </w:tcPr>
          <w:p w14:paraId="5B27BB25"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Rēzeknes novads</w:t>
            </w:r>
          </w:p>
        </w:tc>
        <w:tc>
          <w:tcPr>
            <w:tcW w:w="1559" w:type="dxa"/>
            <w:tcBorders>
              <w:right w:val="single" w:sz="12" w:space="0" w:color="auto"/>
            </w:tcBorders>
            <w:vAlign w:val="center"/>
          </w:tcPr>
          <w:p w14:paraId="1E435C4D"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3 295</w:t>
            </w:r>
          </w:p>
        </w:tc>
      </w:tr>
      <w:tr w:rsidR="00EA051D" w:rsidRPr="00653C33" w14:paraId="795B9225" w14:textId="77777777" w:rsidTr="00653C33">
        <w:trPr>
          <w:trHeight w:val="288"/>
        </w:trPr>
        <w:tc>
          <w:tcPr>
            <w:tcW w:w="1545" w:type="dxa"/>
            <w:tcBorders>
              <w:left w:val="single" w:sz="12" w:space="0" w:color="auto"/>
            </w:tcBorders>
            <w:vAlign w:val="center"/>
          </w:tcPr>
          <w:p w14:paraId="2F1123B5"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Alūksnes novads</w:t>
            </w:r>
          </w:p>
        </w:tc>
        <w:tc>
          <w:tcPr>
            <w:tcW w:w="1275" w:type="dxa"/>
            <w:tcBorders>
              <w:right w:val="single" w:sz="12" w:space="0" w:color="auto"/>
            </w:tcBorders>
            <w:vAlign w:val="center"/>
          </w:tcPr>
          <w:p w14:paraId="3F93A6B4"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19 040</w:t>
            </w:r>
          </w:p>
        </w:tc>
        <w:tc>
          <w:tcPr>
            <w:tcW w:w="1560" w:type="dxa"/>
            <w:tcBorders>
              <w:left w:val="single" w:sz="12" w:space="0" w:color="auto"/>
            </w:tcBorders>
            <w:vAlign w:val="center"/>
          </w:tcPr>
          <w:p w14:paraId="1E6F19F7"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Krāslavas novads</w:t>
            </w:r>
          </w:p>
        </w:tc>
        <w:tc>
          <w:tcPr>
            <w:tcW w:w="1417" w:type="dxa"/>
            <w:tcBorders>
              <w:right w:val="single" w:sz="12" w:space="0" w:color="auto"/>
            </w:tcBorders>
            <w:vAlign w:val="center"/>
          </w:tcPr>
          <w:p w14:paraId="2743D2A7"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30 063</w:t>
            </w:r>
          </w:p>
        </w:tc>
        <w:tc>
          <w:tcPr>
            <w:tcW w:w="1418" w:type="dxa"/>
            <w:tcBorders>
              <w:left w:val="single" w:sz="12" w:space="0" w:color="auto"/>
            </w:tcBorders>
            <w:vAlign w:val="center"/>
          </w:tcPr>
          <w:p w14:paraId="6FF513C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Ropažu novads</w:t>
            </w:r>
          </w:p>
        </w:tc>
        <w:tc>
          <w:tcPr>
            <w:tcW w:w="1559" w:type="dxa"/>
            <w:tcBorders>
              <w:right w:val="single" w:sz="12" w:space="0" w:color="auto"/>
            </w:tcBorders>
            <w:vAlign w:val="center"/>
          </w:tcPr>
          <w:p w14:paraId="28059616"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47 514</w:t>
            </w:r>
          </w:p>
        </w:tc>
      </w:tr>
      <w:tr w:rsidR="00EA051D" w:rsidRPr="00653C33" w14:paraId="3A4D7146" w14:textId="77777777" w:rsidTr="00653C33">
        <w:trPr>
          <w:trHeight w:val="288"/>
        </w:trPr>
        <w:tc>
          <w:tcPr>
            <w:tcW w:w="1545" w:type="dxa"/>
            <w:tcBorders>
              <w:left w:val="single" w:sz="12" w:space="0" w:color="auto"/>
            </w:tcBorders>
            <w:vAlign w:val="center"/>
          </w:tcPr>
          <w:p w14:paraId="49029292"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Augšdaugavas novads</w:t>
            </w:r>
          </w:p>
        </w:tc>
        <w:tc>
          <w:tcPr>
            <w:tcW w:w="1275" w:type="dxa"/>
            <w:tcBorders>
              <w:right w:val="single" w:sz="12" w:space="0" w:color="auto"/>
            </w:tcBorders>
            <w:vAlign w:val="center"/>
          </w:tcPr>
          <w:p w14:paraId="02BDD212"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14 526</w:t>
            </w:r>
          </w:p>
        </w:tc>
        <w:tc>
          <w:tcPr>
            <w:tcW w:w="1560" w:type="dxa"/>
            <w:tcBorders>
              <w:left w:val="single" w:sz="12" w:space="0" w:color="auto"/>
            </w:tcBorders>
            <w:vAlign w:val="center"/>
          </w:tcPr>
          <w:p w14:paraId="4730A6A6"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Kuldīgas novads</w:t>
            </w:r>
          </w:p>
        </w:tc>
        <w:tc>
          <w:tcPr>
            <w:tcW w:w="1417" w:type="dxa"/>
            <w:tcBorders>
              <w:right w:val="single" w:sz="12" w:space="0" w:color="auto"/>
            </w:tcBorders>
            <w:vAlign w:val="center"/>
          </w:tcPr>
          <w:p w14:paraId="30760B4B"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21 946</w:t>
            </w:r>
          </w:p>
        </w:tc>
        <w:tc>
          <w:tcPr>
            <w:tcW w:w="1418" w:type="dxa"/>
            <w:tcBorders>
              <w:left w:val="single" w:sz="12" w:space="0" w:color="auto"/>
            </w:tcBorders>
            <w:vAlign w:val="center"/>
          </w:tcPr>
          <w:p w14:paraId="3B9C16AF"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Salaspils novads</w:t>
            </w:r>
          </w:p>
        </w:tc>
        <w:tc>
          <w:tcPr>
            <w:tcW w:w="1559" w:type="dxa"/>
            <w:tcBorders>
              <w:right w:val="single" w:sz="12" w:space="0" w:color="auto"/>
            </w:tcBorders>
            <w:vAlign w:val="center"/>
          </w:tcPr>
          <w:p w14:paraId="6E1F1AA0"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21 882</w:t>
            </w:r>
          </w:p>
        </w:tc>
      </w:tr>
      <w:tr w:rsidR="00EA051D" w:rsidRPr="00653C33" w14:paraId="56642528" w14:textId="77777777" w:rsidTr="00653C33">
        <w:trPr>
          <w:trHeight w:val="288"/>
        </w:trPr>
        <w:tc>
          <w:tcPr>
            <w:tcW w:w="1545" w:type="dxa"/>
            <w:tcBorders>
              <w:left w:val="single" w:sz="12" w:space="0" w:color="auto"/>
            </w:tcBorders>
            <w:vAlign w:val="center"/>
          </w:tcPr>
          <w:p w14:paraId="47FF5BBA"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Ādažu novads</w:t>
            </w:r>
          </w:p>
        </w:tc>
        <w:tc>
          <w:tcPr>
            <w:tcW w:w="1275" w:type="dxa"/>
            <w:tcBorders>
              <w:right w:val="single" w:sz="12" w:space="0" w:color="auto"/>
            </w:tcBorders>
            <w:vAlign w:val="center"/>
          </w:tcPr>
          <w:p w14:paraId="2A6ECB7C"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33 060</w:t>
            </w:r>
          </w:p>
        </w:tc>
        <w:tc>
          <w:tcPr>
            <w:tcW w:w="1560" w:type="dxa"/>
            <w:tcBorders>
              <w:left w:val="single" w:sz="12" w:space="0" w:color="auto"/>
            </w:tcBorders>
            <w:vAlign w:val="center"/>
          </w:tcPr>
          <w:p w14:paraId="77811083"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Ķekavas novads</w:t>
            </w:r>
          </w:p>
        </w:tc>
        <w:tc>
          <w:tcPr>
            <w:tcW w:w="1417" w:type="dxa"/>
            <w:tcBorders>
              <w:right w:val="single" w:sz="12" w:space="0" w:color="auto"/>
            </w:tcBorders>
            <w:vAlign w:val="center"/>
          </w:tcPr>
          <w:p w14:paraId="2D6361D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25 843</w:t>
            </w:r>
          </w:p>
        </w:tc>
        <w:tc>
          <w:tcPr>
            <w:tcW w:w="1418" w:type="dxa"/>
            <w:tcBorders>
              <w:left w:val="single" w:sz="12" w:space="0" w:color="auto"/>
            </w:tcBorders>
            <w:vAlign w:val="center"/>
          </w:tcPr>
          <w:p w14:paraId="58AD061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Saldus novads</w:t>
            </w:r>
          </w:p>
        </w:tc>
        <w:tc>
          <w:tcPr>
            <w:tcW w:w="1559" w:type="dxa"/>
            <w:tcBorders>
              <w:right w:val="single" w:sz="12" w:space="0" w:color="auto"/>
            </w:tcBorders>
            <w:vAlign w:val="center"/>
          </w:tcPr>
          <w:p w14:paraId="00D0694B"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28 861</w:t>
            </w:r>
          </w:p>
        </w:tc>
      </w:tr>
      <w:tr w:rsidR="00EA051D" w:rsidRPr="00653C33" w14:paraId="58A20335" w14:textId="77777777" w:rsidTr="00653C33">
        <w:trPr>
          <w:trHeight w:val="288"/>
        </w:trPr>
        <w:tc>
          <w:tcPr>
            <w:tcW w:w="1545" w:type="dxa"/>
            <w:tcBorders>
              <w:left w:val="single" w:sz="12" w:space="0" w:color="auto"/>
            </w:tcBorders>
            <w:vAlign w:val="center"/>
          </w:tcPr>
          <w:p w14:paraId="5AF2513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Balvu novads</w:t>
            </w:r>
          </w:p>
        </w:tc>
        <w:tc>
          <w:tcPr>
            <w:tcW w:w="1275" w:type="dxa"/>
            <w:tcBorders>
              <w:right w:val="single" w:sz="12" w:space="0" w:color="auto"/>
            </w:tcBorders>
            <w:vAlign w:val="center"/>
          </w:tcPr>
          <w:p w14:paraId="1D237112"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21 743</w:t>
            </w:r>
          </w:p>
        </w:tc>
        <w:tc>
          <w:tcPr>
            <w:tcW w:w="1560" w:type="dxa"/>
            <w:tcBorders>
              <w:left w:val="single" w:sz="12" w:space="0" w:color="auto"/>
            </w:tcBorders>
            <w:vAlign w:val="center"/>
          </w:tcPr>
          <w:p w14:paraId="73B58632"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Liepājas pilsēta</w:t>
            </w:r>
          </w:p>
        </w:tc>
        <w:tc>
          <w:tcPr>
            <w:tcW w:w="1417" w:type="dxa"/>
            <w:tcBorders>
              <w:right w:val="single" w:sz="12" w:space="0" w:color="auto"/>
            </w:tcBorders>
            <w:vAlign w:val="center"/>
          </w:tcPr>
          <w:p w14:paraId="15EA110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37 228</w:t>
            </w:r>
          </w:p>
        </w:tc>
        <w:tc>
          <w:tcPr>
            <w:tcW w:w="1418" w:type="dxa"/>
            <w:tcBorders>
              <w:left w:val="single" w:sz="12" w:space="0" w:color="auto"/>
            </w:tcBorders>
            <w:vAlign w:val="center"/>
          </w:tcPr>
          <w:p w14:paraId="4F9BB32C"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Saulkrastu novads</w:t>
            </w:r>
          </w:p>
        </w:tc>
        <w:tc>
          <w:tcPr>
            <w:tcW w:w="1559" w:type="dxa"/>
            <w:tcBorders>
              <w:right w:val="single" w:sz="12" w:space="0" w:color="auto"/>
            </w:tcBorders>
            <w:vAlign w:val="center"/>
          </w:tcPr>
          <w:p w14:paraId="23358E54"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15 947</w:t>
            </w:r>
          </w:p>
        </w:tc>
      </w:tr>
      <w:tr w:rsidR="00EA051D" w:rsidRPr="00653C33" w14:paraId="15B70995" w14:textId="77777777" w:rsidTr="00653C33">
        <w:trPr>
          <w:trHeight w:val="288"/>
        </w:trPr>
        <w:tc>
          <w:tcPr>
            <w:tcW w:w="1545" w:type="dxa"/>
            <w:tcBorders>
              <w:left w:val="single" w:sz="12" w:space="0" w:color="auto"/>
            </w:tcBorders>
            <w:vAlign w:val="center"/>
          </w:tcPr>
          <w:p w14:paraId="5A61E829"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Bauskas novads</w:t>
            </w:r>
          </w:p>
        </w:tc>
        <w:tc>
          <w:tcPr>
            <w:tcW w:w="1275" w:type="dxa"/>
            <w:tcBorders>
              <w:right w:val="single" w:sz="12" w:space="0" w:color="auto"/>
            </w:tcBorders>
            <w:vAlign w:val="center"/>
          </w:tcPr>
          <w:p w14:paraId="791459E9"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28 419</w:t>
            </w:r>
          </w:p>
        </w:tc>
        <w:tc>
          <w:tcPr>
            <w:tcW w:w="1560" w:type="dxa"/>
            <w:tcBorders>
              <w:left w:val="single" w:sz="12" w:space="0" w:color="auto"/>
            </w:tcBorders>
            <w:vAlign w:val="center"/>
          </w:tcPr>
          <w:p w14:paraId="1CCA4AD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Limbažu novads</w:t>
            </w:r>
          </w:p>
        </w:tc>
        <w:tc>
          <w:tcPr>
            <w:tcW w:w="1417" w:type="dxa"/>
            <w:tcBorders>
              <w:right w:val="single" w:sz="12" w:space="0" w:color="auto"/>
            </w:tcBorders>
            <w:vAlign w:val="center"/>
          </w:tcPr>
          <w:p w14:paraId="17A6C6A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28 391</w:t>
            </w:r>
          </w:p>
        </w:tc>
        <w:tc>
          <w:tcPr>
            <w:tcW w:w="1418" w:type="dxa"/>
            <w:tcBorders>
              <w:left w:val="single" w:sz="12" w:space="0" w:color="auto"/>
            </w:tcBorders>
            <w:vAlign w:val="center"/>
          </w:tcPr>
          <w:p w14:paraId="741F70E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Siguldas novads</w:t>
            </w:r>
          </w:p>
        </w:tc>
        <w:tc>
          <w:tcPr>
            <w:tcW w:w="1559" w:type="dxa"/>
            <w:tcBorders>
              <w:right w:val="single" w:sz="12" w:space="0" w:color="auto"/>
            </w:tcBorders>
            <w:vAlign w:val="center"/>
          </w:tcPr>
          <w:p w14:paraId="753BE46C"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19 778</w:t>
            </w:r>
          </w:p>
        </w:tc>
      </w:tr>
      <w:tr w:rsidR="00EA051D" w:rsidRPr="00653C33" w14:paraId="4A1D2971" w14:textId="77777777" w:rsidTr="00653C33">
        <w:trPr>
          <w:trHeight w:val="288"/>
        </w:trPr>
        <w:tc>
          <w:tcPr>
            <w:tcW w:w="1545" w:type="dxa"/>
            <w:tcBorders>
              <w:left w:val="single" w:sz="12" w:space="0" w:color="auto"/>
            </w:tcBorders>
            <w:vAlign w:val="center"/>
          </w:tcPr>
          <w:p w14:paraId="29F766D5"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Cēsu novads</w:t>
            </w:r>
          </w:p>
        </w:tc>
        <w:tc>
          <w:tcPr>
            <w:tcW w:w="1275" w:type="dxa"/>
            <w:tcBorders>
              <w:right w:val="single" w:sz="12" w:space="0" w:color="auto"/>
            </w:tcBorders>
            <w:vAlign w:val="center"/>
          </w:tcPr>
          <w:p w14:paraId="1330BAB8"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41 447</w:t>
            </w:r>
          </w:p>
        </w:tc>
        <w:tc>
          <w:tcPr>
            <w:tcW w:w="1560" w:type="dxa"/>
            <w:tcBorders>
              <w:left w:val="single" w:sz="12" w:space="0" w:color="auto"/>
            </w:tcBorders>
            <w:vAlign w:val="center"/>
          </w:tcPr>
          <w:p w14:paraId="4F77E74E"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Līvānu novads</w:t>
            </w:r>
          </w:p>
        </w:tc>
        <w:tc>
          <w:tcPr>
            <w:tcW w:w="1417" w:type="dxa"/>
            <w:tcBorders>
              <w:right w:val="single" w:sz="12" w:space="0" w:color="auto"/>
            </w:tcBorders>
            <w:vAlign w:val="center"/>
          </w:tcPr>
          <w:p w14:paraId="45F17998"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16 366</w:t>
            </w:r>
          </w:p>
        </w:tc>
        <w:tc>
          <w:tcPr>
            <w:tcW w:w="1418" w:type="dxa"/>
            <w:tcBorders>
              <w:left w:val="single" w:sz="12" w:space="0" w:color="auto"/>
            </w:tcBorders>
            <w:vAlign w:val="center"/>
          </w:tcPr>
          <w:p w14:paraId="5BD2A963"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Smiltenes novads</w:t>
            </w:r>
          </w:p>
        </w:tc>
        <w:tc>
          <w:tcPr>
            <w:tcW w:w="1559" w:type="dxa"/>
            <w:tcBorders>
              <w:right w:val="single" w:sz="12" w:space="0" w:color="auto"/>
            </w:tcBorders>
            <w:vAlign w:val="center"/>
          </w:tcPr>
          <w:p w14:paraId="3BB92DC1"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14 320</w:t>
            </w:r>
          </w:p>
        </w:tc>
      </w:tr>
      <w:tr w:rsidR="00EA051D" w:rsidRPr="00653C33" w14:paraId="057394BC" w14:textId="77777777" w:rsidTr="00653C33">
        <w:trPr>
          <w:trHeight w:val="288"/>
        </w:trPr>
        <w:tc>
          <w:tcPr>
            <w:tcW w:w="1545" w:type="dxa"/>
            <w:tcBorders>
              <w:left w:val="single" w:sz="12" w:space="0" w:color="auto"/>
            </w:tcBorders>
            <w:vAlign w:val="center"/>
          </w:tcPr>
          <w:p w14:paraId="5BCBB635"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Daugavpils pilsēta</w:t>
            </w:r>
          </w:p>
        </w:tc>
        <w:tc>
          <w:tcPr>
            <w:tcW w:w="1275" w:type="dxa"/>
            <w:tcBorders>
              <w:right w:val="single" w:sz="12" w:space="0" w:color="auto"/>
            </w:tcBorders>
            <w:vAlign w:val="center"/>
          </w:tcPr>
          <w:p w14:paraId="3119E72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71 390</w:t>
            </w:r>
          </w:p>
        </w:tc>
        <w:tc>
          <w:tcPr>
            <w:tcW w:w="1560" w:type="dxa"/>
            <w:tcBorders>
              <w:left w:val="single" w:sz="12" w:space="0" w:color="auto"/>
            </w:tcBorders>
            <w:vAlign w:val="center"/>
          </w:tcPr>
          <w:p w14:paraId="49C552C1"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Ludzas novads</w:t>
            </w:r>
          </w:p>
        </w:tc>
        <w:tc>
          <w:tcPr>
            <w:tcW w:w="1417" w:type="dxa"/>
            <w:tcBorders>
              <w:right w:val="single" w:sz="12" w:space="0" w:color="auto"/>
            </w:tcBorders>
            <w:vAlign w:val="center"/>
          </w:tcPr>
          <w:p w14:paraId="32048790"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21 718</w:t>
            </w:r>
          </w:p>
        </w:tc>
        <w:tc>
          <w:tcPr>
            <w:tcW w:w="1418" w:type="dxa"/>
            <w:tcBorders>
              <w:left w:val="single" w:sz="12" w:space="0" w:color="auto"/>
            </w:tcBorders>
            <w:vAlign w:val="center"/>
          </w:tcPr>
          <w:p w14:paraId="72D163C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Talsu novads</w:t>
            </w:r>
          </w:p>
        </w:tc>
        <w:tc>
          <w:tcPr>
            <w:tcW w:w="1559" w:type="dxa"/>
            <w:tcBorders>
              <w:right w:val="single" w:sz="12" w:space="0" w:color="auto"/>
            </w:tcBorders>
            <w:vAlign w:val="center"/>
          </w:tcPr>
          <w:p w14:paraId="65EE63B2"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27 501</w:t>
            </w:r>
          </w:p>
        </w:tc>
      </w:tr>
      <w:tr w:rsidR="00EA051D" w:rsidRPr="00653C33" w14:paraId="3E9FAE3A" w14:textId="77777777" w:rsidTr="00653C33">
        <w:trPr>
          <w:trHeight w:val="288"/>
        </w:trPr>
        <w:tc>
          <w:tcPr>
            <w:tcW w:w="1545" w:type="dxa"/>
            <w:tcBorders>
              <w:left w:val="single" w:sz="12" w:space="0" w:color="auto"/>
            </w:tcBorders>
            <w:vAlign w:val="center"/>
          </w:tcPr>
          <w:p w14:paraId="3E1DA772"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Dienvidkurzemes novads</w:t>
            </w:r>
          </w:p>
        </w:tc>
        <w:tc>
          <w:tcPr>
            <w:tcW w:w="1275" w:type="dxa"/>
            <w:tcBorders>
              <w:right w:val="single" w:sz="12" w:space="0" w:color="auto"/>
            </w:tcBorders>
            <w:vAlign w:val="center"/>
          </w:tcPr>
          <w:p w14:paraId="12AD8E4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18 195</w:t>
            </w:r>
          </w:p>
        </w:tc>
        <w:tc>
          <w:tcPr>
            <w:tcW w:w="1560" w:type="dxa"/>
            <w:tcBorders>
              <w:left w:val="single" w:sz="12" w:space="0" w:color="auto"/>
            </w:tcBorders>
            <w:vAlign w:val="center"/>
          </w:tcPr>
          <w:p w14:paraId="273795F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Madonas novads</w:t>
            </w:r>
          </w:p>
        </w:tc>
        <w:tc>
          <w:tcPr>
            <w:tcW w:w="1417" w:type="dxa"/>
            <w:tcBorders>
              <w:right w:val="single" w:sz="12" w:space="0" w:color="auto"/>
            </w:tcBorders>
            <w:vAlign w:val="center"/>
          </w:tcPr>
          <w:p w14:paraId="1A817868"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44 445</w:t>
            </w:r>
          </w:p>
        </w:tc>
        <w:tc>
          <w:tcPr>
            <w:tcW w:w="1418" w:type="dxa"/>
            <w:tcBorders>
              <w:left w:val="single" w:sz="12" w:space="0" w:color="auto"/>
            </w:tcBorders>
            <w:vAlign w:val="center"/>
          </w:tcPr>
          <w:p w14:paraId="73F4E66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Tukuma novads</w:t>
            </w:r>
          </w:p>
        </w:tc>
        <w:tc>
          <w:tcPr>
            <w:tcW w:w="1559" w:type="dxa"/>
            <w:tcBorders>
              <w:right w:val="single" w:sz="12" w:space="0" w:color="auto"/>
            </w:tcBorders>
            <w:vAlign w:val="center"/>
          </w:tcPr>
          <w:p w14:paraId="1538C9BA"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71 029</w:t>
            </w:r>
          </w:p>
        </w:tc>
      </w:tr>
      <w:tr w:rsidR="00EA051D" w:rsidRPr="00653C33" w14:paraId="37844810" w14:textId="77777777" w:rsidTr="00653C33">
        <w:trPr>
          <w:trHeight w:val="288"/>
        </w:trPr>
        <w:tc>
          <w:tcPr>
            <w:tcW w:w="1545" w:type="dxa"/>
            <w:tcBorders>
              <w:left w:val="single" w:sz="12" w:space="0" w:color="auto"/>
            </w:tcBorders>
            <w:vAlign w:val="center"/>
          </w:tcPr>
          <w:p w14:paraId="0EEBAFC1"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lastRenderedPageBreak/>
              <w:t>Dobeles novads</w:t>
            </w:r>
          </w:p>
        </w:tc>
        <w:tc>
          <w:tcPr>
            <w:tcW w:w="1275" w:type="dxa"/>
            <w:tcBorders>
              <w:right w:val="single" w:sz="12" w:space="0" w:color="auto"/>
            </w:tcBorders>
            <w:vAlign w:val="center"/>
          </w:tcPr>
          <w:p w14:paraId="02C239F0"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35 327</w:t>
            </w:r>
          </w:p>
        </w:tc>
        <w:tc>
          <w:tcPr>
            <w:tcW w:w="1560" w:type="dxa"/>
            <w:tcBorders>
              <w:left w:val="single" w:sz="12" w:space="0" w:color="auto"/>
            </w:tcBorders>
            <w:vAlign w:val="center"/>
          </w:tcPr>
          <w:p w14:paraId="70354FDA"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Mārupes novads</w:t>
            </w:r>
          </w:p>
        </w:tc>
        <w:tc>
          <w:tcPr>
            <w:tcW w:w="1417" w:type="dxa"/>
            <w:tcBorders>
              <w:right w:val="single" w:sz="12" w:space="0" w:color="auto"/>
            </w:tcBorders>
            <w:vAlign w:val="center"/>
          </w:tcPr>
          <w:p w14:paraId="484549B8"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14 522</w:t>
            </w:r>
          </w:p>
        </w:tc>
        <w:tc>
          <w:tcPr>
            <w:tcW w:w="1418" w:type="dxa"/>
            <w:tcBorders>
              <w:left w:val="single" w:sz="12" w:space="0" w:color="auto"/>
            </w:tcBorders>
            <w:vAlign w:val="center"/>
          </w:tcPr>
          <w:p w14:paraId="2529FB6D"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Valkas novads</w:t>
            </w:r>
          </w:p>
        </w:tc>
        <w:tc>
          <w:tcPr>
            <w:tcW w:w="1559" w:type="dxa"/>
            <w:tcBorders>
              <w:right w:val="single" w:sz="12" w:space="0" w:color="auto"/>
            </w:tcBorders>
            <w:vAlign w:val="center"/>
          </w:tcPr>
          <w:p w14:paraId="569F476F"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11 245</w:t>
            </w:r>
          </w:p>
        </w:tc>
      </w:tr>
      <w:tr w:rsidR="00EA051D" w:rsidRPr="00653C33" w14:paraId="0D7C14EF" w14:textId="77777777" w:rsidTr="00653C33">
        <w:trPr>
          <w:trHeight w:val="288"/>
        </w:trPr>
        <w:tc>
          <w:tcPr>
            <w:tcW w:w="1545" w:type="dxa"/>
            <w:tcBorders>
              <w:left w:val="single" w:sz="12" w:space="0" w:color="auto"/>
            </w:tcBorders>
            <w:vAlign w:val="center"/>
          </w:tcPr>
          <w:p w14:paraId="68CD6660"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Gulbenes novads</w:t>
            </w:r>
          </w:p>
        </w:tc>
        <w:tc>
          <w:tcPr>
            <w:tcW w:w="1275" w:type="dxa"/>
            <w:tcBorders>
              <w:right w:val="single" w:sz="12" w:space="0" w:color="auto"/>
            </w:tcBorders>
            <w:vAlign w:val="center"/>
          </w:tcPr>
          <w:p w14:paraId="2ADD658A"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18 126</w:t>
            </w:r>
          </w:p>
        </w:tc>
        <w:tc>
          <w:tcPr>
            <w:tcW w:w="1560" w:type="dxa"/>
            <w:tcBorders>
              <w:left w:val="single" w:sz="12" w:space="0" w:color="auto"/>
            </w:tcBorders>
            <w:vAlign w:val="center"/>
          </w:tcPr>
          <w:p w14:paraId="0A8D31DB"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Ogres novads</w:t>
            </w:r>
          </w:p>
        </w:tc>
        <w:tc>
          <w:tcPr>
            <w:tcW w:w="1417" w:type="dxa"/>
            <w:tcBorders>
              <w:right w:val="single" w:sz="12" w:space="0" w:color="auto"/>
            </w:tcBorders>
            <w:vAlign w:val="center"/>
          </w:tcPr>
          <w:p w14:paraId="65BE666A"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36 738</w:t>
            </w:r>
          </w:p>
        </w:tc>
        <w:tc>
          <w:tcPr>
            <w:tcW w:w="1418" w:type="dxa"/>
            <w:tcBorders>
              <w:left w:val="single" w:sz="12" w:space="0" w:color="auto"/>
            </w:tcBorders>
            <w:vAlign w:val="center"/>
          </w:tcPr>
          <w:p w14:paraId="546BD1C4"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Valmieras novads</w:t>
            </w:r>
          </w:p>
        </w:tc>
        <w:tc>
          <w:tcPr>
            <w:tcW w:w="1559" w:type="dxa"/>
            <w:tcBorders>
              <w:right w:val="single" w:sz="12" w:space="0" w:color="auto"/>
            </w:tcBorders>
            <w:vAlign w:val="center"/>
          </w:tcPr>
          <w:p w14:paraId="475B1D33"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54 505</w:t>
            </w:r>
          </w:p>
        </w:tc>
      </w:tr>
      <w:tr w:rsidR="00EA051D" w:rsidRPr="00653C33" w14:paraId="17B9BBF0" w14:textId="77777777" w:rsidTr="00653C33">
        <w:trPr>
          <w:trHeight w:val="288"/>
        </w:trPr>
        <w:tc>
          <w:tcPr>
            <w:tcW w:w="1545" w:type="dxa"/>
            <w:tcBorders>
              <w:left w:val="single" w:sz="12" w:space="0" w:color="auto"/>
            </w:tcBorders>
            <w:vAlign w:val="center"/>
          </w:tcPr>
          <w:p w14:paraId="6C3BBB69"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Jelgavas pilsēta</w:t>
            </w:r>
          </w:p>
        </w:tc>
        <w:tc>
          <w:tcPr>
            <w:tcW w:w="1275" w:type="dxa"/>
            <w:tcBorders>
              <w:right w:val="single" w:sz="12" w:space="0" w:color="auto"/>
            </w:tcBorders>
            <w:vAlign w:val="center"/>
          </w:tcPr>
          <w:p w14:paraId="4A9199E3"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56 686</w:t>
            </w:r>
          </w:p>
        </w:tc>
        <w:tc>
          <w:tcPr>
            <w:tcW w:w="1560" w:type="dxa"/>
            <w:tcBorders>
              <w:left w:val="single" w:sz="12" w:space="0" w:color="auto"/>
            </w:tcBorders>
            <w:vAlign w:val="center"/>
          </w:tcPr>
          <w:p w14:paraId="4EC98549"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Olaines novads</w:t>
            </w:r>
          </w:p>
        </w:tc>
        <w:tc>
          <w:tcPr>
            <w:tcW w:w="1417" w:type="dxa"/>
            <w:tcBorders>
              <w:right w:val="single" w:sz="12" w:space="0" w:color="auto"/>
            </w:tcBorders>
            <w:vAlign w:val="center"/>
          </w:tcPr>
          <w:p w14:paraId="240B29F9"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21 462</w:t>
            </w:r>
          </w:p>
        </w:tc>
        <w:tc>
          <w:tcPr>
            <w:tcW w:w="1418" w:type="dxa"/>
            <w:tcBorders>
              <w:left w:val="single" w:sz="12" w:space="0" w:color="auto"/>
            </w:tcBorders>
            <w:vAlign w:val="center"/>
          </w:tcPr>
          <w:p w14:paraId="5B55F0E0"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Ventspils pilsēta</w:t>
            </w:r>
          </w:p>
        </w:tc>
        <w:tc>
          <w:tcPr>
            <w:tcW w:w="1559" w:type="dxa"/>
            <w:tcBorders>
              <w:right w:val="single" w:sz="12" w:space="0" w:color="auto"/>
            </w:tcBorders>
            <w:vAlign w:val="center"/>
          </w:tcPr>
          <w:p w14:paraId="0B069CCB"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44 006</w:t>
            </w:r>
          </w:p>
        </w:tc>
      </w:tr>
      <w:tr w:rsidR="00EA051D" w:rsidRPr="00653C33" w14:paraId="7D2D0DA8" w14:textId="77777777" w:rsidTr="00653C33">
        <w:trPr>
          <w:trHeight w:val="288"/>
        </w:trPr>
        <w:tc>
          <w:tcPr>
            <w:tcW w:w="1545" w:type="dxa"/>
            <w:tcBorders>
              <w:left w:val="single" w:sz="12" w:space="0" w:color="auto"/>
            </w:tcBorders>
            <w:vAlign w:val="center"/>
          </w:tcPr>
          <w:p w14:paraId="4B6BB5C3"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Jelgavas novads</w:t>
            </w:r>
          </w:p>
        </w:tc>
        <w:tc>
          <w:tcPr>
            <w:tcW w:w="1275" w:type="dxa"/>
            <w:tcBorders>
              <w:right w:val="single" w:sz="12" w:space="0" w:color="auto"/>
            </w:tcBorders>
            <w:vAlign w:val="center"/>
          </w:tcPr>
          <w:p w14:paraId="7E28CFEE"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15 372</w:t>
            </w:r>
          </w:p>
        </w:tc>
        <w:tc>
          <w:tcPr>
            <w:tcW w:w="1560" w:type="dxa"/>
            <w:tcBorders>
              <w:left w:val="single" w:sz="12" w:space="0" w:color="auto"/>
            </w:tcBorders>
            <w:vAlign w:val="center"/>
          </w:tcPr>
          <w:p w14:paraId="7EBDD258"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Preiļu novads</w:t>
            </w:r>
          </w:p>
        </w:tc>
        <w:tc>
          <w:tcPr>
            <w:tcW w:w="1417" w:type="dxa"/>
            <w:tcBorders>
              <w:right w:val="single" w:sz="12" w:space="0" w:color="auto"/>
            </w:tcBorders>
            <w:vAlign w:val="center"/>
          </w:tcPr>
          <w:p w14:paraId="533B87F5"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16 470</w:t>
            </w:r>
          </w:p>
        </w:tc>
        <w:tc>
          <w:tcPr>
            <w:tcW w:w="1418" w:type="dxa"/>
            <w:tcBorders>
              <w:left w:val="single" w:sz="12" w:space="0" w:color="auto"/>
            </w:tcBorders>
            <w:vAlign w:val="center"/>
          </w:tcPr>
          <w:p w14:paraId="2DDBA3F0"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Ventspils novads</w:t>
            </w:r>
          </w:p>
        </w:tc>
        <w:tc>
          <w:tcPr>
            <w:tcW w:w="1559" w:type="dxa"/>
            <w:tcBorders>
              <w:right w:val="single" w:sz="12" w:space="0" w:color="auto"/>
            </w:tcBorders>
            <w:vAlign w:val="center"/>
          </w:tcPr>
          <w:p w14:paraId="5E2CF12C"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9 492</w:t>
            </w:r>
          </w:p>
        </w:tc>
      </w:tr>
      <w:tr w:rsidR="00EA051D" w:rsidRPr="00653C33" w14:paraId="43E3F07D" w14:textId="77777777" w:rsidTr="00653C33">
        <w:trPr>
          <w:trHeight w:val="288"/>
        </w:trPr>
        <w:tc>
          <w:tcPr>
            <w:tcW w:w="1545" w:type="dxa"/>
            <w:tcBorders>
              <w:left w:val="single" w:sz="12" w:space="0" w:color="auto"/>
              <w:bottom w:val="single" w:sz="12" w:space="0" w:color="auto"/>
            </w:tcBorders>
            <w:vAlign w:val="center"/>
          </w:tcPr>
          <w:p w14:paraId="4471DCB8"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Jēkabpils novads</w:t>
            </w:r>
          </w:p>
        </w:tc>
        <w:tc>
          <w:tcPr>
            <w:tcW w:w="1275" w:type="dxa"/>
            <w:tcBorders>
              <w:bottom w:val="single" w:sz="12" w:space="0" w:color="auto"/>
              <w:right w:val="single" w:sz="12" w:space="0" w:color="auto"/>
            </w:tcBorders>
            <w:vAlign w:val="center"/>
          </w:tcPr>
          <w:p w14:paraId="5F2D4DE4"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23 875</w:t>
            </w:r>
          </w:p>
        </w:tc>
        <w:tc>
          <w:tcPr>
            <w:tcW w:w="1560" w:type="dxa"/>
            <w:tcBorders>
              <w:left w:val="single" w:sz="12" w:space="0" w:color="auto"/>
              <w:bottom w:val="single" w:sz="12" w:space="0" w:color="auto"/>
            </w:tcBorders>
            <w:vAlign w:val="center"/>
          </w:tcPr>
          <w:p w14:paraId="681215DE" w14:textId="77777777" w:rsidR="00EA051D" w:rsidRPr="00653C33" w:rsidRDefault="00EA051D" w:rsidP="000C73AC">
            <w:pPr>
              <w:spacing w:after="60"/>
              <w:rPr>
                <w:rFonts w:ascii="Times New Roman" w:hAnsi="Times New Roman" w:cs="Times New Roman"/>
                <w:sz w:val="20"/>
                <w:szCs w:val="20"/>
              </w:rPr>
            </w:pPr>
            <w:r w:rsidRPr="00653C33">
              <w:rPr>
                <w:rFonts w:ascii="Times New Roman" w:hAnsi="Times New Roman" w:cs="Times New Roman"/>
                <w:color w:val="000000"/>
                <w:sz w:val="20"/>
                <w:szCs w:val="20"/>
              </w:rPr>
              <w:t>Rēzeknes pilsēta</w:t>
            </w:r>
          </w:p>
        </w:tc>
        <w:tc>
          <w:tcPr>
            <w:tcW w:w="1417" w:type="dxa"/>
            <w:tcBorders>
              <w:bottom w:val="single" w:sz="12" w:space="0" w:color="auto"/>
              <w:right w:val="single" w:sz="12" w:space="0" w:color="auto"/>
            </w:tcBorders>
            <w:vAlign w:val="center"/>
          </w:tcPr>
          <w:p w14:paraId="18DDD106" w14:textId="77777777" w:rsidR="00EA051D" w:rsidRPr="00653C33" w:rsidRDefault="00EA051D" w:rsidP="000C73AC">
            <w:pPr>
              <w:spacing w:after="60"/>
              <w:jc w:val="center"/>
              <w:rPr>
                <w:rFonts w:ascii="Times New Roman" w:hAnsi="Times New Roman" w:cs="Times New Roman"/>
                <w:sz w:val="20"/>
                <w:szCs w:val="20"/>
              </w:rPr>
            </w:pPr>
            <w:r w:rsidRPr="00653C33">
              <w:rPr>
                <w:rFonts w:ascii="Times New Roman" w:hAnsi="Times New Roman" w:cs="Times New Roman"/>
                <w:color w:val="000000"/>
                <w:sz w:val="20"/>
                <w:szCs w:val="20"/>
              </w:rPr>
              <w:t>43 439</w:t>
            </w:r>
          </w:p>
        </w:tc>
        <w:tc>
          <w:tcPr>
            <w:tcW w:w="1418" w:type="dxa"/>
            <w:tcBorders>
              <w:left w:val="single" w:sz="12" w:space="0" w:color="auto"/>
              <w:bottom w:val="single" w:sz="12" w:space="0" w:color="auto"/>
            </w:tcBorders>
            <w:vAlign w:val="center"/>
          </w:tcPr>
          <w:p w14:paraId="10A891D3" w14:textId="77777777" w:rsidR="00EA051D" w:rsidRPr="00653C33" w:rsidRDefault="00EA051D" w:rsidP="000C73AC">
            <w:pPr>
              <w:spacing w:after="60"/>
              <w:jc w:val="center"/>
              <w:rPr>
                <w:rFonts w:ascii="Times New Roman" w:hAnsi="Times New Roman" w:cs="Times New Roman"/>
                <w:b/>
              </w:rPr>
            </w:pPr>
            <w:r w:rsidRPr="00653C33">
              <w:rPr>
                <w:rFonts w:ascii="Times New Roman" w:hAnsi="Times New Roman" w:cs="Times New Roman"/>
                <w:b/>
              </w:rPr>
              <w:t>KOPĀ</w:t>
            </w:r>
          </w:p>
        </w:tc>
        <w:tc>
          <w:tcPr>
            <w:tcW w:w="1559" w:type="dxa"/>
            <w:tcBorders>
              <w:bottom w:val="single" w:sz="12" w:space="0" w:color="auto"/>
              <w:right w:val="single" w:sz="12" w:space="0" w:color="auto"/>
            </w:tcBorders>
            <w:vAlign w:val="center"/>
          </w:tcPr>
          <w:p w14:paraId="2DEEF96F" w14:textId="77777777" w:rsidR="00EA051D" w:rsidRPr="00653C33" w:rsidRDefault="00EA051D" w:rsidP="000C73AC">
            <w:pPr>
              <w:pBdr>
                <w:top w:val="nil"/>
                <w:left w:val="nil"/>
                <w:bottom w:val="nil"/>
                <w:right w:val="nil"/>
                <w:between w:val="nil"/>
              </w:pBdr>
              <w:spacing w:after="60"/>
              <w:ind w:left="-11"/>
              <w:jc w:val="center"/>
              <w:rPr>
                <w:rFonts w:ascii="Times New Roman" w:hAnsi="Times New Roman" w:cs="Times New Roman"/>
                <w:b/>
                <w:color w:val="000000"/>
              </w:rPr>
            </w:pPr>
            <w:r w:rsidRPr="00653C33">
              <w:rPr>
                <w:rFonts w:ascii="Times New Roman" w:hAnsi="Times New Roman" w:cs="Times New Roman"/>
                <w:b/>
                <w:color w:val="000000"/>
              </w:rPr>
              <w:t>1 189 775</w:t>
            </w:r>
          </w:p>
        </w:tc>
      </w:tr>
    </w:tbl>
    <w:p w14:paraId="1A8DCB19" w14:textId="77777777" w:rsidR="00EA051D" w:rsidRPr="00175DD0" w:rsidRDefault="00EA051D" w:rsidP="00EA051D">
      <w:pPr>
        <w:spacing w:after="0"/>
        <w:rPr>
          <w:rFonts w:cstheme="minorHAnsi"/>
        </w:rPr>
      </w:pPr>
    </w:p>
    <w:p w14:paraId="4CB52FD5" w14:textId="53793194" w:rsidR="00EA051D" w:rsidRPr="00653C33" w:rsidRDefault="00EA051D" w:rsidP="00653C33">
      <w:pPr>
        <w:ind w:firstLine="720"/>
        <w:rPr>
          <w:rFonts w:ascii="Times New Roman" w:hAnsi="Times New Roman" w:cs="Times New Roman"/>
        </w:rPr>
      </w:pPr>
      <w:r w:rsidRPr="00653C33">
        <w:rPr>
          <w:rFonts w:ascii="Times New Roman" w:hAnsi="Times New Roman" w:cs="Times New Roman"/>
        </w:rPr>
        <w:t xml:space="preserve">Lai nodrošinātu notekūdeņu dūņu stratēģijas Vīzijā izvirzīto par visu notekūdeņu dūņu savākšanu, tad atbilstošas sistēmas izveidošanai kopā ir nepieciešamas investīcijas 24,3 milj. EUR </w:t>
      </w:r>
      <w:r w:rsidR="0008443B" w:rsidRPr="00653C33">
        <w:rPr>
          <w:rFonts w:ascii="Times New Roman" w:hAnsi="Times New Roman" w:cs="Times New Roman"/>
        </w:rPr>
        <w:t>apjom</w:t>
      </w:r>
      <w:r w:rsidR="000A2AB7">
        <w:rPr>
          <w:rFonts w:ascii="Times New Roman" w:hAnsi="Times New Roman" w:cs="Times New Roman"/>
        </w:rPr>
        <w:t>ā</w:t>
      </w:r>
      <w:r w:rsidRPr="00653C33">
        <w:rPr>
          <w:rFonts w:ascii="Times New Roman" w:hAnsi="Times New Roman" w:cs="Times New Roman"/>
        </w:rPr>
        <w:t>, bet gadā tās uzturēšana izmaksās aptuveni 1,2 milj. EUR. Jāņem vērā, ka minētās izmaksas paredz visu slapjo dūņu (1% sausna) atūdeņošanu līdz 18% sausnai un nogādāšanu uz pašvaldības lielākajām NAI.</w:t>
      </w:r>
    </w:p>
    <w:p w14:paraId="5DF8EF98" w14:textId="24F6D471" w:rsidR="00EA051D" w:rsidRDefault="00EA051D" w:rsidP="00653C33">
      <w:pPr>
        <w:spacing w:after="0"/>
        <w:ind w:firstLine="720"/>
        <w:rPr>
          <w:rFonts w:ascii="Times New Roman" w:hAnsi="Times New Roman" w:cs="Times New Roman"/>
        </w:rPr>
      </w:pPr>
      <w:r w:rsidRPr="00653C33">
        <w:rPr>
          <w:rFonts w:ascii="Times New Roman" w:hAnsi="Times New Roman" w:cs="Times New Roman"/>
        </w:rPr>
        <w:t>Arī pēc visu notekūdeņu dūņu nogādāšanas uz attiecīgās pašvaldības lielākajām NAI būs tādas, kur kopējais slapju notekūdeņu dūņu (1% sausna) apjoms būs mazāks par 1 000 m</w:t>
      </w:r>
      <w:r w:rsidRPr="00653C33">
        <w:rPr>
          <w:rFonts w:ascii="Times New Roman" w:hAnsi="Times New Roman" w:cs="Times New Roman"/>
          <w:vertAlign w:val="superscript"/>
        </w:rPr>
        <w:t>3</w:t>
      </w:r>
      <w:r w:rsidRPr="00653C33">
        <w:rPr>
          <w:rFonts w:ascii="Times New Roman" w:hAnsi="Times New Roman" w:cs="Times New Roman"/>
        </w:rPr>
        <w:t xml:space="preserve"> gadā, kas pēc dūņu mehāniskas atūdeņošanas (18% sausna) būs mazāks par 55 t gadā. Šādu apjomu dūņu ir viegli pārvest trīs kravas mašīnās, līdz ar to tas ir uzskatāms par ļoti nelielu dūņu apjomu, lai plānotu to pārstrādi attiecīgajās NAI. Tādas pašvaldības, saskaņā ar izmantotajiem statistikas datiem būs, piemēram, Balvu, Rēzeknes un Ventspils novadi, tāpat vairākām pašvaldībām kopējais savāktais slapjo dūņu apjoms tikai nedaudz pārsniegs 1 000 m</w:t>
      </w:r>
      <w:r w:rsidRPr="00653C33">
        <w:rPr>
          <w:rFonts w:ascii="Times New Roman" w:hAnsi="Times New Roman" w:cs="Times New Roman"/>
          <w:vertAlign w:val="superscript"/>
        </w:rPr>
        <w:t>3</w:t>
      </w:r>
      <w:r w:rsidRPr="00653C33">
        <w:rPr>
          <w:rFonts w:ascii="Times New Roman" w:hAnsi="Times New Roman" w:cs="Times New Roman"/>
        </w:rPr>
        <w:t xml:space="preserve"> gadā. Dūņu pārstrādei tik mazā apjomā būtu jāiegulda proporcionāli lieli finanšu resursi un arī iegūtais pārstrādātu dūņu gala produkts nav pilnībā atbilstošs lauksaimnieku organizāciju prasībām, kas prasa stabilus, drošus un ilgtermiņā prognozējamus notekūdeņu dūņu apjomus. Ņemot vērā minētos apstākļus notekūdeņu dūņu stratēģijas izstrādes ietvaros tiek vērtēta iespēja notekūdeņu dūņu pārstrādi veikt lielākos notekūdeņu dūņu pārstrādes centros, kuros ir iespējams izveidot pārstrādātu dūņu masu, kas atbilst gala patērētāju – lauksaimnieku organizāciju prasībām, kā arī nodrošina augstāko notekūdeņu dūņu pārstrādes efektivitāti. Dūņu apjoma centralizācijas gadījumā lielos dūņu pārstrādes centros ir jārēķinās ar dūņu transportēšanas izmaksām gan transportējot dūņas uz dūņu pārstrādes centriem, gan transportējot pārstrādātas dūņas uz gala utilizācijas vietu, tomēr pārstrādes kopējās izmaksas samazina efektīvāka dūņu pārstrādes centru darbība, kā arī ir sagaidāma augstāka un stabilāka pārstrādāto dūņu kvalitāte.</w:t>
      </w:r>
    </w:p>
    <w:p w14:paraId="2C40BDAE" w14:textId="77777777" w:rsidR="00653C33" w:rsidRPr="00653C33" w:rsidRDefault="00653C33" w:rsidP="00653C33">
      <w:pPr>
        <w:spacing w:after="0"/>
        <w:ind w:firstLine="720"/>
        <w:rPr>
          <w:rFonts w:ascii="Times New Roman" w:hAnsi="Times New Roman" w:cs="Times New Roman"/>
        </w:rPr>
      </w:pPr>
    </w:p>
    <w:p w14:paraId="320C85AB" w14:textId="77777777" w:rsidR="00EA051D" w:rsidRPr="0033498C" w:rsidRDefault="00EA051D" w:rsidP="0033498C">
      <w:pPr>
        <w:jc w:val="center"/>
        <w:rPr>
          <w:rFonts w:ascii="Times New Roman" w:hAnsi="Times New Roman" w:cs="Times New Roman"/>
          <w:b/>
          <w:bCs/>
        </w:rPr>
      </w:pPr>
      <w:bookmarkStart w:id="111" w:name="_Toc82277645"/>
      <w:r w:rsidRPr="0033498C">
        <w:rPr>
          <w:rFonts w:ascii="Times New Roman" w:hAnsi="Times New Roman" w:cs="Times New Roman"/>
          <w:b/>
          <w:bCs/>
          <w:color w:val="5B9BD5" w:themeColor="accent1"/>
        </w:rPr>
        <w:t>Notekūdeņu dūņu centralizācijas alternatīvu novērtējums</w:t>
      </w:r>
      <w:bookmarkEnd w:id="111"/>
    </w:p>
    <w:p w14:paraId="2D9FEB29" w14:textId="77777777" w:rsidR="00653C33" w:rsidRDefault="00653C33" w:rsidP="00653C33">
      <w:pPr>
        <w:spacing w:after="0"/>
        <w:rPr>
          <w:rFonts w:ascii="Times New Roman" w:hAnsi="Times New Roman" w:cs="Times New Roman"/>
        </w:rPr>
      </w:pPr>
    </w:p>
    <w:p w14:paraId="2570B6BB" w14:textId="29B20614" w:rsidR="00EA051D" w:rsidRPr="00653C33" w:rsidRDefault="00EA051D" w:rsidP="00653C33">
      <w:pPr>
        <w:spacing w:after="0"/>
        <w:rPr>
          <w:rFonts w:ascii="Times New Roman" w:hAnsi="Times New Roman" w:cs="Times New Roman"/>
        </w:rPr>
      </w:pPr>
      <w:r w:rsidRPr="00653C33">
        <w:rPr>
          <w:rFonts w:ascii="Times New Roman" w:hAnsi="Times New Roman" w:cs="Times New Roman"/>
        </w:rPr>
        <w:t>Notekūdeņu dūņu centralizācijas alternatīvu novērtējumu laikā ir izskatīti četri notekūdeņu dūņu pārstrādes centru izveides varianti:</w:t>
      </w:r>
    </w:p>
    <w:p w14:paraId="701EF3F4" w14:textId="77777777" w:rsidR="00EA051D" w:rsidRPr="00653C33" w:rsidRDefault="00EA051D" w:rsidP="008B1B4B">
      <w:pPr>
        <w:numPr>
          <w:ilvl w:val="0"/>
          <w:numId w:val="4"/>
        </w:numPr>
        <w:pBdr>
          <w:top w:val="nil"/>
          <w:left w:val="nil"/>
          <w:bottom w:val="nil"/>
          <w:right w:val="nil"/>
          <w:between w:val="nil"/>
        </w:pBdr>
        <w:spacing w:after="0"/>
        <w:rPr>
          <w:rFonts w:ascii="Times New Roman" w:hAnsi="Times New Roman" w:cs="Times New Roman"/>
        </w:rPr>
      </w:pPr>
      <w:r w:rsidRPr="00653C33">
        <w:rPr>
          <w:rFonts w:ascii="Times New Roman" w:hAnsi="Times New Roman" w:cs="Times New Roman"/>
          <w:color w:val="000000"/>
        </w:rPr>
        <w:t>Notekūdeņu dūņu pārstrāde 41 notekūdeņu dūņu pārstrādes centrā;</w:t>
      </w:r>
    </w:p>
    <w:p w14:paraId="6E81D78A" w14:textId="77777777" w:rsidR="00EA051D" w:rsidRPr="00653C33" w:rsidRDefault="00EA051D" w:rsidP="008B1B4B">
      <w:pPr>
        <w:numPr>
          <w:ilvl w:val="0"/>
          <w:numId w:val="4"/>
        </w:numPr>
        <w:pBdr>
          <w:top w:val="nil"/>
          <w:left w:val="nil"/>
          <w:bottom w:val="nil"/>
          <w:right w:val="nil"/>
          <w:between w:val="nil"/>
        </w:pBdr>
        <w:spacing w:after="0"/>
        <w:rPr>
          <w:rFonts w:ascii="Times New Roman" w:hAnsi="Times New Roman" w:cs="Times New Roman"/>
        </w:rPr>
      </w:pPr>
      <w:r w:rsidRPr="00653C33">
        <w:rPr>
          <w:rFonts w:ascii="Times New Roman" w:hAnsi="Times New Roman" w:cs="Times New Roman"/>
          <w:color w:val="000000"/>
        </w:rPr>
        <w:t>Notekūdeņu dūņu pārstrāde 30 notekūdeņu dūņu pārstrādes centros;</w:t>
      </w:r>
    </w:p>
    <w:p w14:paraId="0636CBBD" w14:textId="77777777" w:rsidR="00EA051D" w:rsidRPr="00653C33" w:rsidRDefault="00EA051D" w:rsidP="008B1B4B">
      <w:pPr>
        <w:numPr>
          <w:ilvl w:val="0"/>
          <w:numId w:val="4"/>
        </w:numPr>
        <w:pBdr>
          <w:top w:val="nil"/>
          <w:left w:val="nil"/>
          <w:bottom w:val="nil"/>
          <w:right w:val="nil"/>
          <w:between w:val="nil"/>
        </w:pBdr>
        <w:spacing w:after="0"/>
        <w:rPr>
          <w:rFonts w:ascii="Times New Roman" w:hAnsi="Times New Roman" w:cs="Times New Roman"/>
        </w:rPr>
      </w:pPr>
      <w:r w:rsidRPr="00653C33">
        <w:rPr>
          <w:rFonts w:ascii="Times New Roman" w:hAnsi="Times New Roman" w:cs="Times New Roman"/>
          <w:color w:val="000000"/>
        </w:rPr>
        <w:lastRenderedPageBreak/>
        <w:t>Notekūdeņu dūņu pārstrāde 16 notekūdeņu dūņu pārstrādes centros;</w:t>
      </w:r>
    </w:p>
    <w:p w14:paraId="7F32B5D9" w14:textId="77777777" w:rsidR="00EA051D" w:rsidRPr="00653C33" w:rsidRDefault="00EA051D" w:rsidP="008B1B4B">
      <w:pPr>
        <w:numPr>
          <w:ilvl w:val="0"/>
          <w:numId w:val="4"/>
        </w:numPr>
        <w:pBdr>
          <w:top w:val="nil"/>
          <w:left w:val="nil"/>
          <w:bottom w:val="nil"/>
          <w:right w:val="nil"/>
          <w:between w:val="nil"/>
        </w:pBdr>
        <w:rPr>
          <w:rFonts w:ascii="Times New Roman" w:hAnsi="Times New Roman" w:cs="Times New Roman"/>
        </w:rPr>
      </w:pPr>
      <w:r w:rsidRPr="00653C33">
        <w:rPr>
          <w:rFonts w:ascii="Times New Roman" w:hAnsi="Times New Roman" w:cs="Times New Roman"/>
          <w:color w:val="000000"/>
        </w:rPr>
        <w:t>Notekūdeņu dūņu pārstrāde 5 notekūdeņu dūņu pārstrādes centros.</w:t>
      </w:r>
    </w:p>
    <w:p w14:paraId="57773BC5" w14:textId="77777777" w:rsidR="00EA051D" w:rsidRPr="00653C33" w:rsidRDefault="00EA051D" w:rsidP="00653C33">
      <w:pPr>
        <w:spacing w:after="0"/>
        <w:rPr>
          <w:rFonts w:ascii="Times New Roman" w:hAnsi="Times New Roman" w:cs="Times New Roman"/>
        </w:rPr>
      </w:pPr>
      <w:r w:rsidRPr="00653C33">
        <w:rPr>
          <w:rFonts w:ascii="Times New Roman" w:hAnsi="Times New Roman" w:cs="Times New Roman"/>
        </w:rPr>
        <w:t xml:space="preserve">Notekūdeņu dūņu pārstrādes alternatīvu izvērtējuma laikā (skat. alternatīvu C1), ir konstatēts, ka ekonomiskākais dūņu pārstrādes veids ir mehāniski atūdeņotu dūņu (18% sausna) izturēšana 12 mēnešu garumā, tāpēc ir pieņemts, ka visos dūņu pārstrādes centros tiek paredzēta šādai notekūdeņu dūņu pārstrādei atbilstošas infrastruktūra izveide (izņemot 5 centru alternatīvu, kurā izvēlēta biogāzes ražošanas alternatīva). Lai nodrošinātu notekūdeņu dūņu pārstrādes centra darbību ir paredzēts arī viens frontālais iekrāvējs dūņu kraušanai, piekabe dūņu pārvešanai dūņu centrā un smagā automašīna (pašizgāzējs) dūņu transportēšanai. Lai visas alternatīvas būtu savstarpēji salīdzināmas, tiek pieņemts, ka nevienā dūņu pārstrādes centra izveides vietā nav atbilstoša esošā infrastruktūra. </w:t>
      </w:r>
    </w:p>
    <w:p w14:paraId="0DC81959" w14:textId="77777777" w:rsidR="00653C33" w:rsidRPr="009B595E" w:rsidRDefault="00653C33" w:rsidP="00653C33">
      <w:pPr>
        <w:pStyle w:val="Heading3"/>
        <w:spacing w:before="0"/>
        <w:jc w:val="center"/>
        <w:rPr>
          <w:rFonts w:ascii="Times New Roman" w:eastAsiaTheme="minorHAnsi" w:hAnsi="Times New Roman" w:cs="Times New Roman"/>
          <w:b/>
          <w:bCs/>
          <w:color w:val="5B9BD5" w:themeColor="accent1"/>
          <w:sz w:val="24"/>
        </w:rPr>
      </w:pPr>
      <w:bookmarkStart w:id="112" w:name="_Toc82277646"/>
    </w:p>
    <w:p w14:paraId="143CCAD0" w14:textId="70412227" w:rsidR="00EA051D" w:rsidRPr="0033498C" w:rsidRDefault="00EA051D" w:rsidP="0033498C">
      <w:pPr>
        <w:jc w:val="center"/>
        <w:rPr>
          <w:rFonts w:ascii="Times New Roman" w:hAnsi="Times New Roman" w:cs="Times New Roman"/>
          <w:b/>
          <w:bCs/>
          <w:color w:val="5B9BD5" w:themeColor="accent1"/>
        </w:rPr>
      </w:pPr>
      <w:r w:rsidRPr="0033498C">
        <w:rPr>
          <w:rFonts w:ascii="Times New Roman" w:hAnsi="Times New Roman" w:cs="Times New Roman"/>
          <w:b/>
          <w:bCs/>
          <w:color w:val="5B9BD5" w:themeColor="accent1"/>
        </w:rPr>
        <w:t>D1. Alternatīva: Notekūdeņu dūņu pārstrāde 41 notekūdeņu dūņu pārstrādes centrā</w:t>
      </w:r>
      <w:bookmarkEnd w:id="112"/>
    </w:p>
    <w:p w14:paraId="0539F4DB" w14:textId="77777777" w:rsidR="00653C33" w:rsidRDefault="00653C33" w:rsidP="00653C33">
      <w:pPr>
        <w:spacing w:after="0"/>
        <w:rPr>
          <w:rFonts w:cstheme="minorHAnsi"/>
        </w:rPr>
      </w:pPr>
    </w:p>
    <w:p w14:paraId="7B3D43A8" w14:textId="58DB4E1C" w:rsidR="00EA051D" w:rsidRPr="00653C33" w:rsidRDefault="00EA051D" w:rsidP="00653C33">
      <w:pPr>
        <w:spacing w:after="0"/>
        <w:ind w:firstLine="720"/>
        <w:rPr>
          <w:rFonts w:ascii="Times New Roman" w:hAnsi="Times New Roman" w:cs="Times New Roman"/>
        </w:rPr>
      </w:pPr>
      <w:r w:rsidRPr="00653C33">
        <w:rPr>
          <w:rFonts w:ascii="Times New Roman" w:hAnsi="Times New Roman" w:cs="Times New Roman"/>
        </w:rPr>
        <w:t xml:space="preserve">41 notekūdeņu dūņu pārstrādes centra alternatīva paredz, ka katrā Latvijas pašvaldībā tiek veidots viens notekūdeņu dūņu pārstrādes centrs pie pašvaldības lielākajām NAI. Par centru tiek izvēlētas pašvaldības lielākās NAI, jo tur veidojas lielākais notekūdeņu dūņu apjoms, kas samazina kopējās dūņu transportēšanas izmaksas pašvaldības ietvaros, salīdzinot ar situāciju, ja tiek izvēlēta cita dūņu pārstrādes vieta. Papildus pašvaldības lielākajās NAI būs izvietotas arī notekūdeņu dūņu mehāniskās atūdeņošanas iekārtas, kurās varēs atūdeņot no citām pašvaldības NAI ievestās slapjās dūņas, un tāpat pie novada lielākajām NAI visticamāk ir gan dūņu pārstrādes centra izveidei nepieciešamā teritorija, gan kvalitatīvāks esošo cilvēkresursu nodrošinājums. Alternatīvas aprēķinu ietvaros ir pieņemts, ka visas pašvaldības teritorijā radītās sadzīves notekūdeņu dūņas nonāk dūņu pārstrādes centrā, kur tās tiek atbilstoši </w:t>
      </w:r>
      <w:r w:rsidRPr="0028622B">
        <w:rPr>
          <w:rFonts w:ascii="Times New Roman" w:hAnsi="Times New Roman" w:cs="Times New Roman"/>
        </w:rPr>
        <w:t>pārstrādātas (skat. 4.</w:t>
      </w:r>
      <w:r w:rsidR="0028622B" w:rsidRPr="0028622B">
        <w:rPr>
          <w:rFonts w:ascii="Times New Roman" w:hAnsi="Times New Roman" w:cs="Times New Roman"/>
        </w:rPr>
        <w:t>6</w:t>
      </w:r>
      <w:r w:rsidRPr="0028622B">
        <w:rPr>
          <w:rFonts w:ascii="Times New Roman" w:hAnsi="Times New Roman" w:cs="Times New Roman"/>
        </w:rPr>
        <w:t>.pielikumu).</w:t>
      </w:r>
      <w:r w:rsidRPr="00653C33">
        <w:rPr>
          <w:rFonts w:ascii="Times New Roman" w:hAnsi="Times New Roman" w:cs="Times New Roman"/>
        </w:rPr>
        <w:t xml:space="preserve"> Pēc pārstrādes, tām tiek veiktas kvalitātes analīzes un tās tiek nogādātas lauksaimniekiem gala </w:t>
      </w:r>
      <w:r w:rsidRPr="0028622B">
        <w:rPr>
          <w:rFonts w:ascii="Times New Roman" w:hAnsi="Times New Roman" w:cs="Times New Roman"/>
        </w:rPr>
        <w:t xml:space="preserve">utilizācijai (skat. </w:t>
      </w:r>
      <w:r w:rsidR="0028622B" w:rsidRPr="0028622B">
        <w:rPr>
          <w:rFonts w:ascii="Times New Roman" w:hAnsi="Times New Roman" w:cs="Times New Roman"/>
        </w:rPr>
        <w:t>4.5.1</w:t>
      </w:r>
      <w:r w:rsidRPr="0028622B">
        <w:rPr>
          <w:rFonts w:ascii="Times New Roman" w:hAnsi="Times New Roman" w:cs="Times New Roman"/>
        </w:rPr>
        <w:t xml:space="preserve">.attēlu </w:t>
      </w:r>
      <w:r w:rsidRPr="0028622B">
        <w:rPr>
          <w:rFonts w:ascii="Times New Roman" w:hAnsi="Times New Roman" w:cs="Times New Roman"/>
          <w:color w:val="000000"/>
        </w:rPr>
        <w:t>“41</w:t>
      </w:r>
      <w:r w:rsidRPr="00653C33">
        <w:rPr>
          <w:rFonts w:ascii="Times New Roman" w:hAnsi="Times New Roman" w:cs="Times New Roman"/>
          <w:color w:val="000000"/>
        </w:rPr>
        <w:t xml:space="preserve"> notekūdeņu dūņu pārstrādes centrs Latvijā”</w:t>
      </w:r>
      <w:r w:rsidRPr="00653C33">
        <w:rPr>
          <w:rFonts w:ascii="Times New Roman" w:hAnsi="Times New Roman" w:cs="Times New Roman"/>
        </w:rPr>
        <w:t>).</w:t>
      </w:r>
    </w:p>
    <w:p w14:paraId="785989C6" w14:textId="77777777" w:rsidR="00EA051D" w:rsidRPr="00175DD0" w:rsidRDefault="00EA051D" w:rsidP="00EA051D">
      <w:pPr>
        <w:rPr>
          <w:rFonts w:cstheme="minorHAnsi"/>
        </w:rPr>
      </w:pPr>
    </w:p>
    <w:p w14:paraId="1E0779FA" w14:textId="77777777" w:rsidR="00EA051D" w:rsidRPr="00175DD0" w:rsidRDefault="00EA051D" w:rsidP="00EA051D">
      <w:pPr>
        <w:rPr>
          <w:rFonts w:cstheme="minorHAnsi"/>
        </w:rPr>
      </w:pPr>
    </w:p>
    <w:p w14:paraId="1FDF27D7" w14:textId="77777777" w:rsidR="00EA051D" w:rsidRPr="00175DD0" w:rsidRDefault="00EA051D" w:rsidP="00EA051D">
      <w:pPr>
        <w:rPr>
          <w:rFonts w:cstheme="minorHAnsi"/>
        </w:rPr>
        <w:sectPr w:rsidR="00EA051D" w:rsidRPr="00175DD0" w:rsidSect="00B6449F">
          <w:headerReference w:type="default" r:id="rId41"/>
          <w:footerReference w:type="default" r:id="rId42"/>
          <w:pgSz w:w="12240" w:h="15840"/>
          <w:pgMar w:top="1134" w:right="1701" w:bottom="1134" w:left="1701" w:header="720" w:footer="720" w:gutter="0"/>
          <w:cols w:space="720"/>
        </w:sectPr>
      </w:pPr>
    </w:p>
    <w:p w14:paraId="4F08298A" w14:textId="77777777" w:rsidR="00EA051D" w:rsidRPr="00175DD0" w:rsidRDefault="00EA051D" w:rsidP="00EA051D">
      <w:pPr>
        <w:spacing w:after="0"/>
        <w:jc w:val="center"/>
        <w:rPr>
          <w:rFonts w:cstheme="minorHAnsi"/>
        </w:rPr>
      </w:pPr>
      <w:r w:rsidRPr="00175DD0">
        <w:rPr>
          <w:rFonts w:cstheme="minorHAnsi"/>
          <w:noProof/>
          <w:lang w:eastAsia="lv-LV"/>
        </w:rPr>
        <w:lastRenderedPageBreak/>
        <w:drawing>
          <wp:inline distT="0" distB="0" distL="0" distR="0" wp14:anchorId="0AA17FD5" wp14:editId="70B1B7D0">
            <wp:extent cx="8050468" cy="5698067"/>
            <wp:effectExtent l="0" t="0" r="825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a:ext>
                      </a:extLst>
                    </a:blip>
                    <a:srcRect/>
                    <a:stretch>
                      <a:fillRect/>
                    </a:stretch>
                  </pic:blipFill>
                  <pic:spPr bwMode="auto">
                    <a:xfrm>
                      <a:off x="0" y="0"/>
                      <a:ext cx="8063478" cy="5707275"/>
                    </a:xfrm>
                    <a:prstGeom prst="rect">
                      <a:avLst/>
                    </a:prstGeom>
                    <a:noFill/>
                    <a:ln>
                      <a:noFill/>
                    </a:ln>
                  </pic:spPr>
                </pic:pic>
              </a:graphicData>
            </a:graphic>
          </wp:inline>
        </w:drawing>
      </w:r>
    </w:p>
    <w:p w14:paraId="072E6316" w14:textId="05B5A3D5" w:rsidR="00EA051D" w:rsidRPr="00920A3B" w:rsidRDefault="00EA051D" w:rsidP="00EA051D">
      <w:pPr>
        <w:jc w:val="center"/>
        <w:rPr>
          <w:rFonts w:ascii="Times New Roman" w:hAnsi="Times New Roman" w:cs="Times New Roman"/>
        </w:rPr>
        <w:sectPr w:rsidR="00EA051D" w:rsidRPr="00920A3B" w:rsidSect="007E349D">
          <w:pgSz w:w="15840" w:h="12240" w:orient="landscape"/>
          <w:pgMar w:top="1134" w:right="1701" w:bottom="1134" w:left="1701" w:header="720" w:footer="720" w:gutter="0"/>
          <w:cols w:space="720"/>
          <w:docGrid w:linePitch="299"/>
        </w:sectPr>
      </w:pPr>
      <w:r w:rsidRPr="00920A3B">
        <w:rPr>
          <w:rFonts w:ascii="Times New Roman" w:hAnsi="Times New Roman" w:cs="Times New Roman"/>
          <w:b/>
          <w:bCs/>
        </w:rPr>
        <w:t>4.</w:t>
      </w:r>
      <w:r w:rsidR="00FB6622">
        <w:rPr>
          <w:rFonts w:ascii="Times New Roman" w:hAnsi="Times New Roman" w:cs="Times New Roman"/>
          <w:b/>
          <w:bCs/>
        </w:rPr>
        <w:t>5.1</w:t>
      </w:r>
      <w:r w:rsidRPr="00920A3B">
        <w:rPr>
          <w:rFonts w:ascii="Times New Roman" w:hAnsi="Times New Roman" w:cs="Times New Roman"/>
          <w:b/>
          <w:bCs/>
        </w:rPr>
        <w:t>.</w:t>
      </w:r>
      <w:r w:rsidR="00920A3B" w:rsidRPr="00920A3B">
        <w:rPr>
          <w:rFonts w:ascii="Times New Roman" w:hAnsi="Times New Roman" w:cs="Times New Roman"/>
          <w:b/>
          <w:bCs/>
        </w:rPr>
        <w:t>a</w:t>
      </w:r>
      <w:r w:rsidRPr="00920A3B">
        <w:rPr>
          <w:rFonts w:ascii="Times New Roman" w:hAnsi="Times New Roman" w:cs="Times New Roman"/>
          <w:b/>
          <w:bCs/>
        </w:rPr>
        <w:t>ttēls</w:t>
      </w:r>
      <w:r w:rsidR="00920A3B" w:rsidRPr="00920A3B">
        <w:rPr>
          <w:rFonts w:ascii="Times New Roman" w:hAnsi="Times New Roman" w:cs="Times New Roman"/>
          <w:b/>
          <w:bCs/>
        </w:rPr>
        <w:t>.</w:t>
      </w:r>
      <w:r w:rsidRPr="00920A3B">
        <w:rPr>
          <w:rFonts w:ascii="Times New Roman" w:hAnsi="Times New Roman" w:cs="Times New Roman"/>
        </w:rPr>
        <w:t xml:space="preserve"> 41 notekūdeņu dūņu pārstrādes centra izvietojums Latvijā</w:t>
      </w:r>
    </w:p>
    <w:p w14:paraId="199BEF34" w14:textId="12C34C2E" w:rsidR="00EA051D" w:rsidRPr="00F560F4" w:rsidRDefault="00EA051D" w:rsidP="00EA051D">
      <w:pPr>
        <w:rPr>
          <w:rFonts w:ascii="Times New Roman" w:hAnsi="Times New Roman" w:cs="Times New Roman"/>
        </w:rPr>
      </w:pPr>
      <w:r w:rsidRPr="00F560F4">
        <w:rPr>
          <w:rFonts w:ascii="Times New Roman" w:hAnsi="Times New Roman" w:cs="Times New Roman"/>
        </w:rPr>
        <w:lastRenderedPageBreak/>
        <w:t xml:space="preserve">Veidojot 41 notekūdeņu dūņu pārstrādes centru ir aprēķinātas un </w:t>
      </w:r>
      <w:r w:rsidR="000830FE">
        <w:rPr>
          <w:rFonts w:ascii="Times New Roman" w:hAnsi="Times New Roman" w:cs="Times New Roman"/>
        </w:rPr>
        <w:t>4.5.3</w:t>
      </w:r>
      <w:r w:rsidRPr="00F560F4">
        <w:rPr>
          <w:rFonts w:ascii="Times New Roman" w:hAnsi="Times New Roman" w:cs="Times New Roman"/>
        </w:rPr>
        <w:t>.tabulā apkopotas katra centra darbības un centra izveides izmaksas.</w:t>
      </w:r>
    </w:p>
    <w:p w14:paraId="2DA0A600" w14:textId="10388914" w:rsidR="00F560F4" w:rsidRPr="000830FE" w:rsidRDefault="000830FE" w:rsidP="000830FE">
      <w:pPr>
        <w:pBdr>
          <w:top w:val="nil"/>
          <w:left w:val="nil"/>
          <w:bottom w:val="nil"/>
          <w:right w:val="nil"/>
          <w:between w:val="nil"/>
        </w:pBdr>
        <w:suppressAutoHyphens/>
        <w:autoSpaceDN w:val="0"/>
        <w:spacing w:after="0" w:line="240" w:lineRule="auto"/>
        <w:ind w:left="48"/>
        <w:jc w:val="right"/>
        <w:textAlignment w:val="baseline"/>
        <w:rPr>
          <w:rFonts w:ascii="Times New Roman" w:hAnsi="Times New Roman" w:cs="Times New Roman"/>
        </w:rPr>
      </w:pPr>
      <w:r>
        <w:rPr>
          <w:rFonts w:ascii="Times New Roman" w:hAnsi="Times New Roman" w:cs="Times New Roman"/>
        </w:rPr>
        <w:t>4.5.3.</w:t>
      </w:r>
      <w:r w:rsidR="00EA051D" w:rsidRPr="000830FE">
        <w:rPr>
          <w:rFonts w:ascii="Times New Roman" w:hAnsi="Times New Roman" w:cs="Times New Roman"/>
        </w:rPr>
        <w:t>tabula</w:t>
      </w:r>
    </w:p>
    <w:p w14:paraId="0E3457D0" w14:textId="4401748E" w:rsidR="00EA051D" w:rsidRPr="00F560F4" w:rsidRDefault="00EA051D" w:rsidP="00F560F4">
      <w:pPr>
        <w:pBdr>
          <w:top w:val="nil"/>
          <w:left w:val="nil"/>
          <w:bottom w:val="nil"/>
          <w:right w:val="nil"/>
          <w:between w:val="nil"/>
        </w:pBdr>
        <w:suppressAutoHyphens/>
        <w:autoSpaceDN w:val="0"/>
        <w:spacing w:after="0" w:line="240" w:lineRule="auto"/>
        <w:ind w:left="48"/>
        <w:jc w:val="center"/>
        <w:textAlignment w:val="baseline"/>
        <w:rPr>
          <w:rFonts w:ascii="Times New Roman" w:hAnsi="Times New Roman" w:cs="Times New Roman"/>
          <w:b/>
          <w:bCs/>
        </w:rPr>
      </w:pPr>
      <w:r w:rsidRPr="00F560F4">
        <w:rPr>
          <w:rFonts w:ascii="Times New Roman" w:hAnsi="Times New Roman" w:cs="Times New Roman"/>
          <w:b/>
          <w:bCs/>
        </w:rPr>
        <w:t xml:space="preserve">41 dūņu centra alternatīvas izveidošanas un uzturēšanas izmaksas EUR (aprēķinus skatīt pielikumā </w:t>
      </w:r>
      <w:r w:rsidR="003C2ECF" w:rsidRPr="003C2ECF">
        <w:rPr>
          <w:rFonts w:ascii="Times New Roman" w:hAnsi="Times New Roman" w:cs="Times New Roman"/>
          <w:b/>
          <w:bCs/>
        </w:rPr>
        <w:t>4.9. Finanšu aprēķini “3. Uzturēšanas izmaksas notekūdeņu dūņu pārstrādē”</w:t>
      </w:r>
      <w:r w:rsidRPr="00F560F4">
        <w:rPr>
          <w:rFonts w:ascii="Times New Roman" w:hAnsi="Times New Roman" w:cs="Times New Roman"/>
          <w:b/>
          <w:bCs/>
        </w:rPr>
        <w:t xml:space="preserve"> un pielikumā </w:t>
      </w:r>
      <w:r w:rsidR="0078125D" w:rsidRPr="0078125D">
        <w:rPr>
          <w:rFonts w:ascii="Times New Roman" w:hAnsi="Times New Roman" w:cs="Times New Roman"/>
          <w:b/>
          <w:bCs/>
        </w:rPr>
        <w:t>4.10. Finanšu aprēķini “4. Kapitālās investīcijas notekūdeņu dūņu pārstrādē”</w:t>
      </w:r>
    </w:p>
    <w:tbl>
      <w:tblPr>
        <w:tblStyle w:val="28"/>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275"/>
        <w:gridCol w:w="993"/>
        <w:gridCol w:w="1559"/>
        <w:gridCol w:w="1134"/>
        <w:gridCol w:w="1134"/>
        <w:gridCol w:w="1134"/>
      </w:tblGrid>
      <w:tr w:rsidR="00EA051D" w:rsidRPr="00FF32B5" w14:paraId="5C7F5306" w14:textId="77777777" w:rsidTr="00FF32B5">
        <w:trPr>
          <w:trHeight w:val="1152"/>
        </w:trPr>
        <w:tc>
          <w:tcPr>
            <w:tcW w:w="1555" w:type="dxa"/>
            <w:vMerge w:val="restart"/>
          </w:tcPr>
          <w:p w14:paraId="091989B4"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Administratīvā teritorija (novads, pilsēta)</w:t>
            </w:r>
          </w:p>
        </w:tc>
        <w:tc>
          <w:tcPr>
            <w:tcW w:w="1275" w:type="dxa"/>
            <w:vMerge w:val="restart"/>
          </w:tcPr>
          <w:p w14:paraId="33C46847"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Dūņu centra izveides vieta</w:t>
            </w:r>
          </w:p>
        </w:tc>
        <w:tc>
          <w:tcPr>
            <w:tcW w:w="993" w:type="dxa"/>
            <w:vMerge w:val="restart"/>
          </w:tcPr>
          <w:p w14:paraId="10E133E1"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Slapjo dūņu (1%) apjoms centrā t/g</w:t>
            </w:r>
          </w:p>
        </w:tc>
        <w:tc>
          <w:tcPr>
            <w:tcW w:w="1559" w:type="dxa"/>
            <w:vMerge w:val="restart"/>
          </w:tcPr>
          <w:p w14:paraId="2A8FE82D"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Papildus ievesto slapjo dūņu (1%) apjoma ekvivalents pašvaldības centrā t/gadā</w:t>
            </w:r>
          </w:p>
        </w:tc>
        <w:tc>
          <w:tcPr>
            <w:tcW w:w="1134" w:type="dxa"/>
            <w:vMerge w:val="restart"/>
          </w:tcPr>
          <w:p w14:paraId="6DCACAFB"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Kopējais slapjo dūņu (1%) apjoms centrā t/gadā</w:t>
            </w:r>
          </w:p>
        </w:tc>
        <w:tc>
          <w:tcPr>
            <w:tcW w:w="1134" w:type="dxa"/>
            <w:vMerge w:val="restart"/>
            <w:shd w:val="clear" w:color="auto" w:fill="FDEADA"/>
          </w:tcPr>
          <w:p w14:paraId="17D9E7B6"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Dūņu centra darbības ikgadējās izmaksas EUR/gadā</w:t>
            </w:r>
          </w:p>
        </w:tc>
        <w:tc>
          <w:tcPr>
            <w:tcW w:w="1134" w:type="dxa"/>
            <w:vMerge w:val="restart"/>
            <w:shd w:val="clear" w:color="auto" w:fill="FDEADA"/>
          </w:tcPr>
          <w:p w14:paraId="1D9AF395"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Dūņu centru izveides investīciju izmaksas EUR</w:t>
            </w:r>
          </w:p>
        </w:tc>
      </w:tr>
      <w:tr w:rsidR="00EA051D" w:rsidRPr="00FF32B5" w14:paraId="3AB9F1FA" w14:textId="77777777" w:rsidTr="00FF32B5">
        <w:trPr>
          <w:trHeight w:val="509"/>
        </w:trPr>
        <w:tc>
          <w:tcPr>
            <w:tcW w:w="1555" w:type="dxa"/>
            <w:vMerge/>
          </w:tcPr>
          <w:p w14:paraId="1BA0FA5A"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5" w:type="dxa"/>
            <w:vMerge/>
          </w:tcPr>
          <w:p w14:paraId="09B11B20"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993" w:type="dxa"/>
            <w:vMerge/>
          </w:tcPr>
          <w:p w14:paraId="6A6A5897"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559" w:type="dxa"/>
            <w:vMerge/>
          </w:tcPr>
          <w:p w14:paraId="0CD57B04"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134" w:type="dxa"/>
            <w:vMerge/>
          </w:tcPr>
          <w:p w14:paraId="74DCF9FA"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134" w:type="dxa"/>
            <w:vMerge/>
            <w:shd w:val="clear" w:color="auto" w:fill="FDEADA"/>
          </w:tcPr>
          <w:p w14:paraId="5C6EEE7E"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134" w:type="dxa"/>
            <w:vMerge/>
            <w:shd w:val="clear" w:color="auto" w:fill="FDEADA"/>
          </w:tcPr>
          <w:p w14:paraId="26C04F96" w14:textId="77777777" w:rsidR="00EA051D" w:rsidRPr="00FF32B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FF32B5" w14:paraId="0B5A4481" w14:textId="77777777" w:rsidTr="00FF32B5">
        <w:trPr>
          <w:trHeight w:val="312"/>
        </w:trPr>
        <w:tc>
          <w:tcPr>
            <w:tcW w:w="1555" w:type="dxa"/>
            <w:vAlign w:val="center"/>
          </w:tcPr>
          <w:p w14:paraId="0A84DE6A"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Aizkraukles</w:t>
            </w:r>
          </w:p>
        </w:tc>
        <w:tc>
          <w:tcPr>
            <w:tcW w:w="1275" w:type="dxa"/>
            <w:vAlign w:val="center"/>
          </w:tcPr>
          <w:p w14:paraId="26552CC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Aizkraukles NAI</w:t>
            </w:r>
          </w:p>
        </w:tc>
        <w:tc>
          <w:tcPr>
            <w:tcW w:w="993" w:type="dxa"/>
            <w:vAlign w:val="center"/>
          </w:tcPr>
          <w:p w14:paraId="2CA37E7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8 398</w:t>
            </w:r>
          </w:p>
        </w:tc>
        <w:tc>
          <w:tcPr>
            <w:tcW w:w="1559" w:type="dxa"/>
            <w:vAlign w:val="center"/>
          </w:tcPr>
          <w:p w14:paraId="1737B9E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6 070</w:t>
            </w:r>
          </w:p>
        </w:tc>
        <w:tc>
          <w:tcPr>
            <w:tcW w:w="1134" w:type="dxa"/>
            <w:vAlign w:val="center"/>
          </w:tcPr>
          <w:p w14:paraId="4FE4AE5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14 468</w:t>
            </w:r>
          </w:p>
        </w:tc>
        <w:tc>
          <w:tcPr>
            <w:tcW w:w="1134" w:type="dxa"/>
            <w:shd w:val="clear" w:color="auto" w:fill="FDEADA"/>
            <w:vAlign w:val="center"/>
          </w:tcPr>
          <w:p w14:paraId="1301E387"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63 804</w:t>
            </w:r>
          </w:p>
        </w:tc>
        <w:tc>
          <w:tcPr>
            <w:tcW w:w="1134" w:type="dxa"/>
            <w:shd w:val="clear" w:color="auto" w:fill="FDEADA"/>
            <w:vAlign w:val="center"/>
          </w:tcPr>
          <w:p w14:paraId="4A827F4B"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834 746</w:t>
            </w:r>
          </w:p>
        </w:tc>
      </w:tr>
      <w:tr w:rsidR="00EA051D" w:rsidRPr="00FF32B5" w14:paraId="417EA82F" w14:textId="77777777" w:rsidTr="00FF32B5">
        <w:trPr>
          <w:trHeight w:val="312"/>
        </w:trPr>
        <w:tc>
          <w:tcPr>
            <w:tcW w:w="1555" w:type="dxa"/>
            <w:vAlign w:val="center"/>
          </w:tcPr>
          <w:p w14:paraId="2102BDB1"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Alūksnes</w:t>
            </w:r>
          </w:p>
        </w:tc>
        <w:tc>
          <w:tcPr>
            <w:tcW w:w="1275" w:type="dxa"/>
            <w:vAlign w:val="center"/>
          </w:tcPr>
          <w:p w14:paraId="0133E4F4"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Alūksnes NAI</w:t>
            </w:r>
          </w:p>
        </w:tc>
        <w:tc>
          <w:tcPr>
            <w:tcW w:w="993" w:type="dxa"/>
            <w:vAlign w:val="center"/>
          </w:tcPr>
          <w:p w14:paraId="3EE31A37"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7 267</w:t>
            </w:r>
          </w:p>
        </w:tc>
        <w:tc>
          <w:tcPr>
            <w:tcW w:w="1559" w:type="dxa"/>
            <w:vAlign w:val="center"/>
          </w:tcPr>
          <w:p w14:paraId="297184F4"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030642D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7 267</w:t>
            </w:r>
          </w:p>
        </w:tc>
        <w:tc>
          <w:tcPr>
            <w:tcW w:w="1134" w:type="dxa"/>
            <w:shd w:val="clear" w:color="auto" w:fill="FDEADA"/>
            <w:vAlign w:val="center"/>
          </w:tcPr>
          <w:p w14:paraId="223EB61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56 112</w:t>
            </w:r>
          </w:p>
        </w:tc>
        <w:tc>
          <w:tcPr>
            <w:tcW w:w="1134" w:type="dxa"/>
            <w:shd w:val="clear" w:color="auto" w:fill="FDEADA"/>
            <w:vAlign w:val="center"/>
          </w:tcPr>
          <w:p w14:paraId="5ADBE8CB"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610 899</w:t>
            </w:r>
          </w:p>
        </w:tc>
      </w:tr>
      <w:tr w:rsidR="00EA051D" w:rsidRPr="00FF32B5" w14:paraId="121109FE" w14:textId="77777777" w:rsidTr="00FF32B5">
        <w:trPr>
          <w:trHeight w:val="312"/>
        </w:trPr>
        <w:tc>
          <w:tcPr>
            <w:tcW w:w="1555" w:type="dxa"/>
            <w:vAlign w:val="center"/>
          </w:tcPr>
          <w:p w14:paraId="3306F741" w14:textId="77777777" w:rsidR="00EA051D" w:rsidRPr="00FF32B5" w:rsidRDefault="00EA051D" w:rsidP="00D70884">
            <w:pPr>
              <w:spacing w:after="60"/>
              <w:ind w:right="-208"/>
              <w:rPr>
                <w:rFonts w:ascii="Times New Roman" w:hAnsi="Times New Roman" w:cs="Times New Roman"/>
                <w:sz w:val="18"/>
                <w:szCs w:val="18"/>
              </w:rPr>
            </w:pPr>
            <w:r w:rsidRPr="00FF32B5">
              <w:rPr>
                <w:rFonts w:ascii="Times New Roman" w:hAnsi="Times New Roman" w:cs="Times New Roman"/>
                <w:color w:val="000000"/>
                <w:sz w:val="18"/>
                <w:szCs w:val="18"/>
              </w:rPr>
              <w:t>Augšdaugavas</w:t>
            </w:r>
          </w:p>
        </w:tc>
        <w:tc>
          <w:tcPr>
            <w:tcW w:w="1275" w:type="dxa"/>
            <w:vAlign w:val="center"/>
          </w:tcPr>
          <w:p w14:paraId="2D484CD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Ilūkstes NAI</w:t>
            </w:r>
          </w:p>
        </w:tc>
        <w:tc>
          <w:tcPr>
            <w:tcW w:w="993" w:type="dxa"/>
            <w:vAlign w:val="center"/>
          </w:tcPr>
          <w:p w14:paraId="49B8678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1 940</w:t>
            </w:r>
          </w:p>
        </w:tc>
        <w:tc>
          <w:tcPr>
            <w:tcW w:w="1559" w:type="dxa"/>
            <w:vAlign w:val="center"/>
          </w:tcPr>
          <w:p w14:paraId="4267E827"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781</w:t>
            </w:r>
          </w:p>
        </w:tc>
        <w:tc>
          <w:tcPr>
            <w:tcW w:w="1134" w:type="dxa"/>
            <w:vAlign w:val="center"/>
          </w:tcPr>
          <w:p w14:paraId="2741F8A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2 721</w:t>
            </w:r>
          </w:p>
        </w:tc>
        <w:tc>
          <w:tcPr>
            <w:tcW w:w="1134" w:type="dxa"/>
            <w:shd w:val="clear" w:color="auto" w:fill="FDEADA"/>
            <w:vAlign w:val="center"/>
          </w:tcPr>
          <w:p w14:paraId="28ED32BA"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36 024</w:t>
            </w:r>
          </w:p>
        </w:tc>
        <w:tc>
          <w:tcPr>
            <w:tcW w:w="1134" w:type="dxa"/>
            <w:shd w:val="clear" w:color="auto" w:fill="FDEADA"/>
            <w:vAlign w:val="bottom"/>
          </w:tcPr>
          <w:p w14:paraId="2EBFE06A"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469 584</w:t>
            </w:r>
          </w:p>
        </w:tc>
      </w:tr>
      <w:tr w:rsidR="00EA051D" w:rsidRPr="00FF32B5" w14:paraId="75F06D0B" w14:textId="77777777" w:rsidTr="00FF32B5">
        <w:trPr>
          <w:trHeight w:val="312"/>
        </w:trPr>
        <w:tc>
          <w:tcPr>
            <w:tcW w:w="1555" w:type="dxa"/>
            <w:vAlign w:val="center"/>
          </w:tcPr>
          <w:p w14:paraId="32B913B1"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Ādažu</w:t>
            </w:r>
          </w:p>
        </w:tc>
        <w:tc>
          <w:tcPr>
            <w:tcW w:w="1275" w:type="dxa"/>
            <w:vAlign w:val="center"/>
          </w:tcPr>
          <w:p w14:paraId="01352C8B"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Ādažu NAI</w:t>
            </w:r>
          </w:p>
        </w:tc>
        <w:tc>
          <w:tcPr>
            <w:tcW w:w="993" w:type="dxa"/>
            <w:vAlign w:val="center"/>
          </w:tcPr>
          <w:p w14:paraId="6FFA8FA8"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41 000</w:t>
            </w:r>
          </w:p>
        </w:tc>
        <w:tc>
          <w:tcPr>
            <w:tcW w:w="1559" w:type="dxa"/>
            <w:vAlign w:val="center"/>
          </w:tcPr>
          <w:p w14:paraId="7A6624F4"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2 645</w:t>
            </w:r>
          </w:p>
        </w:tc>
        <w:tc>
          <w:tcPr>
            <w:tcW w:w="1134" w:type="dxa"/>
            <w:vAlign w:val="center"/>
          </w:tcPr>
          <w:p w14:paraId="3BA492D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43 645</w:t>
            </w:r>
          </w:p>
        </w:tc>
        <w:tc>
          <w:tcPr>
            <w:tcW w:w="1134" w:type="dxa"/>
            <w:shd w:val="clear" w:color="auto" w:fill="FDEADA"/>
            <w:vAlign w:val="center"/>
          </w:tcPr>
          <w:p w14:paraId="33A2E341"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144 077</w:t>
            </w:r>
          </w:p>
        </w:tc>
        <w:tc>
          <w:tcPr>
            <w:tcW w:w="1134" w:type="dxa"/>
            <w:shd w:val="clear" w:color="auto" w:fill="FDEADA"/>
            <w:vAlign w:val="bottom"/>
          </w:tcPr>
          <w:p w14:paraId="0AF50C95"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1 741 729</w:t>
            </w:r>
          </w:p>
        </w:tc>
      </w:tr>
      <w:tr w:rsidR="00EA051D" w:rsidRPr="00FF32B5" w14:paraId="552C9BA2" w14:textId="77777777" w:rsidTr="00FF32B5">
        <w:trPr>
          <w:trHeight w:val="312"/>
        </w:trPr>
        <w:tc>
          <w:tcPr>
            <w:tcW w:w="1555" w:type="dxa"/>
            <w:vAlign w:val="center"/>
          </w:tcPr>
          <w:p w14:paraId="239432B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Balvu</w:t>
            </w:r>
          </w:p>
        </w:tc>
        <w:tc>
          <w:tcPr>
            <w:tcW w:w="1275" w:type="dxa"/>
            <w:vAlign w:val="center"/>
          </w:tcPr>
          <w:p w14:paraId="07694ECD"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Balvu NAI</w:t>
            </w:r>
          </w:p>
        </w:tc>
        <w:tc>
          <w:tcPr>
            <w:tcW w:w="993" w:type="dxa"/>
            <w:vAlign w:val="center"/>
          </w:tcPr>
          <w:p w14:paraId="6E00BF2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930</w:t>
            </w:r>
          </w:p>
        </w:tc>
        <w:tc>
          <w:tcPr>
            <w:tcW w:w="1559" w:type="dxa"/>
            <w:vAlign w:val="center"/>
          </w:tcPr>
          <w:p w14:paraId="2DB2FDB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46BCEDC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930</w:t>
            </w:r>
          </w:p>
        </w:tc>
        <w:tc>
          <w:tcPr>
            <w:tcW w:w="1134" w:type="dxa"/>
            <w:shd w:val="clear" w:color="auto" w:fill="FDEADA"/>
            <w:vAlign w:val="center"/>
          </w:tcPr>
          <w:p w14:paraId="58FB25B7"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47 416</w:t>
            </w:r>
          </w:p>
        </w:tc>
        <w:tc>
          <w:tcPr>
            <w:tcW w:w="1134" w:type="dxa"/>
            <w:shd w:val="clear" w:color="auto" w:fill="FDEADA"/>
            <w:vAlign w:val="bottom"/>
          </w:tcPr>
          <w:p w14:paraId="35E2B45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413 910</w:t>
            </w:r>
          </w:p>
        </w:tc>
      </w:tr>
      <w:tr w:rsidR="00EA051D" w:rsidRPr="00FF32B5" w14:paraId="26FC4BF1" w14:textId="77777777" w:rsidTr="00FF32B5">
        <w:trPr>
          <w:trHeight w:val="312"/>
        </w:trPr>
        <w:tc>
          <w:tcPr>
            <w:tcW w:w="1555" w:type="dxa"/>
            <w:vAlign w:val="center"/>
          </w:tcPr>
          <w:p w14:paraId="2B5B7AA2"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Bauskas</w:t>
            </w:r>
          </w:p>
        </w:tc>
        <w:tc>
          <w:tcPr>
            <w:tcW w:w="1275" w:type="dxa"/>
            <w:vAlign w:val="center"/>
          </w:tcPr>
          <w:p w14:paraId="6F7C5817"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Bauskas NAI</w:t>
            </w:r>
          </w:p>
        </w:tc>
        <w:tc>
          <w:tcPr>
            <w:tcW w:w="993" w:type="dxa"/>
            <w:vAlign w:val="center"/>
          </w:tcPr>
          <w:p w14:paraId="104C4FE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5 782</w:t>
            </w:r>
          </w:p>
        </w:tc>
        <w:tc>
          <w:tcPr>
            <w:tcW w:w="1559" w:type="dxa"/>
            <w:vAlign w:val="center"/>
          </w:tcPr>
          <w:p w14:paraId="5AA16FB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4 003</w:t>
            </w:r>
          </w:p>
        </w:tc>
        <w:tc>
          <w:tcPr>
            <w:tcW w:w="1134" w:type="dxa"/>
            <w:vAlign w:val="center"/>
          </w:tcPr>
          <w:p w14:paraId="7E4868F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9 785</w:t>
            </w:r>
          </w:p>
        </w:tc>
        <w:tc>
          <w:tcPr>
            <w:tcW w:w="1134" w:type="dxa"/>
            <w:shd w:val="clear" w:color="auto" w:fill="FDEADA"/>
            <w:vAlign w:val="center"/>
          </w:tcPr>
          <w:p w14:paraId="3AEEEA19"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59 671</w:t>
            </w:r>
          </w:p>
        </w:tc>
        <w:tc>
          <w:tcPr>
            <w:tcW w:w="1134" w:type="dxa"/>
            <w:shd w:val="clear" w:color="auto" w:fill="FDEADA"/>
            <w:vAlign w:val="bottom"/>
          </w:tcPr>
          <w:p w14:paraId="7A97A75B"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689 172</w:t>
            </w:r>
          </w:p>
        </w:tc>
      </w:tr>
      <w:tr w:rsidR="00EA051D" w:rsidRPr="00FF32B5" w14:paraId="33CBB0D4" w14:textId="77777777" w:rsidTr="00FF32B5">
        <w:trPr>
          <w:trHeight w:val="312"/>
        </w:trPr>
        <w:tc>
          <w:tcPr>
            <w:tcW w:w="1555" w:type="dxa"/>
            <w:vAlign w:val="center"/>
          </w:tcPr>
          <w:p w14:paraId="37FA160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Cēsu</w:t>
            </w:r>
          </w:p>
        </w:tc>
        <w:tc>
          <w:tcPr>
            <w:tcW w:w="1275" w:type="dxa"/>
            <w:vAlign w:val="center"/>
          </w:tcPr>
          <w:p w14:paraId="102BA3DF"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Cēsu NAI</w:t>
            </w:r>
          </w:p>
        </w:tc>
        <w:tc>
          <w:tcPr>
            <w:tcW w:w="993" w:type="dxa"/>
            <w:vAlign w:val="center"/>
          </w:tcPr>
          <w:p w14:paraId="753A649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40 145</w:t>
            </w:r>
          </w:p>
        </w:tc>
        <w:tc>
          <w:tcPr>
            <w:tcW w:w="1559" w:type="dxa"/>
            <w:vAlign w:val="center"/>
          </w:tcPr>
          <w:p w14:paraId="5C3313F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4 368</w:t>
            </w:r>
          </w:p>
        </w:tc>
        <w:tc>
          <w:tcPr>
            <w:tcW w:w="1134" w:type="dxa"/>
            <w:vAlign w:val="center"/>
          </w:tcPr>
          <w:p w14:paraId="2E9182E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44 513</w:t>
            </w:r>
          </w:p>
        </w:tc>
        <w:tc>
          <w:tcPr>
            <w:tcW w:w="1134" w:type="dxa"/>
            <w:shd w:val="clear" w:color="auto" w:fill="FDEADA"/>
            <w:vAlign w:val="center"/>
          </w:tcPr>
          <w:p w14:paraId="1F58D801"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146 465</w:t>
            </w:r>
          </w:p>
        </w:tc>
        <w:tc>
          <w:tcPr>
            <w:tcW w:w="1134" w:type="dxa"/>
            <w:shd w:val="clear" w:color="auto" w:fill="FDEADA"/>
            <w:vAlign w:val="bottom"/>
          </w:tcPr>
          <w:p w14:paraId="2E63554A"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1 768 711</w:t>
            </w:r>
          </w:p>
        </w:tc>
      </w:tr>
      <w:tr w:rsidR="00EA051D" w:rsidRPr="00FF32B5" w14:paraId="7B6441FC" w14:textId="77777777" w:rsidTr="00FF32B5">
        <w:trPr>
          <w:trHeight w:val="312"/>
        </w:trPr>
        <w:tc>
          <w:tcPr>
            <w:tcW w:w="1555" w:type="dxa"/>
            <w:vAlign w:val="center"/>
          </w:tcPr>
          <w:p w14:paraId="284B90A8"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Daugavpils pilsēta</w:t>
            </w:r>
          </w:p>
        </w:tc>
        <w:tc>
          <w:tcPr>
            <w:tcW w:w="1275" w:type="dxa"/>
            <w:vAlign w:val="center"/>
          </w:tcPr>
          <w:p w14:paraId="75F9362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Daugavpils NAI</w:t>
            </w:r>
          </w:p>
        </w:tc>
        <w:tc>
          <w:tcPr>
            <w:tcW w:w="993" w:type="dxa"/>
            <w:vAlign w:val="center"/>
          </w:tcPr>
          <w:p w14:paraId="749E5332"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151 893</w:t>
            </w:r>
          </w:p>
        </w:tc>
        <w:tc>
          <w:tcPr>
            <w:tcW w:w="1559" w:type="dxa"/>
            <w:vAlign w:val="center"/>
          </w:tcPr>
          <w:p w14:paraId="78EAA2D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5C751D4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151 893</w:t>
            </w:r>
          </w:p>
        </w:tc>
        <w:tc>
          <w:tcPr>
            <w:tcW w:w="1134" w:type="dxa"/>
            <w:shd w:val="clear" w:color="auto" w:fill="FDEADA"/>
            <w:vAlign w:val="center"/>
          </w:tcPr>
          <w:p w14:paraId="13F19958"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373 538</w:t>
            </w:r>
          </w:p>
        </w:tc>
        <w:tc>
          <w:tcPr>
            <w:tcW w:w="1134" w:type="dxa"/>
            <w:shd w:val="clear" w:color="auto" w:fill="FDEADA"/>
            <w:vAlign w:val="bottom"/>
          </w:tcPr>
          <w:p w14:paraId="3694894E"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5 162 818</w:t>
            </w:r>
          </w:p>
        </w:tc>
      </w:tr>
      <w:tr w:rsidR="00EA051D" w:rsidRPr="00FF32B5" w14:paraId="5ADF0B9D" w14:textId="77777777" w:rsidTr="00FF32B5">
        <w:trPr>
          <w:trHeight w:val="312"/>
        </w:trPr>
        <w:tc>
          <w:tcPr>
            <w:tcW w:w="1555" w:type="dxa"/>
            <w:vAlign w:val="center"/>
          </w:tcPr>
          <w:p w14:paraId="504459C8"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Dienvidkurzemes</w:t>
            </w:r>
          </w:p>
        </w:tc>
        <w:tc>
          <w:tcPr>
            <w:tcW w:w="1275" w:type="dxa"/>
            <w:vAlign w:val="center"/>
          </w:tcPr>
          <w:p w14:paraId="69352399"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Aizputes NAI</w:t>
            </w:r>
          </w:p>
        </w:tc>
        <w:tc>
          <w:tcPr>
            <w:tcW w:w="993" w:type="dxa"/>
            <w:vAlign w:val="center"/>
          </w:tcPr>
          <w:p w14:paraId="36A38B8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2 411</w:t>
            </w:r>
          </w:p>
        </w:tc>
        <w:tc>
          <w:tcPr>
            <w:tcW w:w="1559" w:type="dxa"/>
            <w:vAlign w:val="center"/>
          </w:tcPr>
          <w:p w14:paraId="3B2CD04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958</w:t>
            </w:r>
          </w:p>
        </w:tc>
        <w:tc>
          <w:tcPr>
            <w:tcW w:w="1134" w:type="dxa"/>
            <w:vAlign w:val="center"/>
          </w:tcPr>
          <w:p w14:paraId="413EEE8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3 369</w:t>
            </w:r>
          </w:p>
        </w:tc>
        <w:tc>
          <w:tcPr>
            <w:tcW w:w="1134" w:type="dxa"/>
            <w:shd w:val="clear" w:color="auto" w:fill="FDEADA"/>
            <w:vAlign w:val="center"/>
          </w:tcPr>
          <w:p w14:paraId="2651E732"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36 282</w:t>
            </w:r>
          </w:p>
        </w:tc>
        <w:tc>
          <w:tcPr>
            <w:tcW w:w="1134" w:type="dxa"/>
            <w:shd w:val="clear" w:color="auto" w:fill="FDEADA"/>
            <w:vAlign w:val="center"/>
          </w:tcPr>
          <w:p w14:paraId="2F1F3272"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489 727</w:t>
            </w:r>
          </w:p>
        </w:tc>
      </w:tr>
      <w:tr w:rsidR="00EA051D" w:rsidRPr="00FF32B5" w14:paraId="29826F4E" w14:textId="77777777" w:rsidTr="00FF32B5">
        <w:trPr>
          <w:trHeight w:val="312"/>
        </w:trPr>
        <w:tc>
          <w:tcPr>
            <w:tcW w:w="1555" w:type="dxa"/>
            <w:vAlign w:val="center"/>
          </w:tcPr>
          <w:p w14:paraId="39CD7BD3"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Dobeles</w:t>
            </w:r>
          </w:p>
        </w:tc>
        <w:tc>
          <w:tcPr>
            <w:tcW w:w="1275" w:type="dxa"/>
            <w:vAlign w:val="center"/>
          </w:tcPr>
          <w:p w14:paraId="1B1415D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Dobeles NAI</w:t>
            </w:r>
          </w:p>
        </w:tc>
        <w:tc>
          <w:tcPr>
            <w:tcW w:w="993" w:type="dxa"/>
            <w:vAlign w:val="center"/>
          </w:tcPr>
          <w:p w14:paraId="6C957CF7"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9 967</w:t>
            </w:r>
          </w:p>
        </w:tc>
        <w:tc>
          <w:tcPr>
            <w:tcW w:w="1559" w:type="dxa"/>
            <w:vAlign w:val="center"/>
          </w:tcPr>
          <w:p w14:paraId="3DE7F69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5 340</w:t>
            </w:r>
          </w:p>
        </w:tc>
        <w:tc>
          <w:tcPr>
            <w:tcW w:w="1134" w:type="dxa"/>
            <w:vAlign w:val="center"/>
          </w:tcPr>
          <w:p w14:paraId="06EC814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15 307</w:t>
            </w:r>
          </w:p>
        </w:tc>
        <w:tc>
          <w:tcPr>
            <w:tcW w:w="1134" w:type="dxa"/>
            <w:shd w:val="clear" w:color="auto" w:fill="FDEADA"/>
            <w:vAlign w:val="center"/>
          </w:tcPr>
          <w:p w14:paraId="3A28935A"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66 113</w:t>
            </w:r>
          </w:p>
        </w:tc>
        <w:tc>
          <w:tcPr>
            <w:tcW w:w="1134" w:type="dxa"/>
            <w:shd w:val="clear" w:color="auto" w:fill="FDEADA"/>
            <w:vAlign w:val="bottom"/>
          </w:tcPr>
          <w:p w14:paraId="41A9C8A0"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860 827</w:t>
            </w:r>
          </w:p>
        </w:tc>
      </w:tr>
      <w:tr w:rsidR="00EA051D" w:rsidRPr="00FF32B5" w14:paraId="0E3E6EEF" w14:textId="77777777" w:rsidTr="00FF32B5">
        <w:trPr>
          <w:trHeight w:val="312"/>
        </w:trPr>
        <w:tc>
          <w:tcPr>
            <w:tcW w:w="1555" w:type="dxa"/>
            <w:vAlign w:val="center"/>
          </w:tcPr>
          <w:p w14:paraId="0BF4BA43"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Gulbenes</w:t>
            </w:r>
          </w:p>
        </w:tc>
        <w:tc>
          <w:tcPr>
            <w:tcW w:w="1275" w:type="dxa"/>
            <w:vAlign w:val="center"/>
          </w:tcPr>
          <w:p w14:paraId="469A5549"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Gulbenes NAI</w:t>
            </w:r>
          </w:p>
        </w:tc>
        <w:tc>
          <w:tcPr>
            <w:tcW w:w="993" w:type="dxa"/>
            <w:vAlign w:val="center"/>
          </w:tcPr>
          <w:p w14:paraId="29C6AD2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4 330</w:t>
            </w:r>
          </w:p>
        </w:tc>
        <w:tc>
          <w:tcPr>
            <w:tcW w:w="1559" w:type="dxa"/>
            <w:vAlign w:val="center"/>
          </w:tcPr>
          <w:p w14:paraId="45EDB6F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467</w:t>
            </w:r>
          </w:p>
        </w:tc>
        <w:tc>
          <w:tcPr>
            <w:tcW w:w="1134" w:type="dxa"/>
            <w:vAlign w:val="center"/>
          </w:tcPr>
          <w:p w14:paraId="4B91F17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4 797</w:t>
            </w:r>
          </w:p>
        </w:tc>
        <w:tc>
          <w:tcPr>
            <w:tcW w:w="1134" w:type="dxa"/>
            <w:shd w:val="clear" w:color="auto" w:fill="FDEADA"/>
            <w:vAlign w:val="center"/>
          </w:tcPr>
          <w:p w14:paraId="38E9F94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45 197</w:t>
            </w:r>
          </w:p>
        </w:tc>
        <w:tc>
          <w:tcPr>
            <w:tcW w:w="1134" w:type="dxa"/>
            <w:shd w:val="clear" w:color="auto" w:fill="FDEADA"/>
            <w:vAlign w:val="bottom"/>
          </w:tcPr>
          <w:p w14:paraId="030C69AB"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534 117</w:t>
            </w:r>
          </w:p>
        </w:tc>
      </w:tr>
      <w:tr w:rsidR="00EA051D" w:rsidRPr="00FF32B5" w14:paraId="63CBD071" w14:textId="77777777" w:rsidTr="00FF32B5">
        <w:trPr>
          <w:trHeight w:val="312"/>
        </w:trPr>
        <w:tc>
          <w:tcPr>
            <w:tcW w:w="1555" w:type="dxa"/>
            <w:vAlign w:val="center"/>
          </w:tcPr>
          <w:p w14:paraId="0C3287F1"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Jelgavas novads</w:t>
            </w:r>
          </w:p>
        </w:tc>
        <w:tc>
          <w:tcPr>
            <w:tcW w:w="1275" w:type="dxa"/>
            <w:vAlign w:val="center"/>
          </w:tcPr>
          <w:p w14:paraId="0995ED1D"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Ozolnieku NAI</w:t>
            </w:r>
          </w:p>
        </w:tc>
        <w:tc>
          <w:tcPr>
            <w:tcW w:w="993" w:type="dxa"/>
            <w:vAlign w:val="center"/>
          </w:tcPr>
          <w:p w14:paraId="57B62CB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1 523</w:t>
            </w:r>
          </w:p>
        </w:tc>
        <w:tc>
          <w:tcPr>
            <w:tcW w:w="1559" w:type="dxa"/>
            <w:vAlign w:val="center"/>
          </w:tcPr>
          <w:p w14:paraId="02DEC872"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900</w:t>
            </w:r>
          </w:p>
        </w:tc>
        <w:tc>
          <w:tcPr>
            <w:tcW w:w="1134" w:type="dxa"/>
            <w:vAlign w:val="center"/>
          </w:tcPr>
          <w:p w14:paraId="37BC6DF8"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2 423</w:t>
            </w:r>
          </w:p>
        </w:tc>
        <w:tc>
          <w:tcPr>
            <w:tcW w:w="1134" w:type="dxa"/>
            <w:shd w:val="clear" w:color="auto" w:fill="FDEADA"/>
            <w:vAlign w:val="center"/>
          </w:tcPr>
          <w:p w14:paraId="52D3918C"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34 7047</w:t>
            </w:r>
          </w:p>
        </w:tc>
        <w:tc>
          <w:tcPr>
            <w:tcW w:w="1134" w:type="dxa"/>
            <w:shd w:val="clear" w:color="auto" w:fill="FDEADA"/>
            <w:vAlign w:val="center"/>
          </w:tcPr>
          <w:p w14:paraId="19837929"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460 320</w:t>
            </w:r>
          </w:p>
        </w:tc>
      </w:tr>
      <w:tr w:rsidR="00EA051D" w:rsidRPr="00FF32B5" w14:paraId="62AD4CC5" w14:textId="77777777" w:rsidTr="00FF32B5">
        <w:trPr>
          <w:trHeight w:val="312"/>
        </w:trPr>
        <w:tc>
          <w:tcPr>
            <w:tcW w:w="1555" w:type="dxa"/>
            <w:vAlign w:val="center"/>
          </w:tcPr>
          <w:p w14:paraId="1D0861E2"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Jelgavas pilsēta</w:t>
            </w:r>
          </w:p>
        </w:tc>
        <w:tc>
          <w:tcPr>
            <w:tcW w:w="1275" w:type="dxa"/>
            <w:vAlign w:val="center"/>
          </w:tcPr>
          <w:p w14:paraId="659FE4FB"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Jelgavas NAI</w:t>
            </w:r>
          </w:p>
        </w:tc>
        <w:tc>
          <w:tcPr>
            <w:tcW w:w="993" w:type="dxa"/>
            <w:vAlign w:val="center"/>
          </w:tcPr>
          <w:p w14:paraId="42204EC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120 608</w:t>
            </w:r>
          </w:p>
        </w:tc>
        <w:tc>
          <w:tcPr>
            <w:tcW w:w="1559" w:type="dxa"/>
            <w:vAlign w:val="center"/>
          </w:tcPr>
          <w:p w14:paraId="6C7AB062"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39CD911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120 608</w:t>
            </w:r>
          </w:p>
        </w:tc>
        <w:tc>
          <w:tcPr>
            <w:tcW w:w="1134" w:type="dxa"/>
            <w:shd w:val="clear" w:color="auto" w:fill="FDEADA"/>
            <w:vAlign w:val="center"/>
          </w:tcPr>
          <w:p w14:paraId="1E450CEF"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301 544</w:t>
            </w:r>
          </w:p>
        </w:tc>
        <w:tc>
          <w:tcPr>
            <w:tcW w:w="1134" w:type="dxa"/>
            <w:shd w:val="clear" w:color="auto" w:fill="FDEADA"/>
            <w:vAlign w:val="bottom"/>
          </w:tcPr>
          <w:p w14:paraId="5A0DE8EA"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4 173 594</w:t>
            </w:r>
          </w:p>
        </w:tc>
      </w:tr>
      <w:tr w:rsidR="00EA051D" w:rsidRPr="00FF32B5" w14:paraId="01E14CD2" w14:textId="77777777" w:rsidTr="00FF32B5">
        <w:trPr>
          <w:trHeight w:val="312"/>
        </w:trPr>
        <w:tc>
          <w:tcPr>
            <w:tcW w:w="1555" w:type="dxa"/>
            <w:vAlign w:val="center"/>
          </w:tcPr>
          <w:p w14:paraId="2D6713C2"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Jēkabpils</w:t>
            </w:r>
          </w:p>
        </w:tc>
        <w:tc>
          <w:tcPr>
            <w:tcW w:w="1275" w:type="dxa"/>
            <w:vAlign w:val="center"/>
          </w:tcPr>
          <w:p w14:paraId="666DCC6C"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Jēkabpils NAI</w:t>
            </w:r>
          </w:p>
        </w:tc>
        <w:tc>
          <w:tcPr>
            <w:tcW w:w="993" w:type="dxa"/>
            <w:vAlign w:val="center"/>
          </w:tcPr>
          <w:p w14:paraId="1D4827F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20 280</w:t>
            </w:r>
          </w:p>
        </w:tc>
        <w:tc>
          <w:tcPr>
            <w:tcW w:w="1559" w:type="dxa"/>
            <w:vAlign w:val="center"/>
          </w:tcPr>
          <w:p w14:paraId="74333687"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817</w:t>
            </w:r>
          </w:p>
        </w:tc>
        <w:tc>
          <w:tcPr>
            <w:tcW w:w="1134" w:type="dxa"/>
            <w:vAlign w:val="center"/>
          </w:tcPr>
          <w:p w14:paraId="6BBFD18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21 097</w:t>
            </w:r>
          </w:p>
        </w:tc>
        <w:tc>
          <w:tcPr>
            <w:tcW w:w="1134" w:type="dxa"/>
            <w:shd w:val="clear" w:color="auto" w:fill="FDEADA"/>
            <w:vAlign w:val="center"/>
          </w:tcPr>
          <w:p w14:paraId="38D604E1"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82 042</w:t>
            </w:r>
          </w:p>
        </w:tc>
        <w:tc>
          <w:tcPr>
            <w:tcW w:w="1134" w:type="dxa"/>
            <w:shd w:val="clear" w:color="auto" w:fill="FDEADA"/>
            <w:vAlign w:val="bottom"/>
          </w:tcPr>
          <w:p w14:paraId="058607AE"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1 040 812</w:t>
            </w:r>
          </w:p>
        </w:tc>
      </w:tr>
      <w:tr w:rsidR="00EA051D" w:rsidRPr="00FF32B5" w14:paraId="12E78789" w14:textId="77777777" w:rsidTr="00FF32B5">
        <w:trPr>
          <w:trHeight w:val="312"/>
        </w:trPr>
        <w:tc>
          <w:tcPr>
            <w:tcW w:w="1555" w:type="dxa"/>
            <w:vAlign w:val="center"/>
          </w:tcPr>
          <w:p w14:paraId="3B4CC704"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Jūrmalas pilsēta</w:t>
            </w:r>
          </w:p>
        </w:tc>
        <w:tc>
          <w:tcPr>
            <w:tcW w:w="1275" w:type="dxa"/>
            <w:vAlign w:val="center"/>
          </w:tcPr>
          <w:p w14:paraId="0B7BBD2D"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Jūrmalas NAI</w:t>
            </w:r>
          </w:p>
        </w:tc>
        <w:tc>
          <w:tcPr>
            <w:tcW w:w="993" w:type="dxa"/>
            <w:vAlign w:val="center"/>
          </w:tcPr>
          <w:p w14:paraId="25150DD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55 304</w:t>
            </w:r>
          </w:p>
        </w:tc>
        <w:tc>
          <w:tcPr>
            <w:tcW w:w="1559" w:type="dxa"/>
            <w:vAlign w:val="center"/>
          </w:tcPr>
          <w:p w14:paraId="33C198B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250BD47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55 304</w:t>
            </w:r>
          </w:p>
        </w:tc>
        <w:tc>
          <w:tcPr>
            <w:tcW w:w="1134" w:type="dxa"/>
            <w:shd w:val="clear" w:color="auto" w:fill="FDEADA"/>
            <w:vAlign w:val="center"/>
          </w:tcPr>
          <w:p w14:paraId="51E266A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151 266</w:t>
            </w:r>
          </w:p>
        </w:tc>
        <w:tc>
          <w:tcPr>
            <w:tcW w:w="1134" w:type="dxa"/>
            <w:shd w:val="clear" w:color="auto" w:fill="FDEADA"/>
            <w:vAlign w:val="bottom"/>
          </w:tcPr>
          <w:p w14:paraId="75888F1F"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2 108 698</w:t>
            </w:r>
          </w:p>
        </w:tc>
      </w:tr>
      <w:tr w:rsidR="00EA051D" w:rsidRPr="00FF32B5" w14:paraId="6DC1DDE0" w14:textId="77777777" w:rsidTr="00FF32B5">
        <w:trPr>
          <w:trHeight w:val="312"/>
        </w:trPr>
        <w:tc>
          <w:tcPr>
            <w:tcW w:w="1555" w:type="dxa"/>
            <w:vAlign w:val="center"/>
          </w:tcPr>
          <w:p w14:paraId="57473C34"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Krāslavas</w:t>
            </w:r>
          </w:p>
        </w:tc>
        <w:tc>
          <w:tcPr>
            <w:tcW w:w="1275" w:type="dxa"/>
            <w:vAlign w:val="center"/>
          </w:tcPr>
          <w:p w14:paraId="62DD81E3"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Krāslavas NAI</w:t>
            </w:r>
          </w:p>
        </w:tc>
        <w:tc>
          <w:tcPr>
            <w:tcW w:w="993" w:type="dxa"/>
            <w:vAlign w:val="center"/>
          </w:tcPr>
          <w:p w14:paraId="66CCC9F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5 555</w:t>
            </w:r>
          </w:p>
        </w:tc>
        <w:tc>
          <w:tcPr>
            <w:tcW w:w="1559" w:type="dxa"/>
            <w:vAlign w:val="center"/>
          </w:tcPr>
          <w:p w14:paraId="596DD7A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3 389</w:t>
            </w:r>
          </w:p>
        </w:tc>
        <w:tc>
          <w:tcPr>
            <w:tcW w:w="1134" w:type="dxa"/>
            <w:vAlign w:val="center"/>
          </w:tcPr>
          <w:p w14:paraId="65F745A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8 944</w:t>
            </w:r>
          </w:p>
        </w:tc>
        <w:tc>
          <w:tcPr>
            <w:tcW w:w="1134" w:type="dxa"/>
            <w:shd w:val="clear" w:color="auto" w:fill="FDEADA"/>
            <w:vAlign w:val="center"/>
          </w:tcPr>
          <w:p w14:paraId="5A393BDD"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56 605</w:t>
            </w:r>
          </w:p>
        </w:tc>
        <w:tc>
          <w:tcPr>
            <w:tcW w:w="1134" w:type="dxa"/>
            <w:shd w:val="clear" w:color="auto" w:fill="FDEADA"/>
            <w:vAlign w:val="bottom"/>
          </w:tcPr>
          <w:p w14:paraId="60BA7FB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663 029</w:t>
            </w:r>
          </w:p>
        </w:tc>
      </w:tr>
      <w:tr w:rsidR="00EA051D" w:rsidRPr="00FF32B5" w14:paraId="69706B63" w14:textId="77777777" w:rsidTr="00FF32B5">
        <w:trPr>
          <w:trHeight w:val="312"/>
        </w:trPr>
        <w:tc>
          <w:tcPr>
            <w:tcW w:w="1555" w:type="dxa"/>
            <w:vAlign w:val="center"/>
          </w:tcPr>
          <w:p w14:paraId="4169D123"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Kuldīgas</w:t>
            </w:r>
          </w:p>
        </w:tc>
        <w:tc>
          <w:tcPr>
            <w:tcW w:w="1275" w:type="dxa"/>
            <w:vAlign w:val="center"/>
          </w:tcPr>
          <w:p w14:paraId="138901CF"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Kuldīgas NAI</w:t>
            </w:r>
          </w:p>
        </w:tc>
        <w:tc>
          <w:tcPr>
            <w:tcW w:w="993" w:type="dxa"/>
            <w:vAlign w:val="center"/>
          </w:tcPr>
          <w:p w14:paraId="0A1730B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20 307</w:t>
            </w:r>
          </w:p>
        </w:tc>
        <w:tc>
          <w:tcPr>
            <w:tcW w:w="1559" w:type="dxa"/>
            <w:vAlign w:val="center"/>
          </w:tcPr>
          <w:p w14:paraId="36B510D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600</w:t>
            </w:r>
          </w:p>
        </w:tc>
        <w:tc>
          <w:tcPr>
            <w:tcW w:w="1134" w:type="dxa"/>
            <w:vAlign w:val="center"/>
          </w:tcPr>
          <w:p w14:paraId="5B539D3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20 907</w:t>
            </w:r>
          </w:p>
        </w:tc>
        <w:tc>
          <w:tcPr>
            <w:tcW w:w="1134" w:type="dxa"/>
            <w:shd w:val="clear" w:color="auto" w:fill="FDEADA"/>
            <w:vAlign w:val="center"/>
          </w:tcPr>
          <w:p w14:paraId="31C3E92E"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81 520</w:t>
            </w:r>
          </w:p>
        </w:tc>
        <w:tc>
          <w:tcPr>
            <w:tcW w:w="1134" w:type="dxa"/>
            <w:shd w:val="clear" w:color="auto" w:fill="FDEADA"/>
            <w:vAlign w:val="bottom"/>
          </w:tcPr>
          <w:p w14:paraId="43D55025"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1 034 906</w:t>
            </w:r>
          </w:p>
        </w:tc>
      </w:tr>
      <w:tr w:rsidR="00EA051D" w:rsidRPr="00FF32B5" w14:paraId="0EDAC965" w14:textId="77777777" w:rsidTr="00FF32B5">
        <w:trPr>
          <w:trHeight w:val="312"/>
        </w:trPr>
        <w:tc>
          <w:tcPr>
            <w:tcW w:w="1555" w:type="dxa"/>
            <w:vAlign w:val="center"/>
          </w:tcPr>
          <w:p w14:paraId="18D4ADE7"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Ķekavas</w:t>
            </w:r>
          </w:p>
        </w:tc>
        <w:tc>
          <w:tcPr>
            <w:tcW w:w="1275" w:type="dxa"/>
            <w:vAlign w:val="center"/>
          </w:tcPr>
          <w:p w14:paraId="322030D7"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Baložu NAI</w:t>
            </w:r>
          </w:p>
        </w:tc>
        <w:tc>
          <w:tcPr>
            <w:tcW w:w="993" w:type="dxa"/>
            <w:vAlign w:val="center"/>
          </w:tcPr>
          <w:p w14:paraId="17FE6B3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7 762</w:t>
            </w:r>
          </w:p>
        </w:tc>
        <w:tc>
          <w:tcPr>
            <w:tcW w:w="1559" w:type="dxa"/>
            <w:vAlign w:val="center"/>
          </w:tcPr>
          <w:p w14:paraId="1664F9C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4 329</w:t>
            </w:r>
          </w:p>
        </w:tc>
        <w:tc>
          <w:tcPr>
            <w:tcW w:w="1134" w:type="dxa"/>
            <w:vAlign w:val="center"/>
          </w:tcPr>
          <w:p w14:paraId="3ACEE90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12 091</w:t>
            </w:r>
          </w:p>
        </w:tc>
        <w:tc>
          <w:tcPr>
            <w:tcW w:w="1134" w:type="dxa"/>
            <w:shd w:val="clear" w:color="auto" w:fill="FDEADA"/>
            <w:vAlign w:val="center"/>
          </w:tcPr>
          <w:p w14:paraId="2ECDE7E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57 265</w:t>
            </w:r>
          </w:p>
        </w:tc>
        <w:tc>
          <w:tcPr>
            <w:tcW w:w="1134" w:type="dxa"/>
            <w:shd w:val="clear" w:color="auto" w:fill="FDEADA"/>
            <w:vAlign w:val="center"/>
          </w:tcPr>
          <w:p w14:paraId="2C45DA77"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760 855</w:t>
            </w:r>
          </w:p>
        </w:tc>
      </w:tr>
      <w:tr w:rsidR="00EA051D" w:rsidRPr="00FF32B5" w14:paraId="04DF654D" w14:textId="77777777" w:rsidTr="00FF32B5">
        <w:trPr>
          <w:trHeight w:val="312"/>
        </w:trPr>
        <w:tc>
          <w:tcPr>
            <w:tcW w:w="1555" w:type="dxa"/>
            <w:vAlign w:val="center"/>
          </w:tcPr>
          <w:p w14:paraId="7A6CEA13"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Liepājas pilsēta</w:t>
            </w:r>
          </w:p>
        </w:tc>
        <w:tc>
          <w:tcPr>
            <w:tcW w:w="1275" w:type="dxa"/>
            <w:vAlign w:val="center"/>
          </w:tcPr>
          <w:p w14:paraId="3F5CD88F"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Liepājas NAI</w:t>
            </w:r>
          </w:p>
        </w:tc>
        <w:tc>
          <w:tcPr>
            <w:tcW w:w="993" w:type="dxa"/>
            <w:vAlign w:val="center"/>
          </w:tcPr>
          <w:p w14:paraId="67ECB0F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79 209</w:t>
            </w:r>
          </w:p>
        </w:tc>
        <w:tc>
          <w:tcPr>
            <w:tcW w:w="1559" w:type="dxa"/>
            <w:vAlign w:val="center"/>
          </w:tcPr>
          <w:p w14:paraId="7E4D53A8"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778F5E1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79 209</w:t>
            </w:r>
          </w:p>
        </w:tc>
        <w:tc>
          <w:tcPr>
            <w:tcW w:w="1134" w:type="dxa"/>
            <w:shd w:val="clear" w:color="auto" w:fill="FDEADA"/>
            <w:vAlign w:val="center"/>
          </w:tcPr>
          <w:p w14:paraId="521AC279"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206 276</w:t>
            </w:r>
          </w:p>
        </w:tc>
        <w:tc>
          <w:tcPr>
            <w:tcW w:w="1134" w:type="dxa"/>
            <w:shd w:val="clear" w:color="auto" w:fill="FDEADA"/>
            <w:vAlign w:val="bottom"/>
          </w:tcPr>
          <w:p w14:paraId="67A3757F"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2 864 568</w:t>
            </w:r>
          </w:p>
        </w:tc>
      </w:tr>
      <w:tr w:rsidR="00EA051D" w:rsidRPr="00FF32B5" w14:paraId="1C34C763" w14:textId="77777777" w:rsidTr="00FF32B5">
        <w:trPr>
          <w:trHeight w:val="312"/>
        </w:trPr>
        <w:tc>
          <w:tcPr>
            <w:tcW w:w="1555" w:type="dxa"/>
            <w:vAlign w:val="center"/>
          </w:tcPr>
          <w:p w14:paraId="093DFE7D"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Limbažu</w:t>
            </w:r>
          </w:p>
        </w:tc>
        <w:tc>
          <w:tcPr>
            <w:tcW w:w="1275" w:type="dxa"/>
            <w:vAlign w:val="center"/>
          </w:tcPr>
          <w:p w14:paraId="2A58A7C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Limbažu NAI</w:t>
            </w:r>
          </w:p>
        </w:tc>
        <w:tc>
          <w:tcPr>
            <w:tcW w:w="993" w:type="dxa"/>
            <w:vAlign w:val="center"/>
          </w:tcPr>
          <w:p w14:paraId="262930C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8 840</w:t>
            </w:r>
          </w:p>
        </w:tc>
        <w:tc>
          <w:tcPr>
            <w:tcW w:w="1559" w:type="dxa"/>
            <w:vAlign w:val="center"/>
          </w:tcPr>
          <w:p w14:paraId="1540C73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4 000</w:t>
            </w:r>
          </w:p>
        </w:tc>
        <w:tc>
          <w:tcPr>
            <w:tcW w:w="1134" w:type="dxa"/>
            <w:vAlign w:val="center"/>
          </w:tcPr>
          <w:p w14:paraId="7128488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12 840</w:t>
            </w:r>
          </w:p>
        </w:tc>
        <w:tc>
          <w:tcPr>
            <w:tcW w:w="1134" w:type="dxa"/>
            <w:shd w:val="clear" w:color="auto" w:fill="FDEADA"/>
            <w:vAlign w:val="center"/>
          </w:tcPr>
          <w:p w14:paraId="3174177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59 326</w:t>
            </w:r>
          </w:p>
        </w:tc>
        <w:tc>
          <w:tcPr>
            <w:tcW w:w="1134" w:type="dxa"/>
            <w:shd w:val="clear" w:color="auto" w:fill="FDEADA"/>
            <w:vAlign w:val="bottom"/>
          </w:tcPr>
          <w:p w14:paraId="4DB46288"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784 139</w:t>
            </w:r>
          </w:p>
        </w:tc>
      </w:tr>
      <w:tr w:rsidR="00EA051D" w:rsidRPr="00FF32B5" w14:paraId="6E8F98DA" w14:textId="77777777" w:rsidTr="00FF32B5">
        <w:trPr>
          <w:trHeight w:val="312"/>
        </w:trPr>
        <w:tc>
          <w:tcPr>
            <w:tcW w:w="1555" w:type="dxa"/>
            <w:vAlign w:val="center"/>
          </w:tcPr>
          <w:p w14:paraId="2FD1DB7C"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Līvānu</w:t>
            </w:r>
          </w:p>
        </w:tc>
        <w:tc>
          <w:tcPr>
            <w:tcW w:w="1275" w:type="dxa"/>
            <w:vAlign w:val="center"/>
          </w:tcPr>
          <w:p w14:paraId="20DDF891"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Līvānu NAI</w:t>
            </w:r>
          </w:p>
        </w:tc>
        <w:tc>
          <w:tcPr>
            <w:tcW w:w="993" w:type="dxa"/>
            <w:vAlign w:val="center"/>
          </w:tcPr>
          <w:p w14:paraId="7E95A85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9 460</w:t>
            </w:r>
          </w:p>
        </w:tc>
        <w:tc>
          <w:tcPr>
            <w:tcW w:w="1559" w:type="dxa"/>
            <w:vAlign w:val="center"/>
          </w:tcPr>
          <w:p w14:paraId="4E671CD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64CB4AC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9 460</w:t>
            </w:r>
          </w:p>
        </w:tc>
        <w:tc>
          <w:tcPr>
            <w:tcW w:w="1134" w:type="dxa"/>
            <w:shd w:val="clear" w:color="auto" w:fill="FDEADA"/>
            <w:vAlign w:val="center"/>
          </w:tcPr>
          <w:p w14:paraId="6600EE90"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58 486</w:t>
            </w:r>
          </w:p>
        </w:tc>
        <w:tc>
          <w:tcPr>
            <w:tcW w:w="1134" w:type="dxa"/>
            <w:shd w:val="clear" w:color="auto" w:fill="FDEADA"/>
            <w:vAlign w:val="bottom"/>
          </w:tcPr>
          <w:p w14:paraId="4CCCF995"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679 070</w:t>
            </w:r>
          </w:p>
        </w:tc>
      </w:tr>
      <w:tr w:rsidR="00EA051D" w:rsidRPr="00FF32B5" w14:paraId="0ABF12DC" w14:textId="77777777" w:rsidTr="00FF32B5">
        <w:trPr>
          <w:trHeight w:val="312"/>
        </w:trPr>
        <w:tc>
          <w:tcPr>
            <w:tcW w:w="1555" w:type="dxa"/>
            <w:vAlign w:val="center"/>
          </w:tcPr>
          <w:p w14:paraId="15E7C73A"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Ludzas</w:t>
            </w:r>
          </w:p>
        </w:tc>
        <w:tc>
          <w:tcPr>
            <w:tcW w:w="1275" w:type="dxa"/>
            <w:vAlign w:val="center"/>
          </w:tcPr>
          <w:p w14:paraId="77D2C26D"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Ludzas NAI</w:t>
            </w:r>
          </w:p>
        </w:tc>
        <w:tc>
          <w:tcPr>
            <w:tcW w:w="993" w:type="dxa"/>
            <w:vAlign w:val="center"/>
          </w:tcPr>
          <w:p w14:paraId="6B79BEF0"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5 764</w:t>
            </w:r>
          </w:p>
        </w:tc>
        <w:tc>
          <w:tcPr>
            <w:tcW w:w="1559" w:type="dxa"/>
            <w:vAlign w:val="center"/>
          </w:tcPr>
          <w:p w14:paraId="389EFA6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438</w:t>
            </w:r>
          </w:p>
        </w:tc>
        <w:tc>
          <w:tcPr>
            <w:tcW w:w="1134" w:type="dxa"/>
            <w:vAlign w:val="center"/>
          </w:tcPr>
          <w:p w14:paraId="45F8BC3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6 202</w:t>
            </w:r>
          </w:p>
        </w:tc>
        <w:tc>
          <w:tcPr>
            <w:tcW w:w="1134" w:type="dxa"/>
            <w:shd w:val="clear" w:color="auto" w:fill="FDEADA"/>
            <w:vAlign w:val="center"/>
          </w:tcPr>
          <w:p w14:paraId="725AA8A1"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51 406</w:t>
            </w:r>
          </w:p>
        </w:tc>
        <w:tc>
          <w:tcPr>
            <w:tcW w:w="1134" w:type="dxa"/>
            <w:shd w:val="clear" w:color="auto" w:fill="FDEADA"/>
            <w:vAlign w:val="bottom"/>
          </w:tcPr>
          <w:p w14:paraId="1B043056"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577 793</w:t>
            </w:r>
          </w:p>
        </w:tc>
      </w:tr>
      <w:tr w:rsidR="00EA051D" w:rsidRPr="00FF32B5" w14:paraId="669AA98A" w14:textId="77777777" w:rsidTr="00FF32B5">
        <w:trPr>
          <w:trHeight w:val="312"/>
        </w:trPr>
        <w:tc>
          <w:tcPr>
            <w:tcW w:w="1555" w:type="dxa"/>
            <w:vAlign w:val="center"/>
          </w:tcPr>
          <w:p w14:paraId="5F433D9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Madonas</w:t>
            </w:r>
          </w:p>
        </w:tc>
        <w:tc>
          <w:tcPr>
            <w:tcW w:w="1275" w:type="dxa"/>
            <w:vAlign w:val="center"/>
          </w:tcPr>
          <w:p w14:paraId="319DADA2"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Madonas NAI</w:t>
            </w:r>
          </w:p>
        </w:tc>
        <w:tc>
          <w:tcPr>
            <w:tcW w:w="993" w:type="dxa"/>
            <w:vAlign w:val="center"/>
          </w:tcPr>
          <w:p w14:paraId="091ADE0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7 658</w:t>
            </w:r>
          </w:p>
        </w:tc>
        <w:tc>
          <w:tcPr>
            <w:tcW w:w="1559" w:type="dxa"/>
            <w:vAlign w:val="center"/>
          </w:tcPr>
          <w:p w14:paraId="66C51CB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16 567</w:t>
            </w:r>
          </w:p>
        </w:tc>
        <w:tc>
          <w:tcPr>
            <w:tcW w:w="1134" w:type="dxa"/>
            <w:vAlign w:val="center"/>
          </w:tcPr>
          <w:p w14:paraId="32EAA43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24 225</w:t>
            </w:r>
          </w:p>
        </w:tc>
        <w:tc>
          <w:tcPr>
            <w:tcW w:w="1134" w:type="dxa"/>
            <w:shd w:val="clear" w:color="auto" w:fill="FDEADA"/>
            <w:vAlign w:val="center"/>
          </w:tcPr>
          <w:p w14:paraId="6EA9C93C"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79 748</w:t>
            </w:r>
          </w:p>
        </w:tc>
        <w:tc>
          <w:tcPr>
            <w:tcW w:w="1134" w:type="dxa"/>
            <w:shd w:val="clear" w:color="auto" w:fill="FDEADA"/>
            <w:vAlign w:val="center"/>
          </w:tcPr>
          <w:p w14:paraId="0299F00C"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1 138 048</w:t>
            </w:r>
          </w:p>
        </w:tc>
      </w:tr>
      <w:tr w:rsidR="00EA051D" w:rsidRPr="00FF32B5" w14:paraId="207D00CD" w14:textId="77777777" w:rsidTr="00FF32B5">
        <w:trPr>
          <w:trHeight w:val="312"/>
        </w:trPr>
        <w:tc>
          <w:tcPr>
            <w:tcW w:w="1555" w:type="dxa"/>
            <w:vAlign w:val="center"/>
          </w:tcPr>
          <w:p w14:paraId="56670147"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Mārupes</w:t>
            </w:r>
          </w:p>
        </w:tc>
        <w:tc>
          <w:tcPr>
            <w:tcW w:w="1275" w:type="dxa"/>
            <w:vAlign w:val="center"/>
          </w:tcPr>
          <w:p w14:paraId="48A8F21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Piņķu NAI</w:t>
            </w:r>
          </w:p>
        </w:tc>
        <w:tc>
          <w:tcPr>
            <w:tcW w:w="993" w:type="dxa"/>
            <w:vAlign w:val="center"/>
          </w:tcPr>
          <w:p w14:paraId="145C020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7 947</w:t>
            </w:r>
          </w:p>
        </w:tc>
        <w:tc>
          <w:tcPr>
            <w:tcW w:w="1559" w:type="dxa"/>
            <w:vAlign w:val="center"/>
          </w:tcPr>
          <w:p w14:paraId="28C747D9"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89</w:t>
            </w:r>
          </w:p>
        </w:tc>
        <w:tc>
          <w:tcPr>
            <w:tcW w:w="1134" w:type="dxa"/>
            <w:vAlign w:val="center"/>
          </w:tcPr>
          <w:p w14:paraId="001C203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8 036</w:t>
            </w:r>
          </w:p>
        </w:tc>
        <w:tc>
          <w:tcPr>
            <w:tcW w:w="1134" w:type="dxa"/>
            <w:shd w:val="clear" w:color="auto" w:fill="FDEADA"/>
            <w:vAlign w:val="center"/>
          </w:tcPr>
          <w:p w14:paraId="520D4D7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53 296</w:t>
            </w:r>
          </w:p>
        </w:tc>
        <w:tc>
          <w:tcPr>
            <w:tcW w:w="1134" w:type="dxa"/>
            <w:shd w:val="clear" w:color="auto" w:fill="FDEADA"/>
            <w:vAlign w:val="center"/>
          </w:tcPr>
          <w:p w14:paraId="636122B2"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634 804</w:t>
            </w:r>
          </w:p>
        </w:tc>
      </w:tr>
      <w:tr w:rsidR="00EA051D" w:rsidRPr="00FF32B5" w14:paraId="58871A4F" w14:textId="77777777" w:rsidTr="00FF32B5">
        <w:trPr>
          <w:trHeight w:val="312"/>
        </w:trPr>
        <w:tc>
          <w:tcPr>
            <w:tcW w:w="1555" w:type="dxa"/>
            <w:vAlign w:val="center"/>
          </w:tcPr>
          <w:p w14:paraId="76946ECB"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Ogres</w:t>
            </w:r>
          </w:p>
        </w:tc>
        <w:tc>
          <w:tcPr>
            <w:tcW w:w="1275" w:type="dxa"/>
            <w:vAlign w:val="center"/>
          </w:tcPr>
          <w:p w14:paraId="376B5609"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Ogres NAI</w:t>
            </w:r>
          </w:p>
        </w:tc>
        <w:tc>
          <w:tcPr>
            <w:tcW w:w="993" w:type="dxa"/>
            <w:vAlign w:val="center"/>
          </w:tcPr>
          <w:p w14:paraId="2BD06D8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31 907</w:t>
            </w:r>
          </w:p>
        </w:tc>
        <w:tc>
          <w:tcPr>
            <w:tcW w:w="1559" w:type="dxa"/>
            <w:vAlign w:val="center"/>
          </w:tcPr>
          <w:p w14:paraId="7606170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5 798</w:t>
            </w:r>
          </w:p>
        </w:tc>
        <w:tc>
          <w:tcPr>
            <w:tcW w:w="1134" w:type="dxa"/>
            <w:vAlign w:val="center"/>
          </w:tcPr>
          <w:p w14:paraId="62AF2D1B"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37 705</w:t>
            </w:r>
          </w:p>
        </w:tc>
        <w:tc>
          <w:tcPr>
            <w:tcW w:w="1134" w:type="dxa"/>
            <w:shd w:val="clear" w:color="auto" w:fill="FDEADA"/>
            <w:vAlign w:val="center"/>
          </w:tcPr>
          <w:p w14:paraId="7562477C"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127 734</w:t>
            </w:r>
          </w:p>
        </w:tc>
        <w:tc>
          <w:tcPr>
            <w:tcW w:w="1134" w:type="dxa"/>
            <w:shd w:val="clear" w:color="auto" w:fill="FDEADA"/>
            <w:vAlign w:val="bottom"/>
          </w:tcPr>
          <w:p w14:paraId="565D68B7"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1 557 081</w:t>
            </w:r>
          </w:p>
        </w:tc>
      </w:tr>
      <w:tr w:rsidR="00EA051D" w:rsidRPr="00FF32B5" w14:paraId="31A195A6" w14:textId="77777777" w:rsidTr="00FF32B5">
        <w:trPr>
          <w:trHeight w:val="312"/>
        </w:trPr>
        <w:tc>
          <w:tcPr>
            <w:tcW w:w="1555" w:type="dxa"/>
            <w:vAlign w:val="center"/>
          </w:tcPr>
          <w:p w14:paraId="52091CC5"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Olaines</w:t>
            </w:r>
          </w:p>
        </w:tc>
        <w:tc>
          <w:tcPr>
            <w:tcW w:w="1275" w:type="dxa"/>
            <w:vAlign w:val="center"/>
          </w:tcPr>
          <w:p w14:paraId="42A183C3"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Olaines NAI</w:t>
            </w:r>
          </w:p>
        </w:tc>
        <w:tc>
          <w:tcPr>
            <w:tcW w:w="993" w:type="dxa"/>
            <w:vAlign w:val="center"/>
          </w:tcPr>
          <w:p w14:paraId="4948B3A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31 765</w:t>
            </w:r>
          </w:p>
        </w:tc>
        <w:tc>
          <w:tcPr>
            <w:tcW w:w="1559" w:type="dxa"/>
            <w:vAlign w:val="center"/>
          </w:tcPr>
          <w:p w14:paraId="052098B0"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502</w:t>
            </w:r>
          </w:p>
        </w:tc>
        <w:tc>
          <w:tcPr>
            <w:tcW w:w="1134" w:type="dxa"/>
            <w:vAlign w:val="center"/>
          </w:tcPr>
          <w:p w14:paraId="4E8E3FF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32 267</w:t>
            </w:r>
          </w:p>
        </w:tc>
        <w:tc>
          <w:tcPr>
            <w:tcW w:w="1134" w:type="dxa"/>
            <w:shd w:val="clear" w:color="auto" w:fill="FDEADA"/>
            <w:vAlign w:val="center"/>
          </w:tcPr>
          <w:p w14:paraId="423826F7"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112 773</w:t>
            </w:r>
          </w:p>
        </w:tc>
        <w:tc>
          <w:tcPr>
            <w:tcW w:w="1134" w:type="dxa"/>
            <w:shd w:val="clear" w:color="auto" w:fill="FDEADA"/>
            <w:vAlign w:val="bottom"/>
          </w:tcPr>
          <w:p w14:paraId="7F3BBBD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1 388 038</w:t>
            </w:r>
          </w:p>
        </w:tc>
      </w:tr>
      <w:tr w:rsidR="00EA051D" w:rsidRPr="00FF32B5" w14:paraId="0532F2A1" w14:textId="77777777" w:rsidTr="00FF32B5">
        <w:trPr>
          <w:trHeight w:val="312"/>
        </w:trPr>
        <w:tc>
          <w:tcPr>
            <w:tcW w:w="1555" w:type="dxa"/>
            <w:vAlign w:val="center"/>
          </w:tcPr>
          <w:p w14:paraId="1EF6CEDC"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lastRenderedPageBreak/>
              <w:t>Preiļu</w:t>
            </w:r>
          </w:p>
        </w:tc>
        <w:tc>
          <w:tcPr>
            <w:tcW w:w="1275" w:type="dxa"/>
            <w:vAlign w:val="center"/>
          </w:tcPr>
          <w:p w14:paraId="7D6A8152"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Preiļu NAI</w:t>
            </w:r>
          </w:p>
        </w:tc>
        <w:tc>
          <w:tcPr>
            <w:tcW w:w="993" w:type="dxa"/>
            <w:vAlign w:val="center"/>
          </w:tcPr>
          <w:p w14:paraId="79F017D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16 480</w:t>
            </w:r>
          </w:p>
        </w:tc>
        <w:tc>
          <w:tcPr>
            <w:tcW w:w="1559" w:type="dxa"/>
            <w:vAlign w:val="center"/>
          </w:tcPr>
          <w:p w14:paraId="0AD00A2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553</w:t>
            </w:r>
          </w:p>
        </w:tc>
        <w:tc>
          <w:tcPr>
            <w:tcW w:w="1134" w:type="dxa"/>
            <w:vAlign w:val="center"/>
          </w:tcPr>
          <w:p w14:paraId="6A22025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17 033</w:t>
            </w:r>
          </w:p>
        </w:tc>
        <w:tc>
          <w:tcPr>
            <w:tcW w:w="1134" w:type="dxa"/>
            <w:shd w:val="clear" w:color="auto" w:fill="FDEADA"/>
            <w:vAlign w:val="center"/>
          </w:tcPr>
          <w:p w14:paraId="35C06F5D"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70 861</w:t>
            </w:r>
          </w:p>
        </w:tc>
        <w:tc>
          <w:tcPr>
            <w:tcW w:w="1134" w:type="dxa"/>
            <w:shd w:val="clear" w:color="auto" w:fill="FDEADA"/>
            <w:vAlign w:val="center"/>
          </w:tcPr>
          <w:p w14:paraId="327D1F9F"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914 480</w:t>
            </w:r>
          </w:p>
        </w:tc>
      </w:tr>
      <w:tr w:rsidR="00EA051D" w:rsidRPr="00FF32B5" w14:paraId="0B6C41D2" w14:textId="77777777" w:rsidTr="00FF32B5">
        <w:trPr>
          <w:trHeight w:val="312"/>
        </w:trPr>
        <w:tc>
          <w:tcPr>
            <w:tcW w:w="1555" w:type="dxa"/>
            <w:vAlign w:val="center"/>
          </w:tcPr>
          <w:p w14:paraId="0E92B221"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Rēzeknes novads</w:t>
            </w:r>
          </w:p>
        </w:tc>
        <w:tc>
          <w:tcPr>
            <w:tcW w:w="1275" w:type="dxa"/>
            <w:vAlign w:val="bottom"/>
          </w:tcPr>
          <w:p w14:paraId="2CC852D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Varakļānu NAI</w:t>
            </w:r>
          </w:p>
        </w:tc>
        <w:tc>
          <w:tcPr>
            <w:tcW w:w="993" w:type="dxa"/>
            <w:vAlign w:val="center"/>
          </w:tcPr>
          <w:p w14:paraId="1C1EB41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910</w:t>
            </w:r>
          </w:p>
        </w:tc>
        <w:tc>
          <w:tcPr>
            <w:tcW w:w="1559" w:type="dxa"/>
            <w:vAlign w:val="center"/>
          </w:tcPr>
          <w:p w14:paraId="60EF696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26</w:t>
            </w:r>
          </w:p>
        </w:tc>
        <w:tc>
          <w:tcPr>
            <w:tcW w:w="1134" w:type="dxa"/>
            <w:vAlign w:val="center"/>
          </w:tcPr>
          <w:p w14:paraId="5BAADA0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936</w:t>
            </w:r>
          </w:p>
        </w:tc>
        <w:tc>
          <w:tcPr>
            <w:tcW w:w="1134" w:type="dxa"/>
            <w:shd w:val="clear" w:color="auto" w:fill="FDEADA"/>
            <w:vAlign w:val="center"/>
          </w:tcPr>
          <w:p w14:paraId="447BEB7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47 567</w:t>
            </w:r>
          </w:p>
        </w:tc>
        <w:tc>
          <w:tcPr>
            <w:tcW w:w="1134" w:type="dxa"/>
            <w:shd w:val="clear" w:color="auto" w:fill="FDEADA"/>
            <w:vAlign w:val="center"/>
          </w:tcPr>
          <w:p w14:paraId="6104ACF6"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414 096</w:t>
            </w:r>
          </w:p>
        </w:tc>
      </w:tr>
      <w:tr w:rsidR="00EA051D" w:rsidRPr="00FF32B5" w14:paraId="398F0B00" w14:textId="77777777" w:rsidTr="00FF32B5">
        <w:trPr>
          <w:trHeight w:val="312"/>
        </w:trPr>
        <w:tc>
          <w:tcPr>
            <w:tcW w:w="1555" w:type="dxa"/>
            <w:vAlign w:val="center"/>
          </w:tcPr>
          <w:p w14:paraId="5325D0B5"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Rēzeknes pilsēta</w:t>
            </w:r>
          </w:p>
        </w:tc>
        <w:tc>
          <w:tcPr>
            <w:tcW w:w="1275" w:type="dxa"/>
            <w:vAlign w:val="center"/>
          </w:tcPr>
          <w:p w14:paraId="6CC48B2A"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Rēzeknes NAI</w:t>
            </w:r>
          </w:p>
        </w:tc>
        <w:tc>
          <w:tcPr>
            <w:tcW w:w="993" w:type="dxa"/>
            <w:vAlign w:val="center"/>
          </w:tcPr>
          <w:p w14:paraId="4B1BBB2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92 424</w:t>
            </w:r>
          </w:p>
        </w:tc>
        <w:tc>
          <w:tcPr>
            <w:tcW w:w="1559" w:type="dxa"/>
            <w:vAlign w:val="center"/>
          </w:tcPr>
          <w:p w14:paraId="01E87D00"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4F101FB2"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92 424</w:t>
            </w:r>
          </w:p>
        </w:tc>
        <w:tc>
          <w:tcPr>
            <w:tcW w:w="1134" w:type="dxa"/>
            <w:shd w:val="clear" w:color="auto" w:fill="FDEADA"/>
            <w:vAlign w:val="center"/>
          </w:tcPr>
          <w:p w14:paraId="389CE06F"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236 687</w:t>
            </w:r>
          </w:p>
        </w:tc>
        <w:tc>
          <w:tcPr>
            <w:tcW w:w="1134" w:type="dxa"/>
            <w:shd w:val="clear" w:color="auto" w:fill="FDEADA"/>
            <w:vAlign w:val="center"/>
          </w:tcPr>
          <w:p w14:paraId="755ADAF6"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3 282 423</w:t>
            </w:r>
          </w:p>
        </w:tc>
      </w:tr>
      <w:tr w:rsidR="00EA051D" w:rsidRPr="00FF32B5" w14:paraId="35E5576D" w14:textId="77777777" w:rsidTr="00FF32B5">
        <w:trPr>
          <w:trHeight w:val="312"/>
        </w:trPr>
        <w:tc>
          <w:tcPr>
            <w:tcW w:w="1555" w:type="dxa"/>
            <w:vAlign w:val="center"/>
          </w:tcPr>
          <w:p w14:paraId="3FA5CDC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Ropažu novads</w:t>
            </w:r>
          </w:p>
        </w:tc>
        <w:tc>
          <w:tcPr>
            <w:tcW w:w="1275" w:type="dxa"/>
            <w:vAlign w:val="center"/>
          </w:tcPr>
          <w:p w14:paraId="56D314EB"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Upeslejas NAI</w:t>
            </w:r>
          </w:p>
        </w:tc>
        <w:tc>
          <w:tcPr>
            <w:tcW w:w="993" w:type="dxa"/>
            <w:vAlign w:val="center"/>
          </w:tcPr>
          <w:p w14:paraId="7AD650D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5 667</w:t>
            </w:r>
          </w:p>
        </w:tc>
        <w:tc>
          <w:tcPr>
            <w:tcW w:w="1559" w:type="dxa"/>
            <w:vAlign w:val="center"/>
          </w:tcPr>
          <w:p w14:paraId="0AE911CB"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10 043</w:t>
            </w:r>
          </w:p>
        </w:tc>
        <w:tc>
          <w:tcPr>
            <w:tcW w:w="1134" w:type="dxa"/>
            <w:vAlign w:val="center"/>
          </w:tcPr>
          <w:p w14:paraId="2A5C549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15 710</w:t>
            </w:r>
          </w:p>
        </w:tc>
        <w:tc>
          <w:tcPr>
            <w:tcW w:w="1134" w:type="dxa"/>
            <w:shd w:val="clear" w:color="auto" w:fill="FDEADA"/>
            <w:vAlign w:val="center"/>
          </w:tcPr>
          <w:p w14:paraId="3326E9E5"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67 221</w:t>
            </w:r>
          </w:p>
        </w:tc>
        <w:tc>
          <w:tcPr>
            <w:tcW w:w="1134" w:type="dxa"/>
            <w:shd w:val="clear" w:color="auto" w:fill="FDEADA"/>
            <w:vAlign w:val="center"/>
          </w:tcPr>
          <w:p w14:paraId="76E7CE61"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873 354</w:t>
            </w:r>
          </w:p>
        </w:tc>
      </w:tr>
      <w:tr w:rsidR="00EA051D" w:rsidRPr="00FF32B5" w14:paraId="0A482D21" w14:textId="77777777" w:rsidTr="00FF32B5">
        <w:trPr>
          <w:trHeight w:val="312"/>
        </w:trPr>
        <w:tc>
          <w:tcPr>
            <w:tcW w:w="1555" w:type="dxa"/>
            <w:vAlign w:val="center"/>
          </w:tcPr>
          <w:p w14:paraId="3A57B19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Salaspils</w:t>
            </w:r>
          </w:p>
        </w:tc>
        <w:tc>
          <w:tcPr>
            <w:tcW w:w="1275" w:type="dxa"/>
            <w:vAlign w:val="center"/>
          </w:tcPr>
          <w:p w14:paraId="5143A74B"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Salaspils NAI</w:t>
            </w:r>
          </w:p>
        </w:tc>
        <w:tc>
          <w:tcPr>
            <w:tcW w:w="993" w:type="dxa"/>
            <w:vAlign w:val="center"/>
          </w:tcPr>
          <w:p w14:paraId="2B75DB1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34 733</w:t>
            </w:r>
          </w:p>
        </w:tc>
        <w:tc>
          <w:tcPr>
            <w:tcW w:w="1559" w:type="dxa"/>
            <w:vAlign w:val="center"/>
          </w:tcPr>
          <w:p w14:paraId="6363AC78"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01DC55A2"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34 733</w:t>
            </w:r>
          </w:p>
        </w:tc>
        <w:tc>
          <w:tcPr>
            <w:tcW w:w="1134" w:type="dxa"/>
            <w:shd w:val="clear" w:color="auto" w:fill="FDEADA"/>
            <w:vAlign w:val="center"/>
          </w:tcPr>
          <w:p w14:paraId="7CCDD9C0"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119 558</w:t>
            </w:r>
          </w:p>
        </w:tc>
        <w:tc>
          <w:tcPr>
            <w:tcW w:w="1134" w:type="dxa"/>
            <w:shd w:val="clear" w:color="auto" w:fill="FDEADA"/>
            <w:vAlign w:val="bottom"/>
          </w:tcPr>
          <w:p w14:paraId="002799E9"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1 464 695</w:t>
            </w:r>
          </w:p>
        </w:tc>
      </w:tr>
      <w:tr w:rsidR="00EA051D" w:rsidRPr="00FF32B5" w14:paraId="250BDFFD" w14:textId="77777777" w:rsidTr="00FF32B5">
        <w:trPr>
          <w:trHeight w:val="312"/>
        </w:trPr>
        <w:tc>
          <w:tcPr>
            <w:tcW w:w="1555" w:type="dxa"/>
            <w:vAlign w:val="center"/>
          </w:tcPr>
          <w:p w14:paraId="0DF80849"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Saldus</w:t>
            </w:r>
          </w:p>
        </w:tc>
        <w:tc>
          <w:tcPr>
            <w:tcW w:w="1275" w:type="dxa"/>
            <w:vAlign w:val="center"/>
          </w:tcPr>
          <w:p w14:paraId="7F628A55"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Saldus NAI</w:t>
            </w:r>
          </w:p>
        </w:tc>
        <w:tc>
          <w:tcPr>
            <w:tcW w:w="993" w:type="dxa"/>
            <w:vAlign w:val="center"/>
          </w:tcPr>
          <w:p w14:paraId="0261EE2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18 288</w:t>
            </w:r>
          </w:p>
        </w:tc>
        <w:tc>
          <w:tcPr>
            <w:tcW w:w="1559" w:type="dxa"/>
            <w:vAlign w:val="center"/>
          </w:tcPr>
          <w:p w14:paraId="01FB305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4 157</w:t>
            </w:r>
          </w:p>
        </w:tc>
        <w:tc>
          <w:tcPr>
            <w:tcW w:w="1134" w:type="dxa"/>
            <w:vAlign w:val="center"/>
          </w:tcPr>
          <w:p w14:paraId="1C7ADE24"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22 445</w:t>
            </w:r>
          </w:p>
        </w:tc>
        <w:tc>
          <w:tcPr>
            <w:tcW w:w="1134" w:type="dxa"/>
            <w:shd w:val="clear" w:color="auto" w:fill="FDEADA"/>
            <w:vAlign w:val="center"/>
          </w:tcPr>
          <w:p w14:paraId="30A8D5B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85 751</w:t>
            </w:r>
          </w:p>
        </w:tc>
        <w:tc>
          <w:tcPr>
            <w:tcW w:w="1134" w:type="dxa"/>
            <w:shd w:val="clear" w:color="auto" w:fill="FDEADA"/>
            <w:vAlign w:val="bottom"/>
          </w:tcPr>
          <w:p w14:paraId="581B294A"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1 082 715</w:t>
            </w:r>
          </w:p>
        </w:tc>
      </w:tr>
      <w:tr w:rsidR="00EA051D" w:rsidRPr="00FF32B5" w14:paraId="74D84012" w14:textId="77777777" w:rsidTr="00FF32B5">
        <w:trPr>
          <w:trHeight w:val="312"/>
        </w:trPr>
        <w:tc>
          <w:tcPr>
            <w:tcW w:w="1555" w:type="dxa"/>
            <w:vAlign w:val="center"/>
          </w:tcPr>
          <w:p w14:paraId="539CBA29"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Saulkrastu</w:t>
            </w:r>
          </w:p>
        </w:tc>
        <w:tc>
          <w:tcPr>
            <w:tcW w:w="1275" w:type="dxa"/>
            <w:vAlign w:val="center"/>
          </w:tcPr>
          <w:p w14:paraId="3E9E9B26"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Saulkrastu NAI</w:t>
            </w:r>
          </w:p>
        </w:tc>
        <w:tc>
          <w:tcPr>
            <w:tcW w:w="993" w:type="dxa"/>
            <w:vAlign w:val="center"/>
          </w:tcPr>
          <w:p w14:paraId="65B2DBF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9 218</w:t>
            </w:r>
          </w:p>
        </w:tc>
        <w:tc>
          <w:tcPr>
            <w:tcW w:w="1559" w:type="dxa"/>
            <w:vAlign w:val="center"/>
          </w:tcPr>
          <w:p w14:paraId="19AE7B4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55BC7B75"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9 218</w:t>
            </w:r>
          </w:p>
        </w:tc>
        <w:tc>
          <w:tcPr>
            <w:tcW w:w="1134" w:type="dxa"/>
            <w:shd w:val="clear" w:color="auto" w:fill="FDEADA"/>
            <w:vAlign w:val="center"/>
          </w:tcPr>
          <w:p w14:paraId="3AD90C79"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57 604</w:t>
            </w:r>
          </w:p>
        </w:tc>
        <w:tc>
          <w:tcPr>
            <w:tcW w:w="1134" w:type="dxa"/>
            <w:shd w:val="clear" w:color="auto" w:fill="FDEADA"/>
            <w:vAlign w:val="bottom"/>
          </w:tcPr>
          <w:p w14:paraId="33C0570C"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671 547</w:t>
            </w:r>
          </w:p>
        </w:tc>
      </w:tr>
      <w:tr w:rsidR="00EA051D" w:rsidRPr="00FF32B5" w14:paraId="65A704D6" w14:textId="77777777" w:rsidTr="00FF32B5">
        <w:trPr>
          <w:trHeight w:val="312"/>
        </w:trPr>
        <w:tc>
          <w:tcPr>
            <w:tcW w:w="1555" w:type="dxa"/>
            <w:vAlign w:val="center"/>
          </w:tcPr>
          <w:p w14:paraId="271EF524"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Siguldas</w:t>
            </w:r>
          </w:p>
        </w:tc>
        <w:tc>
          <w:tcPr>
            <w:tcW w:w="1275" w:type="dxa"/>
            <w:vAlign w:val="center"/>
          </w:tcPr>
          <w:p w14:paraId="69AF30A1"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Siguldas NAI</w:t>
            </w:r>
          </w:p>
        </w:tc>
        <w:tc>
          <w:tcPr>
            <w:tcW w:w="993" w:type="dxa"/>
            <w:vAlign w:val="center"/>
          </w:tcPr>
          <w:p w14:paraId="00E9866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10 959</w:t>
            </w:r>
          </w:p>
        </w:tc>
        <w:tc>
          <w:tcPr>
            <w:tcW w:w="1559" w:type="dxa"/>
            <w:vAlign w:val="center"/>
          </w:tcPr>
          <w:p w14:paraId="19D6D9B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55</w:t>
            </w:r>
          </w:p>
        </w:tc>
        <w:tc>
          <w:tcPr>
            <w:tcW w:w="1134" w:type="dxa"/>
            <w:vAlign w:val="center"/>
          </w:tcPr>
          <w:p w14:paraId="626A29D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11 014</w:t>
            </w:r>
          </w:p>
        </w:tc>
        <w:tc>
          <w:tcPr>
            <w:tcW w:w="1134" w:type="dxa"/>
            <w:shd w:val="clear" w:color="auto" w:fill="FDEADA"/>
            <w:vAlign w:val="center"/>
          </w:tcPr>
          <w:p w14:paraId="1DD376C8"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54 302</w:t>
            </w:r>
          </w:p>
        </w:tc>
        <w:tc>
          <w:tcPr>
            <w:tcW w:w="1134" w:type="dxa"/>
            <w:shd w:val="clear" w:color="auto" w:fill="FDEADA"/>
            <w:vAlign w:val="bottom"/>
          </w:tcPr>
          <w:p w14:paraId="5480A0D6"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727 376</w:t>
            </w:r>
          </w:p>
        </w:tc>
      </w:tr>
      <w:tr w:rsidR="00EA051D" w:rsidRPr="00FF32B5" w14:paraId="4F02FB53" w14:textId="77777777" w:rsidTr="00FF32B5">
        <w:trPr>
          <w:trHeight w:val="312"/>
        </w:trPr>
        <w:tc>
          <w:tcPr>
            <w:tcW w:w="1555" w:type="dxa"/>
            <w:vAlign w:val="center"/>
          </w:tcPr>
          <w:p w14:paraId="53717070"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Smiltenes</w:t>
            </w:r>
          </w:p>
        </w:tc>
        <w:tc>
          <w:tcPr>
            <w:tcW w:w="1275" w:type="dxa"/>
            <w:vAlign w:val="center"/>
          </w:tcPr>
          <w:p w14:paraId="41F36BB4"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Smiltenes NAI</w:t>
            </w:r>
          </w:p>
        </w:tc>
        <w:tc>
          <w:tcPr>
            <w:tcW w:w="993" w:type="dxa"/>
            <w:vAlign w:val="center"/>
          </w:tcPr>
          <w:p w14:paraId="3277AB4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6 400</w:t>
            </w:r>
          </w:p>
        </w:tc>
        <w:tc>
          <w:tcPr>
            <w:tcW w:w="1559" w:type="dxa"/>
            <w:vAlign w:val="center"/>
          </w:tcPr>
          <w:p w14:paraId="33F1FF22"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1 060</w:t>
            </w:r>
          </w:p>
        </w:tc>
        <w:tc>
          <w:tcPr>
            <w:tcW w:w="1134" w:type="dxa"/>
            <w:vAlign w:val="center"/>
          </w:tcPr>
          <w:p w14:paraId="65D5945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7 460</w:t>
            </w:r>
          </w:p>
        </w:tc>
        <w:tc>
          <w:tcPr>
            <w:tcW w:w="1134" w:type="dxa"/>
            <w:shd w:val="clear" w:color="auto" w:fill="FDEADA"/>
            <w:vAlign w:val="center"/>
          </w:tcPr>
          <w:p w14:paraId="4DA9ABE5"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51 195</w:t>
            </w:r>
          </w:p>
        </w:tc>
        <w:tc>
          <w:tcPr>
            <w:tcW w:w="1134" w:type="dxa"/>
            <w:shd w:val="clear" w:color="auto" w:fill="FDEADA"/>
            <w:vAlign w:val="bottom"/>
          </w:tcPr>
          <w:p w14:paraId="0134508E"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616 898</w:t>
            </w:r>
          </w:p>
        </w:tc>
      </w:tr>
      <w:tr w:rsidR="00EA051D" w:rsidRPr="00FF32B5" w14:paraId="12A52FFC" w14:textId="77777777" w:rsidTr="00FF32B5">
        <w:trPr>
          <w:trHeight w:val="312"/>
        </w:trPr>
        <w:tc>
          <w:tcPr>
            <w:tcW w:w="1555" w:type="dxa"/>
            <w:vAlign w:val="center"/>
          </w:tcPr>
          <w:p w14:paraId="407091A5"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Talsu</w:t>
            </w:r>
          </w:p>
        </w:tc>
        <w:tc>
          <w:tcPr>
            <w:tcW w:w="1275" w:type="dxa"/>
            <w:vAlign w:val="center"/>
          </w:tcPr>
          <w:p w14:paraId="39903ADD"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Talsu NAI</w:t>
            </w:r>
          </w:p>
        </w:tc>
        <w:tc>
          <w:tcPr>
            <w:tcW w:w="993" w:type="dxa"/>
            <w:vAlign w:val="center"/>
          </w:tcPr>
          <w:p w14:paraId="6D2EF48B"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16 201</w:t>
            </w:r>
          </w:p>
        </w:tc>
        <w:tc>
          <w:tcPr>
            <w:tcW w:w="1559" w:type="dxa"/>
            <w:vAlign w:val="center"/>
          </w:tcPr>
          <w:p w14:paraId="3D68648B"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3 841</w:t>
            </w:r>
          </w:p>
        </w:tc>
        <w:tc>
          <w:tcPr>
            <w:tcW w:w="1134" w:type="dxa"/>
            <w:vAlign w:val="center"/>
          </w:tcPr>
          <w:p w14:paraId="68E5FFA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20 042</w:t>
            </w:r>
          </w:p>
        </w:tc>
        <w:tc>
          <w:tcPr>
            <w:tcW w:w="1134" w:type="dxa"/>
            <w:shd w:val="clear" w:color="auto" w:fill="FDEADA"/>
            <w:vAlign w:val="center"/>
          </w:tcPr>
          <w:p w14:paraId="5A8CF392"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79 140</w:t>
            </w:r>
          </w:p>
        </w:tc>
        <w:tc>
          <w:tcPr>
            <w:tcW w:w="1134" w:type="dxa"/>
            <w:shd w:val="clear" w:color="auto" w:fill="FDEADA"/>
            <w:vAlign w:val="bottom"/>
          </w:tcPr>
          <w:p w14:paraId="6C68FC55"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1 008 017</w:t>
            </w:r>
          </w:p>
        </w:tc>
      </w:tr>
      <w:tr w:rsidR="00EA051D" w:rsidRPr="00FF32B5" w14:paraId="2F63BC6F" w14:textId="77777777" w:rsidTr="00FF32B5">
        <w:trPr>
          <w:trHeight w:val="312"/>
        </w:trPr>
        <w:tc>
          <w:tcPr>
            <w:tcW w:w="1555" w:type="dxa"/>
            <w:vAlign w:val="center"/>
          </w:tcPr>
          <w:p w14:paraId="662E879F"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Tukuma</w:t>
            </w:r>
          </w:p>
        </w:tc>
        <w:tc>
          <w:tcPr>
            <w:tcW w:w="1275" w:type="dxa"/>
            <w:vAlign w:val="center"/>
          </w:tcPr>
          <w:p w14:paraId="2215DDFE"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Tukuma NAI</w:t>
            </w:r>
          </w:p>
        </w:tc>
        <w:tc>
          <w:tcPr>
            <w:tcW w:w="993" w:type="dxa"/>
            <w:vAlign w:val="center"/>
          </w:tcPr>
          <w:p w14:paraId="3BF21D1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47 837</w:t>
            </w:r>
          </w:p>
        </w:tc>
        <w:tc>
          <w:tcPr>
            <w:tcW w:w="1559" w:type="dxa"/>
            <w:vAlign w:val="center"/>
          </w:tcPr>
          <w:p w14:paraId="5252973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12 950</w:t>
            </w:r>
          </w:p>
        </w:tc>
        <w:tc>
          <w:tcPr>
            <w:tcW w:w="1134" w:type="dxa"/>
            <w:vAlign w:val="center"/>
          </w:tcPr>
          <w:p w14:paraId="45807BC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60 787</w:t>
            </w:r>
          </w:p>
        </w:tc>
        <w:tc>
          <w:tcPr>
            <w:tcW w:w="1134" w:type="dxa"/>
            <w:shd w:val="clear" w:color="auto" w:fill="FDEADA"/>
            <w:vAlign w:val="center"/>
          </w:tcPr>
          <w:p w14:paraId="6D19C78D"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163 884</w:t>
            </w:r>
          </w:p>
        </w:tc>
        <w:tc>
          <w:tcPr>
            <w:tcW w:w="1134" w:type="dxa"/>
            <w:shd w:val="clear" w:color="auto" w:fill="FDEADA"/>
            <w:vAlign w:val="bottom"/>
          </w:tcPr>
          <w:p w14:paraId="11095DE4"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2 282 069</w:t>
            </w:r>
          </w:p>
        </w:tc>
      </w:tr>
      <w:tr w:rsidR="00EA051D" w:rsidRPr="00FF32B5" w14:paraId="50959E34" w14:textId="77777777" w:rsidTr="00FF32B5">
        <w:trPr>
          <w:trHeight w:val="312"/>
        </w:trPr>
        <w:tc>
          <w:tcPr>
            <w:tcW w:w="1555" w:type="dxa"/>
            <w:vAlign w:val="center"/>
          </w:tcPr>
          <w:p w14:paraId="2040C88A"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Valkas</w:t>
            </w:r>
          </w:p>
        </w:tc>
        <w:tc>
          <w:tcPr>
            <w:tcW w:w="1275" w:type="dxa"/>
            <w:vAlign w:val="center"/>
          </w:tcPr>
          <w:p w14:paraId="705A2448"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Valkas NAI</w:t>
            </w:r>
          </w:p>
        </w:tc>
        <w:tc>
          <w:tcPr>
            <w:tcW w:w="993" w:type="dxa"/>
            <w:vAlign w:val="center"/>
          </w:tcPr>
          <w:p w14:paraId="4D2EC94E"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6 500</w:t>
            </w:r>
          </w:p>
        </w:tc>
        <w:tc>
          <w:tcPr>
            <w:tcW w:w="1559" w:type="dxa"/>
            <w:vAlign w:val="center"/>
          </w:tcPr>
          <w:p w14:paraId="16ED859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312A9393"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6 500</w:t>
            </w:r>
          </w:p>
        </w:tc>
        <w:tc>
          <w:tcPr>
            <w:tcW w:w="1134" w:type="dxa"/>
            <w:shd w:val="clear" w:color="auto" w:fill="FDEADA"/>
            <w:vAlign w:val="center"/>
          </w:tcPr>
          <w:p w14:paraId="496C3E3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47 696</w:t>
            </w:r>
          </w:p>
        </w:tc>
        <w:tc>
          <w:tcPr>
            <w:tcW w:w="1134" w:type="dxa"/>
            <w:shd w:val="clear" w:color="auto" w:fill="FDEADA"/>
            <w:vAlign w:val="center"/>
          </w:tcPr>
          <w:p w14:paraId="589B1586"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587 056</w:t>
            </w:r>
          </w:p>
        </w:tc>
      </w:tr>
      <w:tr w:rsidR="00EA051D" w:rsidRPr="00FF32B5" w14:paraId="748F2F71" w14:textId="77777777" w:rsidTr="00FF32B5">
        <w:trPr>
          <w:trHeight w:val="312"/>
        </w:trPr>
        <w:tc>
          <w:tcPr>
            <w:tcW w:w="1555" w:type="dxa"/>
            <w:vAlign w:val="center"/>
          </w:tcPr>
          <w:p w14:paraId="16E319A5"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Valmieras</w:t>
            </w:r>
          </w:p>
        </w:tc>
        <w:tc>
          <w:tcPr>
            <w:tcW w:w="1275" w:type="dxa"/>
            <w:vAlign w:val="center"/>
          </w:tcPr>
          <w:p w14:paraId="215B7FDF"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Valmieras NAI</w:t>
            </w:r>
          </w:p>
        </w:tc>
        <w:tc>
          <w:tcPr>
            <w:tcW w:w="993" w:type="dxa"/>
            <w:vAlign w:val="center"/>
          </w:tcPr>
          <w:p w14:paraId="4E4558F1"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43 527</w:t>
            </w:r>
          </w:p>
        </w:tc>
        <w:tc>
          <w:tcPr>
            <w:tcW w:w="1559" w:type="dxa"/>
            <w:vAlign w:val="center"/>
          </w:tcPr>
          <w:p w14:paraId="5571E19A"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2 070</w:t>
            </w:r>
          </w:p>
        </w:tc>
        <w:tc>
          <w:tcPr>
            <w:tcW w:w="1134" w:type="dxa"/>
            <w:vAlign w:val="center"/>
          </w:tcPr>
          <w:p w14:paraId="0CE8B8CD"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45 597</w:t>
            </w:r>
          </w:p>
        </w:tc>
        <w:tc>
          <w:tcPr>
            <w:tcW w:w="1134" w:type="dxa"/>
            <w:shd w:val="clear" w:color="auto" w:fill="FDEADA"/>
            <w:vAlign w:val="center"/>
          </w:tcPr>
          <w:p w14:paraId="57063A82"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149 447</w:t>
            </w:r>
          </w:p>
        </w:tc>
        <w:tc>
          <w:tcPr>
            <w:tcW w:w="1134" w:type="dxa"/>
            <w:shd w:val="clear" w:color="auto" w:fill="FDEADA"/>
            <w:vAlign w:val="center"/>
          </w:tcPr>
          <w:p w14:paraId="24FF633F"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1 802 408</w:t>
            </w:r>
          </w:p>
        </w:tc>
      </w:tr>
      <w:tr w:rsidR="00EA051D" w:rsidRPr="00FF32B5" w14:paraId="38E0840A" w14:textId="77777777" w:rsidTr="00FF32B5">
        <w:trPr>
          <w:trHeight w:val="312"/>
        </w:trPr>
        <w:tc>
          <w:tcPr>
            <w:tcW w:w="1555" w:type="dxa"/>
            <w:vAlign w:val="center"/>
          </w:tcPr>
          <w:p w14:paraId="341BEDCC"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Ventspils novads</w:t>
            </w:r>
          </w:p>
        </w:tc>
        <w:tc>
          <w:tcPr>
            <w:tcW w:w="1275" w:type="dxa"/>
            <w:vAlign w:val="center"/>
          </w:tcPr>
          <w:p w14:paraId="2E7E8CBE"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Ugāles NAI</w:t>
            </w:r>
          </w:p>
        </w:tc>
        <w:tc>
          <w:tcPr>
            <w:tcW w:w="993" w:type="dxa"/>
            <w:vAlign w:val="center"/>
          </w:tcPr>
          <w:p w14:paraId="47EA2280"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406</w:t>
            </w:r>
          </w:p>
        </w:tc>
        <w:tc>
          <w:tcPr>
            <w:tcW w:w="1559" w:type="dxa"/>
            <w:vAlign w:val="center"/>
          </w:tcPr>
          <w:p w14:paraId="7C3A5B4B"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65CD416F"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406</w:t>
            </w:r>
          </w:p>
        </w:tc>
        <w:tc>
          <w:tcPr>
            <w:tcW w:w="1134" w:type="dxa"/>
            <w:shd w:val="clear" w:color="auto" w:fill="FDEADA"/>
            <w:vAlign w:val="center"/>
          </w:tcPr>
          <w:p w14:paraId="0E541C77"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34 223</w:t>
            </w:r>
          </w:p>
        </w:tc>
        <w:tc>
          <w:tcPr>
            <w:tcW w:w="1134" w:type="dxa"/>
            <w:shd w:val="clear" w:color="auto" w:fill="FDEADA"/>
            <w:vAlign w:val="center"/>
          </w:tcPr>
          <w:p w14:paraId="4BD4AC3D"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397 621</w:t>
            </w:r>
          </w:p>
        </w:tc>
      </w:tr>
      <w:tr w:rsidR="00EA051D" w:rsidRPr="00FF32B5" w14:paraId="52097612" w14:textId="77777777" w:rsidTr="00FF32B5">
        <w:trPr>
          <w:trHeight w:val="324"/>
        </w:trPr>
        <w:tc>
          <w:tcPr>
            <w:tcW w:w="1555" w:type="dxa"/>
            <w:vAlign w:val="center"/>
          </w:tcPr>
          <w:p w14:paraId="18365258"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Ventspils pilsēta</w:t>
            </w:r>
          </w:p>
        </w:tc>
        <w:tc>
          <w:tcPr>
            <w:tcW w:w="1275" w:type="dxa"/>
            <w:vAlign w:val="bottom"/>
          </w:tcPr>
          <w:p w14:paraId="7701C438" w14:textId="77777777" w:rsidR="00EA051D" w:rsidRPr="00FF32B5" w:rsidRDefault="00EA051D" w:rsidP="00D70884">
            <w:pPr>
              <w:spacing w:after="60"/>
              <w:rPr>
                <w:rFonts w:ascii="Times New Roman" w:hAnsi="Times New Roman" w:cs="Times New Roman"/>
                <w:sz w:val="18"/>
                <w:szCs w:val="18"/>
              </w:rPr>
            </w:pPr>
            <w:r w:rsidRPr="00FF32B5">
              <w:rPr>
                <w:rFonts w:ascii="Times New Roman" w:hAnsi="Times New Roman" w:cs="Times New Roman"/>
                <w:color w:val="000000"/>
                <w:sz w:val="18"/>
                <w:szCs w:val="18"/>
              </w:rPr>
              <w:t>Ventspils NAI</w:t>
            </w:r>
          </w:p>
        </w:tc>
        <w:tc>
          <w:tcPr>
            <w:tcW w:w="993" w:type="dxa"/>
            <w:vAlign w:val="center"/>
          </w:tcPr>
          <w:p w14:paraId="19D198C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93 630</w:t>
            </w:r>
          </w:p>
        </w:tc>
        <w:tc>
          <w:tcPr>
            <w:tcW w:w="1559" w:type="dxa"/>
            <w:vAlign w:val="center"/>
          </w:tcPr>
          <w:p w14:paraId="18DEA44C"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0,00</w:t>
            </w:r>
          </w:p>
        </w:tc>
        <w:tc>
          <w:tcPr>
            <w:tcW w:w="1134" w:type="dxa"/>
            <w:vAlign w:val="center"/>
          </w:tcPr>
          <w:p w14:paraId="3051AC36" w14:textId="77777777" w:rsidR="00EA051D" w:rsidRPr="00FF32B5" w:rsidRDefault="00EA051D" w:rsidP="00D70884">
            <w:pPr>
              <w:spacing w:after="60"/>
              <w:jc w:val="center"/>
              <w:rPr>
                <w:rFonts w:ascii="Times New Roman" w:hAnsi="Times New Roman" w:cs="Times New Roman"/>
                <w:sz w:val="18"/>
                <w:szCs w:val="18"/>
              </w:rPr>
            </w:pPr>
            <w:r w:rsidRPr="00FF32B5">
              <w:rPr>
                <w:rFonts w:ascii="Times New Roman" w:hAnsi="Times New Roman" w:cs="Times New Roman"/>
                <w:color w:val="000000"/>
                <w:sz w:val="18"/>
                <w:szCs w:val="18"/>
              </w:rPr>
              <w:t>93 630</w:t>
            </w:r>
          </w:p>
        </w:tc>
        <w:tc>
          <w:tcPr>
            <w:tcW w:w="1134" w:type="dxa"/>
            <w:shd w:val="clear" w:color="auto" w:fill="FDEADA"/>
            <w:vAlign w:val="center"/>
          </w:tcPr>
          <w:p w14:paraId="48485AB9"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239 462</w:t>
            </w:r>
          </w:p>
        </w:tc>
        <w:tc>
          <w:tcPr>
            <w:tcW w:w="1134" w:type="dxa"/>
            <w:shd w:val="clear" w:color="auto" w:fill="FDEADA"/>
            <w:vAlign w:val="center"/>
          </w:tcPr>
          <w:p w14:paraId="1ACD5383" w14:textId="77777777" w:rsidR="00EA051D" w:rsidRPr="00FF32B5" w:rsidRDefault="00EA051D" w:rsidP="00D70884">
            <w:pPr>
              <w:spacing w:after="60"/>
              <w:jc w:val="center"/>
              <w:rPr>
                <w:rFonts w:ascii="Times New Roman" w:hAnsi="Times New Roman" w:cs="Times New Roman"/>
                <w:color w:val="000000"/>
                <w:sz w:val="18"/>
                <w:szCs w:val="18"/>
              </w:rPr>
            </w:pPr>
            <w:r w:rsidRPr="00FF32B5">
              <w:rPr>
                <w:rFonts w:ascii="Times New Roman" w:hAnsi="Times New Roman" w:cs="Times New Roman"/>
                <w:color w:val="000000"/>
                <w:sz w:val="18"/>
                <w:szCs w:val="18"/>
              </w:rPr>
              <w:t>3 320 557</w:t>
            </w:r>
          </w:p>
        </w:tc>
      </w:tr>
      <w:tr w:rsidR="00EA051D" w:rsidRPr="00FF32B5" w14:paraId="771E2738" w14:textId="77777777" w:rsidTr="00FF32B5">
        <w:trPr>
          <w:trHeight w:val="324"/>
        </w:trPr>
        <w:tc>
          <w:tcPr>
            <w:tcW w:w="1555" w:type="dxa"/>
          </w:tcPr>
          <w:p w14:paraId="50037431" w14:textId="77777777" w:rsidR="00EA051D" w:rsidRPr="00FF32B5" w:rsidRDefault="00EA051D" w:rsidP="00D70884">
            <w:pPr>
              <w:spacing w:after="60"/>
              <w:jc w:val="center"/>
              <w:rPr>
                <w:rFonts w:ascii="Times New Roman" w:hAnsi="Times New Roman" w:cs="Times New Roman"/>
                <w:b/>
                <w:sz w:val="20"/>
                <w:szCs w:val="20"/>
              </w:rPr>
            </w:pPr>
            <w:r w:rsidRPr="00FF32B5">
              <w:rPr>
                <w:rFonts w:ascii="Times New Roman" w:hAnsi="Times New Roman" w:cs="Times New Roman"/>
                <w:b/>
                <w:sz w:val="20"/>
                <w:szCs w:val="20"/>
              </w:rPr>
              <w:t>KOPĀ</w:t>
            </w:r>
          </w:p>
        </w:tc>
        <w:tc>
          <w:tcPr>
            <w:tcW w:w="1275" w:type="dxa"/>
          </w:tcPr>
          <w:p w14:paraId="2F8D6BF8" w14:textId="77777777" w:rsidR="00EA051D" w:rsidRPr="00FF32B5" w:rsidRDefault="00EA051D" w:rsidP="00D70884">
            <w:pPr>
              <w:spacing w:after="60"/>
              <w:jc w:val="center"/>
              <w:rPr>
                <w:rFonts w:ascii="Times New Roman" w:hAnsi="Times New Roman" w:cs="Times New Roman"/>
                <w:sz w:val="20"/>
                <w:szCs w:val="20"/>
              </w:rPr>
            </w:pPr>
          </w:p>
        </w:tc>
        <w:tc>
          <w:tcPr>
            <w:tcW w:w="993" w:type="dxa"/>
          </w:tcPr>
          <w:p w14:paraId="5F73DFB6" w14:textId="77777777" w:rsidR="00EA051D" w:rsidRPr="00FF32B5" w:rsidRDefault="00EA051D" w:rsidP="00D70884">
            <w:pPr>
              <w:spacing w:after="60"/>
              <w:jc w:val="center"/>
              <w:rPr>
                <w:rFonts w:ascii="Times New Roman" w:hAnsi="Times New Roman" w:cs="Times New Roman"/>
                <w:sz w:val="20"/>
                <w:szCs w:val="20"/>
              </w:rPr>
            </w:pPr>
          </w:p>
        </w:tc>
        <w:tc>
          <w:tcPr>
            <w:tcW w:w="1559" w:type="dxa"/>
          </w:tcPr>
          <w:p w14:paraId="7B5A220E" w14:textId="77777777" w:rsidR="00EA051D" w:rsidRPr="00FF32B5" w:rsidRDefault="00EA051D" w:rsidP="00D70884">
            <w:pPr>
              <w:spacing w:after="60"/>
              <w:jc w:val="center"/>
              <w:rPr>
                <w:rFonts w:ascii="Times New Roman" w:hAnsi="Times New Roman" w:cs="Times New Roman"/>
                <w:sz w:val="20"/>
                <w:szCs w:val="20"/>
              </w:rPr>
            </w:pPr>
          </w:p>
        </w:tc>
        <w:tc>
          <w:tcPr>
            <w:tcW w:w="1134" w:type="dxa"/>
          </w:tcPr>
          <w:p w14:paraId="4BD9643A" w14:textId="77777777" w:rsidR="00EA051D" w:rsidRPr="00FF32B5" w:rsidRDefault="00EA051D" w:rsidP="00D70884">
            <w:pPr>
              <w:spacing w:after="60"/>
              <w:jc w:val="center"/>
              <w:rPr>
                <w:rFonts w:ascii="Times New Roman" w:hAnsi="Times New Roman" w:cs="Times New Roman"/>
                <w:b/>
                <w:color w:val="000000"/>
                <w:sz w:val="20"/>
                <w:szCs w:val="20"/>
              </w:rPr>
            </w:pPr>
            <w:r w:rsidRPr="00FF32B5">
              <w:rPr>
                <w:rFonts w:ascii="Times New Roman" w:hAnsi="Times New Roman" w:cs="Times New Roman"/>
                <w:b/>
                <w:color w:val="000000"/>
                <w:sz w:val="20"/>
                <w:szCs w:val="20"/>
              </w:rPr>
              <w:t>1 187 948</w:t>
            </w:r>
          </w:p>
        </w:tc>
        <w:tc>
          <w:tcPr>
            <w:tcW w:w="1134" w:type="dxa"/>
            <w:shd w:val="clear" w:color="auto" w:fill="FDEADA"/>
          </w:tcPr>
          <w:p w14:paraId="6DE6E9B2" w14:textId="77777777" w:rsidR="00EA051D" w:rsidRPr="00FF32B5" w:rsidRDefault="00EA051D" w:rsidP="00D70884">
            <w:pPr>
              <w:spacing w:after="60"/>
              <w:jc w:val="center"/>
              <w:rPr>
                <w:rFonts w:ascii="Times New Roman" w:hAnsi="Times New Roman" w:cs="Times New Roman"/>
                <w:b/>
                <w:color w:val="FF0000"/>
                <w:sz w:val="20"/>
                <w:szCs w:val="20"/>
              </w:rPr>
            </w:pPr>
            <w:r w:rsidRPr="00FF32B5">
              <w:rPr>
                <w:rFonts w:ascii="Times New Roman" w:hAnsi="Times New Roman" w:cs="Times New Roman"/>
                <w:b/>
                <w:color w:val="FF0000"/>
                <w:sz w:val="20"/>
                <w:szCs w:val="20"/>
              </w:rPr>
              <w:t>4 093 288</w:t>
            </w:r>
          </w:p>
        </w:tc>
        <w:tc>
          <w:tcPr>
            <w:tcW w:w="1134" w:type="dxa"/>
            <w:shd w:val="clear" w:color="auto" w:fill="FDEADA"/>
          </w:tcPr>
          <w:p w14:paraId="4EA04FB1" w14:textId="77777777" w:rsidR="00EA051D" w:rsidRPr="00FF32B5" w:rsidRDefault="00EA051D" w:rsidP="00D70884">
            <w:pPr>
              <w:spacing w:after="60"/>
              <w:ind w:left="-70" w:right="-104"/>
              <w:jc w:val="center"/>
              <w:rPr>
                <w:rFonts w:ascii="Times New Roman" w:hAnsi="Times New Roman" w:cs="Times New Roman"/>
                <w:b/>
                <w:color w:val="FF0000"/>
                <w:sz w:val="20"/>
                <w:szCs w:val="20"/>
              </w:rPr>
            </w:pPr>
            <w:r w:rsidRPr="00FF32B5">
              <w:rPr>
                <w:rFonts w:ascii="Times New Roman" w:hAnsi="Times New Roman" w:cs="Times New Roman"/>
                <w:b/>
                <w:color w:val="FF0000"/>
                <w:sz w:val="20"/>
                <w:szCs w:val="20"/>
              </w:rPr>
              <w:t>52 887 305</w:t>
            </w:r>
          </w:p>
        </w:tc>
      </w:tr>
    </w:tbl>
    <w:p w14:paraId="5AD37B17" w14:textId="77777777" w:rsidR="00EA051D" w:rsidRPr="00175DD0" w:rsidRDefault="00EA051D" w:rsidP="00EA051D">
      <w:pPr>
        <w:rPr>
          <w:rFonts w:cstheme="minorHAnsi"/>
        </w:rPr>
      </w:pPr>
      <w:r w:rsidRPr="00175DD0">
        <w:rPr>
          <w:rFonts w:cstheme="minorHAnsi"/>
        </w:rPr>
        <w:t xml:space="preserve"> </w:t>
      </w:r>
    </w:p>
    <w:p w14:paraId="134D7164" w14:textId="3A46BBD3" w:rsidR="00EA051D" w:rsidRDefault="00EA051D" w:rsidP="00E6603C">
      <w:pPr>
        <w:spacing w:after="0"/>
        <w:rPr>
          <w:rFonts w:ascii="Times New Roman" w:hAnsi="Times New Roman" w:cs="Times New Roman"/>
        </w:rPr>
      </w:pPr>
      <w:r w:rsidRPr="00FF32B5">
        <w:rPr>
          <w:rFonts w:ascii="Times New Roman" w:hAnsi="Times New Roman" w:cs="Times New Roman"/>
        </w:rPr>
        <w:t>Veidojot katrā pašvaldībā vienu notekūdeņu dūņu pārstrādes centru, kopējās ikgadējās Latvijas notekūdeņu dūņu pārstrādes izmaksas ir aprēķinātas aptuveni 4,1 milj. EUR gadā, savukārt kopējās nepieciešamās kapitālās investīcijas sistēmas izveidošanai ir aprēķinātas aptuveni 52,9 milj. EUR</w:t>
      </w:r>
    </w:p>
    <w:p w14:paraId="46A07248" w14:textId="77777777" w:rsidR="00E6603C" w:rsidRPr="009B595E" w:rsidRDefault="00E6603C" w:rsidP="00E6603C">
      <w:pPr>
        <w:spacing w:after="0"/>
        <w:rPr>
          <w:rFonts w:ascii="Times New Roman" w:hAnsi="Times New Roman" w:cs="Times New Roman"/>
          <w:color w:val="5B9BD5" w:themeColor="accent1"/>
        </w:rPr>
      </w:pPr>
    </w:p>
    <w:p w14:paraId="1D03B5EA" w14:textId="77777777" w:rsidR="00EA051D" w:rsidRPr="0033498C" w:rsidRDefault="00EA051D" w:rsidP="0033498C">
      <w:pPr>
        <w:jc w:val="center"/>
        <w:rPr>
          <w:rFonts w:ascii="Times New Roman" w:hAnsi="Times New Roman" w:cs="Times New Roman"/>
          <w:b/>
          <w:bCs/>
          <w:color w:val="5B9BD5" w:themeColor="accent1"/>
        </w:rPr>
      </w:pPr>
      <w:bookmarkStart w:id="113" w:name="_Toc82277647"/>
      <w:r w:rsidRPr="0033498C">
        <w:rPr>
          <w:rFonts w:ascii="Times New Roman" w:hAnsi="Times New Roman" w:cs="Times New Roman"/>
          <w:b/>
          <w:bCs/>
          <w:color w:val="5B9BD5" w:themeColor="accent1"/>
        </w:rPr>
        <w:t>D2. Alternatīva: Notekūdeņu dūņu pārstrāde 30 dūņu pārstrādes centros</w:t>
      </w:r>
      <w:bookmarkEnd w:id="113"/>
    </w:p>
    <w:p w14:paraId="6ACB650F" w14:textId="77777777" w:rsidR="00E6603C" w:rsidRDefault="00E6603C" w:rsidP="00E6603C">
      <w:pPr>
        <w:spacing w:after="0"/>
        <w:rPr>
          <w:rFonts w:cstheme="minorHAnsi"/>
        </w:rPr>
      </w:pPr>
    </w:p>
    <w:p w14:paraId="32668868" w14:textId="684AD4EB" w:rsidR="00EA051D" w:rsidRPr="00E6603C" w:rsidRDefault="00EA051D" w:rsidP="00E6603C">
      <w:pPr>
        <w:spacing w:after="0"/>
        <w:ind w:firstLine="720"/>
        <w:rPr>
          <w:rFonts w:ascii="Times New Roman" w:hAnsi="Times New Roman" w:cs="Times New Roman"/>
        </w:rPr>
      </w:pPr>
      <w:r w:rsidRPr="00E6603C">
        <w:rPr>
          <w:rFonts w:ascii="Times New Roman" w:hAnsi="Times New Roman" w:cs="Times New Roman"/>
        </w:rPr>
        <w:t xml:space="preserve">Izvērtējot 41 dūņu pārstrādes centru alternatīvu un tās aprēķinu rezultātus, ir konstatēts, ka 16 notekūdeņu dūņu pārstrādes centros slapju dūņu apjoms ir mazāks par 10 000 t gadā. Dūņu pārstrādes un utilizācijas izmaksas šādos mazos centros ir aprēķinātas 77,00 EUR t un vairāk (skat. pielikumu </w:t>
      </w:r>
      <w:r w:rsidR="0078125D" w:rsidRPr="0078125D">
        <w:rPr>
          <w:rFonts w:ascii="Times New Roman" w:hAnsi="Times New Roman" w:cs="Times New Roman"/>
        </w:rPr>
        <w:t>4.9. Finanšu aprēķini “3. Uzturēšanas izmaksas notekūdeņu dūņu pārstrādē”</w:t>
      </w:r>
      <w:r w:rsidRPr="00E6603C">
        <w:rPr>
          <w:rFonts w:ascii="Times New Roman" w:hAnsi="Times New Roman" w:cs="Times New Roman"/>
        </w:rPr>
        <w:t xml:space="preserve">), kas ir vērtējamas, kā ļoti augstas izmaksas un būtiski sadārdzinātu kanalizācijas pakalpojumu tarifu mazu kanalizācijas </w:t>
      </w:r>
      <w:r w:rsidR="00DF2640" w:rsidRPr="00E6603C">
        <w:rPr>
          <w:rFonts w:ascii="Times New Roman" w:hAnsi="Times New Roman" w:cs="Times New Roman"/>
        </w:rPr>
        <w:t>sistēmu</w:t>
      </w:r>
      <w:r w:rsidRPr="00E6603C">
        <w:rPr>
          <w:rFonts w:ascii="Times New Roman" w:hAnsi="Times New Roman" w:cs="Times New Roman"/>
        </w:rPr>
        <w:t xml:space="preserve"> gadījumā. Līdz ar to ir vērtēta iespēja par mazāko centru pievienošanu tuvākajam lielākajam centram, jo pārvedamais dūņu apjoms ir neliels, kā rezultātā arī transportēšanas izmaksu pieaugums ir mazāks salīdzinājumā ar uzturēšanas izmaksu ietaupījumu.</w:t>
      </w:r>
    </w:p>
    <w:p w14:paraId="228BD2AD" w14:textId="0A91F8C3" w:rsidR="00EA051D" w:rsidRPr="00E6603C" w:rsidRDefault="00EA051D" w:rsidP="00E6603C">
      <w:pPr>
        <w:spacing w:after="120"/>
        <w:ind w:firstLine="720"/>
        <w:rPr>
          <w:rFonts w:ascii="Times New Roman" w:hAnsi="Times New Roman" w:cs="Times New Roman"/>
        </w:rPr>
      </w:pPr>
      <w:r w:rsidRPr="00E6603C">
        <w:rPr>
          <w:rFonts w:ascii="Times New Roman" w:hAnsi="Times New Roman" w:cs="Times New Roman"/>
        </w:rPr>
        <w:t xml:space="preserve">Veicot aprēķinus </w:t>
      </w:r>
      <w:r w:rsidR="000A2AB7">
        <w:rPr>
          <w:rFonts w:ascii="Times New Roman" w:hAnsi="Times New Roman" w:cs="Times New Roman"/>
        </w:rPr>
        <w:t>i</w:t>
      </w:r>
      <w:r w:rsidRPr="00E6603C">
        <w:rPr>
          <w:rFonts w:ascii="Times New Roman" w:hAnsi="Times New Roman" w:cs="Times New Roman"/>
        </w:rPr>
        <w:t>r noteikta “vārtu maksu”, kas būtu jāmaksā mazākai pašvaldībai nododot savas apstrādātās dūņas pārstrādei un utilizācijai blakus esošā pašvaldības dūņu pārstrādes centrā. Mazo dūņu pārstrādes centru (līdz 10 000 m</w:t>
      </w:r>
      <w:r w:rsidRPr="00E6603C">
        <w:rPr>
          <w:rFonts w:ascii="Times New Roman" w:hAnsi="Times New Roman" w:cs="Times New Roman"/>
          <w:vertAlign w:val="superscript"/>
        </w:rPr>
        <w:t xml:space="preserve">3 </w:t>
      </w:r>
      <w:r w:rsidRPr="00E6603C">
        <w:rPr>
          <w:rFonts w:ascii="Times New Roman" w:hAnsi="Times New Roman" w:cs="Times New Roman"/>
        </w:rPr>
        <w:t>slapju dūņu (1% sausna) gadā) dūņu pā</w:t>
      </w:r>
      <w:r w:rsidR="000A2AB7">
        <w:rPr>
          <w:rFonts w:ascii="Times New Roman" w:hAnsi="Times New Roman" w:cs="Times New Roman"/>
        </w:rPr>
        <w:t>r</w:t>
      </w:r>
      <w:r w:rsidRPr="00E6603C">
        <w:rPr>
          <w:rFonts w:ascii="Times New Roman" w:hAnsi="Times New Roman" w:cs="Times New Roman"/>
        </w:rPr>
        <w:t xml:space="preserve">strādes izmaksas ir aprēķinātas 77,00 EUR par vienu tonnu mehāniski </w:t>
      </w:r>
      <w:r w:rsidRPr="00E6603C">
        <w:rPr>
          <w:rFonts w:ascii="Times New Roman" w:hAnsi="Times New Roman" w:cs="Times New Roman"/>
        </w:rPr>
        <w:lastRenderedPageBreak/>
        <w:t xml:space="preserve">atūdeņotu (18% sausna) dūņu. Kopumā ir novērota tendence - jo mazāks ir dūņu pārstrādes centrs, jo augstākas ir dūņu pārstrādes izmaksas tajā. Veicot aprēķinus ir konstatēts, ka minēto 16 mazo dūņu pārstrādes centru gadījumā, zemākas dūņu pārstrādes un utilizācijas izmaksas veidotos, ja dūņas pārved uz tuvāko lielāko dūņu pārstrādes centru 11 gadījumos </w:t>
      </w:r>
      <w:r w:rsidRPr="007D67FA">
        <w:rPr>
          <w:rFonts w:ascii="Times New Roman" w:hAnsi="Times New Roman" w:cs="Times New Roman"/>
        </w:rPr>
        <w:t xml:space="preserve">(skat. </w:t>
      </w:r>
      <w:r w:rsidR="007D67FA" w:rsidRPr="007D67FA">
        <w:rPr>
          <w:rFonts w:ascii="Times New Roman" w:hAnsi="Times New Roman" w:cs="Times New Roman"/>
        </w:rPr>
        <w:t>4.5.3</w:t>
      </w:r>
      <w:r w:rsidRPr="007D67FA">
        <w:rPr>
          <w:rFonts w:ascii="Times New Roman" w:hAnsi="Times New Roman" w:cs="Times New Roman"/>
        </w:rPr>
        <w:t>.tabulu).</w:t>
      </w:r>
      <w:r w:rsidRPr="00E6603C">
        <w:rPr>
          <w:rFonts w:ascii="Times New Roman" w:hAnsi="Times New Roman" w:cs="Times New Roman"/>
        </w:rPr>
        <w:t xml:space="preserve"> Rezultātā veidotos 30 dūņu pārstrādes centri visā Latvijā. Pārējo mazo dūņu pārstrādes centru gadījumā slapju dūņu daudzums gadā ir starp 9 000 – 10 000 m</w:t>
      </w:r>
      <w:r w:rsidRPr="00E6603C">
        <w:rPr>
          <w:rFonts w:ascii="Times New Roman" w:hAnsi="Times New Roman" w:cs="Times New Roman"/>
          <w:vertAlign w:val="superscript"/>
        </w:rPr>
        <w:t>3</w:t>
      </w:r>
      <w:r w:rsidRPr="00E6603C">
        <w:rPr>
          <w:rFonts w:ascii="Times New Roman" w:hAnsi="Times New Roman" w:cs="Times New Roman"/>
        </w:rPr>
        <w:t xml:space="preserve"> gadā, kā rezultātā pie “vārtu maksas” 77,00 EUR par vienu tonnu mehāniski atūdeņotu dūņu nodošanas pārstrādei un transportēšanas, izmaksas ir lielākas par sagaidāmo izmaksu ietaupījumu. </w:t>
      </w:r>
    </w:p>
    <w:p w14:paraId="691E08F8" w14:textId="29C645AF" w:rsidR="00EA051D" w:rsidRPr="00E6603C" w:rsidRDefault="00EA051D" w:rsidP="00E6603C">
      <w:pPr>
        <w:ind w:firstLine="720"/>
        <w:rPr>
          <w:rFonts w:ascii="Times New Roman" w:hAnsi="Times New Roman" w:cs="Times New Roman"/>
        </w:rPr>
      </w:pPr>
      <w:r w:rsidRPr="00E6603C">
        <w:rPr>
          <w:rFonts w:ascii="Times New Roman" w:hAnsi="Times New Roman" w:cs="Times New Roman"/>
        </w:rPr>
        <w:t xml:space="preserve">“Vārtu maksa” 77,00 EUR veidojas pie alternatīvu salīdzinājumā izvēlētajiem izmaksu pieņēmumiem un ir izmantojama, kā salīdzināma vērtība, nevis precīza prognozējamā maksa. Faktiskā vārtu maksa veidosies katrā dūņu pārstrādes centrā individuāli atšķirīga, ņemot vērā faktiskās infrastruktūras izbūves un uzturēšanas izmaksas </w:t>
      </w:r>
      <w:r w:rsidRPr="00103F80">
        <w:rPr>
          <w:rFonts w:ascii="Times New Roman" w:hAnsi="Times New Roman" w:cs="Times New Roman"/>
        </w:rPr>
        <w:t>un faktisko dūņu apjomu. Notekūdeņu dūņu pārstrādes centru ģeogrāfisko izvietojumu skatīt 4.</w:t>
      </w:r>
      <w:r w:rsidR="00E2018E">
        <w:rPr>
          <w:rFonts w:ascii="Times New Roman" w:hAnsi="Times New Roman" w:cs="Times New Roman"/>
        </w:rPr>
        <w:t>5</w:t>
      </w:r>
      <w:r w:rsidR="00103F80" w:rsidRPr="00103F80">
        <w:rPr>
          <w:rFonts w:ascii="Times New Roman" w:hAnsi="Times New Roman" w:cs="Times New Roman"/>
        </w:rPr>
        <w:t>.2</w:t>
      </w:r>
      <w:r w:rsidRPr="00103F80">
        <w:rPr>
          <w:rFonts w:ascii="Times New Roman" w:hAnsi="Times New Roman" w:cs="Times New Roman"/>
        </w:rPr>
        <w:t>.attēlā “30</w:t>
      </w:r>
      <w:r w:rsidRPr="00E6603C">
        <w:rPr>
          <w:rFonts w:ascii="Times New Roman" w:hAnsi="Times New Roman" w:cs="Times New Roman"/>
        </w:rPr>
        <w:t xml:space="preserve"> notekūdeņu dūņu pārstrādes centru izvietojums Latvijā” </w:t>
      </w:r>
    </w:p>
    <w:p w14:paraId="2E169E81" w14:textId="1F414FC0" w:rsidR="00156901" w:rsidRPr="00156901" w:rsidRDefault="00847E8E" w:rsidP="00156901">
      <w:pPr>
        <w:pBdr>
          <w:top w:val="nil"/>
          <w:left w:val="nil"/>
          <w:bottom w:val="nil"/>
          <w:right w:val="nil"/>
          <w:between w:val="nil"/>
        </w:pBdr>
        <w:suppressAutoHyphens/>
        <w:autoSpaceDN w:val="0"/>
        <w:spacing w:after="0"/>
        <w:jc w:val="right"/>
        <w:textAlignment w:val="baseline"/>
        <w:rPr>
          <w:rFonts w:ascii="Times New Roman" w:hAnsi="Times New Roman" w:cs="Times New Roman"/>
        </w:rPr>
      </w:pPr>
      <w:r>
        <w:rPr>
          <w:rFonts w:ascii="Times New Roman" w:hAnsi="Times New Roman" w:cs="Times New Roman"/>
        </w:rPr>
        <w:t>4.5.4.</w:t>
      </w:r>
      <w:r w:rsidR="00EA051D" w:rsidRPr="00156901">
        <w:rPr>
          <w:rFonts w:ascii="Times New Roman" w:hAnsi="Times New Roman" w:cs="Times New Roman"/>
        </w:rPr>
        <w:t>tabula</w:t>
      </w:r>
    </w:p>
    <w:p w14:paraId="404AEEEE" w14:textId="4EA3170E" w:rsidR="00EA051D" w:rsidRPr="00156901" w:rsidRDefault="00EA051D" w:rsidP="00156901">
      <w:pPr>
        <w:pBdr>
          <w:top w:val="nil"/>
          <w:left w:val="nil"/>
          <w:bottom w:val="nil"/>
          <w:right w:val="nil"/>
          <w:between w:val="nil"/>
        </w:pBdr>
        <w:suppressAutoHyphens/>
        <w:autoSpaceDN w:val="0"/>
        <w:spacing w:after="0"/>
        <w:jc w:val="center"/>
        <w:textAlignment w:val="baseline"/>
        <w:rPr>
          <w:rFonts w:ascii="Times New Roman" w:hAnsi="Times New Roman" w:cs="Times New Roman"/>
          <w:b/>
          <w:bCs/>
        </w:rPr>
      </w:pPr>
      <w:r w:rsidRPr="00156901">
        <w:rPr>
          <w:rFonts w:ascii="Times New Roman" w:hAnsi="Times New Roman" w:cs="Times New Roman"/>
          <w:b/>
          <w:bCs/>
        </w:rPr>
        <w:t xml:space="preserve">Dūņu pārstrādes centri, kuros ir ekonomiski pamatoti organizēt dūņu pārvešana uz lieliem dūņu apstrādes centriem (aprēķinus skatīt pielikumā </w:t>
      </w:r>
      <w:r w:rsidR="0078125D" w:rsidRPr="0078125D">
        <w:rPr>
          <w:rFonts w:ascii="Times New Roman" w:hAnsi="Times New Roman" w:cs="Times New Roman"/>
          <w:b/>
          <w:bCs/>
        </w:rPr>
        <w:t>4.9. Finanšu aprēķini “3.</w:t>
      </w:r>
      <w:r w:rsidR="0078125D">
        <w:rPr>
          <w:rFonts w:ascii="Times New Roman" w:hAnsi="Times New Roman" w:cs="Times New Roman"/>
          <w:b/>
          <w:bCs/>
        </w:rPr>
        <w:t> </w:t>
      </w:r>
      <w:r w:rsidR="0078125D" w:rsidRPr="0078125D">
        <w:rPr>
          <w:rFonts w:ascii="Times New Roman" w:hAnsi="Times New Roman" w:cs="Times New Roman"/>
          <w:b/>
          <w:bCs/>
        </w:rPr>
        <w:t>Uzturēšanas izmaksas notekūdeņu dūņu pārstrādē”</w:t>
      </w:r>
      <w:r w:rsidRPr="00156901">
        <w:rPr>
          <w:rFonts w:ascii="Times New Roman" w:hAnsi="Times New Roman" w:cs="Times New Roman"/>
          <w:b/>
          <w:bCs/>
        </w:rPr>
        <w:t>)</w:t>
      </w:r>
    </w:p>
    <w:tbl>
      <w:tblPr>
        <w:tblStyle w:val="27"/>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276"/>
        <w:gridCol w:w="1701"/>
        <w:gridCol w:w="1843"/>
        <w:gridCol w:w="1134"/>
        <w:gridCol w:w="1559"/>
      </w:tblGrid>
      <w:tr w:rsidR="00EA051D" w:rsidRPr="00156901" w14:paraId="37D74DF0" w14:textId="77777777" w:rsidTr="00156901">
        <w:trPr>
          <w:trHeight w:val="1152"/>
        </w:trPr>
        <w:tc>
          <w:tcPr>
            <w:tcW w:w="1271" w:type="dxa"/>
            <w:vMerge w:val="restart"/>
            <w:vAlign w:val="center"/>
          </w:tcPr>
          <w:p w14:paraId="15BCFC53"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Reģiona dūņu centralizācijas vieta</w:t>
            </w:r>
          </w:p>
        </w:tc>
        <w:tc>
          <w:tcPr>
            <w:tcW w:w="1276" w:type="dxa"/>
            <w:vMerge w:val="restart"/>
            <w:vAlign w:val="center"/>
          </w:tcPr>
          <w:p w14:paraId="0E28CA28"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Slapjo dūņu apjoms (1%) t/g</w:t>
            </w:r>
          </w:p>
        </w:tc>
        <w:tc>
          <w:tcPr>
            <w:tcW w:w="1701" w:type="dxa"/>
            <w:vMerge w:val="restart"/>
            <w:vAlign w:val="center"/>
          </w:tcPr>
          <w:p w14:paraId="4DE01761"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Papildus ievesto slapjo dūņu (1%) apjoma ekvivalents novada centrā t/gadā</w:t>
            </w:r>
          </w:p>
        </w:tc>
        <w:tc>
          <w:tcPr>
            <w:tcW w:w="1843" w:type="dxa"/>
            <w:vMerge w:val="restart"/>
            <w:vAlign w:val="center"/>
          </w:tcPr>
          <w:p w14:paraId="28EDBC95"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Kopējais pa novadiem centralizējamais slapju dūņu daudzums novada centrā t/gadā</w:t>
            </w:r>
          </w:p>
        </w:tc>
        <w:tc>
          <w:tcPr>
            <w:tcW w:w="1134" w:type="dxa"/>
            <w:vMerge w:val="restart"/>
            <w:vAlign w:val="center"/>
          </w:tcPr>
          <w:p w14:paraId="43685986"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Tuvākā dūņu pārstrādes vieta</w:t>
            </w:r>
          </w:p>
        </w:tc>
        <w:tc>
          <w:tcPr>
            <w:tcW w:w="1559" w:type="dxa"/>
            <w:vMerge w:val="restart"/>
            <w:vAlign w:val="center"/>
          </w:tcPr>
          <w:p w14:paraId="153F48C4"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Attālums līdz tuvākai dūņu apstrādes vietai km (aplis)</w:t>
            </w:r>
          </w:p>
        </w:tc>
      </w:tr>
      <w:tr w:rsidR="00EA051D" w:rsidRPr="00156901" w14:paraId="6CBC991E" w14:textId="77777777" w:rsidTr="00156901">
        <w:trPr>
          <w:trHeight w:val="509"/>
        </w:trPr>
        <w:tc>
          <w:tcPr>
            <w:tcW w:w="1271" w:type="dxa"/>
            <w:vMerge/>
          </w:tcPr>
          <w:p w14:paraId="59D5B5A5"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6" w:type="dxa"/>
            <w:vMerge/>
          </w:tcPr>
          <w:p w14:paraId="76A66363"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tcPr>
          <w:p w14:paraId="683FD51C"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843" w:type="dxa"/>
            <w:vMerge/>
          </w:tcPr>
          <w:p w14:paraId="73DF6EA8"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134" w:type="dxa"/>
            <w:vMerge/>
          </w:tcPr>
          <w:p w14:paraId="5DA51AEA"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559" w:type="dxa"/>
            <w:vMerge/>
          </w:tcPr>
          <w:p w14:paraId="220674D3"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156901" w14:paraId="7D58C31B" w14:textId="77777777" w:rsidTr="00156901">
        <w:trPr>
          <w:trHeight w:val="312"/>
        </w:trPr>
        <w:tc>
          <w:tcPr>
            <w:tcW w:w="1271" w:type="dxa"/>
          </w:tcPr>
          <w:p w14:paraId="1A4B0544"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Aizputes NAI</w:t>
            </w:r>
          </w:p>
        </w:tc>
        <w:tc>
          <w:tcPr>
            <w:tcW w:w="1276" w:type="dxa"/>
            <w:vAlign w:val="center"/>
          </w:tcPr>
          <w:p w14:paraId="4B15D4CC"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2 411</w:t>
            </w:r>
          </w:p>
        </w:tc>
        <w:tc>
          <w:tcPr>
            <w:tcW w:w="1701" w:type="dxa"/>
            <w:vAlign w:val="center"/>
          </w:tcPr>
          <w:p w14:paraId="1F9180C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958</w:t>
            </w:r>
          </w:p>
        </w:tc>
        <w:tc>
          <w:tcPr>
            <w:tcW w:w="1843" w:type="dxa"/>
            <w:vAlign w:val="center"/>
          </w:tcPr>
          <w:p w14:paraId="2C0751D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3 369</w:t>
            </w:r>
          </w:p>
        </w:tc>
        <w:tc>
          <w:tcPr>
            <w:tcW w:w="1134" w:type="dxa"/>
            <w:vAlign w:val="bottom"/>
          </w:tcPr>
          <w:p w14:paraId="2FDBEB11"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Liepāja</w:t>
            </w:r>
          </w:p>
        </w:tc>
        <w:tc>
          <w:tcPr>
            <w:tcW w:w="1559" w:type="dxa"/>
            <w:vAlign w:val="bottom"/>
          </w:tcPr>
          <w:p w14:paraId="22D5C0F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110</w:t>
            </w:r>
          </w:p>
        </w:tc>
      </w:tr>
      <w:tr w:rsidR="00EA051D" w:rsidRPr="00156901" w14:paraId="53E8D5C3" w14:textId="77777777" w:rsidTr="00156901">
        <w:trPr>
          <w:trHeight w:val="312"/>
        </w:trPr>
        <w:tc>
          <w:tcPr>
            <w:tcW w:w="1271" w:type="dxa"/>
          </w:tcPr>
          <w:p w14:paraId="5141DAEB"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Balvu NAI</w:t>
            </w:r>
          </w:p>
        </w:tc>
        <w:tc>
          <w:tcPr>
            <w:tcW w:w="1276" w:type="dxa"/>
            <w:vAlign w:val="center"/>
          </w:tcPr>
          <w:p w14:paraId="667849C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930</w:t>
            </w:r>
          </w:p>
        </w:tc>
        <w:tc>
          <w:tcPr>
            <w:tcW w:w="1701" w:type="dxa"/>
            <w:vAlign w:val="center"/>
          </w:tcPr>
          <w:p w14:paraId="2FB434E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843" w:type="dxa"/>
            <w:vAlign w:val="center"/>
          </w:tcPr>
          <w:p w14:paraId="2F5E96A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930</w:t>
            </w:r>
          </w:p>
        </w:tc>
        <w:tc>
          <w:tcPr>
            <w:tcW w:w="1134" w:type="dxa"/>
            <w:vAlign w:val="bottom"/>
          </w:tcPr>
          <w:p w14:paraId="5AC64D7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Alūksne</w:t>
            </w:r>
          </w:p>
        </w:tc>
        <w:tc>
          <w:tcPr>
            <w:tcW w:w="1559" w:type="dxa"/>
            <w:vAlign w:val="bottom"/>
          </w:tcPr>
          <w:p w14:paraId="0497F04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90</w:t>
            </w:r>
          </w:p>
        </w:tc>
      </w:tr>
      <w:tr w:rsidR="00EA051D" w:rsidRPr="00156901" w14:paraId="6393AA6F" w14:textId="77777777" w:rsidTr="00156901">
        <w:trPr>
          <w:trHeight w:val="312"/>
        </w:trPr>
        <w:tc>
          <w:tcPr>
            <w:tcW w:w="1271" w:type="dxa"/>
          </w:tcPr>
          <w:p w14:paraId="265D861D"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Gulbenes NAI</w:t>
            </w:r>
          </w:p>
        </w:tc>
        <w:tc>
          <w:tcPr>
            <w:tcW w:w="1276" w:type="dxa"/>
            <w:vAlign w:val="center"/>
          </w:tcPr>
          <w:p w14:paraId="6CEECC11"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4 330</w:t>
            </w:r>
          </w:p>
        </w:tc>
        <w:tc>
          <w:tcPr>
            <w:tcW w:w="1701" w:type="dxa"/>
            <w:vAlign w:val="center"/>
          </w:tcPr>
          <w:p w14:paraId="2017979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467</w:t>
            </w:r>
          </w:p>
        </w:tc>
        <w:tc>
          <w:tcPr>
            <w:tcW w:w="1843" w:type="dxa"/>
            <w:vAlign w:val="center"/>
          </w:tcPr>
          <w:p w14:paraId="441F7FF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4 797</w:t>
            </w:r>
          </w:p>
        </w:tc>
        <w:tc>
          <w:tcPr>
            <w:tcW w:w="1134" w:type="dxa"/>
            <w:vAlign w:val="bottom"/>
          </w:tcPr>
          <w:p w14:paraId="077C966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Alūksne</w:t>
            </w:r>
          </w:p>
        </w:tc>
        <w:tc>
          <w:tcPr>
            <w:tcW w:w="1559" w:type="dxa"/>
            <w:vAlign w:val="bottom"/>
          </w:tcPr>
          <w:p w14:paraId="51A289F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90</w:t>
            </w:r>
          </w:p>
        </w:tc>
      </w:tr>
      <w:tr w:rsidR="00EA051D" w:rsidRPr="00156901" w14:paraId="08A57E50" w14:textId="77777777" w:rsidTr="00156901">
        <w:trPr>
          <w:trHeight w:val="312"/>
        </w:trPr>
        <w:tc>
          <w:tcPr>
            <w:tcW w:w="1271" w:type="dxa"/>
          </w:tcPr>
          <w:p w14:paraId="32FE5F22"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Ilūkstes NAI</w:t>
            </w:r>
          </w:p>
        </w:tc>
        <w:tc>
          <w:tcPr>
            <w:tcW w:w="1276" w:type="dxa"/>
            <w:vAlign w:val="center"/>
          </w:tcPr>
          <w:p w14:paraId="63946A0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1 940</w:t>
            </w:r>
          </w:p>
        </w:tc>
        <w:tc>
          <w:tcPr>
            <w:tcW w:w="1701" w:type="dxa"/>
            <w:vAlign w:val="center"/>
          </w:tcPr>
          <w:p w14:paraId="4FB45DB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781</w:t>
            </w:r>
          </w:p>
        </w:tc>
        <w:tc>
          <w:tcPr>
            <w:tcW w:w="1843" w:type="dxa"/>
            <w:vAlign w:val="center"/>
          </w:tcPr>
          <w:p w14:paraId="557D1BA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2 721</w:t>
            </w:r>
          </w:p>
        </w:tc>
        <w:tc>
          <w:tcPr>
            <w:tcW w:w="1134" w:type="dxa"/>
            <w:vAlign w:val="bottom"/>
          </w:tcPr>
          <w:p w14:paraId="3B9A1F5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Daugavpils</w:t>
            </w:r>
          </w:p>
        </w:tc>
        <w:tc>
          <w:tcPr>
            <w:tcW w:w="1559" w:type="dxa"/>
            <w:vAlign w:val="bottom"/>
          </w:tcPr>
          <w:p w14:paraId="22B158B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60</w:t>
            </w:r>
          </w:p>
        </w:tc>
      </w:tr>
      <w:tr w:rsidR="00EA051D" w:rsidRPr="00156901" w14:paraId="3F04748A" w14:textId="77777777" w:rsidTr="00156901">
        <w:trPr>
          <w:trHeight w:val="312"/>
        </w:trPr>
        <w:tc>
          <w:tcPr>
            <w:tcW w:w="1271" w:type="dxa"/>
          </w:tcPr>
          <w:p w14:paraId="4FEB7304"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Ludzas NAI</w:t>
            </w:r>
          </w:p>
        </w:tc>
        <w:tc>
          <w:tcPr>
            <w:tcW w:w="1276" w:type="dxa"/>
            <w:vAlign w:val="center"/>
          </w:tcPr>
          <w:p w14:paraId="16A843E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5 764</w:t>
            </w:r>
          </w:p>
        </w:tc>
        <w:tc>
          <w:tcPr>
            <w:tcW w:w="1701" w:type="dxa"/>
            <w:vAlign w:val="center"/>
          </w:tcPr>
          <w:p w14:paraId="5041105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438</w:t>
            </w:r>
          </w:p>
        </w:tc>
        <w:tc>
          <w:tcPr>
            <w:tcW w:w="1843" w:type="dxa"/>
            <w:vAlign w:val="center"/>
          </w:tcPr>
          <w:p w14:paraId="6B1DA2C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6 202</w:t>
            </w:r>
          </w:p>
        </w:tc>
        <w:tc>
          <w:tcPr>
            <w:tcW w:w="1134" w:type="dxa"/>
            <w:vAlign w:val="center"/>
          </w:tcPr>
          <w:p w14:paraId="6AFA110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Rēzekne</w:t>
            </w:r>
          </w:p>
        </w:tc>
        <w:tc>
          <w:tcPr>
            <w:tcW w:w="1559" w:type="dxa"/>
            <w:vAlign w:val="center"/>
          </w:tcPr>
          <w:p w14:paraId="166BC22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60</w:t>
            </w:r>
          </w:p>
        </w:tc>
      </w:tr>
      <w:tr w:rsidR="00EA051D" w:rsidRPr="00156901" w14:paraId="75225C22" w14:textId="77777777" w:rsidTr="00156901">
        <w:trPr>
          <w:trHeight w:val="312"/>
        </w:trPr>
        <w:tc>
          <w:tcPr>
            <w:tcW w:w="1271" w:type="dxa"/>
          </w:tcPr>
          <w:p w14:paraId="28F79D36"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Ozolnieku NAI</w:t>
            </w:r>
          </w:p>
        </w:tc>
        <w:tc>
          <w:tcPr>
            <w:tcW w:w="1276" w:type="dxa"/>
            <w:vAlign w:val="center"/>
          </w:tcPr>
          <w:p w14:paraId="3E56FA9B"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1 523</w:t>
            </w:r>
          </w:p>
        </w:tc>
        <w:tc>
          <w:tcPr>
            <w:tcW w:w="1701" w:type="dxa"/>
            <w:vAlign w:val="center"/>
          </w:tcPr>
          <w:p w14:paraId="29D8EBEB"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900</w:t>
            </w:r>
          </w:p>
        </w:tc>
        <w:tc>
          <w:tcPr>
            <w:tcW w:w="1843" w:type="dxa"/>
            <w:vAlign w:val="center"/>
          </w:tcPr>
          <w:p w14:paraId="01DF678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2 423</w:t>
            </w:r>
          </w:p>
        </w:tc>
        <w:tc>
          <w:tcPr>
            <w:tcW w:w="1134" w:type="dxa"/>
            <w:vAlign w:val="center"/>
          </w:tcPr>
          <w:p w14:paraId="7293284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Jelgava</w:t>
            </w:r>
          </w:p>
        </w:tc>
        <w:tc>
          <w:tcPr>
            <w:tcW w:w="1559" w:type="dxa"/>
            <w:vAlign w:val="center"/>
          </w:tcPr>
          <w:p w14:paraId="127D89F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50</w:t>
            </w:r>
          </w:p>
        </w:tc>
      </w:tr>
      <w:tr w:rsidR="00EA051D" w:rsidRPr="00156901" w14:paraId="44303A7B" w14:textId="77777777" w:rsidTr="00156901">
        <w:trPr>
          <w:trHeight w:val="312"/>
        </w:trPr>
        <w:tc>
          <w:tcPr>
            <w:tcW w:w="1271" w:type="dxa"/>
          </w:tcPr>
          <w:p w14:paraId="42358647"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Piņķu NAI</w:t>
            </w:r>
          </w:p>
        </w:tc>
        <w:tc>
          <w:tcPr>
            <w:tcW w:w="1276" w:type="dxa"/>
            <w:vAlign w:val="center"/>
          </w:tcPr>
          <w:p w14:paraId="1A6D2A70"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7 947</w:t>
            </w:r>
          </w:p>
        </w:tc>
        <w:tc>
          <w:tcPr>
            <w:tcW w:w="1701" w:type="dxa"/>
            <w:vAlign w:val="center"/>
          </w:tcPr>
          <w:p w14:paraId="6901B99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89</w:t>
            </w:r>
          </w:p>
        </w:tc>
        <w:tc>
          <w:tcPr>
            <w:tcW w:w="1843" w:type="dxa"/>
            <w:vAlign w:val="center"/>
          </w:tcPr>
          <w:p w14:paraId="0239CAD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8 036</w:t>
            </w:r>
          </w:p>
        </w:tc>
        <w:tc>
          <w:tcPr>
            <w:tcW w:w="1134" w:type="dxa"/>
            <w:vAlign w:val="center"/>
          </w:tcPr>
          <w:p w14:paraId="7E26A28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Olaine</w:t>
            </w:r>
          </w:p>
        </w:tc>
        <w:tc>
          <w:tcPr>
            <w:tcW w:w="1559" w:type="dxa"/>
            <w:vAlign w:val="center"/>
          </w:tcPr>
          <w:p w14:paraId="2B35A60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60</w:t>
            </w:r>
          </w:p>
        </w:tc>
      </w:tr>
      <w:tr w:rsidR="00EA051D" w:rsidRPr="00156901" w14:paraId="0A2A8C77" w14:textId="77777777" w:rsidTr="00156901">
        <w:trPr>
          <w:trHeight w:val="312"/>
        </w:trPr>
        <w:tc>
          <w:tcPr>
            <w:tcW w:w="1271" w:type="dxa"/>
          </w:tcPr>
          <w:p w14:paraId="094060E5"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Smiltenes NAI</w:t>
            </w:r>
          </w:p>
        </w:tc>
        <w:tc>
          <w:tcPr>
            <w:tcW w:w="1276" w:type="dxa"/>
            <w:vAlign w:val="center"/>
          </w:tcPr>
          <w:p w14:paraId="05D1ED5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6 400</w:t>
            </w:r>
          </w:p>
        </w:tc>
        <w:tc>
          <w:tcPr>
            <w:tcW w:w="1701" w:type="dxa"/>
            <w:vAlign w:val="center"/>
          </w:tcPr>
          <w:p w14:paraId="618BB6C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1 060</w:t>
            </w:r>
          </w:p>
        </w:tc>
        <w:tc>
          <w:tcPr>
            <w:tcW w:w="1843" w:type="dxa"/>
            <w:vAlign w:val="center"/>
          </w:tcPr>
          <w:p w14:paraId="47F0517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7 460</w:t>
            </w:r>
          </w:p>
        </w:tc>
        <w:tc>
          <w:tcPr>
            <w:tcW w:w="1134" w:type="dxa"/>
            <w:vAlign w:val="bottom"/>
          </w:tcPr>
          <w:p w14:paraId="6971A27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Valmiera</w:t>
            </w:r>
          </w:p>
        </w:tc>
        <w:tc>
          <w:tcPr>
            <w:tcW w:w="1559" w:type="dxa"/>
            <w:vAlign w:val="bottom"/>
          </w:tcPr>
          <w:p w14:paraId="4772621B"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70</w:t>
            </w:r>
          </w:p>
        </w:tc>
      </w:tr>
      <w:tr w:rsidR="00EA051D" w:rsidRPr="00156901" w14:paraId="35D635A8" w14:textId="77777777" w:rsidTr="00156901">
        <w:trPr>
          <w:trHeight w:val="312"/>
        </w:trPr>
        <w:tc>
          <w:tcPr>
            <w:tcW w:w="1271" w:type="dxa"/>
          </w:tcPr>
          <w:p w14:paraId="1D5B5EDD"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Ugāles NAI</w:t>
            </w:r>
          </w:p>
        </w:tc>
        <w:tc>
          <w:tcPr>
            <w:tcW w:w="1276" w:type="dxa"/>
            <w:vAlign w:val="center"/>
          </w:tcPr>
          <w:p w14:paraId="55530F8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406</w:t>
            </w:r>
          </w:p>
        </w:tc>
        <w:tc>
          <w:tcPr>
            <w:tcW w:w="1701" w:type="dxa"/>
            <w:vAlign w:val="center"/>
          </w:tcPr>
          <w:p w14:paraId="6E86FC8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843" w:type="dxa"/>
            <w:vAlign w:val="center"/>
          </w:tcPr>
          <w:p w14:paraId="4B922B5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406</w:t>
            </w:r>
          </w:p>
        </w:tc>
        <w:tc>
          <w:tcPr>
            <w:tcW w:w="1134" w:type="dxa"/>
            <w:vAlign w:val="bottom"/>
          </w:tcPr>
          <w:p w14:paraId="4194BAD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Ventspils</w:t>
            </w:r>
          </w:p>
        </w:tc>
        <w:tc>
          <w:tcPr>
            <w:tcW w:w="1559" w:type="dxa"/>
            <w:vAlign w:val="bottom"/>
          </w:tcPr>
          <w:p w14:paraId="01D0799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80</w:t>
            </w:r>
          </w:p>
        </w:tc>
      </w:tr>
      <w:tr w:rsidR="00EA051D" w:rsidRPr="00156901" w14:paraId="0494CEDE" w14:textId="77777777" w:rsidTr="00156901">
        <w:trPr>
          <w:trHeight w:val="312"/>
        </w:trPr>
        <w:tc>
          <w:tcPr>
            <w:tcW w:w="1271" w:type="dxa"/>
          </w:tcPr>
          <w:p w14:paraId="75D53BA8"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Valkas NAI</w:t>
            </w:r>
          </w:p>
        </w:tc>
        <w:tc>
          <w:tcPr>
            <w:tcW w:w="1276" w:type="dxa"/>
            <w:vAlign w:val="center"/>
          </w:tcPr>
          <w:p w14:paraId="105E93C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6 500</w:t>
            </w:r>
          </w:p>
        </w:tc>
        <w:tc>
          <w:tcPr>
            <w:tcW w:w="1701" w:type="dxa"/>
            <w:vAlign w:val="center"/>
          </w:tcPr>
          <w:p w14:paraId="1757AA3C"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843" w:type="dxa"/>
            <w:vAlign w:val="center"/>
          </w:tcPr>
          <w:p w14:paraId="192A861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6 500</w:t>
            </w:r>
          </w:p>
        </w:tc>
        <w:tc>
          <w:tcPr>
            <w:tcW w:w="1134" w:type="dxa"/>
            <w:vAlign w:val="bottom"/>
          </w:tcPr>
          <w:p w14:paraId="0F6695A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Valmiera</w:t>
            </w:r>
          </w:p>
        </w:tc>
        <w:tc>
          <w:tcPr>
            <w:tcW w:w="1559" w:type="dxa"/>
            <w:vAlign w:val="bottom"/>
          </w:tcPr>
          <w:p w14:paraId="6D878F6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100</w:t>
            </w:r>
          </w:p>
        </w:tc>
      </w:tr>
      <w:tr w:rsidR="00EA051D" w:rsidRPr="00156901" w14:paraId="63C15972" w14:textId="77777777" w:rsidTr="00156901">
        <w:trPr>
          <w:trHeight w:val="324"/>
        </w:trPr>
        <w:tc>
          <w:tcPr>
            <w:tcW w:w="1271" w:type="dxa"/>
          </w:tcPr>
          <w:p w14:paraId="5BD0BE8A"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sz w:val="18"/>
                <w:szCs w:val="18"/>
              </w:rPr>
              <w:t>Varakļānu NAI</w:t>
            </w:r>
          </w:p>
        </w:tc>
        <w:tc>
          <w:tcPr>
            <w:tcW w:w="1276" w:type="dxa"/>
            <w:vAlign w:val="center"/>
          </w:tcPr>
          <w:p w14:paraId="722A8E3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910</w:t>
            </w:r>
          </w:p>
        </w:tc>
        <w:tc>
          <w:tcPr>
            <w:tcW w:w="1701" w:type="dxa"/>
            <w:vAlign w:val="center"/>
          </w:tcPr>
          <w:p w14:paraId="659DFAB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26</w:t>
            </w:r>
          </w:p>
        </w:tc>
        <w:tc>
          <w:tcPr>
            <w:tcW w:w="1843" w:type="dxa"/>
            <w:vAlign w:val="center"/>
          </w:tcPr>
          <w:p w14:paraId="78A9181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936</w:t>
            </w:r>
          </w:p>
        </w:tc>
        <w:tc>
          <w:tcPr>
            <w:tcW w:w="1134" w:type="dxa"/>
            <w:vAlign w:val="bottom"/>
          </w:tcPr>
          <w:p w14:paraId="0A0F59F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Rēzekne</w:t>
            </w:r>
          </w:p>
        </w:tc>
        <w:tc>
          <w:tcPr>
            <w:tcW w:w="1559" w:type="dxa"/>
            <w:vAlign w:val="bottom"/>
          </w:tcPr>
          <w:p w14:paraId="09FA55FC"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80</w:t>
            </w:r>
          </w:p>
        </w:tc>
      </w:tr>
    </w:tbl>
    <w:p w14:paraId="0B914D66" w14:textId="77777777" w:rsidR="00EA051D" w:rsidRPr="00175DD0" w:rsidRDefault="00EA051D" w:rsidP="00EA051D">
      <w:pPr>
        <w:spacing w:after="60"/>
        <w:rPr>
          <w:rFonts w:cstheme="minorHAnsi"/>
        </w:rPr>
      </w:pPr>
    </w:p>
    <w:p w14:paraId="6052F381" w14:textId="77777777" w:rsidR="00EA051D" w:rsidRPr="00156901" w:rsidRDefault="00EA051D" w:rsidP="00156901">
      <w:pPr>
        <w:ind w:firstLine="720"/>
        <w:rPr>
          <w:rFonts w:ascii="Times New Roman" w:hAnsi="Times New Roman" w:cs="Times New Roman"/>
        </w:rPr>
      </w:pPr>
      <w:r w:rsidRPr="00156901">
        <w:rPr>
          <w:rFonts w:ascii="Times New Roman" w:hAnsi="Times New Roman" w:cs="Times New Roman"/>
        </w:rPr>
        <w:t xml:space="preserve">Jāņem vērā, ka alternatīvas gadījumā tiek pieņemts, ka pašvaldību ietvaros visas notekūdeņu dūņas joprojām tiek centralizētas pašvaldības lielākajās NAI, no kurienes tās tiek </w:t>
      </w:r>
      <w:r w:rsidRPr="00156901">
        <w:rPr>
          <w:rFonts w:ascii="Times New Roman" w:hAnsi="Times New Roman" w:cs="Times New Roman"/>
        </w:rPr>
        <w:lastRenderedPageBreak/>
        <w:t xml:space="preserve">nogādātās dūņu pārstrādei tuvāk esošajā citas pašvaldības novada dūņu pārstrādes centrā. Mazāko pašvaldību centrā savākto apstrādāto dūņu apjoms tiek transportēts uz dūņu pārstrādes centru, līdzko dūņu pārvadāšanas transports ir piepildīts, neatkarīgi no tā, cik braucienu veidojas viena gada laikā. </w:t>
      </w:r>
    </w:p>
    <w:p w14:paraId="69549791" w14:textId="77777777" w:rsidR="00EA051D" w:rsidRPr="00175DD0" w:rsidRDefault="00EA051D" w:rsidP="00EA051D">
      <w:pPr>
        <w:spacing w:after="120"/>
        <w:rPr>
          <w:rFonts w:cstheme="minorHAnsi"/>
        </w:rPr>
        <w:sectPr w:rsidR="00EA051D" w:rsidRPr="00175DD0" w:rsidSect="007E349D">
          <w:pgSz w:w="12240" w:h="15840"/>
          <w:pgMar w:top="1134" w:right="1701" w:bottom="1134" w:left="1701" w:header="720" w:footer="720" w:gutter="0"/>
          <w:cols w:space="720"/>
        </w:sectPr>
      </w:pPr>
    </w:p>
    <w:p w14:paraId="6D47919B" w14:textId="77777777" w:rsidR="00EA051D" w:rsidRPr="00175DD0" w:rsidRDefault="00EA051D" w:rsidP="00EA051D">
      <w:pPr>
        <w:jc w:val="center"/>
        <w:rPr>
          <w:rFonts w:cstheme="minorHAnsi"/>
        </w:rPr>
      </w:pPr>
      <w:r w:rsidRPr="00175DD0">
        <w:rPr>
          <w:rFonts w:cstheme="minorHAnsi"/>
          <w:noProof/>
          <w:lang w:eastAsia="lv-LV"/>
        </w:rPr>
        <w:lastRenderedPageBreak/>
        <w:drawing>
          <wp:inline distT="0" distB="0" distL="0" distR="0" wp14:anchorId="6CE5918F" wp14:editId="3E0E037A">
            <wp:extent cx="7526867" cy="5327466"/>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7551205" cy="5344692"/>
                    </a:xfrm>
                    <a:prstGeom prst="rect">
                      <a:avLst/>
                    </a:prstGeom>
                    <a:noFill/>
                    <a:ln>
                      <a:noFill/>
                    </a:ln>
                  </pic:spPr>
                </pic:pic>
              </a:graphicData>
            </a:graphic>
          </wp:inline>
        </w:drawing>
      </w:r>
    </w:p>
    <w:p w14:paraId="6DA9D1C7" w14:textId="009F8AF1" w:rsidR="00EA051D" w:rsidRPr="00156901" w:rsidRDefault="00847E8E" w:rsidP="00EA051D">
      <w:pPr>
        <w:jc w:val="center"/>
        <w:rPr>
          <w:rFonts w:ascii="Times New Roman" w:hAnsi="Times New Roman" w:cs="Times New Roman"/>
        </w:rPr>
      </w:pPr>
      <w:r w:rsidRPr="00920A3B">
        <w:rPr>
          <w:rFonts w:ascii="Times New Roman" w:hAnsi="Times New Roman" w:cs="Times New Roman"/>
          <w:b/>
          <w:bCs/>
        </w:rPr>
        <w:t>4.</w:t>
      </w:r>
      <w:r>
        <w:rPr>
          <w:rFonts w:ascii="Times New Roman" w:hAnsi="Times New Roman" w:cs="Times New Roman"/>
          <w:b/>
          <w:bCs/>
        </w:rPr>
        <w:t>5.2</w:t>
      </w:r>
      <w:r w:rsidR="00EA051D" w:rsidRPr="00156901">
        <w:rPr>
          <w:rFonts w:ascii="Times New Roman" w:hAnsi="Times New Roman" w:cs="Times New Roman"/>
          <w:b/>
          <w:bCs/>
        </w:rPr>
        <w:t>.</w:t>
      </w:r>
      <w:r w:rsidR="00156901" w:rsidRPr="00156901">
        <w:rPr>
          <w:rFonts w:ascii="Times New Roman" w:hAnsi="Times New Roman" w:cs="Times New Roman"/>
          <w:b/>
          <w:bCs/>
        </w:rPr>
        <w:t>a</w:t>
      </w:r>
      <w:r w:rsidR="00EA051D" w:rsidRPr="00156901">
        <w:rPr>
          <w:rFonts w:ascii="Times New Roman" w:hAnsi="Times New Roman" w:cs="Times New Roman"/>
          <w:b/>
          <w:bCs/>
        </w:rPr>
        <w:t>ttēls</w:t>
      </w:r>
      <w:r w:rsidR="00156901" w:rsidRPr="00156901">
        <w:rPr>
          <w:rFonts w:ascii="Times New Roman" w:hAnsi="Times New Roman" w:cs="Times New Roman"/>
          <w:b/>
          <w:bCs/>
        </w:rPr>
        <w:t>.</w:t>
      </w:r>
      <w:r w:rsidR="00156901">
        <w:rPr>
          <w:rFonts w:ascii="Times New Roman" w:hAnsi="Times New Roman" w:cs="Times New Roman"/>
        </w:rPr>
        <w:t xml:space="preserve"> </w:t>
      </w:r>
      <w:r w:rsidR="00EA051D" w:rsidRPr="00156901">
        <w:rPr>
          <w:rFonts w:ascii="Times New Roman" w:hAnsi="Times New Roman" w:cs="Times New Roman"/>
        </w:rPr>
        <w:t>30 notekūdeņu dūņu pārstrādes centru izvietojums Latvijā</w:t>
      </w:r>
    </w:p>
    <w:p w14:paraId="26E1C3D8" w14:textId="77777777" w:rsidR="00EA051D" w:rsidRPr="00175DD0" w:rsidRDefault="00EA051D" w:rsidP="00EA051D">
      <w:pPr>
        <w:pStyle w:val="ListParagraph"/>
        <w:pBdr>
          <w:top w:val="nil"/>
          <w:left w:val="nil"/>
          <w:bottom w:val="nil"/>
          <w:right w:val="nil"/>
          <w:between w:val="nil"/>
        </w:pBdr>
        <w:spacing w:after="0" w:line="240" w:lineRule="auto"/>
        <w:ind w:left="2562"/>
        <w:jc w:val="both"/>
        <w:rPr>
          <w:rFonts w:cstheme="minorHAnsi"/>
          <w:b/>
          <w:color w:val="000000"/>
          <w:sz w:val="20"/>
          <w:szCs w:val="20"/>
        </w:rPr>
        <w:sectPr w:rsidR="00EA051D" w:rsidRPr="00175DD0" w:rsidSect="007E349D">
          <w:pgSz w:w="15840" w:h="12240" w:orient="landscape"/>
          <w:pgMar w:top="1134" w:right="1701" w:bottom="1134" w:left="1701" w:header="720" w:footer="720" w:gutter="0"/>
          <w:cols w:space="720"/>
          <w:docGrid w:linePitch="299"/>
        </w:sectPr>
      </w:pPr>
    </w:p>
    <w:p w14:paraId="3E22F562" w14:textId="77777777" w:rsidR="00EA051D" w:rsidRPr="00175DD0" w:rsidRDefault="00EA051D" w:rsidP="00EA051D">
      <w:pPr>
        <w:pBdr>
          <w:top w:val="nil"/>
          <w:left w:val="nil"/>
          <w:bottom w:val="nil"/>
          <w:right w:val="nil"/>
          <w:between w:val="nil"/>
        </w:pBdr>
        <w:spacing w:after="0" w:line="240" w:lineRule="auto"/>
        <w:ind w:left="1080"/>
        <w:rPr>
          <w:rFonts w:cstheme="minorHAnsi"/>
          <w:b/>
          <w:color w:val="000000"/>
          <w:sz w:val="20"/>
          <w:szCs w:val="20"/>
        </w:rPr>
      </w:pPr>
    </w:p>
    <w:p w14:paraId="71CF278E" w14:textId="6F7754C8" w:rsidR="00156901" w:rsidRPr="00A2500D" w:rsidRDefault="00253D64" w:rsidP="00A2500D">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rPr>
      </w:pPr>
      <w:r>
        <w:rPr>
          <w:rFonts w:ascii="Times New Roman" w:hAnsi="Times New Roman" w:cs="Times New Roman"/>
        </w:rPr>
        <w:t>4.5.5.</w:t>
      </w:r>
      <w:r w:rsidR="00EA051D" w:rsidRPr="00A2500D">
        <w:rPr>
          <w:rFonts w:ascii="Times New Roman" w:hAnsi="Times New Roman" w:cs="Times New Roman"/>
        </w:rPr>
        <w:t>tabula</w:t>
      </w:r>
    </w:p>
    <w:p w14:paraId="5E2C881E" w14:textId="6CA7FD42" w:rsidR="00EA051D" w:rsidRPr="00156901" w:rsidRDefault="00EA051D" w:rsidP="00156901">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bCs/>
        </w:rPr>
      </w:pPr>
      <w:r w:rsidRPr="00156901">
        <w:rPr>
          <w:rFonts w:ascii="Times New Roman" w:hAnsi="Times New Roman" w:cs="Times New Roman"/>
          <w:b/>
          <w:bCs/>
        </w:rPr>
        <w:t xml:space="preserve">30 dūņu pārstrādes centru ikgadējās uzturēšanas un investīciju izmaksas (aprēķinus skatīt pielikumā </w:t>
      </w:r>
      <w:r w:rsidR="0078125D" w:rsidRPr="0078125D">
        <w:rPr>
          <w:rFonts w:ascii="Times New Roman" w:hAnsi="Times New Roman" w:cs="Times New Roman"/>
          <w:b/>
          <w:bCs/>
        </w:rPr>
        <w:t>4.9. Finanšu aprēķini “3. Uzturēšanas izmaksas notekūdeņu dūņu pārstrādē”</w:t>
      </w:r>
      <w:r w:rsidRPr="00156901">
        <w:rPr>
          <w:rFonts w:ascii="Times New Roman" w:hAnsi="Times New Roman" w:cs="Times New Roman"/>
          <w:b/>
          <w:bCs/>
        </w:rPr>
        <w:t xml:space="preserve"> un pielikumā </w:t>
      </w:r>
      <w:r w:rsidR="0078125D" w:rsidRPr="0078125D">
        <w:rPr>
          <w:rFonts w:ascii="Times New Roman" w:hAnsi="Times New Roman" w:cs="Times New Roman"/>
          <w:b/>
          <w:bCs/>
        </w:rPr>
        <w:t>4.10. Finanšu aprēķini “4. Kapitālās investīcijas notekūdeņu dūņu pārstrādē”</w:t>
      </w:r>
      <w:r w:rsidRPr="00156901">
        <w:rPr>
          <w:rFonts w:ascii="Times New Roman" w:hAnsi="Times New Roman" w:cs="Times New Roman"/>
          <w:b/>
          <w:bCs/>
        </w:rPr>
        <w:t>)</w:t>
      </w:r>
    </w:p>
    <w:tbl>
      <w:tblPr>
        <w:tblStyle w:val="26"/>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992"/>
        <w:gridCol w:w="1701"/>
        <w:gridCol w:w="1418"/>
        <w:gridCol w:w="1701"/>
        <w:gridCol w:w="1701"/>
      </w:tblGrid>
      <w:tr w:rsidR="00EA051D" w:rsidRPr="00156901" w14:paraId="76B8F993" w14:textId="77777777" w:rsidTr="00156901">
        <w:trPr>
          <w:trHeight w:val="1152"/>
        </w:trPr>
        <w:tc>
          <w:tcPr>
            <w:tcW w:w="1413" w:type="dxa"/>
            <w:vMerge w:val="restart"/>
            <w:vAlign w:val="center"/>
          </w:tcPr>
          <w:p w14:paraId="6D6EC6BB"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Dūņu centra izveides vieta</w:t>
            </w:r>
          </w:p>
        </w:tc>
        <w:tc>
          <w:tcPr>
            <w:tcW w:w="992" w:type="dxa"/>
            <w:vMerge w:val="restart"/>
            <w:vAlign w:val="center"/>
          </w:tcPr>
          <w:p w14:paraId="4DCAD9FC"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Slapjo dūņu apjoms centrā (1%) t/g</w:t>
            </w:r>
          </w:p>
        </w:tc>
        <w:tc>
          <w:tcPr>
            <w:tcW w:w="1701" w:type="dxa"/>
            <w:vMerge w:val="restart"/>
            <w:vAlign w:val="center"/>
          </w:tcPr>
          <w:p w14:paraId="7A1981AB"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Papildus ievesto slapjo dūņu (1%) apjoma ekvivalents novada centrā  t/gadā</w:t>
            </w:r>
          </w:p>
        </w:tc>
        <w:tc>
          <w:tcPr>
            <w:tcW w:w="1418" w:type="dxa"/>
            <w:vMerge w:val="restart"/>
            <w:vAlign w:val="center"/>
          </w:tcPr>
          <w:p w14:paraId="3F907741"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Kopējais slapjo dūņu apjoms centrā (1%) t/gadā</w:t>
            </w:r>
          </w:p>
        </w:tc>
        <w:tc>
          <w:tcPr>
            <w:tcW w:w="1701" w:type="dxa"/>
            <w:vMerge w:val="restart"/>
            <w:shd w:val="clear" w:color="auto" w:fill="FDEADA"/>
            <w:vAlign w:val="center"/>
          </w:tcPr>
          <w:p w14:paraId="243BD574"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Dūņu centra darbības ikgadējās izmaksas EUR/gadā</w:t>
            </w:r>
          </w:p>
        </w:tc>
        <w:tc>
          <w:tcPr>
            <w:tcW w:w="1701" w:type="dxa"/>
            <w:vMerge w:val="restart"/>
            <w:shd w:val="clear" w:color="auto" w:fill="FDEADA"/>
            <w:vAlign w:val="center"/>
          </w:tcPr>
          <w:p w14:paraId="267878A4" w14:textId="77777777" w:rsidR="00EA051D" w:rsidRPr="00156901" w:rsidRDefault="00EA051D" w:rsidP="00D70884">
            <w:pPr>
              <w:spacing w:after="60"/>
              <w:jc w:val="center"/>
              <w:rPr>
                <w:rFonts w:ascii="Times New Roman" w:hAnsi="Times New Roman" w:cs="Times New Roman"/>
                <w:b/>
                <w:sz w:val="20"/>
                <w:szCs w:val="20"/>
              </w:rPr>
            </w:pPr>
            <w:r w:rsidRPr="00156901">
              <w:rPr>
                <w:rFonts w:ascii="Times New Roman" w:hAnsi="Times New Roman" w:cs="Times New Roman"/>
                <w:b/>
                <w:sz w:val="20"/>
                <w:szCs w:val="20"/>
              </w:rPr>
              <w:t>Dūņu centru izveides investīciju izmaksas EUR</w:t>
            </w:r>
          </w:p>
        </w:tc>
      </w:tr>
      <w:tr w:rsidR="00EA051D" w:rsidRPr="00156901" w14:paraId="349CEA55" w14:textId="77777777" w:rsidTr="00156901">
        <w:trPr>
          <w:trHeight w:val="509"/>
        </w:trPr>
        <w:tc>
          <w:tcPr>
            <w:tcW w:w="1413" w:type="dxa"/>
            <w:vMerge/>
          </w:tcPr>
          <w:p w14:paraId="314B7FFA"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992" w:type="dxa"/>
            <w:vMerge/>
          </w:tcPr>
          <w:p w14:paraId="38797229"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tcPr>
          <w:p w14:paraId="261D6EA8"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418" w:type="dxa"/>
            <w:vMerge/>
          </w:tcPr>
          <w:p w14:paraId="522ADBC0"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shd w:val="clear" w:color="auto" w:fill="FDEADA"/>
          </w:tcPr>
          <w:p w14:paraId="513D41D8"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shd w:val="clear" w:color="auto" w:fill="FDEADA"/>
          </w:tcPr>
          <w:p w14:paraId="3613E74B" w14:textId="77777777" w:rsidR="00EA051D" w:rsidRPr="00156901"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156901" w14:paraId="319130D6" w14:textId="77777777" w:rsidTr="00156901">
        <w:trPr>
          <w:trHeight w:val="312"/>
        </w:trPr>
        <w:tc>
          <w:tcPr>
            <w:tcW w:w="1413" w:type="dxa"/>
            <w:vAlign w:val="center"/>
          </w:tcPr>
          <w:p w14:paraId="02D6A0AA"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Aizkraukles NAI</w:t>
            </w:r>
          </w:p>
        </w:tc>
        <w:tc>
          <w:tcPr>
            <w:tcW w:w="992" w:type="dxa"/>
            <w:vAlign w:val="center"/>
          </w:tcPr>
          <w:p w14:paraId="7EDE4EC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8 398</w:t>
            </w:r>
          </w:p>
        </w:tc>
        <w:tc>
          <w:tcPr>
            <w:tcW w:w="1701" w:type="dxa"/>
            <w:vAlign w:val="center"/>
          </w:tcPr>
          <w:p w14:paraId="318225C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6 070</w:t>
            </w:r>
          </w:p>
        </w:tc>
        <w:tc>
          <w:tcPr>
            <w:tcW w:w="1418" w:type="dxa"/>
            <w:vAlign w:val="center"/>
          </w:tcPr>
          <w:p w14:paraId="68EF43B0"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14 468</w:t>
            </w:r>
          </w:p>
        </w:tc>
        <w:tc>
          <w:tcPr>
            <w:tcW w:w="1701" w:type="dxa"/>
            <w:tcBorders>
              <w:top w:val="single" w:sz="8" w:space="0" w:color="000000"/>
              <w:left w:val="single" w:sz="8" w:space="0" w:color="000000"/>
              <w:bottom w:val="single" w:sz="4" w:space="0" w:color="000000"/>
              <w:right w:val="single" w:sz="8" w:space="0" w:color="000000"/>
            </w:tcBorders>
            <w:shd w:val="clear" w:color="auto" w:fill="FDEADA"/>
            <w:vAlign w:val="bottom"/>
          </w:tcPr>
          <w:p w14:paraId="3E04AA5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63 804</w:t>
            </w:r>
          </w:p>
        </w:tc>
        <w:tc>
          <w:tcPr>
            <w:tcW w:w="1701" w:type="dxa"/>
            <w:shd w:val="clear" w:color="auto" w:fill="FDEADA"/>
            <w:vAlign w:val="bottom"/>
          </w:tcPr>
          <w:p w14:paraId="540727DD"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834 746</w:t>
            </w:r>
          </w:p>
        </w:tc>
      </w:tr>
      <w:tr w:rsidR="00EA051D" w:rsidRPr="00156901" w14:paraId="0F0B7322" w14:textId="77777777" w:rsidTr="00156901">
        <w:trPr>
          <w:trHeight w:val="312"/>
        </w:trPr>
        <w:tc>
          <w:tcPr>
            <w:tcW w:w="1413" w:type="dxa"/>
            <w:vAlign w:val="center"/>
          </w:tcPr>
          <w:p w14:paraId="2A0B5CA2"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Alūksnes NAI</w:t>
            </w:r>
          </w:p>
        </w:tc>
        <w:tc>
          <w:tcPr>
            <w:tcW w:w="992" w:type="dxa"/>
            <w:vAlign w:val="center"/>
          </w:tcPr>
          <w:p w14:paraId="10ED72F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7 267</w:t>
            </w:r>
          </w:p>
        </w:tc>
        <w:tc>
          <w:tcPr>
            <w:tcW w:w="1701" w:type="dxa"/>
            <w:vAlign w:val="center"/>
          </w:tcPr>
          <w:p w14:paraId="0061405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2DEDD05A"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7 267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175ECD8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117 096</w:t>
            </w:r>
          </w:p>
        </w:tc>
        <w:tc>
          <w:tcPr>
            <w:tcW w:w="1701" w:type="dxa"/>
            <w:shd w:val="clear" w:color="auto" w:fill="FDEADA"/>
            <w:vAlign w:val="bottom"/>
          </w:tcPr>
          <w:p w14:paraId="2AFEE106"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788 926</w:t>
            </w:r>
          </w:p>
        </w:tc>
      </w:tr>
      <w:tr w:rsidR="00EA051D" w:rsidRPr="00156901" w14:paraId="3CE0CFF8" w14:textId="77777777" w:rsidTr="00156901">
        <w:trPr>
          <w:trHeight w:val="312"/>
        </w:trPr>
        <w:tc>
          <w:tcPr>
            <w:tcW w:w="1413" w:type="dxa"/>
            <w:vAlign w:val="center"/>
          </w:tcPr>
          <w:p w14:paraId="454C8B8F"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Ādažu NAI</w:t>
            </w:r>
          </w:p>
        </w:tc>
        <w:tc>
          <w:tcPr>
            <w:tcW w:w="992" w:type="dxa"/>
            <w:vAlign w:val="center"/>
          </w:tcPr>
          <w:p w14:paraId="2492CD3C"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41 000</w:t>
            </w:r>
          </w:p>
        </w:tc>
        <w:tc>
          <w:tcPr>
            <w:tcW w:w="1701" w:type="dxa"/>
            <w:vAlign w:val="center"/>
          </w:tcPr>
          <w:p w14:paraId="2ED839E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2 645</w:t>
            </w:r>
          </w:p>
        </w:tc>
        <w:tc>
          <w:tcPr>
            <w:tcW w:w="1418" w:type="dxa"/>
            <w:vAlign w:val="center"/>
          </w:tcPr>
          <w:p w14:paraId="38335613"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43 645</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2479DEFC"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144 077</w:t>
            </w:r>
          </w:p>
        </w:tc>
        <w:tc>
          <w:tcPr>
            <w:tcW w:w="1701" w:type="dxa"/>
            <w:shd w:val="clear" w:color="auto" w:fill="FDEADA"/>
            <w:vAlign w:val="bottom"/>
          </w:tcPr>
          <w:p w14:paraId="726C3958"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1 741 729</w:t>
            </w:r>
          </w:p>
        </w:tc>
      </w:tr>
      <w:tr w:rsidR="00EA051D" w:rsidRPr="00156901" w14:paraId="66C764C6" w14:textId="77777777" w:rsidTr="00156901">
        <w:trPr>
          <w:trHeight w:val="312"/>
        </w:trPr>
        <w:tc>
          <w:tcPr>
            <w:tcW w:w="1413" w:type="dxa"/>
            <w:vAlign w:val="center"/>
          </w:tcPr>
          <w:p w14:paraId="17971F42"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Baložu NAI</w:t>
            </w:r>
          </w:p>
        </w:tc>
        <w:tc>
          <w:tcPr>
            <w:tcW w:w="992" w:type="dxa"/>
            <w:vAlign w:val="center"/>
          </w:tcPr>
          <w:p w14:paraId="1B96E95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7 762</w:t>
            </w:r>
          </w:p>
        </w:tc>
        <w:tc>
          <w:tcPr>
            <w:tcW w:w="1701" w:type="dxa"/>
            <w:vAlign w:val="center"/>
          </w:tcPr>
          <w:p w14:paraId="07836C1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4 329</w:t>
            </w:r>
          </w:p>
        </w:tc>
        <w:tc>
          <w:tcPr>
            <w:tcW w:w="1418" w:type="dxa"/>
            <w:vAlign w:val="center"/>
          </w:tcPr>
          <w:p w14:paraId="57D60631"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12 091</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48B8783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57 265</w:t>
            </w:r>
          </w:p>
        </w:tc>
        <w:tc>
          <w:tcPr>
            <w:tcW w:w="1701" w:type="dxa"/>
            <w:shd w:val="clear" w:color="auto" w:fill="FDEADA"/>
            <w:vAlign w:val="bottom"/>
          </w:tcPr>
          <w:p w14:paraId="67E8BDD4"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760 855</w:t>
            </w:r>
          </w:p>
        </w:tc>
      </w:tr>
      <w:tr w:rsidR="00EA051D" w:rsidRPr="00156901" w14:paraId="63DECD94" w14:textId="77777777" w:rsidTr="00156901">
        <w:trPr>
          <w:trHeight w:val="312"/>
        </w:trPr>
        <w:tc>
          <w:tcPr>
            <w:tcW w:w="1413" w:type="dxa"/>
            <w:vAlign w:val="center"/>
          </w:tcPr>
          <w:p w14:paraId="0A71FC50"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Bauskas NAI</w:t>
            </w:r>
          </w:p>
        </w:tc>
        <w:tc>
          <w:tcPr>
            <w:tcW w:w="992" w:type="dxa"/>
            <w:vAlign w:val="center"/>
          </w:tcPr>
          <w:p w14:paraId="51E9509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5 782</w:t>
            </w:r>
          </w:p>
        </w:tc>
        <w:tc>
          <w:tcPr>
            <w:tcW w:w="1701" w:type="dxa"/>
            <w:vAlign w:val="center"/>
          </w:tcPr>
          <w:p w14:paraId="7EC6A92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4 003</w:t>
            </w:r>
          </w:p>
        </w:tc>
        <w:tc>
          <w:tcPr>
            <w:tcW w:w="1418" w:type="dxa"/>
            <w:vAlign w:val="center"/>
          </w:tcPr>
          <w:p w14:paraId="2653D1ED"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9 785</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78A930B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59 671</w:t>
            </w:r>
          </w:p>
        </w:tc>
        <w:tc>
          <w:tcPr>
            <w:tcW w:w="1701" w:type="dxa"/>
            <w:shd w:val="clear" w:color="auto" w:fill="FDEADA"/>
            <w:vAlign w:val="bottom"/>
          </w:tcPr>
          <w:p w14:paraId="0DBE9820"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689 172</w:t>
            </w:r>
          </w:p>
        </w:tc>
      </w:tr>
      <w:tr w:rsidR="00EA051D" w:rsidRPr="00156901" w14:paraId="79B5B4D6" w14:textId="77777777" w:rsidTr="00156901">
        <w:trPr>
          <w:trHeight w:val="312"/>
        </w:trPr>
        <w:tc>
          <w:tcPr>
            <w:tcW w:w="1413" w:type="dxa"/>
            <w:vAlign w:val="center"/>
          </w:tcPr>
          <w:p w14:paraId="75818B51"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Cēsu NAI</w:t>
            </w:r>
          </w:p>
        </w:tc>
        <w:tc>
          <w:tcPr>
            <w:tcW w:w="992" w:type="dxa"/>
            <w:vAlign w:val="center"/>
          </w:tcPr>
          <w:p w14:paraId="05CA997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40 145</w:t>
            </w:r>
          </w:p>
        </w:tc>
        <w:tc>
          <w:tcPr>
            <w:tcW w:w="1701" w:type="dxa"/>
            <w:vAlign w:val="center"/>
          </w:tcPr>
          <w:p w14:paraId="486F1C0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4 368</w:t>
            </w:r>
          </w:p>
        </w:tc>
        <w:tc>
          <w:tcPr>
            <w:tcW w:w="1418" w:type="dxa"/>
            <w:vAlign w:val="center"/>
          </w:tcPr>
          <w:p w14:paraId="6992837E"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44 513</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34CB61E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146 465</w:t>
            </w:r>
          </w:p>
        </w:tc>
        <w:tc>
          <w:tcPr>
            <w:tcW w:w="1701" w:type="dxa"/>
            <w:shd w:val="clear" w:color="auto" w:fill="FDEADA"/>
            <w:vAlign w:val="bottom"/>
          </w:tcPr>
          <w:p w14:paraId="79778852"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1 768 711</w:t>
            </w:r>
          </w:p>
        </w:tc>
      </w:tr>
      <w:tr w:rsidR="00EA051D" w:rsidRPr="00156901" w14:paraId="7C93D761" w14:textId="77777777" w:rsidTr="00156901">
        <w:trPr>
          <w:trHeight w:val="312"/>
        </w:trPr>
        <w:tc>
          <w:tcPr>
            <w:tcW w:w="1413" w:type="dxa"/>
            <w:vAlign w:val="center"/>
          </w:tcPr>
          <w:p w14:paraId="4AE76A1B"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Daugavpils NAI</w:t>
            </w:r>
          </w:p>
        </w:tc>
        <w:tc>
          <w:tcPr>
            <w:tcW w:w="992" w:type="dxa"/>
            <w:vAlign w:val="center"/>
          </w:tcPr>
          <w:p w14:paraId="2ADE6B1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151 893</w:t>
            </w:r>
          </w:p>
        </w:tc>
        <w:tc>
          <w:tcPr>
            <w:tcW w:w="1701" w:type="dxa"/>
            <w:vAlign w:val="center"/>
          </w:tcPr>
          <w:p w14:paraId="31BF570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147A832F"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151 893</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3B075B2C"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392 999</w:t>
            </w:r>
          </w:p>
        </w:tc>
        <w:tc>
          <w:tcPr>
            <w:tcW w:w="1701" w:type="dxa"/>
            <w:shd w:val="clear" w:color="auto" w:fill="FDEADA"/>
            <w:vAlign w:val="bottom"/>
          </w:tcPr>
          <w:p w14:paraId="24416A32"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5 248 855</w:t>
            </w:r>
          </w:p>
        </w:tc>
      </w:tr>
      <w:tr w:rsidR="00EA051D" w:rsidRPr="00156901" w14:paraId="6118FD16" w14:textId="77777777" w:rsidTr="00156901">
        <w:trPr>
          <w:trHeight w:val="312"/>
        </w:trPr>
        <w:tc>
          <w:tcPr>
            <w:tcW w:w="1413" w:type="dxa"/>
            <w:vAlign w:val="center"/>
          </w:tcPr>
          <w:p w14:paraId="4EBA8E90"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Dobeles NAI</w:t>
            </w:r>
          </w:p>
        </w:tc>
        <w:tc>
          <w:tcPr>
            <w:tcW w:w="992" w:type="dxa"/>
            <w:vAlign w:val="center"/>
          </w:tcPr>
          <w:p w14:paraId="65FBFA8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9 967</w:t>
            </w:r>
          </w:p>
        </w:tc>
        <w:tc>
          <w:tcPr>
            <w:tcW w:w="1701" w:type="dxa"/>
            <w:vAlign w:val="center"/>
          </w:tcPr>
          <w:p w14:paraId="0EC82E6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5 340</w:t>
            </w:r>
          </w:p>
        </w:tc>
        <w:tc>
          <w:tcPr>
            <w:tcW w:w="1418" w:type="dxa"/>
            <w:vAlign w:val="center"/>
          </w:tcPr>
          <w:p w14:paraId="30A8A87E"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15 307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5154AE6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66 113</w:t>
            </w:r>
          </w:p>
        </w:tc>
        <w:tc>
          <w:tcPr>
            <w:tcW w:w="1701" w:type="dxa"/>
            <w:shd w:val="clear" w:color="auto" w:fill="FDEADA"/>
            <w:vAlign w:val="bottom"/>
          </w:tcPr>
          <w:p w14:paraId="38B3B44F"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860 827</w:t>
            </w:r>
          </w:p>
        </w:tc>
      </w:tr>
      <w:tr w:rsidR="00EA051D" w:rsidRPr="00156901" w14:paraId="272B05CC" w14:textId="77777777" w:rsidTr="00156901">
        <w:trPr>
          <w:trHeight w:val="312"/>
        </w:trPr>
        <w:tc>
          <w:tcPr>
            <w:tcW w:w="1413" w:type="dxa"/>
            <w:vAlign w:val="center"/>
          </w:tcPr>
          <w:p w14:paraId="16B20C49"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Jelgavas NAI</w:t>
            </w:r>
          </w:p>
        </w:tc>
        <w:tc>
          <w:tcPr>
            <w:tcW w:w="992" w:type="dxa"/>
            <w:vAlign w:val="center"/>
          </w:tcPr>
          <w:p w14:paraId="478E177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120 608</w:t>
            </w:r>
          </w:p>
        </w:tc>
        <w:tc>
          <w:tcPr>
            <w:tcW w:w="1701" w:type="dxa"/>
            <w:vAlign w:val="center"/>
          </w:tcPr>
          <w:p w14:paraId="312662D5" w14:textId="097A60A1" w:rsidR="00EA051D" w:rsidRPr="00156901" w:rsidRDefault="0091007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2423</w:t>
            </w:r>
          </w:p>
        </w:tc>
        <w:tc>
          <w:tcPr>
            <w:tcW w:w="1418" w:type="dxa"/>
            <w:vAlign w:val="center"/>
          </w:tcPr>
          <w:p w14:paraId="28AA46DE" w14:textId="36D9C726" w:rsidR="00EA051D" w:rsidRPr="00156901" w:rsidRDefault="0091007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123 031</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276D830C" w14:textId="010C54EF"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31</w:t>
            </w:r>
            <w:r w:rsidR="0091007D" w:rsidRPr="00156901">
              <w:rPr>
                <w:rFonts w:ascii="Times New Roman" w:hAnsi="Times New Roman" w:cs="Times New Roman"/>
                <w:color w:val="000000"/>
                <w:sz w:val="18"/>
                <w:szCs w:val="18"/>
              </w:rPr>
              <w:t>4</w:t>
            </w:r>
            <w:r w:rsidRPr="00156901">
              <w:rPr>
                <w:rFonts w:ascii="Times New Roman" w:hAnsi="Times New Roman" w:cs="Times New Roman"/>
                <w:color w:val="000000"/>
                <w:sz w:val="18"/>
                <w:szCs w:val="18"/>
              </w:rPr>
              <w:t xml:space="preserve"> </w:t>
            </w:r>
            <w:r w:rsidR="0091007D" w:rsidRPr="00156901">
              <w:rPr>
                <w:rFonts w:ascii="Times New Roman" w:hAnsi="Times New Roman" w:cs="Times New Roman"/>
                <w:color w:val="000000"/>
                <w:sz w:val="18"/>
                <w:szCs w:val="18"/>
              </w:rPr>
              <w:t>197</w:t>
            </w:r>
          </w:p>
        </w:tc>
        <w:tc>
          <w:tcPr>
            <w:tcW w:w="1701" w:type="dxa"/>
            <w:shd w:val="clear" w:color="auto" w:fill="FDEADA"/>
            <w:vAlign w:val="bottom"/>
          </w:tcPr>
          <w:p w14:paraId="2F493961"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4 250 209</w:t>
            </w:r>
          </w:p>
        </w:tc>
      </w:tr>
      <w:tr w:rsidR="00EA051D" w:rsidRPr="00156901" w14:paraId="0FF681D0" w14:textId="77777777" w:rsidTr="00156901">
        <w:trPr>
          <w:trHeight w:val="312"/>
        </w:trPr>
        <w:tc>
          <w:tcPr>
            <w:tcW w:w="1413" w:type="dxa"/>
            <w:vAlign w:val="center"/>
          </w:tcPr>
          <w:p w14:paraId="388A287E"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Jēkabpils NAI</w:t>
            </w:r>
          </w:p>
        </w:tc>
        <w:tc>
          <w:tcPr>
            <w:tcW w:w="992" w:type="dxa"/>
            <w:vAlign w:val="center"/>
          </w:tcPr>
          <w:p w14:paraId="27404B4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20 280</w:t>
            </w:r>
          </w:p>
        </w:tc>
        <w:tc>
          <w:tcPr>
            <w:tcW w:w="1701" w:type="dxa"/>
            <w:vAlign w:val="center"/>
          </w:tcPr>
          <w:p w14:paraId="6893E28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817</w:t>
            </w:r>
          </w:p>
        </w:tc>
        <w:tc>
          <w:tcPr>
            <w:tcW w:w="1418" w:type="dxa"/>
            <w:vAlign w:val="center"/>
          </w:tcPr>
          <w:p w14:paraId="0C65BCFF"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21 097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36102A5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82 042</w:t>
            </w:r>
          </w:p>
        </w:tc>
        <w:tc>
          <w:tcPr>
            <w:tcW w:w="1701" w:type="dxa"/>
            <w:shd w:val="clear" w:color="auto" w:fill="FDEADA"/>
            <w:vAlign w:val="bottom"/>
          </w:tcPr>
          <w:p w14:paraId="25357C83"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1 040 812</w:t>
            </w:r>
          </w:p>
        </w:tc>
      </w:tr>
      <w:tr w:rsidR="00EA051D" w:rsidRPr="00156901" w14:paraId="219E40F0" w14:textId="77777777" w:rsidTr="00156901">
        <w:trPr>
          <w:trHeight w:val="312"/>
        </w:trPr>
        <w:tc>
          <w:tcPr>
            <w:tcW w:w="1413" w:type="dxa"/>
            <w:vAlign w:val="center"/>
          </w:tcPr>
          <w:p w14:paraId="7EDEC254"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Jūrmalas NAI</w:t>
            </w:r>
          </w:p>
        </w:tc>
        <w:tc>
          <w:tcPr>
            <w:tcW w:w="992" w:type="dxa"/>
            <w:vAlign w:val="center"/>
          </w:tcPr>
          <w:p w14:paraId="42D21271"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55 304</w:t>
            </w:r>
          </w:p>
        </w:tc>
        <w:tc>
          <w:tcPr>
            <w:tcW w:w="1701" w:type="dxa"/>
            <w:vAlign w:val="center"/>
          </w:tcPr>
          <w:p w14:paraId="101A51B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5CBCC891"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55 304</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516757A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151 266</w:t>
            </w:r>
          </w:p>
        </w:tc>
        <w:tc>
          <w:tcPr>
            <w:tcW w:w="1701" w:type="dxa"/>
            <w:shd w:val="clear" w:color="auto" w:fill="FDEADA"/>
            <w:vAlign w:val="bottom"/>
          </w:tcPr>
          <w:p w14:paraId="0499F6D0"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2 108 698</w:t>
            </w:r>
          </w:p>
        </w:tc>
      </w:tr>
      <w:tr w:rsidR="00EA051D" w:rsidRPr="00156901" w14:paraId="4EF0654D" w14:textId="77777777" w:rsidTr="00156901">
        <w:trPr>
          <w:trHeight w:val="312"/>
        </w:trPr>
        <w:tc>
          <w:tcPr>
            <w:tcW w:w="1413" w:type="dxa"/>
            <w:vAlign w:val="center"/>
          </w:tcPr>
          <w:p w14:paraId="4F2DF394"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Krāslavas NAI</w:t>
            </w:r>
          </w:p>
        </w:tc>
        <w:tc>
          <w:tcPr>
            <w:tcW w:w="992" w:type="dxa"/>
            <w:vAlign w:val="center"/>
          </w:tcPr>
          <w:p w14:paraId="30E65E0B"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5 555</w:t>
            </w:r>
          </w:p>
        </w:tc>
        <w:tc>
          <w:tcPr>
            <w:tcW w:w="1701" w:type="dxa"/>
            <w:vAlign w:val="center"/>
          </w:tcPr>
          <w:p w14:paraId="10B2875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3 389</w:t>
            </w:r>
          </w:p>
        </w:tc>
        <w:tc>
          <w:tcPr>
            <w:tcW w:w="1418" w:type="dxa"/>
            <w:vAlign w:val="center"/>
          </w:tcPr>
          <w:p w14:paraId="2BFEE90D"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8 944</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6D3F666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56 605</w:t>
            </w:r>
          </w:p>
        </w:tc>
        <w:tc>
          <w:tcPr>
            <w:tcW w:w="1701" w:type="dxa"/>
            <w:shd w:val="clear" w:color="auto" w:fill="FDEADA"/>
            <w:vAlign w:val="bottom"/>
          </w:tcPr>
          <w:p w14:paraId="34482641"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663 029</w:t>
            </w:r>
          </w:p>
        </w:tc>
      </w:tr>
      <w:tr w:rsidR="00EA051D" w:rsidRPr="00156901" w14:paraId="4178C972" w14:textId="77777777" w:rsidTr="00156901">
        <w:trPr>
          <w:trHeight w:val="312"/>
        </w:trPr>
        <w:tc>
          <w:tcPr>
            <w:tcW w:w="1413" w:type="dxa"/>
            <w:vAlign w:val="center"/>
          </w:tcPr>
          <w:p w14:paraId="776B2511"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Kuldīgas NAI</w:t>
            </w:r>
          </w:p>
        </w:tc>
        <w:tc>
          <w:tcPr>
            <w:tcW w:w="992" w:type="dxa"/>
            <w:vAlign w:val="center"/>
          </w:tcPr>
          <w:p w14:paraId="647A052B"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20 307</w:t>
            </w:r>
          </w:p>
        </w:tc>
        <w:tc>
          <w:tcPr>
            <w:tcW w:w="1701" w:type="dxa"/>
            <w:vAlign w:val="center"/>
          </w:tcPr>
          <w:p w14:paraId="3825368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600</w:t>
            </w:r>
          </w:p>
        </w:tc>
        <w:tc>
          <w:tcPr>
            <w:tcW w:w="1418" w:type="dxa"/>
            <w:vAlign w:val="center"/>
          </w:tcPr>
          <w:p w14:paraId="06A9FF8A"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20 907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42BCF57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81 520</w:t>
            </w:r>
          </w:p>
        </w:tc>
        <w:tc>
          <w:tcPr>
            <w:tcW w:w="1701" w:type="dxa"/>
            <w:shd w:val="clear" w:color="auto" w:fill="FDEADA"/>
            <w:vAlign w:val="bottom"/>
          </w:tcPr>
          <w:p w14:paraId="66220077"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1 034 906</w:t>
            </w:r>
          </w:p>
        </w:tc>
      </w:tr>
      <w:tr w:rsidR="00EA051D" w:rsidRPr="00156901" w14:paraId="176ADCD1" w14:textId="77777777" w:rsidTr="00156901">
        <w:trPr>
          <w:trHeight w:val="312"/>
        </w:trPr>
        <w:tc>
          <w:tcPr>
            <w:tcW w:w="1413" w:type="dxa"/>
            <w:vAlign w:val="center"/>
          </w:tcPr>
          <w:p w14:paraId="51D4E9B0"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Liepājas NAI</w:t>
            </w:r>
          </w:p>
        </w:tc>
        <w:tc>
          <w:tcPr>
            <w:tcW w:w="992" w:type="dxa"/>
            <w:vAlign w:val="center"/>
          </w:tcPr>
          <w:p w14:paraId="7015E58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79 209</w:t>
            </w:r>
          </w:p>
        </w:tc>
        <w:tc>
          <w:tcPr>
            <w:tcW w:w="1701" w:type="dxa"/>
            <w:vAlign w:val="center"/>
          </w:tcPr>
          <w:p w14:paraId="1312FE5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5AB39C47"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79 209</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377F3FB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228 470</w:t>
            </w:r>
          </w:p>
        </w:tc>
        <w:tc>
          <w:tcPr>
            <w:tcW w:w="1701" w:type="dxa"/>
            <w:shd w:val="clear" w:color="auto" w:fill="FDEADA"/>
            <w:vAlign w:val="bottom"/>
          </w:tcPr>
          <w:p w14:paraId="27BCF760"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2 971 095</w:t>
            </w:r>
          </w:p>
        </w:tc>
      </w:tr>
      <w:tr w:rsidR="00EA051D" w:rsidRPr="00156901" w14:paraId="2E83C1BA" w14:textId="77777777" w:rsidTr="00156901">
        <w:trPr>
          <w:trHeight w:val="312"/>
        </w:trPr>
        <w:tc>
          <w:tcPr>
            <w:tcW w:w="1413" w:type="dxa"/>
            <w:vAlign w:val="center"/>
          </w:tcPr>
          <w:p w14:paraId="79A60794"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Limbažu NAI</w:t>
            </w:r>
          </w:p>
        </w:tc>
        <w:tc>
          <w:tcPr>
            <w:tcW w:w="992" w:type="dxa"/>
            <w:vAlign w:val="center"/>
          </w:tcPr>
          <w:p w14:paraId="717DA7C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8 840</w:t>
            </w:r>
          </w:p>
        </w:tc>
        <w:tc>
          <w:tcPr>
            <w:tcW w:w="1701" w:type="dxa"/>
            <w:vAlign w:val="center"/>
          </w:tcPr>
          <w:p w14:paraId="7C9B918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4 000</w:t>
            </w:r>
          </w:p>
        </w:tc>
        <w:tc>
          <w:tcPr>
            <w:tcW w:w="1418" w:type="dxa"/>
            <w:vAlign w:val="center"/>
          </w:tcPr>
          <w:p w14:paraId="772AE672"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12 840</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43D78DB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59 326</w:t>
            </w:r>
          </w:p>
        </w:tc>
        <w:tc>
          <w:tcPr>
            <w:tcW w:w="1701" w:type="dxa"/>
            <w:shd w:val="clear" w:color="auto" w:fill="FDEADA"/>
            <w:vAlign w:val="bottom"/>
          </w:tcPr>
          <w:p w14:paraId="3F655BE9"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784 139</w:t>
            </w:r>
          </w:p>
        </w:tc>
      </w:tr>
      <w:tr w:rsidR="00EA051D" w:rsidRPr="00156901" w14:paraId="7580B3CD" w14:textId="77777777" w:rsidTr="00156901">
        <w:trPr>
          <w:trHeight w:val="312"/>
        </w:trPr>
        <w:tc>
          <w:tcPr>
            <w:tcW w:w="1413" w:type="dxa"/>
            <w:vAlign w:val="center"/>
          </w:tcPr>
          <w:p w14:paraId="0FABCC5F"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Līvānu NAI</w:t>
            </w:r>
          </w:p>
        </w:tc>
        <w:tc>
          <w:tcPr>
            <w:tcW w:w="992" w:type="dxa"/>
            <w:vAlign w:val="center"/>
          </w:tcPr>
          <w:p w14:paraId="4CCC1D2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9 460</w:t>
            </w:r>
          </w:p>
        </w:tc>
        <w:tc>
          <w:tcPr>
            <w:tcW w:w="1701" w:type="dxa"/>
            <w:vAlign w:val="center"/>
          </w:tcPr>
          <w:p w14:paraId="4D86FCF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4EA3787B"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9 460</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7051DDF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58 486</w:t>
            </w:r>
          </w:p>
        </w:tc>
        <w:tc>
          <w:tcPr>
            <w:tcW w:w="1701" w:type="dxa"/>
            <w:shd w:val="clear" w:color="auto" w:fill="FDEADA"/>
            <w:vAlign w:val="bottom"/>
          </w:tcPr>
          <w:p w14:paraId="0FBD8AC0"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679 069</w:t>
            </w:r>
          </w:p>
        </w:tc>
      </w:tr>
      <w:tr w:rsidR="00EA051D" w:rsidRPr="00156901" w14:paraId="3F8C4DA5" w14:textId="77777777" w:rsidTr="00156901">
        <w:trPr>
          <w:trHeight w:val="312"/>
        </w:trPr>
        <w:tc>
          <w:tcPr>
            <w:tcW w:w="1413" w:type="dxa"/>
            <w:vAlign w:val="center"/>
          </w:tcPr>
          <w:p w14:paraId="657EA752"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Madonas NAI</w:t>
            </w:r>
          </w:p>
        </w:tc>
        <w:tc>
          <w:tcPr>
            <w:tcW w:w="992" w:type="dxa"/>
            <w:vAlign w:val="center"/>
          </w:tcPr>
          <w:p w14:paraId="46E5EBB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7 658</w:t>
            </w:r>
          </w:p>
        </w:tc>
        <w:tc>
          <w:tcPr>
            <w:tcW w:w="1701" w:type="dxa"/>
            <w:vAlign w:val="center"/>
          </w:tcPr>
          <w:p w14:paraId="7D9015F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16 567</w:t>
            </w:r>
          </w:p>
        </w:tc>
        <w:tc>
          <w:tcPr>
            <w:tcW w:w="1418" w:type="dxa"/>
            <w:vAlign w:val="center"/>
          </w:tcPr>
          <w:p w14:paraId="1BA823DD"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24 225</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1C749B7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79 747</w:t>
            </w:r>
          </w:p>
        </w:tc>
        <w:tc>
          <w:tcPr>
            <w:tcW w:w="1701" w:type="dxa"/>
            <w:shd w:val="clear" w:color="auto" w:fill="FDEADA"/>
            <w:vAlign w:val="bottom"/>
          </w:tcPr>
          <w:p w14:paraId="407E122E"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1 138 048</w:t>
            </w:r>
          </w:p>
        </w:tc>
      </w:tr>
      <w:tr w:rsidR="00EA051D" w:rsidRPr="00156901" w14:paraId="14C5FCA3" w14:textId="77777777" w:rsidTr="00156901">
        <w:trPr>
          <w:trHeight w:val="312"/>
        </w:trPr>
        <w:tc>
          <w:tcPr>
            <w:tcW w:w="1413" w:type="dxa"/>
            <w:vAlign w:val="center"/>
          </w:tcPr>
          <w:p w14:paraId="048B921B"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Ogres NAI</w:t>
            </w:r>
          </w:p>
        </w:tc>
        <w:tc>
          <w:tcPr>
            <w:tcW w:w="992" w:type="dxa"/>
            <w:vAlign w:val="center"/>
          </w:tcPr>
          <w:p w14:paraId="7970BD2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31 907</w:t>
            </w:r>
          </w:p>
        </w:tc>
        <w:tc>
          <w:tcPr>
            <w:tcW w:w="1701" w:type="dxa"/>
            <w:vAlign w:val="center"/>
          </w:tcPr>
          <w:p w14:paraId="75151C2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5 798</w:t>
            </w:r>
          </w:p>
        </w:tc>
        <w:tc>
          <w:tcPr>
            <w:tcW w:w="1418" w:type="dxa"/>
            <w:vAlign w:val="center"/>
          </w:tcPr>
          <w:p w14:paraId="45E579E7"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37 705</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0F82714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127 734</w:t>
            </w:r>
          </w:p>
        </w:tc>
        <w:tc>
          <w:tcPr>
            <w:tcW w:w="1701" w:type="dxa"/>
            <w:shd w:val="clear" w:color="auto" w:fill="FDEADA"/>
            <w:vAlign w:val="bottom"/>
          </w:tcPr>
          <w:p w14:paraId="1A3F9864"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1 557 081</w:t>
            </w:r>
          </w:p>
        </w:tc>
      </w:tr>
      <w:tr w:rsidR="00EA051D" w:rsidRPr="00156901" w14:paraId="0F532C56" w14:textId="77777777" w:rsidTr="00156901">
        <w:trPr>
          <w:trHeight w:val="312"/>
        </w:trPr>
        <w:tc>
          <w:tcPr>
            <w:tcW w:w="1413" w:type="dxa"/>
            <w:vAlign w:val="center"/>
          </w:tcPr>
          <w:p w14:paraId="0A79B78F"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Olaines NAI</w:t>
            </w:r>
          </w:p>
        </w:tc>
        <w:tc>
          <w:tcPr>
            <w:tcW w:w="992" w:type="dxa"/>
            <w:vAlign w:val="center"/>
          </w:tcPr>
          <w:p w14:paraId="7A83A13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31 765</w:t>
            </w:r>
          </w:p>
        </w:tc>
        <w:tc>
          <w:tcPr>
            <w:tcW w:w="1701" w:type="dxa"/>
            <w:vAlign w:val="center"/>
          </w:tcPr>
          <w:p w14:paraId="26CCCAF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502</w:t>
            </w:r>
          </w:p>
        </w:tc>
        <w:tc>
          <w:tcPr>
            <w:tcW w:w="1418" w:type="dxa"/>
            <w:vAlign w:val="center"/>
          </w:tcPr>
          <w:p w14:paraId="1994509C"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32 267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69E53E7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164 036</w:t>
            </w:r>
          </w:p>
        </w:tc>
        <w:tc>
          <w:tcPr>
            <w:tcW w:w="1701" w:type="dxa"/>
            <w:shd w:val="clear" w:color="auto" w:fill="FDEADA"/>
            <w:vAlign w:val="bottom"/>
          </w:tcPr>
          <w:p w14:paraId="1A998A16"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1 637 841</w:t>
            </w:r>
          </w:p>
        </w:tc>
      </w:tr>
      <w:tr w:rsidR="00EA051D" w:rsidRPr="00156901" w14:paraId="3AF6FD1A" w14:textId="77777777" w:rsidTr="00156901">
        <w:trPr>
          <w:trHeight w:val="312"/>
        </w:trPr>
        <w:tc>
          <w:tcPr>
            <w:tcW w:w="1413" w:type="dxa"/>
            <w:vAlign w:val="center"/>
          </w:tcPr>
          <w:p w14:paraId="04D89784"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Preiļu NAI</w:t>
            </w:r>
          </w:p>
        </w:tc>
        <w:tc>
          <w:tcPr>
            <w:tcW w:w="992" w:type="dxa"/>
            <w:vAlign w:val="center"/>
          </w:tcPr>
          <w:p w14:paraId="0439663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16 480</w:t>
            </w:r>
          </w:p>
        </w:tc>
        <w:tc>
          <w:tcPr>
            <w:tcW w:w="1701" w:type="dxa"/>
            <w:vAlign w:val="center"/>
          </w:tcPr>
          <w:p w14:paraId="29141059"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553</w:t>
            </w:r>
          </w:p>
        </w:tc>
        <w:tc>
          <w:tcPr>
            <w:tcW w:w="1418" w:type="dxa"/>
            <w:vAlign w:val="center"/>
          </w:tcPr>
          <w:p w14:paraId="01C3E62D"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17 033</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5361F68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70 861</w:t>
            </w:r>
          </w:p>
        </w:tc>
        <w:tc>
          <w:tcPr>
            <w:tcW w:w="1701" w:type="dxa"/>
            <w:shd w:val="clear" w:color="auto" w:fill="FDEADA"/>
            <w:vAlign w:val="bottom"/>
          </w:tcPr>
          <w:p w14:paraId="703BA35C"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914 480</w:t>
            </w:r>
          </w:p>
        </w:tc>
      </w:tr>
      <w:tr w:rsidR="00EA051D" w:rsidRPr="00156901" w14:paraId="1183DB26" w14:textId="77777777" w:rsidTr="00156901">
        <w:trPr>
          <w:trHeight w:val="312"/>
        </w:trPr>
        <w:tc>
          <w:tcPr>
            <w:tcW w:w="1413" w:type="dxa"/>
            <w:vAlign w:val="center"/>
          </w:tcPr>
          <w:p w14:paraId="3058B1E0"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Rēzeknes NAI</w:t>
            </w:r>
          </w:p>
        </w:tc>
        <w:tc>
          <w:tcPr>
            <w:tcW w:w="992" w:type="dxa"/>
            <w:vAlign w:val="center"/>
          </w:tcPr>
          <w:p w14:paraId="55ACB9A3"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92 424</w:t>
            </w:r>
          </w:p>
        </w:tc>
        <w:tc>
          <w:tcPr>
            <w:tcW w:w="1701" w:type="dxa"/>
            <w:vAlign w:val="center"/>
          </w:tcPr>
          <w:p w14:paraId="5E5A853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51B4A6FB"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92 424</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1A76C08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296 455</w:t>
            </w:r>
          </w:p>
        </w:tc>
        <w:tc>
          <w:tcPr>
            <w:tcW w:w="1701" w:type="dxa"/>
            <w:shd w:val="clear" w:color="auto" w:fill="FDEADA"/>
            <w:vAlign w:val="bottom"/>
          </w:tcPr>
          <w:p w14:paraId="58C4D09C"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3 508 125</w:t>
            </w:r>
          </w:p>
        </w:tc>
      </w:tr>
      <w:tr w:rsidR="00EA051D" w:rsidRPr="00156901" w14:paraId="49562C15" w14:textId="77777777" w:rsidTr="00156901">
        <w:trPr>
          <w:trHeight w:val="312"/>
        </w:trPr>
        <w:tc>
          <w:tcPr>
            <w:tcW w:w="1413" w:type="dxa"/>
            <w:vAlign w:val="center"/>
          </w:tcPr>
          <w:p w14:paraId="0A7AF88E"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Salaspils NAI</w:t>
            </w:r>
          </w:p>
        </w:tc>
        <w:tc>
          <w:tcPr>
            <w:tcW w:w="992" w:type="dxa"/>
            <w:vAlign w:val="center"/>
          </w:tcPr>
          <w:p w14:paraId="2A9E1875"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34 733</w:t>
            </w:r>
          </w:p>
        </w:tc>
        <w:tc>
          <w:tcPr>
            <w:tcW w:w="1701" w:type="dxa"/>
            <w:vAlign w:val="center"/>
          </w:tcPr>
          <w:p w14:paraId="0E1D152D"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0CC21C91"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34 733</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0DCEA98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119 558</w:t>
            </w:r>
          </w:p>
        </w:tc>
        <w:tc>
          <w:tcPr>
            <w:tcW w:w="1701" w:type="dxa"/>
            <w:shd w:val="clear" w:color="auto" w:fill="FDEADA"/>
            <w:vAlign w:val="bottom"/>
          </w:tcPr>
          <w:p w14:paraId="4C49E154"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1 464 695</w:t>
            </w:r>
          </w:p>
        </w:tc>
      </w:tr>
      <w:tr w:rsidR="00EA051D" w:rsidRPr="00156901" w14:paraId="3A767F2E" w14:textId="77777777" w:rsidTr="00156901">
        <w:trPr>
          <w:trHeight w:val="312"/>
        </w:trPr>
        <w:tc>
          <w:tcPr>
            <w:tcW w:w="1413" w:type="dxa"/>
            <w:vAlign w:val="center"/>
          </w:tcPr>
          <w:p w14:paraId="09E5EFEF"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Saldus NAI</w:t>
            </w:r>
          </w:p>
        </w:tc>
        <w:tc>
          <w:tcPr>
            <w:tcW w:w="992" w:type="dxa"/>
            <w:vAlign w:val="center"/>
          </w:tcPr>
          <w:p w14:paraId="5532502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18 288</w:t>
            </w:r>
          </w:p>
        </w:tc>
        <w:tc>
          <w:tcPr>
            <w:tcW w:w="1701" w:type="dxa"/>
            <w:vAlign w:val="center"/>
          </w:tcPr>
          <w:p w14:paraId="063AE2E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4 157</w:t>
            </w:r>
          </w:p>
        </w:tc>
        <w:tc>
          <w:tcPr>
            <w:tcW w:w="1418" w:type="dxa"/>
            <w:vAlign w:val="center"/>
          </w:tcPr>
          <w:p w14:paraId="1C20A5B8"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22 445</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2B8254D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85 751</w:t>
            </w:r>
          </w:p>
        </w:tc>
        <w:tc>
          <w:tcPr>
            <w:tcW w:w="1701" w:type="dxa"/>
            <w:shd w:val="clear" w:color="auto" w:fill="FDEADA"/>
            <w:vAlign w:val="bottom"/>
          </w:tcPr>
          <w:p w14:paraId="41FDA382"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1 082 715</w:t>
            </w:r>
          </w:p>
        </w:tc>
      </w:tr>
      <w:tr w:rsidR="00EA051D" w:rsidRPr="00156901" w14:paraId="33B5808C" w14:textId="77777777" w:rsidTr="00156901">
        <w:trPr>
          <w:trHeight w:val="312"/>
        </w:trPr>
        <w:tc>
          <w:tcPr>
            <w:tcW w:w="1413" w:type="dxa"/>
            <w:vAlign w:val="center"/>
          </w:tcPr>
          <w:p w14:paraId="6EF9D017"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Saulkrastu NAI</w:t>
            </w:r>
          </w:p>
        </w:tc>
        <w:tc>
          <w:tcPr>
            <w:tcW w:w="992" w:type="dxa"/>
            <w:vAlign w:val="center"/>
          </w:tcPr>
          <w:p w14:paraId="00B0EE0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9 218</w:t>
            </w:r>
          </w:p>
        </w:tc>
        <w:tc>
          <w:tcPr>
            <w:tcW w:w="1701" w:type="dxa"/>
            <w:vAlign w:val="center"/>
          </w:tcPr>
          <w:p w14:paraId="1EA85D2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3C09ABFB"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9 218</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5A179E3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57 604</w:t>
            </w:r>
          </w:p>
        </w:tc>
        <w:tc>
          <w:tcPr>
            <w:tcW w:w="1701" w:type="dxa"/>
            <w:shd w:val="clear" w:color="auto" w:fill="FDEADA"/>
            <w:vAlign w:val="bottom"/>
          </w:tcPr>
          <w:p w14:paraId="571DF7BA"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671 547</w:t>
            </w:r>
          </w:p>
        </w:tc>
      </w:tr>
      <w:tr w:rsidR="00EA051D" w:rsidRPr="00156901" w14:paraId="1C2A8E90" w14:textId="77777777" w:rsidTr="00156901">
        <w:trPr>
          <w:trHeight w:val="312"/>
        </w:trPr>
        <w:tc>
          <w:tcPr>
            <w:tcW w:w="1413" w:type="dxa"/>
            <w:vAlign w:val="center"/>
          </w:tcPr>
          <w:p w14:paraId="55115CDD"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Siguldas NAI</w:t>
            </w:r>
          </w:p>
        </w:tc>
        <w:tc>
          <w:tcPr>
            <w:tcW w:w="992" w:type="dxa"/>
            <w:vAlign w:val="center"/>
          </w:tcPr>
          <w:p w14:paraId="16247A9B"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10 959</w:t>
            </w:r>
          </w:p>
        </w:tc>
        <w:tc>
          <w:tcPr>
            <w:tcW w:w="1701" w:type="dxa"/>
            <w:vAlign w:val="center"/>
          </w:tcPr>
          <w:p w14:paraId="10804A81"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55</w:t>
            </w:r>
          </w:p>
        </w:tc>
        <w:tc>
          <w:tcPr>
            <w:tcW w:w="1418" w:type="dxa"/>
            <w:vAlign w:val="center"/>
          </w:tcPr>
          <w:p w14:paraId="24B6E133"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11 014</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16EA2D0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54 302</w:t>
            </w:r>
          </w:p>
        </w:tc>
        <w:tc>
          <w:tcPr>
            <w:tcW w:w="1701" w:type="dxa"/>
            <w:shd w:val="clear" w:color="auto" w:fill="FDEADA"/>
            <w:vAlign w:val="bottom"/>
          </w:tcPr>
          <w:p w14:paraId="30CF4F86"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727 376</w:t>
            </w:r>
          </w:p>
        </w:tc>
      </w:tr>
      <w:tr w:rsidR="00EA051D" w:rsidRPr="00156901" w14:paraId="324992C6" w14:textId="77777777" w:rsidTr="00156901">
        <w:trPr>
          <w:trHeight w:val="312"/>
        </w:trPr>
        <w:tc>
          <w:tcPr>
            <w:tcW w:w="1413" w:type="dxa"/>
            <w:vAlign w:val="center"/>
          </w:tcPr>
          <w:p w14:paraId="27ABFDB6"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Talsu NAI</w:t>
            </w:r>
          </w:p>
        </w:tc>
        <w:tc>
          <w:tcPr>
            <w:tcW w:w="992" w:type="dxa"/>
            <w:vAlign w:val="center"/>
          </w:tcPr>
          <w:p w14:paraId="0C30E8F7"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16 201</w:t>
            </w:r>
          </w:p>
        </w:tc>
        <w:tc>
          <w:tcPr>
            <w:tcW w:w="1701" w:type="dxa"/>
            <w:vAlign w:val="center"/>
          </w:tcPr>
          <w:p w14:paraId="4B6607E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3 841</w:t>
            </w:r>
          </w:p>
        </w:tc>
        <w:tc>
          <w:tcPr>
            <w:tcW w:w="1418" w:type="dxa"/>
            <w:vAlign w:val="center"/>
          </w:tcPr>
          <w:p w14:paraId="2449D6ED"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20 042</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3FC709C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79 140</w:t>
            </w:r>
          </w:p>
        </w:tc>
        <w:tc>
          <w:tcPr>
            <w:tcW w:w="1701" w:type="dxa"/>
            <w:shd w:val="clear" w:color="auto" w:fill="FDEADA"/>
            <w:vAlign w:val="bottom"/>
          </w:tcPr>
          <w:p w14:paraId="51CFF728"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1 008 017</w:t>
            </w:r>
          </w:p>
        </w:tc>
      </w:tr>
      <w:tr w:rsidR="00EA051D" w:rsidRPr="00156901" w14:paraId="228575FE" w14:textId="77777777" w:rsidTr="00156901">
        <w:trPr>
          <w:trHeight w:val="312"/>
        </w:trPr>
        <w:tc>
          <w:tcPr>
            <w:tcW w:w="1413" w:type="dxa"/>
            <w:vAlign w:val="center"/>
          </w:tcPr>
          <w:p w14:paraId="4B907638"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Tukuma NAI</w:t>
            </w:r>
          </w:p>
        </w:tc>
        <w:tc>
          <w:tcPr>
            <w:tcW w:w="992" w:type="dxa"/>
            <w:vAlign w:val="center"/>
          </w:tcPr>
          <w:p w14:paraId="00141658"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47 837</w:t>
            </w:r>
          </w:p>
        </w:tc>
        <w:tc>
          <w:tcPr>
            <w:tcW w:w="1701" w:type="dxa"/>
            <w:vAlign w:val="center"/>
          </w:tcPr>
          <w:p w14:paraId="1DA9D2D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12 950</w:t>
            </w:r>
          </w:p>
        </w:tc>
        <w:tc>
          <w:tcPr>
            <w:tcW w:w="1418" w:type="dxa"/>
            <w:vAlign w:val="center"/>
          </w:tcPr>
          <w:p w14:paraId="170A1D4F"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60 787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7A131E56"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163 884</w:t>
            </w:r>
          </w:p>
        </w:tc>
        <w:tc>
          <w:tcPr>
            <w:tcW w:w="1701" w:type="dxa"/>
            <w:shd w:val="clear" w:color="auto" w:fill="FDEADA"/>
            <w:vAlign w:val="bottom"/>
          </w:tcPr>
          <w:p w14:paraId="4A7FC3C0"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2 282 069</w:t>
            </w:r>
          </w:p>
        </w:tc>
      </w:tr>
      <w:tr w:rsidR="00EA051D" w:rsidRPr="00156901" w14:paraId="78B1AADE" w14:textId="77777777" w:rsidTr="00156901">
        <w:trPr>
          <w:trHeight w:val="312"/>
        </w:trPr>
        <w:tc>
          <w:tcPr>
            <w:tcW w:w="1413" w:type="dxa"/>
            <w:vAlign w:val="center"/>
          </w:tcPr>
          <w:p w14:paraId="750C518F"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Upeslejas NAI</w:t>
            </w:r>
          </w:p>
        </w:tc>
        <w:tc>
          <w:tcPr>
            <w:tcW w:w="992" w:type="dxa"/>
            <w:vAlign w:val="center"/>
          </w:tcPr>
          <w:p w14:paraId="74A1D54E"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5 667</w:t>
            </w:r>
          </w:p>
        </w:tc>
        <w:tc>
          <w:tcPr>
            <w:tcW w:w="1701" w:type="dxa"/>
            <w:vAlign w:val="center"/>
          </w:tcPr>
          <w:p w14:paraId="7F810300"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10 043</w:t>
            </w:r>
          </w:p>
        </w:tc>
        <w:tc>
          <w:tcPr>
            <w:tcW w:w="1418" w:type="dxa"/>
            <w:vAlign w:val="center"/>
          </w:tcPr>
          <w:p w14:paraId="135D05F9"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15 710</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72BAD561"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67 221</w:t>
            </w:r>
          </w:p>
        </w:tc>
        <w:tc>
          <w:tcPr>
            <w:tcW w:w="1701" w:type="dxa"/>
            <w:shd w:val="clear" w:color="auto" w:fill="FDEADA"/>
            <w:vAlign w:val="bottom"/>
          </w:tcPr>
          <w:p w14:paraId="0498E5B9"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873 354</w:t>
            </w:r>
          </w:p>
        </w:tc>
      </w:tr>
      <w:tr w:rsidR="00EA051D" w:rsidRPr="00156901" w14:paraId="1A3E9481" w14:textId="77777777" w:rsidTr="00156901">
        <w:trPr>
          <w:trHeight w:val="312"/>
        </w:trPr>
        <w:tc>
          <w:tcPr>
            <w:tcW w:w="1413" w:type="dxa"/>
            <w:vAlign w:val="center"/>
          </w:tcPr>
          <w:p w14:paraId="52F4FD7C"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Valmieras NAI</w:t>
            </w:r>
          </w:p>
        </w:tc>
        <w:tc>
          <w:tcPr>
            <w:tcW w:w="992" w:type="dxa"/>
            <w:vAlign w:val="center"/>
          </w:tcPr>
          <w:p w14:paraId="1BAD5B2F"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43 527</w:t>
            </w:r>
          </w:p>
        </w:tc>
        <w:tc>
          <w:tcPr>
            <w:tcW w:w="1701" w:type="dxa"/>
            <w:vAlign w:val="center"/>
          </w:tcPr>
          <w:p w14:paraId="648FEB72"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2 070</w:t>
            </w:r>
          </w:p>
        </w:tc>
        <w:tc>
          <w:tcPr>
            <w:tcW w:w="1418" w:type="dxa"/>
            <w:vAlign w:val="center"/>
          </w:tcPr>
          <w:p w14:paraId="0048584C"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45 597</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727013F4"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239 893</w:t>
            </w:r>
          </w:p>
        </w:tc>
        <w:tc>
          <w:tcPr>
            <w:tcW w:w="1701" w:type="dxa"/>
            <w:shd w:val="clear" w:color="auto" w:fill="FDEADA"/>
            <w:vAlign w:val="bottom"/>
          </w:tcPr>
          <w:p w14:paraId="50BA6842"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2 243 177</w:t>
            </w:r>
          </w:p>
        </w:tc>
      </w:tr>
      <w:tr w:rsidR="00EA051D" w:rsidRPr="00156901" w14:paraId="2FCA4A0E" w14:textId="77777777" w:rsidTr="00156901">
        <w:trPr>
          <w:trHeight w:val="312"/>
        </w:trPr>
        <w:tc>
          <w:tcPr>
            <w:tcW w:w="1413" w:type="dxa"/>
            <w:vAlign w:val="bottom"/>
          </w:tcPr>
          <w:p w14:paraId="6DD3DB3F" w14:textId="77777777" w:rsidR="00EA051D" w:rsidRPr="00156901" w:rsidRDefault="00EA051D" w:rsidP="00D70884">
            <w:pPr>
              <w:spacing w:after="60"/>
              <w:rPr>
                <w:rFonts w:ascii="Times New Roman" w:hAnsi="Times New Roman" w:cs="Times New Roman"/>
                <w:sz w:val="18"/>
                <w:szCs w:val="18"/>
              </w:rPr>
            </w:pPr>
            <w:r w:rsidRPr="00156901">
              <w:rPr>
                <w:rFonts w:ascii="Times New Roman" w:hAnsi="Times New Roman" w:cs="Times New Roman"/>
                <w:color w:val="000000"/>
                <w:sz w:val="18"/>
                <w:szCs w:val="18"/>
              </w:rPr>
              <w:t>Ventspils NAI</w:t>
            </w:r>
          </w:p>
        </w:tc>
        <w:tc>
          <w:tcPr>
            <w:tcW w:w="992" w:type="dxa"/>
            <w:vAlign w:val="center"/>
          </w:tcPr>
          <w:p w14:paraId="738EFD8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93 630</w:t>
            </w:r>
          </w:p>
        </w:tc>
        <w:tc>
          <w:tcPr>
            <w:tcW w:w="1701" w:type="dxa"/>
            <w:vAlign w:val="center"/>
          </w:tcPr>
          <w:p w14:paraId="4FA18880"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0,00</w:t>
            </w:r>
          </w:p>
        </w:tc>
        <w:tc>
          <w:tcPr>
            <w:tcW w:w="1418" w:type="dxa"/>
            <w:vAlign w:val="center"/>
          </w:tcPr>
          <w:p w14:paraId="02FE6999" w14:textId="77777777" w:rsidR="00EA051D" w:rsidRPr="00156901" w:rsidRDefault="00EA051D" w:rsidP="00D70884">
            <w:pPr>
              <w:spacing w:after="60"/>
              <w:jc w:val="center"/>
              <w:rPr>
                <w:rFonts w:ascii="Times New Roman" w:hAnsi="Times New Roman" w:cs="Times New Roman"/>
                <w:color w:val="000000"/>
                <w:sz w:val="18"/>
                <w:szCs w:val="18"/>
              </w:rPr>
            </w:pPr>
            <w:r w:rsidRPr="00156901">
              <w:rPr>
                <w:rFonts w:ascii="Times New Roman" w:hAnsi="Times New Roman" w:cs="Times New Roman"/>
                <w:color w:val="000000"/>
                <w:sz w:val="18"/>
                <w:szCs w:val="18"/>
              </w:rPr>
              <w:t>93 630</w:t>
            </w:r>
          </w:p>
        </w:tc>
        <w:tc>
          <w:tcPr>
            <w:tcW w:w="1701" w:type="dxa"/>
            <w:tcBorders>
              <w:top w:val="nil"/>
              <w:left w:val="single" w:sz="8" w:space="0" w:color="000000"/>
              <w:bottom w:val="single" w:sz="4" w:space="0" w:color="000000"/>
              <w:right w:val="single" w:sz="8" w:space="0" w:color="000000"/>
            </w:tcBorders>
            <w:shd w:val="clear" w:color="auto" w:fill="FDEADA"/>
            <w:vAlign w:val="bottom"/>
          </w:tcPr>
          <w:p w14:paraId="7525D6EA" w14:textId="77777777" w:rsidR="00EA051D" w:rsidRPr="00156901" w:rsidRDefault="00EA051D" w:rsidP="00D70884">
            <w:pPr>
              <w:spacing w:after="60"/>
              <w:jc w:val="center"/>
              <w:rPr>
                <w:rFonts w:ascii="Times New Roman" w:hAnsi="Times New Roman" w:cs="Times New Roman"/>
                <w:sz w:val="18"/>
                <w:szCs w:val="18"/>
              </w:rPr>
            </w:pPr>
            <w:r w:rsidRPr="00156901">
              <w:rPr>
                <w:rFonts w:ascii="Times New Roman" w:hAnsi="Times New Roman" w:cs="Times New Roman"/>
                <w:color w:val="000000"/>
                <w:sz w:val="18"/>
                <w:szCs w:val="18"/>
              </w:rPr>
              <w:t>250 828</w:t>
            </w:r>
          </w:p>
        </w:tc>
        <w:tc>
          <w:tcPr>
            <w:tcW w:w="1701" w:type="dxa"/>
            <w:shd w:val="clear" w:color="auto" w:fill="FDEADA"/>
            <w:vAlign w:val="bottom"/>
          </w:tcPr>
          <w:p w14:paraId="47B2C206" w14:textId="77777777" w:rsidR="00EA051D" w:rsidRPr="00156901" w:rsidRDefault="00EA051D" w:rsidP="00D70884">
            <w:pPr>
              <w:spacing w:after="60"/>
              <w:jc w:val="center"/>
              <w:rPr>
                <w:rFonts w:ascii="Times New Roman" w:hAnsi="Times New Roman" w:cs="Times New Roman"/>
                <w:b/>
                <w:sz w:val="18"/>
                <w:szCs w:val="18"/>
              </w:rPr>
            </w:pPr>
            <w:r w:rsidRPr="00156901">
              <w:rPr>
                <w:rFonts w:ascii="Times New Roman" w:hAnsi="Times New Roman" w:cs="Times New Roman"/>
                <w:color w:val="000000"/>
                <w:sz w:val="18"/>
                <w:szCs w:val="18"/>
              </w:rPr>
              <w:t>3 333 394</w:t>
            </w:r>
          </w:p>
        </w:tc>
      </w:tr>
      <w:tr w:rsidR="00EA051D" w:rsidRPr="00156901" w14:paraId="42A9DFBB" w14:textId="77777777" w:rsidTr="00156901">
        <w:trPr>
          <w:trHeight w:val="312"/>
        </w:trPr>
        <w:tc>
          <w:tcPr>
            <w:tcW w:w="1413" w:type="dxa"/>
          </w:tcPr>
          <w:p w14:paraId="7E87C7CF" w14:textId="77777777" w:rsidR="00EA051D" w:rsidRPr="00156901" w:rsidRDefault="00EA051D" w:rsidP="00D70884">
            <w:pPr>
              <w:spacing w:after="60"/>
              <w:rPr>
                <w:rFonts w:ascii="Times New Roman" w:hAnsi="Times New Roman" w:cs="Times New Roman"/>
                <w:b/>
                <w:sz w:val="20"/>
                <w:szCs w:val="20"/>
              </w:rPr>
            </w:pPr>
            <w:r w:rsidRPr="00156901">
              <w:rPr>
                <w:rFonts w:ascii="Times New Roman" w:hAnsi="Times New Roman" w:cs="Times New Roman"/>
                <w:b/>
                <w:sz w:val="20"/>
                <w:szCs w:val="20"/>
              </w:rPr>
              <w:lastRenderedPageBreak/>
              <w:t>KOPĀ</w:t>
            </w:r>
          </w:p>
        </w:tc>
        <w:tc>
          <w:tcPr>
            <w:tcW w:w="992" w:type="dxa"/>
          </w:tcPr>
          <w:p w14:paraId="3A095067" w14:textId="77777777" w:rsidR="00EA051D" w:rsidRPr="00156901" w:rsidRDefault="00EA051D" w:rsidP="00D70884">
            <w:pPr>
              <w:spacing w:after="60"/>
              <w:jc w:val="center"/>
              <w:rPr>
                <w:rFonts w:ascii="Times New Roman" w:hAnsi="Times New Roman" w:cs="Times New Roman"/>
                <w:sz w:val="20"/>
                <w:szCs w:val="20"/>
              </w:rPr>
            </w:pPr>
          </w:p>
        </w:tc>
        <w:tc>
          <w:tcPr>
            <w:tcW w:w="1701" w:type="dxa"/>
          </w:tcPr>
          <w:p w14:paraId="125E512B" w14:textId="77777777" w:rsidR="00EA051D" w:rsidRPr="00156901" w:rsidRDefault="00EA051D" w:rsidP="00D70884">
            <w:pPr>
              <w:spacing w:after="60"/>
              <w:jc w:val="center"/>
              <w:rPr>
                <w:rFonts w:ascii="Times New Roman" w:hAnsi="Times New Roman" w:cs="Times New Roman"/>
                <w:sz w:val="20"/>
                <w:szCs w:val="20"/>
              </w:rPr>
            </w:pPr>
          </w:p>
        </w:tc>
        <w:tc>
          <w:tcPr>
            <w:tcW w:w="1418" w:type="dxa"/>
          </w:tcPr>
          <w:p w14:paraId="475C989E" w14:textId="77777777" w:rsidR="00EA051D" w:rsidRPr="00156901" w:rsidRDefault="00EA051D" w:rsidP="00D70884">
            <w:pPr>
              <w:spacing w:after="60"/>
              <w:jc w:val="center"/>
              <w:rPr>
                <w:rFonts w:ascii="Times New Roman" w:hAnsi="Times New Roman" w:cs="Times New Roman"/>
                <w:b/>
                <w:color w:val="000000"/>
                <w:sz w:val="20"/>
                <w:szCs w:val="20"/>
              </w:rPr>
            </w:pPr>
            <w:r w:rsidRPr="00156901">
              <w:rPr>
                <w:rFonts w:ascii="Times New Roman" w:hAnsi="Times New Roman" w:cs="Times New Roman"/>
                <w:b/>
                <w:color w:val="000000"/>
                <w:sz w:val="20"/>
                <w:szCs w:val="20"/>
              </w:rPr>
              <w:t>1 187 948</w:t>
            </w:r>
          </w:p>
        </w:tc>
        <w:tc>
          <w:tcPr>
            <w:tcW w:w="1701" w:type="dxa"/>
            <w:shd w:val="clear" w:color="auto" w:fill="FDEADA"/>
          </w:tcPr>
          <w:p w14:paraId="4657AF81" w14:textId="77777777" w:rsidR="00EA051D" w:rsidRPr="00156901" w:rsidRDefault="00EA051D" w:rsidP="00D70884">
            <w:pPr>
              <w:spacing w:after="60"/>
              <w:jc w:val="center"/>
              <w:rPr>
                <w:rFonts w:ascii="Times New Roman" w:hAnsi="Times New Roman" w:cs="Times New Roman"/>
                <w:b/>
                <w:color w:val="FF0000"/>
                <w:sz w:val="20"/>
                <w:szCs w:val="20"/>
              </w:rPr>
            </w:pPr>
            <w:r w:rsidRPr="00156901">
              <w:rPr>
                <w:rFonts w:ascii="Times New Roman" w:hAnsi="Times New Roman" w:cs="Times New Roman"/>
                <w:b/>
                <w:color w:val="FF0000"/>
                <w:sz w:val="20"/>
                <w:szCs w:val="20"/>
              </w:rPr>
              <w:t>3 940 993</w:t>
            </w:r>
          </w:p>
        </w:tc>
        <w:tc>
          <w:tcPr>
            <w:tcW w:w="1701" w:type="dxa"/>
            <w:shd w:val="clear" w:color="auto" w:fill="FDEADA"/>
          </w:tcPr>
          <w:p w14:paraId="2CF4B3FE" w14:textId="77777777" w:rsidR="00EA051D" w:rsidRPr="00156901" w:rsidRDefault="00EA051D" w:rsidP="00D70884">
            <w:pPr>
              <w:spacing w:after="60"/>
              <w:jc w:val="center"/>
              <w:rPr>
                <w:rFonts w:ascii="Times New Roman" w:hAnsi="Times New Roman" w:cs="Times New Roman"/>
                <w:b/>
                <w:color w:val="FF0000"/>
                <w:sz w:val="20"/>
                <w:szCs w:val="20"/>
              </w:rPr>
            </w:pPr>
            <w:r w:rsidRPr="00156901">
              <w:rPr>
                <w:rFonts w:ascii="Times New Roman" w:hAnsi="Times New Roman" w:cs="Times New Roman"/>
                <w:b/>
                <w:color w:val="FF0000"/>
                <w:sz w:val="20"/>
                <w:szCs w:val="20"/>
              </w:rPr>
              <w:t>48 665 897</w:t>
            </w:r>
          </w:p>
        </w:tc>
      </w:tr>
    </w:tbl>
    <w:p w14:paraId="09F8D537" w14:textId="1D011746" w:rsidR="00EA051D" w:rsidRPr="00A2500D" w:rsidRDefault="00EA051D" w:rsidP="00A2500D">
      <w:pPr>
        <w:spacing w:after="0"/>
        <w:ind w:firstLine="720"/>
        <w:rPr>
          <w:rFonts w:ascii="Times New Roman" w:hAnsi="Times New Roman" w:cs="Times New Roman"/>
        </w:rPr>
      </w:pPr>
      <w:r w:rsidRPr="00A2500D">
        <w:rPr>
          <w:rFonts w:ascii="Times New Roman" w:hAnsi="Times New Roman" w:cs="Times New Roman"/>
        </w:rPr>
        <w:t>Nodrošinot notekūdeņu dūņu pārstrādi 30 dūņu pārstrādes centros visā Latvijā, kopējās ikgadējās notekūdeņu dūņu pārstrādes izmaksas ir aprēķinātas aptuveni 3,94 milj EUR gadā, savukārt kopējās nepieciešamās kapitālās investīcijas sistēmas izveidošanai ir aprēķinātas aptuveni 48,67 milj</w:t>
      </w:r>
      <w:r w:rsidR="000A2AB7">
        <w:rPr>
          <w:rFonts w:ascii="Times New Roman" w:hAnsi="Times New Roman" w:cs="Times New Roman"/>
        </w:rPr>
        <w:t>.</w:t>
      </w:r>
      <w:r w:rsidRPr="00A2500D">
        <w:rPr>
          <w:rFonts w:ascii="Times New Roman" w:hAnsi="Times New Roman" w:cs="Times New Roman"/>
        </w:rPr>
        <w:t xml:space="preserve"> EUR, kas ir mazāk nekā D1 alternatīvas gadījumā.</w:t>
      </w:r>
    </w:p>
    <w:p w14:paraId="2A184F03" w14:textId="77777777" w:rsidR="00EA051D" w:rsidRPr="00175DD0" w:rsidRDefault="00EA051D" w:rsidP="00A2500D">
      <w:pPr>
        <w:spacing w:after="0"/>
        <w:rPr>
          <w:rFonts w:cstheme="minorHAnsi"/>
        </w:rPr>
      </w:pPr>
    </w:p>
    <w:p w14:paraId="019BEA21" w14:textId="77777777" w:rsidR="00EA051D" w:rsidRPr="0033498C" w:rsidRDefault="00EA051D" w:rsidP="0033498C">
      <w:pPr>
        <w:jc w:val="center"/>
        <w:rPr>
          <w:rFonts w:ascii="Times New Roman" w:hAnsi="Times New Roman" w:cs="Times New Roman"/>
          <w:b/>
          <w:bCs/>
          <w:color w:val="5B9BD5" w:themeColor="accent1"/>
        </w:rPr>
      </w:pPr>
      <w:bookmarkStart w:id="114" w:name="_Toc82277648"/>
      <w:r w:rsidRPr="0033498C">
        <w:rPr>
          <w:rFonts w:ascii="Times New Roman" w:hAnsi="Times New Roman" w:cs="Times New Roman"/>
          <w:b/>
          <w:bCs/>
          <w:color w:val="5B9BD5" w:themeColor="accent1"/>
        </w:rPr>
        <w:t>D3. Alternatīva: Notekūdeņu dūņu pārstrāde 16 notekūdeņu dūņu pārstrādes centros</w:t>
      </w:r>
      <w:bookmarkEnd w:id="114"/>
    </w:p>
    <w:p w14:paraId="0D5A68FD" w14:textId="77777777" w:rsidR="00A2500D" w:rsidRDefault="00A2500D" w:rsidP="00A2500D">
      <w:pPr>
        <w:spacing w:after="0"/>
        <w:ind w:firstLine="720"/>
        <w:rPr>
          <w:rFonts w:ascii="Times New Roman" w:hAnsi="Times New Roman" w:cs="Times New Roman"/>
        </w:rPr>
      </w:pPr>
    </w:p>
    <w:p w14:paraId="5571A4C4" w14:textId="29DCF2B1" w:rsidR="00EA051D" w:rsidRPr="00A2500D" w:rsidRDefault="00EA051D" w:rsidP="00A2500D">
      <w:pPr>
        <w:spacing w:after="0"/>
        <w:ind w:firstLine="720"/>
        <w:rPr>
          <w:rFonts w:ascii="Times New Roman" w:hAnsi="Times New Roman" w:cs="Times New Roman"/>
        </w:rPr>
      </w:pPr>
      <w:r w:rsidRPr="00A2500D">
        <w:rPr>
          <w:rFonts w:ascii="Times New Roman" w:hAnsi="Times New Roman" w:cs="Times New Roman"/>
        </w:rPr>
        <w:t xml:space="preserve">Izstrādājot 30 dūņu pārstrādes centru risinājumu par pamatu, ir ņemts dūņu utilizācijas izmaksu ietaupījums mazākajos dūņu pārstrādes centros, kuros dūņu apjoms ir neliels efektīvai dūņu pārstrādei. Centralizējot notekūdeņu dūņas lielos dūņu pārstrādes centros “vārtu maksa” var tikt aprēķināta pēc izmaksu segšanas principa. Veidojot lielus notekūdeņu dūņu pārstrādes centrus, “vārtu maksa” samazinās, jo efektīvāk tiek izmantota centros koncertētās tehnoloģiskās vienības. Veicot papildus aprēķinus ir secināts, ka ekonomiski izdevīgākais risinājums ir dūņu centralizācija 16 dūņu pārstrādes centros, kuros vidējā dūņu pārstrādes “vārtu maksa” ir 40,00 EUR par vienu tonnu mehāniski atūdeņotu (18% sausna) dūņu. Šādā gadījumā tiek sasniegts lielākais ekonomiskais efekts, ņemot vērā dūņu transportēšanas izmaksas pret nepieciešamajām ikgadējām dūņu pārstrādes centru </w:t>
      </w:r>
      <w:r w:rsidRPr="00103F80">
        <w:rPr>
          <w:rFonts w:ascii="Times New Roman" w:hAnsi="Times New Roman" w:cs="Times New Roman"/>
        </w:rPr>
        <w:t xml:space="preserve">uzturēšanas izmaksām. 16 dūņu centru ģeogrāfisko izvietojumu valsts mērogā skatīt </w:t>
      </w:r>
      <w:r w:rsidR="009231A0" w:rsidRPr="00103F80">
        <w:rPr>
          <w:rFonts w:ascii="Times New Roman" w:hAnsi="Times New Roman" w:cs="Times New Roman"/>
        </w:rPr>
        <w:t>4.</w:t>
      </w:r>
      <w:r w:rsidR="00103F80" w:rsidRPr="00103F80">
        <w:rPr>
          <w:rFonts w:ascii="Times New Roman" w:hAnsi="Times New Roman" w:cs="Times New Roman"/>
        </w:rPr>
        <w:t>5.</w:t>
      </w:r>
      <w:r w:rsidR="009231A0" w:rsidRPr="00103F80">
        <w:rPr>
          <w:rFonts w:ascii="Times New Roman" w:hAnsi="Times New Roman" w:cs="Times New Roman"/>
        </w:rPr>
        <w:t>3.</w:t>
      </w:r>
      <w:r w:rsidRPr="00103F80">
        <w:rPr>
          <w:rFonts w:ascii="Times New Roman" w:hAnsi="Times New Roman" w:cs="Times New Roman"/>
        </w:rPr>
        <w:t xml:space="preserve">attēlā </w:t>
      </w:r>
      <w:r w:rsidRPr="00103F80">
        <w:rPr>
          <w:rFonts w:ascii="Times New Roman" w:hAnsi="Times New Roman" w:cs="Times New Roman"/>
          <w:color w:val="000000"/>
        </w:rPr>
        <w:t>“16 notekūdeņu dūņu pārstrāde centru izvietojums Latvijā”</w:t>
      </w:r>
      <w:r w:rsidRPr="00103F80">
        <w:rPr>
          <w:rFonts w:ascii="Times New Roman" w:hAnsi="Times New Roman" w:cs="Times New Roman"/>
        </w:rPr>
        <w:t>.</w:t>
      </w:r>
    </w:p>
    <w:p w14:paraId="03CAD690" w14:textId="77777777" w:rsidR="00EA051D" w:rsidRPr="00175DD0" w:rsidRDefault="00EA051D" w:rsidP="00EA051D">
      <w:pPr>
        <w:rPr>
          <w:rFonts w:cstheme="minorHAnsi"/>
        </w:rPr>
      </w:pPr>
    </w:p>
    <w:p w14:paraId="17960BB6" w14:textId="77777777" w:rsidR="00EA051D" w:rsidRPr="00175DD0" w:rsidRDefault="00EA051D" w:rsidP="00EA051D">
      <w:pPr>
        <w:rPr>
          <w:rFonts w:cstheme="minorHAnsi"/>
        </w:rPr>
        <w:sectPr w:rsidR="00EA051D" w:rsidRPr="00175DD0" w:rsidSect="007E349D">
          <w:pgSz w:w="12240" w:h="15840"/>
          <w:pgMar w:top="1134" w:right="1701" w:bottom="1134" w:left="1701" w:header="720" w:footer="720" w:gutter="0"/>
          <w:cols w:space="720"/>
        </w:sectPr>
      </w:pPr>
    </w:p>
    <w:p w14:paraId="724BFDD6" w14:textId="77777777" w:rsidR="00EA051D" w:rsidRPr="00175DD0" w:rsidRDefault="00EA051D" w:rsidP="00EA051D">
      <w:pPr>
        <w:jc w:val="center"/>
        <w:rPr>
          <w:rFonts w:cstheme="minorHAnsi"/>
        </w:rPr>
      </w:pPr>
      <w:r w:rsidRPr="00175DD0">
        <w:rPr>
          <w:rFonts w:cstheme="minorHAnsi"/>
          <w:noProof/>
          <w:lang w:eastAsia="lv-LV"/>
        </w:rPr>
        <w:lastRenderedPageBreak/>
        <w:drawing>
          <wp:inline distT="0" distB="0" distL="0" distR="0" wp14:anchorId="3AA821C8" wp14:editId="5F24D3EA">
            <wp:extent cx="7679645" cy="5435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7685872" cy="5440008"/>
                    </a:xfrm>
                    <a:prstGeom prst="rect">
                      <a:avLst/>
                    </a:prstGeom>
                    <a:noFill/>
                    <a:ln>
                      <a:noFill/>
                    </a:ln>
                  </pic:spPr>
                </pic:pic>
              </a:graphicData>
            </a:graphic>
          </wp:inline>
        </w:drawing>
      </w:r>
    </w:p>
    <w:p w14:paraId="6855E7D6" w14:textId="3EF5594A" w:rsidR="00EA051D" w:rsidRPr="00080F2B" w:rsidRDefault="005B5F9B" w:rsidP="00EA051D">
      <w:pPr>
        <w:jc w:val="center"/>
        <w:rPr>
          <w:rFonts w:ascii="Times New Roman" w:hAnsi="Times New Roman" w:cs="Times New Roman"/>
        </w:rPr>
        <w:sectPr w:rsidR="00EA051D" w:rsidRPr="00080F2B" w:rsidSect="007E349D">
          <w:pgSz w:w="15840" w:h="12240" w:orient="landscape"/>
          <w:pgMar w:top="1134" w:right="1701" w:bottom="1134" w:left="1701" w:header="720" w:footer="720" w:gutter="0"/>
          <w:cols w:space="720"/>
          <w:docGrid w:linePitch="299"/>
        </w:sectPr>
      </w:pPr>
      <w:r w:rsidRPr="00920A3B">
        <w:rPr>
          <w:rFonts w:ascii="Times New Roman" w:hAnsi="Times New Roman" w:cs="Times New Roman"/>
          <w:b/>
          <w:bCs/>
        </w:rPr>
        <w:t>4.</w:t>
      </w:r>
      <w:r>
        <w:rPr>
          <w:rFonts w:ascii="Times New Roman" w:hAnsi="Times New Roman" w:cs="Times New Roman"/>
          <w:b/>
          <w:bCs/>
        </w:rPr>
        <w:t>5.3</w:t>
      </w:r>
      <w:r w:rsidR="00EA051D" w:rsidRPr="00080F2B">
        <w:rPr>
          <w:rFonts w:ascii="Times New Roman" w:hAnsi="Times New Roman" w:cs="Times New Roman"/>
          <w:b/>
          <w:bCs/>
        </w:rPr>
        <w:t>.</w:t>
      </w:r>
      <w:r w:rsidR="00080F2B" w:rsidRPr="00080F2B">
        <w:rPr>
          <w:rFonts w:ascii="Times New Roman" w:hAnsi="Times New Roman" w:cs="Times New Roman"/>
          <w:b/>
          <w:bCs/>
        </w:rPr>
        <w:t>a</w:t>
      </w:r>
      <w:r w:rsidR="00EA051D" w:rsidRPr="00080F2B">
        <w:rPr>
          <w:rFonts w:ascii="Times New Roman" w:hAnsi="Times New Roman" w:cs="Times New Roman"/>
          <w:b/>
          <w:bCs/>
        </w:rPr>
        <w:t>ttēls</w:t>
      </w:r>
      <w:r w:rsidR="00080F2B">
        <w:rPr>
          <w:rFonts w:ascii="Times New Roman" w:hAnsi="Times New Roman" w:cs="Times New Roman"/>
        </w:rPr>
        <w:t xml:space="preserve">. </w:t>
      </w:r>
      <w:r w:rsidR="00EA051D" w:rsidRPr="00080F2B">
        <w:rPr>
          <w:rFonts w:ascii="Times New Roman" w:hAnsi="Times New Roman" w:cs="Times New Roman"/>
        </w:rPr>
        <w:t>1</w:t>
      </w:r>
      <w:r w:rsidR="00080F2B">
        <w:rPr>
          <w:rFonts w:ascii="Times New Roman" w:hAnsi="Times New Roman" w:cs="Times New Roman"/>
        </w:rPr>
        <w:t>6</w:t>
      </w:r>
      <w:r w:rsidR="00EA051D" w:rsidRPr="00080F2B">
        <w:rPr>
          <w:rFonts w:ascii="Times New Roman" w:hAnsi="Times New Roman" w:cs="Times New Roman"/>
        </w:rPr>
        <w:t xml:space="preserve"> notekūdeņu dūņu pārstrādes centru izvietojums Latvijā</w:t>
      </w:r>
    </w:p>
    <w:p w14:paraId="42ABE890" w14:textId="77777777" w:rsidR="00EA051D" w:rsidRPr="009B56C5" w:rsidRDefault="00EA051D" w:rsidP="009B56C5">
      <w:pPr>
        <w:ind w:firstLine="720"/>
        <w:rPr>
          <w:rFonts w:ascii="Times New Roman" w:hAnsi="Times New Roman" w:cs="Times New Roman"/>
        </w:rPr>
      </w:pPr>
      <w:r w:rsidRPr="009B56C5">
        <w:rPr>
          <w:rFonts w:ascii="Times New Roman" w:hAnsi="Times New Roman" w:cs="Times New Roman"/>
        </w:rPr>
        <w:lastRenderedPageBreak/>
        <w:t>Līdzīgi kā 30 centru alternatīvas gadījumā arī šajā gadījumā tiek pieņemts, ka sākotnēji visas dūņas tiek centralizētas attiecīgā pašvaldības centrā un tikai pēc to atūdeņošanas (apstrādes) tās tiek pārvestas uz lielāku dūņu pārstrādes centru. Dūņu transportēšanas biežums nav ierobežots un tās tiek izvestas tiklīdz attiecīgā transporta vienība ir piepildīta, līdz ar to netiek plānota atūdeņotu dūņu uzglabāšana attiecīgajā pašvaldības centrā.</w:t>
      </w:r>
    </w:p>
    <w:p w14:paraId="3257CC86" w14:textId="4C8BF513" w:rsidR="009B56C5" w:rsidRPr="009B56C5" w:rsidRDefault="005B5F9B" w:rsidP="009B56C5">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rPr>
      </w:pPr>
      <w:r>
        <w:rPr>
          <w:rFonts w:ascii="Times New Roman" w:hAnsi="Times New Roman" w:cs="Times New Roman"/>
        </w:rPr>
        <w:t>4.5.6.</w:t>
      </w:r>
      <w:r w:rsidR="00EA051D" w:rsidRPr="009B56C5">
        <w:rPr>
          <w:rFonts w:ascii="Times New Roman" w:hAnsi="Times New Roman" w:cs="Times New Roman"/>
        </w:rPr>
        <w:t>tabula</w:t>
      </w:r>
    </w:p>
    <w:p w14:paraId="5805C4C3" w14:textId="1739127C" w:rsidR="00EA051D" w:rsidRPr="009B56C5" w:rsidRDefault="00EA051D" w:rsidP="009B56C5">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bCs/>
        </w:rPr>
      </w:pPr>
      <w:r w:rsidRPr="009B56C5">
        <w:rPr>
          <w:rFonts w:ascii="Times New Roman" w:hAnsi="Times New Roman" w:cs="Times New Roman"/>
          <w:b/>
          <w:bCs/>
        </w:rPr>
        <w:t xml:space="preserve">16 dūņu pārstrādes centru ikgadējās uzturēšanas un investīciju izmaksas (aprēķinus skatīt </w:t>
      </w:r>
      <w:r w:rsidR="0078125D" w:rsidRPr="00156901">
        <w:rPr>
          <w:rFonts w:ascii="Times New Roman" w:hAnsi="Times New Roman" w:cs="Times New Roman"/>
          <w:b/>
          <w:bCs/>
        </w:rPr>
        <w:t xml:space="preserve">pielikumā </w:t>
      </w:r>
      <w:r w:rsidR="0078125D" w:rsidRPr="0078125D">
        <w:rPr>
          <w:rFonts w:ascii="Times New Roman" w:hAnsi="Times New Roman" w:cs="Times New Roman"/>
          <w:b/>
          <w:bCs/>
        </w:rPr>
        <w:t>4.9. Finanšu aprēķini “3. Uzturēšanas izmaksas notekūdeņu dūņu pārstrādē”</w:t>
      </w:r>
      <w:r w:rsidR="0078125D" w:rsidRPr="00156901">
        <w:rPr>
          <w:rFonts w:ascii="Times New Roman" w:hAnsi="Times New Roman" w:cs="Times New Roman"/>
          <w:b/>
          <w:bCs/>
        </w:rPr>
        <w:t xml:space="preserve"> un pielikumā </w:t>
      </w:r>
      <w:r w:rsidR="0078125D" w:rsidRPr="0078125D">
        <w:rPr>
          <w:rFonts w:ascii="Times New Roman" w:hAnsi="Times New Roman" w:cs="Times New Roman"/>
          <w:b/>
          <w:bCs/>
        </w:rPr>
        <w:t>4.10. Finanšu aprēķini “4. Kapitālās investīcijas notekūdeņu dūņu pārstrādē”</w:t>
      </w:r>
      <w:r w:rsidRPr="009B56C5">
        <w:rPr>
          <w:rFonts w:ascii="Times New Roman" w:hAnsi="Times New Roman" w:cs="Times New Roman"/>
          <w:b/>
          <w:bCs/>
        </w:rPr>
        <w:t>)</w:t>
      </w:r>
    </w:p>
    <w:tbl>
      <w:tblPr>
        <w:tblStyle w:val="25"/>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134"/>
        <w:gridCol w:w="1843"/>
        <w:gridCol w:w="1417"/>
        <w:gridCol w:w="1560"/>
        <w:gridCol w:w="1701"/>
      </w:tblGrid>
      <w:tr w:rsidR="00EA051D" w:rsidRPr="009B56C5" w14:paraId="319BB365" w14:textId="77777777" w:rsidTr="009B56C5">
        <w:trPr>
          <w:trHeight w:val="1152"/>
        </w:trPr>
        <w:tc>
          <w:tcPr>
            <w:tcW w:w="1271" w:type="dxa"/>
            <w:vMerge w:val="restart"/>
          </w:tcPr>
          <w:p w14:paraId="705A4E9E" w14:textId="77777777" w:rsidR="00EA051D" w:rsidRPr="009B56C5" w:rsidRDefault="00EA051D" w:rsidP="00D70884">
            <w:pPr>
              <w:spacing w:after="60"/>
              <w:jc w:val="center"/>
              <w:rPr>
                <w:rFonts w:ascii="Times New Roman" w:hAnsi="Times New Roman" w:cs="Times New Roman"/>
                <w:b/>
                <w:sz w:val="20"/>
                <w:szCs w:val="20"/>
              </w:rPr>
            </w:pPr>
            <w:r w:rsidRPr="009B56C5">
              <w:rPr>
                <w:rFonts w:ascii="Times New Roman" w:hAnsi="Times New Roman" w:cs="Times New Roman"/>
                <w:b/>
                <w:sz w:val="20"/>
                <w:szCs w:val="20"/>
              </w:rPr>
              <w:t>Dūņu centra izveides vieta</w:t>
            </w:r>
          </w:p>
        </w:tc>
        <w:tc>
          <w:tcPr>
            <w:tcW w:w="1134" w:type="dxa"/>
            <w:vMerge w:val="restart"/>
          </w:tcPr>
          <w:p w14:paraId="5387052C" w14:textId="77777777" w:rsidR="00EA051D" w:rsidRPr="009B56C5" w:rsidRDefault="00EA051D" w:rsidP="00D70884">
            <w:pPr>
              <w:spacing w:after="60"/>
              <w:jc w:val="center"/>
              <w:rPr>
                <w:rFonts w:ascii="Times New Roman" w:hAnsi="Times New Roman" w:cs="Times New Roman"/>
                <w:b/>
                <w:sz w:val="20"/>
                <w:szCs w:val="20"/>
              </w:rPr>
            </w:pPr>
            <w:r w:rsidRPr="009B56C5">
              <w:rPr>
                <w:rFonts w:ascii="Times New Roman" w:hAnsi="Times New Roman" w:cs="Times New Roman"/>
                <w:b/>
                <w:sz w:val="20"/>
                <w:szCs w:val="20"/>
              </w:rPr>
              <w:t>Slapjo dūņu apjoms centrā (1%) t/g</w:t>
            </w:r>
          </w:p>
        </w:tc>
        <w:tc>
          <w:tcPr>
            <w:tcW w:w="1843" w:type="dxa"/>
            <w:vMerge w:val="restart"/>
          </w:tcPr>
          <w:p w14:paraId="7DDE59E6" w14:textId="77777777" w:rsidR="00EA051D" w:rsidRPr="009B56C5" w:rsidRDefault="00EA051D" w:rsidP="00D70884">
            <w:pPr>
              <w:spacing w:after="60"/>
              <w:jc w:val="center"/>
              <w:rPr>
                <w:rFonts w:ascii="Times New Roman" w:hAnsi="Times New Roman" w:cs="Times New Roman"/>
                <w:b/>
                <w:sz w:val="20"/>
                <w:szCs w:val="20"/>
              </w:rPr>
            </w:pPr>
            <w:r w:rsidRPr="009B56C5">
              <w:rPr>
                <w:rFonts w:ascii="Times New Roman" w:hAnsi="Times New Roman" w:cs="Times New Roman"/>
                <w:b/>
                <w:sz w:val="20"/>
                <w:szCs w:val="20"/>
              </w:rPr>
              <w:t>Papildus ievesto slapjo dūņu (1%) apjoma ekvivalents novada centrā  t/gadā</w:t>
            </w:r>
          </w:p>
        </w:tc>
        <w:tc>
          <w:tcPr>
            <w:tcW w:w="1417" w:type="dxa"/>
            <w:vMerge w:val="restart"/>
          </w:tcPr>
          <w:p w14:paraId="562BC27E" w14:textId="77777777" w:rsidR="00EA051D" w:rsidRPr="009B56C5" w:rsidRDefault="00EA051D" w:rsidP="00D70884">
            <w:pPr>
              <w:spacing w:after="60"/>
              <w:jc w:val="center"/>
              <w:rPr>
                <w:rFonts w:ascii="Times New Roman" w:hAnsi="Times New Roman" w:cs="Times New Roman"/>
                <w:b/>
                <w:sz w:val="20"/>
                <w:szCs w:val="20"/>
              </w:rPr>
            </w:pPr>
            <w:r w:rsidRPr="009B56C5">
              <w:rPr>
                <w:rFonts w:ascii="Times New Roman" w:hAnsi="Times New Roman" w:cs="Times New Roman"/>
                <w:b/>
                <w:sz w:val="20"/>
                <w:szCs w:val="20"/>
              </w:rPr>
              <w:t>Kopējais slapjo dūņu apjoms centrā (1%) t/gadā</w:t>
            </w:r>
          </w:p>
        </w:tc>
        <w:tc>
          <w:tcPr>
            <w:tcW w:w="1560" w:type="dxa"/>
            <w:vMerge w:val="restart"/>
            <w:shd w:val="clear" w:color="auto" w:fill="FDEADA"/>
          </w:tcPr>
          <w:p w14:paraId="67D13204" w14:textId="77777777" w:rsidR="00EA051D" w:rsidRPr="009B56C5" w:rsidRDefault="00EA051D" w:rsidP="00D70884">
            <w:pPr>
              <w:spacing w:after="60"/>
              <w:jc w:val="center"/>
              <w:rPr>
                <w:rFonts w:ascii="Times New Roman" w:hAnsi="Times New Roman" w:cs="Times New Roman"/>
                <w:b/>
                <w:sz w:val="20"/>
                <w:szCs w:val="20"/>
              </w:rPr>
            </w:pPr>
            <w:r w:rsidRPr="009B56C5">
              <w:rPr>
                <w:rFonts w:ascii="Times New Roman" w:hAnsi="Times New Roman" w:cs="Times New Roman"/>
                <w:b/>
                <w:sz w:val="20"/>
                <w:szCs w:val="20"/>
              </w:rPr>
              <w:t>Dūņu centra darbības ikgadējās izmaksas EUR/gadā</w:t>
            </w:r>
          </w:p>
        </w:tc>
        <w:tc>
          <w:tcPr>
            <w:tcW w:w="1701" w:type="dxa"/>
            <w:vMerge w:val="restart"/>
            <w:shd w:val="clear" w:color="auto" w:fill="FDEADA"/>
          </w:tcPr>
          <w:p w14:paraId="5F789FEA" w14:textId="77777777" w:rsidR="00EA051D" w:rsidRPr="009B56C5" w:rsidRDefault="00EA051D" w:rsidP="00D70884">
            <w:pPr>
              <w:spacing w:after="60"/>
              <w:jc w:val="center"/>
              <w:rPr>
                <w:rFonts w:ascii="Times New Roman" w:hAnsi="Times New Roman" w:cs="Times New Roman"/>
                <w:b/>
                <w:sz w:val="20"/>
                <w:szCs w:val="20"/>
              </w:rPr>
            </w:pPr>
            <w:r w:rsidRPr="009B56C5">
              <w:rPr>
                <w:rFonts w:ascii="Times New Roman" w:hAnsi="Times New Roman" w:cs="Times New Roman"/>
                <w:b/>
                <w:sz w:val="20"/>
                <w:szCs w:val="20"/>
              </w:rPr>
              <w:t>Dūņu centru izveides investīciju izmaksas EUR</w:t>
            </w:r>
          </w:p>
        </w:tc>
      </w:tr>
      <w:tr w:rsidR="00EA051D" w:rsidRPr="009B56C5" w14:paraId="56636384" w14:textId="77777777" w:rsidTr="009B56C5">
        <w:trPr>
          <w:trHeight w:val="509"/>
        </w:trPr>
        <w:tc>
          <w:tcPr>
            <w:tcW w:w="1271" w:type="dxa"/>
            <w:vMerge/>
          </w:tcPr>
          <w:p w14:paraId="3D3DE5EF" w14:textId="77777777" w:rsidR="00EA051D" w:rsidRPr="009B56C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134" w:type="dxa"/>
            <w:vMerge/>
          </w:tcPr>
          <w:p w14:paraId="0AAADD2A" w14:textId="77777777" w:rsidR="00EA051D" w:rsidRPr="009B56C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843" w:type="dxa"/>
            <w:vMerge/>
          </w:tcPr>
          <w:p w14:paraId="57F357D8" w14:textId="77777777" w:rsidR="00EA051D" w:rsidRPr="009B56C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417" w:type="dxa"/>
            <w:vMerge/>
          </w:tcPr>
          <w:p w14:paraId="2D7DCD2A" w14:textId="77777777" w:rsidR="00EA051D" w:rsidRPr="009B56C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560" w:type="dxa"/>
            <w:vMerge/>
            <w:shd w:val="clear" w:color="auto" w:fill="FDEADA"/>
          </w:tcPr>
          <w:p w14:paraId="4E3499FA" w14:textId="77777777" w:rsidR="00EA051D" w:rsidRPr="009B56C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shd w:val="clear" w:color="auto" w:fill="FDEADA"/>
          </w:tcPr>
          <w:p w14:paraId="5303DDDE" w14:textId="77777777" w:rsidR="00EA051D" w:rsidRPr="009B56C5"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9B56C5" w14:paraId="564870BC" w14:textId="77777777" w:rsidTr="009B56C5">
        <w:trPr>
          <w:trHeight w:val="312"/>
        </w:trPr>
        <w:tc>
          <w:tcPr>
            <w:tcW w:w="1271" w:type="dxa"/>
          </w:tcPr>
          <w:p w14:paraId="3DED9EF0"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Ādažu NAI</w:t>
            </w:r>
          </w:p>
        </w:tc>
        <w:tc>
          <w:tcPr>
            <w:tcW w:w="1134" w:type="dxa"/>
            <w:vAlign w:val="center"/>
          </w:tcPr>
          <w:p w14:paraId="5FF72AD0"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31 907</w:t>
            </w:r>
          </w:p>
        </w:tc>
        <w:tc>
          <w:tcPr>
            <w:tcW w:w="1843" w:type="dxa"/>
            <w:vAlign w:val="center"/>
          </w:tcPr>
          <w:p w14:paraId="28324E4C"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15 016</w:t>
            </w:r>
          </w:p>
        </w:tc>
        <w:tc>
          <w:tcPr>
            <w:tcW w:w="1417" w:type="dxa"/>
            <w:vAlign w:val="center"/>
          </w:tcPr>
          <w:p w14:paraId="2CF28031"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46 923</w:t>
            </w:r>
          </w:p>
        </w:tc>
        <w:tc>
          <w:tcPr>
            <w:tcW w:w="1560" w:type="dxa"/>
            <w:shd w:val="clear" w:color="auto" w:fill="FDEADA"/>
            <w:vAlign w:val="center"/>
          </w:tcPr>
          <w:p w14:paraId="6E2CB5A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167 397</w:t>
            </w:r>
          </w:p>
        </w:tc>
        <w:tc>
          <w:tcPr>
            <w:tcW w:w="1701" w:type="dxa"/>
            <w:shd w:val="clear" w:color="auto" w:fill="FDEADA"/>
            <w:vAlign w:val="center"/>
          </w:tcPr>
          <w:p w14:paraId="4442EB44"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2 148 276</w:t>
            </w:r>
          </w:p>
        </w:tc>
      </w:tr>
      <w:tr w:rsidR="00EA051D" w:rsidRPr="009B56C5" w14:paraId="74D3936C" w14:textId="77777777" w:rsidTr="009B56C5">
        <w:trPr>
          <w:trHeight w:val="312"/>
        </w:trPr>
        <w:tc>
          <w:tcPr>
            <w:tcW w:w="1271" w:type="dxa"/>
          </w:tcPr>
          <w:p w14:paraId="3419BEC1"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Cēsu NAI</w:t>
            </w:r>
          </w:p>
        </w:tc>
        <w:tc>
          <w:tcPr>
            <w:tcW w:w="1134" w:type="dxa"/>
            <w:vAlign w:val="center"/>
          </w:tcPr>
          <w:p w14:paraId="5AB7BF83"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40 145</w:t>
            </w:r>
          </w:p>
        </w:tc>
        <w:tc>
          <w:tcPr>
            <w:tcW w:w="1843" w:type="dxa"/>
            <w:vAlign w:val="center"/>
          </w:tcPr>
          <w:p w14:paraId="563AF6C8"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15 382</w:t>
            </w:r>
          </w:p>
        </w:tc>
        <w:tc>
          <w:tcPr>
            <w:tcW w:w="1417" w:type="dxa"/>
            <w:vAlign w:val="center"/>
          </w:tcPr>
          <w:p w14:paraId="2F1A299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55 527</w:t>
            </w:r>
          </w:p>
        </w:tc>
        <w:tc>
          <w:tcPr>
            <w:tcW w:w="1560" w:type="dxa"/>
            <w:shd w:val="clear" w:color="auto" w:fill="FDEADA"/>
            <w:vAlign w:val="center"/>
          </w:tcPr>
          <w:p w14:paraId="19BAD5B6"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186 696</w:t>
            </w:r>
          </w:p>
        </w:tc>
        <w:tc>
          <w:tcPr>
            <w:tcW w:w="1701" w:type="dxa"/>
            <w:shd w:val="clear" w:color="auto" w:fill="FDEADA"/>
            <w:vAlign w:val="center"/>
          </w:tcPr>
          <w:p w14:paraId="2FA555A6"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2 231 088</w:t>
            </w:r>
          </w:p>
        </w:tc>
      </w:tr>
      <w:tr w:rsidR="00EA051D" w:rsidRPr="009B56C5" w14:paraId="5764D9A3" w14:textId="77777777" w:rsidTr="009B56C5">
        <w:trPr>
          <w:trHeight w:val="221"/>
        </w:trPr>
        <w:tc>
          <w:tcPr>
            <w:tcW w:w="1271" w:type="dxa"/>
          </w:tcPr>
          <w:p w14:paraId="73CB996E"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Daugavpils NAI</w:t>
            </w:r>
          </w:p>
        </w:tc>
        <w:tc>
          <w:tcPr>
            <w:tcW w:w="1134" w:type="dxa"/>
            <w:vAlign w:val="center"/>
          </w:tcPr>
          <w:p w14:paraId="64CA1342"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151 893</w:t>
            </w:r>
          </w:p>
        </w:tc>
        <w:tc>
          <w:tcPr>
            <w:tcW w:w="1843" w:type="dxa"/>
            <w:vAlign w:val="center"/>
          </w:tcPr>
          <w:p w14:paraId="3751C662"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28 698</w:t>
            </w:r>
          </w:p>
        </w:tc>
        <w:tc>
          <w:tcPr>
            <w:tcW w:w="1417" w:type="dxa"/>
            <w:vAlign w:val="center"/>
          </w:tcPr>
          <w:p w14:paraId="57347DA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180 591</w:t>
            </w:r>
          </w:p>
        </w:tc>
        <w:tc>
          <w:tcPr>
            <w:tcW w:w="1560" w:type="dxa"/>
            <w:shd w:val="clear" w:color="auto" w:fill="FDEADA"/>
            <w:vAlign w:val="center"/>
          </w:tcPr>
          <w:p w14:paraId="13C590FE"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490 245</w:t>
            </w:r>
          </w:p>
        </w:tc>
        <w:tc>
          <w:tcPr>
            <w:tcW w:w="1701" w:type="dxa"/>
            <w:shd w:val="clear" w:color="auto" w:fill="FDEADA"/>
            <w:vAlign w:val="center"/>
          </w:tcPr>
          <w:p w14:paraId="1D581686"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6 139 734</w:t>
            </w:r>
          </w:p>
        </w:tc>
      </w:tr>
      <w:tr w:rsidR="00EA051D" w:rsidRPr="009B56C5" w14:paraId="564666B1" w14:textId="77777777" w:rsidTr="009B56C5">
        <w:trPr>
          <w:trHeight w:val="312"/>
        </w:trPr>
        <w:tc>
          <w:tcPr>
            <w:tcW w:w="1271" w:type="dxa"/>
          </w:tcPr>
          <w:p w14:paraId="52FE1C94"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Jelgavas NAI</w:t>
            </w:r>
          </w:p>
        </w:tc>
        <w:tc>
          <w:tcPr>
            <w:tcW w:w="1134" w:type="dxa"/>
            <w:vAlign w:val="center"/>
          </w:tcPr>
          <w:p w14:paraId="799B35D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120 608</w:t>
            </w:r>
          </w:p>
        </w:tc>
        <w:tc>
          <w:tcPr>
            <w:tcW w:w="1843" w:type="dxa"/>
            <w:vAlign w:val="center"/>
          </w:tcPr>
          <w:p w14:paraId="526DCF1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25 092</w:t>
            </w:r>
          </w:p>
        </w:tc>
        <w:tc>
          <w:tcPr>
            <w:tcW w:w="1417" w:type="dxa"/>
            <w:vAlign w:val="center"/>
          </w:tcPr>
          <w:p w14:paraId="59AEE94B"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145 700</w:t>
            </w:r>
          </w:p>
        </w:tc>
        <w:tc>
          <w:tcPr>
            <w:tcW w:w="1560" w:type="dxa"/>
            <w:shd w:val="clear" w:color="auto" w:fill="FDEADA"/>
            <w:vAlign w:val="center"/>
          </w:tcPr>
          <w:p w14:paraId="2638BBB6"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401 022</w:t>
            </w:r>
          </w:p>
        </w:tc>
        <w:tc>
          <w:tcPr>
            <w:tcW w:w="1701" w:type="dxa"/>
            <w:shd w:val="clear" w:color="auto" w:fill="FDEADA"/>
            <w:vAlign w:val="center"/>
          </w:tcPr>
          <w:p w14:paraId="69860A4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5 034 165</w:t>
            </w:r>
          </w:p>
        </w:tc>
      </w:tr>
      <w:tr w:rsidR="00EA051D" w:rsidRPr="009B56C5" w14:paraId="5FA63D0A" w14:textId="77777777" w:rsidTr="009B56C5">
        <w:trPr>
          <w:trHeight w:val="312"/>
        </w:trPr>
        <w:tc>
          <w:tcPr>
            <w:tcW w:w="1271" w:type="dxa"/>
          </w:tcPr>
          <w:p w14:paraId="65DE8704"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Jēkabpils NAI</w:t>
            </w:r>
          </w:p>
        </w:tc>
        <w:tc>
          <w:tcPr>
            <w:tcW w:w="1134" w:type="dxa"/>
            <w:vAlign w:val="center"/>
          </w:tcPr>
          <w:p w14:paraId="24EE81D1"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20 280</w:t>
            </w:r>
          </w:p>
        </w:tc>
        <w:tc>
          <w:tcPr>
            <w:tcW w:w="1843" w:type="dxa"/>
            <w:vAlign w:val="center"/>
          </w:tcPr>
          <w:p w14:paraId="6CF6EED6"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23 928</w:t>
            </w:r>
          </w:p>
        </w:tc>
        <w:tc>
          <w:tcPr>
            <w:tcW w:w="1417" w:type="dxa"/>
            <w:vAlign w:val="center"/>
          </w:tcPr>
          <w:p w14:paraId="5835859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45 025</w:t>
            </w:r>
          </w:p>
        </w:tc>
        <w:tc>
          <w:tcPr>
            <w:tcW w:w="1560" w:type="dxa"/>
            <w:shd w:val="clear" w:color="auto" w:fill="FDEADA"/>
            <w:vAlign w:val="center"/>
          </w:tcPr>
          <w:p w14:paraId="1854049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177 901</w:t>
            </w:r>
          </w:p>
        </w:tc>
        <w:tc>
          <w:tcPr>
            <w:tcW w:w="1701" w:type="dxa"/>
            <w:shd w:val="clear" w:color="auto" w:fill="FDEADA"/>
            <w:vAlign w:val="center"/>
          </w:tcPr>
          <w:p w14:paraId="6A412145"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1 904 627</w:t>
            </w:r>
          </w:p>
        </w:tc>
      </w:tr>
      <w:tr w:rsidR="00EA051D" w:rsidRPr="009B56C5" w14:paraId="57B39C4F" w14:textId="77777777" w:rsidTr="009B56C5">
        <w:trPr>
          <w:trHeight w:val="312"/>
        </w:trPr>
        <w:tc>
          <w:tcPr>
            <w:tcW w:w="1271" w:type="dxa"/>
          </w:tcPr>
          <w:p w14:paraId="078094D5"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Jūrmalas NAI</w:t>
            </w:r>
          </w:p>
        </w:tc>
        <w:tc>
          <w:tcPr>
            <w:tcW w:w="1134" w:type="dxa"/>
            <w:vAlign w:val="center"/>
          </w:tcPr>
          <w:p w14:paraId="6ADA6DF1"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55 304</w:t>
            </w:r>
          </w:p>
        </w:tc>
        <w:tc>
          <w:tcPr>
            <w:tcW w:w="1843" w:type="dxa"/>
            <w:vAlign w:val="center"/>
          </w:tcPr>
          <w:p w14:paraId="58B8AA1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0,00</w:t>
            </w:r>
          </w:p>
        </w:tc>
        <w:tc>
          <w:tcPr>
            <w:tcW w:w="1417" w:type="dxa"/>
            <w:vAlign w:val="center"/>
          </w:tcPr>
          <w:p w14:paraId="3F6211CB"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55 304</w:t>
            </w:r>
          </w:p>
        </w:tc>
        <w:tc>
          <w:tcPr>
            <w:tcW w:w="1560" w:type="dxa"/>
            <w:shd w:val="clear" w:color="auto" w:fill="FDEADA"/>
            <w:vAlign w:val="center"/>
          </w:tcPr>
          <w:p w14:paraId="30515FA1"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151 266</w:t>
            </w:r>
          </w:p>
        </w:tc>
        <w:tc>
          <w:tcPr>
            <w:tcW w:w="1701" w:type="dxa"/>
            <w:shd w:val="clear" w:color="auto" w:fill="FDEADA"/>
            <w:vAlign w:val="center"/>
          </w:tcPr>
          <w:p w14:paraId="3CCE76E2"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2 104 156</w:t>
            </w:r>
          </w:p>
        </w:tc>
      </w:tr>
      <w:tr w:rsidR="00EA051D" w:rsidRPr="009B56C5" w14:paraId="77F193D7" w14:textId="77777777" w:rsidTr="009B56C5">
        <w:trPr>
          <w:trHeight w:val="312"/>
        </w:trPr>
        <w:tc>
          <w:tcPr>
            <w:tcW w:w="1271" w:type="dxa"/>
          </w:tcPr>
          <w:p w14:paraId="2080653B"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Liepājas NAI</w:t>
            </w:r>
          </w:p>
        </w:tc>
        <w:tc>
          <w:tcPr>
            <w:tcW w:w="1134" w:type="dxa"/>
            <w:vAlign w:val="center"/>
          </w:tcPr>
          <w:p w14:paraId="78B85CCD"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79 209</w:t>
            </w:r>
          </w:p>
        </w:tc>
        <w:tc>
          <w:tcPr>
            <w:tcW w:w="1843" w:type="dxa"/>
            <w:vAlign w:val="center"/>
          </w:tcPr>
          <w:p w14:paraId="53CD128B"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3 369</w:t>
            </w:r>
          </w:p>
        </w:tc>
        <w:tc>
          <w:tcPr>
            <w:tcW w:w="1417" w:type="dxa"/>
            <w:vAlign w:val="center"/>
          </w:tcPr>
          <w:p w14:paraId="7D4D31E3"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82 578</w:t>
            </w:r>
          </w:p>
        </w:tc>
        <w:tc>
          <w:tcPr>
            <w:tcW w:w="1560" w:type="dxa"/>
            <w:shd w:val="clear" w:color="auto" w:fill="FDEADA"/>
            <w:vAlign w:val="center"/>
          </w:tcPr>
          <w:p w14:paraId="157FD80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224 150</w:t>
            </w:r>
          </w:p>
        </w:tc>
        <w:tc>
          <w:tcPr>
            <w:tcW w:w="1701" w:type="dxa"/>
            <w:shd w:val="clear" w:color="auto" w:fill="FDEADA"/>
            <w:vAlign w:val="center"/>
          </w:tcPr>
          <w:p w14:paraId="648FB3CC"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2 951 983</w:t>
            </w:r>
          </w:p>
        </w:tc>
      </w:tr>
      <w:tr w:rsidR="00EA051D" w:rsidRPr="009B56C5" w14:paraId="17FF647E" w14:textId="77777777" w:rsidTr="009B56C5">
        <w:trPr>
          <w:trHeight w:val="312"/>
        </w:trPr>
        <w:tc>
          <w:tcPr>
            <w:tcW w:w="1271" w:type="dxa"/>
          </w:tcPr>
          <w:p w14:paraId="09C18D2E"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Madonas NAI</w:t>
            </w:r>
          </w:p>
        </w:tc>
        <w:tc>
          <w:tcPr>
            <w:tcW w:w="1134" w:type="dxa"/>
            <w:vAlign w:val="center"/>
          </w:tcPr>
          <w:p w14:paraId="6151CABE"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7 658</w:t>
            </w:r>
          </w:p>
        </w:tc>
        <w:tc>
          <w:tcPr>
            <w:tcW w:w="1843" w:type="dxa"/>
            <w:vAlign w:val="center"/>
          </w:tcPr>
          <w:p w14:paraId="19DBBB3C"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29 561</w:t>
            </w:r>
          </w:p>
        </w:tc>
        <w:tc>
          <w:tcPr>
            <w:tcW w:w="1417" w:type="dxa"/>
            <w:vAlign w:val="center"/>
          </w:tcPr>
          <w:p w14:paraId="1DAAA8F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37 219</w:t>
            </w:r>
          </w:p>
        </w:tc>
        <w:tc>
          <w:tcPr>
            <w:tcW w:w="1560" w:type="dxa"/>
            <w:shd w:val="clear" w:color="auto" w:fill="FDEADA"/>
            <w:vAlign w:val="center"/>
          </w:tcPr>
          <w:p w14:paraId="3720E01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154 337</w:t>
            </w:r>
          </w:p>
        </w:tc>
        <w:tc>
          <w:tcPr>
            <w:tcW w:w="1701" w:type="dxa"/>
            <w:shd w:val="clear" w:color="auto" w:fill="FDEADA"/>
            <w:vAlign w:val="center"/>
          </w:tcPr>
          <w:p w14:paraId="03420D28"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1 661 973</w:t>
            </w:r>
          </w:p>
        </w:tc>
      </w:tr>
      <w:tr w:rsidR="00EA051D" w:rsidRPr="009B56C5" w14:paraId="47380A89" w14:textId="77777777" w:rsidTr="009B56C5">
        <w:trPr>
          <w:trHeight w:val="312"/>
        </w:trPr>
        <w:tc>
          <w:tcPr>
            <w:tcW w:w="1271" w:type="dxa"/>
          </w:tcPr>
          <w:p w14:paraId="3BBEE8A7"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Ogres NAI</w:t>
            </w:r>
          </w:p>
        </w:tc>
        <w:tc>
          <w:tcPr>
            <w:tcW w:w="1134" w:type="dxa"/>
            <w:vAlign w:val="center"/>
          </w:tcPr>
          <w:p w14:paraId="25F025F6"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41 000</w:t>
            </w:r>
          </w:p>
        </w:tc>
        <w:tc>
          <w:tcPr>
            <w:tcW w:w="1843" w:type="dxa"/>
            <w:vAlign w:val="center"/>
          </w:tcPr>
          <w:p w14:paraId="08ED194D"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2 645</w:t>
            </w:r>
          </w:p>
        </w:tc>
        <w:tc>
          <w:tcPr>
            <w:tcW w:w="1417" w:type="dxa"/>
            <w:vAlign w:val="center"/>
          </w:tcPr>
          <w:p w14:paraId="0AF044A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43 645</w:t>
            </w:r>
          </w:p>
        </w:tc>
        <w:tc>
          <w:tcPr>
            <w:tcW w:w="1560" w:type="dxa"/>
            <w:shd w:val="clear" w:color="auto" w:fill="FDEADA"/>
            <w:vAlign w:val="center"/>
          </w:tcPr>
          <w:p w14:paraId="3E86EF3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144 077</w:t>
            </w:r>
          </w:p>
        </w:tc>
        <w:tc>
          <w:tcPr>
            <w:tcW w:w="1701" w:type="dxa"/>
            <w:shd w:val="clear" w:color="auto" w:fill="FDEADA"/>
            <w:vAlign w:val="center"/>
          </w:tcPr>
          <w:p w14:paraId="5995144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1 557 081</w:t>
            </w:r>
          </w:p>
        </w:tc>
      </w:tr>
      <w:tr w:rsidR="00EA051D" w:rsidRPr="009B56C5" w14:paraId="774AC42B" w14:textId="77777777" w:rsidTr="009B56C5">
        <w:trPr>
          <w:trHeight w:val="312"/>
        </w:trPr>
        <w:tc>
          <w:tcPr>
            <w:tcW w:w="1271" w:type="dxa"/>
          </w:tcPr>
          <w:p w14:paraId="4BF917B0"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Olaines NAI</w:t>
            </w:r>
          </w:p>
        </w:tc>
        <w:tc>
          <w:tcPr>
            <w:tcW w:w="1134" w:type="dxa"/>
            <w:vAlign w:val="center"/>
          </w:tcPr>
          <w:p w14:paraId="2E0EA6B0"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31 765</w:t>
            </w:r>
          </w:p>
        </w:tc>
        <w:tc>
          <w:tcPr>
            <w:tcW w:w="1843" w:type="dxa"/>
            <w:vAlign w:val="center"/>
          </w:tcPr>
          <w:p w14:paraId="031D690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23 052</w:t>
            </w:r>
          </w:p>
        </w:tc>
        <w:tc>
          <w:tcPr>
            <w:tcW w:w="1417" w:type="dxa"/>
            <w:vAlign w:val="center"/>
          </w:tcPr>
          <w:p w14:paraId="1A5423FE"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54 817</w:t>
            </w:r>
          </w:p>
        </w:tc>
        <w:tc>
          <w:tcPr>
            <w:tcW w:w="1560" w:type="dxa"/>
            <w:shd w:val="clear" w:color="auto" w:fill="FDEADA"/>
            <w:vAlign w:val="center"/>
          </w:tcPr>
          <w:p w14:paraId="28F57BF4"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202 672</w:t>
            </w:r>
          </w:p>
        </w:tc>
        <w:tc>
          <w:tcPr>
            <w:tcW w:w="1701" w:type="dxa"/>
            <w:shd w:val="clear" w:color="auto" w:fill="FDEADA"/>
            <w:vAlign w:val="center"/>
          </w:tcPr>
          <w:p w14:paraId="6CA0FE5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2 209 017</w:t>
            </w:r>
          </w:p>
        </w:tc>
      </w:tr>
      <w:tr w:rsidR="00EA051D" w:rsidRPr="009B56C5" w14:paraId="49408347" w14:textId="77777777" w:rsidTr="009B56C5">
        <w:trPr>
          <w:trHeight w:val="312"/>
        </w:trPr>
        <w:tc>
          <w:tcPr>
            <w:tcW w:w="1271" w:type="dxa"/>
          </w:tcPr>
          <w:p w14:paraId="0A54A108"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Rēzeknes NAI</w:t>
            </w:r>
          </w:p>
        </w:tc>
        <w:tc>
          <w:tcPr>
            <w:tcW w:w="1134" w:type="dxa"/>
            <w:vAlign w:val="center"/>
          </w:tcPr>
          <w:p w14:paraId="6BB269AC"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92 424</w:t>
            </w:r>
          </w:p>
        </w:tc>
        <w:tc>
          <w:tcPr>
            <w:tcW w:w="1843" w:type="dxa"/>
            <w:vAlign w:val="center"/>
          </w:tcPr>
          <w:p w14:paraId="368CED6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7 138</w:t>
            </w:r>
          </w:p>
        </w:tc>
        <w:tc>
          <w:tcPr>
            <w:tcW w:w="1417" w:type="dxa"/>
            <w:vAlign w:val="center"/>
          </w:tcPr>
          <w:p w14:paraId="577CADC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99 562</w:t>
            </w:r>
          </w:p>
        </w:tc>
        <w:tc>
          <w:tcPr>
            <w:tcW w:w="1560" w:type="dxa"/>
            <w:shd w:val="clear" w:color="auto" w:fill="FDEADA"/>
            <w:vAlign w:val="center"/>
          </w:tcPr>
          <w:p w14:paraId="6523CD4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277 142</w:t>
            </w:r>
          </w:p>
        </w:tc>
        <w:tc>
          <w:tcPr>
            <w:tcW w:w="1701" w:type="dxa"/>
            <w:shd w:val="clear" w:color="auto" w:fill="FDEADA"/>
            <w:vAlign w:val="center"/>
          </w:tcPr>
          <w:p w14:paraId="29875E7C"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3 479 940</w:t>
            </w:r>
          </w:p>
        </w:tc>
      </w:tr>
      <w:tr w:rsidR="00EA051D" w:rsidRPr="009B56C5" w14:paraId="2F4AB440" w14:textId="77777777" w:rsidTr="009B56C5">
        <w:trPr>
          <w:trHeight w:val="312"/>
        </w:trPr>
        <w:tc>
          <w:tcPr>
            <w:tcW w:w="1271" w:type="dxa"/>
          </w:tcPr>
          <w:p w14:paraId="4AF91887"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Salaspils NAI</w:t>
            </w:r>
          </w:p>
        </w:tc>
        <w:tc>
          <w:tcPr>
            <w:tcW w:w="1134" w:type="dxa"/>
            <w:vAlign w:val="center"/>
          </w:tcPr>
          <w:p w14:paraId="512ED5CC"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34 733</w:t>
            </w:r>
          </w:p>
        </w:tc>
        <w:tc>
          <w:tcPr>
            <w:tcW w:w="1843" w:type="dxa"/>
            <w:vAlign w:val="center"/>
          </w:tcPr>
          <w:p w14:paraId="0CCCDC63"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15 710</w:t>
            </w:r>
          </w:p>
        </w:tc>
        <w:tc>
          <w:tcPr>
            <w:tcW w:w="1417" w:type="dxa"/>
            <w:vAlign w:val="center"/>
          </w:tcPr>
          <w:p w14:paraId="2A2F7D4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50 443</w:t>
            </w:r>
          </w:p>
        </w:tc>
        <w:tc>
          <w:tcPr>
            <w:tcW w:w="1560" w:type="dxa"/>
            <w:shd w:val="clear" w:color="auto" w:fill="FDEADA"/>
            <w:vAlign w:val="center"/>
          </w:tcPr>
          <w:p w14:paraId="7AE71424"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173 669</w:t>
            </w:r>
          </w:p>
        </w:tc>
        <w:tc>
          <w:tcPr>
            <w:tcW w:w="1701" w:type="dxa"/>
            <w:shd w:val="clear" w:color="auto" w:fill="FDEADA"/>
            <w:vAlign w:val="center"/>
          </w:tcPr>
          <w:p w14:paraId="0DFC9E1F"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2 073 049</w:t>
            </w:r>
          </w:p>
        </w:tc>
      </w:tr>
      <w:tr w:rsidR="00EA051D" w:rsidRPr="009B56C5" w14:paraId="5121FE91" w14:textId="77777777" w:rsidTr="009B56C5">
        <w:trPr>
          <w:trHeight w:val="312"/>
        </w:trPr>
        <w:tc>
          <w:tcPr>
            <w:tcW w:w="1271" w:type="dxa"/>
          </w:tcPr>
          <w:p w14:paraId="5FF1BC70"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Saldus NAI</w:t>
            </w:r>
          </w:p>
        </w:tc>
        <w:tc>
          <w:tcPr>
            <w:tcW w:w="1134" w:type="dxa"/>
            <w:vAlign w:val="center"/>
          </w:tcPr>
          <w:p w14:paraId="57D6EF93"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18 288</w:t>
            </w:r>
          </w:p>
        </w:tc>
        <w:tc>
          <w:tcPr>
            <w:tcW w:w="1843" w:type="dxa"/>
            <w:vAlign w:val="center"/>
          </w:tcPr>
          <w:p w14:paraId="6BB1C0E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4 157</w:t>
            </w:r>
          </w:p>
        </w:tc>
        <w:tc>
          <w:tcPr>
            <w:tcW w:w="1417" w:type="dxa"/>
            <w:vAlign w:val="center"/>
          </w:tcPr>
          <w:p w14:paraId="1D424A5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22 445</w:t>
            </w:r>
          </w:p>
        </w:tc>
        <w:tc>
          <w:tcPr>
            <w:tcW w:w="1560" w:type="dxa"/>
            <w:shd w:val="clear" w:color="auto" w:fill="FDEADA"/>
            <w:vAlign w:val="center"/>
          </w:tcPr>
          <w:p w14:paraId="132ABF2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85 751</w:t>
            </w:r>
          </w:p>
        </w:tc>
        <w:tc>
          <w:tcPr>
            <w:tcW w:w="1701" w:type="dxa"/>
            <w:shd w:val="clear" w:color="auto" w:fill="FDEADA"/>
            <w:vAlign w:val="center"/>
          </w:tcPr>
          <w:p w14:paraId="69F402F2"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1 082 715</w:t>
            </w:r>
          </w:p>
        </w:tc>
      </w:tr>
      <w:tr w:rsidR="00EA051D" w:rsidRPr="009B56C5" w14:paraId="1E83557C" w14:textId="77777777" w:rsidTr="009B56C5">
        <w:trPr>
          <w:trHeight w:val="312"/>
        </w:trPr>
        <w:tc>
          <w:tcPr>
            <w:tcW w:w="1271" w:type="dxa"/>
          </w:tcPr>
          <w:p w14:paraId="202FD5CC"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Tukuma NAI</w:t>
            </w:r>
          </w:p>
        </w:tc>
        <w:tc>
          <w:tcPr>
            <w:tcW w:w="1134" w:type="dxa"/>
            <w:vAlign w:val="center"/>
          </w:tcPr>
          <w:p w14:paraId="6629B3C5"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47 837</w:t>
            </w:r>
          </w:p>
        </w:tc>
        <w:tc>
          <w:tcPr>
            <w:tcW w:w="1843" w:type="dxa"/>
            <w:vAlign w:val="center"/>
          </w:tcPr>
          <w:p w14:paraId="68E2836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32 992</w:t>
            </w:r>
          </w:p>
        </w:tc>
        <w:tc>
          <w:tcPr>
            <w:tcW w:w="1417" w:type="dxa"/>
            <w:vAlign w:val="center"/>
          </w:tcPr>
          <w:p w14:paraId="54D7E36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80 829</w:t>
            </w:r>
          </w:p>
        </w:tc>
        <w:tc>
          <w:tcPr>
            <w:tcW w:w="1560" w:type="dxa"/>
            <w:shd w:val="clear" w:color="auto" w:fill="FDEADA"/>
            <w:vAlign w:val="center"/>
          </w:tcPr>
          <w:p w14:paraId="793BD037"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240 849</w:t>
            </w:r>
          </w:p>
        </w:tc>
        <w:tc>
          <w:tcPr>
            <w:tcW w:w="1701" w:type="dxa"/>
            <w:shd w:val="clear" w:color="auto" w:fill="FDEADA"/>
            <w:vAlign w:val="center"/>
          </w:tcPr>
          <w:p w14:paraId="06AFBA1B"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3 017 614</w:t>
            </w:r>
          </w:p>
        </w:tc>
      </w:tr>
      <w:tr w:rsidR="00EA051D" w:rsidRPr="009B56C5" w14:paraId="21BEF2D5" w14:textId="77777777" w:rsidTr="009B56C5">
        <w:trPr>
          <w:trHeight w:val="312"/>
        </w:trPr>
        <w:tc>
          <w:tcPr>
            <w:tcW w:w="1271" w:type="dxa"/>
          </w:tcPr>
          <w:p w14:paraId="2F7327F3"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Valmieras NAI</w:t>
            </w:r>
          </w:p>
        </w:tc>
        <w:tc>
          <w:tcPr>
            <w:tcW w:w="1134" w:type="dxa"/>
            <w:vAlign w:val="center"/>
          </w:tcPr>
          <w:p w14:paraId="6FD06E11"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43 527</w:t>
            </w:r>
          </w:p>
        </w:tc>
        <w:tc>
          <w:tcPr>
            <w:tcW w:w="1843" w:type="dxa"/>
            <w:vAlign w:val="center"/>
          </w:tcPr>
          <w:p w14:paraId="2A1B6562"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28 870</w:t>
            </w:r>
          </w:p>
        </w:tc>
        <w:tc>
          <w:tcPr>
            <w:tcW w:w="1417" w:type="dxa"/>
            <w:vAlign w:val="center"/>
          </w:tcPr>
          <w:p w14:paraId="780D26F5"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72 397</w:t>
            </w:r>
          </w:p>
        </w:tc>
        <w:tc>
          <w:tcPr>
            <w:tcW w:w="1560" w:type="dxa"/>
            <w:shd w:val="clear" w:color="auto" w:fill="FDEADA"/>
            <w:vAlign w:val="center"/>
          </w:tcPr>
          <w:p w14:paraId="2B9C7459"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258 901</w:t>
            </w:r>
          </w:p>
        </w:tc>
        <w:tc>
          <w:tcPr>
            <w:tcW w:w="1701" w:type="dxa"/>
            <w:shd w:val="clear" w:color="auto" w:fill="FDEADA"/>
            <w:vAlign w:val="center"/>
          </w:tcPr>
          <w:p w14:paraId="2C28512D"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2 755 501</w:t>
            </w:r>
          </w:p>
        </w:tc>
      </w:tr>
      <w:tr w:rsidR="00EA051D" w:rsidRPr="009B56C5" w14:paraId="0337CC0F" w14:textId="77777777" w:rsidTr="009B56C5">
        <w:trPr>
          <w:trHeight w:val="312"/>
        </w:trPr>
        <w:tc>
          <w:tcPr>
            <w:tcW w:w="1271" w:type="dxa"/>
          </w:tcPr>
          <w:p w14:paraId="357693CC" w14:textId="77777777" w:rsidR="00EA051D" w:rsidRPr="009B56C5" w:rsidRDefault="00EA051D" w:rsidP="00D70884">
            <w:pPr>
              <w:spacing w:after="60"/>
              <w:rPr>
                <w:rFonts w:ascii="Times New Roman" w:hAnsi="Times New Roman" w:cs="Times New Roman"/>
                <w:sz w:val="18"/>
                <w:szCs w:val="18"/>
              </w:rPr>
            </w:pPr>
            <w:r w:rsidRPr="009B56C5">
              <w:rPr>
                <w:rFonts w:ascii="Times New Roman" w:hAnsi="Times New Roman" w:cs="Times New Roman"/>
                <w:sz w:val="18"/>
                <w:szCs w:val="18"/>
              </w:rPr>
              <w:t>Ventspils NAI</w:t>
            </w:r>
          </w:p>
        </w:tc>
        <w:tc>
          <w:tcPr>
            <w:tcW w:w="1134" w:type="dxa"/>
            <w:vAlign w:val="center"/>
          </w:tcPr>
          <w:p w14:paraId="2110B85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93 630</w:t>
            </w:r>
          </w:p>
        </w:tc>
        <w:tc>
          <w:tcPr>
            <w:tcW w:w="1843" w:type="dxa"/>
            <w:vAlign w:val="center"/>
          </w:tcPr>
          <w:p w14:paraId="197D13DD"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21 313</w:t>
            </w:r>
          </w:p>
        </w:tc>
        <w:tc>
          <w:tcPr>
            <w:tcW w:w="1417" w:type="dxa"/>
            <w:vAlign w:val="center"/>
          </w:tcPr>
          <w:p w14:paraId="6E6FBD7B"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114 943</w:t>
            </w:r>
          </w:p>
        </w:tc>
        <w:tc>
          <w:tcPr>
            <w:tcW w:w="1560" w:type="dxa"/>
            <w:shd w:val="clear" w:color="auto" w:fill="FDEADA"/>
            <w:vAlign w:val="center"/>
          </w:tcPr>
          <w:p w14:paraId="4FC4FA5D"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330 978</w:t>
            </w:r>
          </w:p>
        </w:tc>
        <w:tc>
          <w:tcPr>
            <w:tcW w:w="1701" w:type="dxa"/>
            <w:shd w:val="clear" w:color="auto" w:fill="FDEADA"/>
            <w:vAlign w:val="center"/>
          </w:tcPr>
          <w:p w14:paraId="52C5A42A" w14:textId="77777777" w:rsidR="00EA051D" w:rsidRPr="009B56C5" w:rsidRDefault="00EA051D" w:rsidP="00D70884">
            <w:pPr>
              <w:spacing w:after="60"/>
              <w:jc w:val="center"/>
              <w:rPr>
                <w:rFonts w:ascii="Times New Roman" w:hAnsi="Times New Roman" w:cs="Times New Roman"/>
                <w:color w:val="000000"/>
                <w:sz w:val="18"/>
                <w:szCs w:val="18"/>
              </w:rPr>
            </w:pPr>
            <w:r w:rsidRPr="009B56C5">
              <w:rPr>
                <w:rFonts w:ascii="Times New Roman" w:hAnsi="Times New Roman" w:cs="Times New Roman"/>
                <w:color w:val="000000"/>
                <w:sz w:val="18"/>
                <w:szCs w:val="18"/>
              </w:rPr>
              <w:t>4 078 067</w:t>
            </w:r>
          </w:p>
        </w:tc>
      </w:tr>
      <w:tr w:rsidR="00EA051D" w:rsidRPr="009B56C5" w14:paraId="6CC7A92C" w14:textId="77777777" w:rsidTr="009B56C5">
        <w:trPr>
          <w:trHeight w:val="312"/>
        </w:trPr>
        <w:tc>
          <w:tcPr>
            <w:tcW w:w="1271" w:type="dxa"/>
          </w:tcPr>
          <w:p w14:paraId="0E9C050A" w14:textId="77777777" w:rsidR="00EA051D" w:rsidRPr="009B56C5" w:rsidRDefault="00EA051D" w:rsidP="00D70884">
            <w:pPr>
              <w:spacing w:after="60"/>
              <w:rPr>
                <w:rFonts w:ascii="Times New Roman" w:hAnsi="Times New Roman" w:cs="Times New Roman"/>
                <w:b/>
                <w:sz w:val="20"/>
                <w:szCs w:val="20"/>
              </w:rPr>
            </w:pPr>
            <w:r w:rsidRPr="009B56C5">
              <w:rPr>
                <w:rFonts w:ascii="Times New Roman" w:hAnsi="Times New Roman" w:cs="Times New Roman"/>
                <w:b/>
                <w:sz w:val="20"/>
                <w:szCs w:val="20"/>
              </w:rPr>
              <w:t>KOPĀ</w:t>
            </w:r>
          </w:p>
        </w:tc>
        <w:tc>
          <w:tcPr>
            <w:tcW w:w="1134" w:type="dxa"/>
          </w:tcPr>
          <w:p w14:paraId="1279FCD9" w14:textId="77777777" w:rsidR="00EA051D" w:rsidRPr="009B56C5" w:rsidRDefault="00EA051D" w:rsidP="00D70884">
            <w:pPr>
              <w:spacing w:after="60"/>
              <w:jc w:val="center"/>
              <w:rPr>
                <w:rFonts w:ascii="Times New Roman" w:hAnsi="Times New Roman" w:cs="Times New Roman"/>
                <w:sz w:val="20"/>
                <w:szCs w:val="20"/>
              </w:rPr>
            </w:pPr>
          </w:p>
        </w:tc>
        <w:tc>
          <w:tcPr>
            <w:tcW w:w="1843" w:type="dxa"/>
          </w:tcPr>
          <w:p w14:paraId="6CE5BB64" w14:textId="77777777" w:rsidR="00EA051D" w:rsidRPr="009B56C5" w:rsidRDefault="00EA051D" w:rsidP="00D70884">
            <w:pPr>
              <w:spacing w:after="60"/>
              <w:jc w:val="center"/>
              <w:rPr>
                <w:rFonts w:ascii="Times New Roman" w:hAnsi="Times New Roman" w:cs="Times New Roman"/>
                <w:sz w:val="20"/>
                <w:szCs w:val="20"/>
              </w:rPr>
            </w:pPr>
          </w:p>
        </w:tc>
        <w:tc>
          <w:tcPr>
            <w:tcW w:w="1417" w:type="dxa"/>
          </w:tcPr>
          <w:p w14:paraId="4452CBC3" w14:textId="77777777" w:rsidR="00EA051D" w:rsidRPr="009B56C5" w:rsidRDefault="00EA051D" w:rsidP="00D70884">
            <w:pPr>
              <w:spacing w:after="60"/>
              <w:jc w:val="center"/>
              <w:rPr>
                <w:rFonts w:ascii="Times New Roman" w:hAnsi="Times New Roman" w:cs="Times New Roman"/>
                <w:b/>
                <w:color w:val="000000"/>
                <w:sz w:val="20"/>
                <w:szCs w:val="20"/>
              </w:rPr>
            </w:pPr>
            <w:r w:rsidRPr="009B56C5">
              <w:rPr>
                <w:rFonts w:ascii="Times New Roman" w:hAnsi="Times New Roman" w:cs="Times New Roman"/>
                <w:b/>
                <w:color w:val="000000"/>
                <w:sz w:val="20"/>
                <w:szCs w:val="20"/>
              </w:rPr>
              <w:t>1 187 948</w:t>
            </w:r>
          </w:p>
        </w:tc>
        <w:tc>
          <w:tcPr>
            <w:tcW w:w="1560" w:type="dxa"/>
            <w:shd w:val="clear" w:color="auto" w:fill="FDEADA"/>
          </w:tcPr>
          <w:p w14:paraId="375FC8FD" w14:textId="77777777" w:rsidR="00EA051D" w:rsidRPr="009B56C5" w:rsidRDefault="00EA051D" w:rsidP="00D70884">
            <w:pPr>
              <w:spacing w:after="60"/>
              <w:jc w:val="center"/>
              <w:rPr>
                <w:rFonts w:ascii="Times New Roman" w:hAnsi="Times New Roman" w:cs="Times New Roman"/>
                <w:b/>
                <w:color w:val="FF0000"/>
                <w:sz w:val="20"/>
                <w:szCs w:val="20"/>
              </w:rPr>
            </w:pPr>
            <w:r w:rsidRPr="009B56C5">
              <w:rPr>
                <w:rFonts w:ascii="Times New Roman" w:hAnsi="Times New Roman" w:cs="Times New Roman"/>
                <w:b/>
                <w:color w:val="FF0000"/>
                <w:sz w:val="20"/>
                <w:szCs w:val="20"/>
              </w:rPr>
              <w:t>3 667 052</w:t>
            </w:r>
          </w:p>
        </w:tc>
        <w:tc>
          <w:tcPr>
            <w:tcW w:w="1701" w:type="dxa"/>
            <w:shd w:val="clear" w:color="auto" w:fill="FDEADA"/>
          </w:tcPr>
          <w:p w14:paraId="70AE60E2" w14:textId="77777777" w:rsidR="00EA051D" w:rsidRPr="009B56C5" w:rsidRDefault="00EA051D" w:rsidP="00D70884">
            <w:pPr>
              <w:spacing w:after="60"/>
              <w:jc w:val="center"/>
              <w:rPr>
                <w:rFonts w:ascii="Times New Roman" w:hAnsi="Times New Roman" w:cs="Times New Roman"/>
                <w:b/>
                <w:color w:val="FF0000"/>
                <w:sz w:val="20"/>
                <w:szCs w:val="20"/>
              </w:rPr>
            </w:pPr>
            <w:r w:rsidRPr="009B56C5">
              <w:rPr>
                <w:rFonts w:ascii="Times New Roman" w:hAnsi="Times New Roman" w:cs="Times New Roman"/>
                <w:b/>
                <w:color w:val="FF0000"/>
                <w:sz w:val="20"/>
                <w:szCs w:val="20"/>
              </w:rPr>
              <w:t>44 428 986</w:t>
            </w:r>
          </w:p>
        </w:tc>
      </w:tr>
    </w:tbl>
    <w:p w14:paraId="42B1EC8E" w14:textId="77777777" w:rsidR="00EA051D" w:rsidRPr="00175DD0" w:rsidRDefault="00EA051D" w:rsidP="00EA051D">
      <w:pPr>
        <w:rPr>
          <w:rFonts w:cstheme="minorHAnsi"/>
        </w:rPr>
      </w:pPr>
    </w:p>
    <w:p w14:paraId="3ECCC8E5" w14:textId="24D663D0" w:rsidR="00EA051D" w:rsidRPr="009B56C5" w:rsidRDefault="00EA051D" w:rsidP="009B56C5">
      <w:pPr>
        <w:ind w:firstLine="720"/>
        <w:rPr>
          <w:rFonts w:ascii="Times New Roman" w:hAnsi="Times New Roman" w:cs="Times New Roman"/>
        </w:rPr>
      </w:pPr>
      <w:r w:rsidRPr="009B56C5">
        <w:rPr>
          <w:rFonts w:ascii="Times New Roman" w:hAnsi="Times New Roman" w:cs="Times New Roman"/>
        </w:rPr>
        <w:t>Pārstrādājot notekūdeņu dūņas 16 notekūdeņu dūņu pārstrādes centros visā Latvijā, kopējās ikgadējās notekūdeņu dūņu pārstrādes izmaksas ir aprēķinātas viszemākās un aplēstas 3,67 milj</w:t>
      </w:r>
      <w:r w:rsidR="000A2AB7">
        <w:rPr>
          <w:rFonts w:ascii="Times New Roman" w:hAnsi="Times New Roman" w:cs="Times New Roman"/>
        </w:rPr>
        <w:t>.</w:t>
      </w:r>
      <w:r w:rsidRPr="009B56C5">
        <w:rPr>
          <w:rFonts w:ascii="Times New Roman" w:hAnsi="Times New Roman" w:cs="Times New Roman"/>
        </w:rPr>
        <w:t xml:space="preserve"> EUR gadā, un arī kopējās nepieciešamās kapitālās investīcijas sistēmas izveidošanai ir aprēķinātas zemākās un veido 44,4 milj</w:t>
      </w:r>
      <w:r w:rsidR="000A2AB7">
        <w:rPr>
          <w:rFonts w:ascii="Times New Roman" w:hAnsi="Times New Roman" w:cs="Times New Roman"/>
        </w:rPr>
        <w:t>.</w:t>
      </w:r>
      <w:r w:rsidRPr="009B56C5">
        <w:rPr>
          <w:rFonts w:ascii="Times New Roman" w:hAnsi="Times New Roman" w:cs="Times New Roman"/>
        </w:rPr>
        <w:t xml:space="preserve"> EUR.</w:t>
      </w:r>
    </w:p>
    <w:p w14:paraId="5143D3B4" w14:textId="77777777" w:rsidR="00EA051D" w:rsidRPr="00175DD0" w:rsidRDefault="00EA051D" w:rsidP="00EA051D">
      <w:pPr>
        <w:spacing w:after="0"/>
        <w:rPr>
          <w:rFonts w:cstheme="minorHAnsi"/>
        </w:rPr>
      </w:pPr>
    </w:p>
    <w:p w14:paraId="321D8A6A" w14:textId="77777777" w:rsidR="00EA051D" w:rsidRPr="0033498C" w:rsidRDefault="00EA051D" w:rsidP="0033498C">
      <w:pPr>
        <w:jc w:val="center"/>
        <w:rPr>
          <w:rFonts w:ascii="Times New Roman" w:hAnsi="Times New Roman" w:cs="Times New Roman"/>
          <w:b/>
          <w:bCs/>
          <w:color w:val="5B9BD5" w:themeColor="accent1"/>
        </w:rPr>
      </w:pPr>
      <w:bookmarkStart w:id="115" w:name="_Toc82277649"/>
      <w:r w:rsidRPr="0033498C">
        <w:rPr>
          <w:rFonts w:ascii="Times New Roman" w:hAnsi="Times New Roman" w:cs="Times New Roman"/>
          <w:b/>
          <w:bCs/>
          <w:color w:val="5B9BD5" w:themeColor="accent1"/>
        </w:rPr>
        <w:lastRenderedPageBreak/>
        <w:t>D4. Alternatīva: Notekūdeņu dūņu pārstrāde 5 notekūdeņu dūņu pārstrādes centros</w:t>
      </w:r>
      <w:bookmarkEnd w:id="115"/>
    </w:p>
    <w:p w14:paraId="68F6B821" w14:textId="77777777" w:rsidR="009B56C5" w:rsidRDefault="009B56C5" w:rsidP="009B56C5">
      <w:pPr>
        <w:ind w:firstLine="720"/>
        <w:rPr>
          <w:rFonts w:cstheme="minorHAnsi"/>
        </w:rPr>
      </w:pPr>
    </w:p>
    <w:p w14:paraId="3253DF2C" w14:textId="42052B3C" w:rsidR="00EA051D" w:rsidRPr="009B56C5" w:rsidRDefault="00EA051D" w:rsidP="009B56C5">
      <w:pPr>
        <w:ind w:firstLine="720"/>
        <w:rPr>
          <w:rFonts w:ascii="Times New Roman" w:hAnsi="Times New Roman" w:cs="Times New Roman"/>
        </w:rPr>
      </w:pPr>
      <w:r w:rsidRPr="009B56C5">
        <w:rPr>
          <w:rFonts w:ascii="Times New Roman" w:hAnsi="Times New Roman" w:cs="Times New Roman"/>
        </w:rPr>
        <w:t xml:space="preserve">Dūņu centralizēšana 5 dūņu pārstrādes centros ir izskatīta ar mērķi izvērtēt notekūdeņu dūņu pārstrādes izmaksas, izmantojot dūņu </w:t>
      </w:r>
      <w:r w:rsidR="000A2AB7" w:rsidRPr="009B56C5">
        <w:rPr>
          <w:rFonts w:ascii="Times New Roman" w:hAnsi="Times New Roman" w:cs="Times New Roman"/>
        </w:rPr>
        <w:t>mezofilo</w:t>
      </w:r>
      <w:r w:rsidRPr="009B56C5">
        <w:rPr>
          <w:rFonts w:ascii="Times New Roman" w:hAnsi="Times New Roman" w:cs="Times New Roman"/>
        </w:rPr>
        <w:t xml:space="preserve"> anaerobo sadalīšanu, jeb biogāzes iegūšanu un novērtēt šādas alternatīvas iespējamību. Norādītais potenciālo dūņu centru skaits – 5 centri ir aprēķināts kā efektīvākais, ņemot vērā, ka kopējais dūņu apjoms Latvijā ir par mazu, lai izveidotu vairāk notekūdeņu dūņu pārstrādes biogāzes centru (skat. C3.alternatīvu), bet vēl lielāka centralizācija būtiski palielinātu transportēšanas izmaksas. Četri no pieciem dūņu centriem izvietojami pie NAI ar lielāko notekūdeņu dūņu daudzumu - Ventspils, Jelgava, Daugavpils un Rēzekne, kas saistīts ar būtisko dūņu apjomu, kas šajās NAI tiek radīts. Papildus aprēķinu ietvaros ir paredzēts dūņu pārstrādes centrs Valmierā (pie NAI ar lielāko dūņu apjomu reģionā), lai nodrošinātu Vidzemes reģiona notekūdeņu dūņu </w:t>
      </w:r>
      <w:r w:rsidR="000A2AB7" w:rsidRPr="009B56C5">
        <w:rPr>
          <w:rFonts w:ascii="Times New Roman" w:hAnsi="Times New Roman" w:cs="Times New Roman"/>
        </w:rPr>
        <w:t>mezofilu</w:t>
      </w:r>
      <w:r w:rsidRPr="009B56C5">
        <w:rPr>
          <w:rFonts w:ascii="Times New Roman" w:hAnsi="Times New Roman" w:cs="Times New Roman"/>
        </w:rPr>
        <w:t xml:space="preserve"> </w:t>
      </w:r>
      <w:r w:rsidRPr="00103F80">
        <w:rPr>
          <w:rFonts w:ascii="Times New Roman" w:hAnsi="Times New Roman" w:cs="Times New Roman"/>
        </w:rPr>
        <w:t>anaerobu pārstrādi. 5 notekūdeņu dūņu pārstrādes centru izvietojumu Latvijā skatīt 4.</w:t>
      </w:r>
      <w:r w:rsidR="00103F80" w:rsidRPr="00103F80">
        <w:rPr>
          <w:rFonts w:ascii="Times New Roman" w:hAnsi="Times New Roman" w:cs="Times New Roman"/>
        </w:rPr>
        <w:t>5.4</w:t>
      </w:r>
      <w:r w:rsidRPr="00103F80">
        <w:rPr>
          <w:rFonts w:ascii="Times New Roman" w:hAnsi="Times New Roman" w:cs="Times New Roman"/>
        </w:rPr>
        <w:t>. attēlu “5</w:t>
      </w:r>
      <w:r w:rsidRPr="009B56C5">
        <w:rPr>
          <w:rFonts w:ascii="Times New Roman" w:hAnsi="Times New Roman" w:cs="Times New Roman"/>
        </w:rPr>
        <w:t xml:space="preserve"> notekūdeņu dūņu pārstrādes centru izvietojums Latvijā”. Ņemot vērā šo centru atrašanās vietas, notekūdeņu dūņas no 41 pašvaldības centra tiek vestas uz tuvāko no biogāzes stacijām, kā rezultātā veidojas dūņu centri ar būtiski  atšķirīgu pārstrādājamo notekūdeņu dūņu apjomu.</w:t>
      </w:r>
    </w:p>
    <w:p w14:paraId="56A56C95" w14:textId="77777777" w:rsidR="00EA051D" w:rsidRPr="00175DD0" w:rsidRDefault="00EA051D" w:rsidP="00EA051D">
      <w:pPr>
        <w:rPr>
          <w:rFonts w:cstheme="minorHAnsi"/>
        </w:rPr>
        <w:sectPr w:rsidR="00EA051D" w:rsidRPr="00175DD0" w:rsidSect="007E349D">
          <w:pgSz w:w="12240" w:h="15840"/>
          <w:pgMar w:top="1134" w:right="1701" w:bottom="1134" w:left="1701" w:header="720" w:footer="720" w:gutter="0"/>
          <w:cols w:space="720"/>
        </w:sectPr>
      </w:pPr>
    </w:p>
    <w:p w14:paraId="2343628D" w14:textId="77777777" w:rsidR="00EA051D" w:rsidRPr="00175DD0" w:rsidRDefault="00EA051D" w:rsidP="00EA051D">
      <w:pPr>
        <w:jc w:val="center"/>
        <w:rPr>
          <w:rFonts w:cstheme="minorHAnsi"/>
        </w:rPr>
      </w:pPr>
      <w:r w:rsidRPr="00175DD0">
        <w:rPr>
          <w:rFonts w:cstheme="minorHAnsi"/>
          <w:noProof/>
          <w:lang w:eastAsia="lv-LV"/>
        </w:rPr>
        <w:lastRenderedPageBreak/>
        <w:drawing>
          <wp:inline distT="0" distB="0" distL="0" distR="0" wp14:anchorId="22E2A52E" wp14:editId="6BE7A223">
            <wp:extent cx="7799267" cy="5520267"/>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7806274" cy="5525226"/>
                    </a:xfrm>
                    <a:prstGeom prst="rect">
                      <a:avLst/>
                    </a:prstGeom>
                    <a:noFill/>
                    <a:ln>
                      <a:noFill/>
                    </a:ln>
                  </pic:spPr>
                </pic:pic>
              </a:graphicData>
            </a:graphic>
          </wp:inline>
        </w:drawing>
      </w:r>
    </w:p>
    <w:p w14:paraId="6B288D91" w14:textId="0A1A783C" w:rsidR="00EA051D" w:rsidRPr="00BC2BB0" w:rsidRDefault="00EA051D" w:rsidP="00EA051D">
      <w:pPr>
        <w:jc w:val="center"/>
        <w:rPr>
          <w:rFonts w:ascii="Times New Roman" w:hAnsi="Times New Roman" w:cs="Times New Roman"/>
        </w:rPr>
        <w:sectPr w:rsidR="00EA051D" w:rsidRPr="00BC2BB0" w:rsidSect="007E349D">
          <w:pgSz w:w="15840" w:h="12240" w:orient="landscape"/>
          <w:pgMar w:top="1134" w:right="1701" w:bottom="1134" w:left="1701" w:header="720" w:footer="720" w:gutter="0"/>
          <w:cols w:space="720"/>
          <w:docGrid w:linePitch="299"/>
        </w:sectPr>
      </w:pPr>
      <w:r w:rsidRPr="00BC2BB0">
        <w:rPr>
          <w:rFonts w:ascii="Times New Roman" w:hAnsi="Times New Roman" w:cs="Times New Roman"/>
          <w:b/>
          <w:bCs/>
        </w:rPr>
        <w:t>4.</w:t>
      </w:r>
      <w:r w:rsidR="00B37E2D">
        <w:rPr>
          <w:rFonts w:ascii="Times New Roman" w:hAnsi="Times New Roman" w:cs="Times New Roman"/>
          <w:b/>
          <w:bCs/>
        </w:rPr>
        <w:t>5</w:t>
      </w:r>
      <w:r w:rsidRPr="00BC2BB0">
        <w:rPr>
          <w:rFonts w:ascii="Times New Roman" w:hAnsi="Times New Roman" w:cs="Times New Roman"/>
          <w:b/>
          <w:bCs/>
        </w:rPr>
        <w:t>.</w:t>
      </w:r>
      <w:r w:rsidR="00B37E2D">
        <w:rPr>
          <w:rFonts w:ascii="Times New Roman" w:hAnsi="Times New Roman" w:cs="Times New Roman"/>
          <w:b/>
          <w:bCs/>
        </w:rPr>
        <w:t>4.</w:t>
      </w:r>
      <w:r w:rsidR="00BC2BB0" w:rsidRPr="00BC2BB0">
        <w:rPr>
          <w:rFonts w:ascii="Times New Roman" w:hAnsi="Times New Roman" w:cs="Times New Roman"/>
          <w:b/>
          <w:bCs/>
        </w:rPr>
        <w:t>a</w:t>
      </w:r>
      <w:r w:rsidRPr="00BC2BB0">
        <w:rPr>
          <w:rFonts w:ascii="Times New Roman" w:hAnsi="Times New Roman" w:cs="Times New Roman"/>
          <w:b/>
          <w:bCs/>
        </w:rPr>
        <w:t>ttēls</w:t>
      </w:r>
      <w:r w:rsidR="00BC2BB0" w:rsidRPr="00BC2BB0">
        <w:rPr>
          <w:rFonts w:ascii="Times New Roman" w:hAnsi="Times New Roman" w:cs="Times New Roman"/>
          <w:b/>
          <w:bCs/>
        </w:rPr>
        <w:t>.</w:t>
      </w:r>
      <w:r w:rsidRPr="00BC2BB0">
        <w:rPr>
          <w:rFonts w:ascii="Times New Roman" w:hAnsi="Times New Roman" w:cs="Times New Roman"/>
        </w:rPr>
        <w:t xml:space="preserve"> 5 notekūdeņu dūņu pārstrādes centru izvietojums Latvijā</w:t>
      </w:r>
    </w:p>
    <w:p w14:paraId="0DCBE56C" w14:textId="77777777" w:rsidR="00EA051D" w:rsidRPr="00175DD0" w:rsidRDefault="00EA051D" w:rsidP="00EA051D">
      <w:pPr>
        <w:rPr>
          <w:rFonts w:cstheme="minorHAnsi"/>
        </w:rPr>
      </w:pPr>
    </w:p>
    <w:p w14:paraId="63D5219A" w14:textId="31A11E55" w:rsidR="00BC2BB0" w:rsidRPr="00BC2BB0" w:rsidRDefault="00B37E2D" w:rsidP="00BC2BB0">
      <w:p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Cs w:val="24"/>
        </w:rPr>
      </w:pPr>
      <w:r>
        <w:rPr>
          <w:rFonts w:ascii="Times New Roman" w:hAnsi="Times New Roman" w:cs="Times New Roman"/>
        </w:rPr>
        <w:t>4.5.7</w:t>
      </w:r>
      <w:r w:rsidR="008D35DE">
        <w:rPr>
          <w:rFonts w:ascii="Times New Roman" w:hAnsi="Times New Roman" w:cs="Times New Roman"/>
        </w:rPr>
        <w:t>.</w:t>
      </w:r>
      <w:r w:rsidR="00EA051D" w:rsidRPr="00BC2BB0">
        <w:rPr>
          <w:rFonts w:ascii="Times New Roman" w:hAnsi="Times New Roman" w:cs="Times New Roman"/>
          <w:bCs/>
          <w:color w:val="000000"/>
          <w:szCs w:val="24"/>
        </w:rPr>
        <w:t>tabula</w:t>
      </w:r>
    </w:p>
    <w:p w14:paraId="622D0985" w14:textId="333AA547" w:rsidR="00EA051D" w:rsidRPr="00BC2BB0" w:rsidRDefault="00EA051D" w:rsidP="00BC2BB0">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BC2BB0">
        <w:rPr>
          <w:rFonts w:ascii="Times New Roman" w:hAnsi="Times New Roman" w:cs="Times New Roman"/>
          <w:b/>
          <w:color w:val="000000"/>
          <w:szCs w:val="24"/>
        </w:rPr>
        <w:t xml:space="preserve">Aprēķinātā 5 biogāzes staciju koģenerācijas jauda (aprēķinus skatīt pielikumā </w:t>
      </w:r>
      <w:r w:rsidR="0078125D" w:rsidRPr="0078125D">
        <w:rPr>
          <w:rFonts w:ascii="Times New Roman" w:hAnsi="Times New Roman" w:cs="Times New Roman"/>
          <w:b/>
          <w:color w:val="000000"/>
          <w:szCs w:val="24"/>
        </w:rPr>
        <w:t>4.9.</w:t>
      </w:r>
      <w:r w:rsidR="0078125D">
        <w:rPr>
          <w:rFonts w:ascii="Times New Roman" w:hAnsi="Times New Roman" w:cs="Times New Roman"/>
          <w:b/>
          <w:color w:val="000000"/>
          <w:szCs w:val="24"/>
        </w:rPr>
        <w:t> </w:t>
      </w:r>
      <w:r w:rsidR="0078125D" w:rsidRPr="0078125D">
        <w:rPr>
          <w:rFonts w:ascii="Times New Roman" w:hAnsi="Times New Roman" w:cs="Times New Roman"/>
          <w:b/>
          <w:color w:val="000000"/>
          <w:szCs w:val="24"/>
        </w:rPr>
        <w:t>Finanšu aprēķini “3. Uzturēšanas izmaksas notekūdeņu dūņu pārstrādē”</w:t>
      </w:r>
      <w:r w:rsidRPr="00BC2BB0">
        <w:rPr>
          <w:rFonts w:ascii="Times New Roman" w:hAnsi="Times New Roman" w:cs="Times New Roman"/>
          <w:b/>
          <w:color w:val="000000"/>
          <w:szCs w:val="24"/>
        </w:rPr>
        <w:t>)</w:t>
      </w:r>
    </w:p>
    <w:tbl>
      <w:tblPr>
        <w:tblStyle w:val="24"/>
        <w:tblW w:w="8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1276"/>
        <w:gridCol w:w="1984"/>
        <w:gridCol w:w="2268"/>
        <w:gridCol w:w="1843"/>
      </w:tblGrid>
      <w:tr w:rsidR="00EA051D" w:rsidRPr="00BC2BB0" w14:paraId="48121037" w14:textId="77777777" w:rsidTr="00BC2BB0">
        <w:trPr>
          <w:trHeight w:val="1447"/>
        </w:trPr>
        <w:tc>
          <w:tcPr>
            <w:tcW w:w="140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74D31060"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sz w:val="20"/>
                <w:szCs w:val="20"/>
              </w:rPr>
              <w:t>Dūņu centra izveides vieta</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823A4"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Slapjo dūņu apjoms (1%) centra NAI t/g</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C32A6"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Papildus ievesto slapjo dūņu (1%) apjoma ekvivalents biogāzes centrā t/gadā</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015F9"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Kopējais pa novadiem centralizējamais slapju dūņu daudzums biogāzes centrā t/gadā</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7BB1C" w14:textId="77777777" w:rsidR="00EA051D" w:rsidRPr="00BC2BB0" w:rsidRDefault="00EA051D" w:rsidP="00D70884">
            <w:pPr>
              <w:spacing w:after="60"/>
              <w:jc w:val="center"/>
              <w:rPr>
                <w:rFonts w:ascii="Times New Roman" w:hAnsi="Times New Roman" w:cs="Times New Roman"/>
                <w:b/>
                <w:color w:val="2F75B5"/>
                <w:sz w:val="20"/>
                <w:szCs w:val="20"/>
              </w:rPr>
            </w:pPr>
            <w:r w:rsidRPr="00BC2BB0">
              <w:rPr>
                <w:rFonts w:ascii="Times New Roman" w:hAnsi="Times New Roman" w:cs="Times New Roman"/>
                <w:b/>
                <w:color w:val="000000"/>
                <w:sz w:val="20"/>
                <w:szCs w:val="20"/>
              </w:rPr>
              <w:t>Aprēķinātā koģenerācijas stacijas jauda MW</w:t>
            </w:r>
          </w:p>
        </w:tc>
      </w:tr>
      <w:tr w:rsidR="00EA051D" w:rsidRPr="00BC2BB0" w14:paraId="33B1F75C" w14:textId="77777777" w:rsidTr="00BC2BB0">
        <w:trPr>
          <w:trHeight w:val="340"/>
        </w:trPr>
        <w:tc>
          <w:tcPr>
            <w:tcW w:w="140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7804EF4F"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Ventspils NAI</w:t>
            </w:r>
          </w:p>
        </w:tc>
        <w:tc>
          <w:tcPr>
            <w:tcW w:w="1276" w:type="dxa"/>
            <w:tcBorders>
              <w:top w:val="single" w:sz="4" w:space="0" w:color="000000"/>
              <w:left w:val="nil"/>
              <w:bottom w:val="single" w:sz="4" w:space="0" w:color="000000"/>
              <w:right w:val="single" w:sz="4" w:space="0" w:color="000000"/>
            </w:tcBorders>
            <w:shd w:val="clear" w:color="auto" w:fill="auto"/>
            <w:vAlign w:val="center"/>
          </w:tcPr>
          <w:p w14:paraId="705DA807"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93 630,00</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5403F7F9"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123 933,00</w:t>
            </w: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374CE6CC"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217 563,00</w:t>
            </w:r>
          </w:p>
        </w:tc>
        <w:tc>
          <w:tcPr>
            <w:tcW w:w="1843" w:type="dxa"/>
            <w:tcBorders>
              <w:top w:val="single" w:sz="4" w:space="0" w:color="000000"/>
              <w:left w:val="nil"/>
              <w:bottom w:val="single" w:sz="4" w:space="0" w:color="000000"/>
              <w:right w:val="single" w:sz="4" w:space="0" w:color="000000"/>
            </w:tcBorders>
            <w:vAlign w:val="center"/>
          </w:tcPr>
          <w:p w14:paraId="1C3EE3B2"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2F75B5"/>
                <w:sz w:val="18"/>
                <w:szCs w:val="18"/>
              </w:rPr>
              <w:t>0,35</w:t>
            </w:r>
          </w:p>
        </w:tc>
      </w:tr>
      <w:tr w:rsidR="00EA051D" w:rsidRPr="00BC2BB0" w14:paraId="698D0D2D" w14:textId="77777777" w:rsidTr="00BC2BB0">
        <w:trPr>
          <w:trHeight w:val="291"/>
        </w:trPr>
        <w:tc>
          <w:tcPr>
            <w:tcW w:w="1408" w:type="dxa"/>
            <w:tcBorders>
              <w:top w:val="nil"/>
              <w:left w:val="single" w:sz="8" w:space="0" w:color="000000"/>
              <w:bottom w:val="single" w:sz="4" w:space="0" w:color="000000"/>
              <w:right w:val="single" w:sz="4" w:space="0" w:color="000000"/>
            </w:tcBorders>
            <w:shd w:val="clear" w:color="auto" w:fill="auto"/>
            <w:vAlign w:val="center"/>
          </w:tcPr>
          <w:p w14:paraId="4D6B5A24"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Daugavpils NAI</w:t>
            </w:r>
          </w:p>
        </w:tc>
        <w:tc>
          <w:tcPr>
            <w:tcW w:w="1276" w:type="dxa"/>
            <w:tcBorders>
              <w:top w:val="nil"/>
              <w:left w:val="nil"/>
              <w:bottom w:val="single" w:sz="4" w:space="0" w:color="000000"/>
              <w:right w:val="single" w:sz="4" w:space="0" w:color="000000"/>
            </w:tcBorders>
            <w:shd w:val="clear" w:color="auto" w:fill="auto"/>
            <w:vAlign w:val="center"/>
          </w:tcPr>
          <w:p w14:paraId="2A6DE920"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151 893,00</w:t>
            </w:r>
          </w:p>
        </w:tc>
        <w:tc>
          <w:tcPr>
            <w:tcW w:w="1984" w:type="dxa"/>
            <w:tcBorders>
              <w:top w:val="nil"/>
              <w:left w:val="nil"/>
              <w:bottom w:val="single" w:sz="4" w:space="0" w:color="000000"/>
              <w:right w:val="single" w:sz="4" w:space="0" w:color="000000"/>
            </w:tcBorders>
            <w:shd w:val="clear" w:color="auto" w:fill="auto"/>
            <w:vAlign w:val="center"/>
          </w:tcPr>
          <w:p w14:paraId="5595467E"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59 255,00</w:t>
            </w:r>
          </w:p>
        </w:tc>
        <w:tc>
          <w:tcPr>
            <w:tcW w:w="2268" w:type="dxa"/>
            <w:tcBorders>
              <w:top w:val="nil"/>
              <w:left w:val="nil"/>
              <w:bottom w:val="single" w:sz="4" w:space="0" w:color="000000"/>
              <w:right w:val="single" w:sz="4" w:space="0" w:color="000000"/>
            </w:tcBorders>
            <w:shd w:val="clear" w:color="auto" w:fill="auto"/>
            <w:vAlign w:val="center"/>
          </w:tcPr>
          <w:p w14:paraId="5ABE2FC1"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211 148,00</w:t>
            </w:r>
          </w:p>
        </w:tc>
        <w:tc>
          <w:tcPr>
            <w:tcW w:w="1843" w:type="dxa"/>
            <w:tcBorders>
              <w:top w:val="nil"/>
              <w:left w:val="nil"/>
              <w:bottom w:val="single" w:sz="4" w:space="0" w:color="000000"/>
              <w:right w:val="single" w:sz="4" w:space="0" w:color="000000"/>
            </w:tcBorders>
            <w:vAlign w:val="center"/>
          </w:tcPr>
          <w:p w14:paraId="4D3AF31A"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2F75B5"/>
                <w:sz w:val="18"/>
                <w:szCs w:val="18"/>
              </w:rPr>
              <w:t>0,34</w:t>
            </w:r>
          </w:p>
        </w:tc>
      </w:tr>
      <w:tr w:rsidR="00EA051D" w:rsidRPr="00BC2BB0" w14:paraId="3B160396" w14:textId="77777777" w:rsidTr="00BC2BB0">
        <w:trPr>
          <w:trHeight w:val="259"/>
        </w:trPr>
        <w:tc>
          <w:tcPr>
            <w:tcW w:w="1408" w:type="dxa"/>
            <w:tcBorders>
              <w:top w:val="nil"/>
              <w:left w:val="single" w:sz="8" w:space="0" w:color="000000"/>
              <w:bottom w:val="single" w:sz="4" w:space="0" w:color="000000"/>
              <w:right w:val="single" w:sz="4" w:space="0" w:color="000000"/>
            </w:tcBorders>
            <w:shd w:val="clear" w:color="auto" w:fill="auto"/>
            <w:vAlign w:val="center"/>
          </w:tcPr>
          <w:p w14:paraId="633F644B"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Rēzeknes NAI</w:t>
            </w:r>
          </w:p>
        </w:tc>
        <w:tc>
          <w:tcPr>
            <w:tcW w:w="1276" w:type="dxa"/>
            <w:tcBorders>
              <w:top w:val="nil"/>
              <w:left w:val="nil"/>
              <w:bottom w:val="single" w:sz="4" w:space="0" w:color="000000"/>
              <w:right w:val="single" w:sz="4" w:space="0" w:color="000000"/>
            </w:tcBorders>
            <w:shd w:val="clear" w:color="auto" w:fill="auto"/>
            <w:vAlign w:val="center"/>
          </w:tcPr>
          <w:p w14:paraId="11F76F22"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92 424,00</w:t>
            </w:r>
          </w:p>
        </w:tc>
        <w:tc>
          <w:tcPr>
            <w:tcW w:w="1984" w:type="dxa"/>
            <w:tcBorders>
              <w:top w:val="nil"/>
              <w:left w:val="nil"/>
              <w:bottom w:val="single" w:sz="4" w:space="0" w:color="000000"/>
              <w:right w:val="single" w:sz="4" w:space="0" w:color="000000"/>
            </w:tcBorders>
            <w:shd w:val="clear" w:color="auto" w:fill="auto"/>
            <w:vAlign w:val="center"/>
          </w:tcPr>
          <w:p w14:paraId="5C6F35AE"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44 357,00</w:t>
            </w:r>
          </w:p>
        </w:tc>
        <w:tc>
          <w:tcPr>
            <w:tcW w:w="2268" w:type="dxa"/>
            <w:tcBorders>
              <w:top w:val="nil"/>
              <w:left w:val="nil"/>
              <w:bottom w:val="single" w:sz="4" w:space="0" w:color="000000"/>
              <w:right w:val="single" w:sz="4" w:space="0" w:color="000000"/>
            </w:tcBorders>
            <w:shd w:val="clear" w:color="auto" w:fill="auto"/>
            <w:vAlign w:val="center"/>
          </w:tcPr>
          <w:p w14:paraId="316B353F"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136 781,00</w:t>
            </w:r>
          </w:p>
        </w:tc>
        <w:tc>
          <w:tcPr>
            <w:tcW w:w="1843" w:type="dxa"/>
            <w:tcBorders>
              <w:top w:val="nil"/>
              <w:left w:val="nil"/>
              <w:bottom w:val="single" w:sz="4" w:space="0" w:color="000000"/>
              <w:right w:val="single" w:sz="4" w:space="0" w:color="000000"/>
            </w:tcBorders>
            <w:vAlign w:val="center"/>
          </w:tcPr>
          <w:p w14:paraId="78E66DFA"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2F75B5"/>
                <w:sz w:val="18"/>
                <w:szCs w:val="18"/>
              </w:rPr>
              <w:t>0,22</w:t>
            </w:r>
          </w:p>
        </w:tc>
      </w:tr>
      <w:tr w:rsidR="00EA051D" w:rsidRPr="00BC2BB0" w14:paraId="720F3917" w14:textId="77777777" w:rsidTr="00BC2BB0">
        <w:trPr>
          <w:trHeight w:val="355"/>
        </w:trPr>
        <w:tc>
          <w:tcPr>
            <w:tcW w:w="1408" w:type="dxa"/>
            <w:tcBorders>
              <w:top w:val="nil"/>
              <w:left w:val="single" w:sz="8" w:space="0" w:color="000000"/>
              <w:bottom w:val="single" w:sz="4" w:space="0" w:color="000000"/>
              <w:right w:val="single" w:sz="4" w:space="0" w:color="000000"/>
            </w:tcBorders>
            <w:shd w:val="clear" w:color="auto" w:fill="auto"/>
            <w:vAlign w:val="center"/>
          </w:tcPr>
          <w:p w14:paraId="56945D65"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Jelgavas NAI</w:t>
            </w:r>
          </w:p>
        </w:tc>
        <w:tc>
          <w:tcPr>
            <w:tcW w:w="1276" w:type="dxa"/>
            <w:tcBorders>
              <w:top w:val="nil"/>
              <w:left w:val="nil"/>
              <w:bottom w:val="single" w:sz="4" w:space="0" w:color="000000"/>
              <w:right w:val="single" w:sz="4" w:space="0" w:color="000000"/>
            </w:tcBorders>
            <w:shd w:val="clear" w:color="auto" w:fill="auto"/>
            <w:vAlign w:val="center"/>
          </w:tcPr>
          <w:p w14:paraId="14CFC59C"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120 608,00</w:t>
            </w:r>
          </w:p>
        </w:tc>
        <w:tc>
          <w:tcPr>
            <w:tcW w:w="1984" w:type="dxa"/>
            <w:tcBorders>
              <w:top w:val="nil"/>
              <w:left w:val="nil"/>
              <w:bottom w:val="single" w:sz="4" w:space="0" w:color="000000"/>
              <w:right w:val="single" w:sz="4" w:space="0" w:color="000000"/>
            </w:tcBorders>
            <w:shd w:val="clear" w:color="auto" w:fill="auto"/>
            <w:vAlign w:val="center"/>
          </w:tcPr>
          <w:p w14:paraId="01DCA3F4"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364 706,00</w:t>
            </w:r>
          </w:p>
        </w:tc>
        <w:tc>
          <w:tcPr>
            <w:tcW w:w="2268" w:type="dxa"/>
            <w:tcBorders>
              <w:top w:val="nil"/>
              <w:left w:val="nil"/>
              <w:bottom w:val="single" w:sz="4" w:space="0" w:color="000000"/>
              <w:right w:val="single" w:sz="4" w:space="0" w:color="000000"/>
            </w:tcBorders>
            <w:shd w:val="clear" w:color="auto" w:fill="auto"/>
            <w:vAlign w:val="center"/>
          </w:tcPr>
          <w:p w14:paraId="088A768D"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485 314,00</w:t>
            </w:r>
          </w:p>
        </w:tc>
        <w:tc>
          <w:tcPr>
            <w:tcW w:w="1843" w:type="dxa"/>
            <w:tcBorders>
              <w:top w:val="nil"/>
              <w:left w:val="nil"/>
              <w:bottom w:val="single" w:sz="4" w:space="0" w:color="000000"/>
              <w:right w:val="single" w:sz="4" w:space="0" w:color="000000"/>
            </w:tcBorders>
            <w:vAlign w:val="center"/>
          </w:tcPr>
          <w:p w14:paraId="42F2A776"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2F75B5"/>
                <w:sz w:val="18"/>
                <w:szCs w:val="18"/>
              </w:rPr>
              <w:t>0,78</w:t>
            </w:r>
          </w:p>
        </w:tc>
      </w:tr>
      <w:tr w:rsidR="00EA051D" w:rsidRPr="00BC2BB0" w14:paraId="22ECCD8B" w14:textId="77777777" w:rsidTr="00BC2BB0">
        <w:trPr>
          <w:trHeight w:val="309"/>
        </w:trPr>
        <w:tc>
          <w:tcPr>
            <w:tcW w:w="1408" w:type="dxa"/>
            <w:tcBorders>
              <w:top w:val="nil"/>
              <w:left w:val="single" w:sz="8" w:space="0" w:color="000000"/>
              <w:bottom w:val="single" w:sz="8" w:space="0" w:color="000000"/>
              <w:right w:val="single" w:sz="4" w:space="0" w:color="000000"/>
            </w:tcBorders>
            <w:shd w:val="clear" w:color="auto" w:fill="auto"/>
            <w:vAlign w:val="center"/>
          </w:tcPr>
          <w:p w14:paraId="4D0E131A"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Valmieras NAI</w:t>
            </w:r>
          </w:p>
        </w:tc>
        <w:tc>
          <w:tcPr>
            <w:tcW w:w="1276" w:type="dxa"/>
            <w:tcBorders>
              <w:top w:val="nil"/>
              <w:left w:val="nil"/>
              <w:bottom w:val="single" w:sz="8" w:space="0" w:color="000000"/>
              <w:right w:val="single" w:sz="4" w:space="0" w:color="000000"/>
            </w:tcBorders>
            <w:shd w:val="clear" w:color="auto" w:fill="auto"/>
            <w:vAlign w:val="center"/>
          </w:tcPr>
          <w:p w14:paraId="2FFFAE14"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43 527,00</w:t>
            </w:r>
          </w:p>
        </w:tc>
        <w:tc>
          <w:tcPr>
            <w:tcW w:w="1984" w:type="dxa"/>
            <w:tcBorders>
              <w:top w:val="nil"/>
              <w:left w:val="nil"/>
              <w:bottom w:val="single" w:sz="8" w:space="0" w:color="000000"/>
              <w:right w:val="single" w:sz="4" w:space="0" w:color="000000"/>
            </w:tcBorders>
            <w:shd w:val="clear" w:color="auto" w:fill="auto"/>
            <w:vAlign w:val="center"/>
          </w:tcPr>
          <w:p w14:paraId="7EC602BD"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93 615,00</w:t>
            </w:r>
          </w:p>
        </w:tc>
        <w:tc>
          <w:tcPr>
            <w:tcW w:w="2268" w:type="dxa"/>
            <w:tcBorders>
              <w:top w:val="nil"/>
              <w:left w:val="nil"/>
              <w:bottom w:val="single" w:sz="8" w:space="0" w:color="000000"/>
              <w:right w:val="single" w:sz="4" w:space="0" w:color="000000"/>
            </w:tcBorders>
            <w:shd w:val="clear" w:color="auto" w:fill="auto"/>
            <w:vAlign w:val="center"/>
          </w:tcPr>
          <w:p w14:paraId="0D6405D3"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137 142,00</w:t>
            </w:r>
          </w:p>
        </w:tc>
        <w:tc>
          <w:tcPr>
            <w:tcW w:w="1843" w:type="dxa"/>
            <w:tcBorders>
              <w:top w:val="nil"/>
              <w:left w:val="nil"/>
              <w:bottom w:val="single" w:sz="8" w:space="0" w:color="000000"/>
              <w:right w:val="single" w:sz="4" w:space="0" w:color="000000"/>
            </w:tcBorders>
            <w:vAlign w:val="center"/>
          </w:tcPr>
          <w:p w14:paraId="51401830"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2F75B5"/>
                <w:sz w:val="18"/>
                <w:szCs w:val="18"/>
              </w:rPr>
              <w:t>0,22</w:t>
            </w:r>
          </w:p>
        </w:tc>
      </w:tr>
    </w:tbl>
    <w:p w14:paraId="3D77F03C" w14:textId="77777777" w:rsidR="00BC2BB0" w:rsidRDefault="00BC2BB0" w:rsidP="00BC2BB0">
      <w:pPr>
        <w:ind w:firstLine="720"/>
        <w:rPr>
          <w:rFonts w:cstheme="minorHAnsi"/>
        </w:rPr>
      </w:pPr>
    </w:p>
    <w:p w14:paraId="268CF5A5" w14:textId="618D9EC1" w:rsidR="00EA051D" w:rsidRPr="00BC2BB0" w:rsidRDefault="00EA051D" w:rsidP="00BC2BB0">
      <w:pPr>
        <w:ind w:firstLine="720"/>
        <w:rPr>
          <w:rFonts w:ascii="Times New Roman" w:hAnsi="Times New Roman" w:cs="Times New Roman"/>
        </w:rPr>
      </w:pPr>
      <w:r w:rsidRPr="00BC2BB0">
        <w:rPr>
          <w:rFonts w:ascii="Times New Roman" w:hAnsi="Times New Roman" w:cs="Times New Roman"/>
        </w:rPr>
        <w:t xml:space="preserve">Kā redzams </w:t>
      </w:r>
      <w:r w:rsidR="00B37E2D">
        <w:rPr>
          <w:rFonts w:ascii="Times New Roman" w:hAnsi="Times New Roman" w:cs="Times New Roman"/>
        </w:rPr>
        <w:t>4.5.7</w:t>
      </w:r>
      <w:r w:rsidRPr="00BC2BB0">
        <w:rPr>
          <w:rFonts w:ascii="Times New Roman" w:hAnsi="Times New Roman" w:cs="Times New Roman"/>
          <w:color w:val="000000"/>
        </w:rPr>
        <w:t xml:space="preserve">.tabulā </w:t>
      </w:r>
      <w:r w:rsidRPr="00BC2BB0">
        <w:rPr>
          <w:rFonts w:ascii="Times New Roman" w:hAnsi="Times New Roman" w:cs="Times New Roman"/>
        </w:rPr>
        <w:t xml:space="preserve">ievesto dūņu daudzums (slapju dūņu ekvivalentos) Ventspils, Jelgavas un Valmieras gadījumā būtiski pārsniedz paša dūņa centra NAI radīto dūņu daudzumu, kamēr Daugavpils un Rēzeknes gadījumā papildus ievesto dūņu daudzuma masa ir mazāka, bet tai pat laikā nozīmīga. Alternatīvas novērtējuma gaitā ir konstatēts arī būtisks vides risks, ka kopā ar pievestām dūņām, vienuviet tiek koncentrētas arī dūņās esošās vielas - slāpeklis, fosfors un smagie metāli. Pēc dūņu pārstrādes biogāzē, papildus pievestās vielas izšķīstu ūdenī un tiktu koncentrētas pēc biogāzes pārpalikušajā masā – digestātā, kuru mehāniski atūdeņojot tiktu iegūta atūdeņotu dūņu masu (23% sausna vai vairāk) un piesārņots ūdens – fugāts, kuru alternatīvas ietvaros paredzēts atgriezt attīrīšanai bioloģiskajās NAI. Tā kā papildus pievestais dūņu apjoms ir būtisks, arī papildus attīrīšanas slodze uz NAI būs būtiska, kas nav ņemta vērā un paredzēta projektējot un būvējot esošās NAI. </w:t>
      </w:r>
    </w:p>
    <w:p w14:paraId="5AF453B3" w14:textId="01D7E3F1" w:rsidR="00BC2BB0" w:rsidRPr="00BC2BB0" w:rsidRDefault="00B37E2D" w:rsidP="00BC2BB0">
      <w:p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Cs w:val="24"/>
        </w:rPr>
      </w:pPr>
      <w:r>
        <w:rPr>
          <w:rFonts w:ascii="Times New Roman" w:hAnsi="Times New Roman" w:cs="Times New Roman"/>
        </w:rPr>
        <w:t>4.5.8.</w:t>
      </w:r>
      <w:r w:rsidR="00EA051D" w:rsidRPr="00BC2BB0">
        <w:rPr>
          <w:rFonts w:ascii="Times New Roman" w:hAnsi="Times New Roman" w:cs="Times New Roman"/>
          <w:bCs/>
          <w:color w:val="000000"/>
          <w:szCs w:val="24"/>
        </w:rPr>
        <w:t>tabula</w:t>
      </w:r>
    </w:p>
    <w:p w14:paraId="08B86FEB" w14:textId="6E6D37F2" w:rsidR="00EA051D" w:rsidRPr="00BC2BB0" w:rsidRDefault="00EA051D" w:rsidP="00BC2BB0">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BC2BB0">
        <w:rPr>
          <w:rFonts w:ascii="Times New Roman" w:hAnsi="Times New Roman" w:cs="Times New Roman"/>
          <w:b/>
          <w:color w:val="000000"/>
          <w:szCs w:val="24"/>
        </w:rPr>
        <w:t xml:space="preserve">Aprēķinātais fugāta ūdenī uzkrātais piesārņojuma apjoms (aprēķinus skatīt pielikumā </w:t>
      </w:r>
      <w:r w:rsidR="0078125D" w:rsidRPr="0078125D">
        <w:rPr>
          <w:rFonts w:ascii="Times New Roman" w:hAnsi="Times New Roman" w:cs="Times New Roman"/>
          <w:b/>
          <w:color w:val="000000"/>
          <w:szCs w:val="24"/>
        </w:rPr>
        <w:t>4.9. Finanšu aprēķini “3. Uzturēšanas izmaksas notekūdeņu dūņu pārstrādē”</w:t>
      </w:r>
      <w:r w:rsidRPr="00BC2BB0">
        <w:rPr>
          <w:rFonts w:ascii="Times New Roman" w:hAnsi="Times New Roman" w:cs="Times New Roman"/>
          <w:b/>
          <w:color w:val="000000"/>
          <w:szCs w:val="24"/>
        </w:rPr>
        <w:t>)</w:t>
      </w:r>
    </w:p>
    <w:tbl>
      <w:tblPr>
        <w:tblStyle w:val="23"/>
        <w:tblW w:w="59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0"/>
        <w:gridCol w:w="1840"/>
        <w:gridCol w:w="2744"/>
      </w:tblGrid>
      <w:tr w:rsidR="00EA051D" w:rsidRPr="00BC2BB0" w14:paraId="02C45470" w14:textId="77777777" w:rsidTr="008E6BAE">
        <w:trPr>
          <w:trHeight w:val="698"/>
          <w:jc w:val="center"/>
        </w:trPr>
        <w:tc>
          <w:tcPr>
            <w:tcW w:w="1360" w:type="dxa"/>
            <w:tcBorders>
              <w:top w:val="single" w:sz="4" w:space="0" w:color="auto"/>
              <w:left w:val="single" w:sz="4" w:space="0" w:color="auto"/>
              <w:bottom w:val="single" w:sz="4" w:space="0" w:color="auto"/>
              <w:right w:val="single" w:sz="4" w:space="0" w:color="000000"/>
            </w:tcBorders>
            <w:shd w:val="clear" w:color="auto" w:fill="auto"/>
            <w:vAlign w:val="bottom"/>
          </w:tcPr>
          <w:p w14:paraId="26AA4DF5" w14:textId="77777777" w:rsidR="00EA051D" w:rsidRPr="00BC2BB0" w:rsidRDefault="00EA051D" w:rsidP="00D70884">
            <w:pPr>
              <w:spacing w:after="60"/>
              <w:rPr>
                <w:rFonts w:ascii="Times New Roman" w:hAnsi="Times New Roman" w:cs="Times New Roman"/>
                <w:color w:val="000000"/>
                <w:sz w:val="20"/>
                <w:szCs w:val="20"/>
              </w:rPr>
            </w:pPr>
            <w:r w:rsidRPr="00BC2BB0">
              <w:rPr>
                <w:rFonts w:ascii="Times New Roman" w:hAnsi="Times New Roman" w:cs="Times New Roman"/>
                <w:color w:val="000000"/>
                <w:sz w:val="20"/>
                <w:szCs w:val="20"/>
              </w:rPr>
              <w:t> </w:t>
            </w:r>
          </w:p>
        </w:tc>
        <w:tc>
          <w:tcPr>
            <w:tcW w:w="1840" w:type="dxa"/>
            <w:tcBorders>
              <w:top w:val="single" w:sz="4" w:space="0" w:color="auto"/>
              <w:left w:val="nil"/>
              <w:bottom w:val="single" w:sz="4" w:space="0" w:color="auto"/>
              <w:right w:val="single" w:sz="4" w:space="0" w:color="000000"/>
            </w:tcBorders>
            <w:shd w:val="clear" w:color="auto" w:fill="auto"/>
            <w:vAlign w:val="center"/>
          </w:tcPr>
          <w:p w14:paraId="6E7D83B2"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Fugāts m</w:t>
            </w:r>
            <w:r w:rsidRPr="00BC2BB0">
              <w:rPr>
                <w:rFonts w:ascii="Times New Roman" w:hAnsi="Times New Roman" w:cs="Times New Roman"/>
                <w:b/>
                <w:color w:val="000000"/>
                <w:sz w:val="20"/>
                <w:szCs w:val="20"/>
                <w:vertAlign w:val="superscript"/>
              </w:rPr>
              <w:t>3</w:t>
            </w:r>
            <w:r w:rsidRPr="00BC2BB0">
              <w:rPr>
                <w:rFonts w:ascii="Times New Roman" w:hAnsi="Times New Roman" w:cs="Times New Roman"/>
                <w:b/>
                <w:color w:val="000000"/>
                <w:sz w:val="20"/>
                <w:szCs w:val="20"/>
              </w:rPr>
              <w:t xml:space="preserve"> dienā</w:t>
            </w:r>
          </w:p>
        </w:tc>
        <w:tc>
          <w:tcPr>
            <w:tcW w:w="2744" w:type="dxa"/>
            <w:tcBorders>
              <w:top w:val="single" w:sz="4" w:space="0" w:color="auto"/>
              <w:left w:val="nil"/>
              <w:bottom w:val="single" w:sz="4" w:space="0" w:color="auto"/>
              <w:right w:val="single" w:sz="4" w:space="0" w:color="auto"/>
            </w:tcBorders>
            <w:shd w:val="clear" w:color="auto" w:fill="auto"/>
            <w:vAlign w:val="center"/>
          </w:tcPr>
          <w:p w14:paraId="60323FBE"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Papildus CE apjoms, ja viens m</w:t>
            </w:r>
            <w:r w:rsidRPr="00BC2BB0">
              <w:rPr>
                <w:rFonts w:ascii="Times New Roman" w:hAnsi="Times New Roman" w:cs="Times New Roman"/>
                <w:b/>
                <w:color w:val="000000"/>
                <w:sz w:val="20"/>
                <w:szCs w:val="20"/>
                <w:vertAlign w:val="superscript"/>
              </w:rPr>
              <w:t>3</w:t>
            </w:r>
            <w:r w:rsidRPr="00BC2BB0">
              <w:rPr>
                <w:rFonts w:ascii="Times New Roman" w:hAnsi="Times New Roman" w:cs="Times New Roman"/>
                <w:b/>
                <w:color w:val="000000"/>
                <w:sz w:val="20"/>
                <w:szCs w:val="20"/>
              </w:rPr>
              <w:t xml:space="preserve"> fugāta atbilst 75 CE </w:t>
            </w:r>
          </w:p>
        </w:tc>
      </w:tr>
      <w:tr w:rsidR="00EA051D" w:rsidRPr="00BC2BB0" w14:paraId="4A19E9F8" w14:textId="77777777" w:rsidTr="008E6BAE">
        <w:trPr>
          <w:trHeight w:val="288"/>
          <w:jc w:val="center"/>
        </w:trPr>
        <w:tc>
          <w:tcPr>
            <w:tcW w:w="1360" w:type="dxa"/>
            <w:tcBorders>
              <w:top w:val="single" w:sz="4" w:space="0" w:color="auto"/>
              <w:left w:val="single" w:sz="4" w:space="0" w:color="000000"/>
              <w:bottom w:val="single" w:sz="4" w:space="0" w:color="000000"/>
              <w:right w:val="single" w:sz="4" w:space="0" w:color="000000"/>
            </w:tcBorders>
            <w:shd w:val="clear" w:color="auto" w:fill="auto"/>
            <w:vAlign w:val="bottom"/>
          </w:tcPr>
          <w:p w14:paraId="40E7FC31" w14:textId="77777777" w:rsidR="00EA051D" w:rsidRPr="00BC2BB0" w:rsidRDefault="00EA051D" w:rsidP="00D70884">
            <w:pPr>
              <w:spacing w:after="60"/>
              <w:rPr>
                <w:rFonts w:ascii="Times New Roman" w:hAnsi="Times New Roman" w:cs="Times New Roman"/>
                <w:color w:val="000000"/>
                <w:sz w:val="18"/>
                <w:szCs w:val="18"/>
              </w:rPr>
            </w:pPr>
            <w:r w:rsidRPr="00BC2BB0">
              <w:rPr>
                <w:rFonts w:ascii="Times New Roman" w:hAnsi="Times New Roman" w:cs="Times New Roman"/>
                <w:color w:val="000000"/>
                <w:sz w:val="18"/>
                <w:szCs w:val="18"/>
              </w:rPr>
              <w:t>Ventspils</w:t>
            </w:r>
          </w:p>
        </w:tc>
        <w:tc>
          <w:tcPr>
            <w:tcW w:w="1840" w:type="dxa"/>
            <w:tcBorders>
              <w:top w:val="single" w:sz="4" w:space="0" w:color="auto"/>
              <w:left w:val="nil"/>
              <w:bottom w:val="single" w:sz="4" w:space="0" w:color="000000"/>
              <w:right w:val="single" w:sz="4" w:space="0" w:color="000000"/>
            </w:tcBorders>
            <w:shd w:val="clear" w:color="auto" w:fill="auto"/>
            <w:vAlign w:val="bottom"/>
          </w:tcPr>
          <w:p w14:paraId="1EC2C3CA"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83,35</w:t>
            </w:r>
          </w:p>
        </w:tc>
        <w:tc>
          <w:tcPr>
            <w:tcW w:w="2744" w:type="dxa"/>
            <w:tcBorders>
              <w:top w:val="single" w:sz="4" w:space="0" w:color="auto"/>
              <w:left w:val="nil"/>
              <w:bottom w:val="single" w:sz="4" w:space="0" w:color="000000"/>
              <w:right w:val="single" w:sz="4" w:space="0" w:color="000000"/>
            </w:tcBorders>
            <w:shd w:val="clear" w:color="auto" w:fill="auto"/>
            <w:vAlign w:val="center"/>
          </w:tcPr>
          <w:p w14:paraId="30DDDAA6"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6 251</w:t>
            </w:r>
          </w:p>
        </w:tc>
      </w:tr>
      <w:tr w:rsidR="00EA051D" w:rsidRPr="00BC2BB0" w14:paraId="5C689634" w14:textId="77777777" w:rsidTr="008E6BAE">
        <w:trPr>
          <w:trHeight w:val="288"/>
          <w:jc w:val="center"/>
        </w:trPr>
        <w:tc>
          <w:tcPr>
            <w:tcW w:w="1360" w:type="dxa"/>
            <w:tcBorders>
              <w:top w:val="nil"/>
              <w:left w:val="single" w:sz="4" w:space="0" w:color="000000"/>
              <w:bottom w:val="single" w:sz="4" w:space="0" w:color="000000"/>
              <w:right w:val="single" w:sz="4" w:space="0" w:color="000000"/>
            </w:tcBorders>
            <w:shd w:val="clear" w:color="auto" w:fill="auto"/>
            <w:vAlign w:val="bottom"/>
          </w:tcPr>
          <w:p w14:paraId="5F31BCDD" w14:textId="77777777" w:rsidR="00EA051D" w:rsidRPr="00BC2BB0" w:rsidRDefault="00EA051D" w:rsidP="00D70884">
            <w:pPr>
              <w:spacing w:after="60"/>
              <w:rPr>
                <w:rFonts w:ascii="Times New Roman" w:hAnsi="Times New Roman" w:cs="Times New Roman"/>
                <w:color w:val="000000"/>
                <w:sz w:val="18"/>
                <w:szCs w:val="18"/>
              </w:rPr>
            </w:pPr>
            <w:r w:rsidRPr="00BC2BB0">
              <w:rPr>
                <w:rFonts w:ascii="Times New Roman" w:hAnsi="Times New Roman" w:cs="Times New Roman"/>
                <w:color w:val="000000"/>
                <w:sz w:val="18"/>
                <w:szCs w:val="18"/>
              </w:rPr>
              <w:t>Daugavpils</w:t>
            </w:r>
          </w:p>
        </w:tc>
        <w:tc>
          <w:tcPr>
            <w:tcW w:w="1840" w:type="dxa"/>
            <w:tcBorders>
              <w:top w:val="nil"/>
              <w:left w:val="nil"/>
              <w:bottom w:val="single" w:sz="4" w:space="0" w:color="000000"/>
              <w:right w:val="single" w:sz="4" w:space="0" w:color="000000"/>
            </w:tcBorders>
            <w:shd w:val="clear" w:color="auto" w:fill="auto"/>
            <w:vAlign w:val="bottom"/>
          </w:tcPr>
          <w:p w14:paraId="12274819"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80,89</w:t>
            </w:r>
          </w:p>
        </w:tc>
        <w:tc>
          <w:tcPr>
            <w:tcW w:w="2744" w:type="dxa"/>
            <w:tcBorders>
              <w:top w:val="nil"/>
              <w:left w:val="nil"/>
              <w:bottom w:val="single" w:sz="4" w:space="0" w:color="000000"/>
              <w:right w:val="single" w:sz="4" w:space="0" w:color="000000"/>
            </w:tcBorders>
            <w:shd w:val="clear" w:color="auto" w:fill="auto"/>
            <w:vAlign w:val="center"/>
          </w:tcPr>
          <w:p w14:paraId="0805AA72"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6 067</w:t>
            </w:r>
          </w:p>
        </w:tc>
      </w:tr>
      <w:tr w:rsidR="00EA051D" w:rsidRPr="00BC2BB0" w14:paraId="38EE778F" w14:textId="77777777" w:rsidTr="008E6BAE">
        <w:trPr>
          <w:trHeight w:val="288"/>
          <w:jc w:val="center"/>
        </w:trPr>
        <w:tc>
          <w:tcPr>
            <w:tcW w:w="1360" w:type="dxa"/>
            <w:tcBorders>
              <w:top w:val="nil"/>
              <w:left w:val="single" w:sz="4" w:space="0" w:color="000000"/>
              <w:bottom w:val="single" w:sz="4" w:space="0" w:color="000000"/>
              <w:right w:val="single" w:sz="4" w:space="0" w:color="000000"/>
            </w:tcBorders>
            <w:shd w:val="clear" w:color="auto" w:fill="auto"/>
            <w:vAlign w:val="bottom"/>
          </w:tcPr>
          <w:p w14:paraId="33572AF9" w14:textId="77777777" w:rsidR="00EA051D" w:rsidRPr="00BC2BB0" w:rsidRDefault="00EA051D" w:rsidP="00D70884">
            <w:pPr>
              <w:spacing w:after="60"/>
              <w:rPr>
                <w:rFonts w:ascii="Times New Roman" w:hAnsi="Times New Roman" w:cs="Times New Roman"/>
                <w:color w:val="000000"/>
                <w:sz w:val="18"/>
                <w:szCs w:val="18"/>
              </w:rPr>
            </w:pPr>
            <w:r w:rsidRPr="00BC2BB0">
              <w:rPr>
                <w:rFonts w:ascii="Times New Roman" w:hAnsi="Times New Roman" w:cs="Times New Roman"/>
                <w:color w:val="000000"/>
                <w:sz w:val="18"/>
                <w:szCs w:val="18"/>
              </w:rPr>
              <w:t>Rēzekne</w:t>
            </w:r>
          </w:p>
        </w:tc>
        <w:tc>
          <w:tcPr>
            <w:tcW w:w="1840" w:type="dxa"/>
            <w:tcBorders>
              <w:top w:val="nil"/>
              <w:left w:val="nil"/>
              <w:bottom w:val="single" w:sz="4" w:space="0" w:color="000000"/>
              <w:right w:val="single" w:sz="4" w:space="0" w:color="000000"/>
            </w:tcBorders>
            <w:shd w:val="clear" w:color="auto" w:fill="auto"/>
            <w:vAlign w:val="bottom"/>
          </w:tcPr>
          <w:p w14:paraId="32186361"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52,40</w:t>
            </w:r>
          </w:p>
        </w:tc>
        <w:tc>
          <w:tcPr>
            <w:tcW w:w="2744" w:type="dxa"/>
            <w:tcBorders>
              <w:top w:val="nil"/>
              <w:left w:val="nil"/>
              <w:bottom w:val="single" w:sz="4" w:space="0" w:color="000000"/>
              <w:right w:val="single" w:sz="4" w:space="0" w:color="000000"/>
            </w:tcBorders>
            <w:shd w:val="clear" w:color="auto" w:fill="auto"/>
            <w:vAlign w:val="center"/>
          </w:tcPr>
          <w:p w14:paraId="6CA960AB"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3 930</w:t>
            </w:r>
          </w:p>
        </w:tc>
      </w:tr>
      <w:tr w:rsidR="00EA051D" w:rsidRPr="00BC2BB0" w14:paraId="0BA2A9B2" w14:textId="77777777" w:rsidTr="008E6BAE">
        <w:trPr>
          <w:trHeight w:val="288"/>
          <w:jc w:val="center"/>
        </w:trPr>
        <w:tc>
          <w:tcPr>
            <w:tcW w:w="1360" w:type="dxa"/>
            <w:tcBorders>
              <w:top w:val="nil"/>
              <w:left w:val="single" w:sz="4" w:space="0" w:color="000000"/>
              <w:bottom w:val="single" w:sz="4" w:space="0" w:color="000000"/>
              <w:right w:val="single" w:sz="4" w:space="0" w:color="000000"/>
            </w:tcBorders>
            <w:shd w:val="clear" w:color="auto" w:fill="auto"/>
            <w:vAlign w:val="bottom"/>
          </w:tcPr>
          <w:p w14:paraId="2F6D711B" w14:textId="77777777" w:rsidR="00EA051D" w:rsidRPr="00BC2BB0" w:rsidRDefault="00EA051D" w:rsidP="00D70884">
            <w:pPr>
              <w:spacing w:after="60"/>
              <w:rPr>
                <w:rFonts w:ascii="Times New Roman" w:hAnsi="Times New Roman" w:cs="Times New Roman"/>
                <w:color w:val="000000"/>
                <w:sz w:val="18"/>
                <w:szCs w:val="18"/>
              </w:rPr>
            </w:pPr>
            <w:r w:rsidRPr="00BC2BB0">
              <w:rPr>
                <w:rFonts w:ascii="Times New Roman" w:hAnsi="Times New Roman" w:cs="Times New Roman"/>
                <w:color w:val="000000"/>
                <w:sz w:val="18"/>
                <w:szCs w:val="18"/>
              </w:rPr>
              <w:t>Jelgava</w:t>
            </w:r>
          </w:p>
        </w:tc>
        <w:tc>
          <w:tcPr>
            <w:tcW w:w="1840" w:type="dxa"/>
            <w:tcBorders>
              <w:top w:val="nil"/>
              <w:left w:val="nil"/>
              <w:bottom w:val="single" w:sz="4" w:space="0" w:color="000000"/>
              <w:right w:val="single" w:sz="4" w:space="0" w:color="000000"/>
            </w:tcBorders>
            <w:shd w:val="clear" w:color="auto" w:fill="auto"/>
            <w:vAlign w:val="bottom"/>
          </w:tcPr>
          <w:p w14:paraId="1498EF94"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185,93</w:t>
            </w:r>
          </w:p>
        </w:tc>
        <w:tc>
          <w:tcPr>
            <w:tcW w:w="2744" w:type="dxa"/>
            <w:tcBorders>
              <w:top w:val="nil"/>
              <w:left w:val="nil"/>
              <w:bottom w:val="single" w:sz="4" w:space="0" w:color="000000"/>
              <w:right w:val="single" w:sz="4" w:space="0" w:color="000000"/>
            </w:tcBorders>
            <w:shd w:val="clear" w:color="auto" w:fill="auto"/>
            <w:vAlign w:val="center"/>
          </w:tcPr>
          <w:p w14:paraId="4A2BC147"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13 945</w:t>
            </w:r>
          </w:p>
        </w:tc>
      </w:tr>
      <w:tr w:rsidR="00EA051D" w:rsidRPr="00BC2BB0" w14:paraId="15DA93DE" w14:textId="77777777" w:rsidTr="008E6BAE">
        <w:trPr>
          <w:trHeight w:val="288"/>
          <w:jc w:val="center"/>
        </w:trPr>
        <w:tc>
          <w:tcPr>
            <w:tcW w:w="1360" w:type="dxa"/>
            <w:tcBorders>
              <w:top w:val="nil"/>
              <w:left w:val="single" w:sz="4" w:space="0" w:color="000000"/>
              <w:bottom w:val="single" w:sz="4" w:space="0" w:color="000000"/>
              <w:right w:val="single" w:sz="4" w:space="0" w:color="000000"/>
            </w:tcBorders>
            <w:shd w:val="clear" w:color="auto" w:fill="auto"/>
            <w:vAlign w:val="bottom"/>
          </w:tcPr>
          <w:p w14:paraId="7A54D087" w14:textId="77777777" w:rsidR="00EA051D" w:rsidRPr="00BC2BB0" w:rsidRDefault="00EA051D" w:rsidP="00D70884">
            <w:pPr>
              <w:spacing w:after="60"/>
              <w:rPr>
                <w:rFonts w:ascii="Times New Roman" w:hAnsi="Times New Roman" w:cs="Times New Roman"/>
                <w:color w:val="000000"/>
                <w:sz w:val="18"/>
                <w:szCs w:val="18"/>
              </w:rPr>
            </w:pPr>
            <w:r w:rsidRPr="00BC2BB0">
              <w:rPr>
                <w:rFonts w:ascii="Times New Roman" w:hAnsi="Times New Roman" w:cs="Times New Roman"/>
                <w:color w:val="000000"/>
                <w:sz w:val="18"/>
                <w:szCs w:val="18"/>
              </w:rPr>
              <w:t>Valmiera</w:t>
            </w:r>
          </w:p>
        </w:tc>
        <w:tc>
          <w:tcPr>
            <w:tcW w:w="1840" w:type="dxa"/>
            <w:tcBorders>
              <w:top w:val="nil"/>
              <w:left w:val="nil"/>
              <w:bottom w:val="single" w:sz="4" w:space="0" w:color="000000"/>
              <w:right w:val="single" w:sz="4" w:space="0" w:color="000000"/>
            </w:tcBorders>
            <w:shd w:val="clear" w:color="auto" w:fill="auto"/>
            <w:vAlign w:val="bottom"/>
          </w:tcPr>
          <w:p w14:paraId="22D0B418"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52,54</w:t>
            </w:r>
          </w:p>
        </w:tc>
        <w:tc>
          <w:tcPr>
            <w:tcW w:w="2744" w:type="dxa"/>
            <w:tcBorders>
              <w:top w:val="nil"/>
              <w:left w:val="nil"/>
              <w:bottom w:val="single" w:sz="4" w:space="0" w:color="000000"/>
              <w:right w:val="single" w:sz="4" w:space="0" w:color="000000"/>
            </w:tcBorders>
            <w:shd w:val="clear" w:color="auto" w:fill="auto"/>
            <w:vAlign w:val="center"/>
          </w:tcPr>
          <w:p w14:paraId="3B99C9AC"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3 941</w:t>
            </w:r>
          </w:p>
        </w:tc>
      </w:tr>
    </w:tbl>
    <w:p w14:paraId="498958F4" w14:textId="77777777" w:rsidR="004E438F" w:rsidRDefault="004E438F" w:rsidP="00EA051D">
      <w:pPr>
        <w:spacing w:before="200" w:after="0"/>
        <w:rPr>
          <w:rFonts w:cstheme="minorHAnsi"/>
        </w:rPr>
      </w:pPr>
    </w:p>
    <w:p w14:paraId="7D6770F4" w14:textId="5B586C98" w:rsidR="00EA051D" w:rsidRPr="00BC2BB0" w:rsidRDefault="00EA051D" w:rsidP="00EA051D">
      <w:pPr>
        <w:spacing w:before="200" w:after="0"/>
        <w:rPr>
          <w:rFonts w:ascii="Times New Roman" w:hAnsi="Times New Roman" w:cs="Times New Roman"/>
        </w:rPr>
      </w:pPr>
      <w:r w:rsidRPr="00BC2BB0">
        <w:rPr>
          <w:rFonts w:ascii="Times New Roman" w:hAnsi="Times New Roman" w:cs="Times New Roman"/>
        </w:rPr>
        <w:lastRenderedPageBreak/>
        <w:t>Lai risinātu fugāta attīrīšanas jautājumu, alternatīvas novērtējuma laikā ir izskatīti trīs tehnoloģiskie risinājumi:</w:t>
      </w:r>
    </w:p>
    <w:p w14:paraId="04654185" w14:textId="77777777" w:rsidR="00EA051D" w:rsidRPr="00BC2BB0" w:rsidRDefault="00EA051D" w:rsidP="008B1B4B">
      <w:pPr>
        <w:numPr>
          <w:ilvl w:val="0"/>
          <w:numId w:val="16"/>
        </w:numPr>
        <w:pBdr>
          <w:top w:val="nil"/>
          <w:left w:val="nil"/>
          <w:bottom w:val="nil"/>
          <w:right w:val="nil"/>
          <w:between w:val="nil"/>
        </w:pBdr>
        <w:spacing w:after="0"/>
        <w:rPr>
          <w:rFonts w:ascii="Times New Roman" w:hAnsi="Times New Roman" w:cs="Times New Roman"/>
        </w:rPr>
      </w:pPr>
      <w:r w:rsidRPr="00BC2BB0">
        <w:rPr>
          <w:rFonts w:ascii="Times New Roman" w:hAnsi="Times New Roman" w:cs="Times New Roman"/>
          <w:b/>
          <w:color w:val="000000"/>
        </w:rPr>
        <w:t>Fugāta attīrīšana, izmantojot reversās osmozes iekārtas.</w:t>
      </w:r>
      <w:r w:rsidRPr="00BC2BB0">
        <w:rPr>
          <w:rFonts w:ascii="Times New Roman" w:hAnsi="Times New Roman" w:cs="Times New Roman"/>
          <w:color w:val="000000"/>
        </w:rPr>
        <w:t xml:space="preserve"> Jebkuru netīru ūdeni, t.sk. fugātu ir iespējams attīrīt, izmantojot reversās osmozes attīrīšanas iekārtas. Novērtējot situāciju ir konstatēts, ka šajā gadījumā minētā metode nav pielietojama, jo reversās osmozes iekārta fugātā esošā slāpekļa, fosfora un smago metālu daudzumu nesamazinās, bet koncentrēs atbrīvojot tīru ūdeni (~85%) un netīru pārpalikumu (~15%) ar vēl augstāku piesārņojošo vielu koncentrāciju. Neattīrīto un ļoti koncentrēto ūdens masu novadīt dabā nevar un stratēģijas izstrādes gaitā netika rasts risinājums šādi piesārņotas ūdens masas utilizācijai, izņemot veikt tās iztvaicēšanu. No minētā secināms, ka fugāta attīrīšana reversās osmozes iekārtās veicinās jauna piesārņojuma rašanos, tāpēc šāds risinājums tālāk netika izskatīts un detalizēti vērtēts. </w:t>
      </w:r>
    </w:p>
    <w:p w14:paraId="3B8F4EFA" w14:textId="4D08C4ED" w:rsidR="00EA051D" w:rsidRPr="00BC2BB0" w:rsidRDefault="00EA051D" w:rsidP="008B1B4B">
      <w:pPr>
        <w:numPr>
          <w:ilvl w:val="0"/>
          <w:numId w:val="16"/>
        </w:numPr>
        <w:pBdr>
          <w:top w:val="nil"/>
          <w:left w:val="nil"/>
          <w:bottom w:val="nil"/>
          <w:right w:val="nil"/>
          <w:between w:val="nil"/>
        </w:pBdr>
        <w:spacing w:after="0"/>
        <w:rPr>
          <w:rFonts w:ascii="Times New Roman" w:hAnsi="Times New Roman" w:cs="Times New Roman"/>
        </w:rPr>
      </w:pPr>
      <w:r w:rsidRPr="00BC2BB0">
        <w:rPr>
          <w:rFonts w:ascii="Times New Roman" w:hAnsi="Times New Roman" w:cs="Times New Roman"/>
          <w:b/>
          <w:color w:val="000000"/>
        </w:rPr>
        <w:t>Fugāta attīrīšana papildus izveidotos bioloģiskās attīrīšanas blokos.</w:t>
      </w:r>
      <w:r w:rsidRPr="00BC2BB0">
        <w:rPr>
          <w:rFonts w:ascii="Times New Roman" w:hAnsi="Times New Roman" w:cs="Times New Roman"/>
          <w:color w:val="000000"/>
        </w:rPr>
        <w:t xml:space="preserve"> Fugāta ūdenī esošais slāpeklis un citas koncentrētās  vielas un elementi nonāk no notekūdeņu dūņām, kas noņemtas bioloģiskās notekūdeņu attīrīšanas iekārtās. Fugātā uzkrātās vielas ir iespējams mazināt tās atkārtoti apstrādājot bioloģiskās notekūdeņu attīrīšanas iekārtās. Ņemot vērā, ka biogāzes staciju izvietošana plānota tuvu pie reģiona lielākām NAI, vienkāršākais risinājums ir plānot fugāta attīrīšanu attiecīgajās NAI. Tomēr slāpekļa, fosfora un smago metālu koncentrācija ir būtiska un esošās attīrīšanas iekārtas nav ne projektētas, ne būvētas šāda papildus piesārņojuma attīrīšanai, līdz ar to plānojot fugāta ūdenī esošā piesārņojumu attīrīšanu bioloģiskās attīrīšanas iekārtās, ir jāparedz atsevišķu, jaunu bioloģisko notekūdeņu attīrīšanas iekārtu izbūve. </w:t>
      </w:r>
      <w:r w:rsidR="00F57301">
        <w:rPr>
          <w:rFonts w:ascii="Times New Roman" w:hAnsi="Times New Roman" w:cs="Times New Roman"/>
          <w:color w:val="000000"/>
        </w:rPr>
        <w:t>P</w:t>
      </w:r>
      <w:r w:rsidRPr="00BC2BB0">
        <w:rPr>
          <w:rFonts w:ascii="Times New Roman" w:hAnsi="Times New Roman" w:cs="Times New Roman"/>
          <w:color w:val="000000"/>
        </w:rPr>
        <w:t>apildus attīrāmā piesārņojuma apjoms atbilst vidējas Latvijas pilsētas radītā piesārņojuma apjomam, kā rezultātā arī papildus izbūvējamās bioloģiskās attīrīšanas iekārtas izmaksas atbilst šādu iekārtu vērtībai.</w:t>
      </w:r>
    </w:p>
    <w:p w14:paraId="03D5A77D" w14:textId="77777777" w:rsidR="00EA051D" w:rsidRPr="00BC2BB0" w:rsidRDefault="00EA051D" w:rsidP="00EA051D">
      <w:pPr>
        <w:pBdr>
          <w:top w:val="nil"/>
          <w:left w:val="nil"/>
          <w:bottom w:val="nil"/>
          <w:right w:val="nil"/>
          <w:between w:val="nil"/>
        </w:pBdr>
        <w:spacing w:after="0"/>
        <w:ind w:left="720"/>
        <w:rPr>
          <w:rFonts w:ascii="Times New Roman" w:hAnsi="Times New Roman" w:cs="Times New Roman"/>
          <w:color w:val="000000"/>
        </w:rPr>
      </w:pPr>
    </w:p>
    <w:p w14:paraId="3E9B935E" w14:textId="0019B70D" w:rsidR="00BC2BB0" w:rsidRPr="00BC2BB0" w:rsidRDefault="00DE3EE3" w:rsidP="00BC2BB0">
      <w:p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Cs w:val="24"/>
        </w:rPr>
      </w:pPr>
      <w:r>
        <w:rPr>
          <w:rFonts w:ascii="Times New Roman" w:hAnsi="Times New Roman" w:cs="Times New Roman"/>
        </w:rPr>
        <w:t>4.5.9.</w:t>
      </w:r>
      <w:r w:rsidR="00EA051D" w:rsidRPr="00BC2BB0">
        <w:rPr>
          <w:rFonts w:ascii="Times New Roman" w:hAnsi="Times New Roman" w:cs="Times New Roman"/>
          <w:bCs/>
          <w:color w:val="000000"/>
          <w:szCs w:val="24"/>
        </w:rPr>
        <w:t>tabula</w:t>
      </w:r>
    </w:p>
    <w:p w14:paraId="368711A5" w14:textId="592BE16E" w:rsidR="00EA051D" w:rsidRPr="00BC2BB0" w:rsidRDefault="00EA051D" w:rsidP="00BC2BB0">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BC2BB0">
        <w:rPr>
          <w:rFonts w:ascii="Times New Roman" w:hAnsi="Times New Roman" w:cs="Times New Roman"/>
          <w:b/>
          <w:color w:val="000000"/>
          <w:szCs w:val="24"/>
        </w:rPr>
        <w:t>Fugāta ūdens attīrīšanai nepieciešamo papildus bioloģisko attīrīšanas iekārtu izmaksas, EUR (aprēķinus skatīt pielikumā “</w:t>
      </w:r>
      <w:r w:rsidR="0078125D" w:rsidRPr="0078125D">
        <w:rPr>
          <w:rFonts w:ascii="Times New Roman" w:hAnsi="Times New Roman" w:cs="Times New Roman"/>
          <w:b/>
          <w:color w:val="000000"/>
          <w:szCs w:val="24"/>
        </w:rPr>
        <w:t>4.9. Finanšu aprēķini “3. Uzturēšanas izmaksas notekūdeņu dūņu pārstrādē”</w:t>
      </w:r>
    </w:p>
    <w:tbl>
      <w:tblPr>
        <w:tblStyle w:val="22"/>
        <w:tblW w:w="84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0"/>
        <w:gridCol w:w="2554"/>
        <w:gridCol w:w="4391"/>
      </w:tblGrid>
      <w:tr w:rsidR="00EA051D" w:rsidRPr="00BC2BB0" w14:paraId="1CD11B4E" w14:textId="77777777" w:rsidTr="00BC2BB0">
        <w:trPr>
          <w:trHeight w:val="698"/>
          <w:jc w:val="center"/>
        </w:trPr>
        <w:tc>
          <w:tcPr>
            <w:tcW w:w="155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6BCB95C" w14:textId="77777777" w:rsidR="00EA051D" w:rsidRPr="00BC2BB0" w:rsidRDefault="00EA051D" w:rsidP="00D70884">
            <w:pPr>
              <w:spacing w:after="60"/>
              <w:ind w:left="164"/>
              <w:jc w:val="center"/>
              <w:rPr>
                <w:rFonts w:ascii="Times New Roman" w:hAnsi="Times New Roman" w:cs="Times New Roman"/>
                <w:color w:val="000000"/>
                <w:sz w:val="20"/>
                <w:szCs w:val="20"/>
              </w:rPr>
            </w:pPr>
          </w:p>
        </w:tc>
        <w:tc>
          <w:tcPr>
            <w:tcW w:w="2554" w:type="dxa"/>
            <w:tcBorders>
              <w:top w:val="single" w:sz="8" w:space="0" w:color="000000"/>
              <w:left w:val="nil"/>
              <w:bottom w:val="single" w:sz="8" w:space="0" w:color="000000"/>
              <w:right w:val="single" w:sz="8" w:space="0" w:color="000000"/>
            </w:tcBorders>
            <w:shd w:val="clear" w:color="auto" w:fill="auto"/>
            <w:vAlign w:val="center"/>
          </w:tcPr>
          <w:p w14:paraId="411FF722" w14:textId="77777777" w:rsidR="00EA051D" w:rsidRPr="00BC2BB0" w:rsidRDefault="00EA051D" w:rsidP="00D70884">
            <w:pPr>
              <w:spacing w:after="60"/>
              <w:ind w:left="-66"/>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Papildus CE apjoms, ja viens m</w:t>
            </w:r>
            <w:r w:rsidRPr="00BC2BB0">
              <w:rPr>
                <w:rFonts w:ascii="Times New Roman" w:hAnsi="Times New Roman" w:cs="Times New Roman"/>
                <w:b/>
                <w:color w:val="000000"/>
                <w:sz w:val="20"/>
                <w:szCs w:val="20"/>
                <w:vertAlign w:val="superscript"/>
              </w:rPr>
              <w:t>3</w:t>
            </w:r>
            <w:r w:rsidRPr="00BC2BB0">
              <w:rPr>
                <w:rFonts w:ascii="Times New Roman" w:hAnsi="Times New Roman" w:cs="Times New Roman"/>
                <w:b/>
                <w:color w:val="000000"/>
                <w:sz w:val="20"/>
                <w:szCs w:val="20"/>
              </w:rPr>
              <w:t xml:space="preserve"> fugāta atbilst 75 CE</w:t>
            </w:r>
          </w:p>
        </w:tc>
        <w:tc>
          <w:tcPr>
            <w:tcW w:w="4391" w:type="dxa"/>
            <w:tcBorders>
              <w:top w:val="single" w:sz="8" w:space="0" w:color="000000"/>
              <w:left w:val="single" w:sz="4" w:space="0" w:color="000000"/>
              <w:bottom w:val="single" w:sz="8" w:space="0" w:color="000000"/>
              <w:right w:val="single" w:sz="8" w:space="0" w:color="000000"/>
            </w:tcBorders>
            <w:vAlign w:val="center"/>
          </w:tcPr>
          <w:p w14:paraId="02589ECF" w14:textId="77777777" w:rsidR="00EA051D" w:rsidRPr="00BC2BB0" w:rsidRDefault="00EA051D" w:rsidP="00D70884">
            <w:pP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Fugāta ūdens attīrīšanai nepieciešamo bioloģisko NAI celtniecības iekārtu izmaksas, t.sk. projektēšanas, būvuzraudzības un autoruzraudzības izmaksas EUR</w:t>
            </w:r>
          </w:p>
        </w:tc>
      </w:tr>
      <w:tr w:rsidR="00EA051D" w:rsidRPr="00BC2BB0" w14:paraId="42B115C4" w14:textId="77777777" w:rsidTr="00BC2BB0">
        <w:trPr>
          <w:trHeight w:val="288"/>
          <w:jc w:val="center"/>
        </w:trPr>
        <w:tc>
          <w:tcPr>
            <w:tcW w:w="1550" w:type="dxa"/>
            <w:tcBorders>
              <w:top w:val="nil"/>
              <w:left w:val="single" w:sz="4" w:space="0" w:color="000000"/>
              <w:bottom w:val="single" w:sz="4" w:space="0" w:color="000000"/>
              <w:right w:val="single" w:sz="4" w:space="0" w:color="000000"/>
            </w:tcBorders>
            <w:shd w:val="clear" w:color="auto" w:fill="auto"/>
            <w:vAlign w:val="bottom"/>
          </w:tcPr>
          <w:p w14:paraId="1D114A58" w14:textId="77777777" w:rsidR="00EA051D" w:rsidRPr="00BC2BB0" w:rsidRDefault="00EA051D" w:rsidP="00D70884">
            <w:pPr>
              <w:spacing w:after="60"/>
              <w:ind w:left="164"/>
              <w:rPr>
                <w:rFonts w:ascii="Times New Roman" w:hAnsi="Times New Roman" w:cs="Times New Roman"/>
                <w:color w:val="000000"/>
                <w:sz w:val="18"/>
                <w:szCs w:val="18"/>
              </w:rPr>
            </w:pPr>
            <w:r w:rsidRPr="00BC2BB0">
              <w:rPr>
                <w:rFonts w:ascii="Times New Roman" w:hAnsi="Times New Roman" w:cs="Times New Roman"/>
                <w:color w:val="000000"/>
                <w:sz w:val="18"/>
                <w:szCs w:val="18"/>
              </w:rPr>
              <w:t>Ventspils NAI</w:t>
            </w:r>
          </w:p>
        </w:tc>
        <w:tc>
          <w:tcPr>
            <w:tcW w:w="2554" w:type="dxa"/>
            <w:tcBorders>
              <w:top w:val="nil"/>
              <w:left w:val="nil"/>
              <w:bottom w:val="single" w:sz="4" w:space="0" w:color="000000"/>
              <w:right w:val="single" w:sz="4" w:space="0" w:color="000000"/>
            </w:tcBorders>
            <w:shd w:val="clear" w:color="auto" w:fill="auto"/>
            <w:vAlign w:val="center"/>
          </w:tcPr>
          <w:p w14:paraId="3B5DD5A1" w14:textId="77777777" w:rsidR="00EA051D" w:rsidRPr="00BC2BB0" w:rsidRDefault="00EA051D" w:rsidP="00D70884">
            <w:pPr>
              <w:spacing w:after="60"/>
              <w:ind w:left="-66"/>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6 390</w:t>
            </w:r>
          </w:p>
        </w:tc>
        <w:tc>
          <w:tcPr>
            <w:tcW w:w="4391" w:type="dxa"/>
            <w:tcBorders>
              <w:top w:val="nil"/>
              <w:left w:val="single" w:sz="4" w:space="0" w:color="000000"/>
              <w:bottom w:val="single" w:sz="4" w:space="0" w:color="000000"/>
              <w:right w:val="single" w:sz="4" w:space="0" w:color="000000"/>
            </w:tcBorders>
          </w:tcPr>
          <w:p w14:paraId="19D95C27"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2 100 000</w:t>
            </w:r>
          </w:p>
        </w:tc>
      </w:tr>
      <w:tr w:rsidR="00EA051D" w:rsidRPr="00BC2BB0" w14:paraId="6E2411BD" w14:textId="77777777" w:rsidTr="00BC2BB0">
        <w:trPr>
          <w:trHeight w:val="288"/>
          <w:jc w:val="center"/>
        </w:trPr>
        <w:tc>
          <w:tcPr>
            <w:tcW w:w="1550" w:type="dxa"/>
            <w:tcBorders>
              <w:top w:val="nil"/>
              <w:left w:val="single" w:sz="4" w:space="0" w:color="000000"/>
              <w:bottom w:val="single" w:sz="4" w:space="0" w:color="000000"/>
              <w:right w:val="single" w:sz="4" w:space="0" w:color="000000"/>
            </w:tcBorders>
            <w:shd w:val="clear" w:color="auto" w:fill="auto"/>
            <w:vAlign w:val="bottom"/>
          </w:tcPr>
          <w:p w14:paraId="1E9CD2A0" w14:textId="77777777" w:rsidR="00EA051D" w:rsidRPr="00BC2BB0" w:rsidRDefault="00EA051D" w:rsidP="00D70884">
            <w:pPr>
              <w:spacing w:after="60"/>
              <w:ind w:left="164"/>
              <w:rPr>
                <w:rFonts w:ascii="Times New Roman" w:hAnsi="Times New Roman" w:cs="Times New Roman"/>
                <w:color w:val="000000"/>
                <w:sz w:val="18"/>
                <w:szCs w:val="18"/>
              </w:rPr>
            </w:pPr>
            <w:r w:rsidRPr="00BC2BB0">
              <w:rPr>
                <w:rFonts w:ascii="Times New Roman" w:hAnsi="Times New Roman" w:cs="Times New Roman"/>
                <w:color w:val="000000"/>
                <w:sz w:val="18"/>
                <w:szCs w:val="18"/>
              </w:rPr>
              <w:t>Daugavpils NAI</w:t>
            </w:r>
          </w:p>
        </w:tc>
        <w:tc>
          <w:tcPr>
            <w:tcW w:w="2554" w:type="dxa"/>
            <w:tcBorders>
              <w:top w:val="nil"/>
              <w:left w:val="nil"/>
              <w:bottom w:val="single" w:sz="4" w:space="0" w:color="000000"/>
              <w:right w:val="single" w:sz="4" w:space="0" w:color="000000"/>
            </w:tcBorders>
            <w:shd w:val="clear" w:color="auto" w:fill="auto"/>
            <w:vAlign w:val="center"/>
          </w:tcPr>
          <w:p w14:paraId="0149167A" w14:textId="77777777" w:rsidR="00EA051D" w:rsidRPr="00BC2BB0" w:rsidRDefault="00EA051D" w:rsidP="00D70884">
            <w:pPr>
              <w:spacing w:after="60"/>
              <w:ind w:left="-66"/>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6 000</w:t>
            </w:r>
          </w:p>
        </w:tc>
        <w:tc>
          <w:tcPr>
            <w:tcW w:w="4391" w:type="dxa"/>
            <w:tcBorders>
              <w:top w:val="nil"/>
              <w:left w:val="single" w:sz="4" w:space="0" w:color="000000"/>
              <w:bottom w:val="single" w:sz="4" w:space="0" w:color="000000"/>
              <w:right w:val="single" w:sz="4" w:space="0" w:color="000000"/>
            </w:tcBorders>
          </w:tcPr>
          <w:p w14:paraId="6BEFEB55"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2 000 000</w:t>
            </w:r>
          </w:p>
        </w:tc>
      </w:tr>
      <w:tr w:rsidR="00EA051D" w:rsidRPr="00BC2BB0" w14:paraId="73056F1C" w14:textId="77777777" w:rsidTr="00BC2BB0">
        <w:trPr>
          <w:trHeight w:val="288"/>
          <w:jc w:val="center"/>
        </w:trPr>
        <w:tc>
          <w:tcPr>
            <w:tcW w:w="1550" w:type="dxa"/>
            <w:tcBorders>
              <w:top w:val="nil"/>
              <w:left w:val="single" w:sz="4" w:space="0" w:color="000000"/>
              <w:bottom w:val="single" w:sz="4" w:space="0" w:color="000000"/>
              <w:right w:val="single" w:sz="4" w:space="0" w:color="000000"/>
            </w:tcBorders>
            <w:shd w:val="clear" w:color="auto" w:fill="auto"/>
            <w:vAlign w:val="bottom"/>
          </w:tcPr>
          <w:p w14:paraId="78C980C2" w14:textId="77777777" w:rsidR="00EA051D" w:rsidRPr="00BC2BB0" w:rsidRDefault="00EA051D" w:rsidP="00D70884">
            <w:pPr>
              <w:spacing w:after="60"/>
              <w:ind w:left="164"/>
              <w:rPr>
                <w:rFonts w:ascii="Times New Roman" w:hAnsi="Times New Roman" w:cs="Times New Roman"/>
                <w:color w:val="000000"/>
                <w:sz w:val="18"/>
                <w:szCs w:val="18"/>
              </w:rPr>
            </w:pPr>
            <w:r w:rsidRPr="00BC2BB0">
              <w:rPr>
                <w:rFonts w:ascii="Times New Roman" w:hAnsi="Times New Roman" w:cs="Times New Roman"/>
                <w:color w:val="000000"/>
                <w:sz w:val="18"/>
                <w:szCs w:val="18"/>
              </w:rPr>
              <w:t>Rēzeknes NAI</w:t>
            </w:r>
          </w:p>
        </w:tc>
        <w:tc>
          <w:tcPr>
            <w:tcW w:w="2554" w:type="dxa"/>
            <w:tcBorders>
              <w:top w:val="nil"/>
              <w:left w:val="nil"/>
              <w:bottom w:val="single" w:sz="4" w:space="0" w:color="000000"/>
              <w:right w:val="single" w:sz="4" w:space="0" w:color="000000"/>
            </w:tcBorders>
            <w:shd w:val="clear" w:color="auto" w:fill="auto"/>
            <w:vAlign w:val="center"/>
          </w:tcPr>
          <w:p w14:paraId="655D917A" w14:textId="77777777" w:rsidR="00EA051D" w:rsidRPr="00BC2BB0" w:rsidRDefault="00EA051D" w:rsidP="00D70884">
            <w:pPr>
              <w:spacing w:after="60"/>
              <w:ind w:left="-66"/>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4 500</w:t>
            </w:r>
          </w:p>
        </w:tc>
        <w:tc>
          <w:tcPr>
            <w:tcW w:w="4391" w:type="dxa"/>
            <w:tcBorders>
              <w:top w:val="nil"/>
              <w:left w:val="single" w:sz="4" w:space="0" w:color="000000"/>
              <w:bottom w:val="single" w:sz="4" w:space="0" w:color="000000"/>
              <w:right w:val="single" w:sz="4" w:space="0" w:color="000000"/>
            </w:tcBorders>
          </w:tcPr>
          <w:p w14:paraId="51A2F107"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1 500 000</w:t>
            </w:r>
          </w:p>
        </w:tc>
      </w:tr>
      <w:tr w:rsidR="00EA051D" w:rsidRPr="00BC2BB0" w14:paraId="7AEA658F" w14:textId="77777777" w:rsidTr="00BC2BB0">
        <w:trPr>
          <w:trHeight w:val="288"/>
          <w:jc w:val="center"/>
        </w:trPr>
        <w:tc>
          <w:tcPr>
            <w:tcW w:w="1550" w:type="dxa"/>
            <w:tcBorders>
              <w:top w:val="nil"/>
              <w:left w:val="single" w:sz="4" w:space="0" w:color="000000"/>
              <w:bottom w:val="single" w:sz="4" w:space="0" w:color="000000"/>
              <w:right w:val="single" w:sz="4" w:space="0" w:color="000000"/>
            </w:tcBorders>
            <w:shd w:val="clear" w:color="auto" w:fill="auto"/>
            <w:vAlign w:val="bottom"/>
          </w:tcPr>
          <w:p w14:paraId="32846FA5" w14:textId="77777777" w:rsidR="00EA051D" w:rsidRPr="00BC2BB0" w:rsidRDefault="00EA051D" w:rsidP="00D70884">
            <w:pPr>
              <w:spacing w:after="60"/>
              <w:ind w:left="164"/>
              <w:rPr>
                <w:rFonts w:ascii="Times New Roman" w:hAnsi="Times New Roman" w:cs="Times New Roman"/>
                <w:color w:val="000000"/>
                <w:sz w:val="18"/>
                <w:szCs w:val="18"/>
              </w:rPr>
            </w:pPr>
            <w:r w:rsidRPr="00BC2BB0">
              <w:rPr>
                <w:rFonts w:ascii="Times New Roman" w:hAnsi="Times New Roman" w:cs="Times New Roman"/>
                <w:color w:val="000000"/>
                <w:sz w:val="18"/>
                <w:szCs w:val="18"/>
              </w:rPr>
              <w:t>Jelgavas NAI</w:t>
            </w:r>
          </w:p>
        </w:tc>
        <w:tc>
          <w:tcPr>
            <w:tcW w:w="2554" w:type="dxa"/>
            <w:tcBorders>
              <w:top w:val="nil"/>
              <w:left w:val="nil"/>
              <w:bottom w:val="single" w:sz="4" w:space="0" w:color="000000"/>
              <w:right w:val="single" w:sz="4" w:space="0" w:color="000000"/>
            </w:tcBorders>
            <w:shd w:val="clear" w:color="auto" w:fill="auto"/>
            <w:vAlign w:val="center"/>
          </w:tcPr>
          <w:p w14:paraId="1DBBEB21" w14:textId="77777777" w:rsidR="00EA051D" w:rsidRPr="00BC2BB0" w:rsidRDefault="00EA051D" w:rsidP="00D70884">
            <w:pPr>
              <w:spacing w:after="60"/>
              <w:ind w:left="-66"/>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13 200</w:t>
            </w:r>
          </w:p>
        </w:tc>
        <w:tc>
          <w:tcPr>
            <w:tcW w:w="4391" w:type="dxa"/>
            <w:tcBorders>
              <w:top w:val="nil"/>
              <w:left w:val="single" w:sz="4" w:space="0" w:color="000000"/>
              <w:bottom w:val="single" w:sz="4" w:space="0" w:color="000000"/>
              <w:right w:val="single" w:sz="4" w:space="0" w:color="000000"/>
            </w:tcBorders>
          </w:tcPr>
          <w:p w14:paraId="4D3810D4"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4 400 000</w:t>
            </w:r>
          </w:p>
        </w:tc>
      </w:tr>
      <w:tr w:rsidR="00EA051D" w:rsidRPr="00BC2BB0" w14:paraId="43D76EAB" w14:textId="77777777" w:rsidTr="00BC2BB0">
        <w:trPr>
          <w:trHeight w:val="288"/>
          <w:jc w:val="center"/>
        </w:trPr>
        <w:tc>
          <w:tcPr>
            <w:tcW w:w="1550" w:type="dxa"/>
            <w:tcBorders>
              <w:top w:val="nil"/>
              <w:left w:val="single" w:sz="4" w:space="0" w:color="000000"/>
              <w:bottom w:val="single" w:sz="4" w:space="0" w:color="000000"/>
              <w:right w:val="single" w:sz="4" w:space="0" w:color="000000"/>
            </w:tcBorders>
            <w:shd w:val="clear" w:color="auto" w:fill="auto"/>
            <w:vAlign w:val="bottom"/>
          </w:tcPr>
          <w:p w14:paraId="0D472945" w14:textId="77777777" w:rsidR="00EA051D" w:rsidRPr="00BC2BB0" w:rsidRDefault="00EA051D" w:rsidP="00D70884">
            <w:pPr>
              <w:spacing w:after="60"/>
              <w:ind w:left="164"/>
              <w:rPr>
                <w:rFonts w:ascii="Times New Roman" w:hAnsi="Times New Roman" w:cs="Times New Roman"/>
                <w:color w:val="000000"/>
                <w:sz w:val="18"/>
                <w:szCs w:val="18"/>
              </w:rPr>
            </w:pPr>
            <w:r w:rsidRPr="00BC2BB0">
              <w:rPr>
                <w:rFonts w:ascii="Times New Roman" w:hAnsi="Times New Roman" w:cs="Times New Roman"/>
                <w:color w:val="000000"/>
                <w:sz w:val="18"/>
                <w:szCs w:val="18"/>
              </w:rPr>
              <w:t>Valmieras NAI</w:t>
            </w:r>
          </w:p>
        </w:tc>
        <w:tc>
          <w:tcPr>
            <w:tcW w:w="2554" w:type="dxa"/>
            <w:tcBorders>
              <w:top w:val="nil"/>
              <w:left w:val="nil"/>
              <w:bottom w:val="single" w:sz="4" w:space="0" w:color="000000"/>
              <w:right w:val="single" w:sz="4" w:space="0" w:color="000000"/>
            </w:tcBorders>
            <w:shd w:val="clear" w:color="auto" w:fill="auto"/>
            <w:vAlign w:val="center"/>
          </w:tcPr>
          <w:p w14:paraId="7E06FB87" w14:textId="77777777" w:rsidR="00EA051D" w:rsidRPr="00BC2BB0" w:rsidRDefault="00EA051D" w:rsidP="00D70884">
            <w:pPr>
              <w:spacing w:after="60"/>
              <w:ind w:left="-66"/>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4 000</w:t>
            </w:r>
          </w:p>
        </w:tc>
        <w:tc>
          <w:tcPr>
            <w:tcW w:w="4391" w:type="dxa"/>
            <w:tcBorders>
              <w:top w:val="nil"/>
              <w:left w:val="single" w:sz="4" w:space="0" w:color="000000"/>
              <w:bottom w:val="single" w:sz="4" w:space="0" w:color="000000"/>
              <w:right w:val="single" w:sz="4" w:space="0" w:color="000000"/>
            </w:tcBorders>
          </w:tcPr>
          <w:p w14:paraId="6CEC6479" w14:textId="77777777" w:rsidR="00EA051D" w:rsidRPr="00BC2BB0" w:rsidRDefault="00EA051D" w:rsidP="00D70884">
            <w:pPr>
              <w:spacing w:after="60"/>
              <w:jc w:val="center"/>
              <w:rPr>
                <w:rFonts w:ascii="Times New Roman" w:hAnsi="Times New Roman" w:cs="Times New Roman"/>
                <w:color w:val="000000"/>
                <w:sz w:val="18"/>
                <w:szCs w:val="18"/>
              </w:rPr>
            </w:pPr>
            <w:r w:rsidRPr="00BC2BB0">
              <w:rPr>
                <w:rFonts w:ascii="Times New Roman" w:hAnsi="Times New Roman" w:cs="Times New Roman"/>
                <w:color w:val="000000"/>
                <w:sz w:val="18"/>
                <w:szCs w:val="18"/>
              </w:rPr>
              <w:t>1 300 000</w:t>
            </w:r>
          </w:p>
        </w:tc>
      </w:tr>
      <w:tr w:rsidR="00EA051D" w:rsidRPr="00BC2BB0" w14:paraId="51DE7479" w14:textId="77777777" w:rsidTr="00BC2BB0">
        <w:trPr>
          <w:trHeight w:val="288"/>
          <w:jc w:val="center"/>
        </w:trPr>
        <w:tc>
          <w:tcPr>
            <w:tcW w:w="1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BD6193" w14:textId="77777777" w:rsidR="00EA051D" w:rsidRPr="00BC2BB0" w:rsidRDefault="00EA051D" w:rsidP="00D70884">
            <w:pPr>
              <w:spacing w:after="60"/>
              <w:ind w:left="164"/>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KOPĀ</w:t>
            </w:r>
          </w:p>
        </w:tc>
        <w:tc>
          <w:tcPr>
            <w:tcW w:w="2554" w:type="dxa"/>
            <w:tcBorders>
              <w:top w:val="single" w:sz="4" w:space="0" w:color="000000"/>
              <w:left w:val="nil"/>
              <w:bottom w:val="single" w:sz="4" w:space="0" w:color="000000"/>
              <w:right w:val="single" w:sz="4" w:space="0" w:color="000000"/>
            </w:tcBorders>
            <w:shd w:val="clear" w:color="auto" w:fill="auto"/>
            <w:vAlign w:val="center"/>
          </w:tcPr>
          <w:p w14:paraId="0E551ADF" w14:textId="77777777" w:rsidR="00EA051D" w:rsidRPr="00BC2BB0" w:rsidRDefault="00EA051D" w:rsidP="00D70884">
            <w:pPr>
              <w:spacing w:after="60"/>
              <w:ind w:left="-66"/>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34 090</w:t>
            </w:r>
          </w:p>
        </w:tc>
        <w:tc>
          <w:tcPr>
            <w:tcW w:w="4391" w:type="dxa"/>
            <w:tcBorders>
              <w:top w:val="single" w:sz="4" w:space="0" w:color="000000"/>
              <w:left w:val="single" w:sz="4" w:space="0" w:color="000000"/>
              <w:bottom w:val="single" w:sz="4" w:space="0" w:color="000000"/>
              <w:right w:val="single" w:sz="4" w:space="0" w:color="000000"/>
            </w:tcBorders>
          </w:tcPr>
          <w:p w14:paraId="71F4A803" w14:textId="77777777" w:rsidR="00EA051D" w:rsidRPr="00BC2BB0" w:rsidRDefault="00EA051D" w:rsidP="00D70884">
            <w:pPr>
              <w:pBdr>
                <w:top w:val="nil"/>
                <w:left w:val="nil"/>
                <w:bottom w:val="nil"/>
                <w:right w:val="nil"/>
                <w:between w:val="nil"/>
              </w:pBdr>
              <w:spacing w:after="60"/>
              <w:jc w:val="center"/>
              <w:rPr>
                <w:rFonts w:ascii="Times New Roman" w:hAnsi="Times New Roman" w:cs="Times New Roman"/>
                <w:b/>
                <w:color w:val="000000"/>
                <w:sz w:val="20"/>
                <w:szCs w:val="20"/>
              </w:rPr>
            </w:pPr>
            <w:r w:rsidRPr="00BC2BB0">
              <w:rPr>
                <w:rFonts w:ascii="Times New Roman" w:hAnsi="Times New Roman" w:cs="Times New Roman"/>
                <w:b/>
                <w:color w:val="000000"/>
                <w:sz w:val="20"/>
                <w:szCs w:val="20"/>
              </w:rPr>
              <w:t>11 300 000</w:t>
            </w:r>
          </w:p>
        </w:tc>
      </w:tr>
    </w:tbl>
    <w:p w14:paraId="5E2729AF" w14:textId="77777777" w:rsidR="00EA051D" w:rsidRPr="00175DD0" w:rsidRDefault="00EA051D" w:rsidP="00EA051D">
      <w:pPr>
        <w:spacing w:after="0"/>
        <w:ind w:left="709"/>
        <w:rPr>
          <w:rFonts w:cstheme="minorHAnsi"/>
        </w:rPr>
      </w:pPr>
    </w:p>
    <w:p w14:paraId="1F7715B6" w14:textId="57A19C81" w:rsidR="00EA051D" w:rsidRPr="00BC2BB0" w:rsidRDefault="00EA051D" w:rsidP="00BC2BB0">
      <w:pPr>
        <w:spacing w:after="0"/>
        <w:ind w:firstLine="720"/>
        <w:rPr>
          <w:rFonts w:ascii="Times New Roman" w:hAnsi="Times New Roman" w:cs="Times New Roman"/>
        </w:rPr>
      </w:pPr>
      <w:r w:rsidRPr="00BC2BB0">
        <w:rPr>
          <w:rFonts w:ascii="Times New Roman" w:hAnsi="Times New Roman" w:cs="Times New Roman"/>
        </w:rPr>
        <w:lastRenderedPageBreak/>
        <w:t xml:space="preserve">Kā redzams </w:t>
      </w:r>
      <w:r w:rsidR="00DE3EE3">
        <w:rPr>
          <w:rFonts w:ascii="Times New Roman" w:hAnsi="Times New Roman" w:cs="Times New Roman"/>
        </w:rPr>
        <w:t>4.5.9</w:t>
      </w:r>
      <w:r w:rsidRPr="00BC2BB0">
        <w:rPr>
          <w:rFonts w:ascii="Times New Roman" w:hAnsi="Times New Roman" w:cs="Times New Roman"/>
        </w:rPr>
        <w:t xml:space="preserve">.tabulā, tad nepieciešamās papildus investīcijas fugāta attīrīšanai ir ļoti augstas, turklāt jārēķinās arī ar lielām ikgadējām uzturēšanās izmaksām, kā rezultātā potenciālie ieguvumi no notekūdeņu dūņu pārstrādes biogāzes stacijās būtiski samazinās. Papildus jāņem vērā, ka, lai nodrošinātu fugāta attīrīšanu bioloģiskajās iekārtās var būt nepieciešams pievienot papildus barības vielas attīrīšanas procesa </w:t>
      </w:r>
      <w:r w:rsidR="000A2AB7" w:rsidRPr="00BC2BB0">
        <w:rPr>
          <w:rFonts w:ascii="Times New Roman" w:hAnsi="Times New Roman" w:cs="Times New Roman"/>
        </w:rPr>
        <w:t>nodrošināšanai</w:t>
      </w:r>
      <w:r w:rsidRPr="00BC2BB0">
        <w:rPr>
          <w:rFonts w:ascii="Times New Roman" w:hAnsi="Times New Roman" w:cs="Times New Roman"/>
        </w:rPr>
        <w:t xml:space="preserve">, piemēram, metanola formā, kas ne tikai rada papildus izmaksas, bet arī palielina atkārtoti radīto notekūdeņu dūņu masu. </w:t>
      </w:r>
    </w:p>
    <w:p w14:paraId="3688B99D" w14:textId="2BB4B0FF" w:rsidR="00EA051D" w:rsidRPr="00BC2BB0" w:rsidRDefault="00EA051D" w:rsidP="008B1B4B">
      <w:pPr>
        <w:numPr>
          <w:ilvl w:val="0"/>
          <w:numId w:val="16"/>
        </w:numPr>
        <w:pBdr>
          <w:top w:val="nil"/>
          <w:left w:val="nil"/>
          <w:bottom w:val="nil"/>
          <w:right w:val="nil"/>
          <w:between w:val="nil"/>
        </w:pBdr>
        <w:spacing w:after="0"/>
        <w:rPr>
          <w:rFonts w:ascii="Times New Roman" w:hAnsi="Times New Roman" w:cs="Times New Roman"/>
        </w:rPr>
      </w:pPr>
      <w:r w:rsidRPr="00BC2BB0">
        <w:rPr>
          <w:rFonts w:ascii="Times New Roman" w:hAnsi="Times New Roman" w:cs="Times New Roman"/>
          <w:b/>
          <w:color w:val="000000"/>
        </w:rPr>
        <w:t>Biogāzes staciju izvietošana lauku teritorijās.</w:t>
      </w:r>
      <w:r w:rsidRPr="00BC2BB0">
        <w:rPr>
          <w:rFonts w:ascii="Times New Roman" w:hAnsi="Times New Roman" w:cs="Times New Roman"/>
          <w:color w:val="000000"/>
        </w:rPr>
        <w:t xml:space="preserve"> Lauksaimniecības uzņēmumu apsaimniekotajās biogāzes stacijām praktiski nepastāv problēmas ar digestāta atūdeņošanu (netiek radīts fugāts) un apsaimniekošanu, jo digestāts pēc noņemšanas no fermentēšanas iekārtām tiek uzglabāts lagūnās šķidrā veidā un šķidrā veidā arī izkliedēts uz lauksaimniecības zemēm ar visu tajā esošo slāpekļa, fosfora un citu elementu saturu. Lai mazinātu vai novērstu notekūdeņu dūņu raudzēšanas rezultātā radītā digestāta problēmu un samazinātu izmaksas, kā alternatīvs risinājums pastāv iespēja notekūdeņu dūņu biogāzes stacijas izvietot lauku teritorijās, blakus digestāta gala utilizācijas vietām – lauksaimniecības zemēm, kas ļautu atrisināt augstāk minētās būtiskās problēmas saistībā ar fugāta attīrīšanu. Vienlaikus šādam risinājumam rodas citi būtiski ierobežojumi, kas apkopoti </w:t>
      </w:r>
      <w:r w:rsidR="00DE3EE3">
        <w:rPr>
          <w:rFonts w:ascii="Times New Roman" w:hAnsi="Times New Roman" w:cs="Times New Roman"/>
        </w:rPr>
        <w:t>4.5.10.</w:t>
      </w:r>
      <w:r w:rsidRPr="00BC2BB0">
        <w:rPr>
          <w:rFonts w:ascii="Times New Roman" w:hAnsi="Times New Roman" w:cs="Times New Roman"/>
          <w:color w:val="000000"/>
        </w:rPr>
        <w:t>tabulā.</w:t>
      </w:r>
    </w:p>
    <w:p w14:paraId="3645955A" w14:textId="77777777" w:rsidR="00EA051D" w:rsidRPr="00BC2BB0" w:rsidRDefault="00EA051D" w:rsidP="00EA051D">
      <w:pPr>
        <w:pBdr>
          <w:top w:val="nil"/>
          <w:left w:val="nil"/>
          <w:bottom w:val="nil"/>
          <w:right w:val="nil"/>
          <w:between w:val="nil"/>
        </w:pBdr>
        <w:spacing w:after="0"/>
        <w:ind w:left="720"/>
        <w:rPr>
          <w:rFonts w:ascii="Times New Roman" w:hAnsi="Times New Roman" w:cs="Times New Roman"/>
          <w:color w:val="000000"/>
        </w:rPr>
      </w:pPr>
    </w:p>
    <w:p w14:paraId="1741EE0D" w14:textId="69D16F6D" w:rsidR="00BC2BB0" w:rsidRPr="00BC2BB0" w:rsidRDefault="00DE3EE3" w:rsidP="00BC2BB0">
      <w:p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Cs w:val="24"/>
        </w:rPr>
      </w:pPr>
      <w:r>
        <w:rPr>
          <w:rFonts w:ascii="Times New Roman" w:hAnsi="Times New Roman" w:cs="Times New Roman"/>
        </w:rPr>
        <w:t>4.5.10.</w:t>
      </w:r>
      <w:r w:rsidR="00EA051D" w:rsidRPr="00BC2BB0">
        <w:rPr>
          <w:rFonts w:ascii="Times New Roman" w:hAnsi="Times New Roman" w:cs="Times New Roman"/>
          <w:bCs/>
          <w:color w:val="000000"/>
          <w:szCs w:val="24"/>
        </w:rPr>
        <w:t>tabula</w:t>
      </w:r>
    </w:p>
    <w:p w14:paraId="267F64F4" w14:textId="1728E766" w:rsidR="00EA051D" w:rsidRPr="00BC2BB0" w:rsidRDefault="00EA051D" w:rsidP="00BC2BB0">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BC2BB0">
        <w:rPr>
          <w:rFonts w:ascii="Times New Roman" w:hAnsi="Times New Roman" w:cs="Times New Roman"/>
          <w:b/>
          <w:color w:val="000000"/>
          <w:szCs w:val="24"/>
        </w:rPr>
        <w:t>Ieguvumi un zaudējumi no notekūdeņu dūņu biogāzes staciju izvietošanas lauku teritorijās</w:t>
      </w:r>
    </w:p>
    <w:tbl>
      <w:tblPr>
        <w:tblStyle w:val="21"/>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6237"/>
      </w:tblGrid>
      <w:tr w:rsidR="00EA051D" w:rsidRPr="009B0573" w14:paraId="6C0AE6FD" w14:textId="77777777" w:rsidTr="00BC2BB0">
        <w:tc>
          <w:tcPr>
            <w:tcW w:w="2552" w:type="dxa"/>
          </w:tcPr>
          <w:p w14:paraId="0050B485" w14:textId="77777777" w:rsidR="00EA051D" w:rsidRPr="009B0573" w:rsidRDefault="00000000" w:rsidP="00D70884">
            <w:pPr>
              <w:spacing w:after="60"/>
              <w:jc w:val="center"/>
              <w:rPr>
                <w:rFonts w:ascii="Times New Roman" w:hAnsi="Times New Roman" w:cs="Times New Roman"/>
                <w:b/>
                <w:sz w:val="20"/>
                <w:szCs w:val="20"/>
              </w:rPr>
            </w:pPr>
            <w:sdt>
              <w:sdtPr>
                <w:rPr>
                  <w:rFonts w:ascii="Times New Roman" w:hAnsi="Times New Roman" w:cs="Times New Roman"/>
                </w:rPr>
                <w:tag w:val="goog_rdk_77"/>
                <w:id w:val="-1338146867"/>
              </w:sdtPr>
              <w:sdtContent>
                <w:r w:rsidR="00EA051D" w:rsidRPr="009B0573">
                  <w:rPr>
                    <w:rFonts w:ascii="Times New Roman" w:hAnsi="Times New Roman" w:cs="Times New Roman"/>
                    <w:b/>
                    <w:sz w:val="20"/>
                    <w:szCs w:val="20"/>
                  </w:rPr>
                  <w:t>I</w:t>
                </w:r>
              </w:sdtContent>
            </w:sdt>
            <w:r w:rsidR="00EA051D" w:rsidRPr="009B0573">
              <w:rPr>
                <w:rFonts w:ascii="Times New Roman" w:hAnsi="Times New Roman" w:cs="Times New Roman"/>
                <w:b/>
                <w:sz w:val="20"/>
                <w:szCs w:val="20"/>
              </w:rPr>
              <w:t>eguvumi</w:t>
            </w:r>
          </w:p>
        </w:tc>
        <w:tc>
          <w:tcPr>
            <w:tcW w:w="6237" w:type="dxa"/>
          </w:tcPr>
          <w:p w14:paraId="3329F78F" w14:textId="77777777" w:rsidR="00EA051D" w:rsidRPr="009B0573" w:rsidRDefault="00EA051D" w:rsidP="00D70884">
            <w:pPr>
              <w:spacing w:after="60"/>
              <w:jc w:val="center"/>
              <w:rPr>
                <w:rFonts w:ascii="Times New Roman" w:hAnsi="Times New Roman" w:cs="Times New Roman"/>
                <w:b/>
                <w:sz w:val="20"/>
                <w:szCs w:val="20"/>
              </w:rPr>
            </w:pPr>
            <w:r w:rsidRPr="009B0573">
              <w:rPr>
                <w:rFonts w:ascii="Times New Roman" w:hAnsi="Times New Roman" w:cs="Times New Roman"/>
                <w:b/>
                <w:sz w:val="20"/>
                <w:szCs w:val="20"/>
              </w:rPr>
              <w:t>Zaudējumi</w:t>
            </w:r>
          </w:p>
        </w:tc>
      </w:tr>
      <w:tr w:rsidR="00EA051D" w:rsidRPr="009B0573" w14:paraId="3E4A2946" w14:textId="77777777" w:rsidTr="00BC2BB0">
        <w:tc>
          <w:tcPr>
            <w:tcW w:w="2552" w:type="dxa"/>
            <w:vAlign w:val="center"/>
          </w:tcPr>
          <w:p w14:paraId="794C6F6B" w14:textId="77777777"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Ir iespējams izvēlēties jebkuru vietu, kas ir pietiekami liela visa biogāzes ražošanas cikla izveidei un izvietošanai.</w:t>
            </w:r>
          </w:p>
        </w:tc>
        <w:tc>
          <w:tcPr>
            <w:tcW w:w="6237" w:type="dxa"/>
            <w:vAlign w:val="center"/>
          </w:tcPr>
          <w:p w14:paraId="045B514A" w14:textId="40F80354"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Biogāzes rezultātā saražotā elektroenerģija, kas ir galvenais metodes ienākumu avots, tiktu pārdots vienotajā elektroenerģija tīklā par atbilstošā brī</w:t>
            </w:r>
            <w:r w:rsidR="000A2AB7">
              <w:rPr>
                <w:rFonts w:ascii="Times New Roman" w:hAnsi="Times New Roman" w:cs="Times New Roman"/>
                <w:sz w:val="18"/>
                <w:szCs w:val="18"/>
              </w:rPr>
              <w:t>v</w:t>
            </w:r>
            <w:r w:rsidRPr="009B0573">
              <w:rPr>
                <w:rFonts w:ascii="Times New Roman" w:hAnsi="Times New Roman" w:cs="Times New Roman"/>
                <w:sz w:val="18"/>
                <w:szCs w:val="18"/>
              </w:rPr>
              <w:t>ā tirgus cenu, līdz ar to finansiālie ieguvumi stacijas operatoram būs vidēji piecas reizes mazāki, nekā gadījumā, ja tiktu aizstāta NAI iepirktā elektroenerģija ar uz vietas saražoto elektroenerģiju.</w:t>
            </w:r>
          </w:p>
        </w:tc>
      </w:tr>
      <w:tr w:rsidR="00EA051D" w:rsidRPr="009B0573" w14:paraId="0DA94A48" w14:textId="77777777" w:rsidTr="00BC2BB0">
        <w:trPr>
          <w:trHeight w:val="828"/>
        </w:trPr>
        <w:tc>
          <w:tcPr>
            <w:tcW w:w="2552" w:type="dxa"/>
            <w:vAlign w:val="center"/>
          </w:tcPr>
          <w:p w14:paraId="3E1E2E68" w14:textId="77777777"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Ir iespējams izvēlēties jebkuru vietu, kas ir pietiekami tālu no apdzīvotām vietām, lai mazinātu smaku izplatības negatīvo ietekmi.</w:t>
            </w:r>
          </w:p>
        </w:tc>
        <w:tc>
          <w:tcPr>
            <w:tcW w:w="6237" w:type="dxa"/>
            <w:vAlign w:val="center"/>
          </w:tcPr>
          <w:p w14:paraId="26E72CAA" w14:textId="77777777"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Biogāzes dedzināšanas rezultātā radītam siltumam nebūtu iespējams nodrošināt noieta tirgu, līdz ar to netiktu gūti iespējamie papildu ienākumi, kas attiecīgi sadārdzina notekūdeņu dūņu pārstrādes kopējās izmaksas.</w:t>
            </w:r>
          </w:p>
        </w:tc>
      </w:tr>
      <w:tr w:rsidR="00EA051D" w:rsidRPr="009B0573" w14:paraId="3D9C1331" w14:textId="77777777" w:rsidTr="00BC2BB0">
        <w:tc>
          <w:tcPr>
            <w:tcW w:w="2552" w:type="dxa"/>
            <w:vMerge w:val="restart"/>
            <w:vAlign w:val="center"/>
          </w:tcPr>
          <w:p w14:paraId="32935B70" w14:textId="77777777"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Ir iespējams izvēlēties jebkuru vietu, kas ir pietiekami tuvu lauksaimniecības zemju teritorijām, lai mazinātu digestāta transportēšanas izmaksas.</w:t>
            </w:r>
          </w:p>
        </w:tc>
        <w:tc>
          <w:tcPr>
            <w:tcW w:w="6237" w:type="dxa"/>
            <w:vAlign w:val="center"/>
          </w:tcPr>
          <w:p w14:paraId="5A27A2C4" w14:textId="77777777"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Plānojot biogāzes staciju blakus reģiona lielākajām NAI tiek samazinātas notekūdeņu dūņu transportēšanas izmaksas, bet izbūvējot biogāzes stacijas ārpus apdzīvotām vietām, visas notekūdeņu dūņas būt mehāniski jāatūdeņo līdz 18% sausnai (transportējamais dūņu blīvums) un visa iegūtā masa (arī no lielajām NAI) jāpārved, kas nozīmē ievērojamu transportēšanas izmaksu pieaugumu.</w:t>
            </w:r>
          </w:p>
        </w:tc>
      </w:tr>
      <w:tr w:rsidR="00EA051D" w:rsidRPr="009B0573" w14:paraId="35C3D339" w14:textId="77777777" w:rsidTr="00BC2BB0">
        <w:tc>
          <w:tcPr>
            <w:tcW w:w="2552" w:type="dxa"/>
            <w:vMerge/>
            <w:vAlign w:val="center"/>
          </w:tcPr>
          <w:p w14:paraId="27991E69" w14:textId="77777777" w:rsidR="00EA051D" w:rsidRPr="009B0573" w:rsidRDefault="00EA051D" w:rsidP="00D70884">
            <w:pPr>
              <w:widowControl w:val="0"/>
              <w:pBdr>
                <w:top w:val="nil"/>
                <w:left w:val="nil"/>
                <w:bottom w:val="nil"/>
                <w:right w:val="nil"/>
                <w:between w:val="nil"/>
              </w:pBdr>
              <w:spacing w:after="60"/>
              <w:rPr>
                <w:rFonts w:ascii="Times New Roman" w:hAnsi="Times New Roman" w:cs="Times New Roman"/>
                <w:sz w:val="18"/>
                <w:szCs w:val="18"/>
              </w:rPr>
            </w:pPr>
          </w:p>
        </w:tc>
        <w:tc>
          <w:tcPr>
            <w:tcW w:w="6237" w:type="dxa"/>
            <w:vAlign w:val="center"/>
          </w:tcPr>
          <w:p w14:paraId="3830734B" w14:textId="11B05957" w:rsidR="00EA051D" w:rsidRPr="009B0573" w:rsidRDefault="00EA051D" w:rsidP="00D70884">
            <w:pPr>
              <w:spacing w:after="60"/>
              <w:rPr>
                <w:rFonts w:ascii="Times New Roman" w:hAnsi="Times New Roman" w:cs="Times New Roman"/>
                <w:sz w:val="18"/>
                <w:szCs w:val="18"/>
              </w:rPr>
            </w:pPr>
            <w:r w:rsidRPr="009B0573">
              <w:rPr>
                <w:rFonts w:ascii="Times New Roman" w:hAnsi="Times New Roman" w:cs="Times New Roman"/>
                <w:sz w:val="18"/>
                <w:szCs w:val="18"/>
              </w:rPr>
              <w:t xml:space="preserve">Notekūdeņu pārstrādes biogāzes iekārtu operators ir atkarīgs no tuvumā esošiem lauksaimniecības uzņēmumiem un to iespējām un vēlmes utilizēt digestātu to apsaimniekotajās lauksaimniecības zemēs. Ņemot vērā, ka digestāts ir šķidra masa, tā transportēšana lielos attālumos ir neizdevīga, līdz ar to biogāzes stacijas operators nevar būt elastīgs citu, tālāk esošu  </w:t>
            </w:r>
            <w:r w:rsidR="000A2AB7" w:rsidRPr="009B0573">
              <w:rPr>
                <w:rFonts w:ascii="Times New Roman" w:hAnsi="Times New Roman" w:cs="Times New Roman"/>
                <w:sz w:val="18"/>
                <w:szCs w:val="18"/>
              </w:rPr>
              <w:t>lauksaimniecības</w:t>
            </w:r>
            <w:r w:rsidRPr="009B0573">
              <w:rPr>
                <w:rFonts w:ascii="Times New Roman" w:hAnsi="Times New Roman" w:cs="Times New Roman"/>
                <w:sz w:val="18"/>
                <w:szCs w:val="18"/>
              </w:rPr>
              <w:t xml:space="preserve"> zemju izmantošanā.</w:t>
            </w:r>
          </w:p>
        </w:tc>
      </w:tr>
    </w:tbl>
    <w:p w14:paraId="348AF66B" w14:textId="77777777" w:rsidR="00EA051D" w:rsidRPr="00175DD0" w:rsidRDefault="00EA051D" w:rsidP="00EA051D">
      <w:pPr>
        <w:spacing w:after="0"/>
        <w:rPr>
          <w:rFonts w:cstheme="minorHAnsi"/>
        </w:rPr>
      </w:pPr>
    </w:p>
    <w:p w14:paraId="521C3000" w14:textId="26EB8B4B" w:rsidR="00EA051D" w:rsidRPr="009B0573" w:rsidRDefault="00EA051D" w:rsidP="004E438F">
      <w:pPr>
        <w:spacing w:after="120"/>
        <w:ind w:firstLine="720"/>
        <w:rPr>
          <w:rFonts w:ascii="Times New Roman" w:hAnsi="Times New Roman" w:cs="Times New Roman"/>
        </w:rPr>
      </w:pPr>
      <w:r w:rsidRPr="009B0573">
        <w:rPr>
          <w:rFonts w:ascii="Times New Roman" w:hAnsi="Times New Roman" w:cs="Times New Roman"/>
        </w:rPr>
        <w:t xml:space="preserve">Ņemot vērā </w:t>
      </w:r>
      <w:r w:rsidR="0065755D">
        <w:rPr>
          <w:rFonts w:ascii="Times New Roman" w:hAnsi="Times New Roman" w:cs="Times New Roman"/>
        </w:rPr>
        <w:t>4.5.10.</w:t>
      </w:r>
      <w:r w:rsidRPr="009B0573">
        <w:rPr>
          <w:rFonts w:ascii="Times New Roman" w:hAnsi="Times New Roman" w:cs="Times New Roman"/>
        </w:rPr>
        <w:t xml:space="preserve">tabulā uzskaitītos trūkumus un priekšrocības, secināms, ka piemērotāks risinājums būtu nevis lauku teritorijās veidot jaunas biogāzes stacijas, kas </w:t>
      </w:r>
      <w:r w:rsidRPr="009B0573">
        <w:rPr>
          <w:rFonts w:ascii="Times New Roman" w:hAnsi="Times New Roman" w:cs="Times New Roman"/>
        </w:rPr>
        <w:lastRenderedPageBreak/>
        <w:t xml:space="preserve">piederētu un kuras apsaimniekotu SPS, bet izmantot kādu no jau esošām vairāk kā 40 lauksaimnieku organizācijām </w:t>
      </w:r>
      <w:r w:rsidR="00281486" w:rsidRPr="009B0573">
        <w:rPr>
          <w:rFonts w:ascii="Times New Roman" w:hAnsi="Times New Roman" w:cs="Times New Roman"/>
        </w:rPr>
        <w:t>piederošā</w:t>
      </w:r>
      <w:r w:rsidR="00281486">
        <w:rPr>
          <w:rFonts w:ascii="Times New Roman" w:hAnsi="Times New Roman" w:cs="Times New Roman"/>
        </w:rPr>
        <w:t xml:space="preserve">m </w:t>
      </w:r>
      <w:r w:rsidRPr="009B0573">
        <w:rPr>
          <w:rFonts w:ascii="Times New Roman" w:hAnsi="Times New Roman" w:cs="Times New Roman"/>
        </w:rPr>
        <w:t>biogāzes stacijā</w:t>
      </w:r>
      <w:r w:rsidR="00281486">
        <w:rPr>
          <w:rFonts w:ascii="Times New Roman" w:hAnsi="Times New Roman" w:cs="Times New Roman"/>
        </w:rPr>
        <w:t>m</w:t>
      </w:r>
      <w:r w:rsidRPr="009B0573">
        <w:rPr>
          <w:rFonts w:ascii="Times New Roman" w:hAnsi="Times New Roman" w:cs="Times New Roman"/>
        </w:rPr>
        <w:t>. Kā ir secināts alternatīvas A2. novērtējuma laikā, šādu lauksaimniecības organizāciju biogāzes staciju izmantošana pilnībā atbilst notekūdeņu dūņu apstrādes stratēģijas mērķiem, līdz ar to publiskā iepirkumu rezultātā SPS varētu izvēlēties sev piemērotāko biogāzes staciju, kura piedāvātu dūņu pārstrādes pakalpojumu par zemāko piedāvāto cenu. Papildus esošo biogāzes staciju īpašniekiem, visticamāk pieder vai citādi ir pieejamas arī nepieciešamās lauksaimniecības zemju platības digestāta utilizācijai, kas nebūs pieejamas SPS. Lai arī dūņu nodošana pārstrādei lauksaimnieku organizācijām vienlaicīgi atrisinātu arī notekūdeņu dūņu utilizācijas problēmu, tomēr ļoti būtiskus un nepārvaldāmus riskus rada pie alternatīvas A2. veiktais novērtējums, ka šī sistēma esošajā apjomā ilgtermiņā var nepastāvēt un ar augstu iestāšanās varbūtību pastāv risks par tās likvidēšanu, darbības maiņu vai apstāšanos uz nezināmu laika periodu.</w:t>
      </w:r>
    </w:p>
    <w:p w14:paraId="1E6A54A2" w14:textId="431DF03B" w:rsidR="00EA051D" w:rsidRPr="009B0573" w:rsidRDefault="00EA051D" w:rsidP="004E438F">
      <w:pPr>
        <w:ind w:firstLine="720"/>
        <w:rPr>
          <w:rFonts w:ascii="Times New Roman" w:hAnsi="Times New Roman" w:cs="Times New Roman"/>
        </w:rPr>
      </w:pPr>
      <w:r w:rsidRPr="009B0573">
        <w:rPr>
          <w:rFonts w:ascii="Times New Roman" w:hAnsi="Times New Roman" w:cs="Times New Roman"/>
        </w:rPr>
        <w:t xml:space="preserve">Ņemot vērā dažādos iespējamos risinājumus rīcībai ar notekūdeņu dūņām pēc to pārstrādes biogāzes stacijās, detalizēti tiek izskatīta iespējas veikt notekūdeņu dūņu </w:t>
      </w:r>
      <w:r w:rsidR="000A2AB7" w:rsidRPr="009B0573">
        <w:rPr>
          <w:rFonts w:ascii="Times New Roman" w:hAnsi="Times New Roman" w:cs="Times New Roman"/>
        </w:rPr>
        <w:t>mezofilu</w:t>
      </w:r>
      <w:r w:rsidRPr="009B0573">
        <w:rPr>
          <w:rFonts w:ascii="Times New Roman" w:hAnsi="Times New Roman" w:cs="Times New Roman"/>
        </w:rPr>
        <w:t xml:space="preserve"> anaerobu apstrādi pie reģiona lielākajām NAI, izveidojušos digestātu atūdeņot, bet fugātu attīrīt papildus izbūvētā bioloģiskā attīrīšanas ciklā. Pēc digestāta atūdeņošanas veidojas pārstrādātu dūņu masa, kurai alternatīvas ietvaros tiek izskatītas dažādas utilizācijas iespējas -  nodot lauksaimniekiem iestrādei augsnē, izmantot biogāzes dedzināšanā iegūto lieko siltumu un dūņās žāvēt ar mērķi tās sagatavot dedzināšanai siltumenerģijas ieguvei (skat. alternatīvu B2.3.), vai arī dūņas sagatavot cementa ražošanai (skat. alternatīvu B2.2.).</w:t>
      </w:r>
    </w:p>
    <w:p w14:paraId="703D7C27" w14:textId="77777777" w:rsidR="00EA051D" w:rsidRPr="00175DD0" w:rsidRDefault="00EA051D" w:rsidP="00EA051D">
      <w:pPr>
        <w:spacing w:after="0"/>
        <w:rPr>
          <w:rFonts w:cstheme="minorHAnsi"/>
        </w:rPr>
      </w:pPr>
    </w:p>
    <w:p w14:paraId="01D0D1F1" w14:textId="735176EA" w:rsidR="00EA051D" w:rsidRPr="0033498C" w:rsidRDefault="00EA051D" w:rsidP="0033498C">
      <w:pPr>
        <w:jc w:val="center"/>
        <w:rPr>
          <w:rFonts w:ascii="Times New Roman" w:hAnsi="Times New Roman" w:cs="Times New Roman"/>
          <w:b/>
          <w:bCs/>
          <w:color w:val="5B9BD5" w:themeColor="accent1"/>
        </w:rPr>
      </w:pPr>
      <w:bookmarkStart w:id="116" w:name="_Toc82277650"/>
      <w:r w:rsidRPr="0033498C">
        <w:rPr>
          <w:rFonts w:ascii="Times New Roman" w:hAnsi="Times New Roman" w:cs="Times New Roman"/>
          <w:b/>
          <w:bCs/>
          <w:color w:val="5B9BD5" w:themeColor="accent1"/>
        </w:rPr>
        <w:t>D4.1 Alternatīva:  Biogāzes ražošanas procesā iegūtā digestāta mehāniska atūdeņošana un fugāta ūdens attīrīšana papildus izbūvētos bioloģiskos notekūdeņu attīrīšanas blokos, atūdeņotās dūņu masas iestrāde augsnē</w:t>
      </w:r>
      <w:bookmarkEnd w:id="116"/>
    </w:p>
    <w:p w14:paraId="174BF38F" w14:textId="77777777" w:rsidR="00CE620E" w:rsidRPr="00CE620E" w:rsidRDefault="00CE620E" w:rsidP="00CE620E"/>
    <w:p w14:paraId="4312C213" w14:textId="25DB7183" w:rsidR="00EA051D" w:rsidRDefault="00EA051D" w:rsidP="004E438F">
      <w:pPr>
        <w:spacing w:after="120"/>
        <w:ind w:firstLine="360"/>
        <w:rPr>
          <w:rFonts w:ascii="Times New Roman" w:hAnsi="Times New Roman" w:cs="Times New Roman"/>
        </w:rPr>
      </w:pPr>
      <w:r w:rsidRPr="00762A7F">
        <w:rPr>
          <w:rFonts w:ascii="Times New Roman" w:hAnsi="Times New Roman" w:cs="Times New Roman"/>
        </w:rPr>
        <w:t xml:space="preserve">Apakšalternatīva paredz, ka pēc notekūdeņu dūņu pārstrādes biogāzes stacijās, pāri palikušais digestāts tiek mehāniski atūdeņots iegūstot pārstrādātu dūņu masu ar vidēji 23% sausnas apjomu masā, kas tiek pārvesta uzglabāšanai speciāli ierīkotā laukumā ar sienu, jumtu un smaku novēršanas sistēmu līdz brīdim, kad pārstrādāto </w:t>
      </w:r>
      <w:sdt>
        <w:sdtPr>
          <w:rPr>
            <w:rFonts w:ascii="Times New Roman" w:hAnsi="Times New Roman" w:cs="Times New Roman"/>
          </w:rPr>
          <w:tag w:val="goog_rdk_81"/>
          <w:id w:val="889156322"/>
        </w:sdtPr>
        <w:sdtContent/>
      </w:sdt>
      <w:r w:rsidRPr="00762A7F">
        <w:rPr>
          <w:rFonts w:ascii="Times New Roman" w:hAnsi="Times New Roman" w:cs="Times New Roman"/>
        </w:rPr>
        <w:t>notekūdeņu dūņu masu ir iespējams izvest utilizācijai lauksaimniecības zemēs. Biogāzes procesā iegūtā elektrība tiek izmantota NAI darbībai, bet liekā siltumenerģija tiek pārdota vai izmantota NAI ēku apkurināšanai. Lai aprēķinātu alternatīvas uzturēšanas izmaksas un kapitālo investīciju izmaksas ir ņemtas vērā gan nepieciešamās izmaksas biogāzes stacijas būvniecībai un uzturēšanai, gan izmaksas fugāta attīrīšanai, gan izmaksas atbilstoši aprīkota dūņu laukuma izveidošanai. Aprēķinos nav ietvertas izmaksas, kas varētu būt nepieciešamas, lai izveidotu savienojumu liekā siltuma novadīšanai pa cauruļvadiem līdz cit</w:t>
      </w:r>
      <w:r w:rsidR="00797B3A">
        <w:rPr>
          <w:rFonts w:ascii="Times New Roman" w:hAnsi="Times New Roman" w:cs="Times New Roman"/>
        </w:rPr>
        <w:t>i</w:t>
      </w:r>
      <w:r w:rsidRPr="00762A7F">
        <w:rPr>
          <w:rFonts w:ascii="Times New Roman" w:hAnsi="Times New Roman" w:cs="Times New Roman"/>
        </w:rPr>
        <w:t>em siltumenerģijas patērētājiem.</w:t>
      </w:r>
    </w:p>
    <w:p w14:paraId="224006B4" w14:textId="77777777" w:rsidR="00762A7F" w:rsidRPr="00762A7F" w:rsidRDefault="00762A7F" w:rsidP="0017430E">
      <w:pPr>
        <w:spacing w:after="120"/>
        <w:rPr>
          <w:rFonts w:ascii="Times New Roman" w:hAnsi="Times New Roman" w:cs="Times New Roman"/>
        </w:rPr>
      </w:pPr>
    </w:p>
    <w:p w14:paraId="054D51C7" w14:textId="7FECE360" w:rsidR="00762A7F" w:rsidRPr="00762A7F" w:rsidRDefault="0065755D" w:rsidP="00762A7F">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bCs/>
          <w:color w:val="000000"/>
          <w:szCs w:val="24"/>
        </w:rPr>
      </w:pPr>
      <w:r>
        <w:rPr>
          <w:rFonts w:ascii="Times New Roman" w:hAnsi="Times New Roman" w:cs="Times New Roman"/>
        </w:rPr>
        <w:lastRenderedPageBreak/>
        <w:t>4.5.11.</w:t>
      </w:r>
      <w:r w:rsidR="00EA051D" w:rsidRPr="00762A7F">
        <w:rPr>
          <w:rFonts w:ascii="Times New Roman" w:hAnsi="Times New Roman" w:cs="Times New Roman"/>
          <w:bCs/>
          <w:color w:val="000000"/>
          <w:szCs w:val="24"/>
        </w:rPr>
        <w:t>tabula</w:t>
      </w:r>
    </w:p>
    <w:p w14:paraId="41AC1D3C" w14:textId="5351DE2F" w:rsidR="00EA051D" w:rsidRPr="00762A7F" w:rsidRDefault="00000000" w:rsidP="00762A7F">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color w:val="000000"/>
          <w:szCs w:val="24"/>
        </w:rPr>
      </w:pPr>
      <w:sdt>
        <w:sdtPr>
          <w:tag w:val="goog_rdk_82"/>
          <w:id w:val="-1299841965"/>
          <w:showingPlcHdr/>
        </w:sdtPr>
        <w:sdtContent>
          <w:r w:rsidR="00762A7F">
            <w:t xml:space="preserve">     </w:t>
          </w:r>
        </w:sdtContent>
      </w:sdt>
      <w:r w:rsidR="00EA051D" w:rsidRPr="00762A7F">
        <w:rPr>
          <w:rFonts w:ascii="Times New Roman" w:hAnsi="Times New Roman" w:cs="Times New Roman"/>
          <w:b/>
          <w:color w:val="000000"/>
          <w:szCs w:val="24"/>
        </w:rPr>
        <w:t xml:space="preserve">Izmaksu apjoms veidojot 5 dūņu centrus un biogāzes stacijas (aprēķinus skatīt pielikumā </w:t>
      </w:r>
      <w:r w:rsidR="0078125D" w:rsidRPr="0078125D">
        <w:rPr>
          <w:rFonts w:ascii="Times New Roman" w:hAnsi="Times New Roman" w:cs="Times New Roman"/>
          <w:b/>
          <w:color w:val="000000"/>
          <w:szCs w:val="24"/>
        </w:rPr>
        <w:t>4.9. Finanšu aprēķini “3. Uzturēšanas izmaksas notekūdeņu dūņu pārstrādē”</w:t>
      </w:r>
      <w:r w:rsidR="00EA051D" w:rsidRPr="00762A7F">
        <w:rPr>
          <w:rFonts w:ascii="Times New Roman" w:hAnsi="Times New Roman" w:cs="Times New Roman"/>
          <w:b/>
          <w:color w:val="000000"/>
          <w:szCs w:val="24"/>
        </w:rPr>
        <w:t xml:space="preserve"> un pielikumā </w:t>
      </w:r>
      <w:r w:rsidR="0078125D" w:rsidRPr="0078125D">
        <w:rPr>
          <w:rFonts w:ascii="Times New Roman" w:hAnsi="Times New Roman" w:cs="Times New Roman"/>
          <w:b/>
          <w:color w:val="000000"/>
          <w:szCs w:val="24"/>
        </w:rPr>
        <w:t>4.10. Finanšu aprēķini “4. Kapitālās investīcijas notekūdeņu dūņu pārstrādē”</w:t>
      </w:r>
      <w:r w:rsidR="00EA051D" w:rsidRPr="00762A7F">
        <w:rPr>
          <w:rFonts w:ascii="Times New Roman" w:hAnsi="Times New Roman" w:cs="Times New Roman"/>
          <w:b/>
          <w:color w:val="000000"/>
          <w:szCs w:val="24"/>
        </w:rPr>
        <w:t>)</w:t>
      </w:r>
    </w:p>
    <w:tbl>
      <w:tblPr>
        <w:tblStyle w:val="20"/>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134"/>
        <w:gridCol w:w="1418"/>
        <w:gridCol w:w="1275"/>
        <w:gridCol w:w="1701"/>
        <w:gridCol w:w="1985"/>
      </w:tblGrid>
      <w:tr w:rsidR="00EA051D" w:rsidRPr="00762A7F" w14:paraId="7A2AFFAB" w14:textId="77777777" w:rsidTr="00CE620E">
        <w:trPr>
          <w:trHeight w:val="1152"/>
        </w:trPr>
        <w:tc>
          <w:tcPr>
            <w:tcW w:w="1271" w:type="dxa"/>
            <w:vMerge w:val="restart"/>
            <w:vAlign w:val="center"/>
          </w:tcPr>
          <w:p w14:paraId="02EA5879" w14:textId="77777777" w:rsidR="00EA051D" w:rsidRPr="00762A7F" w:rsidRDefault="00EA051D" w:rsidP="00D70884">
            <w:pPr>
              <w:spacing w:after="60"/>
              <w:jc w:val="center"/>
              <w:rPr>
                <w:rFonts w:ascii="Times New Roman" w:hAnsi="Times New Roman" w:cs="Times New Roman"/>
                <w:b/>
                <w:sz w:val="20"/>
                <w:szCs w:val="20"/>
              </w:rPr>
            </w:pPr>
            <w:r w:rsidRPr="00762A7F">
              <w:rPr>
                <w:rFonts w:ascii="Times New Roman" w:hAnsi="Times New Roman" w:cs="Times New Roman"/>
                <w:b/>
                <w:sz w:val="20"/>
                <w:szCs w:val="20"/>
              </w:rPr>
              <w:t>Dūņu centra izveides vieta</w:t>
            </w:r>
          </w:p>
        </w:tc>
        <w:tc>
          <w:tcPr>
            <w:tcW w:w="1134" w:type="dxa"/>
            <w:vMerge w:val="restart"/>
            <w:vAlign w:val="center"/>
          </w:tcPr>
          <w:p w14:paraId="7350CCFB" w14:textId="77777777" w:rsidR="00EA051D" w:rsidRPr="00762A7F" w:rsidRDefault="00EA051D" w:rsidP="00D70884">
            <w:pPr>
              <w:spacing w:after="60"/>
              <w:jc w:val="center"/>
              <w:rPr>
                <w:rFonts w:ascii="Times New Roman" w:hAnsi="Times New Roman" w:cs="Times New Roman"/>
                <w:b/>
                <w:sz w:val="20"/>
                <w:szCs w:val="20"/>
              </w:rPr>
            </w:pPr>
            <w:r w:rsidRPr="00762A7F">
              <w:rPr>
                <w:rFonts w:ascii="Times New Roman" w:hAnsi="Times New Roman" w:cs="Times New Roman"/>
                <w:b/>
                <w:sz w:val="20"/>
                <w:szCs w:val="20"/>
              </w:rPr>
              <w:t>Slapjo dūņu apjoms centrā (1%) t/g</w:t>
            </w:r>
          </w:p>
        </w:tc>
        <w:tc>
          <w:tcPr>
            <w:tcW w:w="1418" w:type="dxa"/>
            <w:vMerge w:val="restart"/>
            <w:vAlign w:val="center"/>
          </w:tcPr>
          <w:p w14:paraId="7DD4ADC5" w14:textId="77777777" w:rsidR="00EA051D" w:rsidRPr="00762A7F" w:rsidRDefault="00EA051D" w:rsidP="00D70884">
            <w:pPr>
              <w:spacing w:after="60"/>
              <w:jc w:val="center"/>
              <w:rPr>
                <w:rFonts w:ascii="Times New Roman" w:hAnsi="Times New Roman" w:cs="Times New Roman"/>
                <w:b/>
                <w:sz w:val="20"/>
                <w:szCs w:val="20"/>
              </w:rPr>
            </w:pPr>
            <w:r w:rsidRPr="00762A7F">
              <w:rPr>
                <w:rFonts w:ascii="Times New Roman" w:hAnsi="Times New Roman" w:cs="Times New Roman"/>
                <w:b/>
                <w:sz w:val="20"/>
                <w:szCs w:val="20"/>
              </w:rPr>
              <w:t>Papildus ievesto slapjo dūņu (1%) apjoma ekvivalents novada centrā  t/gadā</w:t>
            </w:r>
          </w:p>
        </w:tc>
        <w:tc>
          <w:tcPr>
            <w:tcW w:w="1275" w:type="dxa"/>
            <w:vMerge w:val="restart"/>
            <w:vAlign w:val="center"/>
          </w:tcPr>
          <w:p w14:paraId="631B67C2" w14:textId="77777777" w:rsidR="00EA051D" w:rsidRPr="00762A7F" w:rsidRDefault="00EA051D" w:rsidP="00D70884">
            <w:pPr>
              <w:spacing w:after="60"/>
              <w:jc w:val="center"/>
              <w:rPr>
                <w:rFonts w:ascii="Times New Roman" w:hAnsi="Times New Roman" w:cs="Times New Roman"/>
                <w:b/>
                <w:sz w:val="20"/>
                <w:szCs w:val="20"/>
              </w:rPr>
            </w:pPr>
            <w:r w:rsidRPr="00762A7F">
              <w:rPr>
                <w:rFonts w:ascii="Times New Roman" w:hAnsi="Times New Roman" w:cs="Times New Roman"/>
                <w:b/>
                <w:sz w:val="20"/>
                <w:szCs w:val="20"/>
              </w:rPr>
              <w:t>Kopējais slapjo dūņu apjoms centrā (1%) t/gadā</w:t>
            </w:r>
          </w:p>
        </w:tc>
        <w:tc>
          <w:tcPr>
            <w:tcW w:w="1701" w:type="dxa"/>
            <w:vMerge w:val="restart"/>
            <w:vAlign w:val="center"/>
          </w:tcPr>
          <w:p w14:paraId="2D686DCC" w14:textId="77777777" w:rsidR="00EA051D" w:rsidRPr="00762A7F" w:rsidRDefault="00EA051D" w:rsidP="00D70884">
            <w:pPr>
              <w:spacing w:after="60"/>
              <w:jc w:val="center"/>
              <w:rPr>
                <w:rFonts w:ascii="Times New Roman" w:hAnsi="Times New Roman" w:cs="Times New Roman"/>
                <w:b/>
                <w:sz w:val="20"/>
                <w:szCs w:val="20"/>
              </w:rPr>
            </w:pPr>
            <w:r w:rsidRPr="00762A7F">
              <w:rPr>
                <w:rFonts w:ascii="Times New Roman" w:hAnsi="Times New Roman" w:cs="Times New Roman"/>
                <w:b/>
                <w:sz w:val="20"/>
                <w:szCs w:val="20"/>
              </w:rPr>
              <w:t>Dūņu apstrādes infrastruktūras izveides un uzturēšanas izmaksas 5 biogāzes stacijās EUR/gadā</w:t>
            </w:r>
          </w:p>
        </w:tc>
        <w:tc>
          <w:tcPr>
            <w:tcW w:w="1985" w:type="dxa"/>
            <w:vMerge w:val="restart"/>
            <w:vAlign w:val="center"/>
          </w:tcPr>
          <w:p w14:paraId="1A48E94D" w14:textId="77777777" w:rsidR="00EA051D" w:rsidRPr="00762A7F" w:rsidRDefault="00EA051D" w:rsidP="00D70884">
            <w:pPr>
              <w:spacing w:after="60"/>
              <w:jc w:val="center"/>
              <w:rPr>
                <w:rFonts w:ascii="Times New Roman" w:hAnsi="Times New Roman" w:cs="Times New Roman"/>
                <w:b/>
                <w:sz w:val="20"/>
                <w:szCs w:val="20"/>
              </w:rPr>
            </w:pPr>
            <w:r w:rsidRPr="00762A7F">
              <w:rPr>
                <w:rFonts w:ascii="Times New Roman" w:hAnsi="Times New Roman" w:cs="Times New Roman"/>
                <w:b/>
                <w:sz w:val="20"/>
                <w:szCs w:val="20"/>
              </w:rPr>
              <w:t>5 dūņu apstrādes centru izveides investīciju izmaksas EUR/gadā</w:t>
            </w:r>
          </w:p>
        </w:tc>
      </w:tr>
      <w:tr w:rsidR="00EA051D" w:rsidRPr="00762A7F" w14:paraId="19B7ADDA" w14:textId="77777777" w:rsidTr="00CE620E">
        <w:trPr>
          <w:trHeight w:val="509"/>
        </w:trPr>
        <w:tc>
          <w:tcPr>
            <w:tcW w:w="1271" w:type="dxa"/>
            <w:vMerge/>
          </w:tcPr>
          <w:p w14:paraId="5E9F3503" w14:textId="77777777" w:rsidR="00EA051D" w:rsidRPr="00762A7F"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134" w:type="dxa"/>
            <w:vMerge/>
          </w:tcPr>
          <w:p w14:paraId="1CC19187" w14:textId="77777777" w:rsidR="00EA051D" w:rsidRPr="00762A7F"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418" w:type="dxa"/>
            <w:vMerge/>
          </w:tcPr>
          <w:p w14:paraId="48F8AEED" w14:textId="77777777" w:rsidR="00EA051D" w:rsidRPr="00762A7F"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5" w:type="dxa"/>
            <w:vMerge/>
          </w:tcPr>
          <w:p w14:paraId="075B8D7F" w14:textId="77777777" w:rsidR="00EA051D" w:rsidRPr="00762A7F"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tcPr>
          <w:p w14:paraId="5E4FFAFB" w14:textId="77777777" w:rsidR="00EA051D" w:rsidRPr="00762A7F"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985" w:type="dxa"/>
            <w:vMerge/>
          </w:tcPr>
          <w:p w14:paraId="3D5C51B7" w14:textId="77777777" w:rsidR="00EA051D" w:rsidRPr="00762A7F"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762A7F" w14:paraId="09DFE1C0" w14:textId="77777777" w:rsidTr="00CE620E">
        <w:trPr>
          <w:trHeight w:val="312"/>
        </w:trPr>
        <w:tc>
          <w:tcPr>
            <w:tcW w:w="1271" w:type="dxa"/>
          </w:tcPr>
          <w:p w14:paraId="36954BE7" w14:textId="77777777" w:rsidR="00EA051D" w:rsidRPr="00762A7F" w:rsidRDefault="00EA051D" w:rsidP="00D70884">
            <w:pPr>
              <w:spacing w:after="60"/>
              <w:ind w:right="-112"/>
              <w:rPr>
                <w:rFonts w:ascii="Times New Roman" w:hAnsi="Times New Roman" w:cs="Times New Roman"/>
                <w:sz w:val="18"/>
                <w:szCs w:val="18"/>
              </w:rPr>
            </w:pPr>
            <w:r w:rsidRPr="00762A7F">
              <w:rPr>
                <w:rFonts w:ascii="Times New Roman" w:hAnsi="Times New Roman" w:cs="Times New Roman"/>
                <w:sz w:val="18"/>
                <w:szCs w:val="18"/>
              </w:rPr>
              <w:t>Daugavpils NAI</w:t>
            </w:r>
          </w:p>
        </w:tc>
        <w:tc>
          <w:tcPr>
            <w:tcW w:w="1134" w:type="dxa"/>
            <w:vAlign w:val="center"/>
          </w:tcPr>
          <w:p w14:paraId="188DB03E"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151 893</w:t>
            </w:r>
          </w:p>
        </w:tc>
        <w:tc>
          <w:tcPr>
            <w:tcW w:w="1418" w:type="dxa"/>
            <w:vAlign w:val="center"/>
          </w:tcPr>
          <w:p w14:paraId="0EAEED67"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59 255</w:t>
            </w:r>
          </w:p>
        </w:tc>
        <w:tc>
          <w:tcPr>
            <w:tcW w:w="1275" w:type="dxa"/>
            <w:vAlign w:val="center"/>
          </w:tcPr>
          <w:p w14:paraId="67D648B4" w14:textId="77777777" w:rsidR="00EA051D" w:rsidRPr="00762A7F" w:rsidRDefault="00EA051D" w:rsidP="00D70884">
            <w:pPr>
              <w:spacing w:after="60"/>
              <w:jc w:val="center"/>
              <w:rPr>
                <w:rFonts w:ascii="Times New Roman" w:hAnsi="Times New Roman" w:cs="Times New Roman"/>
                <w:color w:val="000000"/>
                <w:sz w:val="18"/>
                <w:szCs w:val="18"/>
              </w:rPr>
            </w:pPr>
            <w:r w:rsidRPr="00762A7F">
              <w:rPr>
                <w:rFonts w:ascii="Times New Roman" w:hAnsi="Times New Roman" w:cs="Times New Roman"/>
                <w:color w:val="000000"/>
                <w:sz w:val="18"/>
                <w:szCs w:val="18"/>
              </w:rPr>
              <w:t>211 148</w:t>
            </w:r>
          </w:p>
        </w:tc>
        <w:tc>
          <w:tcPr>
            <w:tcW w:w="1701" w:type="dxa"/>
            <w:shd w:val="clear" w:color="auto" w:fill="FDEADA"/>
            <w:vAlign w:val="center"/>
          </w:tcPr>
          <w:p w14:paraId="22B01BC0"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1 208 673</w:t>
            </w:r>
          </w:p>
        </w:tc>
        <w:tc>
          <w:tcPr>
            <w:tcW w:w="1985" w:type="dxa"/>
            <w:shd w:val="clear" w:color="auto" w:fill="FDEADA"/>
            <w:vAlign w:val="center"/>
          </w:tcPr>
          <w:p w14:paraId="59255FFA"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6 208 765</w:t>
            </w:r>
          </w:p>
        </w:tc>
      </w:tr>
      <w:tr w:rsidR="00EA051D" w:rsidRPr="00762A7F" w14:paraId="4741862E" w14:textId="77777777" w:rsidTr="00CE620E">
        <w:trPr>
          <w:trHeight w:val="312"/>
        </w:trPr>
        <w:tc>
          <w:tcPr>
            <w:tcW w:w="1271" w:type="dxa"/>
          </w:tcPr>
          <w:p w14:paraId="6CE433C0" w14:textId="77777777" w:rsidR="00EA051D" w:rsidRPr="00762A7F" w:rsidRDefault="00EA051D" w:rsidP="00D70884">
            <w:pPr>
              <w:spacing w:after="60"/>
              <w:rPr>
                <w:rFonts w:ascii="Times New Roman" w:hAnsi="Times New Roman" w:cs="Times New Roman"/>
                <w:sz w:val="18"/>
                <w:szCs w:val="18"/>
              </w:rPr>
            </w:pPr>
            <w:r w:rsidRPr="00762A7F">
              <w:rPr>
                <w:rFonts w:ascii="Times New Roman" w:hAnsi="Times New Roman" w:cs="Times New Roman"/>
                <w:sz w:val="18"/>
                <w:szCs w:val="18"/>
              </w:rPr>
              <w:t>Jelgavas NAI</w:t>
            </w:r>
          </w:p>
        </w:tc>
        <w:tc>
          <w:tcPr>
            <w:tcW w:w="1134" w:type="dxa"/>
            <w:vAlign w:val="center"/>
          </w:tcPr>
          <w:p w14:paraId="09A24503"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120 608</w:t>
            </w:r>
          </w:p>
        </w:tc>
        <w:tc>
          <w:tcPr>
            <w:tcW w:w="1418" w:type="dxa"/>
            <w:vAlign w:val="center"/>
          </w:tcPr>
          <w:p w14:paraId="313E4C19"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364 706</w:t>
            </w:r>
          </w:p>
        </w:tc>
        <w:tc>
          <w:tcPr>
            <w:tcW w:w="1275" w:type="dxa"/>
            <w:vAlign w:val="center"/>
          </w:tcPr>
          <w:p w14:paraId="3DFA23EA" w14:textId="77777777" w:rsidR="00EA051D" w:rsidRPr="00762A7F" w:rsidRDefault="00EA051D" w:rsidP="00D70884">
            <w:pPr>
              <w:spacing w:after="60"/>
              <w:jc w:val="center"/>
              <w:rPr>
                <w:rFonts w:ascii="Times New Roman" w:hAnsi="Times New Roman" w:cs="Times New Roman"/>
                <w:color w:val="000000"/>
                <w:sz w:val="18"/>
                <w:szCs w:val="18"/>
              </w:rPr>
            </w:pPr>
            <w:r w:rsidRPr="00762A7F">
              <w:rPr>
                <w:rFonts w:ascii="Times New Roman" w:hAnsi="Times New Roman" w:cs="Times New Roman"/>
                <w:color w:val="000000"/>
                <w:sz w:val="18"/>
                <w:szCs w:val="18"/>
              </w:rPr>
              <w:t>485 314</w:t>
            </w:r>
          </w:p>
        </w:tc>
        <w:tc>
          <w:tcPr>
            <w:tcW w:w="1701" w:type="dxa"/>
            <w:shd w:val="clear" w:color="auto" w:fill="FDEADA"/>
            <w:vAlign w:val="center"/>
          </w:tcPr>
          <w:p w14:paraId="404090C3"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2 319 646</w:t>
            </w:r>
          </w:p>
        </w:tc>
        <w:tc>
          <w:tcPr>
            <w:tcW w:w="1985" w:type="dxa"/>
            <w:shd w:val="clear" w:color="auto" w:fill="FDEADA"/>
            <w:vAlign w:val="center"/>
          </w:tcPr>
          <w:p w14:paraId="07FE70FE"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10 732 876</w:t>
            </w:r>
          </w:p>
        </w:tc>
      </w:tr>
      <w:tr w:rsidR="00EA051D" w:rsidRPr="00762A7F" w14:paraId="145D8122" w14:textId="77777777" w:rsidTr="00CE620E">
        <w:trPr>
          <w:trHeight w:val="312"/>
        </w:trPr>
        <w:tc>
          <w:tcPr>
            <w:tcW w:w="1271" w:type="dxa"/>
          </w:tcPr>
          <w:p w14:paraId="37C57E9C" w14:textId="77777777" w:rsidR="00EA051D" w:rsidRPr="00762A7F" w:rsidRDefault="00EA051D" w:rsidP="00D70884">
            <w:pPr>
              <w:spacing w:after="60"/>
              <w:rPr>
                <w:rFonts w:ascii="Times New Roman" w:hAnsi="Times New Roman" w:cs="Times New Roman"/>
                <w:sz w:val="18"/>
                <w:szCs w:val="18"/>
              </w:rPr>
            </w:pPr>
            <w:r w:rsidRPr="00762A7F">
              <w:rPr>
                <w:rFonts w:ascii="Times New Roman" w:hAnsi="Times New Roman" w:cs="Times New Roman"/>
                <w:sz w:val="18"/>
                <w:szCs w:val="18"/>
              </w:rPr>
              <w:t>Rēzeknes NAI</w:t>
            </w:r>
          </w:p>
        </w:tc>
        <w:tc>
          <w:tcPr>
            <w:tcW w:w="1134" w:type="dxa"/>
            <w:vAlign w:val="center"/>
          </w:tcPr>
          <w:p w14:paraId="2E96EFBA"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92 424</w:t>
            </w:r>
          </w:p>
        </w:tc>
        <w:tc>
          <w:tcPr>
            <w:tcW w:w="1418" w:type="dxa"/>
            <w:vAlign w:val="center"/>
          </w:tcPr>
          <w:p w14:paraId="6F77903A"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44 357</w:t>
            </w:r>
          </w:p>
        </w:tc>
        <w:tc>
          <w:tcPr>
            <w:tcW w:w="1275" w:type="dxa"/>
            <w:vAlign w:val="center"/>
          </w:tcPr>
          <w:p w14:paraId="58E50338" w14:textId="77777777" w:rsidR="00EA051D" w:rsidRPr="00762A7F" w:rsidRDefault="00EA051D" w:rsidP="00D70884">
            <w:pPr>
              <w:spacing w:after="60"/>
              <w:jc w:val="center"/>
              <w:rPr>
                <w:rFonts w:ascii="Times New Roman" w:hAnsi="Times New Roman" w:cs="Times New Roman"/>
                <w:color w:val="000000"/>
                <w:sz w:val="18"/>
                <w:szCs w:val="18"/>
              </w:rPr>
            </w:pPr>
            <w:r w:rsidRPr="00762A7F">
              <w:rPr>
                <w:rFonts w:ascii="Times New Roman" w:hAnsi="Times New Roman" w:cs="Times New Roman"/>
                <w:color w:val="000000"/>
                <w:sz w:val="18"/>
                <w:szCs w:val="18"/>
              </w:rPr>
              <w:t>136 781</w:t>
            </w:r>
          </w:p>
        </w:tc>
        <w:tc>
          <w:tcPr>
            <w:tcW w:w="1701" w:type="dxa"/>
            <w:shd w:val="clear" w:color="auto" w:fill="FDEADA"/>
            <w:vAlign w:val="center"/>
          </w:tcPr>
          <w:p w14:paraId="64B968D0"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1 075 636</w:t>
            </w:r>
          </w:p>
        </w:tc>
        <w:tc>
          <w:tcPr>
            <w:tcW w:w="1985" w:type="dxa"/>
            <w:shd w:val="clear" w:color="auto" w:fill="FDEADA"/>
            <w:vAlign w:val="center"/>
          </w:tcPr>
          <w:p w14:paraId="37F6DBDD"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5 513 728</w:t>
            </w:r>
          </w:p>
        </w:tc>
      </w:tr>
      <w:tr w:rsidR="00EA051D" w:rsidRPr="00762A7F" w14:paraId="1D69192F" w14:textId="77777777" w:rsidTr="00CE620E">
        <w:trPr>
          <w:trHeight w:val="312"/>
        </w:trPr>
        <w:tc>
          <w:tcPr>
            <w:tcW w:w="1271" w:type="dxa"/>
          </w:tcPr>
          <w:p w14:paraId="622FB2A4" w14:textId="77777777" w:rsidR="00EA051D" w:rsidRPr="00762A7F" w:rsidRDefault="00EA051D" w:rsidP="00D70884">
            <w:pPr>
              <w:spacing w:after="60"/>
              <w:rPr>
                <w:rFonts w:ascii="Times New Roman" w:hAnsi="Times New Roman" w:cs="Times New Roman"/>
                <w:sz w:val="18"/>
                <w:szCs w:val="18"/>
              </w:rPr>
            </w:pPr>
            <w:r w:rsidRPr="00762A7F">
              <w:rPr>
                <w:rFonts w:ascii="Times New Roman" w:hAnsi="Times New Roman" w:cs="Times New Roman"/>
                <w:sz w:val="18"/>
                <w:szCs w:val="18"/>
              </w:rPr>
              <w:t>Valmieras NAI</w:t>
            </w:r>
          </w:p>
        </w:tc>
        <w:tc>
          <w:tcPr>
            <w:tcW w:w="1134" w:type="dxa"/>
            <w:vAlign w:val="center"/>
          </w:tcPr>
          <w:p w14:paraId="5AE52DBF"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43 527</w:t>
            </w:r>
          </w:p>
        </w:tc>
        <w:tc>
          <w:tcPr>
            <w:tcW w:w="1418" w:type="dxa"/>
            <w:vAlign w:val="center"/>
          </w:tcPr>
          <w:p w14:paraId="2518CF01"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93 615</w:t>
            </w:r>
          </w:p>
        </w:tc>
        <w:tc>
          <w:tcPr>
            <w:tcW w:w="1275" w:type="dxa"/>
            <w:vAlign w:val="center"/>
          </w:tcPr>
          <w:p w14:paraId="43CA324E" w14:textId="77777777" w:rsidR="00EA051D" w:rsidRPr="00762A7F" w:rsidRDefault="00EA051D" w:rsidP="00D70884">
            <w:pPr>
              <w:spacing w:after="60"/>
              <w:jc w:val="center"/>
              <w:rPr>
                <w:rFonts w:ascii="Times New Roman" w:hAnsi="Times New Roman" w:cs="Times New Roman"/>
                <w:color w:val="000000"/>
                <w:sz w:val="18"/>
                <w:szCs w:val="18"/>
              </w:rPr>
            </w:pPr>
            <w:r w:rsidRPr="00762A7F">
              <w:rPr>
                <w:rFonts w:ascii="Times New Roman" w:hAnsi="Times New Roman" w:cs="Times New Roman"/>
                <w:color w:val="000000"/>
                <w:sz w:val="18"/>
                <w:szCs w:val="18"/>
              </w:rPr>
              <w:t>137 142</w:t>
            </w:r>
          </w:p>
        </w:tc>
        <w:tc>
          <w:tcPr>
            <w:tcW w:w="1701" w:type="dxa"/>
            <w:shd w:val="clear" w:color="auto" w:fill="FDEADA"/>
            <w:vAlign w:val="center"/>
          </w:tcPr>
          <w:p w14:paraId="3EF8A51D"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1 045 123</w:t>
            </w:r>
          </w:p>
        </w:tc>
        <w:tc>
          <w:tcPr>
            <w:tcW w:w="1985" w:type="dxa"/>
            <w:shd w:val="clear" w:color="auto" w:fill="FDEADA"/>
            <w:vAlign w:val="center"/>
          </w:tcPr>
          <w:p w14:paraId="63E32E03"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5 314 694</w:t>
            </w:r>
          </w:p>
        </w:tc>
      </w:tr>
      <w:tr w:rsidR="00EA051D" w:rsidRPr="00762A7F" w14:paraId="55A47B17" w14:textId="77777777" w:rsidTr="00CE620E">
        <w:trPr>
          <w:trHeight w:val="312"/>
        </w:trPr>
        <w:tc>
          <w:tcPr>
            <w:tcW w:w="1271" w:type="dxa"/>
          </w:tcPr>
          <w:p w14:paraId="63F7EFB9" w14:textId="77777777" w:rsidR="00EA051D" w:rsidRPr="00762A7F" w:rsidRDefault="00EA051D" w:rsidP="00D70884">
            <w:pPr>
              <w:spacing w:after="60"/>
              <w:rPr>
                <w:rFonts w:ascii="Times New Roman" w:hAnsi="Times New Roman" w:cs="Times New Roman"/>
                <w:sz w:val="18"/>
                <w:szCs w:val="18"/>
              </w:rPr>
            </w:pPr>
            <w:r w:rsidRPr="00762A7F">
              <w:rPr>
                <w:rFonts w:ascii="Times New Roman" w:hAnsi="Times New Roman" w:cs="Times New Roman"/>
                <w:sz w:val="18"/>
                <w:szCs w:val="18"/>
              </w:rPr>
              <w:t>Ventspils NAI</w:t>
            </w:r>
          </w:p>
        </w:tc>
        <w:tc>
          <w:tcPr>
            <w:tcW w:w="1134" w:type="dxa"/>
            <w:vAlign w:val="center"/>
          </w:tcPr>
          <w:p w14:paraId="39B46945"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93 630</w:t>
            </w:r>
          </w:p>
        </w:tc>
        <w:tc>
          <w:tcPr>
            <w:tcW w:w="1418" w:type="dxa"/>
            <w:vAlign w:val="center"/>
          </w:tcPr>
          <w:p w14:paraId="59374678"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color w:val="000000"/>
                <w:sz w:val="18"/>
                <w:szCs w:val="18"/>
              </w:rPr>
              <w:t>123 933</w:t>
            </w:r>
          </w:p>
        </w:tc>
        <w:tc>
          <w:tcPr>
            <w:tcW w:w="1275" w:type="dxa"/>
            <w:vAlign w:val="center"/>
          </w:tcPr>
          <w:p w14:paraId="38975198" w14:textId="77777777" w:rsidR="00EA051D" w:rsidRPr="00762A7F" w:rsidRDefault="00EA051D" w:rsidP="00D70884">
            <w:pPr>
              <w:spacing w:after="60"/>
              <w:jc w:val="center"/>
              <w:rPr>
                <w:rFonts w:ascii="Times New Roman" w:hAnsi="Times New Roman" w:cs="Times New Roman"/>
                <w:color w:val="000000"/>
                <w:sz w:val="18"/>
                <w:szCs w:val="18"/>
              </w:rPr>
            </w:pPr>
            <w:r w:rsidRPr="00762A7F">
              <w:rPr>
                <w:rFonts w:ascii="Times New Roman" w:hAnsi="Times New Roman" w:cs="Times New Roman"/>
                <w:color w:val="000000"/>
                <w:sz w:val="18"/>
                <w:szCs w:val="18"/>
              </w:rPr>
              <w:t>217 563</w:t>
            </w:r>
          </w:p>
        </w:tc>
        <w:tc>
          <w:tcPr>
            <w:tcW w:w="1701" w:type="dxa"/>
            <w:shd w:val="clear" w:color="auto" w:fill="FDEADA"/>
            <w:vAlign w:val="center"/>
          </w:tcPr>
          <w:p w14:paraId="2022128E"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1 301 729</w:t>
            </w:r>
          </w:p>
        </w:tc>
        <w:tc>
          <w:tcPr>
            <w:tcW w:w="1985" w:type="dxa"/>
            <w:shd w:val="clear" w:color="auto" w:fill="FDEADA"/>
            <w:vAlign w:val="center"/>
          </w:tcPr>
          <w:p w14:paraId="562E9F5C" w14:textId="77777777" w:rsidR="00EA051D" w:rsidRPr="00762A7F" w:rsidRDefault="00EA051D" w:rsidP="00D70884">
            <w:pPr>
              <w:spacing w:after="60"/>
              <w:jc w:val="center"/>
              <w:rPr>
                <w:rFonts w:ascii="Times New Roman" w:hAnsi="Times New Roman" w:cs="Times New Roman"/>
                <w:sz w:val="18"/>
                <w:szCs w:val="18"/>
              </w:rPr>
            </w:pPr>
            <w:r w:rsidRPr="00762A7F">
              <w:rPr>
                <w:rFonts w:ascii="Times New Roman" w:hAnsi="Times New Roman" w:cs="Times New Roman"/>
                <w:sz w:val="18"/>
                <w:szCs w:val="18"/>
              </w:rPr>
              <w:t>6 364 478</w:t>
            </w:r>
          </w:p>
        </w:tc>
      </w:tr>
      <w:tr w:rsidR="00EA051D" w:rsidRPr="00762A7F" w14:paraId="69C7706A" w14:textId="77777777" w:rsidTr="00CE620E">
        <w:trPr>
          <w:trHeight w:val="312"/>
        </w:trPr>
        <w:tc>
          <w:tcPr>
            <w:tcW w:w="1271" w:type="dxa"/>
          </w:tcPr>
          <w:p w14:paraId="22130610" w14:textId="77777777" w:rsidR="00EA051D" w:rsidRPr="00762A7F" w:rsidRDefault="00EA051D" w:rsidP="00D70884">
            <w:pPr>
              <w:spacing w:after="60"/>
              <w:rPr>
                <w:rFonts w:ascii="Times New Roman" w:hAnsi="Times New Roman" w:cs="Times New Roman"/>
                <w:b/>
                <w:sz w:val="20"/>
                <w:szCs w:val="20"/>
              </w:rPr>
            </w:pPr>
            <w:r w:rsidRPr="00762A7F">
              <w:rPr>
                <w:rFonts w:ascii="Times New Roman" w:hAnsi="Times New Roman" w:cs="Times New Roman"/>
                <w:b/>
                <w:sz w:val="20"/>
                <w:szCs w:val="20"/>
              </w:rPr>
              <w:t>KOPĀ</w:t>
            </w:r>
          </w:p>
        </w:tc>
        <w:tc>
          <w:tcPr>
            <w:tcW w:w="1134" w:type="dxa"/>
          </w:tcPr>
          <w:p w14:paraId="4EDC4C15" w14:textId="77777777" w:rsidR="00EA051D" w:rsidRPr="00762A7F" w:rsidRDefault="00EA051D" w:rsidP="00D70884">
            <w:pPr>
              <w:spacing w:after="60"/>
              <w:jc w:val="center"/>
              <w:rPr>
                <w:rFonts w:ascii="Times New Roman" w:hAnsi="Times New Roman" w:cs="Times New Roman"/>
                <w:sz w:val="20"/>
                <w:szCs w:val="20"/>
              </w:rPr>
            </w:pPr>
          </w:p>
        </w:tc>
        <w:tc>
          <w:tcPr>
            <w:tcW w:w="1418" w:type="dxa"/>
          </w:tcPr>
          <w:p w14:paraId="745FAB46" w14:textId="77777777" w:rsidR="00EA051D" w:rsidRPr="00762A7F" w:rsidRDefault="00EA051D" w:rsidP="00D70884">
            <w:pPr>
              <w:spacing w:after="60"/>
              <w:jc w:val="center"/>
              <w:rPr>
                <w:rFonts w:ascii="Times New Roman" w:hAnsi="Times New Roman" w:cs="Times New Roman"/>
                <w:sz w:val="20"/>
                <w:szCs w:val="20"/>
              </w:rPr>
            </w:pPr>
          </w:p>
        </w:tc>
        <w:tc>
          <w:tcPr>
            <w:tcW w:w="1275" w:type="dxa"/>
          </w:tcPr>
          <w:p w14:paraId="153AA0FB" w14:textId="77777777" w:rsidR="00EA051D" w:rsidRPr="00762A7F" w:rsidRDefault="00EA051D" w:rsidP="00D70884">
            <w:pPr>
              <w:spacing w:after="60"/>
              <w:jc w:val="center"/>
              <w:rPr>
                <w:rFonts w:ascii="Times New Roman" w:hAnsi="Times New Roman" w:cs="Times New Roman"/>
                <w:b/>
                <w:color w:val="000000"/>
                <w:sz w:val="20"/>
                <w:szCs w:val="20"/>
              </w:rPr>
            </w:pPr>
            <w:r w:rsidRPr="00762A7F">
              <w:rPr>
                <w:rFonts w:ascii="Times New Roman" w:hAnsi="Times New Roman" w:cs="Times New Roman"/>
                <w:b/>
                <w:color w:val="000000"/>
                <w:sz w:val="20"/>
                <w:szCs w:val="20"/>
              </w:rPr>
              <w:t>1 187 947</w:t>
            </w:r>
          </w:p>
        </w:tc>
        <w:tc>
          <w:tcPr>
            <w:tcW w:w="1701" w:type="dxa"/>
            <w:shd w:val="clear" w:color="auto" w:fill="FDEADA"/>
          </w:tcPr>
          <w:p w14:paraId="053E7D1A" w14:textId="77777777" w:rsidR="00EA051D" w:rsidRPr="00762A7F" w:rsidRDefault="00EA051D" w:rsidP="00D70884">
            <w:pPr>
              <w:spacing w:after="60"/>
              <w:jc w:val="center"/>
              <w:rPr>
                <w:rFonts w:ascii="Times New Roman" w:hAnsi="Times New Roman" w:cs="Times New Roman"/>
                <w:b/>
                <w:color w:val="FF0000"/>
                <w:sz w:val="20"/>
                <w:szCs w:val="20"/>
              </w:rPr>
            </w:pPr>
            <w:r w:rsidRPr="00762A7F">
              <w:rPr>
                <w:rFonts w:ascii="Times New Roman" w:hAnsi="Times New Roman" w:cs="Times New Roman"/>
                <w:b/>
                <w:color w:val="FF0000"/>
                <w:sz w:val="20"/>
                <w:szCs w:val="20"/>
              </w:rPr>
              <w:t>6 950 806</w:t>
            </w:r>
          </w:p>
        </w:tc>
        <w:tc>
          <w:tcPr>
            <w:tcW w:w="1985" w:type="dxa"/>
            <w:shd w:val="clear" w:color="auto" w:fill="FDEADA"/>
          </w:tcPr>
          <w:p w14:paraId="4951FF99" w14:textId="77777777" w:rsidR="00EA051D" w:rsidRPr="00762A7F" w:rsidRDefault="00EA051D" w:rsidP="00D70884">
            <w:pPr>
              <w:spacing w:after="60"/>
              <w:jc w:val="center"/>
              <w:rPr>
                <w:rFonts w:ascii="Times New Roman" w:hAnsi="Times New Roman" w:cs="Times New Roman"/>
                <w:b/>
                <w:color w:val="FF0000"/>
                <w:sz w:val="20"/>
                <w:szCs w:val="20"/>
              </w:rPr>
            </w:pPr>
            <w:r w:rsidRPr="00762A7F">
              <w:rPr>
                <w:rFonts w:ascii="Times New Roman" w:hAnsi="Times New Roman" w:cs="Times New Roman"/>
                <w:b/>
                <w:color w:val="FF0000"/>
                <w:sz w:val="20"/>
                <w:szCs w:val="20"/>
              </w:rPr>
              <w:t>34 134 541</w:t>
            </w:r>
          </w:p>
        </w:tc>
      </w:tr>
    </w:tbl>
    <w:p w14:paraId="23307890" w14:textId="560D013B" w:rsidR="00EA051D" w:rsidRPr="00C87C13" w:rsidRDefault="00EA051D" w:rsidP="003359AB">
      <w:pPr>
        <w:spacing w:after="0"/>
        <w:ind w:firstLine="720"/>
        <w:rPr>
          <w:rFonts w:ascii="Times New Roman" w:hAnsi="Times New Roman" w:cs="Times New Roman"/>
        </w:rPr>
      </w:pPr>
      <w:r w:rsidRPr="00C87C13">
        <w:rPr>
          <w:rFonts w:ascii="Times New Roman" w:hAnsi="Times New Roman" w:cs="Times New Roman"/>
        </w:rPr>
        <w:t>Apstrādājot notekūdeņu dūņas 5 biogāzes stacijās, kas būtu izvietotas pie lielākajām Latvijas NAI,  kopējās ikgadējās notekūdeņu dūņu pārstrādes izmaksas būtu aptuveni 6,95 milj</w:t>
      </w:r>
      <w:r w:rsidR="00674A2E">
        <w:rPr>
          <w:rFonts w:ascii="Times New Roman" w:hAnsi="Times New Roman" w:cs="Times New Roman"/>
        </w:rPr>
        <w:t>.</w:t>
      </w:r>
      <w:r w:rsidRPr="00C87C13">
        <w:rPr>
          <w:rFonts w:ascii="Times New Roman" w:hAnsi="Times New Roman" w:cs="Times New Roman"/>
        </w:rPr>
        <w:t xml:space="preserve"> EUR gadā, savukārt kopējās nepieciešamās kapitālās investīcijas sistēmas izveidošanai ir aptuveni 34,1 milj</w:t>
      </w:r>
      <w:r w:rsidR="00674A2E">
        <w:rPr>
          <w:rFonts w:ascii="Times New Roman" w:hAnsi="Times New Roman" w:cs="Times New Roman"/>
        </w:rPr>
        <w:t>.</w:t>
      </w:r>
      <w:r w:rsidRPr="00C87C13">
        <w:rPr>
          <w:rFonts w:ascii="Times New Roman" w:hAnsi="Times New Roman" w:cs="Times New Roman"/>
        </w:rPr>
        <w:t xml:space="preserve"> EUR.</w:t>
      </w:r>
    </w:p>
    <w:p w14:paraId="158DEEED" w14:textId="77777777" w:rsidR="00EA051D" w:rsidRPr="00175DD0" w:rsidRDefault="00EA051D" w:rsidP="003359AB">
      <w:pPr>
        <w:spacing w:after="0"/>
        <w:rPr>
          <w:rFonts w:cstheme="minorHAnsi"/>
        </w:rPr>
      </w:pPr>
    </w:p>
    <w:p w14:paraId="0113BFEF" w14:textId="77777777" w:rsidR="00EA051D" w:rsidRPr="0033498C" w:rsidRDefault="00EA051D" w:rsidP="0033498C">
      <w:pPr>
        <w:jc w:val="center"/>
        <w:rPr>
          <w:rFonts w:ascii="Times New Roman" w:hAnsi="Times New Roman" w:cs="Times New Roman"/>
          <w:b/>
          <w:bCs/>
          <w:color w:val="5B9BD5" w:themeColor="accent1"/>
        </w:rPr>
      </w:pPr>
      <w:bookmarkStart w:id="117" w:name="_Toc82277651"/>
      <w:r w:rsidRPr="0033498C">
        <w:rPr>
          <w:rFonts w:ascii="Times New Roman" w:hAnsi="Times New Roman" w:cs="Times New Roman"/>
          <w:b/>
          <w:bCs/>
          <w:color w:val="5B9BD5" w:themeColor="accent1"/>
        </w:rPr>
        <w:t>D4.2. Alternatīva: Biogāzes ražošanas procesā iegūtā digestāta mehāniska atūdeņošana, fugāta ūdens attīrīšana papildus izbūvētos bioloģiskos notekūdeņu attīrīšanas blokos un dūņu žāvēšana līdz 50% sausnai</w:t>
      </w:r>
      <w:bookmarkEnd w:id="117"/>
    </w:p>
    <w:p w14:paraId="04B24CC5" w14:textId="77777777" w:rsidR="003359AB" w:rsidRDefault="003359AB" w:rsidP="003359AB">
      <w:pPr>
        <w:spacing w:after="0"/>
        <w:ind w:firstLine="709"/>
        <w:rPr>
          <w:rFonts w:cstheme="minorHAnsi"/>
        </w:rPr>
      </w:pPr>
    </w:p>
    <w:p w14:paraId="6DB6F263" w14:textId="650ED29A" w:rsidR="00EA051D" w:rsidRPr="003359AB" w:rsidRDefault="00EA051D" w:rsidP="003359AB">
      <w:pPr>
        <w:spacing w:after="0"/>
        <w:ind w:firstLine="709"/>
        <w:rPr>
          <w:rFonts w:ascii="Times New Roman" w:hAnsi="Times New Roman" w:cs="Times New Roman"/>
        </w:rPr>
      </w:pPr>
      <w:r w:rsidRPr="003359AB">
        <w:rPr>
          <w:rFonts w:ascii="Times New Roman" w:hAnsi="Times New Roman" w:cs="Times New Roman"/>
        </w:rPr>
        <w:t xml:space="preserve">D4.2.apakšalternatīva paredz visas tās pašas darbības, ko D4.1., izņemot pieņēmumu, ka koģenerācijas ceļā iegūto lieko siltumenerģija nav iespējams pārdot, tāpēc to izmanto notekūdeņu dūņu žāvēšanai, </w:t>
      </w:r>
      <w:sdt>
        <w:sdtPr>
          <w:rPr>
            <w:rFonts w:ascii="Times New Roman" w:hAnsi="Times New Roman" w:cs="Times New Roman"/>
          </w:rPr>
          <w:tag w:val="goog_rdk_83"/>
          <w:id w:val="1747372285"/>
        </w:sdtPr>
        <w:sdtContent/>
      </w:sdt>
      <w:r w:rsidRPr="003359AB">
        <w:rPr>
          <w:rFonts w:ascii="Times New Roman" w:hAnsi="Times New Roman" w:cs="Times New Roman"/>
        </w:rPr>
        <w:t xml:space="preserve">lai sasniegtu 50% sausni masā. Stratēģijas izstrādes gaitā ir konstatēts, ka pastāv augsti riski koģenerācijas rezultātā iegūtās liekās siltumenerģijas komerciālai pārdošanai, jo NAI tuvumā parasti nav lielu siltumenerģijas patērētāju, kā arī pieslēgumu izbūve līdz pilsētas centralizētiem siltumapgādes tīkliem būs izmaksu ziņā dārga. Tāpēc ir novērtēts risinājums par liekās siltumenerģijas pilnīgu izmantošanu dūņu pārstrādes procesā, iegūstot dūņas ar augstāku sausnas saturu masā, kas samazina izmaksas attiecībā uz dūņu pagaidu uzglabāšanas vietas izveidi (mazāks apjoms, mazākas telpas), kā arī transportēšanu uz utilizācijas vietām. Šādas pārstrādātas dūņas var tikt utilizētas arī atbilstoši alternatīvas B2.3. “Pārstrādātu notekūdeņu dūņu līdzsadedzināšana siltuma ražošanai” sniegtajam aprakstam. Vienlaikus alternatīvas izmaksas palielina dūņu žāvēšanas iekārtu iegāde, kā arī papildus siltumenerģijas iegūšana, jo biogāzes sadedzināšanas rezultātā liekais siltumenerģijas apjoms ir pārāk mazs, lai dūņas varētu izžāvēt līdz 50% sausnai, </w:t>
      </w:r>
      <w:sdt>
        <w:sdtPr>
          <w:rPr>
            <w:rFonts w:ascii="Times New Roman" w:hAnsi="Times New Roman" w:cs="Times New Roman"/>
          </w:rPr>
          <w:tag w:val="goog_rdk_84"/>
          <w:id w:val="51982510"/>
        </w:sdtPr>
        <w:sdtContent>
          <w:r w:rsidRPr="003359AB">
            <w:rPr>
              <w:rFonts w:ascii="Times New Roman" w:hAnsi="Times New Roman" w:cs="Times New Roman"/>
            </w:rPr>
            <w:t xml:space="preserve">un </w:t>
          </w:r>
        </w:sdtContent>
      </w:sdt>
      <w:r w:rsidRPr="003359AB">
        <w:rPr>
          <w:rFonts w:ascii="Times New Roman" w:hAnsi="Times New Roman" w:cs="Times New Roman"/>
        </w:rPr>
        <w:t xml:space="preserve">ir </w:t>
      </w:r>
      <w:r w:rsidRPr="003359AB">
        <w:rPr>
          <w:rFonts w:ascii="Times New Roman" w:hAnsi="Times New Roman" w:cs="Times New Roman"/>
        </w:rPr>
        <w:lastRenderedPageBreak/>
        <w:t>nepieciešams izveidot gan papildus apkures iekārtas, gan ņemt vērā kurināmā (gāze, šķelda) iegādes, piegādes un uzglabāšanas izmaksas.</w:t>
      </w:r>
    </w:p>
    <w:p w14:paraId="0F305C36" w14:textId="07A3421C" w:rsidR="008B70D5" w:rsidRPr="008B70D5" w:rsidRDefault="000508A4" w:rsidP="008B70D5">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bCs/>
          <w:color w:val="000000"/>
          <w:szCs w:val="24"/>
        </w:rPr>
      </w:pPr>
      <w:r>
        <w:rPr>
          <w:rFonts w:ascii="Times New Roman" w:hAnsi="Times New Roman" w:cs="Times New Roman"/>
        </w:rPr>
        <w:t>4.5.12</w:t>
      </w:r>
      <w:r w:rsidR="004E438F" w:rsidRPr="008B70D5">
        <w:rPr>
          <w:rFonts w:ascii="Times New Roman" w:hAnsi="Times New Roman" w:cs="Times New Roman"/>
          <w:bCs/>
          <w:color w:val="000000"/>
          <w:szCs w:val="24"/>
        </w:rPr>
        <w:t>.</w:t>
      </w:r>
      <w:r w:rsidR="00EA051D" w:rsidRPr="008B70D5">
        <w:rPr>
          <w:rFonts w:ascii="Times New Roman" w:hAnsi="Times New Roman" w:cs="Times New Roman"/>
          <w:bCs/>
          <w:color w:val="000000"/>
          <w:szCs w:val="24"/>
        </w:rPr>
        <w:t>tabula</w:t>
      </w:r>
    </w:p>
    <w:p w14:paraId="1E7DB382" w14:textId="16B51CA0" w:rsidR="00EA051D" w:rsidRPr="008B70D5" w:rsidRDefault="00EA051D" w:rsidP="008B70D5">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color w:val="000000"/>
          <w:szCs w:val="24"/>
        </w:rPr>
      </w:pPr>
      <w:r w:rsidRPr="008B70D5">
        <w:rPr>
          <w:rFonts w:ascii="Times New Roman" w:hAnsi="Times New Roman" w:cs="Times New Roman"/>
          <w:b/>
          <w:color w:val="000000"/>
          <w:szCs w:val="24"/>
        </w:rPr>
        <w:t xml:space="preserve">Izmaksu apkopojums veidojot 5 dūņu centrus un nodrošinot </w:t>
      </w:r>
      <w:r w:rsidR="00674A2E" w:rsidRPr="008B70D5">
        <w:rPr>
          <w:rFonts w:ascii="Times New Roman" w:hAnsi="Times New Roman" w:cs="Times New Roman"/>
          <w:b/>
          <w:color w:val="000000"/>
          <w:szCs w:val="24"/>
        </w:rPr>
        <w:t>pārstrādāto</w:t>
      </w:r>
      <w:r w:rsidRPr="008B70D5">
        <w:rPr>
          <w:rFonts w:ascii="Times New Roman" w:hAnsi="Times New Roman" w:cs="Times New Roman"/>
          <w:b/>
          <w:color w:val="000000"/>
          <w:szCs w:val="24"/>
        </w:rPr>
        <w:t xml:space="preserve"> dūņu žāvēšanu līdz 50% sausnai (aprēķinus skatīt </w:t>
      </w:r>
      <w:r w:rsidR="0078125D" w:rsidRPr="00762A7F">
        <w:rPr>
          <w:rFonts w:ascii="Times New Roman" w:hAnsi="Times New Roman" w:cs="Times New Roman"/>
          <w:b/>
          <w:color w:val="000000"/>
          <w:szCs w:val="24"/>
        </w:rPr>
        <w:t xml:space="preserve">pielikumā </w:t>
      </w:r>
      <w:r w:rsidR="0078125D" w:rsidRPr="0078125D">
        <w:rPr>
          <w:rFonts w:ascii="Times New Roman" w:hAnsi="Times New Roman" w:cs="Times New Roman"/>
          <w:b/>
          <w:color w:val="000000"/>
          <w:szCs w:val="24"/>
        </w:rPr>
        <w:t>4.9. Finanšu aprēķini “3.</w:t>
      </w:r>
      <w:r w:rsidR="0078125D">
        <w:rPr>
          <w:rFonts w:ascii="Times New Roman" w:hAnsi="Times New Roman" w:cs="Times New Roman"/>
          <w:b/>
          <w:color w:val="000000"/>
          <w:szCs w:val="24"/>
        </w:rPr>
        <w:t> </w:t>
      </w:r>
      <w:r w:rsidR="0078125D" w:rsidRPr="0078125D">
        <w:rPr>
          <w:rFonts w:ascii="Times New Roman" w:hAnsi="Times New Roman" w:cs="Times New Roman"/>
          <w:b/>
          <w:color w:val="000000"/>
          <w:szCs w:val="24"/>
        </w:rPr>
        <w:t>Uzturēšanas izmaksas notekūdeņu dūņu pārstrādē”</w:t>
      </w:r>
      <w:r w:rsidR="0078125D" w:rsidRPr="00762A7F">
        <w:rPr>
          <w:rFonts w:ascii="Times New Roman" w:hAnsi="Times New Roman" w:cs="Times New Roman"/>
          <w:b/>
          <w:color w:val="000000"/>
          <w:szCs w:val="24"/>
        </w:rPr>
        <w:t xml:space="preserve"> un pielikumā </w:t>
      </w:r>
      <w:r w:rsidR="0078125D" w:rsidRPr="0078125D">
        <w:rPr>
          <w:rFonts w:ascii="Times New Roman" w:hAnsi="Times New Roman" w:cs="Times New Roman"/>
          <w:b/>
          <w:color w:val="000000"/>
          <w:szCs w:val="24"/>
        </w:rPr>
        <w:t>4.10. Finanšu aprēķini “4. Kapitālās investīcijas notekūdeņu dūņu pārstrādē”</w:t>
      </w:r>
      <w:r w:rsidRPr="008B70D5">
        <w:rPr>
          <w:rFonts w:ascii="Times New Roman" w:hAnsi="Times New Roman" w:cs="Times New Roman"/>
          <w:b/>
          <w:color w:val="000000"/>
          <w:szCs w:val="24"/>
        </w:rPr>
        <w:t>)</w:t>
      </w:r>
    </w:p>
    <w:tbl>
      <w:tblPr>
        <w:tblStyle w:val="19"/>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276"/>
        <w:gridCol w:w="1701"/>
        <w:gridCol w:w="1276"/>
        <w:gridCol w:w="1842"/>
        <w:gridCol w:w="1560"/>
      </w:tblGrid>
      <w:tr w:rsidR="00EA051D" w:rsidRPr="00DD0E08" w14:paraId="1E30A5B8" w14:textId="77777777" w:rsidTr="003B4161">
        <w:trPr>
          <w:trHeight w:val="509"/>
        </w:trPr>
        <w:tc>
          <w:tcPr>
            <w:tcW w:w="1271" w:type="dxa"/>
            <w:vMerge w:val="restart"/>
            <w:vAlign w:val="center"/>
          </w:tcPr>
          <w:p w14:paraId="575C44B0" w14:textId="77777777" w:rsidR="00EA051D" w:rsidRPr="00DD0E08" w:rsidRDefault="00EA051D" w:rsidP="00D70884">
            <w:pPr>
              <w:spacing w:after="60"/>
              <w:jc w:val="center"/>
              <w:rPr>
                <w:rFonts w:ascii="Times New Roman" w:hAnsi="Times New Roman" w:cs="Times New Roman"/>
                <w:b/>
                <w:sz w:val="20"/>
                <w:szCs w:val="20"/>
              </w:rPr>
            </w:pPr>
            <w:r w:rsidRPr="00DD0E08">
              <w:rPr>
                <w:rFonts w:ascii="Times New Roman" w:hAnsi="Times New Roman" w:cs="Times New Roman"/>
                <w:b/>
                <w:sz w:val="20"/>
                <w:szCs w:val="20"/>
              </w:rPr>
              <w:t>Dūņu centra izveides vieta</w:t>
            </w:r>
          </w:p>
        </w:tc>
        <w:tc>
          <w:tcPr>
            <w:tcW w:w="1276" w:type="dxa"/>
            <w:vMerge w:val="restart"/>
            <w:vAlign w:val="center"/>
          </w:tcPr>
          <w:p w14:paraId="09C3F233" w14:textId="77777777" w:rsidR="00EA051D" w:rsidRPr="00DD0E08" w:rsidRDefault="00EA051D" w:rsidP="00D70884">
            <w:pPr>
              <w:spacing w:after="60"/>
              <w:jc w:val="center"/>
              <w:rPr>
                <w:rFonts w:ascii="Times New Roman" w:hAnsi="Times New Roman" w:cs="Times New Roman"/>
                <w:b/>
                <w:sz w:val="20"/>
                <w:szCs w:val="20"/>
              </w:rPr>
            </w:pPr>
            <w:r w:rsidRPr="00DD0E08">
              <w:rPr>
                <w:rFonts w:ascii="Times New Roman" w:hAnsi="Times New Roman" w:cs="Times New Roman"/>
                <w:b/>
                <w:sz w:val="20"/>
                <w:szCs w:val="20"/>
              </w:rPr>
              <w:t>Slapjo dūņu apjoms centrā (1%) t/g</w:t>
            </w:r>
          </w:p>
        </w:tc>
        <w:tc>
          <w:tcPr>
            <w:tcW w:w="1701" w:type="dxa"/>
            <w:vMerge w:val="restart"/>
            <w:vAlign w:val="center"/>
          </w:tcPr>
          <w:p w14:paraId="3D2F5556" w14:textId="77777777" w:rsidR="00EA051D" w:rsidRPr="00DD0E08" w:rsidRDefault="00EA051D" w:rsidP="00D70884">
            <w:pPr>
              <w:spacing w:after="60"/>
              <w:jc w:val="center"/>
              <w:rPr>
                <w:rFonts w:ascii="Times New Roman" w:hAnsi="Times New Roman" w:cs="Times New Roman"/>
                <w:b/>
                <w:sz w:val="20"/>
                <w:szCs w:val="20"/>
              </w:rPr>
            </w:pPr>
            <w:r w:rsidRPr="00DD0E08">
              <w:rPr>
                <w:rFonts w:ascii="Times New Roman" w:hAnsi="Times New Roman" w:cs="Times New Roman"/>
                <w:b/>
                <w:sz w:val="20"/>
                <w:szCs w:val="20"/>
              </w:rPr>
              <w:t>Papildus ievesto slapjo dūņu (1%) apjoma ekvivalents novada centrā  t/gadā</w:t>
            </w:r>
          </w:p>
        </w:tc>
        <w:tc>
          <w:tcPr>
            <w:tcW w:w="1276" w:type="dxa"/>
            <w:vMerge w:val="restart"/>
            <w:vAlign w:val="center"/>
          </w:tcPr>
          <w:p w14:paraId="5BE990AB" w14:textId="77777777" w:rsidR="00EA051D" w:rsidRPr="00DD0E08" w:rsidRDefault="00EA051D" w:rsidP="00D70884">
            <w:pPr>
              <w:spacing w:after="60"/>
              <w:jc w:val="center"/>
              <w:rPr>
                <w:rFonts w:ascii="Times New Roman" w:hAnsi="Times New Roman" w:cs="Times New Roman"/>
                <w:b/>
                <w:sz w:val="20"/>
                <w:szCs w:val="20"/>
              </w:rPr>
            </w:pPr>
            <w:r w:rsidRPr="00DD0E08">
              <w:rPr>
                <w:rFonts w:ascii="Times New Roman" w:hAnsi="Times New Roman" w:cs="Times New Roman"/>
                <w:b/>
                <w:sz w:val="20"/>
                <w:szCs w:val="20"/>
              </w:rPr>
              <w:t>Kopējais slapjo dūņu apjoms centrā (1%) t/gadā</w:t>
            </w:r>
          </w:p>
        </w:tc>
        <w:tc>
          <w:tcPr>
            <w:tcW w:w="1842" w:type="dxa"/>
            <w:vMerge w:val="restart"/>
            <w:vAlign w:val="center"/>
          </w:tcPr>
          <w:p w14:paraId="2A5FD474" w14:textId="77777777" w:rsidR="00EA051D" w:rsidRPr="00DD0E08" w:rsidRDefault="00EA051D" w:rsidP="00D70884">
            <w:pPr>
              <w:spacing w:after="60"/>
              <w:jc w:val="center"/>
              <w:rPr>
                <w:rFonts w:ascii="Times New Roman" w:hAnsi="Times New Roman" w:cs="Times New Roman"/>
                <w:b/>
                <w:sz w:val="20"/>
                <w:szCs w:val="20"/>
              </w:rPr>
            </w:pPr>
            <w:r w:rsidRPr="00DD0E08">
              <w:rPr>
                <w:rFonts w:ascii="Times New Roman" w:hAnsi="Times New Roman" w:cs="Times New Roman"/>
                <w:b/>
                <w:sz w:val="20"/>
                <w:szCs w:val="20"/>
              </w:rPr>
              <w:t>Dūņu apstrādes infrastruktūras izveides un uzturēšanas izmaksas 5 biogāzes stacijās EUR/gadā</w:t>
            </w:r>
          </w:p>
        </w:tc>
        <w:tc>
          <w:tcPr>
            <w:tcW w:w="1560" w:type="dxa"/>
            <w:vMerge w:val="restart"/>
            <w:vAlign w:val="center"/>
          </w:tcPr>
          <w:p w14:paraId="396621EF" w14:textId="77777777" w:rsidR="00EA051D" w:rsidRPr="00DD0E08" w:rsidRDefault="00EA051D" w:rsidP="00D70884">
            <w:pPr>
              <w:spacing w:after="60"/>
              <w:jc w:val="center"/>
              <w:rPr>
                <w:rFonts w:ascii="Times New Roman" w:hAnsi="Times New Roman" w:cs="Times New Roman"/>
                <w:b/>
                <w:sz w:val="20"/>
                <w:szCs w:val="20"/>
              </w:rPr>
            </w:pPr>
            <w:r w:rsidRPr="00DD0E08">
              <w:rPr>
                <w:rFonts w:ascii="Times New Roman" w:hAnsi="Times New Roman" w:cs="Times New Roman"/>
                <w:b/>
                <w:sz w:val="20"/>
                <w:szCs w:val="20"/>
              </w:rPr>
              <w:t>5 dūņu apstrādes centru izveides investīciju izmaksas EUR/gadā</w:t>
            </w:r>
          </w:p>
        </w:tc>
      </w:tr>
      <w:tr w:rsidR="00EA051D" w:rsidRPr="00DD0E08" w14:paraId="4713D45A" w14:textId="77777777" w:rsidTr="003B4161">
        <w:trPr>
          <w:trHeight w:val="509"/>
        </w:trPr>
        <w:tc>
          <w:tcPr>
            <w:tcW w:w="1271" w:type="dxa"/>
            <w:vMerge/>
          </w:tcPr>
          <w:p w14:paraId="4B5239CB" w14:textId="77777777" w:rsidR="00EA051D" w:rsidRPr="00DD0E0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6" w:type="dxa"/>
            <w:vMerge/>
          </w:tcPr>
          <w:p w14:paraId="2C7FF232" w14:textId="77777777" w:rsidR="00EA051D" w:rsidRPr="00DD0E0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tcPr>
          <w:p w14:paraId="437B2CA6" w14:textId="77777777" w:rsidR="00EA051D" w:rsidRPr="00DD0E0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6" w:type="dxa"/>
            <w:vMerge/>
          </w:tcPr>
          <w:p w14:paraId="676CB6E4" w14:textId="77777777" w:rsidR="00EA051D" w:rsidRPr="00DD0E0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842" w:type="dxa"/>
            <w:vMerge/>
          </w:tcPr>
          <w:p w14:paraId="50B139D2" w14:textId="77777777" w:rsidR="00EA051D" w:rsidRPr="00DD0E0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560" w:type="dxa"/>
            <w:vMerge/>
          </w:tcPr>
          <w:p w14:paraId="3A0403D5" w14:textId="77777777" w:rsidR="00EA051D" w:rsidRPr="00DD0E0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DD0E08" w14:paraId="1D64E95B" w14:textId="77777777" w:rsidTr="003B4161">
        <w:trPr>
          <w:trHeight w:val="312"/>
        </w:trPr>
        <w:tc>
          <w:tcPr>
            <w:tcW w:w="1271" w:type="dxa"/>
          </w:tcPr>
          <w:p w14:paraId="5EC64F98" w14:textId="77777777" w:rsidR="00EA051D" w:rsidRPr="00DD0E08" w:rsidRDefault="00EA051D" w:rsidP="00D70884">
            <w:pPr>
              <w:spacing w:after="60"/>
              <w:rPr>
                <w:rFonts w:ascii="Times New Roman" w:hAnsi="Times New Roman" w:cs="Times New Roman"/>
                <w:sz w:val="18"/>
                <w:szCs w:val="18"/>
              </w:rPr>
            </w:pPr>
            <w:r w:rsidRPr="00DD0E08">
              <w:rPr>
                <w:rFonts w:ascii="Times New Roman" w:hAnsi="Times New Roman" w:cs="Times New Roman"/>
                <w:sz w:val="18"/>
                <w:szCs w:val="18"/>
              </w:rPr>
              <w:t>Daugavpils NAI</w:t>
            </w:r>
          </w:p>
        </w:tc>
        <w:tc>
          <w:tcPr>
            <w:tcW w:w="1276" w:type="dxa"/>
            <w:vAlign w:val="center"/>
          </w:tcPr>
          <w:p w14:paraId="78E85E52"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151 893</w:t>
            </w:r>
          </w:p>
        </w:tc>
        <w:tc>
          <w:tcPr>
            <w:tcW w:w="1701" w:type="dxa"/>
            <w:vAlign w:val="center"/>
          </w:tcPr>
          <w:p w14:paraId="05776368"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59 255</w:t>
            </w:r>
          </w:p>
        </w:tc>
        <w:tc>
          <w:tcPr>
            <w:tcW w:w="1276" w:type="dxa"/>
            <w:vAlign w:val="center"/>
          </w:tcPr>
          <w:p w14:paraId="502D4ABF" w14:textId="77777777" w:rsidR="00EA051D" w:rsidRPr="00DD0E08" w:rsidRDefault="00EA051D" w:rsidP="00D70884">
            <w:pPr>
              <w:spacing w:after="60"/>
              <w:jc w:val="center"/>
              <w:rPr>
                <w:rFonts w:ascii="Times New Roman" w:hAnsi="Times New Roman" w:cs="Times New Roman"/>
                <w:color w:val="000000"/>
                <w:sz w:val="18"/>
                <w:szCs w:val="18"/>
              </w:rPr>
            </w:pPr>
            <w:r w:rsidRPr="00DD0E08">
              <w:rPr>
                <w:rFonts w:ascii="Times New Roman" w:hAnsi="Times New Roman" w:cs="Times New Roman"/>
                <w:color w:val="000000"/>
                <w:sz w:val="18"/>
                <w:szCs w:val="18"/>
              </w:rPr>
              <w:t>211 148</w:t>
            </w:r>
          </w:p>
        </w:tc>
        <w:tc>
          <w:tcPr>
            <w:tcW w:w="1842" w:type="dxa"/>
            <w:shd w:val="clear" w:color="auto" w:fill="FDEADA"/>
            <w:vAlign w:val="center"/>
          </w:tcPr>
          <w:p w14:paraId="7499638A"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1 522 479</w:t>
            </w:r>
          </w:p>
        </w:tc>
        <w:tc>
          <w:tcPr>
            <w:tcW w:w="1560" w:type="dxa"/>
            <w:shd w:val="clear" w:color="auto" w:fill="FDEADA"/>
            <w:vAlign w:val="center"/>
          </w:tcPr>
          <w:p w14:paraId="3B8CA363"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7 313 035</w:t>
            </w:r>
          </w:p>
        </w:tc>
      </w:tr>
      <w:tr w:rsidR="00EA051D" w:rsidRPr="00DD0E08" w14:paraId="4385A5C4" w14:textId="77777777" w:rsidTr="003B4161">
        <w:trPr>
          <w:trHeight w:val="312"/>
        </w:trPr>
        <w:tc>
          <w:tcPr>
            <w:tcW w:w="1271" w:type="dxa"/>
          </w:tcPr>
          <w:p w14:paraId="4358FA1C" w14:textId="77777777" w:rsidR="00EA051D" w:rsidRPr="00DD0E08" w:rsidRDefault="00EA051D" w:rsidP="00D70884">
            <w:pPr>
              <w:spacing w:after="60"/>
              <w:rPr>
                <w:rFonts w:ascii="Times New Roman" w:hAnsi="Times New Roman" w:cs="Times New Roman"/>
                <w:sz w:val="18"/>
                <w:szCs w:val="18"/>
              </w:rPr>
            </w:pPr>
            <w:r w:rsidRPr="00DD0E08">
              <w:rPr>
                <w:rFonts w:ascii="Times New Roman" w:hAnsi="Times New Roman" w:cs="Times New Roman"/>
                <w:sz w:val="18"/>
                <w:szCs w:val="18"/>
              </w:rPr>
              <w:t>Jelgavas NAI</w:t>
            </w:r>
          </w:p>
        </w:tc>
        <w:tc>
          <w:tcPr>
            <w:tcW w:w="1276" w:type="dxa"/>
            <w:vAlign w:val="center"/>
          </w:tcPr>
          <w:p w14:paraId="477FEAE6"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120 608</w:t>
            </w:r>
          </w:p>
        </w:tc>
        <w:tc>
          <w:tcPr>
            <w:tcW w:w="1701" w:type="dxa"/>
            <w:vAlign w:val="center"/>
          </w:tcPr>
          <w:p w14:paraId="11635485"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364 706</w:t>
            </w:r>
          </w:p>
        </w:tc>
        <w:tc>
          <w:tcPr>
            <w:tcW w:w="1276" w:type="dxa"/>
            <w:vAlign w:val="center"/>
          </w:tcPr>
          <w:p w14:paraId="2AAE396D" w14:textId="77777777" w:rsidR="00EA051D" w:rsidRPr="00DD0E08" w:rsidRDefault="00EA051D" w:rsidP="00D70884">
            <w:pPr>
              <w:spacing w:after="60"/>
              <w:jc w:val="center"/>
              <w:rPr>
                <w:rFonts w:ascii="Times New Roman" w:hAnsi="Times New Roman" w:cs="Times New Roman"/>
                <w:color w:val="000000"/>
                <w:sz w:val="18"/>
                <w:szCs w:val="18"/>
              </w:rPr>
            </w:pPr>
            <w:r w:rsidRPr="00DD0E08">
              <w:rPr>
                <w:rFonts w:ascii="Times New Roman" w:hAnsi="Times New Roman" w:cs="Times New Roman"/>
                <w:color w:val="000000"/>
                <w:sz w:val="18"/>
                <w:szCs w:val="18"/>
              </w:rPr>
              <w:t>485 314</w:t>
            </w:r>
          </w:p>
        </w:tc>
        <w:tc>
          <w:tcPr>
            <w:tcW w:w="1842" w:type="dxa"/>
            <w:shd w:val="clear" w:color="auto" w:fill="FDEADA"/>
            <w:vAlign w:val="center"/>
          </w:tcPr>
          <w:p w14:paraId="78DDCC88"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2 833 164</w:t>
            </w:r>
          </w:p>
        </w:tc>
        <w:tc>
          <w:tcPr>
            <w:tcW w:w="1560" w:type="dxa"/>
            <w:shd w:val="clear" w:color="auto" w:fill="FDEADA"/>
            <w:vAlign w:val="center"/>
          </w:tcPr>
          <w:p w14:paraId="6FFC779D"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11 871 042</w:t>
            </w:r>
          </w:p>
        </w:tc>
      </w:tr>
      <w:tr w:rsidR="00EA051D" w:rsidRPr="00DD0E08" w14:paraId="2B6BAF86" w14:textId="77777777" w:rsidTr="003B4161">
        <w:trPr>
          <w:trHeight w:val="312"/>
        </w:trPr>
        <w:tc>
          <w:tcPr>
            <w:tcW w:w="1271" w:type="dxa"/>
          </w:tcPr>
          <w:p w14:paraId="7935210C" w14:textId="77777777" w:rsidR="00EA051D" w:rsidRPr="00DD0E08" w:rsidRDefault="00EA051D" w:rsidP="00D70884">
            <w:pPr>
              <w:spacing w:after="60"/>
              <w:rPr>
                <w:rFonts w:ascii="Times New Roman" w:hAnsi="Times New Roman" w:cs="Times New Roman"/>
                <w:sz w:val="18"/>
                <w:szCs w:val="18"/>
              </w:rPr>
            </w:pPr>
            <w:r w:rsidRPr="00DD0E08">
              <w:rPr>
                <w:rFonts w:ascii="Times New Roman" w:hAnsi="Times New Roman" w:cs="Times New Roman"/>
                <w:sz w:val="18"/>
                <w:szCs w:val="18"/>
              </w:rPr>
              <w:t>Rēzeknes NAI</w:t>
            </w:r>
          </w:p>
        </w:tc>
        <w:tc>
          <w:tcPr>
            <w:tcW w:w="1276" w:type="dxa"/>
            <w:vAlign w:val="center"/>
          </w:tcPr>
          <w:p w14:paraId="0641C931"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92 424</w:t>
            </w:r>
          </w:p>
        </w:tc>
        <w:tc>
          <w:tcPr>
            <w:tcW w:w="1701" w:type="dxa"/>
            <w:vAlign w:val="center"/>
          </w:tcPr>
          <w:p w14:paraId="24D00BC8"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44 357</w:t>
            </w:r>
          </w:p>
        </w:tc>
        <w:tc>
          <w:tcPr>
            <w:tcW w:w="1276" w:type="dxa"/>
            <w:vAlign w:val="center"/>
          </w:tcPr>
          <w:p w14:paraId="5C60CD39" w14:textId="77777777" w:rsidR="00EA051D" w:rsidRPr="00DD0E08" w:rsidRDefault="00EA051D" w:rsidP="00D70884">
            <w:pPr>
              <w:spacing w:after="60"/>
              <w:jc w:val="center"/>
              <w:rPr>
                <w:rFonts w:ascii="Times New Roman" w:hAnsi="Times New Roman" w:cs="Times New Roman"/>
                <w:color w:val="000000"/>
                <w:sz w:val="18"/>
                <w:szCs w:val="18"/>
              </w:rPr>
            </w:pPr>
            <w:r w:rsidRPr="00DD0E08">
              <w:rPr>
                <w:rFonts w:ascii="Times New Roman" w:hAnsi="Times New Roman" w:cs="Times New Roman"/>
                <w:color w:val="000000"/>
                <w:sz w:val="18"/>
                <w:szCs w:val="18"/>
              </w:rPr>
              <w:t>136 781</w:t>
            </w:r>
          </w:p>
        </w:tc>
        <w:tc>
          <w:tcPr>
            <w:tcW w:w="1842" w:type="dxa"/>
            <w:shd w:val="clear" w:color="auto" w:fill="FDEADA"/>
            <w:vAlign w:val="center"/>
          </w:tcPr>
          <w:p w14:paraId="08ADEE2F"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1 335 271</w:t>
            </w:r>
          </w:p>
        </w:tc>
        <w:tc>
          <w:tcPr>
            <w:tcW w:w="1560" w:type="dxa"/>
            <w:shd w:val="clear" w:color="auto" w:fill="FDEADA"/>
            <w:vAlign w:val="center"/>
          </w:tcPr>
          <w:p w14:paraId="139738D3"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6 583 034</w:t>
            </w:r>
          </w:p>
        </w:tc>
      </w:tr>
      <w:tr w:rsidR="00EA051D" w:rsidRPr="00DD0E08" w14:paraId="5DD010A1" w14:textId="77777777" w:rsidTr="003B4161">
        <w:trPr>
          <w:trHeight w:val="312"/>
        </w:trPr>
        <w:tc>
          <w:tcPr>
            <w:tcW w:w="1271" w:type="dxa"/>
          </w:tcPr>
          <w:p w14:paraId="5D397C59" w14:textId="77777777" w:rsidR="00EA051D" w:rsidRPr="00DD0E08" w:rsidRDefault="00EA051D" w:rsidP="00D70884">
            <w:pPr>
              <w:spacing w:after="60"/>
              <w:rPr>
                <w:rFonts w:ascii="Times New Roman" w:hAnsi="Times New Roman" w:cs="Times New Roman"/>
                <w:sz w:val="18"/>
                <w:szCs w:val="18"/>
              </w:rPr>
            </w:pPr>
            <w:r w:rsidRPr="00DD0E08">
              <w:rPr>
                <w:rFonts w:ascii="Times New Roman" w:hAnsi="Times New Roman" w:cs="Times New Roman"/>
                <w:sz w:val="18"/>
                <w:szCs w:val="18"/>
              </w:rPr>
              <w:t>Valmieras NAI</w:t>
            </w:r>
          </w:p>
        </w:tc>
        <w:tc>
          <w:tcPr>
            <w:tcW w:w="1276" w:type="dxa"/>
            <w:vAlign w:val="center"/>
          </w:tcPr>
          <w:p w14:paraId="016445EA"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43 527</w:t>
            </w:r>
          </w:p>
        </w:tc>
        <w:tc>
          <w:tcPr>
            <w:tcW w:w="1701" w:type="dxa"/>
            <w:vAlign w:val="center"/>
          </w:tcPr>
          <w:p w14:paraId="7EDAE4D7"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93 615</w:t>
            </w:r>
          </w:p>
        </w:tc>
        <w:tc>
          <w:tcPr>
            <w:tcW w:w="1276" w:type="dxa"/>
            <w:vAlign w:val="center"/>
          </w:tcPr>
          <w:p w14:paraId="2E8A0D36" w14:textId="77777777" w:rsidR="00EA051D" w:rsidRPr="00DD0E08" w:rsidRDefault="00EA051D" w:rsidP="00D70884">
            <w:pPr>
              <w:spacing w:after="60"/>
              <w:jc w:val="center"/>
              <w:rPr>
                <w:rFonts w:ascii="Times New Roman" w:hAnsi="Times New Roman" w:cs="Times New Roman"/>
                <w:color w:val="000000"/>
                <w:sz w:val="18"/>
                <w:szCs w:val="18"/>
              </w:rPr>
            </w:pPr>
            <w:r w:rsidRPr="00DD0E08">
              <w:rPr>
                <w:rFonts w:ascii="Times New Roman" w:hAnsi="Times New Roman" w:cs="Times New Roman"/>
                <w:color w:val="000000"/>
                <w:sz w:val="18"/>
                <w:szCs w:val="18"/>
              </w:rPr>
              <w:t>137 142</w:t>
            </w:r>
          </w:p>
        </w:tc>
        <w:tc>
          <w:tcPr>
            <w:tcW w:w="1842" w:type="dxa"/>
            <w:shd w:val="clear" w:color="auto" w:fill="FDEADA"/>
            <w:vAlign w:val="center"/>
          </w:tcPr>
          <w:p w14:paraId="01298E70"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1 305 021</w:t>
            </w:r>
          </w:p>
        </w:tc>
        <w:tc>
          <w:tcPr>
            <w:tcW w:w="1560" w:type="dxa"/>
            <w:shd w:val="clear" w:color="auto" w:fill="FDEADA"/>
            <w:vAlign w:val="center"/>
          </w:tcPr>
          <w:p w14:paraId="324A0C8B"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6 384 170</w:t>
            </w:r>
          </w:p>
        </w:tc>
      </w:tr>
      <w:tr w:rsidR="00EA051D" w:rsidRPr="00DD0E08" w14:paraId="56A1380A" w14:textId="77777777" w:rsidTr="003B4161">
        <w:trPr>
          <w:trHeight w:val="312"/>
        </w:trPr>
        <w:tc>
          <w:tcPr>
            <w:tcW w:w="1271" w:type="dxa"/>
          </w:tcPr>
          <w:p w14:paraId="121AD78E" w14:textId="77777777" w:rsidR="00EA051D" w:rsidRPr="00DD0E08" w:rsidRDefault="00EA051D" w:rsidP="00D70884">
            <w:pPr>
              <w:spacing w:after="60"/>
              <w:rPr>
                <w:rFonts w:ascii="Times New Roman" w:hAnsi="Times New Roman" w:cs="Times New Roman"/>
                <w:sz w:val="18"/>
                <w:szCs w:val="18"/>
              </w:rPr>
            </w:pPr>
            <w:r w:rsidRPr="00DD0E08">
              <w:rPr>
                <w:rFonts w:ascii="Times New Roman" w:hAnsi="Times New Roman" w:cs="Times New Roman"/>
                <w:sz w:val="18"/>
                <w:szCs w:val="18"/>
              </w:rPr>
              <w:t>Ventspils NAI</w:t>
            </w:r>
          </w:p>
        </w:tc>
        <w:tc>
          <w:tcPr>
            <w:tcW w:w="1276" w:type="dxa"/>
            <w:vAlign w:val="center"/>
          </w:tcPr>
          <w:p w14:paraId="2ACC2353"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93 630</w:t>
            </w:r>
          </w:p>
        </w:tc>
        <w:tc>
          <w:tcPr>
            <w:tcW w:w="1701" w:type="dxa"/>
            <w:vAlign w:val="center"/>
          </w:tcPr>
          <w:p w14:paraId="7473FE97"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color w:val="000000"/>
                <w:sz w:val="18"/>
                <w:szCs w:val="18"/>
              </w:rPr>
              <w:t>123 933</w:t>
            </w:r>
          </w:p>
        </w:tc>
        <w:tc>
          <w:tcPr>
            <w:tcW w:w="1276" w:type="dxa"/>
            <w:vAlign w:val="center"/>
          </w:tcPr>
          <w:p w14:paraId="20FAE616" w14:textId="77777777" w:rsidR="00EA051D" w:rsidRPr="00DD0E08" w:rsidRDefault="00EA051D" w:rsidP="00D70884">
            <w:pPr>
              <w:spacing w:after="60"/>
              <w:jc w:val="center"/>
              <w:rPr>
                <w:rFonts w:ascii="Times New Roman" w:hAnsi="Times New Roman" w:cs="Times New Roman"/>
                <w:color w:val="000000"/>
                <w:sz w:val="18"/>
                <w:szCs w:val="18"/>
              </w:rPr>
            </w:pPr>
            <w:r w:rsidRPr="00DD0E08">
              <w:rPr>
                <w:rFonts w:ascii="Times New Roman" w:hAnsi="Times New Roman" w:cs="Times New Roman"/>
                <w:color w:val="000000"/>
                <w:sz w:val="18"/>
                <w:szCs w:val="18"/>
              </w:rPr>
              <w:t>217 563</w:t>
            </w:r>
          </w:p>
        </w:tc>
        <w:tc>
          <w:tcPr>
            <w:tcW w:w="1842" w:type="dxa"/>
            <w:shd w:val="clear" w:color="auto" w:fill="FDEADA"/>
            <w:vAlign w:val="center"/>
          </w:tcPr>
          <w:p w14:paraId="54599DF4"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1 620 208</w:t>
            </w:r>
          </w:p>
        </w:tc>
        <w:tc>
          <w:tcPr>
            <w:tcW w:w="1560" w:type="dxa"/>
            <w:shd w:val="clear" w:color="auto" w:fill="FDEADA"/>
            <w:vAlign w:val="center"/>
          </w:tcPr>
          <w:p w14:paraId="0D0D69D1" w14:textId="77777777" w:rsidR="00EA051D" w:rsidRPr="00DD0E08" w:rsidRDefault="00EA051D" w:rsidP="00D70884">
            <w:pPr>
              <w:spacing w:after="60"/>
              <w:jc w:val="center"/>
              <w:rPr>
                <w:rFonts w:ascii="Times New Roman" w:hAnsi="Times New Roman" w:cs="Times New Roman"/>
                <w:sz w:val="18"/>
                <w:szCs w:val="18"/>
              </w:rPr>
            </w:pPr>
            <w:r w:rsidRPr="00DD0E08">
              <w:rPr>
                <w:rFonts w:ascii="Times New Roman" w:hAnsi="Times New Roman" w:cs="Times New Roman"/>
                <w:sz w:val="18"/>
                <w:szCs w:val="18"/>
              </w:rPr>
              <w:t>7 471 764</w:t>
            </w:r>
          </w:p>
        </w:tc>
      </w:tr>
      <w:tr w:rsidR="00EA051D" w:rsidRPr="00DD0E08" w14:paraId="35678F1C" w14:textId="77777777" w:rsidTr="003B4161">
        <w:trPr>
          <w:trHeight w:val="312"/>
        </w:trPr>
        <w:tc>
          <w:tcPr>
            <w:tcW w:w="1271" w:type="dxa"/>
          </w:tcPr>
          <w:p w14:paraId="01EFAB8E" w14:textId="77777777" w:rsidR="00EA051D" w:rsidRPr="00DD0E08" w:rsidRDefault="00EA051D" w:rsidP="00D70884">
            <w:pPr>
              <w:spacing w:after="60"/>
              <w:rPr>
                <w:rFonts w:ascii="Times New Roman" w:hAnsi="Times New Roman" w:cs="Times New Roman"/>
                <w:b/>
                <w:sz w:val="20"/>
                <w:szCs w:val="20"/>
              </w:rPr>
            </w:pPr>
            <w:r w:rsidRPr="00DD0E08">
              <w:rPr>
                <w:rFonts w:ascii="Times New Roman" w:hAnsi="Times New Roman" w:cs="Times New Roman"/>
                <w:b/>
                <w:sz w:val="20"/>
                <w:szCs w:val="20"/>
              </w:rPr>
              <w:t>KOPĀ</w:t>
            </w:r>
          </w:p>
        </w:tc>
        <w:tc>
          <w:tcPr>
            <w:tcW w:w="1276" w:type="dxa"/>
            <w:vAlign w:val="center"/>
          </w:tcPr>
          <w:p w14:paraId="62952AD8" w14:textId="77777777" w:rsidR="00EA051D" w:rsidRPr="00DD0E08" w:rsidRDefault="00EA051D" w:rsidP="00D70884">
            <w:pPr>
              <w:spacing w:after="60"/>
              <w:jc w:val="center"/>
              <w:rPr>
                <w:rFonts w:ascii="Times New Roman" w:hAnsi="Times New Roman" w:cs="Times New Roman"/>
                <w:sz w:val="18"/>
                <w:szCs w:val="18"/>
              </w:rPr>
            </w:pPr>
          </w:p>
        </w:tc>
        <w:tc>
          <w:tcPr>
            <w:tcW w:w="1701" w:type="dxa"/>
            <w:vAlign w:val="center"/>
          </w:tcPr>
          <w:p w14:paraId="0F998C85" w14:textId="77777777" w:rsidR="00EA051D" w:rsidRPr="00DD0E08" w:rsidRDefault="00EA051D" w:rsidP="00D70884">
            <w:pPr>
              <w:spacing w:after="60"/>
              <w:jc w:val="center"/>
              <w:rPr>
                <w:rFonts w:ascii="Times New Roman" w:hAnsi="Times New Roman" w:cs="Times New Roman"/>
                <w:sz w:val="18"/>
                <w:szCs w:val="18"/>
              </w:rPr>
            </w:pPr>
          </w:p>
        </w:tc>
        <w:tc>
          <w:tcPr>
            <w:tcW w:w="1276" w:type="dxa"/>
            <w:vAlign w:val="center"/>
          </w:tcPr>
          <w:p w14:paraId="10B091F3" w14:textId="77777777" w:rsidR="00EA051D" w:rsidRPr="00DD0E08" w:rsidRDefault="00EA051D" w:rsidP="00D70884">
            <w:pPr>
              <w:spacing w:after="60"/>
              <w:jc w:val="center"/>
              <w:rPr>
                <w:rFonts w:ascii="Times New Roman" w:hAnsi="Times New Roman" w:cs="Times New Roman"/>
                <w:b/>
                <w:color w:val="000000"/>
                <w:sz w:val="20"/>
                <w:szCs w:val="20"/>
              </w:rPr>
            </w:pPr>
            <w:r w:rsidRPr="00DD0E08">
              <w:rPr>
                <w:rFonts w:ascii="Times New Roman" w:hAnsi="Times New Roman" w:cs="Times New Roman"/>
                <w:b/>
                <w:color w:val="000000"/>
                <w:sz w:val="20"/>
                <w:szCs w:val="20"/>
              </w:rPr>
              <w:t>1 187 947</w:t>
            </w:r>
          </w:p>
        </w:tc>
        <w:tc>
          <w:tcPr>
            <w:tcW w:w="1842" w:type="dxa"/>
            <w:shd w:val="clear" w:color="auto" w:fill="FDEADA"/>
            <w:vAlign w:val="center"/>
          </w:tcPr>
          <w:p w14:paraId="60DBE3A1" w14:textId="77777777" w:rsidR="00EA051D" w:rsidRPr="00DD0E08" w:rsidRDefault="00EA051D" w:rsidP="00D70884">
            <w:pPr>
              <w:spacing w:after="60"/>
              <w:jc w:val="center"/>
              <w:rPr>
                <w:rFonts w:ascii="Times New Roman" w:hAnsi="Times New Roman" w:cs="Times New Roman"/>
                <w:b/>
                <w:color w:val="FF0000"/>
                <w:sz w:val="20"/>
                <w:szCs w:val="20"/>
              </w:rPr>
            </w:pPr>
            <w:r w:rsidRPr="00DD0E08">
              <w:rPr>
                <w:rFonts w:ascii="Times New Roman" w:hAnsi="Times New Roman" w:cs="Times New Roman"/>
                <w:b/>
                <w:color w:val="FF0000"/>
                <w:sz w:val="20"/>
                <w:szCs w:val="20"/>
              </w:rPr>
              <w:t>8 616 144</w:t>
            </w:r>
          </w:p>
        </w:tc>
        <w:tc>
          <w:tcPr>
            <w:tcW w:w="1560" w:type="dxa"/>
            <w:shd w:val="clear" w:color="auto" w:fill="FDEADA"/>
            <w:vAlign w:val="center"/>
          </w:tcPr>
          <w:p w14:paraId="6EB874D9" w14:textId="77777777" w:rsidR="00EA051D" w:rsidRPr="00DD0E08" w:rsidRDefault="00EA051D" w:rsidP="00D70884">
            <w:pPr>
              <w:spacing w:after="60"/>
              <w:jc w:val="center"/>
              <w:rPr>
                <w:rFonts w:ascii="Times New Roman" w:hAnsi="Times New Roman" w:cs="Times New Roman"/>
                <w:b/>
                <w:color w:val="FF0000"/>
                <w:sz w:val="20"/>
                <w:szCs w:val="20"/>
              </w:rPr>
            </w:pPr>
            <w:r w:rsidRPr="00DD0E08">
              <w:rPr>
                <w:rFonts w:ascii="Times New Roman" w:hAnsi="Times New Roman" w:cs="Times New Roman"/>
                <w:b/>
                <w:color w:val="FF0000"/>
                <w:sz w:val="20"/>
                <w:szCs w:val="20"/>
              </w:rPr>
              <w:t>39 623 044</w:t>
            </w:r>
          </w:p>
        </w:tc>
      </w:tr>
    </w:tbl>
    <w:p w14:paraId="0B92ABA5" w14:textId="591D426F" w:rsidR="00EA051D" w:rsidRDefault="00EA051D" w:rsidP="00651378">
      <w:pPr>
        <w:spacing w:after="0"/>
        <w:ind w:firstLine="720"/>
        <w:rPr>
          <w:rFonts w:ascii="Times New Roman" w:hAnsi="Times New Roman" w:cs="Times New Roman"/>
        </w:rPr>
      </w:pPr>
      <w:r w:rsidRPr="003B4161">
        <w:rPr>
          <w:rFonts w:ascii="Times New Roman" w:hAnsi="Times New Roman" w:cs="Times New Roman"/>
        </w:rPr>
        <w:t>Apstrādājot notekūdeņu dūņas 5 biogāzes stacijās un tās pēc tam žāvējot, kopējās ikgadējās notekūdeņu dūņu pārstrādes izmaksas būtu aptuveni 8,62 milj</w:t>
      </w:r>
      <w:r w:rsidR="00674A2E">
        <w:rPr>
          <w:rFonts w:ascii="Times New Roman" w:hAnsi="Times New Roman" w:cs="Times New Roman"/>
        </w:rPr>
        <w:t>.</w:t>
      </w:r>
      <w:r w:rsidRPr="003B4161">
        <w:rPr>
          <w:rFonts w:ascii="Times New Roman" w:hAnsi="Times New Roman" w:cs="Times New Roman"/>
        </w:rPr>
        <w:t xml:space="preserve"> EUR gadā, savukārt kopējās nepieciešamās kapitālās investīcijas sistēmas izveidošanai ir aptuveni 39,6 milj</w:t>
      </w:r>
      <w:r w:rsidR="00674A2E">
        <w:rPr>
          <w:rFonts w:ascii="Times New Roman" w:hAnsi="Times New Roman" w:cs="Times New Roman"/>
        </w:rPr>
        <w:t>.</w:t>
      </w:r>
      <w:r w:rsidRPr="003B4161">
        <w:rPr>
          <w:rFonts w:ascii="Times New Roman" w:hAnsi="Times New Roman" w:cs="Times New Roman"/>
        </w:rPr>
        <w:t xml:space="preserve"> EUR, kas abās pozīcijās ir vairāk kā pie D4.1.apakšalternatīvas</w:t>
      </w:r>
      <w:r w:rsidR="003B4161">
        <w:rPr>
          <w:rFonts w:ascii="Times New Roman" w:hAnsi="Times New Roman" w:cs="Times New Roman"/>
        </w:rPr>
        <w:t>.</w:t>
      </w:r>
    </w:p>
    <w:p w14:paraId="6F0328FA" w14:textId="77777777" w:rsidR="00651378" w:rsidRPr="0033498C" w:rsidRDefault="00651378" w:rsidP="0033498C">
      <w:pPr>
        <w:jc w:val="center"/>
        <w:rPr>
          <w:rFonts w:ascii="Times New Roman" w:hAnsi="Times New Roman" w:cs="Times New Roman"/>
        </w:rPr>
      </w:pPr>
    </w:p>
    <w:p w14:paraId="14CF9483" w14:textId="77777777" w:rsidR="00EA051D" w:rsidRPr="0033498C" w:rsidRDefault="00EA051D" w:rsidP="0033498C">
      <w:pPr>
        <w:jc w:val="center"/>
        <w:rPr>
          <w:rFonts w:ascii="Times New Roman" w:hAnsi="Times New Roman" w:cs="Times New Roman"/>
          <w:b/>
          <w:bCs/>
          <w:color w:val="5B9BD5" w:themeColor="accent1"/>
        </w:rPr>
      </w:pPr>
      <w:bookmarkStart w:id="118" w:name="_Toc82277652"/>
      <w:r w:rsidRPr="0033498C">
        <w:rPr>
          <w:rFonts w:ascii="Times New Roman" w:hAnsi="Times New Roman" w:cs="Times New Roman"/>
          <w:b/>
          <w:bCs/>
          <w:color w:val="5B9BD5" w:themeColor="accent1"/>
        </w:rPr>
        <w:t>D4.3. Alternatīva: Biogāzes ražošanas procesā iegūtā digestāta mehāniska atūdeņošana, fugāta ūdens attīrīšana papildus izbūvētos bioloģiskos notekūdeņu attīrīšanas blokos</w:t>
      </w:r>
      <w:r w:rsidRPr="0033498C" w:rsidDel="00CE73A1">
        <w:rPr>
          <w:rFonts w:ascii="Times New Roman" w:hAnsi="Times New Roman" w:cs="Times New Roman"/>
          <w:b/>
          <w:bCs/>
          <w:color w:val="5B9BD5" w:themeColor="accent1"/>
        </w:rPr>
        <w:t xml:space="preserve"> </w:t>
      </w:r>
      <w:r w:rsidRPr="0033498C">
        <w:rPr>
          <w:rFonts w:ascii="Times New Roman" w:hAnsi="Times New Roman" w:cs="Times New Roman"/>
          <w:b/>
          <w:bCs/>
          <w:color w:val="5B9BD5" w:themeColor="accent1"/>
        </w:rPr>
        <w:t>un dūņu žāvēšana līdz 90% sausnai</w:t>
      </w:r>
      <w:bookmarkEnd w:id="118"/>
    </w:p>
    <w:p w14:paraId="4ECD6969" w14:textId="77777777" w:rsidR="00651378" w:rsidRDefault="00651378" w:rsidP="00651378">
      <w:pPr>
        <w:spacing w:after="0"/>
        <w:ind w:firstLine="360"/>
        <w:rPr>
          <w:rFonts w:ascii="Times New Roman" w:hAnsi="Times New Roman" w:cs="Times New Roman"/>
        </w:rPr>
      </w:pPr>
    </w:p>
    <w:p w14:paraId="7A812893" w14:textId="4B51C8FF" w:rsidR="00EA051D" w:rsidRPr="003B4161" w:rsidRDefault="00EA051D" w:rsidP="00651378">
      <w:pPr>
        <w:spacing w:after="0"/>
        <w:ind w:firstLine="720"/>
        <w:rPr>
          <w:rFonts w:ascii="Times New Roman" w:hAnsi="Times New Roman" w:cs="Times New Roman"/>
        </w:rPr>
      </w:pPr>
      <w:r w:rsidRPr="003B4161">
        <w:rPr>
          <w:rFonts w:ascii="Times New Roman" w:hAnsi="Times New Roman" w:cs="Times New Roman"/>
        </w:rPr>
        <w:t>Alternatīva paredz visas tās pašas darbības, ko D4.2. alternatīva, bet dūņu žāvēšana tiek veikta līdz tiek sasniegta</w:t>
      </w:r>
      <w:sdt>
        <w:sdtPr>
          <w:rPr>
            <w:rFonts w:ascii="Times New Roman" w:hAnsi="Times New Roman" w:cs="Times New Roman"/>
          </w:rPr>
          <w:tag w:val="goog_rdk_85"/>
          <w:id w:val="-910153813"/>
        </w:sdtPr>
        <w:sdtContent/>
      </w:sdt>
      <w:r w:rsidRPr="003B4161">
        <w:rPr>
          <w:rFonts w:ascii="Times New Roman" w:hAnsi="Times New Roman" w:cs="Times New Roman"/>
        </w:rPr>
        <w:t xml:space="preserve"> 90% sausna dūņu masā. Šādi apstrādātu dūņu masu nav nepieciešams uzglabāt, bet to uzreiz var kraut smagajās mašīnās un nogādāt dedzināšanai cementa rūpnīcā, tādējādi nav nepieciešamas izmaksas dūņu uzglabāšanas vietas būvniecībai, vienlaikus būtisks izmaksu pieaugums veidojas papildus kurināmā iegādei siltumenerģijas ražošanai. Dūņu transportēšanas un nodošanas izmaksas cementa rūpnīcā ir rēķinātas pie dažādu alternatīvu utilizācijas izmaksām (skat. </w:t>
      </w:r>
      <w:r w:rsidR="000508A4">
        <w:rPr>
          <w:rFonts w:ascii="Times New Roman" w:hAnsi="Times New Roman" w:cs="Times New Roman"/>
        </w:rPr>
        <w:t>4.5.13</w:t>
      </w:r>
      <w:r w:rsidRPr="003B4161">
        <w:rPr>
          <w:rFonts w:ascii="Times New Roman" w:hAnsi="Times New Roman" w:cs="Times New Roman"/>
        </w:rPr>
        <w:t>.tabulu).</w:t>
      </w:r>
    </w:p>
    <w:p w14:paraId="47FE7814" w14:textId="2A7B9C4C" w:rsidR="00D70884" w:rsidRDefault="00D70884" w:rsidP="00EA051D">
      <w:pPr>
        <w:rPr>
          <w:rFonts w:cstheme="minorHAnsi"/>
        </w:rPr>
      </w:pPr>
    </w:p>
    <w:p w14:paraId="6327DEA8" w14:textId="0B95C513" w:rsidR="00651378" w:rsidRDefault="00651378" w:rsidP="00EA051D">
      <w:pPr>
        <w:rPr>
          <w:rFonts w:cstheme="minorHAnsi"/>
        </w:rPr>
      </w:pPr>
    </w:p>
    <w:p w14:paraId="0BB62EEA" w14:textId="77777777" w:rsidR="00651378" w:rsidRPr="00175DD0" w:rsidRDefault="00651378" w:rsidP="00EA051D">
      <w:pPr>
        <w:rPr>
          <w:rFonts w:cstheme="minorHAnsi"/>
        </w:rPr>
      </w:pPr>
    </w:p>
    <w:p w14:paraId="6BF82A4C" w14:textId="61724616" w:rsidR="00651378" w:rsidRPr="00651378" w:rsidRDefault="000508A4" w:rsidP="00651378">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bCs/>
          <w:color w:val="000000"/>
          <w:szCs w:val="24"/>
        </w:rPr>
      </w:pPr>
      <w:r>
        <w:rPr>
          <w:rFonts w:ascii="Times New Roman" w:hAnsi="Times New Roman" w:cs="Times New Roman"/>
        </w:rPr>
        <w:lastRenderedPageBreak/>
        <w:t>4.5.13</w:t>
      </w:r>
      <w:r w:rsidR="00996138">
        <w:rPr>
          <w:rFonts w:ascii="Times New Roman" w:hAnsi="Times New Roman" w:cs="Times New Roman"/>
        </w:rPr>
        <w:t>.</w:t>
      </w:r>
      <w:r w:rsidR="00EA051D" w:rsidRPr="00651378">
        <w:rPr>
          <w:rFonts w:ascii="Times New Roman" w:hAnsi="Times New Roman" w:cs="Times New Roman"/>
          <w:bCs/>
          <w:color w:val="000000"/>
          <w:szCs w:val="24"/>
        </w:rPr>
        <w:t>tabula</w:t>
      </w:r>
    </w:p>
    <w:p w14:paraId="085167AB" w14:textId="56EA8545" w:rsidR="00EA051D" w:rsidRPr="00651378" w:rsidRDefault="00EA051D" w:rsidP="00651378">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color w:val="000000"/>
          <w:szCs w:val="24"/>
        </w:rPr>
      </w:pPr>
      <w:r w:rsidRPr="00651378">
        <w:rPr>
          <w:rFonts w:ascii="Times New Roman" w:hAnsi="Times New Roman" w:cs="Times New Roman"/>
          <w:b/>
          <w:color w:val="000000"/>
          <w:szCs w:val="24"/>
        </w:rPr>
        <w:t xml:space="preserve">Izmaksu apjoms veidojot 5 dūņu centrus un biogāzes stacijas ar dūņu žāvēšanu līdz 90% sausnai (aprēķinus skatīt </w:t>
      </w:r>
      <w:r w:rsidR="008D34E0" w:rsidRPr="00762A7F">
        <w:rPr>
          <w:rFonts w:ascii="Times New Roman" w:hAnsi="Times New Roman" w:cs="Times New Roman"/>
          <w:b/>
          <w:color w:val="000000"/>
          <w:szCs w:val="24"/>
        </w:rPr>
        <w:t xml:space="preserve">pielikumā </w:t>
      </w:r>
      <w:r w:rsidR="008D34E0" w:rsidRPr="0078125D">
        <w:rPr>
          <w:rFonts w:ascii="Times New Roman" w:hAnsi="Times New Roman" w:cs="Times New Roman"/>
          <w:b/>
          <w:color w:val="000000"/>
          <w:szCs w:val="24"/>
        </w:rPr>
        <w:t>4.9. Finanšu aprēķini “3. Uzturēšanas izmaksas notekūdeņu dūņu pārstrādē”</w:t>
      </w:r>
      <w:r w:rsidR="008D34E0" w:rsidRPr="00762A7F">
        <w:rPr>
          <w:rFonts w:ascii="Times New Roman" w:hAnsi="Times New Roman" w:cs="Times New Roman"/>
          <w:b/>
          <w:color w:val="000000"/>
          <w:szCs w:val="24"/>
        </w:rPr>
        <w:t xml:space="preserve"> un pielikumā </w:t>
      </w:r>
      <w:r w:rsidR="008D34E0" w:rsidRPr="0078125D">
        <w:rPr>
          <w:rFonts w:ascii="Times New Roman" w:hAnsi="Times New Roman" w:cs="Times New Roman"/>
          <w:b/>
          <w:color w:val="000000"/>
          <w:szCs w:val="24"/>
        </w:rPr>
        <w:t>4.10. Finanšu aprēķini “4.</w:t>
      </w:r>
      <w:r w:rsidR="008D34E0">
        <w:rPr>
          <w:rFonts w:ascii="Times New Roman" w:hAnsi="Times New Roman" w:cs="Times New Roman"/>
          <w:b/>
          <w:color w:val="000000"/>
          <w:szCs w:val="24"/>
        </w:rPr>
        <w:t> </w:t>
      </w:r>
      <w:r w:rsidR="008D34E0" w:rsidRPr="0078125D">
        <w:rPr>
          <w:rFonts w:ascii="Times New Roman" w:hAnsi="Times New Roman" w:cs="Times New Roman"/>
          <w:b/>
          <w:color w:val="000000"/>
          <w:szCs w:val="24"/>
        </w:rPr>
        <w:t>Kapitālās investīcijas notekūdeņu dūņu pārstrādē”</w:t>
      </w:r>
      <w:r w:rsidRPr="00651378">
        <w:rPr>
          <w:rFonts w:ascii="Times New Roman" w:hAnsi="Times New Roman" w:cs="Times New Roman"/>
          <w:b/>
          <w:color w:val="000000"/>
          <w:szCs w:val="24"/>
        </w:rPr>
        <w:t>)</w:t>
      </w:r>
    </w:p>
    <w:tbl>
      <w:tblPr>
        <w:tblStyle w:val="18"/>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276"/>
        <w:gridCol w:w="1417"/>
        <w:gridCol w:w="1276"/>
        <w:gridCol w:w="1701"/>
        <w:gridCol w:w="1985"/>
      </w:tblGrid>
      <w:tr w:rsidR="00EA051D" w:rsidRPr="00651378" w14:paraId="07951734" w14:textId="77777777" w:rsidTr="00651378">
        <w:trPr>
          <w:trHeight w:val="509"/>
        </w:trPr>
        <w:tc>
          <w:tcPr>
            <w:tcW w:w="1271" w:type="dxa"/>
            <w:vMerge w:val="restart"/>
            <w:vAlign w:val="center"/>
          </w:tcPr>
          <w:p w14:paraId="3602BAC7" w14:textId="77777777" w:rsidR="00EA051D" w:rsidRPr="00651378" w:rsidRDefault="00EA051D" w:rsidP="00D70884">
            <w:pPr>
              <w:spacing w:after="60"/>
              <w:jc w:val="center"/>
              <w:rPr>
                <w:rFonts w:ascii="Times New Roman" w:hAnsi="Times New Roman" w:cs="Times New Roman"/>
                <w:b/>
                <w:sz w:val="20"/>
                <w:szCs w:val="20"/>
              </w:rPr>
            </w:pPr>
            <w:r w:rsidRPr="00651378">
              <w:rPr>
                <w:rFonts w:ascii="Times New Roman" w:hAnsi="Times New Roman" w:cs="Times New Roman"/>
                <w:b/>
                <w:sz w:val="20"/>
                <w:szCs w:val="20"/>
              </w:rPr>
              <w:t>Dūņu centra izveides vieta</w:t>
            </w:r>
          </w:p>
        </w:tc>
        <w:tc>
          <w:tcPr>
            <w:tcW w:w="1276" w:type="dxa"/>
            <w:vMerge w:val="restart"/>
            <w:vAlign w:val="center"/>
          </w:tcPr>
          <w:p w14:paraId="21C42BDA" w14:textId="77777777" w:rsidR="00EA051D" w:rsidRPr="00651378" w:rsidRDefault="00EA051D" w:rsidP="00D70884">
            <w:pPr>
              <w:spacing w:after="60"/>
              <w:jc w:val="center"/>
              <w:rPr>
                <w:rFonts w:ascii="Times New Roman" w:hAnsi="Times New Roman" w:cs="Times New Roman"/>
                <w:b/>
                <w:sz w:val="20"/>
                <w:szCs w:val="20"/>
              </w:rPr>
            </w:pPr>
            <w:r w:rsidRPr="00651378">
              <w:rPr>
                <w:rFonts w:ascii="Times New Roman" w:hAnsi="Times New Roman" w:cs="Times New Roman"/>
                <w:b/>
                <w:sz w:val="20"/>
                <w:szCs w:val="20"/>
              </w:rPr>
              <w:t>Slapjo dūņu apjoms centrā (1%) t/g</w:t>
            </w:r>
          </w:p>
        </w:tc>
        <w:tc>
          <w:tcPr>
            <w:tcW w:w="1417" w:type="dxa"/>
            <w:vMerge w:val="restart"/>
            <w:vAlign w:val="center"/>
          </w:tcPr>
          <w:p w14:paraId="7DD30F93" w14:textId="77777777" w:rsidR="00EA051D" w:rsidRPr="00651378" w:rsidRDefault="00EA051D" w:rsidP="00D70884">
            <w:pPr>
              <w:spacing w:after="60"/>
              <w:jc w:val="center"/>
              <w:rPr>
                <w:rFonts w:ascii="Times New Roman" w:hAnsi="Times New Roman" w:cs="Times New Roman"/>
                <w:b/>
                <w:sz w:val="20"/>
                <w:szCs w:val="20"/>
              </w:rPr>
            </w:pPr>
            <w:r w:rsidRPr="00651378">
              <w:rPr>
                <w:rFonts w:ascii="Times New Roman" w:hAnsi="Times New Roman" w:cs="Times New Roman"/>
                <w:b/>
                <w:sz w:val="20"/>
                <w:szCs w:val="20"/>
              </w:rPr>
              <w:t>Papildus ievesto slapjo dūņu (1%) apjoma ekvivalents novada centrā  t/gadā</w:t>
            </w:r>
          </w:p>
        </w:tc>
        <w:tc>
          <w:tcPr>
            <w:tcW w:w="1276" w:type="dxa"/>
            <w:vMerge w:val="restart"/>
            <w:vAlign w:val="center"/>
          </w:tcPr>
          <w:p w14:paraId="25098240" w14:textId="77777777" w:rsidR="00EA051D" w:rsidRPr="00651378" w:rsidRDefault="00EA051D" w:rsidP="00D70884">
            <w:pPr>
              <w:spacing w:after="60"/>
              <w:jc w:val="center"/>
              <w:rPr>
                <w:rFonts w:ascii="Times New Roman" w:hAnsi="Times New Roman" w:cs="Times New Roman"/>
                <w:b/>
                <w:sz w:val="20"/>
                <w:szCs w:val="20"/>
              </w:rPr>
            </w:pPr>
            <w:r w:rsidRPr="00651378">
              <w:rPr>
                <w:rFonts w:ascii="Times New Roman" w:hAnsi="Times New Roman" w:cs="Times New Roman"/>
                <w:b/>
                <w:sz w:val="20"/>
                <w:szCs w:val="20"/>
              </w:rPr>
              <w:t>Kopējais slapjo dūņu apjoms centrā (1%) t/gadā</w:t>
            </w:r>
          </w:p>
        </w:tc>
        <w:tc>
          <w:tcPr>
            <w:tcW w:w="1701" w:type="dxa"/>
            <w:vMerge w:val="restart"/>
            <w:vAlign w:val="center"/>
          </w:tcPr>
          <w:p w14:paraId="78D690DC" w14:textId="77777777" w:rsidR="00EA051D" w:rsidRPr="00651378" w:rsidRDefault="00EA051D" w:rsidP="00D70884">
            <w:pPr>
              <w:spacing w:after="60"/>
              <w:jc w:val="center"/>
              <w:rPr>
                <w:rFonts w:ascii="Times New Roman" w:hAnsi="Times New Roman" w:cs="Times New Roman"/>
                <w:b/>
                <w:sz w:val="20"/>
                <w:szCs w:val="20"/>
              </w:rPr>
            </w:pPr>
            <w:r w:rsidRPr="00651378">
              <w:rPr>
                <w:rFonts w:ascii="Times New Roman" w:hAnsi="Times New Roman" w:cs="Times New Roman"/>
                <w:b/>
                <w:sz w:val="20"/>
                <w:szCs w:val="20"/>
              </w:rPr>
              <w:t>Dūņu apstrādes infrastruktūras izveides un uzturēšanas izmaksas 5 biogāzes stacijās EUR/gadā</w:t>
            </w:r>
          </w:p>
        </w:tc>
        <w:tc>
          <w:tcPr>
            <w:tcW w:w="1985" w:type="dxa"/>
            <w:vMerge w:val="restart"/>
            <w:vAlign w:val="center"/>
          </w:tcPr>
          <w:p w14:paraId="5A80504A" w14:textId="77777777" w:rsidR="00EA051D" w:rsidRPr="00651378" w:rsidRDefault="00EA051D" w:rsidP="00D70884">
            <w:pPr>
              <w:spacing w:after="60"/>
              <w:jc w:val="center"/>
              <w:rPr>
                <w:rFonts w:ascii="Times New Roman" w:hAnsi="Times New Roman" w:cs="Times New Roman"/>
                <w:b/>
                <w:sz w:val="20"/>
                <w:szCs w:val="20"/>
              </w:rPr>
            </w:pPr>
            <w:r w:rsidRPr="00651378">
              <w:rPr>
                <w:rFonts w:ascii="Times New Roman" w:hAnsi="Times New Roman" w:cs="Times New Roman"/>
                <w:b/>
                <w:sz w:val="20"/>
                <w:szCs w:val="20"/>
              </w:rPr>
              <w:t>5 dūņu apstrādes centru izveides investīciju izmaksas EUR/gadā</w:t>
            </w:r>
          </w:p>
        </w:tc>
      </w:tr>
      <w:tr w:rsidR="00EA051D" w:rsidRPr="00651378" w14:paraId="6EE1CFE1" w14:textId="77777777" w:rsidTr="00651378">
        <w:trPr>
          <w:trHeight w:val="509"/>
        </w:trPr>
        <w:tc>
          <w:tcPr>
            <w:tcW w:w="1271" w:type="dxa"/>
            <w:vMerge/>
          </w:tcPr>
          <w:p w14:paraId="7DA7E414" w14:textId="77777777" w:rsidR="00EA051D" w:rsidRPr="0065137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6" w:type="dxa"/>
            <w:vMerge/>
          </w:tcPr>
          <w:p w14:paraId="2CE5CA54" w14:textId="77777777" w:rsidR="00EA051D" w:rsidRPr="0065137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417" w:type="dxa"/>
            <w:vMerge/>
          </w:tcPr>
          <w:p w14:paraId="068FC41F" w14:textId="77777777" w:rsidR="00EA051D" w:rsidRPr="0065137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6" w:type="dxa"/>
            <w:vMerge/>
          </w:tcPr>
          <w:p w14:paraId="5463974D" w14:textId="77777777" w:rsidR="00EA051D" w:rsidRPr="0065137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tcPr>
          <w:p w14:paraId="0BB04E1A" w14:textId="77777777" w:rsidR="00EA051D" w:rsidRPr="0065137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985" w:type="dxa"/>
            <w:vMerge/>
          </w:tcPr>
          <w:p w14:paraId="05B0E8DB" w14:textId="77777777" w:rsidR="00EA051D" w:rsidRPr="00651378"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651378" w14:paraId="3A8F7139" w14:textId="77777777" w:rsidTr="00651378">
        <w:trPr>
          <w:trHeight w:val="312"/>
        </w:trPr>
        <w:tc>
          <w:tcPr>
            <w:tcW w:w="1271" w:type="dxa"/>
          </w:tcPr>
          <w:p w14:paraId="67F0DF06" w14:textId="77777777" w:rsidR="00EA051D" w:rsidRPr="00651378" w:rsidRDefault="00EA051D" w:rsidP="00D70884">
            <w:pPr>
              <w:spacing w:after="60"/>
              <w:rPr>
                <w:rFonts w:ascii="Times New Roman" w:hAnsi="Times New Roman" w:cs="Times New Roman"/>
                <w:sz w:val="18"/>
                <w:szCs w:val="18"/>
              </w:rPr>
            </w:pPr>
            <w:r w:rsidRPr="00651378">
              <w:rPr>
                <w:rFonts w:ascii="Times New Roman" w:hAnsi="Times New Roman" w:cs="Times New Roman"/>
                <w:sz w:val="18"/>
                <w:szCs w:val="18"/>
              </w:rPr>
              <w:t>Daugavpils NAI</w:t>
            </w:r>
          </w:p>
        </w:tc>
        <w:tc>
          <w:tcPr>
            <w:tcW w:w="1276" w:type="dxa"/>
            <w:vAlign w:val="center"/>
          </w:tcPr>
          <w:p w14:paraId="1EA8E5CA"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151 893</w:t>
            </w:r>
          </w:p>
        </w:tc>
        <w:tc>
          <w:tcPr>
            <w:tcW w:w="1417" w:type="dxa"/>
            <w:vAlign w:val="center"/>
          </w:tcPr>
          <w:p w14:paraId="50842C7B"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59 255</w:t>
            </w:r>
          </w:p>
        </w:tc>
        <w:tc>
          <w:tcPr>
            <w:tcW w:w="1276" w:type="dxa"/>
            <w:vAlign w:val="center"/>
          </w:tcPr>
          <w:p w14:paraId="79AB4A10" w14:textId="77777777" w:rsidR="00EA051D" w:rsidRPr="00651378" w:rsidRDefault="00EA051D" w:rsidP="00D70884">
            <w:pPr>
              <w:spacing w:after="60"/>
              <w:jc w:val="center"/>
              <w:rPr>
                <w:rFonts w:ascii="Times New Roman" w:hAnsi="Times New Roman" w:cs="Times New Roman"/>
                <w:color w:val="000000"/>
                <w:sz w:val="18"/>
                <w:szCs w:val="18"/>
              </w:rPr>
            </w:pPr>
            <w:r w:rsidRPr="00651378">
              <w:rPr>
                <w:rFonts w:ascii="Times New Roman" w:hAnsi="Times New Roman" w:cs="Times New Roman"/>
                <w:color w:val="000000"/>
                <w:sz w:val="18"/>
                <w:szCs w:val="18"/>
              </w:rPr>
              <w:t>211 148</w:t>
            </w:r>
          </w:p>
        </w:tc>
        <w:tc>
          <w:tcPr>
            <w:tcW w:w="1701" w:type="dxa"/>
            <w:shd w:val="clear" w:color="auto" w:fill="FDEADA"/>
            <w:vAlign w:val="center"/>
          </w:tcPr>
          <w:p w14:paraId="3B4550C8"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1 811 808</w:t>
            </w:r>
          </w:p>
        </w:tc>
        <w:tc>
          <w:tcPr>
            <w:tcW w:w="1985" w:type="dxa"/>
            <w:shd w:val="clear" w:color="auto" w:fill="FDEADA"/>
            <w:vAlign w:val="center"/>
          </w:tcPr>
          <w:p w14:paraId="6D38E3FE"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6 755 575</w:t>
            </w:r>
          </w:p>
        </w:tc>
      </w:tr>
      <w:tr w:rsidR="00EA051D" w:rsidRPr="00651378" w14:paraId="1A7ED290" w14:textId="77777777" w:rsidTr="00651378">
        <w:trPr>
          <w:trHeight w:val="312"/>
        </w:trPr>
        <w:tc>
          <w:tcPr>
            <w:tcW w:w="1271" w:type="dxa"/>
          </w:tcPr>
          <w:p w14:paraId="2BF76B8E" w14:textId="77777777" w:rsidR="00EA051D" w:rsidRPr="00651378" w:rsidRDefault="00EA051D" w:rsidP="00D70884">
            <w:pPr>
              <w:spacing w:after="60"/>
              <w:rPr>
                <w:rFonts w:ascii="Times New Roman" w:hAnsi="Times New Roman" w:cs="Times New Roman"/>
                <w:sz w:val="18"/>
                <w:szCs w:val="18"/>
              </w:rPr>
            </w:pPr>
            <w:r w:rsidRPr="00651378">
              <w:rPr>
                <w:rFonts w:ascii="Times New Roman" w:hAnsi="Times New Roman" w:cs="Times New Roman"/>
                <w:sz w:val="18"/>
                <w:szCs w:val="18"/>
              </w:rPr>
              <w:t>Jelgavas NAI</w:t>
            </w:r>
          </w:p>
        </w:tc>
        <w:tc>
          <w:tcPr>
            <w:tcW w:w="1276" w:type="dxa"/>
            <w:vAlign w:val="center"/>
          </w:tcPr>
          <w:p w14:paraId="4DE5E3E0"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120 608</w:t>
            </w:r>
          </w:p>
        </w:tc>
        <w:tc>
          <w:tcPr>
            <w:tcW w:w="1417" w:type="dxa"/>
            <w:vAlign w:val="center"/>
          </w:tcPr>
          <w:p w14:paraId="0763F88C"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364 706</w:t>
            </w:r>
          </w:p>
        </w:tc>
        <w:tc>
          <w:tcPr>
            <w:tcW w:w="1276" w:type="dxa"/>
            <w:vAlign w:val="center"/>
          </w:tcPr>
          <w:p w14:paraId="2142C31E" w14:textId="77777777" w:rsidR="00EA051D" w:rsidRPr="00651378" w:rsidRDefault="00EA051D" w:rsidP="00D70884">
            <w:pPr>
              <w:spacing w:after="60"/>
              <w:jc w:val="center"/>
              <w:rPr>
                <w:rFonts w:ascii="Times New Roman" w:hAnsi="Times New Roman" w:cs="Times New Roman"/>
                <w:color w:val="000000"/>
                <w:sz w:val="18"/>
                <w:szCs w:val="18"/>
              </w:rPr>
            </w:pPr>
            <w:r w:rsidRPr="00651378">
              <w:rPr>
                <w:rFonts w:ascii="Times New Roman" w:hAnsi="Times New Roman" w:cs="Times New Roman"/>
                <w:color w:val="000000"/>
                <w:sz w:val="18"/>
                <w:szCs w:val="18"/>
              </w:rPr>
              <w:t>485 314</w:t>
            </w:r>
          </w:p>
        </w:tc>
        <w:tc>
          <w:tcPr>
            <w:tcW w:w="1701" w:type="dxa"/>
            <w:shd w:val="clear" w:color="auto" w:fill="FDEADA"/>
            <w:vAlign w:val="center"/>
          </w:tcPr>
          <w:p w14:paraId="1944087A"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3 101 635</w:t>
            </w:r>
          </w:p>
        </w:tc>
        <w:tc>
          <w:tcPr>
            <w:tcW w:w="1985" w:type="dxa"/>
            <w:shd w:val="clear" w:color="auto" w:fill="FDEADA"/>
            <w:vAlign w:val="center"/>
          </w:tcPr>
          <w:p w14:paraId="6205FB19"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10 941 297</w:t>
            </w:r>
          </w:p>
        </w:tc>
      </w:tr>
      <w:tr w:rsidR="00EA051D" w:rsidRPr="00651378" w14:paraId="0ABA52ED" w14:textId="77777777" w:rsidTr="00651378">
        <w:trPr>
          <w:trHeight w:val="312"/>
        </w:trPr>
        <w:tc>
          <w:tcPr>
            <w:tcW w:w="1271" w:type="dxa"/>
          </w:tcPr>
          <w:p w14:paraId="0E60A80C" w14:textId="77777777" w:rsidR="00EA051D" w:rsidRPr="00651378" w:rsidRDefault="00EA051D" w:rsidP="00D70884">
            <w:pPr>
              <w:spacing w:after="60"/>
              <w:rPr>
                <w:rFonts w:ascii="Times New Roman" w:hAnsi="Times New Roman" w:cs="Times New Roman"/>
                <w:sz w:val="18"/>
                <w:szCs w:val="18"/>
              </w:rPr>
            </w:pPr>
            <w:r w:rsidRPr="00651378">
              <w:rPr>
                <w:rFonts w:ascii="Times New Roman" w:hAnsi="Times New Roman" w:cs="Times New Roman"/>
                <w:sz w:val="18"/>
                <w:szCs w:val="18"/>
              </w:rPr>
              <w:t>Rēzeknes NAI</w:t>
            </w:r>
          </w:p>
        </w:tc>
        <w:tc>
          <w:tcPr>
            <w:tcW w:w="1276" w:type="dxa"/>
            <w:vAlign w:val="center"/>
          </w:tcPr>
          <w:p w14:paraId="2D1B7DA5"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92 424</w:t>
            </w:r>
          </w:p>
        </w:tc>
        <w:tc>
          <w:tcPr>
            <w:tcW w:w="1417" w:type="dxa"/>
            <w:vAlign w:val="center"/>
          </w:tcPr>
          <w:p w14:paraId="12B00001"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44 357</w:t>
            </w:r>
          </w:p>
        </w:tc>
        <w:tc>
          <w:tcPr>
            <w:tcW w:w="1276" w:type="dxa"/>
            <w:vAlign w:val="center"/>
          </w:tcPr>
          <w:p w14:paraId="04FCF0C5" w14:textId="77777777" w:rsidR="00EA051D" w:rsidRPr="00651378" w:rsidRDefault="00EA051D" w:rsidP="00D70884">
            <w:pPr>
              <w:spacing w:after="60"/>
              <w:jc w:val="center"/>
              <w:rPr>
                <w:rFonts w:ascii="Times New Roman" w:hAnsi="Times New Roman" w:cs="Times New Roman"/>
                <w:color w:val="000000"/>
                <w:sz w:val="18"/>
                <w:szCs w:val="18"/>
              </w:rPr>
            </w:pPr>
            <w:r w:rsidRPr="00651378">
              <w:rPr>
                <w:rFonts w:ascii="Times New Roman" w:hAnsi="Times New Roman" w:cs="Times New Roman"/>
                <w:color w:val="000000"/>
                <w:sz w:val="18"/>
                <w:szCs w:val="18"/>
              </w:rPr>
              <w:t>136 781</w:t>
            </w:r>
          </w:p>
        </w:tc>
        <w:tc>
          <w:tcPr>
            <w:tcW w:w="1701" w:type="dxa"/>
            <w:shd w:val="clear" w:color="auto" w:fill="FDEADA"/>
            <w:vAlign w:val="center"/>
          </w:tcPr>
          <w:p w14:paraId="76AD7733"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1 505 791</w:t>
            </w:r>
          </w:p>
        </w:tc>
        <w:tc>
          <w:tcPr>
            <w:tcW w:w="1985" w:type="dxa"/>
            <w:shd w:val="clear" w:color="auto" w:fill="FDEADA"/>
            <w:vAlign w:val="center"/>
          </w:tcPr>
          <w:p w14:paraId="77C2E439"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6 119 774</w:t>
            </w:r>
          </w:p>
        </w:tc>
      </w:tr>
      <w:tr w:rsidR="00EA051D" w:rsidRPr="00651378" w14:paraId="154C89FB" w14:textId="77777777" w:rsidTr="00651378">
        <w:trPr>
          <w:trHeight w:val="312"/>
        </w:trPr>
        <w:tc>
          <w:tcPr>
            <w:tcW w:w="1271" w:type="dxa"/>
          </w:tcPr>
          <w:p w14:paraId="290BF716" w14:textId="77777777" w:rsidR="00EA051D" w:rsidRPr="00651378" w:rsidRDefault="00EA051D" w:rsidP="00D70884">
            <w:pPr>
              <w:spacing w:after="60"/>
              <w:rPr>
                <w:rFonts w:ascii="Times New Roman" w:hAnsi="Times New Roman" w:cs="Times New Roman"/>
                <w:sz w:val="18"/>
                <w:szCs w:val="18"/>
              </w:rPr>
            </w:pPr>
            <w:r w:rsidRPr="00651378">
              <w:rPr>
                <w:rFonts w:ascii="Times New Roman" w:hAnsi="Times New Roman" w:cs="Times New Roman"/>
                <w:sz w:val="18"/>
                <w:szCs w:val="18"/>
              </w:rPr>
              <w:t>Valmieras NAI</w:t>
            </w:r>
          </w:p>
        </w:tc>
        <w:tc>
          <w:tcPr>
            <w:tcW w:w="1276" w:type="dxa"/>
            <w:vAlign w:val="center"/>
          </w:tcPr>
          <w:p w14:paraId="4B12C82E"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43 527</w:t>
            </w:r>
          </w:p>
        </w:tc>
        <w:tc>
          <w:tcPr>
            <w:tcW w:w="1417" w:type="dxa"/>
            <w:vAlign w:val="center"/>
          </w:tcPr>
          <w:p w14:paraId="2A96679A"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93 615</w:t>
            </w:r>
          </w:p>
        </w:tc>
        <w:tc>
          <w:tcPr>
            <w:tcW w:w="1276" w:type="dxa"/>
            <w:vAlign w:val="center"/>
          </w:tcPr>
          <w:p w14:paraId="67113F15" w14:textId="77777777" w:rsidR="00EA051D" w:rsidRPr="00651378" w:rsidRDefault="00EA051D" w:rsidP="00D70884">
            <w:pPr>
              <w:spacing w:after="60"/>
              <w:jc w:val="center"/>
              <w:rPr>
                <w:rFonts w:ascii="Times New Roman" w:hAnsi="Times New Roman" w:cs="Times New Roman"/>
                <w:color w:val="000000"/>
                <w:sz w:val="18"/>
                <w:szCs w:val="18"/>
              </w:rPr>
            </w:pPr>
            <w:r w:rsidRPr="00651378">
              <w:rPr>
                <w:rFonts w:ascii="Times New Roman" w:hAnsi="Times New Roman" w:cs="Times New Roman"/>
                <w:color w:val="000000"/>
                <w:sz w:val="18"/>
                <w:szCs w:val="18"/>
              </w:rPr>
              <w:t>137 142</w:t>
            </w:r>
          </w:p>
        </w:tc>
        <w:tc>
          <w:tcPr>
            <w:tcW w:w="1701" w:type="dxa"/>
            <w:shd w:val="clear" w:color="auto" w:fill="FDEADA"/>
            <w:vAlign w:val="center"/>
          </w:tcPr>
          <w:p w14:paraId="1BADF50D"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1 476 118</w:t>
            </w:r>
          </w:p>
        </w:tc>
        <w:tc>
          <w:tcPr>
            <w:tcW w:w="1985" w:type="dxa"/>
            <w:shd w:val="clear" w:color="auto" w:fill="FDEADA"/>
            <w:vAlign w:val="center"/>
          </w:tcPr>
          <w:p w14:paraId="7B9EC731"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5 920 452</w:t>
            </w:r>
          </w:p>
        </w:tc>
      </w:tr>
      <w:tr w:rsidR="00EA051D" w:rsidRPr="00651378" w14:paraId="75A7FF53" w14:textId="77777777" w:rsidTr="00651378">
        <w:trPr>
          <w:trHeight w:val="312"/>
        </w:trPr>
        <w:tc>
          <w:tcPr>
            <w:tcW w:w="1271" w:type="dxa"/>
          </w:tcPr>
          <w:p w14:paraId="34561A4E" w14:textId="77777777" w:rsidR="00EA051D" w:rsidRPr="00651378" w:rsidRDefault="00EA051D" w:rsidP="00D70884">
            <w:pPr>
              <w:spacing w:after="60"/>
              <w:rPr>
                <w:rFonts w:ascii="Times New Roman" w:hAnsi="Times New Roman" w:cs="Times New Roman"/>
                <w:sz w:val="18"/>
                <w:szCs w:val="18"/>
              </w:rPr>
            </w:pPr>
            <w:r w:rsidRPr="00651378">
              <w:rPr>
                <w:rFonts w:ascii="Times New Roman" w:hAnsi="Times New Roman" w:cs="Times New Roman"/>
                <w:sz w:val="18"/>
                <w:szCs w:val="18"/>
              </w:rPr>
              <w:t>Ventspils NAI</w:t>
            </w:r>
          </w:p>
        </w:tc>
        <w:tc>
          <w:tcPr>
            <w:tcW w:w="1276" w:type="dxa"/>
            <w:vAlign w:val="center"/>
          </w:tcPr>
          <w:p w14:paraId="663BFE0C"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93 630</w:t>
            </w:r>
          </w:p>
        </w:tc>
        <w:tc>
          <w:tcPr>
            <w:tcW w:w="1417" w:type="dxa"/>
            <w:vAlign w:val="center"/>
          </w:tcPr>
          <w:p w14:paraId="268DF8CA"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color w:val="000000"/>
                <w:sz w:val="18"/>
                <w:szCs w:val="18"/>
              </w:rPr>
              <w:t>123 933</w:t>
            </w:r>
          </w:p>
        </w:tc>
        <w:tc>
          <w:tcPr>
            <w:tcW w:w="1276" w:type="dxa"/>
            <w:vAlign w:val="center"/>
          </w:tcPr>
          <w:p w14:paraId="2F8E1C79" w14:textId="77777777" w:rsidR="00EA051D" w:rsidRPr="00651378" w:rsidRDefault="00EA051D" w:rsidP="00D70884">
            <w:pPr>
              <w:spacing w:after="60"/>
              <w:jc w:val="center"/>
              <w:rPr>
                <w:rFonts w:ascii="Times New Roman" w:hAnsi="Times New Roman" w:cs="Times New Roman"/>
                <w:color w:val="000000"/>
                <w:sz w:val="18"/>
                <w:szCs w:val="18"/>
              </w:rPr>
            </w:pPr>
            <w:r w:rsidRPr="00651378">
              <w:rPr>
                <w:rFonts w:ascii="Times New Roman" w:hAnsi="Times New Roman" w:cs="Times New Roman"/>
                <w:color w:val="000000"/>
                <w:sz w:val="18"/>
                <w:szCs w:val="18"/>
              </w:rPr>
              <w:t>217 563</w:t>
            </w:r>
          </w:p>
        </w:tc>
        <w:tc>
          <w:tcPr>
            <w:tcW w:w="1701" w:type="dxa"/>
            <w:shd w:val="clear" w:color="auto" w:fill="FDEADA"/>
            <w:vAlign w:val="center"/>
          </w:tcPr>
          <w:p w14:paraId="79E7258C"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1 624 420</w:t>
            </w:r>
          </w:p>
        </w:tc>
        <w:tc>
          <w:tcPr>
            <w:tcW w:w="1985" w:type="dxa"/>
            <w:shd w:val="clear" w:color="auto" w:fill="FDEADA"/>
            <w:vAlign w:val="center"/>
          </w:tcPr>
          <w:p w14:paraId="339852A9" w14:textId="77777777" w:rsidR="00EA051D" w:rsidRPr="00651378" w:rsidRDefault="00EA051D" w:rsidP="00D70884">
            <w:pPr>
              <w:spacing w:after="60"/>
              <w:jc w:val="center"/>
              <w:rPr>
                <w:rFonts w:ascii="Times New Roman" w:hAnsi="Times New Roman" w:cs="Times New Roman"/>
                <w:sz w:val="18"/>
                <w:szCs w:val="18"/>
              </w:rPr>
            </w:pPr>
            <w:r w:rsidRPr="00651378">
              <w:rPr>
                <w:rFonts w:ascii="Times New Roman" w:hAnsi="Times New Roman" w:cs="Times New Roman"/>
                <w:sz w:val="18"/>
                <w:szCs w:val="18"/>
              </w:rPr>
              <w:t>6 906 177</w:t>
            </w:r>
          </w:p>
        </w:tc>
      </w:tr>
      <w:tr w:rsidR="00EA051D" w:rsidRPr="00651378" w14:paraId="4B6C72E9" w14:textId="77777777" w:rsidTr="00651378">
        <w:trPr>
          <w:trHeight w:val="312"/>
        </w:trPr>
        <w:tc>
          <w:tcPr>
            <w:tcW w:w="1271" w:type="dxa"/>
          </w:tcPr>
          <w:p w14:paraId="48FAFC80" w14:textId="77777777" w:rsidR="00EA051D" w:rsidRPr="00651378" w:rsidRDefault="00EA051D" w:rsidP="00D70884">
            <w:pPr>
              <w:spacing w:after="60"/>
              <w:rPr>
                <w:rFonts w:ascii="Times New Roman" w:hAnsi="Times New Roman" w:cs="Times New Roman"/>
                <w:b/>
                <w:sz w:val="20"/>
                <w:szCs w:val="20"/>
              </w:rPr>
            </w:pPr>
            <w:r w:rsidRPr="00651378">
              <w:rPr>
                <w:rFonts w:ascii="Times New Roman" w:hAnsi="Times New Roman" w:cs="Times New Roman"/>
                <w:b/>
                <w:sz w:val="20"/>
                <w:szCs w:val="20"/>
              </w:rPr>
              <w:t>KOPĀ</w:t>
            </w:r>
          </w:p>
        </w:tc>
        <w:tc>
          <w:tcPr>
            <w:tcW w:w="1276" w:type="dxa"/>
            <w:vAlign w:val="center"/>
          </w:tcPr>
          <w:p w14:paraId="5FB5A353" w14:textId="77777777" w:rsidR="00EA051D" w:rsidRPr="00651378" w:rsidRDefault="00EA051D" w:rsidP="00D70884">
            <w:pPr>
              <w:spacing w:after="60"/>
              <w:jc w:val="center"/>
              <w:rPr>
                <w:rFonts w:ascii="Times New Roman" w:hAnsi="Times New Roman" w:cs="Times New Roman"/>
                <w:sz w:val="18"/>
                <w:szCs w:val="18"/>
              </w:rPr>
            </w:pPr>
          </w:p>
        </w:tc>
        <w:tc>
          <w:tcPr>
            <w:tcW w:w="1417" w:type="dxa"/>
            <w:vAlign w:val="center"/>
          </w:tcPr>
          <w:p w14:paraId="56478569" w14:textId="77777777" w:rsidR="00EA051D" w:rsidRPr="00651378" w:rsidRDefault="00EA051D" w:rsidP="00D70884">
            <w:pPr>
              <w:spacing w:after="60"/>
              <w:jc w:val="center"/>
              <w:rPr>
                <w:rFonts w:ascii="Times New Roman" w:hAnsi="Times New Roman" w:cs="Times New Roman"/>
                <w:sz w:val="18"/>
                <w:szCs w:val="18"/>
              </w:rPr>
            </w:pPr>
          </w:p>
        </w:tc>
        <w:tc>
          <w:tcPr>
            <w:tcW w:w="1276" w:type="dxa"/>
            <w:vAlign w:val="center"/>
          </w:tcPr>
          <w:p w14:paraId="10D5FA51" w14:textId="77777777" w:rsidR="00EA051D" w:rsidRPr="00651378" w:rsidRDefault="00EA051D" w:rsidP="00D70884">
            <w:pPr>
              <w:spacing w:after="60"/>
              <w:jc w:val="center"/>
              <w:rPr>
                <w:rFonts w:ascii="Times New Roman" w:hAnsi="Times New Roman" w:cs="Times New Roman"/>
                <w:b/>
                <w:color w:val="000000"/>
                <w:sz w:val="20"/>
                <w:szCs w:val="20"/>
              </w:rPr>
            </w:pPr>
            <w:r w:rsidRPr="00651378">
              <w:rPr>
                <w:rFonts w:ascii="Times New Roman" w:hAnsi="Times New Roman" w:cs="Times New Roman"/>
                <w:b/>
                <w:color w:val="000000"/>
                <w:sz w:val="20"/>
                <w:szCs w:val="20"/>
              </w:rPr>
              <w:t>1 187 947</w:t>
            </w:r>
          </w:p>
        </w:tc>
        <w:tc>
          <w:tcPr>
            <w:tcW w:w="1701" w:type="dxa"/>
            <w:shd w:val="clear" w:color="auto" w:fill="FDEADA"/>
            <w:vAlign w:val="center"/>
          </w:tcPr>
          <w:p w14:paraId="7BF0C1D9" w14:textId="77777777" w:rsidR="00EA051D" w:rsidRPr="00651378" w:rsidRDefault="00EA051D" w:rsidP="00D70884">
            <w:pPr>
              <w:spacing w:after="60"/>
              <w:jc w:val="center"/>
              <w:rPr>
                <w:rFonts w:ascii="Times New Roman" w:hAnsi="Times New Roman" w:cs="Times New Roman"/>
                <w:b/>
                <w:color w:val="FF0000"/>
              </w:rPr>
            </w:pPr>
            <w:r w:rsidRPr="00651378">
              <w:rPr>
                <w:rFonts w:ascii="Times New Roman" w:hAnsi="Times New Roman" w:cs="Times New Roman"/>
                <w:b/>
                <w:color w:val="FF0000"/>
                <w:sz w:val="20"/>
                <w:szCs w:val="20"/>
              </w:rPr>
              <w:t>9 519 773</w:t>
            </w:r>
          </w:p>
        </w:tc>
        <w:tc>
          <w:tcPr>
            <w:tcW w:w="1985" w:type="dxa"/>
            <w:shd w:val="clear" w:color="auto" w:fill="FDEADA"/>
            <w:vAlign w:val="center"/>
          </w:tcPr>
          <w:p w14:paraId="5E49AC86" w14:textId="77777777" w:rsidR="00EA051D" w:rsidRPr="00651378" w:rsidRDefault="00EA051D" w:rsidP="00D70884">
            <w:pPr>
              <w:spacing w:after="60"/>
              <w:jc w:val="center"/>
              <w:rPr>
                <w:rFonts w:ascii="Times New Roman" w:hAnsi="Times New Roman" w:cs="Times New Roman"/>
                <w:b/>
                <w:color w:val="FF0000"/>
              </w:rPr>
            </w:pPr>
            <w:r w:rsidRPr="00651378">
              <w:rPr>
                <w:rFonts w:ascii="Times New Roman" w:hAnsi="Times New Roman" w:cs="Times New Roman"/>
                <w:b/>
                <w:color w:val="FF0000"/>
                <w:sz w:val="20"/>
                <w:szCs w:val="20"/>
              </w:rPr>
              <w:t>36 643 276</w:t>
            </w:r>
          </w:p>
        </w:tc>
      </w:tr>
    </w:tbl>
    <w:p w14:paraId="1A813382" w14:textId="77777777" w:rsidR="00EA051D" w:rsidRPr="00651378" w:rsidRDefault="00EA051D" w:rsidP="000E44F6">
      <w:pPr>
        <w:spacing w:after="0"/>
        <w:ind w:firstLine="720"/>
        <w:rPr>
          <w:rFonts w:ascii="Times New Roman" w:hAnsi="Times New Roman" w:cs="Times New Roman"/>
        </w:rPr>
      </w:pPr>
      <w:r w:rsidRPr="00651378">
        <w:rPr>
          <w:rFonts w:ascii="Times New Roman" w:hAnsi="Times New Roman" w:cs="Times New Roman"/>
        </w:rPr>
        <w:t>Apstrādājot notekūdeņu dūņas 5 biogāzes stacijās un tās pēc tam žāvējot ar mērķi tās tālāk sadedzināt, kopējās ikgadējās notekūdeņu dūņu pārstrādes izmaksas būtu aptuveni 9,52 milj. EUR gadā, savukārt kopējās nepieciešamās kapitālās investīcijas sistēmas izveidošanai ir aptuveni 36,6 milj. EUR.</w:t>
      </w:r>
    </w:p>
    <w:p w14:paraId="69A1B40D" w14:textId="77777777" w:rsidR="00EA051D" w:rsidRPr="00175DD0" w:rsidRDefault="00EA051D" w:rsidP="000E44F6">
      <w:pPr>
        <w:spacing w:after="0"/>
        <w:rPr>
          <w:rFonts w:cstheme="minorHAnsi"/>
        </w:rPr>
      </w:pPr>
    </w:p>
    <w:p w14:paraId="7B854EE8" w14:textId="77777777" w:rsidR="00EA051D" w:rsidRPr="0042382E" w:rsidRDefault="00EA051D" w:rsidP="000E44F6">
      <w:pPr>
        <w:spacing w:after="0"/>
        <w:jc w:val="center"/>
        <w:rPr>
          <w:rFonts w:ascii="Times New Roman" w:hAnsi="Times New Roman" w:cs="Times New Roman"/>
          <w:u w:val="single"/>
        </w:rPr>
      </w:pPr>
      <w:bookmarkStart w:id="119" w:name="_Toc82277653"/>
      <w:r w:rsidRPr="0042382E">
        <w:rPr>
          <w:rFonts w:ascii="Times New Roman" w:hAnsi="Times New Roman" w:cs="Times New Roman"/>
          <w:u w:val="single"/>
        </w:rPr>
        <w:t>Notekūdeņu dūņu utilizācijas izmaksu salīdzinājums dažādu centralizācijas alternatīvu gadījumā</w:t>
      </w:r>
      <w:bookmarkEnd w:id="119"/>
    </w:p>
    <w:p w14:paraId="1C867046" w14:textId="77777777" w:rsidR="000E44F6" w:rsidRDefault="000E44F6" w:rsidP="000E44F6">
      <w:pPr>
        <w:spacing w:after="0"/>
        <w:rPr>
          <w:rFonts w:cstheme="minorHAnsi"/>
        </w:rPr>
      </w:pPr>
    </w:p>
    <w:p w14:paraId="4431019C" w14:textId="138626AD" w:rsidR="00EA051D" w:rsidRPr="000E44F6" w:rsidRDefault="00EA051D" w:rsidP="000E44F6">
      <w:pPr>
        <w:spacing w:after="0"/>
        <w:ind w:firstLine="720"/>
        <w:rPr>
          <w:rFonts w:ascii="Times New Roman" w:hAnsi="Times New Roman" w:cs="Times New Roman"/>
        </w:rPr>
      </w:pPr>
      <w:r w:rsidRPr="000E44F6">
        <w:rPr>
          <w:rFonts w:ascii="Times New Roman" w:hAnsi="Times New Roman" w:cs="Times New Roman"/>
        </w:rPr>
        <w:t xml:space="preserve">Visu dūņu centralizācijas risinājumu gadījumā plānotais notekūdeņu dūņu gala utilizācijas risinājums ir pārstrādātu dūņu vai dūņu komposta iestrāde augsnē, izņemot D4.2. apakšalternatīvu, kas pieļauj sagatavoto dūņu masas līdzsadedzināšanu siltuma ieguvei un D4.3. apakšalternatīvu, kur gala risinājums ir </w:t>
      </w:r>
      <w:sdt>
        <w:sdtPr>
          <w:rPr>
            <w:rFonts w:ascii="Times New Roman" w:hAnsi="Times New Roman" w:cs="Times New Roman"/>
          </w:rPr>
          <w:tag w:val="goog_rdk_88"/>
          <w:id w:val="-43606777"/>
        </w:sdtPr>
        <w:sdtContent/>
      </w:sdt>
      <w:r w:rsidRPr="000E44F6">
        <w:rPr>
          <w:rFonts w:ascii="Times New Roman" w:hAnsi="Times New Roman" w:cs="Times New Roman"/>
        </w:rPr>
        <w:t>visu dūņu transportēšana sadedzināšanai  cementa rūpnīcā.</w:t>
      </w:r>
    </w:p>
    <w:p w14:paraId="271783BB" w14:textId="77777777" w:rsidR="00EA051D" w:rsidRPr="000E44F6" w:rsidRDefault="00EA051D" w:rsidP="000E44F6">
      <w:pPr>
        <w:ind w:firstLine="720"/>
        <w:rPr>
          <w:rFonts w:ascii="Times New Roman" w:hAnsi="Times New Roman" w:cs="Times New Roman"/>
        </w:rPr>
      </w:pPr>
      <w:r w:rsidRPr="000E44F6">
        <w:rPr>
          <w:rFonts w:ascii="Times New Roman" w:hAnsi="Times New Roman" w:cs="Times New Roman"/>
        </w:rPr>
        <w:t>Lai aprēķinātu nepieciešamo lauksaimniecības zemju platību dūņu iestrādei, sākotnēji ir aprēķināts pārstrādātu notekūdeņu dūņu izkliedes apjoms lauksaimniecības zemēs. Izkliedes apjoms ir aprēķināts ņemot vērā MK noteikumos Nr.362 (10. un 11.pielikums) noteiktos ierobežojumus un vidējo notekūdeņu dūņu sastāvu Latvijā</w:t>
      </w:r>
      <w:r w:rsidRPr="000E44F6">
        <w:rPr>
          <w:rStyle w:val="FootnoteReference"/>
          <w:rFonts w:ascii="Times New Roman" w:hAnsi="Times New Roman" w:cs="Times New Roman"/>
        </w:rPr>
        <w:footnoteReference w:id="34"/>
      </w:r>
      <w:r w:rsidRPr="000E44F6">
        <w:rPr>
          <w:rFonts w:ascii="Times New Roman" w:hAnsi="Times New Roman" w:cs="Times New Roman"/>
        </w:rPr>
        <w:t xml:space="preserve">. Pārstrādātu notekūdeņu dūņu (ar sausnes apjomu 30% ) aprēķinātais vidējais izkliedes apjoms lauksaimniecībā izmantojamās zemēs ir 3 t/ha. Šāds dūņu izkliedes apjoms ļauj tās izkliedēt katru gadu vienā un tajā pašā lauksaimniecības zemē, jo netiek sasniegtas maksimālās dažādu elementu koncentrācijas robežas augsnē. Ņemot vērā pārstrādātu </w:t>
      </w:r>
      <w:r w:rsidRPr="000E44F6">
        <w:rPr>
          <w:rFonts w:ascii="Times New Roman" w:hAnsi="Times New Roman" w:cs="Times New Roman"/>
        </w:rPr>
        <w:lastRenderedPageBreak/>
        <w:t>notekūdeņu dūņu daudzumu katrā dūņu pārstrādes centrā, ir aprēķināts minimāli nepieciešamās lauksaimniecības zemju platības. Tomēr, ņemot vērā dažādus iespējamos, neparedzamos un detalizēti nenovērtējamos riskus (dabīgais smago metālu masas koncentrācijas limits augsnē, lauksaimniecības zemju augseka, sadarbības iespējas ar lauksaimniekiem), tiek pieņemts, ka visu dūņu utilizācijai būs nepieciešama par 50% lielāka teritorija, nekā sākotnēji aprēķināts. Šādi ir aprēķināts lauksaimniecībā izmantojamo zemju apjoms (ha), kas nepieciešams pārstrādāto notekūdeņu dūņu utilizācijai pie dažāda dūņu centru skaita.</w:t>
      </w:r>
    </w:p>
    <w:p w14:paraId="4C257067" w14:textId="528A7257" w:rsidR="00EA051D" w:rsidRPr="000E44F6" w:rsidRDefault="00EA051D" w:rsidP="000E44F6">
      <w:pPr>
        <w:ind w:firstLine="720"/>
        <w:rPr>
          <w:rFonts w:ascii="Times New Roman" w:hAnsi="Times New Roman" w:cs="Times New Roman"/>
        </w:rPr>
      </w:pPr>
      <w:r w:rsidRPr="000E44F6">
        <w:rPr>
          <w:rFonts w:ascii="Times New Roman" w:hAnsi="Times New Roman" w:cs="Times New Roman"/>
        </w:rPr>
        <w:t xml:space="preserve">Ņemot vērā, ka </w:t>
      </w:r>
      <w:sdt>
        <w:sdtPr>
          <w:rPr>
            <w:rFonts w:ascii="Times New Roman" w:hAnsi="Times New Roman" w:cs="Times New Roman"/>
          </w:rPr>
          <w:tag w:val="goog_rdk_89"/>
          <w:id w:val="1734728704"/>
        </w:sdtPr>
        <w:sdtContent/>
      </w:sdt>
      <w:r w:rsidRPr="000E44F6">
        <w:rPr>
          <w:rFonts w:ascii="Times New Roman" w:hAnsi="Times New Roman" w:cs="Times New Roman"/>
        </w:rPr>
        <w:t>lielākās NAI atrodas tuvu lielām, blīvi apdzīvotām vietām, kuru tuvumā visbiežāk ir ierobežota lauksaimniecības zemju pieejamība, tiek pieņemts, ka 10 km rādiusā ap NAI nav piemērotu lauksaimniecības zemju pārstrādātu notekūdeņu dūņu utilizācijai, savukārt 15 km rādiusā būtu iespējams rast aptuveni 50 ha piemērotu lauksaimniecības zemju. Ņemot vērā telpiskos aprēķinus specializētā datorprogrammā, izmantojot apļveida buferzonas principus, tiek aprēķināta sekojoša lauksaimniecības zemju platību pie</w:t>
      </w:r>
      <w:r w:rsidR="00674A2E">
        <w:rPr>
          <w:rFonts w:ascii="Times New Roman" w:hAnsi="Times New Roman" w:cs="Times New Roman"/>
        </w:rPr>
        <w:t>e</w:t>
      </w:r>
      <w:r w:rsidRPr="000E44F6">
        <w:rPr>
          <w:rFonts w:ascii="Times New Roman" w:hAnsi="Times New Roman" w:cs="Times New Roman"/>
        </w:rPr>
        <w:t>jamība noteiktā attālumā no NAI:</w:t>
      </w:r>
    </w:p>
    <w:p w14:paraId="4E26E913" w14:textId="059CEFC9" w:rsidR="000E44F6" w:rsidRPr="000E44F6" w:rsidRDefault="00996138" w:rsidP="000E44F6">
      <w:pPr>
        <w:pBdr>
          <w:top w:val="nil"/>
          <w:left w:val="nil"/>
          <w:bottom w:val="nil"/>
          <w:right w:val="nil"/>
          <w:between w:val="nil"/>
        </w:pBdr>
        <w:suppressAutoHyphens/>
        <w:autoSpaceDN w:val="0"/>
        <w:spacing w:after="0"/>
        <w:jc w:val="right"/>
        <w:textAlignment w:val="baseline"/>
        <w:rPr>
          <w:rFonts w:ascii="Times New Roman" w:hAnsi="Times New Roman" w:cs="Times New Roman"/>
          <w:bCs/>
          <w:color w:val="000000"/>
          <w:szCs w:val="24"/>
        </w:rPr>
      </w:pPr>
      <w:r>
        <w:rPr>
          <w:rFonts w:ascii="Times New Roman" w:hAnsi="Times New Roman" w:cs="Times New Roman"/>
        </w:rPr>
        <w:t>4.5.14</w:t>
      </w:r>
      <w:r w:rsidR="004E438F" w:rsidRPr="000E44F6">
        <w:rPr>
          <w:rFonts w:ascii="Times New Roman" w:hAnsi="Times New Roman" w:cs="Times New Roman"/>
          <w:bCs/>
          <w:color w:val="000000"/>
          <w:szCs w:val="24"/>
        </w:rPr>
        <w:t>.</w:t>
      </w:r>
      <w:r w:rsidR="00EA051D" w:rsidRPr="000E44F6">
        <w:rPr>
          <w:rFonts w:ascii="Times New Roman" w:hAnsi="Times New Roman" w:cs="Times New Roman"/>
          <w:bCs/>
          <w:color w:val="000000"/>
          <w:szCs w:val="24"/>
        </w:rPr>
        <w:t>tabula</w:t>
      </w:r>
    </w:p>
    <w:p w14:paraId="53560698" w14:textId="443F5EDC" w:rsidR="00EA051D" w:rsidRPr="000E44F6" w:rsidRDefault="00EA051D" w:rsidP="000E44F6">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0E44F6">
        <w:rPr>
          <w:rFonts w:ascii="Times New Roman" w:hAnsi="Times New Roman" w:cs="Times New Roman"/>
          <w:b/>
          <w:color w:val="000000"/>
          <w:szCs w:val="24"/>
        </w:rPr>
        <w:t>Aplēstā piemēroto lauksaimniecības zemju platība, ņemot vērā attālumu no dūņu pārstrādes centra</w:t>
      </w:r>
    </w:p>
    <w:tbl>
      <w:tblPr>
        <w:tblStyle w:val="17"/>
        <w:tblW w:w="3840" w:type="dxa"/>
        <w:jc w:val="center"/>
        <w:tblBorders>
          <w:top w:val="single" w:sz="4"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960"/>
        <w:gridCol w:w="2880"/>
      </w:tblGrid>
      <w:tr w:rsidR="00EA051D" w:rsidRPr="009967E0" w14:paraId="760C6DFB" w14:textId="77777777" w:rsidTr="008E6BAE">
        <w:trPr>
          <w:trHeight w:val="222"/>
          <w:jc w:val="center"/>
        </w:trPr>
        <w:tc>
          <w:tcPr>
            <w:tcW w:w="960" w:type="dxa"/>
            <w:shd w:val="clear" w:color="auto" w:fill="auto"/>
            <w:vAlign w:val="center"/>
          </w:tcPr>
          <w:p w14:paraId="2647D3A1" w14:textId="77777777" w:rsidR="00EA051D" w:rsidRPr="009967E0" w:rsidRDefault="00EA051D" w:rsidP="00D70884">
            <w:pPr>
              <w:spacing w:after="60"/>
              <w:jc w:val="center"/>
              <w:rPr>
                <w:rFonts w:ascii="Times New Roman" w:hAnsi="Times New Roman" w:cs="Times New Roman"/>
                <w:b/>
                <w:color w:val="000000"/>
                <w:szCs w:val="24"/>
              </w:rPr>
            </w:pPr>
            <w:r w:rsidRPr="009967E0">
              <w:rPr>
                <w:rFonts w:ascii="Times New Roman" w:hAnsi="Times New Roman" w:cs="Times New Roman"/>
                <w:b/>
                <w:color w:val="000000"/>
                <w:szCs w:val="24"/>
              </w:rPr>
              <w:t xml:space="preserve">km </w:t>
            </w:r>
          </w:p>
        </w:tc>
        <w:tc>
          <w:tcPr>
            <w:tcW w:w="2880" w:type="dxa"/>
            <w:shd w:val="clear" w:color="auto" w:fill="auto"/>
            <w:vAlign w:val="center"/>
          </w:tcPr>
          <w:p w14:paraId="2C8E9C3C" w14:textId="77777777" w:rsidR="00EA051D" w:rsidRPr="009967E0" w:rsidRDefault="00EA051D" w:rsidP="00D70884">
            <w:pPr>
              <w:spacing w:after="60"/>
              <w:jc w:val="center"/>
              <w:rPr>
                <w:rFonts w:ascii="Times New Roman" w:hAnsi="Times New Roman" w:cs="Times New Roman"/>
                <w:b/>
                <w:color w:val="000000"/>
                <w:szCs w:val="24"/>
              </w:rPr>
            </w:pPr>
            <w:r w:rsidRPr="009967E0">
              <w:rPr>
                <w:rFonts w:ascii="Times New Roman" w:hAnsi="Times New Roman" w:cs="Times New Roman"/>
                <w:b/>
                <w:color w:val="000000"/>
                <w:szCs w:val="24"/>
              </w:rPr>
              <w:t>ha</w:t>
            </w:r>
          </w:p>
        </w:tc>
      </w:tr>
      <w:tr w:rsidR="00EA051D" w:rsidRPr="009967E0" w14:paraId="55787B0E" w14:textId="77777777" w:rsidTr="008E6BAE">
        <w:trPr>
          <w:trHeight w:val="221"/>
          <w:jc w:val="center"/>
        </w:trPr>
        <w:tc>
          <w:tcPr>
            <w:tcW w:w="960" w:type="dxa"/>
            <w:shd w:val="clear" w:color="auto" w:fill="auto"/>
            <w:vAlign w:val="center"/>
          </w:tcPr>
          <w:p w14:paraId="55E41B43"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10</w:t>
            </w:r>
          </w:p>
        </w:tc>
        <w:tc>
          <w:tcPr>
            <w:tcW w:w="2880" w:type="dxa"/>
            <w:shd w:val="clear" w:color="auto" w:fill="auto"/>
            <w:vAlign w:val="center"/>
          </w:tcPr>
          <w:p w14:paraId="2AF6B487"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0,00</w:t>
            </w:r>
          </w:p>
        </w:tc>
      </w:tr>
      <w:tr w:rsidR="00EA051D" w:rsidRPr="009967E0" w14:paraId="39E33DE5" w14:textId="77777777" w:rsidTr="008E6BAE">
        <w:trPr>
          <w:trHeight w:val="288"/>
          <w:jc w:val="center"/>
        </w:trPr>
        <w:tc>
          <w:tcPr>
            <w:tcW w:w="960" w:type="dxa"/>
            <w:shd w:val="clear" w:color="auto" w:fill="auto"/>
            <w:vAlign w:val="center"/>
          </w:tcPr>
          <w:p w14:paraId="0A15A407"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15</w:t>
            </w:r>
          </w:p>
        </w:tc>
        <w:tc>
          <w:tcPr>
            <w:tcW w:w="2880" w:type="dxa"/>
            <w:shd w:val="clear" w:color="auto" w:fill="auto"/>
            <w:vAlign w:val="center"/>
          </w:tcPr>
          <w:p w14:paraId="7B424F25"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50,00</w:t>
            </w:r>
          </w:p>
        </w:tc>
      </w:tr>
      <w:tr w:rsidR="00EA051D" w:rsidRPr="009967E0" w14:paraId="2BD8A4B0" w14:textId="77777777" w:rsidTr="008E6BAE">
        <w:trPr>
          <w:trHeight w:val="201"/>
          <w:jc w:val="center"/>
        </w:trPr>
        <w:tc>
          <w:tcPr>
            <w:tcW w:w="960" w:type="dxa"/>
            <w:shd w:val="clear" w:color="auto" w:fill="auto"/>
            <w:vAlign w:val="center"/>
          </w:tcPr>
          <w:p w14:paraId="5DCA52FB"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20</w:t>
            </w:r>
          </w:p>
        </w:tc>
        <w:tc>
          <w:tcPr>
            <w:tcW w:w="2880" w:type="dxa"/>
            <w:shd w:val="clear" w:color="auto" w:fill="auto"/>
            <w:vAlign w:val="center"/>
          </w:tcPr>
          <w:p w14:paraId="35DE4A64"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250,00</w:t>
            </w:r>
          </w:p>
        </w:tc>
      </w:tr>
      <w:tr w:rsidR="00EA051D" w:rsidRPr="009967E0" w14:paraId="7739F7B8" w14:textId="77777777" w:rsidTr="008E6BAE">
        <w:trPr>
          <w:trHeight w:val="220"/>
          <w:jc w:val="center"/>
        </w:trPr>
        <w:tc>
          <w:tcPr>
            <w:tcW w:w="960" w:type="dxa"/>
            <w:shd w:val="clear" w:color="auto" w:fill="auto"/>
            <w:vAlign w:val="center"/>
          </w:tcPr>
          <w:p w14:paraId="3132BCEB"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25</w:t>
            </w:r>
          </w:p>
        </w:tc>
        <w:tc>
          <w:tcPr>
            <w:tcW w:w="2880" w:type="dxa"/>
            <w:shd w:val="clear" w:color="auto" w:fill="auto"/>
            <w:vAlign w:val="center"/>
          </w:tcPr>
          <w:p w14:paraId="02865A11"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1 250,00</w:t>
            </w:r>
          </w:p>
        </w:tc>
      </w:tr>
      <w:tr w:rsidR="00EA051D" w:rsidRPr="009967E0" w14:paraId="7E564494" w14:textId="77777777" w:rsidTr="008E6BAE">
        <w:trPr>
          <w:trHeight w:val="223"/>
          <w:jc w:val="center"/>
        </w:trPr>
        <w:tc>
          <w:tcPr>
            <w:tcW w:w="960" w:type="dxa"/>
            <w:shd w:val="clear" w:color="auto" w:fill="auto"/>
            <w:vAlign w:val="center"/>
          </w:tcPr>
          <w:p w14:paraId="05E13ADF"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30</w:t>
            </w:r>
          </w:p>
        </w:tc>
        <w:tc>
          <w:tcPr>
            <w:tcW w:w="2880" w:type="dxa"/>
            <w:shd w:val="clear" w:color="auto" w:fill="auto"/>
            <w:vAlign w:val="center"/>
          </w:tcPr>
          <w:p w14:paraId="2C9C2C25"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6 250,00</w:t>
            </w:r>
          </w:p>
        </w:tc>
      </w:tr>
      <w:tr w:rsidR="00EA051D" w:rsidRPr="009967E0" w14:paraId="690C4437" w14:textId="77777777" w:rsidTr="008E6BAE">
        <w:trPr>
          <w:trHeight w:val="227"/>
          <w:jc w:val="center"/>
        </w:trPr>
        <w:tc>
          <w:tcPr>
            <w:tcW w:w="960" w:type="dxa"/>
            <w:shd w:val="clear" w:color="auto" w:fill="auto"/>
            <w:vAlign w:val="center"/>
          </w:tcPr>
          <w:p w14:paraId="4E91EA5C"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35</w:t>
            </w:r>
          </w:p>
        </w:tc>
        <w:tc>
          <w:tcPr>
            <w:tcW w:w="2880" w:type="dxa"/>
            <w:shd w:val="clear" w:color="auto" w:fill="auto"/>
            <w:vAlign w:val="center"/>
          </w:tcPr>
          <w:p w14:paraId="4ED8AA5B" w14:textId="77777777" w:rsidR="00EA051D" w:rsidRPr="009967E0" w:rsidRDefault="00EA051D" w:rsidP="00D70884">
            <w:pPr>
              <w:spacing w:after="60"/>
              <w:jc w:val="center"/>
              <w:rPr>
                <w:rFonts w:ascii="Times New Roman" w:hAnsi="Times New Roman" w:cs="Times New Roman"/>
                <w:color w:val="000000"/>
                <w:szCs w:val="24"/>
              </w:rPr>
            </w:pPr>
            <w:r w:rsidRPr="009967E0">
              <w:rPr>
                <w:rFonts w:ascii="Times New Roman" w:hAnsi="Times New Roman" w:cs="Times New Roman"/>
                <w:color w:val="000000"/>
                <w:szCs w:val="24"/>
              </w:rPr>
              <w:t>31 250,00</w:t>
            </w:r>
          </w:p>
        </w:tc>
      </w:tr>
    </w:tbl>
    <w:p w14:paraId="16A1E60C" w14:textId="77777777" w:rsidR="00EA051D" w:rsidRPr="00E319E3" w:rsidRDefault="00EA051D" w:rsidP="00E319E3">
      <w:pPr>
        <w:spacing w:before="120" w:after="120"/>
        <w:ind w:firstLine="720"/>
        <w:rPr>
          <w:rFonts w:ascii="Times New Roman" w:hAnsi="Times New Roman" w:cs="Times New Roman"/>
        </w:rPr>
      </w:pPr>
      <w:r w:rsidRPr="00E319E3">
        <w:rPr>
          <w:rFonts w:ascii="Times New Roman" w:hAnsi="Times New Roman" w:cs="Times New Roman"/>
        </w:rPr>
        <w:t>Ņemot vērā notekūdeņu dūņu pārstrādes centrā kopējo pārstrādāto notekūdeņu dūņu daudzumu un to transportēšanas attālumu līdz lauksaimniecības zemēm, ir aprēķināts maksimālais izmaksu apjoms pārstrādātu notekūdeņu dūņu utilizācijai lauksaimniecības zemēs. Ir secināms, ka dūņas ne vienmēr būs jāved līdz aprēķinātajam tālākajam punktam un visbiežāk pieejamas lauksaimniecības zemju platības būs pieejamas arī tuvāk.</w:t>
      </w:r>
    </w:p>
    <w:p w14:paraId="73C19732" w14:textId="43954304" w:rsidR="00E319E3" w:rsidRPr="00996138" w:rsidRDefault="00996138" w:rsidP="00E319E3">
      <w:pPr>
        <w:pStyle w:val="ListParagraph"/>
        <w:pBdr>
          <w:top w:val="nil"/>
          <w:left w:val="nil"/>
          <w:bottom w:val="nil"/>
          <w:right w:val="nil"/>
          <w:between w:val="nil"/>
        </w:pBdr>
        <w:suppressAutoHyphens/>
        <w:autoSpaceDN w:val="0"/>
        <w:spacing w:after="0" w:line="240" w:lineRule="auto"/>
        <w:ind w:left="760"/>
        <w:contextualSpacing w:val="0"/>
        <w:jc w:val="right"/>
        <w:textAlignment w:val="baseline"/>
        <w:rPr>
          <w:rFonts w:ascii="Times New Roman" w:hAnsi="Times New Roman" w:cs="Times New Roman"/>
          <w:bCs/>
          <w:color w:val="000000"/>
          <w:sz w:val="24"/>
          <w:szCs w:val="24"/>
        </w:rPr>
      </w:pPr>
      <w:r w:rsidRPr="00996138">
        <w:rPr>
          <w:rFonts w:ascii="Times New Roman" w:hAnsi="Times New Roman" w:cs="Times New Roman"/>
          <w:sz w:val="24"/>
          <w:szCs w:val="24"/>
        </w:rPr>
        <w:t>4.5.15</w:t>
      </w:r>
      <w:r w:rsidR="004E438F" w:rsidRPr="00996138">
        <w:rPr>
          <w:rFonts w:ascii="Times New Roman" w:hAnsi="Times New Roman" w:cs="Times New Roman"/>
          <w:bCs/>
          <w:color w:val="000000"/>
          <w:sz w:val="24"/>
          <w:szCs w:val="24"/>
        </w:rPr>
        <w:t>.</w:t>
      </w:r>
      <w:r w:rsidR="00EA051D" w:rsidRPr="00996138">
        <w:rPr>
          <w:rFonts w:ascii="Times New Roman" w:hAnsi="Times New Roman" w:cs="Times New Roman"/>
          <w:bCs/>
          <w:color w:val="000000"/>
          <w:sz w:val="24"/>
          <w:szCs w:val="24"/>
        </w:rPr>
        <w:t>tabula</w:t>
      </w:r>
    </w:p>
    <w:p w14:paraId="5C031BB2" w14:textId="4F8D5BC7" w:rsidR="00EA051D" w:rsidRPr="00996138" w:rsidRDefault="00EA051D" w:rsidP="00E319E3">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color w:val="000000"/>
          <w:szCs w:val="24"/>
        </w:rPr>
      </w:pPr>
      <w:r w:rsidRPr="00996138">
        <w:rPr>
          <w:rFonts w:ascii="Times New Roman" w:hAnsi="Times New Roman" w:cs="Times New Roman"/>
          <w:b/>
          <w:color w:val="000000"/>
          <w:szCs w:val="24"/>
        </w:rPr>
        <w:t xml:space="preserve">Pārstrādātu notekūdeņu dūņas utilizācijas izmaksas dažādu dūņu centralizācijas risinājumu gadījumos EUR/gadā (aprēķinus skatīt pielikumā </w:t>
      </w:r>
      <w:r w:rsidR="008D34E0" w:rsidRPr="008D34E0">
        <w:rPr>
          <w:rFonts w:ascii="Times New Roman" w:hAnsi="Times New Roman" w:cs="Times New Roman"/>
          <w:b/>
          <w:color w:val="000000"/>
          <w:szCs w:val="24"/>
        </w:rPr>
        <w:t>4.9. Finanšu aprēķini “3. Uzturēšanas izmaksas notekūdeņu dūņu pārstrādē”</w:t>
      </w:r>
      <w:r w:rsidRPr="00996138">
        <w:rPr>
          <w:rFonts w:ascii="Times New Roman" w:hAnsi="Times New Roman" w:cs="Times New Roman"/>
          <w:b/>
          <w:color w:val="000000"/>
          <w:szCs w:val="24"/>
        </w:rPr>
        <w:t>)</w:t>
      </w:r>
    </w:p>
    <w:tbl>
      <w:tblPr>
        <w:tblStyle w:val="16"/>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1"/>
        <w:gridCol w:w="2835"/>
      </w:tblGrid>
      <w:tr w:rsidR="00EA051D" w:rsidRPr="00E319E3" w14:paraId="5693A671" w14:textId="77777777" w:rsidTr="00E319E3">
        <w:tc>
          <w:tcPr>
            <w:tcW w:w="6091" w:type="dxa"/>
          </w:tcPr>
          <w:p w14:paraId="7E4A647C"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Dūņu centralizācijas alternatīvas</w:t>
            </w:r>
          </w:p>
        </w:tc>
        <w:tc>
          <w:tcPr>
            <w:tcW w:w="2835" w:type="dxa"/>
          </w:tcPr>
          <w:p w14:paraId="06FDEDAC"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Dūņu utilizācijas izmaksas EUR gadā</w:t>
            </w:r>
          </w:p>
        </w:tc>
      </w:tr>
      <w:tr w:rsidR="00EA051D" w:rsidRPr="00E319E3" w14:paraId="5422BF33" w14:textId="77777777" w:rsidTr="00E319E3">
        <w:tc>
          <w:tcPr>
            <w:tcW w:w="6091" w:type="dxa"/>
          </w:tcPr>
          <w:p w14:paraId="79651769" w14:textId="539C6014" w:rsidR="00EA051D" w:rsidRPr="00E319E3" w:rsidRDefault="00EA051D" w:rsidP="00D70884">
            <w:pPr>
              <w:spacing w:after="60"/>
              <w:rPr>
                <w:rFonts w:ascii="Times New Roman" w:hAnsi="Times New Roman" w:cs="Times New Roman"/>
                <w:sz w:val="18"/>
                <w:szCs w:val="18"/>
              </w:rPr>
            </w:pPr>
            <w:r w:rsidRPr="00E319E3">
              <w:rPr>
                <w:rFonts w:ascii="Times New Roman" w:hAnsi="Times New Roman" w:cs="Times New Roman"/>
                <w:sz w:val="18"/>
                <w:szCs w:val="18"/>
              </w:rPr>
              <w:t xml:space="preserve">D1.Alternatīva: Notekūdeņu dūņu pārstrāde 41 </w:t>
            </w:r>
            <w:r w:rsidR="00674A2E" w:rsidRPr="00E319E3">
              <w:rPr>
                <w:rFonts w:ascii="Times New Roman" w:hAnsi="Times New Roman" w:cs="Times New Roman"/>
                <w:sz w:val="18"/>
                <w:szCs w:val="18"/>
              </w:rPr>
              <w:t>notekūdeņu dūņu</w:t>
            </w:r>
            <w:r w:rsidRPr="00E319E3">
              <w:rPr>
                <w:rFonts w:ascii="Times New Roman" w:hAnsi="Times New Roman" w:cs="Times New Roman"/>
                <w:sz w:val="18"/>
                <w:szCs w:val="18"/>
              </w:rPr>
              <w:t xml:space="preserve"> pārstrādes centrā</w:t>
            </w:r>
          </w:p>
        </w:tc>
        <w:tc>
          <w:tcPr>
            <w:tcW w:w="2835" w:type="dxa"/>
            <w:vAlign w:val="center"/>
          </w:tcPr>
          <w:p w14:paraId="3640199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sz w:val="18"/>
                <w:szCs w:val="18"/>
              </w:rPr>
              <w:t>79 140</w:t>
            </w:r>
          </w:p>
        </w:tc>
      </w:tr>
      <w:tr w:rsidR="00EA051D" w:rsidRPr="00E319E3" w14:paraId="6DD1BAA1" w14:textId="77777777" w:rsidTr="00E319E3">
        <w:tc>
          <w:tcPr>
            <w:tcW w:w="6091" w:type="dxa"/>
          </w:tcPr>
          <w:p w14:paraId="540DDF58" w14:textId="77777777" w:rsidR="00EA051D" w:rsidRPr="00E319E3" w:rsidRDefault="00EA051D" w:rsidP="00D70884">
            <w:pPr>
              <w:spacing w:after="60"/>
              <w:rPr>
                <w:rFonts w:ascii="Times New Roman" w:hAnsi="Times New Roman" w:cs="Times New Roman"/>
                <w:sz w:val="18"/>
                <w:szCs w:val="18"/>
              </w:rPr>
            </w:pPr>
            <w:r w:rsidRPr="00E319E3">
              <w:rPr>
                <w:rFonts w:ascii="Times New Roman" w:hAnsi="Times New Roman" w:cs="Times New Roman"/>
                <w:sz w:val="18"/>
                <w:szCs w:val="18"/>
              </w:rPr>
              <w:t xml:space="preserve">D2.Alternatīva: Notekūdeņu dūņu pārstrāde 30 notekūdeņu dūņu pārstrādes centros </w:t>
            </w:r>
          </w:p>
        </w:tc>
        <w:tc>
          <w:tcPr>
            <w:tcW w:w="2835" w:type="dxa"/>
            <w:vAlign w:val="center"/>
          </w:tcPr>
          <w:p w14:paraId="333E085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sz w:val="18"/>
                <w:szCs w:val="18"/>
              </w:rPr>
              <w:t>79 909</w:t>
            </w:r>
          </w:p>
        </w:tc>
      </w:tr>
      <w:tr w:rsidR="00EA051D" w:rsidRPr="00E319E3" w14:paraId="48D4726D" w14:textId="77777777" w:rsidTr="00E319E3">
        <w:tc>
          <w:tcPr>
            <w:tcW w:w="6091" w:type="dxa"/>
          </w:tcPr>
          <w:p w14:paraId="21F19CF7" w14:textId="77777777" w:rsidR="00EA051D" w:rsidRPr="00E319E3" w:rsidRDefault="00EA051D" w:rsidP="00D70884">
            <w:pPr>
              <w:spacing w:after="60"/>
              <w:rPr>
                <w:rFonts w:ascii="Times New Roman" w:hAnsi="Times New Roman" w:cs="Times New Roman"/>
                <w:sz w:val="18"/>
                <w:szCs w:val="18"/>
              </w:rPr>
            </w:pPr>
            <w:r w:rsidRPr="00E319E3">
              <w:rPr>
                <w:rFonts w:ascii="Times New Roman" w:hAnsi="Times New Roman" w:cs="Times New Roman"/>
                <w:sz w:val="18"/>
                <w:szCs w:val="18"/>
              </w:rPr>
              <w:lastRenderedPageBreak/>
              <w:t>D3.Alternatīva: Notekūdeņu dūņu pārstrāde 16 notekūdeņu dūņu pārstrādes centros</w:t>
            </w:r>
          </w:p>
        </w:tc>
        <w:tc>
          <w:tcPr>
            <w:tcW w:w="2835" w:type="dxa"/>
            <w:vAlign w:val="center"/>
          </w:tcPr>
          <w:p w14:paraId="4D1F678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sz w:val="18"/>
                <w:szCs w:val="18"/>
              </w:rPr>
              <w:t>83 049</w:t>
            </w:r>
          </w:p>
        </w:tc>
      </w:tr>
      <w:tr w:rsidR="00EA051D" w:rsidRPr="00E319E3" w14:paraId="316F6B5F" w14:textId="77777777" w:rsidTr="00E319E3">
        <w:tc>
          <w:tcPr>
            <w:tcW w:w="6091" w:type="dxa"/>
          </w:tcPr>
          <w:p w14:paraId="19369026" w14:textId="77777777" w:rsidR="00EA051D" w:rsidRPr="00E319E3" w:rsidRDefault="00EA051D" w:rsidP="00D70884">
            <w:pPr>
              <w:spacing w:after="60"/>
              <w:rPr>
                <w:rFonts w:ascii="Times New Roman" w:hAnsi="Times New Roman" w:cs="Times New Roman"/>
                <w:sz w:val="18"/>
                <w:szCs w:val="18"/>
              </w:rPr>
            </w:pPr>
            <w:r w:rsidRPr="00E319E3">
              <w:rPr>
                <w:rFonts w:ascii="Times New Roman" w:hAnsi="Times New Roman" w:cs="Times New Roman"/>
                <w:sz w:val="18"/>
                <w:szCs w:val="18"/>
              </w:rPr>
              <w:t>D4.1.Alternatīva: Biogāzes ražošanas procesā iegūta digestāta mehāniska atūdeņošana un uzglabāšana</w:t>
            </w:r>
          </w:p>
        </w:tc>
        <w:tc>
          <w:tcPr>
            <w:tcW w:w="2835" w:type="dxa"/>
            <w:vAlign w:val="center"/>
          </w:tcPr>
          <w:p w14:paraId="5D44BF6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sz w:val="18"/>
                <w:szCs w:val="18"/>
              </w:rPr>
              <w:t>62 367</w:t>
            </w:r>
          </w:p>
        </w:tc>
      </w:tr>
      <w:tr w:rsidR="00EA051D" w:rsidRPr="00E319E3" w14:paraId="762DD94A" w14:textId="77777777" w:rsidTr="00E319E3">
        <w:tc>
          <w:tcPr>
            <w:tcW w:w="6091" w:type="dxa"/>
          </w:tcPr>
          <w:p w14:paraId="1A76E1A6" w14:textId="77777777" w:rsidR="00EA051D" w:rsidRPr="00E319E3" w:rsidRDefault="00EA051D" w:rsidP="00D70884">
            <w:pPr>
              <w:spacing w:after="60"/>
              <w:rPr>
                <w:rFonts w:ascii="Times New Roman" w:hAnsi="Times New Roman" w:cs="Times New Roman"/>
                <w:sz w:val="18"/>
                <w:szCs w:val="18"/>
              </w:rPr>
            </w:pPr>
            <w:r w:rsidRPr="00E319E3">
              <w:rPr>
                <w:rFonts w:ascii="Times New Roman" w:hAnsi="Times New Roman" w:cs="Times New Roman"/>
                <w:sz w:val="18"/>
                <w:szCs w:val="18"/>
              </w:rPr>
              <w:t>D4.2.Alternatīva: Biogāzes ražošanas procesā iegūta digestāta mehāniska atūdeņošana un žāvēšana līdz 50% sausnai</w:t>
            </w:r>
          </w:p>
        </w:tc>
        <w:tc>
          <w:tcPr>
            <w:tcW w:w="2835" w:type="dxa"/>
            <w:vAlign w:val="center"/>
          </w:tcPr>
          <w:p w14:paraId="5DBB516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sz w:val="18"/>
                <w:szCs w:val="18"/>
              </w:rPr>
              <w:t>35 982</w:t>
            </w:r>
          </w:p>
        </w:tc>
      </w:tr>
      <w:tr w:rsidR="00EA051D" w:rsidRPr="00E319E3" w14:paraId="75CB54CC" w14:textId="77777777" w:rsidTr="00E319E3">
        <w:tc>
          <w:tcPr>
            <w:tcW w:w="6091" w:type="dxa"/>
          </w:tcPr>
          <w:p w14:paraId="57F5F107" w14:textId="77777777" w:rsidR="00EA051D" w:rsidRPr="00E319E3" w:rsidRDefault="00EA051D" w:rsidP="00D70884">
            <w:pPr>
              <w:spacing w:after="60"/>
              <w:rPr>
                <w:rFonts w:ascii="Times New Roman" w:hAnsi="Times New Roman" w:cs="Times New Roman"/>
                <w:sz w:val="18"/>
                <w:szCs w:val="18"/>
              </w:rPr>
            </w:pPr>
            <w:r w:rsidRPr="00E319E3">
              <w:rPr>
                <w:rFonts w:ascii="Times New Roman" w:hAnsi="Times New Roman" w:cs="Times New Roman"/>
                <w:sz w:val="18"/>
                <w:szCs w:val="18"/>
              </w:rPr>
              <w:t>14.3.Alternatīva: Biogāzes ražošanas procesā iegūta digestāta mehāniska atūdeņošana un žāvēšana līdz 90% sausnai</w:t>
            </w:r>
          </w:p>
        </w:tc>
        <w:tc>
          <w:tcPr>
            <w:tcW w:w="2835" w:type="dxa"/>
            <w:vAlign w:val="center"/>
          </w:tcPr>
          <w:p w14:paraId="112C913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sz w:val="18"/>
                <w:szCs w:val="18"/>
              </w:rPr>
              <w:t>171 816</w:t>
            </w:r>
          </w:p>
        </w:tc>
      </w:tr>
    </w:tbl>
    <w:p w14:paraId="14811F4E" w14:textId="77777777" w:rsidR="00EA051D" w:rsidRPr="00175DD0" w:rsidRDefault="00EA051D" w:rsidP="00EA051D">
      <w:pPr>
        <w:spacing w:after="0"/>
        <w:rPr>
          <w:rFonts w:cstheme="minorHAnsi"/>
        </w:rPr>
      </w:pPr>
    </w:p>
    <w:p w14:paraId="389ABD4A" w14:textId="047EDDAA" w:rsidR="00EA051D" w:rsidRPr="00E319E3" w:rsidRDefault="00EA051D" w:rsidP="00E319E3">
      <w:pPr>
        <w:ind w:firstLine="720"/>
        <w:rPr>
          <w:rFonts w:ascii="Times New Roman" w:hAnsi="Times New Roman" w:cs="Times New Roman"/>
        </w:rPr>
      </w:pPr>
      <w:r w:rsidRPr="00E319E3">
        <w:rPr>
          <w:rFonts w:ascii="Times New Roman" w:hAnsi="Times New Roman" w:cs="Times New Roman"/>
        </w:rPr>
        <w:t xml:space="preserve">Kā redzams pie mazāka dūņu pārstrādes centru skaita dūņu utilizācijas izmaksas pieaug, jo pieaug pārstrādātu notekūdeņu dūņu vešanas attālums līdz utilizācijas vietai. Tomēr atšķirība starp D1., D2. un D3. alternatīvām nav būtiska. D4.1. apakšalternatīvas gadījumā izmaksas par dūņu utilizāciju ir nedaudz zemākas, kā iepriekš apskatīto alternatīvu izmaksas, kas ir saistīts ar to, ka dūņu </w:t>
      </w:r>
      <w:r w:rsidR="00674A2E" w:rsidRPr="00E319E3">
        <w:rPr>
          <w:rFonts w:ascii="Times New Roman" w:hAnsi="Times New Roman" w:cs="Times New Roman"/>
        </w:rPr>
        <w:t>mezofilās</w:t>
      </w:r>
      <w:r w:rsidRPr="00E319E3">
        <w:rPr>
          <w:rFonts w:ascii="Times New Roman" w:hAnsi="Times New Roman" w:cs="Times New Roman"/>
        </w:rPr>
        <w:t xml:space="preserve"> anaerobās pārstrādes rezultātā kopējā dūņu masa samazinās par aptuveni 30%, kā rezultātā arī samazinās kopējais utilizējamo dūņu daudzums. Savukārt D4.2 apakšalternatīvas gadījumā dūņas tiek pārstrādātas līdz 50% sausnas apjomam, kā rezultātā ar vienu izvešanas reizi, var izvest lielāku dūņu apjomu, kas ievērojami samazina transportēšanas izmaksas. D4.3. alternatīvas gadījumā, kur dūņu sausnas apjoms ir vēl lielāks izmaksas būtiski pieaug, jo ir aprēķināta visu pārstrādātu notekūdeņu dūņu transportēšana līdz Brocēnu cementa rūpnīcai. Papildus jānorāda, ka aprēķinos ir izmantots pieņēmums, ka lauksaimnieku organizācijas pieņems notekūdeņu dūņas iestrādei augsnē bez papildus maksas, kas  nozīmē, ka dūņu pārstrādes centram nerodas nedz papildus izmaksas nedz papildus ieņēmumi par pārstrādātu dūņu nodošanu utilizācijai. Savukārt D4.3. apakšalternatīvas aprēķinos ir pieņemts, ka cementa rūpnīca pārstrādātas notekūdeņu dūņas pieņems utilizācijai par 5 EUR/t, kas ir simboliska samaksa un faktiskā dūņu pieņemšanas maksa visticamāk būtu augstāka.</w:t>
      </w:r>
    </w:p>
    <w:p w14:paraId="235CA470" w14:textId="77777777" w:rsidR="00EA051D" w:rsidRPr="00E319E3" w:rsidRDefault="00EA051D" w:rsidP="00E319E3">
      <w:pPr>
        <w:ind w:firstLine="720"/>
        <w:rPr>
          <w:rFonts w:ascii="Times New Roman" w:hAnsi="Times New Roman" w:cs="Times New Roman"/>
        </w:rPr>
      </w:pPr>
      <w:r w:rsidRPr="00E319E3">
        <w:rPr>
          <w:rFonts w:ascii="Times New Roman" w:hAnsi="Times New Roman" w:cs="Times New Roman"/>
        </w:rPr>
        <w:t xml:space="preserve">Papildus LŪKA projekta Nr. LIFE18 IPE/LV/000014 “LIFE GOODWATER IP” ietvaros ir veikusi lauksaimniecības zemju novērtējumu ap 41 lielāko NAI, izmantojot Latvijas Lauku atbalsta dienesta (LAD) izveidoto kartogrāfisko materiālu lauksaimniecības platību maksājumu aprēķiniem. Var pieņemt, ka LAD rīcībā esošais kartogrāfiskais materiāls ir ļoti precīzs, un apkopo aktuālo informāciju par būtiskākajām lauksaimniecības zemju platībām, jo uz tā pamata tiek veikti aprēķini par zemju īpašniekiem izmaksājamo kompensācijas un subsīdiju apjomu. Novērtējumā iegūtie dati liecina, ka visu pašvaldību pieņemtajā dūņu izkliedes rādiusā ap dūņu pārstrādes centru ir pieejamas lauksaimniecības zemju platības nepieciešamajā apjomā. Vienlaikus mazākās izvēles iespējas būs Ādažu, Daugavpils, Jūrmalas, Salaspils un Ventspils apkārtnē, kur lauksaimniecības zemju pieejamība tikai 6 – 15 reizes pārsniedz aprēķināto minimālo nepieciešamo lauksaimniecības zemju platību. Vietās ar lielāku lauksaimniecības zemju īpatsvaru, to pieejamība salīdzinājumā pret nepieciešamo ir 250 - 1200 reizes lielāka un tādi dūņu centri ir Aizpute, Balvi, Ugāle un Varakļāni, kur arī notekūdeņu dūņu apjoms ir attiecīgi mazāks. </w:t>
      </w:r>
    </w:p>
    <w:p w14:paraId="5E62FA7E" w14:textId="77777777" w:rsidR="00D70884" w:rsidRPr="00175DD0" w:rsidRDefault="00D70884" w:rsidP="00EA051D">
      <w:pPr>
        <w:rPr>
          <w:rFonts w:cstheme="minorHAnsi"/>
        </w:rPr>
      </w:pPr>
    </w:p>
    <w:p w14:paraId="06E88D71" w14:textId="66547BC8" w:rsidR="00E319E3" w:rsidRPr="00E319E3" w:rsidRDefault="0026587F" w:rsidP="00E319E3">
      <w:pPr>
        <w:pStyle w:val="ListParagraph"/>
        <w:pBdr>
          <w:top w:val="nil"/>
          <w:left w:val="nil"/>
          <w:bottom w:val="nil"/>
          <w:right w:val="nil"/>
          <w:between w:val="nil"/>
        </w:pBdr>
        <w:suppressAutoHyphens/>
        <w:autoSpaceDN w:val="0"/>
        <w:spacing w:after="0"/>
        <w:ind w:left="760"/>
        <w:contextualSpacing w:val="0"/>
        <w:jc w:val="right"/>
        <w:textAlignment w:val="baseline"/>
        <w:rPr>
          <w:rFonts w:ascii="Times New Roman" w:hAnsi="Times New Roman" w:cs="Times New Roman"/>
          <w:bCs/>
          <w:color w:val="000000"/>
          <w:sz w:val="24"/>
          <w:szCs w:val="24"/>
        </w:rPr>
      </w:pPr>
      <w:r w:rsidRPr="00996138">
        <w:rPr>
          <w:rFonts w:ascii="Times New Roman" w:hAnsi="Times New Roman" w:cs="Times New Roman"/>
          <w:sz w:val="24"/>
          <w:szCs w:val="24"/>
        </w:rPr>
        <w:lastRenderedPageBreak/>
        <w:t>4.5.1</w:t>
      </w:r>
      <w:r>
        <w:rPr>
          <w:rFonts w:ascii="Times New Roman" w:hAnsi="Times New Roman" w:cs="Times New Roman"/>
          <w:sz w:val="24"/>
          <w:szCs w:val="24"/>
        </w:rPr>
        <w:t>6</w:t>
      </w:r>
      <w:r w:rsidR="004E438F" w:rsidRPr="00E319E3">
        <w:rPr>
          <w:rFonts w:ascii="Times New Roman" w:hAnsi="Times New Roman" w:cs="Times New Roman"/>
          <w:bCs/>
          <w:color w:val="000000"/>
          <w:sz w:val="24"/>
          <w:szCs w:val="24"/>
        </w:rPr>
        <w:t>.</w:t>
      </w:r>
      <w:r w:rsidR="00EA051D" w:rsidRPr="00E319E3">
        <w:rPr>
          <w:rFonts w:ascii="Times New Roman" w:hAnsi="Times New Roman" w:cs="Times New Roman"/>
          <w:bCs/>
          <w:color w:val="000000"/>
          <w:sz w:val="24"/>
          <w:szCs w:val="24"/>
        </w:rPr>
        <w:t>tabula</w:t>
      </w:r>
    </w:p>
    <w:p w14:paraId="16309136" w14:textId="01FDF68F" w:rsidR="00EA051D" w:rsidRPr="00E319E3" w:rsidRDefault="00EA051D" w:rsidP="00E319E3">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E319E3">
        <w:rPr>
          <w:rFonts w:ascii="Times New Roman" w:hAnsi="Times New Roman" w:cs="Times New Roman"/>
          <w:b/>
          <w:color w:val="000000"/>
          <w:szCs w:val="24"/>
        </w:rPr>
        <w:t>Faktiskā lauksaimniecības zemju platību pieejamība noteiktajā attālumā ap 41 dūņu pārstrādes centru</w:t>
      </w:r>
    </w:p>
    <w:tbl>
      <w:tblPr>
        <w:tblStyle w:val="15"/>
        <w:tblW w:w="8971"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8"/>
        <w:gridCol w:w="1417"/>
        <w:gridCol w:w="1418"/>
        <w:gridCol w:w="1843"/>
        <w:gridCol w:w="2835"/>
      </w:tblGrid>
      <w:tr w:rsidR="00EA051D" w:rsidRPr="00E319E3" w14:paraId="0DCD4035"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03F8B7F"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Dūņu centra izveides vieta</w:t>
            </w:r>
          </w:p>
        </w:tc>
        <w:tc>
          <w:tcPr>
            <w:tcW w:w="141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0D780E6"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Cik ha lauksaimniecības zemes nepieciešams dūņu iestrādei</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678B166"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Cik km plašā rādiusā dūņas jāved, lai tās utilizētu</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A7896"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Lauksaimniecības zemju platība nepieciešamā rādiusā pēc LAD datu bāzes, ha</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0F253" w14:textId="77777777" w:rsidR="00EA051D" w:rsidRPr="00E319E3" w:rsidRDefault="00EA051D" w:rsidP="00D70884">
            <w:pPr>
              <w:spacing w:after="60"/>
              <w:jc w:val="center"/>
              <w:rPr>
                <w:rFonts w:ascii="Times New Roman" w:hAnsi="Times New Roman" w:cs="Times New Roman"/>
                <w:b/>
                <w:sz w:val="20"/>
                <w:szCs w:val="20"/>
              </w:rPr>
            </w:pPr>
            <w:r w:rsidRPr="00E319E3">
              <w:rPr>
                <w:rFonts w:ascii="Times New Roman" w:hAnsi="Times New Roman" w:cs="Times New Roman"/>
                <w:b/>
                <w:sz w:val="20"/>
                <w:szCs w:val="20"/>
              </w:rPr>
              <w:t>Cik reizes lauksaimniecības zemju platības pārsniedz aprēķināto nepieciešamo daudzumu</w:t>
            </w:r>
          </w:p>
        </w:tc>
      </w:tr>
      <w:tr w:rsidR="003F0074" w:rsidRPr="00E319E3" w14:paraId="0847D54E" w14:textId="77777777" w:rsidTr="00E319E3">
        <w:trPr>
          <w:trHeight w:val="290"/>
        </w:trPr>
        <w:tc>
          <w:tcPr>
            <w:tcW w:w="1458" w:type="dxa"/>
            <w:tcBorders>
              <w:top w:val="single" w:sz="4" w:space="0" w:color="000000"/>
              <w:left w:val="single" w:sz="4" w:space="0" w:color="000000"/>
              <w:bottom w:val="single" w:sz="6" w:space="0" w:color="000000"/>
              <w:right w:val="single" w:sz="6" w:space="0" w:color="000000"/>
            </w:tcBorders>
            <w:vAlign w:val="center"/>
          </w:tcPr>
          <w:p w14:paraId="1624F3D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Aizkraukles NAI</w:t>
            </w:r>
          </w:p>
        </w:tc>
        <w:tc>
          <w:tcPr>
            <w:tcW w:w="1417" w:type="dxa"/>
            <w:tcBorders>
              <w:top w:val="single" w:sz="4" w:space="0" w:color="000000"/>
              <w:left w:val="single" w:sz="6" w:space="0" w:color="000000"/>
              <w:bottom w:val="single" w:sz="6" w:space="0" w:color="000000"/>
              <w:right w:val="single" w:sz="6" w:space="0" w:color="000000"/>
            </w:tcBorders>
            <w:vAlign w:val="bottom"/>
          </w:tcPr>
          <w:p w14:paraId="22AC517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241</w:t>
            </w:r>
          </w:p>
        </w:tc>
        <w:tc>
          <w:tcPr>
            <w:tcW w:w="1418" w:type="dxa"/>
            <w:tcBorders>
              <w:top w:val="single" w:sz="4" w:space="0" w:color="000000"/>
              <w:left w:val="single" w:sz="6" w:space="0" w:color="000000"/>
              <w:bottom w:val="single" w:sz="6" w:space="0" w:color="000000"/>
              <w:right w:val="single" w:sz="6" w:space="0" w:color="000000"/>
            </w:tcBorders>
            <w:vAlign w:val="bottom"/>
          </w:tcPr>
          <w:p w14:paraId="47BEC09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4" w:space="0" w:color="000000"/>
              <w:left w:val="single" w:sz="6" w:space="0" w:color="000000"/>
              <w:bottom w:val="single" w:sz="6" w:space="0" w:color="000000"/>
              <w:right w:val="single" w:sz="6" w:space="0" w:color="000000"/>
            </w:tcBorders>
            <w:shd w:val="clear" w:color="auto" w:fill="auto"/>
            <w:vAlign w:val="bottom"/>
          </w:tcPr>
          <w:p w14:paraId="7BF0143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16 880</w:t>
            </w:r>
          </w:p>
        </w:tc>
        <w:tc>
          <w:tcPr>
            <w:tcW w:w="2835" w:type="dxa"/>
            <w:tcBorders>
              <w:top w:val="single" w:sz="4" w:space="0" w:color="000000"/>
              <w:left w:val="single" w:sz="6" w:space="0" w:color="000000"/>
              <w:bottom w:val="single" w:sz="6" w:space="0" w:color="000000"/>
              <w:right w:val="single" w:sz="4" w:space="0" w:color="000000"/>
            </w:tcBorders>
            <w:vAlign w:val="bottom"/>
          </w:tcPr>
          <w:p w14:paraId="444438E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70</w:t>
            </w:r>
          </w:p>
        </w:tc>
      </w:tr>
      <w:tr w:rsidR="003F0074" w:rsidRPr="00E319E3" w14:paraId="6F6D7D9E"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6CECD9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Aizputes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6B1821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56</w:t>
            </w:r>
          </w:p>
        </w:tc>
        <w:tc>
          <w:tcPr>
            <w:tcW w:w="1418" w:type="dxa"/>
            <w:tcBorders>
              <w:top w:val="single" w:sz="6" w:space="0" w:color="000000"/>
              <w:left w:val="single" w:sz="6" w:space="0" w:color="000000"/>
              <w:bottom w:val="single" w:sz="6" w:space="0" w:color="000000"/>
              <w:right w:val="single" w:sz="6" w:space="0" w:color="000000"/>
            </w:tcBorders>
            <w:vAlign w:val="bottom"/>
          </w:tcPr>
          <w:p w14:paraId="62D9096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B4A3B6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35 384</w:t>
            </w:r>
          </w:p>
        </w:tc>
        <w:tc>
          <w:tcPr>
            <w:tcW w:w="2835" w:type="dxa"/>
            <w:tcBorders>
              <w:top w:val="single" w:sz="6" w:space="0" w:color="000000"/>
              <w:left w:val="single" w:sz="6" w:space="0" w:color="000000"/>
              <w:bottom w:val="single" w:sz="6" w:space="0" w:color="000000"/>
              <w:right w:val="single" w:sz="4" w:space="0" w:color="000000"/>
            </w:tcBorders>
            <w:vAlign w:val="bottom"/>
          </w:tcPr>
          <w:p w14:paraId="29D51AA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630</w:t>
            </w:r>
          </w:p>
        </w:tc>
      </w:tr>
      <w:tr w:rsidR="003F0074" w:rsidRPr="00E319E3" w14:paraId="3B5DA20E"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567912A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Alūksnes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7DCC8A9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121</w:t>
            </w:r>
          </w:p>
        </w:tc>
        <w:tc>
          <w:tcPr>
            <w:tcW w:w="1418" w:type="dxa"/>
            <w:tcBorders>
              <w:top w:val="single" w:sz="6" w:space="0" w:color="000000"/>
              <w:left w:val="single" w:sz="6" w:space="0" w:color="000000"/>
              <w:bottom w:val="single" w:sz="6" w:space="0" w:color="000000"/>
              <w:right w:val="single" w:sz="6" w:space="0" w:color="000000"/>
            </w:tcBorders>
            <w:vAlign w:val="bottom"/>
          </w:tcPr>
          <w:p w14:paraId="2AEED15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6E135C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8 220</w:t>
            </w:r>
          </w:p>
        </w:tc>
        <w:tc>
          <w:tcPr>
            <w:tcW w:w="2835" w:type="dxa"/>
            <w:tcBorders>
              <w:top w:val="single" w:sz="6" w:space="0" w:color="000000"/>
              <w:left w:val="single" w:sz="6" w:space="0" w:color="000000"/>
              <w:bottom w:val="single" w:sz="6" w:space="0" w:color="000000"/>
              <w:right w:val="single" w:sz="4" w:space="0" w:color="000000"/>
            </w:tcBorders>
            <w:vAlign w:val="bottom"/>
          </w:tcPr>
          <w:p w14:paraId="28D9820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68</w:t>
            </w:r>
          </w:p>
        </w:tc>
      </w:tr>
      <w:tr w:rsidR="003F0074" w:rsidRPr="00E319E3" w14:paraId="42944D67"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121EBB5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Ādažu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004F02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727</w:t>
            </w:r>
          </w:p>
        </w:tc>
        <w:tc>
          <w:tcPr>
            <w:tcW w:w="1418" w:type="dxa"/>
            <w:tcBorders>
              <w:top w:val="single" w:sz="6" w:space="0" w:color="000000"/>
              <w:left w:val="single" w:sz="6" w:space="0" w:color="000000"/>
              <w:bottom w:val="single" w:sz="6" w:space="0" w:color="000000"/>
              <w:right w:val="single" w:sz="6" w:space="0" w:color="000000"/>
            </w:tcBorders>
            <w:vAlign w:val="bottom"/>
          </w:tcPr>
          <w:p w14:paraId="187E37A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D29C49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4 123</w:t>
            </w:r>
          </w:p>
        </w:tc>
        <w:tc>
          <w:tcPr>
            <w:tcW w:w="2835" w:type="dxa"/>
            <w:tcBorders>
              <w:top w:val="single" w:sz="6" w:space="0" w:color="000000"/>
              <w:left w:val="single" w:sz="6" w:space="0" w:color="000000"/>
              <w:bottom w:val="single" w:sz="6" w:space="0" w:color="000000"/>
              <w:right w:val="single" w:sz="4" w:space="0" w:color="000000"/>
            </w:tcBorders>
            <w:vAlign w:val="bottom"/>
          </w:tcPr>
          <w:p w14:paraId="0667437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6</w:t>
            </w:r>
          </w:p>
        </w:tc>
      </w:tr>
      <w:tr w:rsidR="003F0074" w:rsidRPr="00E319E3" w14:paraId="25BAD30C" w14:textId="77777777" w:rsidTr="00E319E3">
        <w:trPr>
          <w:trHeight w:val="302"/>
        </w:trPr>
        <w:tc>
          <w:tcPr>
            <w:tcW w:w="1458" w:type="dxa"/>
            <w:tcBorders>
              <w:top w:val="single" w:sz="6" w:space="0" w:color="000000"/>
              <w:left w:val="single" w:sz="4" w:space="0" w:color="000000"/>
              <w:bottom w:val="single" w:sz="6" w:space="0" w:color="000000"/>
              <w:right w:val="single" w:sz="6" w:space="0" w:color="000000"/>
            </w:tcBorders>
            <w:vAlign w:val="center"/>
          </w:tcPr>
          <w:p w14:paraId="4E6A371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Balvu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5BD062E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16</w:t>
            </w:r>
          </w:p>
        </w:tc>
        <w:tc>
          <w:tcPr>
            <w:tcW w:w="1418" w:type="dxa"/>
            <w:tcBorders>
              <w:top w:val="single" w:sz="6" w:space="0" w:color="000000"/>
              <w:left w:val="single" w:sz="6" w:space="0" w:color="000000"/>
              <w:bottom w:val="single" w:sz="6" w:space="0" w:color="000000"/>
              <w:right w:val="single" w:sz="6" w:space="0" w:color="000000"/>
            </w:tcBorders>
            <w:vAlign w:val="bottom"/>
          </w:tcPr>
          <w:p w14:paraId="646FAAF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AFF68A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8 038</w:t>
            </w:r>
          </w:p>
        </w:tc>
        <w:tc>
          <w:tcPr>
            <w:tcW w:w="2835" w:type="dxa"/>
            <w:tcBorders>
              <w:top w:val="single" w:sz="6" w:space="0" w:color="000000"/>
              <w:left w:val="single" w:sz="6" w:space="0" w:color="000000"/>
              <w:bottom w:val="single" w:sz="6" w:space="0" w:color="000000"/>
              <w:right w:val="single" w:sz="4" w:space="0" w:color="000000"/>
            </w:tcBorders>
            <w:vAlign w:val="bottom"/>
          </w:tcPr>
          <w:p w14:paraId="235F9A9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519</w:t>
            </w:r>
          </w:p>
        </w:tc>
      </w:tr>
      <w:tr w:rsidR="003F0074" w:rsidRPr="00E319E3" w14:paraId="648B989D"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0B3F49A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Baložu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15FA554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202</w:t>
            </w:r>
          </w:p>
        </w:tc>
        <w:tc>
          <w:tcPr>
            <w:tcW w:w="1418" w:type="dxa"/>
            <w:tcBorders>
              <w:top w:val="single" w:sz="6" w:space="0" w:color="000000"/>
              <w:left w:val="single" w:sz="6" w:space="0" w:color="000000"/>
              <w:bottom w:val="single" w:sz="6" w:space="0" w:color="000000"/>
              <w:right w:val="single" w:sz="6" w:space="0" w:color="000000"/>
            </w:tcBorders>
            <w:vAlign w:val="bottom"/>
          </w:tcPr>
          <w:p w14:paraId="3FA6600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CBFDC1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4 529</w:t>
            </w:r>
          </w:p>
        </w:tc>
        <w:tc>
          <w:tcPr>
            <w:tcW w:w="2835" w:type="dxa"/>
            <w:tcBorders>
              <w:top w:val="single" w:sz="6" w:space="0" w:color="000000"/>
              <w:left w:val="single" w:sz="6" w:space="0" w:color="000000"/>
              <w:bottom w:val="single" w:sz="6" w:space="0" w:color="000000"/>
              <w:right w:val="single" w:sz="4" w:space="0" w:color="000000"/>
            </w:tcBorders>
            <w:vAlign w:val="bottom"/>
          </w:tcPr>
          <w:p w14:paraId="176A4FF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22</w:t>
            </w:r>
          </w:p>
        </w:tc>
      </w:tr>
      <w:tr w:rsidR="003F0074" w:rsidRPr="00E319E3" w14:paraId="5053C6AE" w14:textId="77777777" w:rsidTr="00E319E3">
        <w:trPr>
          <w:trHeight w:val="314"/>
        </w:trPr>
        <w:tc>
          <w:tcPr>
            <w:tcW w:w="1458" w:type="dxa"/>
            <w:tcBorders>
              <w:top w:val="single" w:sz="6" w:space="0" w:color="000000"/>
              <w:left w:val="single" w:sz="4" w:space="0" w:color="000000"/>
              <w:bottom w:val="single" w:sz="6" w:space="0" w:color="000000"/>
              <w:right w:val="single" w:sz="6" w:space="0" w:color="000000"/>
            </w:tcBorders>
            <w:vAlign w:val="center"/>
          </w:tcPr>
          <w:p w14:paraId="5A6ABAF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Bauskas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B93803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163</w:t>
            </w:r>
          </w:p>
        </w:tc>
        <w:tc>
          <w:tcPr>
            <w:tcW w:w="1418" w:type="dxa"/>
            <w:tcBorders>
              <w:top w:val="single" w:sz="6" w:space="0" w:color="000000"/>
              <w:left w:val="single" w:sz="6" w:space="0" w:color="000000"/>
              <w:bottom w:val="single" w:sz="6" w:space="0" w:color="000000"/>
              <w:right w:val="single" w:sz="6" w:space="0" w:color="000000"/>
            </w:tcBorders>
            <w:vAlign w:val="bottom"/>
          </w:tcPr>
          <w:p w14:paraId="74AA28F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EF3C43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66 796</w:t>
            </w:r>
          </w:p>
        </w:tc>
        <w:tc>
          <w:tcPr>
            <w:tcW w:w="2835" w:type="dxa"/>
            <w:tcBorders>
              <w:top w:val="single" w:sz="6" w:space="0" w:color="000000"/>
              <w:left w:val="single" w:sz="6" w:space="0" w:color="000000"/>
              <w:bottom w:val="single" w:sz="6" w:space="0" w:color="000000"/>
              <w:right w:val="single" w:sz="4" w:space="0" w:color="000000"/>
            </w:tcBorders>
            <w:vAlign w:val="bottom"/>
          </w:tcPr>
          <w:p w14:paraId="28BC068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410</w:t>
            </w:r>
          </w:p>
        </w:tc>
      </w:tr>
      <w:tr w:rsidR="003F0074" w:rsidRPr="00E319E3" w14:paraId="354A8002"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38F9E64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Cēsu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66047FF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742</w:t>
            </w:r>
          </w:p>
        </w:tc>
        <w:tc>
          <w:tcPr>
            <w:tcW w:w="1418" w:type="dxa"/>
            <w:tcBorders>
              <w:top w:val="single" w:sz="6" w:space="0" w:color="000000"/>
              <w:left w:val="single" w:sz="6" w:space="0" w:color="000000"/>
              <w:bottom w:val="single" w:sz="6" w:space="0" w:color="000000"/>
              <w:right w:val="single" w:sz="6" w:space="0" w:color="000000"/>
            </w:tcBorders>
            <w:vAlign w:val="bottom"/>
          </w:tcPr>
          <w:p w14:paraId="55AF2EA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C9EA94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22 944</w:t>
            </w:r>
          </w:p>
        </w:tc>
        <w:tc>
          <w:tcPr>
            <w:tcW w:w="2835" w:type="dxa"/>
            <w:tcBorders>
              <w:top w:val="single" w:sz="6" w:space="0" w:color="000000"/>
              <w:left w:val="single" w:sz="6" w:space="0" w:color="000000"/>
              <w:bottom w:val="single" w:sz="6" w:space="0" w:color="000000"/>
              <w:right w:val="single" w:sz="4" w:space="0" w:color="000000"/>
            </w:tcBorders>
            <w:vAlign w:val="bottom"/>
          </w:tcPr>
          <w:p w14:paraId="2DD090A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31</w:t>
            </w:r>
          </w:p>
        </w:tc>
      </w:tr>
      <w:tr w:rsidR="003F0074" w:rsidRPr="00E319E3" w14:paraId="1005C8E6"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061D93B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Daugavpils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37B77AF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2 532</w:t>
            </w:r>
          </w:p>
        </w:tc>
        <w:tc>
          <w:tcPr>
            <w:tcW w:w="1418" w:type="dxa"/>
            <w:tcBorders>
              <w:top w:val="single" w:sz="6" w:space="0" w:color="000000"/>
              <w:left w:val="single" w:sz="6" w:space="0" w:color="000000"/>
              <w:bottom w:val="single" w:sz="6" w:space="0" w:color="000000"/>
              <w:right w:val="single" w:sz="6" w:space="0" w:color="000000"/>
            </w:tcBorders>
            <w:vAlign w:val="bottom"/>
          </w:tcPr>
          <w:p w14:paraId="14F4254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46D15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37 870</w:t>
            </w:r>
          </w:p>
        </w:tc>
        <w:tc>
          <w:tcPr>
            <w:tcW w:w="2835" w:type="dxa"/>
            <w:tcBorders>
              <w:top w:val="single" w:sz="6" w:space="0" w:color="000000"/>
              <w:left w:val="single" w:sz="6" w:space="0" w:color="000000"/>
              <w:bottom w:val="single" w:sz="6" w:space="0" w:color="000000"/>
              <w:right w:val="single" w:sz="4" w:space="0" w:color="000000"/>
            </w:tcBorders>
            <w:vAlign w:val="bottom"/>
          </w:tcPr>
          <w:p w14:paraId="38D9A11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w:t>
            </w:r>
          </w:p>
        </w:tc>
      </w:tr>
      <w:tr w:rsidR="003F0074" w:rsidRPr="00E319E3" w14:paraId="62834D82"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8F8D55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Dobeles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D1DC79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255</w:t>
            </w:r>
          </w:p>
        </w:tc>
        <w:tc>
          <w:tcPr>
            <w:tcW w:w="1418" w:type="dxa"/>
            <w:tcBorders>
              <w:top w:val="single" w:sz="6" w:space="0" w:color="000000"/>
              <w:left w:val="single" w:sz="6" w:space="0" w:color="000000"/>
              <w:bottom w:val="single" w:sz="6" w:space="0" w:color="000000"/>
              <w:right w:val="single" w:sz="6" w:space="0" w:color="000000"/>
            </w:tcBorders>
            <w:vAlign w:val="bottom"/>
          </w:tcPr>
          <w:p w14:paraId="4A7DF8C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DBD510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95 427</w:t>
            </w:r>
          </w:p>
        </w:tc>
        <w:tc>
          <w:tcPr>
            <w:tcW w:w="2835" w:type="dxa"/>
            <w:tcBorders>
              <w:top w:val="single" w:sz="6" w:space="0" w:color="000000"/>
              <w:left w:val="single" w:sz="6" w:space="0" w:color="000000"/>
              <w:bottom w:val="single" w:sz="6" w:space="0" w:color="000000"/>
              <w:right w:val="single" w:sz="4" w:space="0" w:color="000000"/>
            </w:tcBorders>
            <w:vAlign w:val="bottom"/>
          </w:tcPr>
          <w:p w14:paraId="42DAE4A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374</w:t>
            </w:r>
          </w:p>
        </w:tc>
      </w:tr>
      <w:tr w:rsidR="003F0074" w:rsidRPr="00E319E3" w14:paraId="23C17CA4"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624168D0" w14:textId="77777777" w:rsidR="00EA051D" w:rsidRPr="00E319E3" w:rsidRDefault="00EA051D" w:rsidP="00D70884">
            <w:pPr>
              <w:spacing w:after="60"/>
              <w:jc w:val="center"/>
              <w:rPr>
                <w:rFonts w:ascii="Times New Roman" w:hAnsi="Times New Roman" w:cs="Times New Roman"/>
                <w:bCs/>
                <w:color w:val="000000"/>
                <w:sz w:val="18"/>
              </w:rPr>
            </w:pPr>
            <w:r w:rsidRPr="00E319E3">
              <w:rPr>
                <w:rFonts w:ascii="Times New Roman" w:hAnsi="Times New Roman" w:cs="Times New Roman"/>
                <w:bCs/>
                <w:color w:val="000000"/>
                <w:sz w:val="18"/>
              </w:rPr>
              <w:t>Gulbenes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25EE5A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80</w:t>
            </w:r>
          </w:p>
        </w:tc>
        <w:tc>
          <w:tcPr>
            <w:tcW w:w="1418" w:type="dxa"/>
            <w:tcBorders>
              <w:top w:val="single" w:sz="6" w:space="0" w:color="000000"/>
              <w:left w:val="single" w:sz="6" w:space="0" w:color="000000"/>
              <w:bottom w:val="single" w:sz="6" w:space="0" w:color="000000"/>
              <w:right w:val="single" w:sz="6" w:space="0" w:color="000000"/>
            </w:tcBorders>
            <w:vAlign w:val="bottom"/>
          </w:tcPr>
          <w:p w14:paraId="0D9E103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3DFE25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16 361</w:t>
            </w:r>
          </w:p>
        </w:tc>
        <w:tc>
          <w:tcPr>
            <w:tcW w:w="2835" w:type="dxa"/>
            <w:tcBorders>
              <w:top w:val="single" w:sz="6" w:space="0" w:color="000000"/>
              <w:left w:val="single" w:sz="6" w:space="0" w:color="000000"/>
              <w:bottom w:val="single" w:sz="6" w:space="0" w:color="000000"/>
              <w:right w:val="single" w:sz="4" w:space="0" w:color="000000"/>
            </w:tcBorders>
            <w:vAlign w:val="bottom"/>
          </w:tcPr>
          <w:p w14:paraId="3EFA4F5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205</w:t>
            </w:r>
          </w:p>
        </w:tc>
      </w:tr>
      <w:tr w:rsidR="003F0074" w:rsidRPr="00E319E3" w14:paraId="77B89E4C"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50D76B7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Ilūkstes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7343279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45</w:t>
            </w:r>
          </w:p>
        </w:tc>
        <w:tc>
          <w:tcPr>
            <w:tcW w:w="1418" w:type="dxa"/>
            <w:tcBorders>
              <w:top w:val="single" w:sz="6" w:space="0" w:color="000000"/>
              <w:left w:val="single" w:sz="6" w:space="0" w:color="000000"/>
              <w:bottom w:val="single" w:sz="6" w:space="0" w:color="000000"/>
              <w:right w:val="single" w:sz="6" w:space="0" w:color="000000"/>
            </w:tcBorders>
            <w:vAlign w:val="bottom"/>
          </w:tcPr>
          <w:p w14:paraId="7252F13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FCED0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12 693</w:t>
            </w:r>
          </w:p>
        </w:tc>
        <w:tc>
          <w:tcPr>
            <w:tcW w:w="2835" w:type="dxa"/>
            <w:tcBorders>
              <w:top w:val="single" w:sz="6" w:space="0" w:color="000000"/>
              <w:left w:val="single" w:sz="6" w:space="0" w:color="000000"/>
              <w:bottom w:val="single" w:sz="6" w:space="0" w:color="000000"/>
              <w:right w:val="single" w:sz="4" w:space="0" w:color="000000"/>
            </w:tcBorders>
            <w:vAlign w:val="bottom"/>
          </w:tcPr>
          <w:p w14:paraId="6C1EE15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280</w:t>
            </w:r>
          </w:p>
        </w:tc>
      </w:tr>
      <w:tr w:rsidR="003F0074" w:rsidRPr="00E319E3" w14:paraId="6013C239"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009DD10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Jelgavas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167F5E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2 010</w:t>
            </w:r>
          </w:p>
        </w:tc>
        <w:tc>
          <w:tcPr>
            <w:tcW w:w="1418" w:type="dxa"/>
            <w:tcBorders>
              <w:top w:val="single" w:sz="6" w:space="0" w:color="000000"/>
              <w:left w:val="single" w:sz="6" w:space="0" w:color="000000"/>
              <w:bottom w:val="single" w:sz="6" w:space="0" w:color="000000"/>
              <w:right w:val="single" w:sz="6" w:space="0" w:color="000000"/>
            </w:tcBorders>
            <w:vAlign w:val="bottom"/>
          </w:tcPr>
          <w:p w14:paraId="4C51269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041357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103 231</w:t>
            </w:r>
          </w:p>
        </w:tc>
        <w:tc>
          <w:tcPr>
            <w:tcW w:w="2835" w:type="dxa"/>
            <w:tcBorders>
              <w:top w:val="single" w:sz="6" w:space="0" w:color="000000"/>
              <w:left w:val="single" w:sz="6" w:space="0" w:color="000000"/>
              <w:bottom w:val="single" w:sz="6" w:space="0" w:color="000000"/>
              <w:right w:val="single" w:sz="4" w:space="0" w:color="000000"/>
            </w:tcBorders>
            <w:vAlign w:val="bottom"/>
          </w:tcPr>
          <w:p w14:paraId="40ADA15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51</w:t>
            </w:r>
          </w:p>
        </w:tc>
      </w:tr>
      <w:tr w:rsidR="003F0074" w:rsidRPr="00E319E3" w14:paraId="32B3FD18"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710EFE5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Jēkabpils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673F3BB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352</w:t>
            </w:r>
          </w:p>
        </w:tc>
        <w:tc>
          <w:tcPr>
            <w:tcW w:w="1418" w:type="dxa"/>
            <w:tcBorders>
              <w:top w:val="single" w:sz="6" w:space="0" w:color="000000"/>
              <w:left w:val="single" w:sz="6" w:space="0" w:color="000000"/>
              <w:bottom w:val="single" w:sz="6" w:space="0" w:color="000000"/>
              <w:right w:val="single" w:sz="6" w:space="0" w:color="000000"/>
            </w:tcBorders>
            <w:vAlign w:val="bottom"/>
          </w:tcPr>
          <w:p w14:paraId="7FE2069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D238A0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30 624</w:t>
            </w:r>
          </w:p>
        </w:tc>
        <w:tc>
          <w:tcPr>
            <w:tcW w:w="2835" w:type="dxa"/>
            <w:tcBorders>
              <w:top w:val="single" w:sz="6" w:space="0" w:color="000000"/>
              <w:left w:val="single" w:sz="6" w:space="0" w:color="000000"/>
              <w:bottom w:val="single" w:sz="6" w:space="0" w:color="000000"/>
              <w:right w:val="single" w:sz="4" w:space="0" w:color="000000"/>
            </w:tcBorders>
            <w:vAlign w:val="bottom"/>
          </w:tcPr>
          <w:p w14:paraId="7773DB6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87</w:t>
            </w:r>
          </w:p>
        </w:tc>
      </w:tr>
      <w:tr w:rsidR="003F0074" w:rsidRPr="00E319E3" w14:paraId="4630C8CB"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3E01481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Jūrmalas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5236F03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922</w:t>
            </w:r>
          </w:p>
        </w:tc>
        <w:tc>
          <w:tcPr>
            <w:tcW w:w="1418" w:type="dxa"/>
            <w:tcBorders>
              <w:top w:val="single" w:sz="6" w:space="0" w:color="000000"/>
              <w:left w:val="single" w:sz="6" w:space="0" w:color="000000"/>
              <w:bottom w:val="single" w:sz="6" w:space="0" w:color="000000"/>
              <w:right w:val="single" w:sz="6" w:space="0" w:color="000000"/>
            </w:tcBorders>
            <w:vAlign w:val="bottom"/>
          </w:tcPr>
          <w:p w14:paraId="20AB779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D1748A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11 928</w:t>
            </w:r>
          </w:p>
        </w:tc>
        <w:tc>
          <w:tcPr>
            <w:tcW w:w="2835" w:type="dxa"/>
            <w:tcBorders>
              <w:top w:val="single" w:sz="6" w:space="0" w:color="000000"/>
              <w:left w:val="single" w:sz="6" w:space="0" w:color="000000"/>
              <w:bottom w:val="single" w:sz="6" w:space="0" w:color="000000"/>
              <w:right w:val="single" w:sz="4" w:space="0" w:color="000000"/>
            </w:tcBorders>
            <w:vAlign w:val="bottom"/>
          </w:tcPr>
          <w:p w14:paraId="314BDB8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13</w:t>
            </w:r>
          </w:p>
        </w:tc>
      </w:tr>
      <w:tr w:rsidR="003F0074" w:rsidRPr="00E319E3" w14:paraId="473DC58E" w14:textId="77777777" w:rsidTr="00E319E3">
        <w:trPr>
          <w:trHeight w:val="302"/>
        </w:trPr>
        <w:tc>
          <w:tcPr>
            <w:tcW w:w="1458" w:type="dxa"/>
            <w:tcBorders>
              <w:top w:val="single" w:sz="6" w:space="0" w:color="000000"/>
              <w:left w:val="single" w:sz="4" w:space="0" w:color="000000"/>
              <w:bottom w:val="single" w:sz="6" w:space="0" w:color="000000"/>
              <w:right w:val="single" w:sz="6" w:space="0" w:color="000000"/>
            </w:tcBorders>
            <w:vAlign w:val="center"/>
          </w:tcPr>
          <w:p w14:paraId="5893E0E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Krāslavas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3C289B0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149</w:t>
            </w:r>
          </w:p>
        </w:tc>
        <w:tc>
          <w:tcPr>
            <w:tcW w:w="1418" w:type="dxa"/>
            <w:tcBorders>
              <w:top w:val="single" w:sz="6" w:space="0" w:color="000000"/>
              <w:left w:val="single" w:sz="6" w:space="0" w:color="000000"/>
              <w:bottom w:val="single" w:sz="6" w:space="0" w:color="000000"/>
              <w:right w:val="single" w:sz="6" w:space="0" w:color="000000"/>
            </w:tcBorders>
            <w:vAlign w:val="bottom"/>
          </w:tcPr>
          <w:p w14:paraId="7CCFEE1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FEF1D4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13 041</w:t>
            </w:r>
          </w:p>
        </w:tc>
        <w:tc>
          <w:tcPr>
            <w:tcW w:w="2835" w:type="dxa"/>
            <w:tcBorders>
              <w:top w:val="single" w:sz="6" w:space="0" w:color="000000"/>
              <w:left w:val="single" w:sz="6" w:space="0" w:color="000000"/>
              <w:bottom w:val="single" w:sz="6" w:space="0" w:color="000000"/>
              <w:right w:val="single" w:sz="4" w:space="0" w:color="000000"/>
            </w:tcBorders>
            <w:vAlign w:val="bottom"/>
          </w:tcPr>
          <w:p w14:paraId="234272E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87</w:t>
            </w:r>
          </w:p>
        </w:tc>
      </w:tr>
      <w:tr w:rsidR="003F0074" w:rsidRPr="00E319E3" w14:paraId="7BBBAA55"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27D0ABA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Kuldīgas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B571CE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348</w:t>
            </w:r>
          </w:p>
        </w:tc>
        <w:tc>
          <w:tcPr>
            <w:tcW w:w="1418" w:type="dxa"/>
            <w:tcBorders>
              <w:top w:val="single" w:sz="6" w:space="0" w:color="000000"/>
              <w:left w:val="single" w:sz="6" w:space="0" w:color="000000"/>
              <w:bottom w:val="single" w:sz="6" w:space="0" w:color="000000"/>
              <w:right w:val="single" w:sz="6" w:space="0" w:color="000000"/>
            </w:tcBorders>
            <w:vAlign w:val="bottom"/>
          </w:tcPr>
          <w:p w14:paraId="27FCE34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BA8AD7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27 048</w:t>
            </w:r>
          </w:p>
        </w:tc>
        <w:tc>
          <w:tcPr>
            <w:tcW w:w="2835" w:type="dxa"/>
            <w:tcBorders>
              <w:top w:val="single" w:sz="6" w:space="0" w:color="000000"/>
              <w:left w:val="single" w:sz="6" w:space="0" w:color="000000"/>
              <w:bottom w:val="single" w:sz="6" w:space="0" w:color="000000"/>
              <w:right w:val="single" w:sz="4" w:space="0" w:color="000000"/>
            </w:tcBorders>
            <w:vAlign w:val="bottom"/>
          </w:tcPr>
          <w:p w14:paraId="01141D7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78</w:t>
            </w:r>
          </w:p>
        </w:tc>
      </w:tr>
      <w:tr w:rsidR="003F0074" w:rsidRPr="00E319E3" w14:paraId="0E0333E6"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698276F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Liepājas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D1BB3E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1 320</w:t>
            </w:r>
          </w:p>
        </w:tc>
        <w:tc>
          <w:tcPr>
            <w:tcW w:w="1418" w:type="dxa"/>
            <w:tcBorders>
              <w:top w:val="single" w:sz="6" w:space="0" w:color="000000"/>
              <w:left w:val="single" w:sz="6" w:space="0" w:color="000000"/>
              <w:bottom w:val="single" w:sz="6" w:space="0" w:color="000000"/>
              <w:right w:val="single" w:sz="6" w:space="0" w:color="000000"/>
            </w:tcBorders>
            <w:vAlign w:val="bottom"/>
          </w:tcPr>
          <w:p w14:paraId="3AD0B52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3C1662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33 735</w:t>
            </w:r>
          </w:p>
        </w:tc>
        <w:tc>
          <w:tcPr>
            <w:tcW w:w="2835" w:type="dxa"/>
            <w:tcBorders>
              <w:top w:val="single" w:sz="6" w:space="0" w:color="000000"/>
              <w:left w:val="single" w:sz="6" w:space="0" w:color="000000"/>
              <w:bottom w:val="single" w:sz="6" w:space="0" w:color="000000"/>
              <w:right w:val="single" w:sz="4" w:space="0" w:color="000000"/>
            </w:tcBorders>
            <w:vAlign w:val="bottom"/>
          </w:tcPr>
          <w:p w14:paraId="5D79356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26</w:t>
            </w:r>
          </w:p>
        </w:tc>
      </w:tr>
      <w:tr w:rsidR="003F0074" w:rsidRPr="00E319E3" w14:paraId="06358663"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2BEAB2DB" w14:textId="120A6A79"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Limbažu</w:t>
            </w:r>
            <w:r w:rsidR="00674A2E">
              <w:rPr>
                <w:rFonts w:ascii="Times New Roman" w:hAnsi="Times New Roman" w:cs="Times New Roman"/>
                <w:bCs/>
                <w:color w:val="000000"/>
                <w:sz w:val="18"/>
              </w:rPr>
              <w:t xml:space="preserve"> </w:t>
            </w:r>
            <w:r w:rsidRPr="00E319E3">
              <w:rPr>
                <w:rFonts w:ascii="Times New Roman" w:hAnsi="Times New Roman" w:cs="Times New Roman"/>
                <w:bCs/>
                <w:color w:val="000000"/>
                <w:sz w:val="18"/>
              </w:rPr>
              <w:t>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65DC4D2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214</w:t>
            </w:r>
          </w:p>
        </w:tc>
        <w:tc>
          <w:tcPr>
            <w:tcW w:w="1418" w:type="dxa"/>
            <w:tcBorders>
              <w:top w:val="single" w:sz="6" w:space="0" w:color="000000"/>
              <w:left w:val="single" w:sz="6" w:space="0" w:color="000000"/>
              <w:bottom w:val="single" w:sz="6" w:space="0" w:color="000000"/>
              <w:right w:val="single" w:sz="6" w:space="0" w:color="000000"/>
            </w:tcBorders>
            <w:vAlign w:val="bottom"/>
          </w:tcPr>
          <w:p w14:paraId="4F88C9F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DB867F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19 414</w:t>
            </w:r>
          </w:p>
        </w:tc>
        <w:tc>
          <w:tcPr>
            <w:tcW w:w="2835" w:type="dxa"/>
            <w:tcBorders>
              <w:top w:val="single" w:sz="6" w:space="0" w:color="000000"/>
              <w:left w:val="single" w:sz="6" w:space="0" w:color="000000"/>
              <w:bottom w:val="single" w:sz="6" w:space="0" w:color="000000"/>
              <w:right w:val="single" w:sz="4" w:space="0" w:color="000000"/>
            </w:tcBorders>
            <w:vAlign w:val="bottom"/>
          </w:tcPr>
          <w:p w14:paraId="367A204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91</w:t>
            </w:r>
          </w:p>
        </w:tc>
      </w:tr>
      <w:tr w:rsidR="003F0074" w:rsidRPr="00E319E3" w14:paraId="0F94C4F2"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E712CB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Līvānu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66CDAE3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158</w:t>
            </w:r>
          </w:p>
        </w:tc>
        <w:tc>
          <w:tcPr>
            <w:tcW w:w="1418" w:type="dxa"/>
            <w:tcBorders>
              <w:top w:val="single" w:sz="6" w:space="0" w:color="000000"/>
              <w:left w:val="single" w:sz="6" w:space="0" w:color="000000"/>
              <w:bottom w:val="single" w:sz="6" w:space="0" w:color="000000"/>
              <w:right w:val="single" w:sz="6" w:space="0" w:color="000000"/>
            </w:tcBorders>
            <w:vAlign w:val="bottom"/>
          </w:tcPr>
          <w:p w14:paraId="7BA15B3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835CBC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21 872</w:t>
            </w:r>
          </w:p>
        </w:tc>
        <w:tc>
          <w:tcPr>
            <w:tcW w:w="2835" w:type="dxa"/>
            <w:tcBorders>
              <w:top w:val="single" w:sz="6" w:space="0" w:color="000000"/>
              <w:left w:val="single" w:sz="6" w:space="0" w:color="000000"/>
              <w:bottom w:val="single" w:sz="6" w:space="0" w:color="000000"/>
              <w:right w:val="single" w:sz="4" w:space="0" w:color="000000"/>
            </w:tcBorders>
            <w:vAlign w:val="bottom"/>
          </w:tcPr>
          <w:p w14:paraId="42D8BB4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139</w:t>
            </w:r>
          </w:p>
        </w:tc>
      </w:tr>
      <w:tr w:rsidR="003F0074" w:rsidRPr="00E319E3" w14:paraId="22706A65"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595435F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Ludzas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EA6BAC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103</w:t>
            </w:r>
          </w:p>
        </w:tc>
        <w:tc>
          <w:tcPr>
            <w:tcW w:w="1418" w:type="dxa"/>
            <w:tcBorders>
              <w:top w:val="single" w:sz="6" w:space="0" w:color="000000"/>
              <w:left w:val="single" w:sz="6" w:space="0" w:color="000000"/>
              <w:bottom w:val="single" w:sz="6" w:space="0" w:color="000000"/>
              <w:right w:val="single" w:sz="6" w:space="0" w:color="000000"/>
            </w:tcBorders>
            <w:vAlign w:val="bottom"/>
          </w:tcPr>
          <w:p w14:paraId="2D57C4F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B2C612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17 829</w:t>
            </w:r>
          </w:p>
        </w:tc>
        <w:tc>
          <w:tcPr>
            <w:tcW w:w="2835" w:type="dxa"/>
            <w:tcBorders>
              <w:top w:val="single" w:sz="6" w:space="0" w:color="000000"/>
              <w:left w:val="single" w:sz="6" w:space="0" w:color="000000"/>
              <w:bottom w:val="single" w:sz="6" w:space="0" w:color="000000"/>
              <w:right w:val="single" w:sz="4" w:space="0" w:color="000000"/>
            </w:tcBorders>
            <w:vAlign w:val="bottom"/>
          </w:tcPr>
          <w:p w14:paraId="1097965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172</w:t>
            </w:r>
          </w:p>
        </w:tc>
      </w:tr>
      <w:tr w:rsidR="003F0074" w:rsidRPr="00E319E3" w14:paraId="0EB84E8B"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DAE5AC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Madonas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34DDD6C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404</w:t>
            </w:r>
          </w:p>
        </w:tc>
        <w:tc>
          <w:tcPr>
            <w:tcW w:w="1418" w:type="dxa"/>
            <w:tcBorders>
              <w:top w:val="single" w:sz="6" w:space="0" w:color="000000"/>
              <w:left w:val="single" w:sz="6" w:space="0" w:color="000000"/>
              <w:bottom w:val="single" w:sz="6" w:space="0" w:color="000000"/>
              <w:right w:val="single" w:sz="6" w:space="0" w:color="000000"/>
            </w:tcBorders>
            <w:vAlign w:val="bottom"/>
          </w:tcPr>
          <w:p w14:paraId="3D84FFC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56838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16 880</w:t>
            </w:r>
          </w:p>
        </w:tc>
        <w:tc>
          <w:tcPr>
            <w:tcW w:w="2835" w:type="dxa"/>
            <w:tcBorders>
              <w:top w:val="single" w:sz="6" w:space="0" w:color="000000"/>
              <w:left w:val="single" w:sz="6" w:space="0" w:color="000000"/>
              <w:bottom w:val="single" w:sz="6" w:space="0" w:color="000000"/>
              <w:right w:val="single" w:sz="4" w:space="0" w:color="000000"/>
            </w:tcBorders>
            <w:vAlign w:val="bottom"/>
          </w:tcPr>
          <w:p w14:paraId="3C0108B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42</w:t>
            </w:r>
          </w:p>
        </w:tc>
      </w:tr>
      <w:tr w:rsidR="003F0074" w:rsidRPr="00E319E3" w14:paraId="66E6F0AB"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FA9D9D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Ogres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217523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628</w:t>
            </w:r>
          </w:p>
        </w:tc>
        <w:tc>
          <w:tcPr>
            <w:tcW w:w="1418" w:type="dxa"/>
            <w:tcBorders>
              <w:top w:val="single" w:sz="6" w:space="0" w:color="000000"/>
              <w:left w:val="single" w:sz="6" w:space="0" w:color="000000"/>
              <w:bottom w:val="single" w:sz="6" w:space="0" w:color="000000"/>
              <w:right w:val="single" w:sz="6" w:space="0" w:color="000000"/>
            </w:tcBorders>
            <w:vAlign w:val="bottom"/>
          </w:tcPr>
          <w:p w14:paraId="13BAEA6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4BEDE5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12 746</w:t>
            </w:r>
          </w:p>
        </w:tc>
        <w:tc>
          <w:tcPr>
            <w:tcW w:w="2835" w:type="dxa"/>
            <w:tcBorders>
              <w:top w:val="single" w:sz="6" w:space="0" w:color="000000"/>
              <w:left w:val="single" w:sz="6" w:space="0" w:color="000000"/>
              <w:bottom w:val="single" w:sz="6" w:space="0" w:color="000000"/>
              <w:right w:val="single" w:sz="4" w:space="0" w:color="000000"/>
            </w:tcBorders>
            <w:vAlign w:val="bottom"/>
          </w:tcPr>
          <w:p w14:paraId="296370B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r>
      <w:tr w:rsidR="003F0074" w:rsidRPr="00E319E3" w14:paraId="1A2C7AC3"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4ABBD1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Olaines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B81131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538</w:t>
            </w:r>
          </w:p>
        </w:tc>
        <w:tc>
          <w:tcPr>
            <w:tcW w:w="1418" w:type="dxa"/>
            <w:tcBorders>
              <w:top w:val="single" w:sz="6" w:space="0" w:color="000000"/>
              <w:left w:val="single" w:sz="6" w:space="0" w:color="000000"/>
              <w:bottom w:val="single" w:sz="6" w:space="0" w:color="000000"/>
              <w:right w:val="single" w:sz="6" w:space="0" w:color="000000"/>
            </w:tcBorders>
            <w:vAlign w:val="bottom"/>
          </w:tcPr>
          <w:p w14:paraId="71C5172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15A11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18 081</w:t>
            </w:r>
          </w:p>
        </w:tc>
        <w:tc>
          <w:tcPr>
            <w:tcW w:w="2835" w:type="dxa"/>
            <w:tcBorders>
              <w:top w:val="single" w:sz="6" w:space="0" w:color="000000"/>
              <w:left w:val="single" w:sz="6" w:space="0" w:color="000000"/>
              <w:bottom w:val="single" w:sz="6" w:space="0" w:color="000000"/>
              <w:right w:val="single" w:sz="4" w:space="0" w:color="000000"/>
            </w:tcBorders>
            <w:vAlign w:val="bottom"/>
          </w:tcPr>
          <w:p w14:paraId="25D291B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34</w:t>
            </w:r>
          </w:p>
        </w:tc>
      </w:tr>
      <w:tr w:rsidR="003F0074" w:rsidRPr="00E319E3" w14:paraId="6C17B2BB"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376E528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Ozolnieku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1E61982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40</w:t>
            </w:r>
          </w:p>
        </w:tc>
        <w:tc>
          <w:tcPr>
            <w:tcW w:w="1418" w:type="dxa"/>
            <w:tcBorders>
              <w:top w:val="single" w:sz="6" w:space="0" w:color="000000"/>
              <w:left w:val="single" w:sz="6" w:space="0" w:color="000000"/>
              <w:bottom w:val="single" w:sz="6" w:space="0" w:color="000000"/>
              <w:right w:val="single" w:sz="6" w:space="0" w:color="000000"/>
            </w:tcBorders>
            <w:vAlign w:val="bottom"/>
          </w:tcPr>
          <w:p w14:paraId="2117F5F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F4351E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8 197</w:t>
            </w:r>
          </w:p>
        </w:tc>
        <w:tc>
          <w:tcPr>
            <w:tcW w:w="2835" w:type="dxa"/>
            <w:tcBorders>
              <w:top w:val="single" w:sz="6" w:space="0" w:color="000000"/>
              <w:left w:val="single" w:sz="6" w:space="0" w:color="000000"/>
              <w:bottom w:val="single" w:sz="6" w:space="0" w:color="000000"/>
              <w:right w:val="single" w:sz="4" w:space="0" w:color="000000"/>
            </w:tcBorders>
            <w:vAlign w:val="bottom"/>
          </w:tcPr>
          <w:p w14:paraId="44AAEB7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203</w:t>
            </w:r>
          </w:p>
        </w:tc>
      </w:tr>
      <w:tr w:rsidR="003F0074" w:rsidRPr="00E319E3" w14:paraId="5FC9C2F5"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643097DB" w14:textId="77777777" w:rsidR="00EA051D" w:rsidRPr="00E319E3" w:rsidRDefault="00EA051D" w:rsidP="00D70884">
            <w:pPr>
              <w:spacing w:after="60"/>
              <w:jc w:val="center"/>
              <w:rPr>
                <w:rFonts w:ascii="Times New Roman" w:hAnsi="Times New Roman" w:cs="Times New Roman"/>
                <w:bCs/>
                <w:color w:val="000000"/>
                <w:sz w:val="18"/>
              </w:rPr>
            </w:pPr>
            <w:r w:rsidRPr="00E319E3">
              <w:rPr>
                <w:rFonts w:ascii="Times New Roman" w:hAnsi="Times New Roman" w:cs="Times New Roman"/>
                <w:bCs/>
                <w:color w:val="000000"/>
                <w:sz w:val="18"/>
              </w:rPr>
              <w:t>Piņķu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373EAA5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134</w:t>
            </w:r>
          </w:p>
        </w:tc>
        <w:tc>
          <w:tcPr>
            <w:tcW w:w="1418" w:type="dxa"/>
            <w:tcBorders>
              <w:top w:val="single" w:sz="6" w:space="0" w:color="000000"/>
              <w:left w:val="single" w:sz="6" w:space="0" w:color="000000"/>
              <w:bottom w:val="single" w:sz="6" w:space="0" w:color="000000"/>
              <w:right w:val="single" w:sz="6" w:space="0" w:color="000000"/>
            </w:tcBorders>
            <w:vAlign w:val="bottom"/>
          </w:tcPr>
          <w:p w14:paraId="7A1A8AA6"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745EC7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3 029</w:t>
            </w:r>
          </w:p>
        </w:tc>
        <w:tc>
          <w:tcPr>
            <w:tcW w:w="2835" w:type="dxa"/>
            <w:tcBorders>
              <w:top w:val="single" w:sz="6" w:space="0" w:color="000000"/>
              <w:left w:val="single" w:sz="6" w:space="0" w:color="000000"/>
              <w:bottom w:val="single" w:sz="6" w:space="0" w:color="000000"/>
              <w:right w:val="single" w:sz="4" w:space="0" w:color="000000"/>
            </w:tcBorders>
            <w:vAlign w:val="bottom"/>
          </w:tcPr>
          <w:p w14:paraId="008DED0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23</w:t>
            </w:r>
          </w:p>
        </w:tc>
      </w:tr>
      <w:tr w:rsidR="003F0074" w:rsidRPr="00E319E3" w14:paraId="56E563DF"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5A49266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Preiļu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353AE0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284</w:t>
            </w:r>
          </w:p>
        </w:tc>
        <w:tc>
          <w:tcPr>
            <w:tcW w:w="1418" w:type="dxa"/>
            <w:tcBorders>
              <w:top w:val="single" w:sz="6" w:space="0" w:color="000000"/>
              <w:left w:val="single" w:sz="6" w:space="0" w:color="000000"/>
              <w:bottom w:val="single" w:sz="6" w:space="0" w:color="000000"/>
              <w:right w:val="single" w:sz="6" w:space="0" w:color="000000"/>
            </w:tcBorders>
            <w:vAlign w:val="bottom"/>
          </w:tcPr>
          <w:p w14:paraId="7C478C7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FE3C5B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29 146</w:t>
            </w:r>
          </w:p>
        </w:tc>
        <w:tc>
          <w:tcPr>
            <w:tcW w:w="2835" w:type="dxa"/>
            <w:tcBorders>
              <w:top w:val="single" w:sz="6" w:space="0" w:color="000000"/>
              <w:left w:val="single" w:sz="6" w:space="0" w:color="000000"/>
              <w:bottom w:val="single" w:sz="6" w:space="0" w:color="000000"/>
              <w:right w:val="single" w:sz="4" w:space="0" w:color="000000"/>
            </w:tcBorders>
            <w:vAlign w:val="bottom"/>
          </w:tcPr>
          <w:p w14:paraId="402497E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103</w:t>
            </w:r>
          </w:p>
        </w:tc>
      </w:tr>
      <w:tr w:rsidR="003F0074" w:rsidRPr="00E319E3" w14:paraId="389AB030"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393536C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Rēzeknes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498274A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1 540</w:t>
            </w:r>
          </w:p>
        </w:tc>
        <w:tc>
          <w:tcPr>
            <w:tcW w:w="1418" w:type="dxa"/>
            <w:tcBorders>
              <w:top w:val="single" w:sz="6" w:space="0" w:color="000000"/>
              <w:left w:val="single" w:sz="6" w:space="0" w:color="000000"/>
              <w:bottom w:val="single" w:sz="6" w:space="0" w:color="000000"/>
              <w:right w:val="single" w:sz="6" w:space="0" w:color="000000"/>
            </w:tcBorders>
            <w:vAlign w:val="bottom"/>
          </w:tcPr>
          <w:p w14:paraId="2CC25C7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762691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55 277</w:t>
            </w:r>
          </w:p>
        </w:tc>
        <w:tc>
          <w:tcPr>
            <w:tcW w:w="2835" w:type="dxa"/>
            <w:tcBorders>
              <w:top w:val="single" w:sz="6" w:space="0" w:color="000000"/>
              <w:left w:val="single" w:sz="6" w:space="0" w:color="000000"/>
              <w:bottom w:val="single" w:sz="6" w:space="0" w:color="000000"/>
              <w:right w:val="single" w:sz="4" w:space="0" w:color="000000"/>
            </w:tcBorders>
            <w:vAlign w:val="bottom"/>
          </w:tcPr>
          <w:p w14:paraId="5565AC9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36</w:t>
            </w:r>
          </w:p>
        </w:tc>
      </w:tr>
      <w:tr w:rsidR="003F0074" w:rsidRPr="00E319E3" w14:paraId="32996E49"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2165F60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Salaspils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5F9C6D8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579</w:t>
            </w:r>
          </w:p>
        </w:tc>
        <w:tc>
          <w:tcPr>
            <w:tcW w:w="1418" w:type="dxa"/>
            <w:tcBorders>
              <w:top w:val="single" w:sz="6" w:space="0" w:color="000000"/>
              <w:left w:val="single" w:sz="6" w:space="0" w:color="000000"/>
              <w:bottom w:val="single" w:sz="6" w:space="0" w:color="000000"/>
              <w:right w:val="single" w:sz="6" w:space="0" w:color="000000"/>
            </w:tcBorders>
            <w:vAlign w:val="bottom"/>
          </w:tcPr>
          <w:p w14:paraId="0F224E4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21ADC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7 654</w:t>
            </w:r>
          </w:p>
        </w:tc>
        <w:tc>
          <w:tcPr>
            <w:tcW w:w="2835" w:type="dxa"/>
            <w:tcBorders>
              <w:top w:val="single" w:sz="6" w:space="0" w:color="000000"/>
              <w:left w:val="single" w:sz="6" w:space="0" w:color="000000"/>
              <w:bottom w:val="single" w:sz="6" w:space="0" w:color="000000"/>
              <w:right w:val="single" w:sz="4" w:space="0" w:color="000000"/>
            </w:tcBorders>
            <w:vAlign w:val="bottom"/>
          </w:tcPr>
          <w:p w14:paraId="511520D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13</w:t>
            </w:r>
          </w:p>
        </w:tc>
      </w:tr>
      <w:tr w:rsidR="003F0074" w:rsidRPr="00E319E3" w14:paraId="21F23D68"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328B75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Saldus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C0F6A9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374</w:t>
            </w:r>
          </w:p>
        </w:tc>
        <w:tc>
          <w:tcPr>
            <w:tcW w:w="1418" w:type="dxa"/>
            <w:tcBorders>
              <w:top w:val="single" w:sz="6" w:space="0" w:color="000000"/>
              <w:left w:val="single" w:sz="6" w:space="0" w:color="000000"/>
              <w:bottom w:val="single" w:sz="6" w:space="0" w:color="000000"/>
              <w:right w:val="single" w:sz="6" w:space="0" w:color="000000"/>
            </w:tcBorders>
            <w:vAlign w:val="bottom"/>
          </w:tcPr>
          <w:p w14:paraId="4679DE3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C4F451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50 823</w:t>
            </w:r>
          </w:p>
        </w:tc>
        <w:tc>
          <w:tcPr>
            <w:tcW w:w="2835" w:type="dxa"/>
            <w:tcBorders>
              <w:top w:val="single" w:sz="6" w:space="0" w:color="000000"/>
              <w:left w:val="single" w:sz="6" w:space="0" w:color="000000"/>
              <w:bottom w:val="single" w:sz="6" w:space="0" w:color="000000"/>
              <w:right w:val="single" w:sz="4" w:space="0" w:color="000000"/>
            </w:tcBorders>
            <w:vAlign w:val="bottom"/>
          </w:tcPr>
          <w:p w14:paraId="1819698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136</w:t>
            </w:r>
          </w:p>
        </w:tc>
      </w:tr>
      <w:tr w:rsidR="003F0074" w:rsidRPr="00E319E3" w14:paraId="0EBB9694"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652A7EB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Saulkrastu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2A4B4A2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154</w:t>
            </w:r>
          </w:p>
        </w:tc>
        <w:tc>
          <w:tcPr>
            <w:tcW w:w="1418" w:type="dxa"/>
            <w:tcBorders>
              <w:top w:val="single" w:sz="6" w:space="0" w:color="000000"/>
              <w:left w:val="single" w:sz="6" w:space="0" w:color="000000"/>
              <w:bottom w:val="single" w:sz="6" w:space="0" w:color="000000"/>
              <w:right w:val="single" w:sz="6" w:space="0" w:color="000000"/>
            </w:tcBorders>
            <w:vAlign w:val="bottom"/>
          </w:tcPr>
          <w:p w14:paraId="2569A68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127088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10 724</w:t>
            </w:r>
          </w:p>
        </w:tc>
        <w:tc>
          <w:tcPr>
            <w:tcW w:w="2835" w:type="dxa"/>
            <w:tcBorders>
              <w:top w:val="single" w:sz="6" w:space="0" w:color="000000"/>
              <w:left w:val="single" w:sz="6" w:space="0" w:color="000000"/>
              <w:bottom w:val="single" w:sz="6" w:space="0" w:color="000000"/>
              <w:right w:val="single" w:sz="4" w:space="0" w:color="000000"/>
            </w:tcBorders>
            <w:vAlign w:val="bottom"/>
          </w:tcPr>
          <w:p w14:paraId="317FCBD6"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70</w:t>
            </w:r>
          </w:p>
        </w:tc>
      </w:tr>
      <w:tr w:rsidR="003F0074" w:rsidRPr="00E319E3" w14:paraId="1384578F"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D8C6A5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Siguldas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1ED80C0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184</w:t>
            </w:r>
          </w:p>
        </w:tc>
        <w:tc>
          <w:tcPr>
            <w:tcW w:w="1418" w:type="dxa"/>
            <w:tcBorders>
              <w:top w:val="single" w:sz="6" w:space="0" w:color="000000"/>
              <w:left w:val="single" w:sz="6" w:space="0" w:color="000000"/>
              <w:bottom w:val="single" w:sz="6" w:space="0" w:color="000000"/>
              <w:right w:val="single" w:sz="6" w:space="0" w:color="000000"/>
            </w:tcBorders>
            <w:vAlign w:val="bottom"/>
          </w:tcPr>
          <w:p w14:paraId="6153525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48BE5D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14 213</w:t>
            </w:r>
          </w:p>
        </w:tc>
        <w:tc>
          <w:tcPr>
            <w:tcW w:w="2835" w:type="dxa"/>
            <w:tcBorders>
              <w:top w:val="single" w:sz="6" w:space="0" w:color="000000"/>
              <w:left w:val="single" w:sz="6" w:space="0" w:color="000000"/>
              <w:bottom w:val="single" w:sz="6" w:space="0" w:color="000000"/>
              <w:right w:val="single" w:sz="4" w:space="0" w:color="000000"/>
            </w:tcBorders>
            <w:vAlign w:val="bottom"/>
          </w:tcPr>
          <w:p w14:paraId="15FC84E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77</w:t>
            </w:r>
          </w:p>
        </w:tc>
      </w:tr>
      <w:tr w:rsidR="003F0074" w:rsidRPr="00E319E3" w14:paraId="655CBE4E"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571FCC2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Smiltenes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79E8181C"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124</w:t>
            </w:r>
          </w:p>
        </w:tc>
        <w:tc>
          <w:tcPr>
            <w:tcW w:w="1418" w:type="dxa"/>
            <w:tcBorders>
              <w:top w:val="single" w:sz="6" w:space="0" w:color="000000"/>
              <w:left w:val="single" w:sz="6" w:space="0" w:color="000000"/>
              <w:bottom w:val="single" w:sz="6" w:space="0" w:color="000000"/>
              <w:right w:val="single" w:sz="6" w:space="0" w:color="000000"/>
            </w:tcBorders>
            <w:vAlign w:val="bottom"/>
          </w:tcPr>
          <w:p w14:paraId="57F1D47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371DC62"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23 931</w:t>
            </w:r>
          </w:p>
        </w:tc>
        <w:tc>
          <w:tcPr>
            <w:tcW w:w="2835" w:type="dxa"/>
            <w:tcBorders>
              <w:top w:val="single" w:sz="6" w:space="0" w:color="000000"/>
              <w:left w:val="single" w:sz="6" w:space="0" w:color="000000"/>
              <w:bottom w:val="single" w:sz="6" w:space="0" w:color="000000"/>
              <w:right w:val="single" w:sz="4" w:space="0" w:color="000000"/>
            </w:tcBorders>
            <w:vAlign w:val="bottom"/>
          </w:tcPr>
          <w:p w14:paraId="72208A0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192</w:t>
            </w:r>
          </w:p>
        </w:tc>
      </w:tr>
      <w:tr w:rsidR="003F0074" w:rsidRPr="00E319E3" w14:paraId="5B077D81" w14:textId="77777777" w:rsidTr="00E319E3">
        <w:trPr>
          <w:trHeight w:val="314"/>
        </w:trPr>
        <w:tc>
          <w:tcPr>
            <w:tcW w:w="1458" w:type="dxa"/>
            <w:tcBorders>
              <w:top w:val="single" w:sz="6" w:space="0" w:color="000000"/>
              <w:left w:val="single" w:sz="4" w:space="0" w:color="000000"/>
              <w:bottom w:val="single" w:sz="6" w:space="0" w:color="000000"/>
              <w:right w:val="single" w:sz="6" w:space="0" w:color="000000"/>
            </w:tcBorders>
            <w:vAlign w:val="center"/>
          </w:tcPr>
          <w:p w14:paraId="31FDAF5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Talsu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6C3CAA3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334</w:t>
            </w:r>
          </w:p>
        </w:tc>
        <w:tc>
          <w:tcPr>
            <w:tcW w:w="1418" w:type="dxa"/>
            <w:tcBorders>
              <w:top w:val="single" w:sz="6" w:space="0" w:color="000000"/>
              <w:left w:val="single" w:sz="6" w:space="0" w:color="000000"/>
              <w:bottom w:val="single" w:sz="6" w:space="0" w:color="000000"/>
              <w:right w:val="single" w:sz="6" w:space="0" w:color="000000"/>
            </w:tcBorders>
            <w:vAlign w:val="bottom"/>
          </w:tcPr>
          <w:p w14:paraId="6E5B0BB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5DD88E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40 004</w:t>
            </w:r>
          </w:p>
        </w:tc>
        <w:tc>
          <w:tcPr>
            <w:tcW w:w="2835" w:type="dxa"/>
            <w:tcBorders>
              <w:top w:val="single" w:sz="6" w:space="0" w:color="000000"/>
              <w:left w:val="single" w:sz="6" w:space="0" w:color="000000"/>
              <w:bottom w:val="single" w:sz="6" w:space="0" w:color="000000"/>
              <w:right w:val="single" w:sz="4" w:space="0" w:color="000000"/>
            </w:tcBorders>
            <w:vAlign w:val="bottom"/>
          </w:tcPr>
          <w:p w14:paraId="0ED9F7E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120</w:t>
            </w:r>
          </w:p>
        </w:tc>
      </w:tr>
      <w:tr w:rsidR="003F0074" w:rsidRPr="00E319E3" w14:paraId="2E065FDC"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4966A6F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lastRenderedPageBreak/>
              <w:t>Tukuma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2210BAF"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1 013</w:t>
            </w:r>
          </w:p>
        </w:tc>
        <w:tc>
          <w:tcPr>
            <w:tcW w:w="1418" w:type="dxa"/>
            <w:tcBorders>
              <w:top w:val="single" w:sz="6" w:space="0" w:color="000000"/>
              <w:left w:val="single" w:sz="6" w:space="0" w:color="000000"/>
              <w:bottom w:val="single" w:sz="6" w:space="0" w:color="000000"/>
              <w:right w:val="single" w:sz="6" w:space="0" w:color="000000"/>
            </w:tcBorders>
            <w:vAlign w:val="bottom"/>
          </w:tcPr>
          <w:p w14:paraId="48C9EEE6"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5DEBB7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43 983</w:t>
            </w:r>
          </w:p>
        </w:tc>
        <w:tc>
          <w:tcPr>
            <w:tcW w:w="2835" w:type="dxa"/>
            <w:tcBorders>
              <w:top w:val="single" w:sz="6" w:space="0" w:color="000000"/>
              <w:left w:val="single" w:sz="6" w:space="0" w:color="000000"/>
              <w:bottom w:val="single" w:sz="6" w:space="0" w:color="000000"/>
              <w:right w:val="single" w:sz="4" w:space="0" w:color="000000"/>
            </w:tcBorders>
            <w:vAlign w:val="bottom"/>
          </w:tcPr>
          <w:p w14:paraId="4CCB4AE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43</w:t>
            </w:r>
          </w:p>
        </w:tc>
      </w:tr>
      <w:tr w:rsidR="003F0074" w:rsidRPr="00E319E3" w14:paraId="6326DC43" w14:textId="77777777" w:rsidTr="00E319E3">
        <w:trPr>
          <w:trHeight w:val="302"/>
        </w:trPr>
        <w:tc>
          <w:tcPr>
            <w:tcW w:w="1458" w:type="dxa"/>
            <w:tcBorders>
              <w:top w:val="single" w:sz="6" w:space="0" w:color="000000"/>
              <w:left w:val="single" w:sz="4" w:space="0" w:color="000000"/>
              <w:bottom w:val="single" w:sz="6" w:space="0" w:color="000000"/>
              <w:right w:val="single" w:sz="6" w:space="0" w:color="000000"/>
            </w:tcBorders>
            <w:vAlign w:val="center"/>
          </w:tcPr>
          <w:p w14:paraId="459834C4"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Ugāles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7B2D25B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w:t>
            </w:r>
          </w:p>
        </w:tc>
        <w:tc>
          <w:tcPr>
            <w:tcW w:w="1418" w:type="dxa"/>
            <w:tcBorders>
              <w:top w:val="single" w:sz="6" w:space="0" w:color="000000"/>
              <w:left w:val="single" w:sz="6" w:space="0" w:color="000000"/>
              <w:bottom w:val="single" w:sz="6" w:space="0" w:color="000000"/>
              <w:right w:val="single" w:sz="6" w:space="0" w:color="000000"/>
            </w:tcBorders>
            <w:vAlign w:val="bottom"/>
          </w:tcPr>
          <w:p w14:paraId="0E0D71A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4CE74FA"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3 164</w:t>
            </w:r>
          </w:p>
        </w:tc>
        <w:tc>
          <w:tcPr>
            <w:tcW w:w="2835" w:type="dxa"/>
            <w:tcBorders>
              <w:top w:val="single" w:sz="6" w:space="0" w:color="000000"/>
              <w:left w:val="single" w:sz="6" w:space="0" w:color="000000"/>
              <w:bottom w:val="single" w:sz="6" w:space="0" w:color="000000"/>
              <w:right w:val="single" w:sz="4" w:space="0" w:color="000000"/>
            </w:tcBorders>
            <w:vAlign w:val="bottom"/>
          </w:tcPr>
          <w:p w14:paraId="6F6A7C1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468</w:t>
            </w:r>
          </w:p>
        </w:tc>
      </w:tr>
      <w:tr w:rsidR="003F0074" w:rsidRPr="00E319E3" w14:paraId="0CA20891"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64DCDDD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Upeslejas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8366ED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262</w:t>
            </w:r>
          </w:p>
        </w:tc>
        <w:tc>
          <w:tcPr>
            <w:tcW w:w="1418" w:type="dxa"/>
            <w:tcBorders>
              <w:top w:val="single" w:sz="6" w:space="0" w:color="000000"/>
              <w:left w:val="single" w:sz="6" w:space="0" w:color="000000"/>
              <w:bottom w:val="single" w:sz="6" w:space="0" w:color="000000"/>
              <w:right w:val="single" w:sz="6" w:space="0" w:color="000000"/>
            </w:tcBorders>
            <w:vAlign w:val="bottom"/>
          </w:tcPr>
          <w:p w14:paraId="2B473F1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74C4166"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5 218</w:t>
            </w:r>
          </w:p>
        </w:tc>
        <w:tc>
          <w:tcPr>
            <w:tcW w:w="2835" w:type="dxa"/>
            <w:tcBorders>
              <w:top w:val="single" w:sz="6" w:space="0" w:color="000000"/>
              <w:left w:val="single" w:sz="6" w:space="0" w:color="000000"/>
              <w:bottom w:val="single" w:sz="6" w:space="0" w:color="000000"/>
              <w:right w:val="single" w:sz="4" w:space="0" w:color="000000"/>
            </w:tcBorders>
            <w:vAlign w:val="bottom"/>
          </w:tcPr>
          <w:p w14:paraId="7375E36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r>
      <w:tr w:rsidR="003F0074" w:rsidRPr="00E319E3" w14:paraId="4356C3BE"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3F2F58D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Valkas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1670633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108</w:t>
            </w:r>
          </w:p>
        </w:tc>
        <w:tc>
          <w:tcPr>
            <w:tcW w:w="1418" w:type="dxa"/>
            <w:tcBorders>
              <w:top w:val="single" w:sz="6" w:space="0" w:color="000000"/>
              <w:left w:val="single" w:sz="6" w:space="0" w:color="000000"/>
              <w:bottom w:val="single" w:sz="6" w:space="0" w:color="000000"/>
              <w:right w:val="single" w:sz="6" w:space="0" w:color="000000"/>
            </w:tcBorders>
            <w:vAlign w:val="bottom"/>
          </w:tcPr>
          <w:p w14:paraId="7099E08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A48A9A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5 446</w:t>
            </w:r>
          </w:p>
        </w:tc>
        <w:tc>
          <w:tcPr>
            <w:tcW w:w="2835" w:type="dxa"/>
            <w:tcBorders>
              <w:top w:val="single" w:sz="6" w:space="0" w:color="000000"/>
              <w:left w:val="single" w:sz="6" w:space="0" w:color="000000"/>
              <w:bottom w:val="single" w:sz="6" w:space="0" w:color="000000"/>
              <w:right w:val="single" w:sz="4" w:space="0" w:color="000000"/>
            </w:tcBorders>
            <w:vAlign w:val="bottom"/>
          </w:tcPr>
          <w:p w14:paraId="30A19ED3"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50</w:t>
            </w:r>
          </w:p>
        </w:tc>
      </w:tr>
      <w:tr w:rsidR="003F0074" w:rsidRPr="00E319E3" w14:paraId="2F9B2B69"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center"/>
          </w:tcPr>
          <w:p w14:paraId="72A0279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Valmieras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051C98D7"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760</w:t>
            </w:r>
          </w:p>
        </w:tc>
        <w:tc>
          <w:tcPr>
            <w:tcW w:w="1418" w:type="dxa"/>
            <w:tcBorders>
              <w:top w:val="single" w:sz="6" w:space="0" w:color="000000"/>
              <w:left w:val="single" w:sz="6" w:space="0" w:color="000000"/>
              <w:bottom w:val="single" w:sz="6" w:space="0" w:color="000000"/>
              <w:right w:val="single" w:sz="6" w:space="0" w:color="000000"/>
            </w:tcBorders>
            <w:vAlign w:val="bottom"/>
          </w:tcPr>
          <w:p w14:paraId="35202BAD"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25</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384ED6"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39 841</w:t>
            </w:r>
          </w:p>
        </w:tc>
        <w:tc>
          <w:tcPr>
            <w:tcW w:w="2835" w:type="dxa"/>
            <w:tcBorders>
              <w:top w:val="single" w:sz="6" w:space="0" w:color="000000"/>
              <w:left w:val="single" w:sz="6" w:space="0" w:color="000000"/>
              <w:bottom w:val="single" w:sz="6" w:space="0" w:color="000000"/>
              <w:right w:val="single" w:sz="4" w:space="0" w:color="000000"/>
            </w:tcBorders>
            <w:vAlign w:val="bottom"/>
          </w:tcPr>
          <w:p w14:paraId="41352A0E"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52</w:t>
            </w:r>
          </w:p>
        </w:tc>
      </w:tr>
      <w:tr w:rsidR="003F0074" w:rsidRPr="00E319E3" w14:paraId="3F6A1041" w14:textId="77777777" w:rsidTr="00E319E3">
        <w:trPr>
          <w:trHeight w:val="290"/>
        </w:trPr>
        <w:tc>
          <w:tcPr>
            <w:tcW w:w="1458" w:type="dxa"/>
            <w:tcBorders>
              <w:top w:val="single" w:sz="6" w:space="0" w:color="000000"/>
              <w:left w:val="single" w:sz="4" w:space="0" w:color="000000"/>
              <w:bottom w:val="single" w:sz="6" w:space="0" w:color="000000"/>
              <w:right w:val="single" w:sz="6" w:space="0" w:color="000000"/>
            </w:tcBorders>
            <w:vAlign w:val="bottom"/>
          </w:tcPr>
          <w:p w14:paraId="6EDD2A3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Ventspils NAI</w:t>
            </w:r>
          </w:p>
        </w:tc>
        <w:tc>
          <w:tcPr>
            <w:tcW w:w="1417" w:type="dxa"/>
            <w:tcBorders>
              <w:top w:val="single" w:sz="6" w:space="0" w:color="000000"/>
              <w:left w:val="single" w:sz="6" w:space="0" w:color="000000"/>
              <w:bottom w:val="single" w:sz="6" w:space="0" w:color="000000"/>
              <w:right w:val="single" w:sz="6" w:space="0" w:color="000000"/>
            </w:tcBorders>
            <w:vAlign w:val="bottom"/>
          </w:tcPr>
          <w:p w14:paraId="35A88BD8"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1 561</w:t>
            </w:r>
          </w:p>
        </w:tc>
        <w:tc>
          <w:tcPr>
            <w:tcW w:w="1418" w:type="dxa"/>
            <w:tcBorders>
              <w:top w:val="single" w:sz="6" w:space="0" w:color="000000"/>
              <w:left w:val="single" w:sz="6" w:space="0" w:color="000000"/>
              <w:bottom w:val="single" w:sz="6" w:space="0" w:color="000000"/>
              <w:right w:val="single" w:sz="6" w:space="0" w:color="000000"/>
            </w:tcBorders>
            <w:vAlign w:val="bottom"/>
          </w:tcPr>
          <w:p w14:paraId="1E09A2A1"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30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B0C71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19 187</w:t>
            </w:r>
          </w:p>
        </w:tc>
        <w:tc>
          <w:tcPr>
            <w:tcW w:w="2835" w:type="dxa"/>
            <w:tcBorders>
              <w:top w:val="single" w:sz="6" w:space="0" w:color="000000"/>
              <w:left w:val="single" w:sz="6" w:space="0" w:color="000000"/>
              <w:bottom w:val="single" w:sz="6" w:space="0" w:color="000000"/>
              <w:right w:val="single" w:sz="4" w:space="0" w:color="000000"/>
            </w:tcBorders>
            <w:vAlign w:val="bottom"/>
          </w:tcPr>
          <w:p w14:paraId="02D1A31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12</w:t>
            </w:r>
          </w:p>
        </w:tc>
      </w:tr>
      <w:tr w:rsidR="003F0074" w:rsidRPr="00E319E3" w14:paraId="5557518C" w14:textId="77777777" w:rsidTr="00E319E3">
        <w:trPr>
          <w:trHeight w:val="302"/>
        </w:trPr>
        <w:tc>
          <w:tcPr>
            <w:tcW w:w="1458" w:type="dxa"/>
            <w:tcBorders>
              <w:top w:val="single" w:sz="6" w:space="0" w:color="000000"/>
              <w:left w:val="single" w:sz="4" w:space="0" w:color="000000"/>
              <w:bottom w:val="single" w:sz="4" w:space="0" w:color="000000"/>
              <w:right w:val="single" w:sz="6" w:space="0" w:color="000000"/>
            </w:tcBorders>
            <w:vAlign w:val="center"/>
          </w:tcPr>
          <w:p w14:paraId="62FE6D3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bCs/>
                <w:color w:val="000000"/>
                <w:sz w:val="18"/>
              </w:rPr>
              <w:t>Varakļānu NAI</w:t>
            </w:r>
          </w:p>
        </w:tc>
        <w:tc>
          <w:tcPr>
            <w:tcW w:w="1417" w:type="dxa"/>
            <w:tcBorders>
              <w:top w:val="single" w:sz="6" w:space="0" w:color="000000"/>
              <w:left w:val="single" w:sz="6" w:space="0" w:color="000000"/>
              <w:bottom w:val="single" w:sz="4" w:space="0" w:color="000000"/>
              <w:right w:val="single" w:sz="6" w:space="0" w:color="000000"/>
            </w:tcBorders>
            <w:vAlign w:val="bottom"/>
          </w:tcPr>
          <w:p w14:paraId="55B10BDB"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16</w:t>
            </w:r>
          </w:p>
        </w:tc>
        <w:tc>
          <w:tcPr>
            <w:tcW w:w="1418" w:type="dxa"/>
            <w:tcBorders>
              <w:top w:val="single" w:sz="6" w:space="0" w:color="000000"/>
              <w:left w:val="single" w:sz="6" w:space="0" w:color="000000"/>
              <w:bottom w:val="single" w:sz="4" w:space="0" w:color="000000"/>
              <w:right w:val="single" w:sz="6" w:space="0" w:color="000000"/>
            </w:tcBorders>
            <w:vAlign w:val="bottom"/>
          </w:tcPr>
          <w:p w14:paraId="0420BCD5"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15</w:t>
            </w:r>
          </w:p>
        </w:tc>
        <w:tc>
          <w:tcPr>
            <w:tcW w:w="1843" w:type="dxa"/>
            <w:tcBorders>
              <w:top w:val="single" w:sz="6" w:space="0" w:color="000000"/>
              <w:left w:val="single" w:sz="6" w:space="0" w:color="000000"/>
              <w:bottom w:val="single" w:sz="4" w:space="0" w:color="000000"/>
              <w:right w:val="single" w:sz="6" w:space="0" w:color="000000"/>
            </w:tcBorders>
            <w:shd w:val="clear" w:color="auto" w:fill="auto"/>
            <w:vAlign w:val="bottom"/>
          </w:tcPr>
          <w:p w14:paraId="76F8FCE9"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19 187</w:t>
            </w:r>
          </w:p>
        </w:tc>
        <w:tc>
          <w:tcPr>
            <w:tcW w:w="2835" w:type="dxa"/>
            <w:tcBorders>
              <w:top w:val="single" w:sz="6" w:space="0" w:color="000000"/>
              <w:left w:val="single" w:sz="6" w:space="0" w:color="000000"/>
              <w:bottom w:val="single" w:sz="4" w:space="0" w:color="000000"/>
              <w:right w:val="single" w:sz="4" w:space="0" w:color="000000"/>
            </w:tcBorders>
            <w:vAlign w:val="bottom"/>
          </w:tcPr>
          <w:p w14:paraId="490B6610" w14:textId="77777777" w:rsidR="00EA051D" w:rsidRPr="00E319E3" w:rsidRDefault="00EA051D" w:rsidP="00D70884">
            <w:pPr>
              <w:spacing w:after="60"/>
              <w:jc w:val="center"/>
              <w:rPr>
                <w:rFonts w:ascii="Times New Roman" w:hAnsi="Times New Roman" w:cs="Times New Roman"/>
                <w:color w:val="000000"/>
                <w:sz w:val="18"/>
                <w:szCs w:val="18"/>
              </w:rPr>
            </w:pPr>
            <w:r w:rsidRPr="00E319E3">
              <w:rPr>
                <w:rFonts w:ascii="Times New Roman" w:hAnsi="Times New Roman" w:cs="Times New Roman"/>
                <w:color w:val="000000"/>
                <w:sz w:val="18"/>
                <w:szCs w:val="18"/>
              </w:rPr>
              <w:t>1 230</w:t>
            </w:r>
          </w:p>
        </w:tc>
      </w:tr>
    </w:tbl>
    <w:p w14:paraId="11E04A9E" w14:textId="77777777" w:rsidR="00EA051D" w:rsidRPr="00175DD0" w:rsidRDefault="00EA051D" w:rsidP="00EA051D">
      <w:pPr>
        <w:spacing w:after="0"/>
        <w:rPr>
          <w:rFonts w:cstheme="minorHAnsi"/>
          <w:b/>
          <w:sz w:val="20"/>
          <w:szCs w:val="20"/>
        </w:rPr>
      </w:pPr>
    </w:p>
    <w:p w14:paraId="649B524F" w14:textId="5122F99D" w:rsidR="00EA051D" w:rsidRPr="00E319E3" w:rsidRDefault="00EA051D" w:rsidP="00E319E3">
      <w:pPr>
        <w:ind w:firstLine="720"/>
        <w:rPr>
          <w:rFonts w:ascii="Times New Roman" w:hAnsi="Times New Roman" w:cs="Times New Roman"/>
        </w:rPr>
      </w:pPr>
      <w:r w:rsidRPr="00E319E3">
        <w:rPr>
          <w:rFonts w:ascii="Times New Roman" w:hAnsi="Times New Roman" w:cs="Times New Roman"/>
        </w:rPr>
        <w:t>Iegūtie dati liecina, ka ap visiem dūņu pārstrādes centriem ir tāds lauksaimniecības zemju apjoms, kas būtiski pārsniedz minimālo aprēķināto zemju platības dūņu iestrādei, līdz ar to risks par lauksaimniecības zemju nepietiekamību</w:t>
      </w:r>
      <w:r w:rsidR="0091007D" w:rsidRPr="00E319E3">
        <w:rPr>
          <w:rFonts w:ascii="Times New Roman" w:hAnsi="Times New Roman" w:cs="Times New Roman"/>
        </w:rPr>
        <w:t xml:space="preserve"> tabulā apskatītajos centros</w:t>
      </w:r>
      <w:r w:rsidRPr="00E319E3">
        <w:rPr>
          <w:rFonts w:ascii="Times New Roman" w:hAnsi="Times New Roman" w:cs="Times New Roman"/>
        </w:rPr>
        <w:t xml:space="preserve"> praktiski nepastāv</w:t>
      </w:r>
      <w:r w:rsidR="0091007D" w:rsidRPr="00E319E3">
        <w:rPr>
          <w:rFonts w:ascii="Times New Roman" w:hAnsi="Times New Roman" w:cs="Times New Roman"/>
        </w:rPr>
        <w:t>, vienlaikus Pierīgas reģionā pie intensīvas apbūves attīstības, tai skaitā lauksaimniecības zemju platībās, nākotnē var rasties nepieciešamību dūņas iestrādāt augsnē tālāk no dūņu centriem.</w:t>
      </w:r>
      <w:r w:rsidRPr="00E319E3">
        <w:rPr>
          <w:rFonts w:ascii="Times New Roman" w:hAnsi="Times New Roman" w:cs="Times New Roman"/>
        </w:rPr>
        <w:t xml:space="preserve"> </w:t>
      </w:r>
    </w:p>
    <w:p w14:paraId="35B18268" w14:textId="77777777" w:rsidR="00EA051D" w:rsidRPr="00E319E3" w:rsidRDefault="00EA051D" w:rsidP="00E319E3">
      <w:pPr>
        <w:ind w:firstLine="720"/>
        <w:rPr>
          <w:rFonts w:ascii="Times New Roman" w:hAnsi="Times New Roman" w:cs="Times New Roman"/>
        </w:rPr>
      </w:pPr>
      <w:r w:rsidRPr="00E319E3">
        <w:rPr>
          <w:rFonts w:ascii="Times New Roman" w:hAnsi="Times New Roman" w:cs="Times New Roman"/>
        </w:rPr>
        <w:t xml:space="preserve">Pie augstākas dūņu centralizācijas (mazāk dūņu pārstrādes centru skaita) palielinās dūņu daudzums pārstrādes vietās, kā rezultātā ir jāplāno lielāka dūņu daudzuma utilizācija. Alternatīvu novērtējuma ietvaros ir veikts faktiskais lauksaimniecības zemju novērtējums pie atšķirīgiem dūņu centralizācijas risinājumiem. </w:t>
      </w:r>
    </w:p>
    <w:p w14:paraId="1F04B7EA" w14:textId="370C30E9" w:rsidR="00E319E3" w:rsidRPr="00E319E3" w:rsidRDefault="0026587F" w:rsidP="00E319E3">
      <w:pPr>
        <w:pStyle w:val="ListParagraph"/>
        <w:pBdr>
          <w:top w:val="nil"/>
          <w:left w:val="nil"/>
          <w:bottom w:val="nil"/>
          <w:right w:val="nil"/>
          <w:between w:val="nil"/>
        </w:pBdr>
        <w:suppressAutoHyphens/>
        <w:autoSpaceDN w:val="0"/>
        <w:spacing w:after="0"/>
        <w:ind w:left="760"/>
        <w:contextualSpacing w:val="0"/>
        <w:jc w:val="right"/>
        <w:textAlignment w:val="baseline"/>
        <w:rPr>
          <w:rFonts w:ascii="Times New Roman" w:hAnsi="Times New Roman" w:cs="Times New Roman"/>
          <w:bCs/>
          <w:color w:val="000000"/>
          <w:sz w:val="24"/>
          <w:szCs w:val="24"/>
        </w:rPr>
      </w:pPr>
      <w:r w:rsidRPr="00996138">
        <w:rPr>
          <w:rFonts w:ascii="Times New Roman" w:hAnsi="Times New Roman" w:cs="Times New Roman"/>
          <w:sz w:val="24"/>
          <w:szCs w:val="24"/>
        </w:rPr>
        <w:t>4.5.1</w:t>
      </w:r>
      <w:r>
        <w:rPr>
          <w:rFonts w:ascii="Times New Roman" w:hAnsi="Times New Roman" w:cs="Times New Roman"/>
          <w:sz w:val="24"/>
          <w:szCs w:val="24"/>
        </w:rPr>
        <w:t>7</w:t>
      </w:r>
      <w:r w:rsidR="004E438F" w:rsidRPr="00E319E3">
        <w:rPr>
          <w:rFonts w:ascii="Times New Roman" w:hAnsi="Times New Roman" w:cs="Times New Roman"/>
          <w:bCs/>
          <w:color w:val="000000"/>
          <w:sz w:val="24"/>
          <w:szCs w:val="24"/>
        </w:rPr>
        <w:t>.</w:t>
      </w:r>
      <w:r w:rsidR="00EA051D" w:rsidRPr="00E319E3">
        <w:rPr>
          <w:rFonts w:ascii="Times New Roman" w:hAnsi="Times New Roman" w:cs="Times New Roman"/>
          <w:bCs/>
          <w:color w:val="000000"/>
          <w:sz w:val="24"/>
          <w:szCs w:val="24"/>
        </w:rPr>
        <w:t>tabula</w:t>
      </w:r>
    </w:p>
    <w:p w14:paraId="75E4A439" w14:textId="74DEB64E" w:rsidR="00EA051D" w:rsidRPr="00E319E3" w:rsidRDefault="00EA051D" w:rsidP="00E319E3">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E319E3">
        <w:rPr>
          <w:rFonts w:ascii="Times New Roman" w:hAnsi="Times New Roman" w:cs="Times New Roman"/>
          <w:b/>
          <w:color w:val="000000"/>
          <w:szCs w:val="24"/>
        </w:rPr>
        <w:t>Faktiskā lauksaimniecības zemju platību pieejamība noteiktajā attālumā ap 30 dūņu pārstrādes centriem</w:t>
      </w:r>
    </w:p>
    <w:tbl>
      <w:tblPr>
        <w:tblStyle w:val="15"/>
        <w:tblW w:w="8971"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8"/>
        <w:gridCol w:w="1559"/>
        <w:gridCol w:w="1418"/>
        <w:gridCol w:w="1842"/>
        <w:gridCol w:w="2694"/>
      </w:tblGrid>
      <w:tr w:rsidR="00EA051D" w:rsidRPr="00E319E3" w14:paraId="3BFF6C64"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F7D13BE"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Dūņu centra izveides vieta</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C6B55BC"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Cik ha lauksaimniecības zemes nepieciešams dūņu iestrādei</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center"/>
          </w:tcPr>
          <w:p w14:paraId="1CC4F4DA"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Cik km plašā rādiusā dūņas jāved, lai tās utilizētu</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203B8"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Lauksaimniecības zemju platība nepieciešamā rādiusā pēc LAD datu bāzes, ha</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59059"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Cik reizes lauksaimniecības zemju platības pārsniedz aprēķināto nepieciešamo daudzumu</w:t>
            </w:r>
          </w:p>
        </w:tc>
      </w:tr>
      <w:tr w:rsidR="00EA051D" w:rsidRPr="00E319E3" w14:paraId="596303A3"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0EE0BC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Aizkraukles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747784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241</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BDE66E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1F8D3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16 880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78EE8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70</w:t>
            </w:r>
          </w:p>
        </w:tc>
      </w:tr>
      <w:tr w:rsidR="00EA051D" w:rsidRPr="00E319E3" w14:paraId="357E6186"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68F5B3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Alūksnes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4AAD5A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217</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8D4040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AB1A2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8 220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17C21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38</w:t>
            </w:r>
          </w:p>
        </w:tc>
      </w:tr>
      <w:tr w:rsidR="00EA051D" w:rsidRPr="00E319E3" w14:paraId="14981FA5"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C7011B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Ādažu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2658B7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727</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CA49EE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71377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4 123</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69095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6</w:t>
            </w:r>
          </w:p>
        </w:tc>
      </w:tr>
      <w:tr w:rsidR="00EA051D" w:rsidRPr="00E319E3" w14:paraId="50F28AAF"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B02AE5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Baložu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0E64E2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202</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E517AF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E6800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4 529</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C9D4B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22</w:t>
            </w:r>
          </w:p>
        </w:tc>
      </w:tr>
      <w:tr w:rsidR="00EA051D" w:rsidRPr="00E319E3" w14:paraId="6319AEEE"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3BF2E6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Bauskas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862C15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163</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F9FDD6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FCA39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66 796</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1D7B8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410</w:t>
            </w:r>
          </w:p>
        </w:tc>
      </w:tr>
      <w:tr w:rsidR="00EA051D" w:rsidRPr="00E319E3" w14:paraId="07837583"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B58D11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Cēsu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959D1C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742</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5D2376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A36DE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22 944</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BB7BA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31</w:t>
            </w:r>
          </w:p>
        </w:tc>
      </w:tr>
      <w:tr w:rsidR="00EA051D" w:rsidRPr="00E319E3" w14:paraId="0BF5A03D"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93FCCC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Daugavpils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F9FABE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2 577</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B91E2C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B5D8D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37 870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4D77B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15</w:t>
            </w:r>
          </w:p>
        </w:tc>
      </w:tr>
      <w:tr w:rsidR="00EA051D" w:rsidRPr="00E319E3" w14:paraId="60137943"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910FCF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Dobeles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BC510B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255</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21EB11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7CA82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95 427</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4CCAF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374</w:t>
            </w:r>
          </w:p>
        </w:tc>
      </w:tr>
      <w:tr w:rsidR="00EA051D" w:rsidRPr="00E319E3" w14:paraId="212BA838"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61FF22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Jelgavas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298C05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2 051</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916C59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A6BD2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103 231</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B404D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50</w:t>
            </w:r>
          </w:p>
        </w:tc>
      </w:tr>
      <w:tr w:rsidR="00EA051D" w:rsidRPr="00E319E3" w14:paraId="3CF2D627"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2E131A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Jēkabpils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43AAE2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352</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A3904B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777AF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30 624</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B500F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87</w:t>
            </w:r>
          </w:p>
        </w:tc>
      </w:tr>
      <w:tr w:rsidR="00EA051D" w:rsidRPr="00E319E3" w14:paraId="52DA5461"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B0E688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Jūrmalas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2CC5B5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922</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4D89B6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CDA75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11 928</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9A848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w:t>
            </w:r>
          </w:p>
        </w:tc>
      </w:tr>
      <w:tr w:rsidR="00EA051D" w:rsidRPr="00E319E3" w14:paraId="27DD9BFE"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CE3EF5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Krāslavas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F60EDB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149</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48C3F8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6ED55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13 041</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FC6C9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87</w:t>
            </w:r>
          </w:p>
        </w:tc>
      </w:tr>
      <w:tr w:rsidR="00EA051D" w:rsidRPr="00E319E3" w14:paraId="46AF38AE"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BB6244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Kuldīgas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59AC32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348</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D3DD00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62E8C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27 048</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89B9F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78</w:t>
            </w:r>
          </w:p>
        </w:tc>
      </w:tr>
      <w:tr w:rsidR="00EA051D" w:rsidRPr="00E319E3" w14:paraId="00419738"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B1E34C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Liepājas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0DC117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1 376</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5969AC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BDC0D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33 735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9C5A5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r>
      <w:tr w:rsidR="00EA051D" w:rsidRPr="00E319E3" w14:paraId="732F9B3C"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F52DEE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Limbažu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93D965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214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ABE453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729AE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19 414</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AEAD0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91</w:t>
            </w:r>
          </w:p>
        </w:tc>
      </w:tr>
      <w:tr w:rsidR="00EA051D" w:rsidRPr="00E319E3" w14:paraId="5B2269BD"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4633C8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Līvānu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E15673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158</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624E1C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F73A0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21 872</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7A267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139</w:t>
            </w:r>
          </w:p>
        </w:tc>
      </w:tr>
      <w:tr w:rsidR="00EA051D" w:rsidRPr="00E319E3" w14:paraId="5F403727"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23F4E9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lastRenderedPageBreak/>
              <w:t>Madonas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1B6523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404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A7CE8A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F59B3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16 880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4F88C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42</w:t>
            </w:r>
          </w:p>
        </w:tc>
      </w:tr>
      <w:tr w:rsidR="00EA051D" w:rsidRPr="00E319E3" w14:paraId="25D4F77B"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D90B7B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Ogres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3E504E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628</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3FA03C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70F9A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12 746</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25A91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r>
      <w:tr w:rsidR="00EA051D" w:rsidRPr="00E319E3" w14:paraId="11DF5737"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626E38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Olaines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CF3949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672</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7979FD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DC168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18 081</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58486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27</w:t>
            </w:r>
          </w:p>
        </w:tc>
      </w:tr>
      <w:tr w:rsidR="00EA051D" w:rsidRPr="00E319E3" w14:paraId="1D9F51B9"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02195B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Preiļu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37AA62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284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344802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F63B0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29 146</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435EF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103</w:t>
            </w:r>
          </w:p>
        </w:tc>
      </w:tr>
      <w:tr w:rsidR="00EA051D" w:rsidRPr="00E319E3" w14:paraId="7C726869"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40EE2F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Rēzeknes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A26503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1 659</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ADFF4B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BC0D2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55 277</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51C15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33</w:t>
            </w:r>
          </w:p>
        </w:tc>
      </w:tr>
      <w:tr w:rsidR="00EA051D" w:rsidRPr="00E319E3" w14:paraId="59CE915A"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C1C8D7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Salaspils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E6CCC4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579</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EE6824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20FBF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7 654</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6F1D9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w:t>
            </w:r>
          </w:p>
        </w:tc>
      </w:tr>
      <w:tr w:rsidR="00EA051D" w:rsidRPr="00E319E3" w14:paraId="023F9B94"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4AB1AC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Saldus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32E885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374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B31B28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9B742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50 823</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C31D1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136</w:t>
            </w:r>
          </w:p>
        </w:tc>
      </w:tr>
      <w:tr w:rsidR="00EA051D" w:rsidRPr="00E319E3" w14:paraId="1AE2E9E6"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D40344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Saulkrastu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322C53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154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7F4A0A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C4001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10 724</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4324A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70</w:t>
            </w:r>
          </w:p>
        </w:tc>
      </w:tr>
      <w:tr w:rsidR="00EA051D" w:rsidRPr="00E319E3" w14:paraId="02D42CAF"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E33E95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Siguldas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88C28D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184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4089A3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10705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14 213</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B397D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77</w:t>
            </w:r>
          </w:p>
        </w:tc>
      </w:tr>
      <w:tr w:rsidR="00EA051D" w:rsidRPr="00E319E3" w14:paraId="15A957AF"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0C2DD7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Talsu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EB5DD7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334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1FD1B0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02D9C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40 004</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6A436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120</w:t>
            </w:r>
          </w:p>
        </w:tc>
      </w:tr>
      <w:tr w:rsidR="00EA051D" w:rsidRPr="00E319E3" w14:paraId="1C37C8CE"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C95991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Tukuma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21DAF0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1 013</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7D0DD4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C529E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43 983</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E4951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43</w:t>
            </w:r>
          </w:p>
        </w:tc>
      </w:tr>
      <w:tr w:rsidR="00EA051D" w:rsidRPr="00E319E3" w14:paraId="02EABB71"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31F449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Upeslejas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196AF0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262</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CC510B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1ECAF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5 218</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5C671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r>
      <w:tr w:rsidR="00EA051D" w:rsidRPr="00E319E3" w14:paraId="7439246C"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2257D6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Valmieras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3477C8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993</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8804D4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218F1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39 841</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7A0C5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40</w:t>
            </w:r>
          </w:p>
        </w:tc>
      </w:tr>
      <w:tr w:rsidR="00EA051D" w:rsidRPr="00E319E3" w14:paraId="5C0F6123"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F373ED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Ventspils NAI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573996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1 567</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ED0B43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9EC43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19 187</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D9BC0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12</w:t>
            </w:r>
          </w:p>
        </w:tc>
      </w:tr>
    </w:tbl>
    <w:p w14:paraId="550E5A93" w14:textId="77777777" w:rsidR="00EA051D" w:rsidRPr="00175DD0" w:rsidRDefault="00EA051D" w:rsidP="00EA051D">
      <w:pPr>
        <w:rPr>
          <w:rFonts w:cstheme="minorHAnsi"/>
        </w:rPr>
      </w:pPr>
    </w:p>
    <w:p w14:paraId="73600247" w14:textId="15D474FE" w:rsidR="00E319E3" w:rsidRDefault="0026587F" w:rsidP="00E319E3">
      <w:pPr>
        <w:pStyle w:val="ListParagraph"/>
        <w:pBdr>
          <w:top w:val="nil"/>
          <w:left w:val="nil"/>
          <w:bottom w:val="nil"/>
          <w:right w:val="nil"/>
          <w:between w:val="nil"/>
        </w:pBdr>
        <w:suppressAutoHyphens/>
        <w:autoSpaceDN w:val="0"/>
        <w:spacing w:after="0"/>
        <w:ind w:left="760"/>
        <w:contextualSpacing w:val="0"/>
        <w:jc w:val="right"/>
        <w:textAlignment w:val="baseline"/>
        <w:rPr>
          <w:rFonts w:ascii="Times New Roman" w:hAnsi="Times New Roman" w:cs="Times New Roman"/>
          <w:bCs/>
          <w:color w:val="000000"/>
          <w:sz w:val="24"/>
          <w:szCs w:val="24"/>
        </w:rPr>
      </w:pPr>
      <w:r w:rsidRPr="00996138">
        <w:rPr>
          <w:rFonts w:ascii="Times New Roman" w:hAnsi="Times New Roman" w:cs="Times New Roman"/>
          <w:sz w:val="24"/>
          <w:szCs w:val="24"/>
        </w:rPr>
        <w:t>4.5.1</w:t>
      </w:r>
      <w:r>
        <w:rPr>
          <w:rFonts w:ascii="Times New Roman" w:hAnsi="Times New Roman" w:cs="Times New Roman"/>
          <w:sz w:val="24"/>
          <w:szCs w:val="24"/>
        </w:rPr>
        <w:t>8</w:t>
      </w:r>
      <w:r w:rsidR="004E438F" w:rsidRPr="00E319E3">
        <w:rPr>
          <w:rFonts w:ascii="Times New Roman" w:hAnsi="Times New Roman" w:cs="Times New Roman"/>
          <w:bCs/>
          <w:color w:val="000000"/>
          <w:sz w:val="24"/>
          <w:szCs w:val="24"/>
        </w:rPr>
        <w:t>.</w:t>
      </w:r>
      <w:r w:rsidR="00EA051D" w:rsidRPr="00E319E3">
        <w:rPr>
          <w:rFonts w:ascii="Times New Roman" w:hAnsi="Times New Roman" w:cs="Times New Roman"/>
          <w:bCs/>
          <w:color w:val="000000"/>
          <w:sz w:val="24"/>
          <w:szCs w:val="24"/>
        </w:rPr>
        <w:t>tabula</w:t>
      </w:r>
    </w:p>
    <w:p w14:paraId="22B59198" w14:textId="6EE8C87B" w:rsidR="00EA051D" w:rsidRPr="00E319E3" w:rsidRDefault="00EA051D" w:rsidP="00E319E3">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E319E3">
        <w:rPr>
          <w:rFonts w:ascii="Times New Roman" w:hAnsi="Times New Roman" w:cs="Times New Roman"/>
          <w:b/>
          <w:color w:val="000000"/>
          <w:szCs w:val="24"/>
        </w:rPr>
        <w:t>Faktiskā lauksaimniecības zemju platību pieejamība noteiktajā attālumā ap 16 dūņu pārstrādes centriem</w:t>
      </w:r>
    </w:p>
    <w:tbl>
      <w:tblPr>
        <w:tblStyle w:val="15"/>
        <w:tblW w:w="8971"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8"/>
        <w:gridCol w:w="1843"/>
        <w:gridCol w:w="1559"/>
        <w:gridCol w:w="1984"/>
        <w:gridCol w:w="2127"/>
      </w:tblGrid>
      <w:tr w:rsidR="00EA051D" w:rsidRPr="00E319E3" w14:paraId="6A9E45E6"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A9F460B"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Dūņu centra izveides vieta</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B4ED4F6"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Cik ha lauksaimniecības zemes nepieciešams dūņu iestrādei</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A4CA759"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Cik km plašā rādiusā dūņas jāved, lai tās utilizētu</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CF432"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Lauksaimniecības zemju platība nepieciešamā rādiusā pēc LAD datu bāzes, ha</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10D75" w14:textId="77777777" w:rsidR="00EA051D" w:rsidRPr="00E319E3" w:rsidRDefault="00EA051D" w:rsidP="00D70884">
            <w:pPr>
              <w:spacing w:after="60"/>
              <w:jc w:val="center"/>
              <w:rPr>
                <w:rFonts w:ascii="Times New Roman" w:hAnsi="Times New Roman" w:cs="Times New Roman"/>
                <w:b/>
                <w:sz w:val="18"/>
                <w:szCs w:val="18"/>
              </w:rPr>
            </w:pPr>
            <w:r w:rsidRPr="00E319E3">
              <w:rPr>
                <w:rFonts w:ascii="Times New Roman" w:hAnsi="Times New Roman" w:cs="Times New Roman"/>
                <w:b/>
                <w:sz w:val="18"/>
                <w:szCs w:val="18"/>
              </w:rPr>
              <w:t>Cik reizes lauksaimniecības zemju platības pārsniedz aprēķināto nepieciešamo daudzumu</w:t>
            </w:r>
          </w:p>
        </w:tc>
      </w:tr>
      <w:tr w:rsidR="00EA051D" w:rsidRPr="00E319E3" w14:paraId="3EA3CE7A"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4EC874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Ādaži</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10DCEB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782</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9C0E16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93335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4 123</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252FB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w:t>
            </w:r>
          </w:p>
        </w:tc>
      </w:tr>
      <w:tr w:rsidR="00EA051D" w:rsidRPr="00E319E3" w14:paraId="2CD9831F"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D35001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Cēsis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551C0D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925</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C60827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7A51E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22 944</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A4944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r>
      <w:tr w:rsidR="00EA051D" w:rsidRPr="00E319E3" w14:paraId="7860180F"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F88047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Daugavpils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021338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3 010</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4C1E4F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7A5A7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37 870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ED1C3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w:t>
            </w:r>
          </w:p>
        </w:tc>
      </w:tr>
      <w:tr w:rsidR="00EA051D" w:rsidRPr="00E319E3" w14:paraId="7E599C49"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987EC7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Jelgava</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E8846C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2 428</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D0F680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16AF6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103 231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54F57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43</w:t>
            </w:r>
          </w:p>
        </w:tc>
      </w:tr>
      <w:tr w:rsidR="00EA051D" w:rsidRPr="00E319E3" w14:paraId="52DC3FD6"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ECD965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Jēkabpils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00DE20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750</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FA4C62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5305C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30 624</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10CED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41</w:t>
            </w:r>
          </w:p>
        </w:tc>
      </w:tr>
      <w:tr w:rsidR="00EA051D" w:rsidRPr="00E319E3" w14:paraId="3E8FC40F"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689C8E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Jūrmala</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EEC85A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922</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2CF512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69DD1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11 928</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53F94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w:t>
            </w:r>
          </w:p>
        </w:tc>
      </w:tr>
      <w:tr w:rsidR="00EA051D" w:rsidRPr="00E319E3" w14:paraId="5EA449C6"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C61390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Liepāja</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8D6C47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1 376</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23C2F7F"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F6F74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33 735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7A087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r>
      <w:tr w:rsidR="00EA051D" w:rsidRPr="00E319E3" w14:paraId="55379962"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FAF0AC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Madona</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93CF93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620</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332728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61597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16 880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B15C8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27</w:t>
            </w:r>
          </w:p>
        </w:tc>
      </w:tr>
      <w:tr w:rsidR="00EA051D" w:rsidRPr="00E319E3" w14:paraId="5BE1B0D2"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104257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Ogre</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71EDA9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727</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5B3C25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328ED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12 746</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9FB4A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18</w:t>
            </w:r>
          </w:p>
        </w:tc>
      </w:tr>
      <w:tr w:rsidR="00EA051D" w:rsidRPr="00E319E3" w14:paraId="11F488EA"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C495FC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Olaine</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5ED0A73"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914</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11B6A2A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8A1E4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18 081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88C8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20</w:t>
            </w:r>
          </w:p>
        </w:tc>
      </w:tr>
      <w:tr w:rsidR="00EA051D" w:rsidRPr="00E319E3" w14:paraId="67D6C81D"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D35395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Rēzekne</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2DE6CC7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1 659</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A3F2B9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79CA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55 277</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10B2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33</w:t>
            </w:r>
          </w:p>
        </w:tc>
      </w:tr>
      <w:tr w:rsidR="00EA051D" w:rsidRPr="00E319E3" w14:paraId="6A7CF0CB"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5C7E9A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Salaspils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15BCC2A"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841</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9B443F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9F68D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7 654</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85D65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9</w:t>
            </w:r>
          </w:p>
        </w:tc>
      </w:tr>
      <w:tr w:rsidR="00EA051D" w:rsidRPr="00E319E3" w14:paraId="343C4FF3"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62E7B2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Saldus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036839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374</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663398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A3E68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50 823</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FE977"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136</w:t>
            </w:r>
          </w:p>
        </w:tc>
      </w:tr>
      <w:tr w:rsidR="00EA051D" w:rsidRPr="00E319E3" w14:paraId="5DEA9582"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8D3EF54"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Tukums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45911905"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1 347</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6A79B4CC"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19EA19"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58 804</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36A1D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44</w:t>
            </w:r>
          </w:p>
        </w:tc>
      </w:tr>
      <w:tr w:rsidR="00EA051D" w:rsidRPr="00E319E3" w14:paraId="4EE19B6E"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B767A1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Valmiera</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5B3774DD"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1 207</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98B235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25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6BCE1"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39 841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18F7A6"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33</w:t>
            </w:r>
          </w:p>
        </w:tc>
      </w:tr>
      <w:tr w:rsidR="00EA051D" w:rsidRPr="00E319E3" w14:paraId="14BD077E" w14:textId="77777777" w:rsidTr="00E319E3">
        <w:trPr>
          <w:trHeight w:val="290"/>
        </w:trPr>
        <w:tc>
          <w:tcPr>
            <w:tcW w:w="1458"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014BC2E"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bCs/>
                <w:color w:val="000000"/>
                <w:sz w:val="18"/>
                <w:szCs w:val="18"/>
              </w:rPr>
              <w:t>Ventspils</w:t>
            </w:r>
          </w:p>
        </w:tc>
        <w:tc>
          <w:tcPr>
            <w:tcW w:w="1843" w:type="dxa"/>
            <w:tcBorders>
              <w:top w:val="single" w:sz="4" w:space="0" w:color="000000"/>
              <w:left w:val="single" w:sz="6" w:space="0" w:color="000000"/>
              <w:bottom w:val="single" w:sz="4" w:space="0" w:color="000000"/>
              <w:right w:val="single" w:sz="6" w:space="0" w:color="000000"/>
            </w:tcBorders>
            <w:shd w:val="clear" w:color="auto" w:fill="auto"/>
            <w:vAlign w:val="bottom"/>
          </w:tcPr>
          <w:p w14:paraId="7683F5CB"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1 916</w:t>
            </w:r>
          </w:p>
        </w:tc>
        <w:tc>
          <w:tcPr>
            <w:tcW w:w="1559"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F7958B8"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4D5AF2"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19 187</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A6B010" w14:textId="77777777" w:rsidR="00EA051D" w:rsidRPr="00E319E3" w:rsidRDefault="00EA051D" w:rsidP="00D70884">
            <w:pPr>
              <w:spacing w:after="60"/>
              <w:jc w:val="center"/>
              <w:rPr>
                <w:rFonts w:ascii="Times New Roman" w:hAnsi="Times New Roman" w:cs="Times New Roman"/>
                <w:sz w:val="18"/>
                <w:szCs w:val="18"/>
              </w:rPr>
            </w:pPr>
            <w:r w:rsidRPr="00E319E3">
              <w:rPr>
                <w:rFonts w:ascii="Times New Roman" w:hAnsi="Times New Roman" w:cs="Times New Roman"/>
                <w:color w:val="000000"/>
                <w:sz w:val="18"/>
                <w:szCs w:val="18"/>
              </w:rPr>
              <w:t>10</w:t>
            </w:r>
          </w:p>
        </w:tc>
      </w:tr>
    </w:tbl>
    <w:p w14:paraId="32D530A9" w14:textId="77777777" w:rsidR="00EA051D" w:rsidRPr="00E319E3" w:rsidRDefault="00EA051D" w:rsidP="00EA051D">
      <w:pPr>
        <w:rPr>
          <w:rFonts w:ascii="Times New Roman" w:hAnsi="Times New Roman" w:cs="Times New Roman"/>
        </w:rPr>
      </w:pPr>
    </w:p>
    <w:p w14:paraId="37B88C9A" w14:textId="4B62272D" w:rsidR="00EA051D" w:rsidRDefault="00EA051D" w:rsidP="001648D3">
      <w:pPr>
        <w:spacing w:after="0"/>
        <w:ind w:firstLine="720"/>
        <w:rPr>
          <w:rFonts w:ascii="Times New Roman" w:hAnsi="Times New Roman" w:cs="Times New Roman"/>
        </w:rPr>
      </w:pPr>
      <w:r w:rsidRPr="00E319E3">
        <w:rPr>
          <w:rFonts w:ascii="Times New Roman" w:hAnsi="Times New Roman" w:cs="Times New Roman"/>
        </w:rPr>
        <w:t xml:space="preserve">Līdzīgi kā 41 pārstrādes centra gadījumā, arī 16 pārstrādes centru gadījumā mazākās lauksaimniecības zemju izvēles iespējas būs Ādažu, Daugavpils, Jūrmalas, Salaspils un </w:t>
      </w:r>
      <w:r w:rsidRPr="00E319E3">
        <w:rPr>
          <w:rFonts w:ascii="Times New Roman" w:hAnsi="Times New Roman" w:cs="Times New Roman"/>
        </w:rPr>
        <w:lastRenderedPageBreak/>
        <w:t>Ventspils apkārtnē, kur lauksaimniecības zemju pieejamība 5 – 13 reizes pārsniedz aprēķināto minimālo nepieciešamo lauksaimniecības zemju platību. Vieta ar lielāku lauksaimniecības zemju īpatsvaru būs Saldū, kur tās apjoms ir 130 reizes lielāks par nepieciešamo.</w:t>
      </w:r>
    </w:p>
    <w:p w14:paraId="0F85D94B" w14:textId="77777777" w:rsidR="00744C5F" w:rsidRPr="00E319E3" w:rsidRDefault="00744C5F" w:rsidP="00744C5F">
      <w:pPr>
        <w:spacing w:after="0"/>
        <w:rPr>
          <w:rFonts w:ascii="Times New Roman" w:hAnsi="Times New Roman" w:cs="Times New Roman"/>
        </w:rPr>
      </w:pPr>
    </w:p>
    <w:p w14:paraId="3DF6B52E" w14:textId="77777777" w:rsidR="00EA051D" w:rsidRPr="00744C5F" w:rsidRDefault="00EA051D" w:rsidP="00744C5F">
      <w:pPr>
        <w:spacing w:after="0"/>
        <w:jc w:val="center"/>
        <w:rPr>
          <w:rFonts w:ascii="Times New Roman" w:hAnsi="Times New Roman" w:cs="Times New Roman"/>
          <w:u w:val="single"/>
        </w:rPr>
      </w:pPr>
      <w:bookmarkStart w:id="120" w:name="_Toc82277654"/>
      <w:r w:rsidRPr="00744C5F">
        <w:rPr>
          <w:rFonts w:ascii="Times New Roman" w:hAnsi="Times New Roman" w:cs="Times New Roman"/>
          <w:u w:val="single"/>
        </w:rPr>
        <w:t>Notekūdeņu dūņu centralizācijas un pārstrādes alternatīvu izmaksu salīdzinājums</w:t>
      </w:r>
      <w:bookmarkEnd w:id="120"/>
    </w:p>
    <w:p w14:paraId="6AE9434E" w14:textId="77777777" w:rsidR="00744C5F" w:rsidRDefault="00744C5F" w:rsidP="00744C5F">
      <w:pPr>
        <w:spacing w:after="0"/>
        <w:ind w:firstLine="720"/>
        <w:rPr>
          <w:rFonts w:ascii="Times New Roman" w:hAnsi="Times New Roman" w:cs="Times New Roman"/>
        </w:rPr>
      </w:pPr>
    </w:p>
    <w:p w14:paraId="3C917942" w14:textId="1CEDD3F6" w:rsidR="00EA051D" w:rsidRPr="00744C5F" w:rsidRDefault="00EA051D" w:rsidP="00744C5F">
      <w:pPr>
        <w:spacing w:after="0"/>
        <w:ind w:firstLine="720"/>
        <w:rPr>
          <w:rFonts w:ascii="Times New Roman" w:hAnsi="Times New Roman" w:cs="Times New Roman"/>
        </w:rPr>
      </w:pPr>
      <w:r w:rsidRPr="00744C5F">
        <w:rPr>
          <w:rFonts w:ascii="Times New Roman" w:hAnsi="Times New Roman" w:cs="Times New Roman"/>
        </w:rPr>
        <w:t>Dūņu centralizācijas alternatīvu izmaksu salīdzinājuma pamatā tiek izmantotas dūņu pārstrādes izmaksas un pārstrādātu dūņu utilizācijas izmaksas, kā arī nepieciešamās dūņu pārstrādes centru infrastruktūras izveides izmaksas. Alternatīvu izmaksu salīdzinājumā netiek ņemtas vērā dūņu apstrādes izmaksas, kas visu notekūdeņu dūņu pārstrādes centru alternatīvu gadījumā ir vienādas.</w:t>
      </w:r>
    </w:p>
    <w:p w14:paraId="33E5A0C2" w14:textId="01564C0D" w:rsidR="00EA051D" w:rsidRPr="00744C5F" w:rsidRDefault="00EA051D" w:rsidP="004E438F">
      <w:pPr>
        <w:ind w:firstLine="720"/>
        <w:rPr>
          <w:rFonts w:ascii="Times New Roman" w:hAnsi="Times New Roman" w:cs="Times New Roman"/>
        </w:rPr>
      </w:pPr>
      <w:r w:rsidRPr="00744C5F">
        <w:rPr>
          <w:rFonts w:ascii="Times New Roman" w:hAnsi="Times New Roman" w:cs="Times New Roman"/>
        </w:rPr>
        <w:t>Novērtējot visas D4. apakšalternatīvas (biogāzes ieguve no notekūdeņu dūņām) ir secināms, ka to uzturēšanas izmaksas ir augstākas par vienkāršiem dūņu uzglabāšanas alternatīvu risinājumiem, savukārt utilizācijas izmaksas un investīciju izmaksas ir zemākas. Lai būtu iespējams savstarpēji salīdzināt ikgadējo izmaksu un kapitālo investīciju izmaksu atšķirības, ir aprēķināts kopējais katras alternatīvas izmaksu apjoms 20 gadu periodā, kurā no jauna izveidotā dūņu pārstrādes infrastruktūra tiktu pilnībā nolietota un to būtu nepieciešams atjaunot. Līdz ar to kopējais ikgadējo darbības izmaksu apjoms 20 gadu periodā un kapitālo investīciju apjoms 20 gadu periodā parāda kopējo alternatīvas izmaksu apjomu. Pie izmantotajiem aprēķ</w:t>
      </w:r>
      <w:r w:rsidR="00674A2E">
        <w:rPr>
          <w:rFonts w:ascii="Times New Roman" w:hAnsi="Times New Roman" w:cs="Times New Roman"/>
        </w:rPr>
        <w:t>in</w:t>
      </w:r>
      <w:r w:rsidRPr="00744C5F">
        <w:rPr>
          <w:rFonts w:ascii="Times New Roman" w:hAnsi="Times New Roman" w:cs="Times New Roman"/>
        </w:rPr>
        <w:t xml:space="preserve">iem secināms, ka D4. grupas apakšalternatīvu gadījumā kopējais izmaksu apjoms par </w:t>
      </w:r>
      <w:sdt>
        <w:sdtPr>
          <w:rPr>
            <w:rFonts w:ascii="Times New Roman" w:hAnsi="Times New Roman" w:cs="Times New Roman"/>
          </w:rPr>
          <w:tag w:val="goog_rdk_91"/>
          <w:id w:val="1248542632"/>
        </w:sdtPr>
        <w:sdtContent/>
      </w:sdt>
      <w:r w:rsidRPr="00744C5F">
        <w:rPr>
          <w:rFonts w:ascii="Times New Roman" w:hAnsi="Times New Roman" w:cs="Times New Roman"/>
        </w:rPr>
        <w:t xml:space="preserve">28 – 69% pārsniedz D1.alternatīvas (bāzes scenārijs) izmaksu apjomu. </w:t>
      </w:r>
    </w:p>
    <w:p w14:paraId="0B550CC5" w14:textId="0AE910EC" w:rsidR="00EA051D" w:rsidRPr="00744C5F" w:rsidRDefault="008F6B41" w:rsidP="001648D3">
      <w:pPr>
        <w:ind w:firstLine="720"/>
        <w:rPr>
          <w:rFonts w:ascii="Times New Roman" w:hAnsi="Times New Roman" w:cs="Times New Roman"/>
        </w:rPr>
        <w:sectPr w:rsidR="00EA051D" w:rsidRPr="00744C5F" w:rsidSect="007E349D">
          <w:pgSz w:w="12240" w:h="15840"/>
          <w:pgMar w:top="1134" w:right="1701" w:bottom="1134" w:left="1701" w:header="720" w:footer="720" w:gutter="0"/>
          <w:cols w:space="720"/>
        </w:sectPr>
      </w:pPr>
      <w:r w:rsidRPr="008F6B41">
        <w:rPr>
          <w:rFonts w:ascii="Times New Roman" w:hAnsi="Times New Roman" w:cs="Times New Roman"/>
          <w:szCs w:val="24"/>
        </w:rPr>
        <w:t>4.5.19</w:t>
      </w:r>
      <w:r w:rsidR="00EA051D" w:rsidRPr="008F6B41">
        <w:rPr>
          <w:rFonts w:ascii="Times New Roman" w:hAnsi="Times New Roman" w:cs="Times New Roman"/>
        </w:rPr>
        <w:t>.tabulā redzams</w:t>
      </w:r>
      <w:r w:rsidR="00EA051D" w:rsidRPr="00744C5F">
        <w:rPr>
          <w:rFonts w:ascii="Times New Roman" w:hAnsi="Times New Roman" w:cs="Times New Roman"/>
        </w:rPr>
        <w:t xml:space="preserve">, ka savstarpēji salīdzinot alternatīvas Nr.D1 – Nr.D3 izpaužas tendence, ka, jo mazāks notekūdeņu dūņu pārstrādes centru skaits, jo mazākas ir dūņu centru darbības ikgadējās uzturēšanas izmaksas un mazāks nepieciešamo kapitālo investīciju apjoms, bet vienlaikus lielākas ir izmaksas par pārstrādātu dūņu utilizāciju. Alternatīvais risinājums Nr.D3., kas ir aprēķinātais ekonomiskākais risinājums ir par 12% lētāks, salīdzinājumā ar bāzes scenāriju un par 7% lētāks nekā alternatīvais risinājums Nr.D2. Izmaksu atšķirība starp alternatīvajiem risinājumiem Nr. D2. un Nr. D3. ir maza un ir veikto aprēķinu kļūdas robežās, tāpēc var uzskatīt, ka neviens no dūņu centralizācijas risinājumiem (alternatīvas D2. vai D3.) no izmaksu viedokļa nav būtiski labāks par otru. </w:t>
      </w:r>
      <w:sdt>
        <w:sdtPr>
          <w:rPr>
            <w:rFonts w:ascii="Times New Roman" w:hAnsi="Times New Roman" w:cs="Times New Roman"/>
          </w:rPr>
          <w:tag w:val="goog_rdk_92"/>
          <w:id w:val="1484352305"/>
        </w:sdtPr>
        <w:sdtContent/>
      </w:sdt>
      <w:r w:rsidR="00EA051D" w:rsidRPr="00744C5F">
        <w:rPr>
          <w:rFonts w:ascii="Times New Roman" w:hAnsi="Times New Roman" w:cs="Times New Roman"/>
        </w:rPr>
        <w:t>Ņemot vērā aprēķinos izmantotās izejas datu un informācijas kvalitāti, aprēķinos izmantotos pieņēmumus, kā arī mainot veikto aprēķinu metodiku varētu tikt iegūts atšķirīgs, absolūtajos skaitļos novērtēts aprēķinu rezultāts, līdz ar to D2. un D3.alternatīvas izmaksu ziņā ir uzskatāmas par līdzvērtīgām.</w:t>
      </w:r>
    </w:p>
    <w:p w14:paraId="58D79052" w14:textId="77777777" w:rsidR="00EA051D" w:rsidRPr="00175DD0" w:rsidRDefault="00EA051D" w:rsidP="00EA051D">
      <w:pPr>
        <w:rPr>
          <w:rFonts w:cstheme="minorHAnsi"/>
        </w:rPr>
      </w:pPr>
    </w:p>
    <w:p w14:paraId="10E6E51E" w14:textId="1D116F92" w:rsidR="000D2593" w:rsidRPr="000D2593" w:rsidRDefault="00CD61AD" w:rsidP="000D2593">
      <w:pPr>
        <w:pStyle w:val="ListParagraph"/>
        <w:pBdr>
          <w:top w:val="nil"/>
          <w:left w:val="nil"/>
          <w:bottom w:val="nil"/>
          <w:right w:val="nil"/>
          <w:between w:val="nil"/>
        </w:pBdr>
        <w:suppressAutoHyphens/>
        <w:autoSpaceDN w:val="0"/>
        <w:spacing w:after="0"/>
        <w:ind w:left="760"/>
        <w:contextualSpacing w:val="0"/>
        <w:jc w:val="right"/>
        <w:textAlignment w:val="baseline"/>
        <w:rPr>
          <w:rFonts w:ascii="Times New Roman" w:hAnsi="Times New Roman" w:cs="Times New Roman"/>
          <w:sz w:val="24"/>
        </w:rPr>
      </w:pPr>
      <w:r w:rsidRPr="00996138">
        <w:rPr>
          <w:rFonts w:ascii="Times New Roman" w:hAnsi="Times New Roman" w:cs="Times New Roman"/>
          <w:sz w:val="24"/>
          <w:szCs w:val="24"/>
        </w:rPr>
        <w:t>4.5.1</w:t>
      </w:r>
      <w:r>
        <w:rPr>
          <w:rFonts w:ascii="Times New Roman" w:hAnsi="Times New Roman" w:cs="Times New Roman"/>
          <w:sz w:val="24"/>
          <w:szCs w:val="24"/>
        </w:rPr>
        <w:t>9</w:t>
      </w:r>
      <w:r w:rsidR="004E438F" w:rsidRPr="000D2593">
        <w:rPr>
          <w:rFonts w:ascii="Times New Roman" w:hAnsi="Times New Roman" w:cs="Times New Roman"/>
          <w:sz w:val="24"/>
        </w:rPr>
        <w:t>.</w:t>
      </w:r>
      <w:r w:rsidR="00EA051D" w:rsidRPr="000D2593">
        <w:rPr>
          <w:rFonts w:ascii="Times New Roman" w:hAnsi="Times New Roman" w:cs="Times New Roman"/>
          <w:sz w:val="24"/>
        </w:rPr>
        <w:t>tabula</w:t>
      </w:r>
    </w:p>
    <w:p w14:paraId="60C880D0" w14:textId="10134EA7" w:rsidR="00EA051D" w:rsidRPr="000D2593" w:rsidRDefault="00DD0E08" w:rsidP="000D2593">
      <w:pPr>
        <w:pStyle w:val="ListParagraph"/>
        <w:pBdr>
          <w:top w:val="nil"/>
          <w:left w:val="nil"/>
          <w:bottom w:val="nil"/>
          <w:right w:val="nil"/>
          <w:between w:val="nil"/>
        </w:pBdr>
        <w:suppressAutoHyphens/>
        <w:autoSpaceDN w:val="0"/>
        <w:spacing w:after="0"/>
        <w:ind w:left="760"/>
        <w:contextualSpacing w:val="0"/>
        <w:jc w:val="center"/>
        <w:textAlignment w:val="baseline"/>
        <w:rPr>
          <w:rFonts w:ascii="Times New Roman" w:hAnsi="Times New Roman" w:cs="Times New Roman"/>
          <w:b/>
          <w:bCs/>
          <w:sz w:val="24"/>
        </w:rPr>
      </w:pPr>
      <w:r w:rsidRPr="00175DD0">
        <w:rPr>
          <w:rFonts w:cstheme="minorHAnsi"/>
          <w:noProof/>
          <w:lang w:eastAsia="lv-LV"/>
        </w:rPr>
        <w:drawing>
          <wp:anchor distT="0" distB="0" distL="114300" distR="114300" simplePos="0" relativeHeight="251658278" behindDoc="0" locked="0" layoutInCell="1" allowOverlap="1" wp14:anchorId="3043FD0C" wp14:editId="645BB1CA">
            <wp:simplePos x="0" y="0"/>
            <wp:positionH relativeFrom="margin">
              <wp:posOffset>-384810</wp:posOffset>
            </wp:positionH>
            <wp:positionV relativeFrom="paragraph">
              <wp:posOffset>648166</wp:posOffset>
            </wp:positionV>
            <wp:extent cx="8665029" cy="4517572"/>
            <wp:effectExtent l="0" t="0" r="3175" b="0"/>
            <wp:wrapTopAndBottom/>
            <wp:docPr id="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4">
                      <a:extLst>
                        <a:ext uri="{28A0092B-C50C-407E-A947-70E740481C1C}">
                          <a14:useLocalDpi xmlns:a14="http://schemas.microsoft.com/office/drawing/2010/main" val="0"/>
                        </a:ext>
                      </a:extLst>
                    </a:blip>
                    <a:srcRect/>
                    <a:stretch>
                      <a:fillRect/>
                    </a:stretch>
                  </pic:blipFill>
                  <pic:spPr>
                    <a:xfrm>
                      <a:off x="0" y="0"/>
                      <a:ext cx="8665029" cy="4517572"/>
                    </a:xfrm>
                    <a:prstGeom prst="rect">
                      <a:avLst/>
                    </a:prstGeom>
                    <a:ln/>
                  </pic:spPr>
                </pic:pic>
              </a:graphicData>
            </a:graphic>
            <wp14:sizeRelH relativeFrom="page">
              <wp14:pctWidth>0</wp14:pctWidth>
            </wp14:sizeRelH>
            <wp14:sizeRelV relativeFrom="page">
              <wp14:pctHeight>0</wp14:pctHeight>
            </wp14:sizeRelV>
          </wp:anchor>
        </w:drawing>
      </w:r>
      <w:r w:rsidR="00EA051D" w:rsidRPr="000D2593">
        <w:rPr>
          <w:rFonts w:ascii="Times New Roman" w:hAnsi="Times New Roman" w:cs="Times New Roman"/>
          <w:b/>
          <w:bCs/>
          <w:sz w:val="24"/>
        </w:rPr>
        <w:t xml:space="preserve">Notekūdeņu dūņu centralizācijas alternatīvu izmaksu salīdzinājums </w:t>
      </w:r>
      <w:r w:rsidR="008D34E0" w:rsidRPr="00651378">
        <w:rPr>
          <w:rFonts w:ascii="Times New Roman" w:hAnsi="Times New Roman" w:cs="Times New Roman"/>
          <w:b/>
          <w:color w:val="000000"/>
          <w:szCs w:val="24"/>
        </w:rPr>
        <w:t xml:space="preserve">(aprēķinus skatīt </w:t>
      </w:r>
      <w:r w:rsidR="008D34E0" w:rsidRPr="00762A7F">
        <w:rPr>
          <w:rFonts w:ascii="Times New Roman" w:hAnsi="Times New Roman" w:cs="Times New Roman"/>
          <w:b/>
          <w:color w:val="000000"/>
          <w:szCs w:val="24"/>
        </w:rPr>
        <w:t xml:space="preserve">pielikumā </w:t>
      </w:r>
      <w:r w:rsidR="008D34E0" w:rsidRPr="0078125D">
        <w:rPr>
          <w:rFonts w:ascii="Times New Roman" w:hAnsi="Times New Roman" w:cs="Times New Roman"/>
          <w:b/>
          <w:color w:val="000000"/>
          <w:szCs w:val="24"/>
        </w:rPr>
        <w:t>4.9. Finanšu aprēķini “3. Uzturēšanas izmaksas notekūdeņu dūņu pārstrādē”</w:t>
      </w:r>
      <w:r w:rsidR="008D34E0" w:rsidRPr="00762A7F">
        <w:rPr>
          <w:rFonts w:ascii="Times New Roman" w:hAnsi="Times New Roman" w:cs="Times New Roman"/>
          <w:b/>
          <w:color w:val="000000"/>
          <w:szCs w:val="24"/>
        </w:rPr>
        <w:t xml:space="preserve"> un pielikumā </w:t>
      </w:r>
      <w:r w:rsidR="008D34E0" w:rsidRPr="0078125D">
        <w:rPr>
          <w:rFonts w:ascii="Times New Roman" w:hAnsi="Times New Roman" w:cs="Times New Roman"/>
          <w:b/>
          <w:color w:val="000000"/>
          <w:szCs w:val="24"/>
        </w:rPr>
        <w:t>4.10. Finanšu aprēķini “4.</w:t>
      </w:r>
      <w:r w:rsidR="008D34E0">
        <w:rPr>
          <w:rFonts w:ascii="Times New Roman" w:hAnsi="Times New Roman" w:cs="Times New Roman"/>
          <w:b/>
          <w:color w:val="000000"/>
          <w:szCs w:val="24"/>
        </w:rPr>
        <w:t> </w:t>
      </w:r>
      <w:r w:rsidR="008D34E0" w:rsidRPr="0078125D">
        <w:rPr>
          <w:rFonts w:ascii="Times New Roman" w:hAnsi="Times New Roman" w:cs="Times New Roman"/>
          <w:b/>
          <w:color w:val="000000"/>
          <w:szCs w:val="24"/>
        </w:rPr>
        <w:t>Kapitālās investīcijas notekūdeņu dūņu pārstrādē”</w:t>
      </w:r>
      <w:r w:rsidR="008D34E0" w:rsidRPr="00651378">
        <w:rPr>
          <w:rFonts w:ascii="Times New Roman" w:hAnsi="Times New Roman" w:cs="Times New Roman"/>
          <w:b/>
          <w:color w:val="000000"/>
          <w:szCs w:val="24"/>
        </w:rPr>
        <w:t>)</w:t>
      </w:r>
    </w:p>
    <w:p w14:paraId="0702A267" w14:textId="50B095D2" w:rsidR="00EA051D" w:rsidRPr="00175DD0" w:rsidRDefault="00EA051D" w:rsidP="00EA051D">
      <w:pPr>
        <w:rPr>
          <w:rFonts w:cstheme="minorHAnsi"/>
        </w:rPr>
        <w:sectPr w:rsidR="00EA051D" w:rsidRPr="00175DD0" w:rsidSect="007E349D">
          <w:pgSz w:w="15840" w:h="12240" w:orient="landscape"/>
          <w:pgMar w:top="1134" w:right="1701" w:bottom="1134" w:left="1701" w:header="720" w:footer="720" w:gutter="0"/>
          <w:cols w:space="720"/>
        </w:sectPr>
      </w:pPr>
    </w:p>
    <w:p w14:paraId="0B1D000B" w14:textId="77777777" w:rsidR="00EA051D" w:rsidRPr="001648D3" w:rsidRDefault="00EA051D" w:rsidP="001648D3">
      <w:pPr>
        <w:jc w:val="center"/>
        <w:rPr>
          <w:rFonts w:ascii="Times New Roman" w:hAnsi="Times New Roman" w:cs="Times New Roman"/>
          <w:u w:val="single"/>
        </w:rPr>
      </w:pPr>
      <w:bookmarkStart w:id="121" w:name="_Toc82277655"/>
      <w:r w:rsidRPr="001648D3">
        <w:rPr>
          <w:rFonts w:ascii="Times New Roman" w:hAnsi="Times New Roman" w:cs="Times New Roman"/>
          <w:u w:val="single"/>
        </w:rPr>
        <w:lastRenderedPageBreak/>
        <w:t>Notekūdeņu dūņu centralizācijas alternatīvu salīdzinošais un riska novērtējums</w:t>
      </w:r>
      <w:bookmarkEnd w:id="121"/>
    </w:p>
    <w:p w14:paraId="7297696E" w14:textId="75076DF6" w:rsidR="00EA051D" w:rsidRDefault="00EA051D" w:rsidP="001648D3">
      <w:pPr>
        <w:spacing w:after="0"/>
        <w:ind w:firstLine="720"/>
        <w:rPr>
          <w:rFonts w:ascii="Times New Roman" w:hAnsi="Times New Roman" w:cs="Times New Roman"/>
        </w:rPr>
      </w:pPr>
      <w:r w:rsidRPr="001648D3">
        <w:rPr>
          <w:rFonts w:ascii="Times New Roman" w:hAnsi="Times New Roman" w:cs="Times New Roman"/>
        </w:rPr>
        <w:t xml:space="preserve">Visas izvirzītās notekūdeņu dūņu centralizācijas alternatīvas paredz likumdošanas prasībām atbilstošu notekūdeņu dūņu pārstrādi pirms notekūdeņu dūņu iestrādes augsnē, t.sk. ievērojot arī lauksaimnieku organizāciju izvirzītās prasības pārstrādātu notekūdeņu dūņu īpašībām un kvalitātei. Pielietojot vienotus alternatīvu vērtēšanas kritērijus ir iespējams objektīvi salīdzināt trīs atšķirīgo alternatīvo risinājumu priekšrocības un novērtēt piemērotāko </w:t>
      </w:r>
      <w:r w:rsidRPr="00FD22F5">
        <w:rPr>
          <w:rFonts w:ascii="Times New Roman" w:hAnsi="Times New Roman" w:cs="Times New Roman"/>
        </w:rPr>
        <w:t xml:space="preserve">notekūdeņu dūņu centralizācijas alternatīvu. Atbilstoši aprakstītai metodikai (skat. </w:t>
      </w:r>
      <w:r w:rsidR="008D34E0">
        <w:rPr>
          <w:rFonts w:ascii="Times New Roman" w:hAnsi="Times New Roman" w:cs="Times New Roman"/>
        </w:rPr>
        <w:t xml:space="preserve">pielikumu </w:t>
      </w:r>
      <w:r w:rsidR="008D34E0" w:rsidRPr="008D34E0">
        <w:rPr>
          <w:rFonts w:ascii="Times New Roman" w:hAnsi="Times New Roman" w:cs="Times New Roman"/>
        </w:rPr>
        <w:t>4.1. Dūņu apsaimniekošanas alternatīvu izvēles metodika</w:t>
      </w:r>
      <w:r w:rsidRPr="00FD22F5">
        <w:rPr>
          <w:rFonts w:ascii="Times New Roman" w:hAnsi="Times New Roman" w:cs="Times New Roman"/>
        </w:rPr>
        <w:t>) ir veikta</w:t>
      </w:r>
      <w:r w:rsidRPr="001648D3">
        <w:rPr>
          <w:rFonts w:ascii="Times New Roman" w:hAnsi="Times New Roman" w:cs="Times New Roman"/>
        </w:rPr>
        <w:t xml:space="preserve"> visu notekūdeņu dūņu centralizācijas alternatīvu salīdzināšana un risku novērtējums. Alternatīvas tiek salīdzinātas ņemot vērā vairākus nozīmīgus notekūdeņu dūņu stratēģiju raksturojošus kritērijus, kuru vērtējums apkopots </w:t>
      </w:r>
      <w:r w:rsidR="00CD61AD" w:rsidRPr="00996138">
        <w:rPr>
          <w:rFonts w:ascii="Times New Roman" w:hAnsi="Times New Roman" w:cs="Times New Roman"/>
          <w:szCs w:val="24"/>
        </w:rPr>
        <w:t>4.5.</w:t>
      </w:r>
      <w:r w:rsidR="00CD61AD">
        <w:rPr>
          <w:rFonts w:ascii="Times New Roman" w:hAnsi="Times New Roman" w:cs="Times New Roman"/>
          <w:szCs w:val="24"/>
        </w:rPr>
        <w:t>20</w:t>
      </w:r>
      <w:r w:rsidRPr="001648D3">
        <w:rPr>
          <w:rFonts w:ascii="Times New Roman" w:hAnsi="Times New Roman" w:cs="Times New Roman"/>
        </w:rPr>
        <w:t>.tabulā.</w:t>
      </w:r>
    </w:p>
    <w:p w14:paraId="600608D1" w14:textId="77777777" w:rsidR="001648D3" w:rsidRPr="001648D3" w:rsidRDefault="001648D3" w:rsidP="001648D3">
      <w:pPr>
        <w:spacing w:after="0"/>
        <w:ind w:firstLine="720"/>
        <w:rPr>
          <w:rFonts w:ascii="Times New Roman" w:hAnsi="Times New Roman" w:cs="Times New Roman"/>
        </w:rPr>
      </w:pPr>
    </w:p>
    <w:p w14:paraId="63A23669" w14:textId="57FE918E" w:rsidR="001648D3" w:rsidRPr="001648D3" w:rsidRDefault="00CD61AD" w:rsidP="001648D3">
      <w:pPr>
        <w:pStyle w:val="ListParagraph"/>
        <w:pBdr>
          <w:top w:val="nil"/>
          <w:left w:val="nil"/>
          <w:bottom w:val="nil"/>
          <w:right w:val="nil"/>
          <w:between w:val="nil"/>
        </w:pBdr>
        <w:suppressAutoHyphens/>
        <w:autoSpaceDN w:val="0"/>
        <w:spacing w:after="0"/>
        <w:ind w:left="760"/>
        <w:contextualSpacing w:val="0"/>
        <w:jc w:val="right"/>
        <w:textAlignment w:val="baseline"/>
        <w:rPr>
          <w:rFonts w:ascii="Times New Roman" w:hAnsi="Times New Roman" w:cs="Times New Roman"/>
          <w:sz w:val="24"/>
        </w:rPr>
      </w:pPr>
      <w:r w:rsidRPr="00996138">
        <w:rPr>
          <w:rFonts w:ascii="Times New Roman" w:hAnsi="Times New Roman" w:cs="Times New Roman"/>
          <w:sz w:val="24"/>
          <w:szCs w:val="24"/>
        </w:rPr>
        <w:t>4.5.</w:t>
      </w:r>
      <w:r>
        <w:rPr>
          <w:rFonts w:ascii="Times New Roman" w:hAnsi="Times New Roman" w:cs="Times New Roman"/>
          <w:sz w:val="24"/>
          <w:szCs w:val="24"/>
        </w:rPr>
        <w:t>20</w:t>
      </w:r>
      <w:r w:rsidR="004E438F" w:rsidRPr="001648D3">
        <w:rPr>
          <w:rFonts w:ascii="Times New Roman" w:hAnsi="Times New Roman" w:cs="Times New Roman"/>
          <w:sz w:val="24"/>
        </w:rPr>
        <w:t>.</w:t>
      </w:r>
      <w:r w:rsidR="00EA051D" w:rsidRPr="001648D3">
        <w:rPr>
          <w:rFonts w:ascii="Times New Roman" w:hAnsi="Times New Roman" w:cs="Times New Roman"/>
          <w:sz w:val="24"/>
        </w:rPr>
        <w:t>tabula</w:t>
      </w:r>
    </w:p>
    <w:p w14:paraId="35B48D15" w14:textId="32F106E4" w:rsidR="00EA051D" w:rsidRPr="001648D3" w:rsidRDefault="00EA051D" w:rsidP="001648D3">
      <w:pPr>
        <w:pBdr>
          <w:top w:val="nil"/>
          <w:left w:val="nil"/>
          <w:bottom w:val="nil"/>
          <w:right w:val="nil"/>
          <w:between w:val="nil"/>
        </w:pBdr>
        <w:suppressAutoHyphens/>
        <w:autoSpaceDN w:val="0"/>
        <w:spacing w:after="0"/>
        <w:jc w:val="center"/>
        <w:textAlignment w:val="baseline"/>
        <w:rPr>
          <w:rFonts w:ascii="Times New Roman" w:hAnsi="Times New Roman" w:cs="Times New Roman"/>
          <w:b/>
          <w:bCs/>
        </w:rPr>
      </w:pPr>
      <w:r w:rsidRPr="001648D3">
        <w:rPr>
          <w:rFonts w:ascii="Times New Roman" w:hAnsi="Times New Roman" w:cs="Times New Roman"/>
          <w:b/>
          <w:bCs/>
        </w:rPr>
        <w:t>Notekūdeņu dūņu centralizācijas alternatīvu novērtēšana pēc salīdzinošajiem kritērijiem</w:t>
      </w:r>
    </w:p>
    <w:tbl>
      <w:tblPr>
        <w:tblStyle w:val="14"/>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701"/>
        <w:gridCol w:w="1701"/>
        <w:gridCol w:w="1559"/>
        <w:gridCol w:w="2410"/>
      </w:tblGrid>
      <w:tr w:rsidR="00EA051D" w:rsidRPr="001648D3" w14:paraId="3D2E68C0" w14:textId="77777777" w:rsidTr="001648D3">
        <w:tc>
          <w:tcPr>
            <w:tcW w:w="1555" w:type="dxa"/>
            <w:vAlign w:val="center"/>
          </w:tcPr>
          <w:p w14:paraId="6A953CA9"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Alternatīvu salīdzināšanas kritēriji</w:t>
            </w:r>
          </w:p>
        </w:tc>
        <w:tc>
          <w:tcPr>
            <w:tcW w:w="1701" w:type="dxa"/>
            <w:vAlign w:val="center"/>
          </w:tcPr>
          <w:p w14:paraId="7A451E05"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D1. Alternatīva: 41 dūņu pārstrādes centra izveide</w:t>
            </w:r>
          </w:p>
        </w:tc>
        <w:tc>
          <w:tcPr>
            <w:tcW w:w="1701" w:type="dxa"/>
            <w:vAlign w:val="center"/>
          </w:tcPr>
          <w:p w14:paraId="489DA4F8"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D2. Alternatīva: 30 dūņu pārstrādes centru izveide</w:t>
            </w:r>
          </w:p>
        </w:tc>
        <w:tc>
          <w:tcPr>
            <w:tcW w:w="1559" w:type="dxa"/>
            <w:vAlign w:val="center"/>
          </w:tcPr>
          <w:p w14:paraId="62CEA15F"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D3.Alternatīva: 16 dūņu pārstrādes centru izveide</w:t>
            </w:r>
          </w:p>
        </w:tc>
        <w:tc>
          <w:tcPr>
            <w:tcW w:w="2410" w:type="dxa"/>
            <w:vAlign w:val="center"/>
          </w:tcPr>
          <w:p w14:paraId="2C11AD34"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D4.1.Alternatīva: 5 notekūdeņu dūņu pārstrādes biogāzē centru izveide</w:t>
            </w:r>
          </w:p>
        </w:tc>
      </w:tr>
      <w:tr w:rsidR="00EA051D" w:rsidRPr="001648D3" w14:paraId="09EEE3B1" w14:textId="77777777" w:rsidTr="001648D3">
        <w:tc>
          <w:tcPr>
            <w:tcW w:w="1555" w:type="dxa"/>
            <w:vAlign w:val="center"/>
          </w:tcPr>
          <w:p w14:paraId="387564D1" w14:textId="77777777" w:rsidR="00EA051D" w:rsidRPr="001648D3" w:rsidRDefault="00000000" w:rsidP="00D70884">
            <w:pPr>
              <w:spacing w:after="60"/>
              <w:jc w:val="center"/>
              <w:rPr>
                <w:rFonts w:ascii="Times New Roman" w:hAnsi="Times New Roman" w:cs="Times New Roman"/>
                <w:sz w:val="20"/>
                <w:szCs w:val="20"/>
              </w:rPr>
            </w:pPr>
            <w:sdt>
              <w:sdtPr>
                <w:rPr>
                  <w:rFonts w:ascii="Times New Roman" w:hAnsi="Times New Roman" w:cs="Times New Roman"/>
                </w:rPr>
                <w:tag w:val="goog_rdk_10"/>
                <w:id w:val="-2012906909"/>
              </w:sdtPr>
              <w:sdtContent>
                <w:r w:rsidR="00EA051D" w:rsidRPr="001648D3">
                  <w:rPr>
                    <w:rFonts w:ascii="Times New Roman" w:hAnsi="Times New Roman" w:cs="Times New Roman"/>
                    <w:sz w:val="20"/>
                    <w:szCs w:val="20"/>
                  </w:rPr>
                  <w:t>A</w:t>
                </w:r>
              </w:sdtContent>
            </w:sdt>
            <w:r w:rsidR="00EA051D" w:rsidRPr="001648D3">
              <w:rPr>
                <w:rFonts w:ascii="Times New Roman" w:hAnsi="Times New Roman" w:cs="Times New Roman"/>
                <w:sz w:val="20"/>
                <w:szCs w:val="20"/>
              </w:rPr>
              <w:t xml:space="preserve">tbilst ES un </w:t>
            </w:r>
            <w:sdt>
              <w:sdtPr>
                <w:rPr>
                  <w:rFonts w:ascii="Times New Roman" w:hAnsi="Times New Roman" w:cs="Times New Roman"/>
                </w:rPr>
                <w:tag w:val="goog_rdk_10"/>
                <w:id w:val="2115783240"/>
              </w:sdtPr>
              <w:sdtContent/>
            </w:sdt>
            <w:r w:rsidR="00EA051D" w:rsidRPr="001648D3">
              <w:rPr>
                <w:rFonts w:ascii="Times New Roman" w:hAnsi="Times New Roman" w:cs="Times New Roman"/>
                <w:sz w:val="20"/>
                <w:szCs w:val="20"/>
              </w:rPr>
              <w:t>LR stratēģiju ilgtermiņa mērķiem</w:t>
            </w:r>
          </w:p>
        </w:tc>
        <w:tc>
          <w:tcPr>
            <w:tcW w:w="1701" w:type="dxa"/>
            <w:shd w:val="clear" w:color="auto" w:fill="FFFF00"/>
            <w:vAlign w:val="center"/>
          </w:tcPr>
          <w:p w14:paraId="0AA98251"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23F90F7B"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Mazākie notekūdeņu dūņu pārstrādes centri nespēs pilnībā sasniegt izvirzītos mērķus un veicināt aprites ekonomikas principus, jo tajos var būt grūti nodrošināt stabilu dūņu apjomu un kvalitāti.</w:t>
            </w:r>
          </w:p>
        </w:tc>
        <w:tc>
          <w:tcPr>
            <w:tcW w:w="1701" w:type="dxa"/>
            <w:shd w:val="clear" w:color="auto" w:fill="92D050"/>
            <w:vAlign w:val="center"/>
          </w:tcPr>
          <w:p w14:paraId="24D3A20D"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65FC815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Pietiekami lieli dūņu pārstrādes centri nodrošinās mērķu sasniegšanu</w:t>
            </w:r>
          </w:p>
        </w:tc>
        <w:tc>
          <w:tcPr>
            <w:tcW w:w="1559" w:type="dxa"/>
            <w:shd w:val="clear" w:color="auto" w:fill="92D050"/>
            <w:vAlign w:val="center"/>
          </w:tcPr>
          <w:p w14:paraId="22FA144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6EE81046"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Pietiekami lieli dūņu pārstrādes centri nodrošinās mērķu sasniegšanu</w:t>
            </w:r>
          </w:p>
        </w:tc>
        <w:tc>
          <w:tcPr>
            <w:tcW w:w="2410" w:type="dxa"/>
            <w:shd w:val="clear" w:color="auto" w:fill="92D050"/>
            <w:vAlign w:val="center"/>
          </w:tcPr>
          <w:p w14:paraId="57C547A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465A1BF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Pietiekami lieli notekūdeņu dūņu pārstrādes centri nodrošinās mērķu sasniegšanu</w:t>
            </w:r>
          </w:p>
        </w:tc>
      </w:tr>
      <w:tr w:rsidR="00EA051D" w:rsidRPr="001648D3" w14:paraId="3CB08754" w14:textId="77777777" w:rsidTr="001648D3">
        <w:tc>
          <w:tcPr>
            <w:tcW w:w="1555" w:type="dxa"/>
            <w:vAlign w:val="center"/>
          </w:tcPr>
          <w:p w14:paraId="2CA1A96F" w14:textId="77777777" w:rsidR="00EA051D" w:rsidRPr="001648D3" w:rsidRDefault="00EA051D" w:rsidP="00D70884">
            <w:pPr>
              <w:spacing w:after="60"/>
              <w:jc w:val="center"/>
              <w:rPr>
                <w:rFonts w:ascii="Times New Roman" w:hAnsi="Times New Roman" w:cs="Times New Roman"/>
                <w:sz w:val="20"/>
                <w:szCs w:val="20"/>
              </w:rPr>
            </w:pPr>
            <w:r w:rsidRPr="001648D3">
              <w:rPr>
                <w:rFonts w:ascii="Times New Roman" w:hAnsi="Times New Roman" w:cs="Times New Roman"/>
                <w:sz w:val="20"/>
                <w:szCs w:val="20"/>
              </w:rPr>
              <w:t>Atbilst stratēģijas izvirzītajai Vīzijai un Misijai</w:t>
            </w:r>
          </w:p>
        </w:tc>
        <w:tc>
          <w:tcPr>
            <w:tcW w:w="1701" w:type="dxa"/>
            <w:shd w:val="clear" w:color="auto" w:fill="FFFF00"/>
            <w:vAlign w:val="center"/>
          </w:tcPr>
          <w:p w14:paraId="50EDE0A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50CFBAD6"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Mazākie notekūdeņu dūņu pārstrādes centri nespēs pilnībā sasniegt izvirzīto Vīziju un Misiju, jo tajos var būt grūti nodrošināt stabilu dūņu apjomu un kvalitāti.</w:t>
            </w:r>
          </w:p>
        </w:tc>
        <w:tc>
          <w:tcPr>
            <w:tcW w:w="1701" w:type="dxa"/>
            <w:shd w:val="clear" w:color="auto" w:fill="92D050"/>
            <w:vAlign w:val="center"/>
          </w:tcPr>
          <w:p w14:paraId="4C3F739E"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3943400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Pietiekami lieli dūņu pārstrādes centri nodrošinās izvirzītās Vīzijas un Misijas sasniegšanu</w:t>
            </w:r>
          </w:p>
        </w:tc>
        <w:tc>
          <w:tcPr>
            <w:tcW w:w="1559" w:type="dxa"/>
            <w:shd w:val="clear" w:color="auto" w:fill="92D050"/>
            <w:vAlign w:val="center"/>
          </w:tcPr>
          <w:p w14:paraId="63FB2467"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34B06C8B"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Pietiekami lieli dūņu pārstrādes centri nodrošinās izvirzītās Vīzijas un Misijas sasniegšanu</w:t>
            </w:r>
          </w:p>
        </w:tc>
        <w:tc>
          <w:tcPr>
            <w:tcW w:w="2410" w:type="dxa"/>
            <w:shd w:val="clear" w:color="auto" w:fill="92D050"/>
            <w:vAlign w:val="center"/>
          </w:tcPr>
          <w:p w14:paraId="6F40E44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2781E16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Pietiekami lieli notekūdeņu dūņu pārstrādes centri nodrošinās izvirzītās Vīzijas un Misijas sasniegšanu</w:t>
            </w:r>
          </w:p>
        </w:tc>
      </w:tr>
      <w:tr w:rsidR="00EA051D" w:rsidRPr="001648D3" w14:paraId="430E5A17" w14:textId="77777777" w:rsidTr="001648D3">
        <w:tc>
          <w:tcPr>
            <w:tcW w:w="1555" w:type="dxa"/>
            <w:vAlign w:val="center"/>
          </w:tcPr>
          <w:p w14:paraId="5B447EBA" w14:textId="77777777" w:rsidR="00EA051D" w:rsidRPr="001648D3" w:rsidRDefault="00EA051D" w:rsidP="00D70884">
            <w:pPr>
              <w:spacing w:after="60"/>
              <w:jc w:val="center"/>
              <w:rPr>
                <w:rFonts w:ascii="Times New Roman" w:hAnsi="Times New Roman" w:cs="Times New Roman"/>
                <w:sz w:val="20"/>
                <w:szCs w:val="20"/>
              </w:rPr>
            </w:pPr>
            <w:r w:rsidRPr="001648D3">
              <w:rPr>
                <w:rFonts w:ascii="Times New Roman" w:hAnsi="Times New Roman" w:cs="Times New Roman"/>
                <w:sz w:val="20"/>
                <w:szCs w:val="20"/>
              </w:rPr>
              <w:t>Zemākas uzturēšanas izmaksas</w:t>
            </w:r>
          </w:p>
        </w:tc>
        <w:tc>
          <w:tcPr>
            <w:tcW w:w="1701" w:type="dxa"/>
            <w:shd w:val="clear" w:color="auto" w:fill="FFFF00"/>
            <w:vAlign w:val="center"/>
          </w:tcPr>
          <w:p w14:paraId="6DBE7DE9"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3FF13367"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sz w:val="18"/>
                <w:szCs w:val="18"/>
              </w:rPr>
              <w:t xml:space="preserve">Uzturēšanas izmaksas alternatīvai ir nedaudz lielākas </w:t>
            </w:r>
            <w:r w:rsidRPr="001648D3">
              <w:rPr>
                <w:rFonts w:ascii="Times New Roman" w:hAnsi="Times New Roman" w:cs="Times New Roman"/>
                <w:sz w:val="18"/>
                <w:szCs w:val="18"/>
              </w:rPr>
              <w:lastRenderedPageBreak/>
              <w:t xml:space="preserve">salīdzinājumā ar paŗējām alternatīvām </w:t>
            </w:r>
          </w:p>
        </w:tc>
        <w:tc>
          <w:tcPr>
            <w:tcW w:w="1701" w:type="dxa"/>
            <w:shd w:val="clear" w:color="auto" w:fill="92D050"/>
            <w:vAlign w:val="center"/>
          </w:tcPr>
          <w:p w14:paraId="234DD5A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b/>
                <w:sz w:val="18"/>
                <w:szCs w:val="18"/>
              </w:rPr>
              <w:lastRenderedPageBreak/>
              <w:t>Atbilst</w:t>
            </w:r>
          </w:p>
          <w:p w14:paraId="7C0A3C55"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sz w:val="18"/>
                <w:szCs w:val="18"/>
              </w:rPr>
              <w:t>Alternatīva nodrošina zemākās uzturēšanas izmaksas</w:t>
            </w:r>
          </w:p>
        </w:tc>
        <w:tc>
          <w:tcPr>
            <w:tcW w:w="1559" w:type="dxa"/>
            <w:shd w:val="clear" w:color="auto" w:fill="92D050"/>
            <w:vAlign w:val="center"/>
          </w:tcPr>
          <w:p w14:paraId="2FB992D3"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b/>
                <w:sz w:val="18"/>
                <w:szCs w:val="18"/>
              </w:rPr>
              <w:t>Atbilst</w:t>
            </w:r>
          </w:p>
          <w:p w14:paraId="7D426B8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 xml:space="preserve">Alternatīva nodrošina zemākās </w:t>
            </w:r>
            <w:r w:rsidRPr="001648D3">
              <w:rPr>
                <w:rFonts w:ascii="Times New Roman" w:hAnsi="Times New Roman" w:cs="Times New Roman"/>
                <w:sz w:val="18"/>
                <w:szCs w:val="18"/>
              </w:rPr>
              <w:lastRenderedPageBreak/>
              <w:t>uzturēšanas izmaksas</w:t>
            </w:r>
          </w:p>
        </w:tc>
        <w:tc>
          <w:tcPr>
            <w:tcW w:w="2410" w:type="dxa"/>
            <w:shd w:val="clear" w:color="auto" w:fill="FF0000"/>
            <w:vAlign w:val="center"/>
          </w:tcPr>
          <w:p w14:paraId="78255504"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lastRenderedPageBreak/>
              <w:t>Neatbilst</w:t>
            </w:r>
          </w:p>
          <w:p w14:paraId="4B3B754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sz w:val="18"/>
                <w:szCs w:val="18"/>
              </w:rPr>
              <w:t>Alternatīvas uzturēšanas izmaksas ir lielākas salīdzinājumā ar pārējām alternatīvām</w:t>
            </w:r>
          </w:p>
        </w:tc>
      </w:tr>
      <w:tr w:rsidR="00EA051D" w:rsidRPr="001648D3" w14:paraId="68C05C46" w14:textId="77777777" w:rsidTr="001648D3">
        <w:tc>
          <w:tcPr>
            <w:tcW w:w="1555" w:type="dxa"/>
            <w:vAlign w:val="center"/>
          </w:tcPr>
          <w:p w14:paraId="18A2FA87" w14:textId="77777777" w:rsidR="00EA051D" w:rsidRPr="001648D3" w:rsidRDefault="00EA051D" w:rsidP="00D70884">
            <w:pPr>
              <w:spacing w:after="60"/>
              <w:jc w:val="center"/>
              <w:rPr>
                <w:rFonts w:ascii="Times New Roman" w:hAnsi="Times New Roman" w:cs="Times New Roman"/>
                <w:sz w:val="20"/>
                <w:szCs w:val="20"/>
              </w:rPr>
            </w:pPr>
            <w:r w:rsidRPr="001648D3">
              <w:rPr>
                <w:rFonts w:ascii="Times New Roman" w:hAnsi="Times New Roman" w:cs="Times New Roman"/>
                <w:sz w:val="20"/>
                <w:szCs w:val="20"/>
              </w:rPr>
              <w:t>Zemākas kapitālās investīcijas</w:t>
            </w:r>
          </w:p>
        </w:tc>
        <w:tc>
          <w:tcPr>
            <w:tcW w:w="1701" w:type="dxa"/>
            <w:shd w:val="clear" w:color="auto" w:fill="FFFF00"/>
            <w:vAlign w:val="center"/>
          </w:tcPr>
          <w:p w14:paraId="3F71BC2C"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094CC77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Alternatīvas kapitālās investīcijas ir augstākas salīdzinājumā ar lētāko alternatīvu</w:t>
            </w:r>
          </w:p>
        </w:tc>
        <w:tc>
          <w:tcPr>
            <w:tcW w:w="1701" w:type="dxa"/>
            <w:shd w:val="clear" w:color="auto" w:fill="FFFF00"/>
          </w:tcPr>
          <w:p w14:paraId="618DE8A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b/>
                <w:sz w:val="18"/>
                <w:szCs w:val="18"/>
              </w:rPr>
              <w:t xml:space="preserve">Daļēji atbilst </w:t>
            </w:r>
            <w:r w:rsidRPr="001648D3">
              <w:rPr>
                <w:rFonts w:ascii="Times New Roman" w:hAnsi="Times New Roman" w:cs="Times New Roman"/>
                <w:sz w:val="18"/>
                <w:szCs w:val="18"/>
              </w:rPr>
              <w:t>Alternatīvas kapitālās investīcijas ir augstākas salīdzinājumā ar lētāko alternatīvu</w:t>
            </w:r>
          </w:p>
        </w:tc>
        <w:tc>
          <w:tcPr>
            <w:tcW w:w="1559" w:type="dxa"/>
            <w:shd w:val="clear" w:color="auto" w:fill="FFFF00"/>
          </w:tcPr>
          <w:p w14:paraId="1C22BA7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b/>
                <w:sz w:val="18"/>
                <w:szCs w:val="18"/>
              </w:rPr>
              <w:t xml:space="preserve">Daļēji atbilst </w:t>
            </w:r>
            <w:r w:rsidRPr="001648D3">
              <w:rPr>
                <w:rFonts w:ascii="Times New Roman" w:hAnsi="Times New Roman" w:cs="Times New Roman"/>
                <w:sz w:val="18"/>
                <w:szCs w:val="18"/>
              </w:rPr>
              <w:t>Alternatīvas kapitālās investīcijas ir augstākas salīdzinājumā ar lētāko alternatīvu</w:t>
            </w:r>
          </w:p>
        </w:tc>
        <w:tc>
          <w:tcPr>
            <w:tcW w:w="2410" w:type="dxa"/>
            <w:shd w:val="clear" w:color="auto" w:fill="92D050"/>
            <w:vAlign w:val="center"/>
          </w:tcPr>
          <w:p w14:paraId="7B5732E0"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Atlbils</w:t>
            </w:r>
          </w:p>
          <w:p w14:paraId="5B47B38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Alternatīvas izveidošanas kapitālās investīcijas ir viszemākās</w:t>
            </w:r>
          </w:p>
        </w:tc>
      </w:tr>
      <w:tr w:rsidR="00EA051D" w:rsidRPr="001648D3" w14:paraId="1C57EECC" w14:textId="77777777" w:rsidTr="001648D3">
        <w:tc>
          <w:tcPr>
            <w:tcW w:w="1555" w:type="dxa"/>
            <w:vAlign w:val="center"/>
          </w:tcPr>
          <w:p w14:paraId="36A0D5C7" w14:textId="77777777" w:rsidR="00EA051D" w:rsidRPr="001648D3" w:rsidRDefault="00000000" w:rsidP="00D70884">
            <w:pPr>
              <w:spacing w:after="60"/>
              <w:jc w:val="center"/>
              <w:rPr>
                <w:rFonts w:ascii="Times New Roman" w:hAnsi="Times New Roman" w:cs="Times New Roman"/>
                <w:sz w:val="20"/>
                <w:szCs w:val="20"/>
              </w:rPr>
            </w:pPr>
            <w:sdt>
              <w:sdtPr>
                <w:rPr>
                  <w:rFonts w:ascii="Times New Roman" w:hAnsi="Times New Roman" w:cs="Times New Roman"/>
                </w:rPr>
                <w:tag w:val="goog_rdk_11"/>
                <w:id w:val="64775364"/>
              </w:sdtPr>
              <w:sdtContent>
                <w:r w:rsidR="00EA051D" w:rsidRPr="001648D3">
                  <w:rPr>
                    <w:rFonts w:ascii="Times New Roman" w:hAnsi="Times New Roman" w:cs="Times New Roman"/>
                    <w:sz w:val="20"/>
                    <w:szCs w:val="20"/>
                  </w:rPr>
                  <w:t>V</w:t>
                </w:r>
              </w:sdtContent>
            </w:sdt>
            <w:r w:rsidR="00EA051D" w:rsidRPr="001648D3">
              <w:rPr>
                <w:rFonts w:ascii="Times New Roman" w:hAnsi="Times New Roman" w:cs="Times New Roman"/>
                <w:sz w:val="20"/>
                <w:szCs w:val="20"/>
              </w:rPr>
              <w:t>ienkāršāks  ieviešanas scenārijs</w:t>
            </w:r>
          </w:p>
        </w:tc>
        <w:tc>
          <w:tcPr>
            <w:tcW w:w="1701" w:type="dxa"/>
            <w:shd w:val="clear" w:color="auto" w:fill="92D050"/>
            <w:vAlign w:val="center"/>
          </w:tcPr>
          <w:p w14:paraId="5335FFCB"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59A2FA0B"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Vienkāršākā no izvirzītajām dūņu centralizācijas alternatīvām</w:t>
            </w:r>
          </w:p>
        </w:tc>
        <w:tc>
          <w:tcPr>
            <w:tcW w:w="1701" w:type="dxa"/>
            <w:shd w:val="clear" w:color="auto" w:fill="FFFF00"/>
            <w:vAlign w:val="center"/>
          </w:tcPr>
          <w:p w14:paraId="5C5F5608"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5074492C"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Atsevišķos gadījumos var būt pretestība un neizpratne izvirzītajai alternatīvai no iesaistīto SPS un pašvaldību puses</w:t>
            </w:r>
          </w:p>
        </w:tc>
        <w:tc>
          <w:tcPr>
            <w:tcW w:w="1559" w:type="dxa"/>
            <w:shd w:val="clear" w:color="auto" w:fill="FFFF00"/>
            <w:vAlign w:val="center"/>
          </w:tcPr>
          <w:p w14:paraId="1827F5C7"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500C902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Atsevišķos gadījumos var būt pretestība un neizpratne izvirzītajai alternatīvai no iesaistīto SPS un pašvaldību puses</w:t>
            </w:r>
          </w:p>
        </w:tc>
        <w:tc>
          <w:tcPr>
            <w:tcW w:w="2410" w:type="dxa"/>
            <w:shd w:val="clear" w:color="auto" w:fill="FF0000"/>
            <w:vAlign w:val="center"/>
          </w:tcPr>
          <w:p w14:paraId="0D02551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Neatbilst</w:t>
            </w:r>
          </w:p>
          <w:p w14:paraId="2D8682E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 ir sarežģīta, var sastapties ar būtiska pretestība no dažādām iesaistītajām organizācijām un institūcijām</w:t>
            </w:r>
          </w:p>
        </w:tc>
      </w:tr>
      <w:tr w:rsidR="007B6AC2" w:rsidRPr="001648D3" w14:paraId="305EC63E" w14:textId="77777777" w:rsidTr="001648D3">
        <w:tc>
          <w:tcPr>
            <w:tcW w:w="1555" w:type="dxa"/>
            <w:vAlign w:val="center"/>
          </w:tcPr>
          <w:p w14:paraId="7470C1A7" w14:textId="77777777" w:rsidR="007B6AC2" w:rsidRPr="001648D3" w:rsidRDefault="007B6AC2" w:rsidP="007B6AC2">
            <w:pPr>
              <w:spacing w:after="60"/>
              <w:jc w:val="center"/>
              <w:rPr>
                <w:rFonts w:ascii="Times New Roman" w:hAnsi="Times New Roman" w:cs="Times New Roman"/>
                <w:sz w:val="20"/>
                <w:szCs w:val="20"/>
              </w:rPr>
            </w:pPr>
            <w:r w:rsidRPr="001648D3">
              <w:rPr>
                <w:rFonts w:ascii="Times New Roman" w:hAnsi="Times New Roman" w:cs="Times New Roman"/>
                <w:sz w:val="20"/>
                <w:szCs w:val="20"/>
              </w:rPr>
              <w:t>Alternatīvu neierobežo noteikts dūņu apjoms</w:t>
            </w:r>
          </w:p>
        </w:tc>
        <w:tc>
          <w:tcPr>
            <w:tcW w:w="1701" w:type="dxa"/>
            <w:shd w:val="clear" w:color="auto" w:fill="FFFF00"/>
            <w:vAlign w:val="center"/>
          </w:tcPr>
          <w:p w14:paraId="24C210B1" w14:textId="77777777" w:rsidR="007B6AC2" w:rsidRPr="001648D3" w:rsidRDefault="007B6AC2" w:rsidP="007B6AC2">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440714DE" w14:textId="77777777" w:rsidR="007B6AC2" w:rsidRPr="001648D3" w:rsidRDefault="007B6AC2" w:rsidP="007B6AC2">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Alternatīvas ieviešana ir nepieciešams noteikts minimālais notekūdeņu dūņu daudzums</w:t>
            </w:r>
          </w:p>
        </w:tc>
        <w:tc>
          <w:tcPr>
            <w:tcW w:w="1701" w:type="dxa"/>
            <w:shd w:val="clear" w:color="auto" w:fill="FFFF00"/>
            <w:vAlign w:val="center"/>
          </w:tcPr>
          <w:p w14:paraId="5EB855D3" w14:textId="77777777" w:rsidR="007B6AC2" w:rsidRPr="001648D3" w:rsidRDefault="007B6AC2" w:rsidP="007B6AC2">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60C15CF0" w14:textId="77777777" w:rsidR="007B6AC2" w:rsidRPr="001648D3" w:rsidRDefault="007B6AC2" w:rsidP="007B6AC2">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Alternatīvas ieviešana ir nepieciešams noteikts minimālais notekūdeņu dūņu daudzums</w:t>
            </w:r>
          </w:p>
        </w:tc>
        <w:tc>
          <w:tcPr>
            <w:tcW w:w="1559" w:type="dxa"/>
            <w:shd w:val="clear" w:color="auto" w:fill="FFFF00"/>
            <w:vAlign w:val="center"/>
          </w:tcPr>
          <w:p w14:paraId="7517427E" w14:textId="77777777" w:rsidR="007B6AC2" w:rsidRPr="001648D3" w:rsidRDefault="007B6AC2" w:rsidP="007B6AC2">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185EDDC7" w14:textId="77777777" w:rsidR="007B6AC2" w:rsidRPr="001648D3" w:rsidRDefault="007B6AC2" w:rsidP="007B6AC2">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Alternatīvas ieviešana ir nepieciešams noteikts minimālais notekūdeņu dūņu daudzums</w:t>
            </w:r>
          </w:p>
        </w:tc>
        <w:tc>
          <w:tcPr>
            <w:tcW w:w="2410" w:type="dxa"/>
            <w:shd w:val="clear" w:color="auto" w:fill="FF0000"/>
            <w:vAlign w:val="center"/>
          </w:tcPr>
          <w:p w14:paraId="0A6ED478" w14:textId="77777777" w:rsidR="007B6AC2" w:rsidRPr="001648D3" w:rsidRDefault="007B6AC2" w:rsidP="007B6AC2">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Neatbilst</w:t>
            </w:r>
          </w:p>
          <w:p w14:paraId="58D9A369" w14:textId="77777777" w:rsidR="007B6AC2" w:rsidRPr="001648D3" w:rsidRDefault="007B6AC2" w:rsidP="007B6AC2">
            <w:pPr>
              <w:spacing w:after="60"/>
              <w:jc w:val="center"/>
              <w:rPr>
                <w:rFonts w:ascii="Times New Roman" w:hAnsi="Times New Roman" w:cs="Times New Roman"/>
                <w:sz w:val="18"/>
                <w:szCs w:val="18"/>
              </w:rPr>
            </w:pPr>
            <w:r w:rsidRPr="001648D3">
              <w:rPr>
                <w:rFonts w:ascii="Times New Roman" w:hAnsi="Times New Roman" w:cs="Times New Roman"/>
                <w:sz w:val="18"/>
                <w:szCs w:val="18"/>
              </w:rPr>
              <w:t>Alternatīvas ieviešanai ir būtisks minimālais nepieciešamais notekūdeņu dūņu daudzums</w:t>
            </w:r>
          </w:p>
        </w:tc>
      </w:tr>
      <w:tr w:rsidR="00EA051D" w:rsidRPr="001648D3" w14:paraId="785AD44F" w14:textId="77777777" w:rsidTr="001648D3">
        <w:tc>
          <w:tcPr>
            <w:tcW w:w="1555" w:type="dxa"/>
            <w:vAlign w:val="center"/>
          </w:tcPr>
          <w:p w14:paraId="3EE7FCDC" w14:textId="77777777" w:rsidR="00EA051D" w:rsidRPr="001648D3" w:rsidRDefault="00EA051D" w:rsidP="00D70884">
            <w:pPr>
              <w:spacing w:after="60"/>
              <w:jc w:val="center"/>
              <w:rPr>
                <w:rFonts w:ascii="Times New Roman" w:hAnsi="Times New Roman" w:cs="Times New Roman"/>
                <w:sz w:val="20"/>
                <w:szCs w:val="20"/>
              </w:rPr>
            </w:pPr>
            <w:r w:rsidRPr="001648D3">
              <w:rPr>
                <w:rFonts w:ascii="Times New Roman" w:hAnsi="Times New Roman" w:cs="Times New Roman"/>
                <w:sz w:val="20"/>
                <w:szCs w:val="20"/>
              </w:rPr>
              <w:t>Dūņu apsaimniekošanas uzraudzības ārējā kontrole ir viegli īstenojama un neprasa lielus resursus</w:t>
            </w:r>
          </w:p>
        </w:tc>
        <w:tc>
          <w:tcPr>
            <w:tcW w:w="1701" w:type="dxa"/>
            <w:shd w:val="clear" w:color="auto" w:fill="FFFF00"/>
            <w:vAlign w:val="center"/>
          </w:tcPr>
          <w:p w14:paraId="64DC5092"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Daļēji atbilst</w:t>
            </w:r>
          </w:p>
          <w:p w14:paraId="730BEA45"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Ārējā kontrole ir viegli nodrošināma, bet ir nepieciešamas augstākas administratīvo resursus izmaksas dēļ lielāka dūņu pārstrādes centru skaita</w:t>
            </w:r>
          </w:p>
        </w:tc>
        <w:tc>
          <w:tcPr>
            <w:tcW w:w="1701" w:type="dxa"/>
            <w:shd w:val="clear" w:color="auto" w:fill="92D050"/>
            <w:vAlign w:val="center"/>
          </w:tcPr>
          <w:p w14:paraId="2B275539"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1EFD44C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Ārējā kontrole ir viegli nodrošināma</w:t>
            </w:r>
          </w:p>
        </w:tc>
        <w:tc>
          <w:tcPr>
            <w:tcW w:w="1559" w:type="dxa"/>
            <w:shd w:val="clear" w:color="auto" w:fill="92D050"/>
            <w:vAlign w:val="center"/>
          </w:tcPr>
          <w:p w14:paraId="75451ED2"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77BC60E3"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Ārējā kontrole ir viegli nodrošināma</w:t>
            </w:r>
          </w:p>
        </w:tc>
        <w:tc>
          <w:tcPr>
            <w:tcW w:w="2410" w:type="dxa"/>
            <w:shd w:val="clear" w:color="auto" w:fill="92D050"/>
            <w:vAlign w:val="center"/>
          </w:tcPr>
          <w:p w14:paraId="10DDD563" w14:textId="77777777" w:rsidR="00EA051D" w:rsidRPr="001648D3" w:rsidRDefault="00EA051D" w:rsidP="00D70884">
            <w:pPr>
              <w:spacing w:after="60"/>
              <w:jc w:val="center"/>
              <w:rPr>
                <w:rFonts w:ascii="Times New Roman" w:hAnsi="Times New Roman" w:cs="Times New Roman"/>
                <w:b/>
                <w:sz w:val="18"/>
                <w:szCs w:val="18"/>
              </w:rPr>
            </w:pPr>
            <w:r w:rsidRPr="001648D3">
              <w:rPr>
                <w:rFonts w:ascii="Times New Roman" w:hAnsi="Times New Roman" w:cs="Times New Roman"/>
                <w:b/>
                <w:sz w:val="18"/>
                <w:szCs w:val="18"/>
              </w:rPr>
              <w:t>Atbilst</w:t>
            </w:r>
          </w:p>
          <w:p w14:paraId="294FE04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Ārējā kontrole ir viegli nodrošināma</w:t>
            </w:r>
          </w:p>
        </w:tc>
      </w:tr>
    </w:tbl>
    <w:p w14:paraId="4F8FCB77" w14:textId="77777777" w:rsidR="00EA051D" w:rsidRPr="00175DD0" w:rsidRDefault="00EA051D" w:rsidP="00EA051D">
      <w:pPr>
        <w:spacing w:after="0"/>
        <w:rPr>
          <w:rFonts w:cstheme="minorHAnsi"/>
        </w:rPr>
      </w:pPr>
    </w:p>
    <w:p w14:paraId="5A7D7C4E" w14:textId="51E2A165" w:rsidR="00EA051D" w:rsidRPr="001648D3" w:rsidRDefault="00EA051D" w:rsidP="00EA051D">
      <w:pPr>
        <w:spacing w:after="0"/>
        <w:rPr>
          <w:rFonts w:ascii="Times New Roman" w:hAnsi="Times New Roman" w:cs="Times New Roman"/>
        </w:rPr>
      </w:pPr>
      <w:r w:rsidRPr="001648D3">
        <w:rPr>
          <w:rFonts w:ascii="Times New Roman" w:hAnsi="Times New Roman" w:cs="Times New Roman"/>
        </w:rPr>
        <w:t xml:space="preserve">Salīdzinot alternatīvas pēc veiktā </w:t>
      </w:r>
      <w:r w:rsidRPr="00953546">
        <w:rPr>
          <w:rFonts w:ascii="Times New Roman" w:hAnsi="Times New Roman" w:cs="Times New Roman"/>
        </w:rPr>
        <w:t xml:space="preserve">izvērtējuma </w:t>
      </w:r>
      <w:r w:rsidR="00953546" w:rsidRPr="00953546">
        <w:rPr>
          <w:rFonts w:ascii="Times New Roman" w:hAnsi="Times New Roman" w:cs="Times New Roman"/>
          <w:szCs w:val="24"/>
        </w:rPr>
        <w:t>4.5.20</w:t>
      </w:r>
      <w:r w:rsidRPr="00953546">
        <w:rPr>
          <w:rFonts w:ascii="Times New Roman" w:hAnsi="Times New Roman" w:cs="Times New Roman"/>
        </w:rPr>
        <w:t>.tabulā var</w:t>
      </w:r>
      <w:r w:rsidRPr="001648D3">
        <w:rPr>
          <w:rFonts w:ascii="Times New Roman" w:hAnsi="Times New Roman" w:cs="Times New Roman"/>
        </w:rPr>
        <w:t xml:space="preserve"> izdarīt šādus secinājumus:</w:t>
      </w:r>
    </w:p>
    <w:p w14:paraId="1B16A1A4" w14:textId="77777777" w:rsidR="00EA051D" w:rsidRPr="001648D3" w:rsidRDefault="00EA051D" w:rsidP="00EA051D">
      <w:pPr>
        <w:rPr>
          <w:rFonts w:ascii="Times New Roman" w:hAnsi="Times New Roman" w:cs="Times New Roman"/>
          <w:highlight w:val="yellow"/>
        </w:rPr>
      </w:pPr>
      <w:r w:rsidRPr="001648D3">
        <w:rPr>
          <w:rFonts w:ascii="Times New Roman" w:hAnsi="Times New Roman" w:cs="Times New Roman"/>
          <w:b/>
        </w:rPr>
        <w:t>D1. alternatīva: 41 dūņu pārstrādes centra izveide</w:t>
      </w:r>
      <w:r w:rsidRPr="001648D3">
        <w:rPr>
          <w:rFonts w:ascii="Times New Roman" w:hAnsi="Times New Roman" w:cs="Times New Roman"/>
        </w:rPr>
        <w:t xml:space="preserve"> kopumā ir daļēji atbilstoša, vērtējot pēc izvirzītajiem alternatīvu salīdzinošiem kritērijiem. 41 dūņu pārstrādes centra izveides gadījumā aptuveni puse dūņu pārstrādes centru būs ar ļoti mazu (līdz 1000 m</w:t>
      </w:r>
      <w:r w:rsidRPr="001648D3">
        <w:rPr>
          <w:rFonts w:ascii="Times New Roman" w:hAnsi="Times New Roman" w:cs="Times New Roman"/>
          <w:vertAlign w:val="superscript"/>
        </w:rPr>
        <w:t>3</w:t>
      </w:r>
      <w:r w:rsidRPr="001648D3">
        <w:rPr>
          <w:rFonts w:ascii="Times New Roman" w:hAnsi="Times New Roman" w:cs="Times New Roman"/>
        </w:rPr>
        <w:t xml:space="preserve"> slapju dūņu gadā) vai mazu (līdz 10 000 m</w:t>
      </w:r>
      <w:r w:rsidRPr="001648D3">
        <w:rPr>
          <w:rFonts w:ascii="Times New Roman" w:hAnsi="Times New Roman" w:cs="Times New Roman"/>
          <w:vertAlign w:val="superscript"/>
        </w:rPr>
        <w:t>3</w:t>
      </w:r>
      <w:r w:rsidRPr="001648D3">
        <w:rPr>
          <w:rFonts w:ascii="Times New Roman" w:hAnsi="Times New Roman" w:cs="Times New Roman"/>
        </w:rPr>
        <w:t xml:space="preserve"> slapju dūņu gadā) dūņu apjomu, kā rezultātā var netikt pilnībā sasniegti ar notekūdeņu dūņu apsaimniekošanas sistēmas izveidi izvirzītie sasniedzamie mērķi par stabilu un kvalitatīvu pieejamo dūņu kā produkta plūsmu. Alternatīva nav arī ekonomiski izdevīgākā no ikgadējo uzturēšanas izmaksu viedokļa un ieguldāmo kapitālo investīciju viedokļa, kā arī 41 centra neatkarīga uzraudzība būs salīdzinoši dārgāka, ņemot vērā citas alternatīvas.</w:t>
      </w:r>
    </w:p>
    <w:p w14:paraId="4E43DA3B" w14:textId="77777777" w:rsidR="00EA051D" w:rsidRPr="001648D3" w:rsidRDefault="00EA051D" w:rsidP="00EA051D">
      <w:pPr>
        <w:rPr>
          <w:rFonts w:ascii="Times New Roman" w:hAnsi="Times New Roman" w:cs="Times New Roman"/>
          <w:highlight w:val="yellow"/>
        </w:rPr>
      </w:pPr>
      <w:r w:rsidRPr="001648D3">
        <w:rPr>
          <w:rFonts w:ascii="Times New Roman" w:hAnsi="Times New Roman" w:cs="Times New Roman"/>
          <w:b/>
        </w:rPr>
        <w:lastRenderedPageBreak/>
        <w:t>D2. alternatīva: 30 dūņu pārstrādes centru izveide</w:t>
      </w:r>
      <w:r w:rsidRPr="001648D3">
        <w:rPr>
          <w:rFonts w:ascii="Times New Roman" w:hAnsi="Times New Roman" w:cs="Times New Roman"/>
        </w:rPr>
        <w:t xml:space="preserve"> un </w:t>
      </w:r>
      <w:r w:rsidRPr="001648D3">
        <w:rPr>
          <w:rFonts w:ascii="Times New Roman" w:hAnsi="Times New Roman" w:cs="Times New Roman"/>
          <w:b/>
        </w:rPr>
        <w:t>D3. alternatīva: 16 dūņu pārstrādes centru izveide</w:t>
      </w:r>
      <w:r w:rsidRPr="001648D3">
        <w:rPr>
          <w:rFonts w:ascii="Times New Roman" w:hAnsi="Times New Roman" w:cs="Times New Roman"/>
        </w:rPr>
        <w:t xml:space="preserve"> ir ļoti līdzīgas alternatīvas, ja tās tiek vērtētas pēc izvirzītajiem salīdzinošajiem kritērijiem. Tās ir atbilstošas ES un LR ilgtermiņa attīstības stratēģisko dokumentu mērķu, kā arī stratēģijas Vīzijas un Misijas sasniegšanai, kā arī alternatīva paredz zemākās ikgadējās uzturēšanas izmaksas. Savukārt ārējās kontroles nodrošināšana pār 30 vai 16 centriem Latvijā neprasīs būtiskus papildus resursus. Alternatīvas ir daļēji atbilstošas, vērtējot tās pēc ieviešanas vienkāršības, jo vairākas pašvaldības vai to SPS nāksies vienoties par kopīgu dūņu pārstrādes centru un kapitālās investīcijas ir augstākas, salīdzinot ar ekonomiskāko alternatīvu, kas paredz atšķirīgu dūņu pārstrādes pieeju.</w:t>
      </w:r>
    </w:p>
    <w:p w14:paraId="1C17F87B" w14:textId="77777777" w:rsidR="00EA051D" w:rsidRPr="001648D3" w:rsidRDefault="00EA051D" w:rsidP="00EA051D">
      <w:pPr>
        <w:rPr>
          <w:rFonts w:ascii="Times New Roman" w:hAnsi="Times New Roman" w:cs="Times New Roman"/>
          <w:highlight w:val="yellow"/>
        </w:rPr>
      </w:pPr>
      <w:r w:rsidRPr="001648D3">
        <w:rPr>
          <w:rFonts w:ascii="Times New Roman" w:hAnsi="Times New Roman" w:cs="Times New Roman"/>
          <w:b/>
        </w:rPr>
        <w:t>D4.1. alternatīva: 5 notekūdeņu dūņu pārstrādes biogāzē centru izveide</w:t>
      </w:r>
      <w:r w:rsidRPr="001648D3">
        <w:rPr>
          <w:rFonts w:ascii="Times New Roman" w:hAnsi="Times New Roman" w:cs="Times New Roman"/>
        </w:rPr>
        <w:t xml:space="preserve"> ir atbilstoša alternatīva, vērtējot no ES un LR ilgtermiņa attīstības stratēģisko dokumentu aspekta, kā arī stratēģijas Vīzijas un Misijas izpildes skatupunkta, vienlaikus alternatīva paredz zemākās kapitālās investīcijas sistēmas izveidei. Arī ārējās kontroles nodrošināšana 5 centros Latvijā neprasīs būtiskus papildus resursus, tomēr alternatīva ir neatbilstoša ņemot vērā tās sarežģītību, kā arī nepieciešamību pēc noteikta dūņu apjoma un tai ir salīdzinoši lielas ikgadējās uzturēšanas izmaksas.</w:t>
      </w:r>
    </w:p>
    <w:p w14:paraId="5EA44180" w14:textId="77777777" w:rsidR="00EA051D" w:rsidRPr="001648D3" w:rsidRDefault="00EA051D" w:rsidP="00EA051D">
      <w:pPr>
        <w:rPr>
          <w:rFonts w:ascii="Times New Roman" w:hAnsi="Times New Roman" w:cs="Times New Roman"/>
        </w:rPr>
      </w:pPr>
      <w:r w:rsidRPr="001648D3">
        <w:rPr>
          <w:rFonts w:ascii="Times New Roman" w:hAnsi="Times New Roman" w:cs="Times New Roman"/>
        </w:rPr>
        <w:t>Kopā ar dūņu centralizācijas veidu atbilstības novērtējumu ir veikts arī risku novērtējums par šo alternatīvo risinājumu tālāku ilgtermiņa izmantošanu.</w:t>
      </w:r>
    </w:p>
    <w:p w14:paraId="197CF73E" w14:textId="3EF95443" w:rsidR="001648D3" w:rsidRPr="001648D3" w:rsidRDefault="00D730E0" w:rsidP="00D730E0">
      <w:pPr>
        <w:pBdr>
          <w:top w:val="nil"/>
          <w:left w:val="nil"/>
          <w:bottom w:val="nil"/>
          <w:right w:val="nil"/>
          <w:between w:val="nil"/>
        </w:pBdr>
        <w:suppressAutoHyphens/>
        <w:autoSpaceDN w:val="0"/>
        <w:spacing w:after="0"/>
        <w:jc w:val="right"/>
        <w:textAlignment w:val="baseline"/>
        <w:rPr>
          <w:rFonts w:ascii="Times New Roman" w:hAnsi="Times New Roman" w:cs="Times New Roman"/>
        </w:rPr>
      </w:pPr>
      <w:r w:rsidRPr="00996138">
        <w:rPr>
          <w:rFonts w:ascii="Times New Roman" w:hAnsi="Times New Roman" w:cs="Times New Roman"/>
          <w:szCs w:val="24"/>
        </w:rPr>
        <w:t>4.5.</w:t>
      </w:r>
      <w:r>
        <w:rPr>
          <w:rFonts w:ascii="Times New Roman" w:hAnsi="Times New Roman" w:cs="Times New Roman"/>
          <w:szCs w:val="24"/>
        </w:rPr>
        <w:t>21</w:t>
      </w:r>
      <w:r w:rsidR="004E438F" w:rsidRPr="001648D3">
        <w:rPr>
          <w:rFonts w:ascii="Times New Roman" w:hAnsi="Times New Roman" w:cs="Times New Roman"/>
        </w:rPr>
        <w:t>.</w:t>
      </w:r>
      <w:r w:rsidR="00EA051D" w:rsidRPr="001648D3">
        <w:rPr>
          <w:rFonts w:ascii="Times New Roman" w:hAnsi="Times New Roman" w:cs="Times New Roman"/>
        </w:rPr>
        <w:t>tabula</w:t>
      </w:r>
    </w:p>
    <w:p w14:paraId="5E71BBE4" w14:textId="066AB3C5" w:rsidR="00EA051D" w:rsidRPr="001648D3" w:rsidRDefault="00000000" w:rsidP="001648D3">
      <w:pPr>
        <w:pBdr>
          <w:top w:val="nil"/>
          <w:left w:val="nil"/>
          <w:bottom w:val="nil"/>
          <w:right w:val="nil"/>
          <w:between w:val="nil"/>
        </w:pBdr>
        <w:suppressAutoHyphens/>
        <w:autoSpaceDN w:val="0"/>
        <w:spacing w:after="0"/>
        <w:jc w:val="center"/>
        <w:textAlignment w:val="baseline"/>
        <w:rPr>
          <w:rFonts w:ascii="Times New Roman" w:hAnsi="Times New Roman" w:cs="Times New Roman"/>
          <w:b/>
          <w:bCs/>
        </w:rPr>
      </w:pPr>
      <w:sdt>
        <w:sdtPr>
          <w:tag w:val="goog_rdk_93"/>
          <w:id w:val="-35964896"/>
          <w:showingPlcHdr/>
        </w:sdtPr>
        <w:sdtContent>
          <w:r w:rsidR="001648D3">
            <w:t xml:space="preserve">     </w:t>
          </w:r>
        </w:sdtContent>
      </w:sdt>
      <w:r w:rsidR="00EA051D" w:rsidRPr="001648D3">
        <w:rPr>
          <w:rFonts w:ascii="Times New Roman" w:hAnsi="Times New Roman" w:cs="Times New Roman"/>
          <w:b/>
          <w:bCs/>
        </w:rPr>
        <w:t>Notekūdeņu dūņu centralizācijas alternatīvu risku novērtējums</w:t>
      </w:r>
    </w:p>
    <w:tbl>
      <w:tblPr>
        <w:tblStyle w:val="13"/>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701"/>
        <w:gridCol w:w="1701"/>
        <w:gridCol w:w="1418"/>
        <w:gridCol w:w="1701"/>
      </w:tblGrid>
      <w:tr w:rsidR="00EA051D" w:rsidRPr="001648D3" w14:paraId="2CDBCC3C" w14:textId="77777777" w:rsidTr="001648D3">
        <w:tc>
          <w:tcPr>
            <w:tcW w:w="2405" w:type="dxa"/>
            <w:vAlign w:val="center"/>
          </w:tcPr>
          <w:p w14:paraId="4C42055A" w14:textId="77777777" w:rsidR="00EA051D" w:rsidRPr="001648D3" w:rsidRDefault="00000000" w:rsidP="00D70884">
            <w:pPr>
              <w:spacing w:after="60"/>
              <w:jc w:val="center"/>
              <w:rPr>
                <w:rFonts w:ascii="Times New Roman" w:hAnsi="Times New Roman" w:cs="Times New Roman"/>
                <w:b/>
                <w:sz w:val="20"/>
                <w:szCs w:val="20"/>
              </w:rPr>
            </w:pPr>
            <w:sdt>
              <w:sdtPr>
                <w:rPr>
                  <w:rFonts w:ascii="Times New Roman" w:hAnsi="Times New Roman" w:cs="Times New Roman"/>
                </w:rPr>
                <w:tag w:val="goog_rdk_94"/>
                <w:id w:val="2135285320"/>
              </w:sdtPr>
              <w:sdtContent>
                <w:r w:rsidR="00EA051D" w:rsidRPr="001648D3">
                  <w:rPr>
                    <w:rFonts w:ascii="Times New Roman" w:hAnsi="Times New Roman" w:cs="Times New Roman"/>
                  </w:rPr>
                  <w:t xml:space="preserve">     </w:t>
                </w:r>
              </w:sdtContent>
            </w:sdt>
            <w:r w:rsidR="00EA051D" w:rsidRPr="001648D3">
              <w:rPr>
                <w:rFonts w:ascii="Times New Roman" w:hAnsi="Times New Roman" w:cs="Times New Roman"/>
                <w:b/>
                <w:sz w:val="20"/>
                <w:szCs w:val="20"/>
              </w:rPr>
              <w:t>Risku novērtējums</w:t>
            </w:r>
          </w:p>
        </w:tc>
        <w:tc>
          <w:tcPr>
            <w:tcW w:w="1701" w:type="dxa"/>
            <w:shd w:val="clear" w:color="auto" w:fill="auto"/>
            <w:vAlign w:val="center"/>
          </w:tcPr>
          <w:p w14:paraId="1BD41A46"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D1. Alternatīva: 41 dūņu pārstrādes centra izveide</w:t>
            </w:r>
          </w:p>
        </w:tc>
        <w:tc>
          <w:tcPr>
            <w:tcW w:w="1701" w:type="dxa"/>
            <w:shd w:val="clear" w:color="auto" w:fill="auto"/>
            <w:vAlign w:val="center"/>
          </w:tcPr>
          <w:p w14:paraId="3300BB55"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D2. Alternatīva: 30 dūņu pārstrādes centru izveide</w:t>
            </w:r>
          </w:p>
        </w:tc>
        <w:tc>
          <w:tcPr>
            <w:tcW w:w="1418" w:type="dxa"/>
            <w:shd w:val="clear" w:color="auto" w:fill="auto"/>
            <w:vAlign w:val="center"/>
          </w:tcPr>
          <w:p w14:paraId="3E1F85CB" w14:textId="77777777" w:rsidR="00EA051D" w:rsidRPr="001648D3" w:rsidRDefault="00EA051D" w:rsidP="00D70884">
            <w:pPr>
              <w:spacing w:after="60"/>
              <w:jc w:val="center"/>
              <w:rPr>
                <w:rFonts w:ascii="Times New Roman" w:hAnsi="Times New Roman" w:cs="Times New Roman"/>
                <w:b/>
                <w:sz w:val="20"/>
                <w:szCs w:val="20"/>
              </w:rPr>
            </w:pPr>
            <w:r w:rsidRPr="001648D3">
              <w:rPr>
                <w:rFonts w:ascii="Times New Roman" w:hAnsi="Times New Roman" w:cs="Times New Roman"/>
                <w:b/>
                <w:sz w:val="20"/>
                <w:szCs w:val="20"/>
              </w:rPr>
              <w:t>D3.Alternatīva: 16 dūņu pārstrādes centru izveide</w:t>
            </w:r>
          </w:p>
        </w:tc>
        <w:tc>
          <w:tcPr>
            <w:tcW w:w="1701" w:type="dxa"/>
            <w:vAlign w:val="center"/>
          </w:tcPr>
          <w:p w14:paraId="5A5C9563" w14:textId="77777777" w:rsidR="00EA051D" w:rsidRPr="001648D3" w:rsidRDefault="00EA051D" w:rsidP="00D70884">
            <w:pPr>
              <w:spacing w:after="60"/>
              <w:ind w:left="-111" w:right="-104"/>
              <w:jc w:val="center"/>
              <w:rPr>
                <w:rFonts w:ascii="Times New Roman" w:hAnsi="Times New Roman" w:cs="Times New Roman"/>
                <w:b/>
                <w:sz w:val="20"/>
                <w:szCs w:val="20"/>
              </w:rPr>
            </w:pPr>
            <w:r w:rsidRPr="001648D3">
              <w:rPr>
                <w:rFonts w:ascii="Times New Roman" w:hAnsi="Times New Roman" w:cs="Times New Roman"/>
                <w:b/>
                <w:sz w:val="20"/>
                <w:szCs w:val="20"/>
              </w:rPr>
              <w:t>D4.1.Alternatīva: 5 notekūdeņu dūņu pārstrādes biogāzē centru izveide</w:t>
            </w:r>
          </w:p>
        </w:tc>
      </w:tr>
      <w:tr w:rsidR="004E438F" w:rsidRPr="001648D3" w14:paraId="76060303" w14:textId="77777777" w:rsidTr="001648D3">
        <w:tc>
          <w:tcPr>
            <w:tcW w:w="8926" w:type="dxa"/>
            <w:gridSpan w:val="5"/>
            <w:vAlign w:val="center"/>
          </w:tcPr>
          <w:p w14:paraId="4BD99A6C" w14:textId="44B4A5D0" w:rsidR="004E438F" w:rsidRPr="001648D3" w:rsidRDefault="004E438F" w:rsidP="00D70884">
            <w:pPr>
              <w:spacing w:after="60"/>
              <w:jc w:val="center"/>
              <w:rPr>
                <w:rFonts w:ascii="Times New Roman" w:hAnsi="Times New Roman" w:cs="Times New Roman"/>
                <w:b/>
                <w:sz w:val="18"/>
                <w:szCs w:val="18"/>
              </w:rPr>
            </w:pPr>
            <w:r w:rsidRPr="001648D3">
              <w:rPr>
                <w:rFonts w:ascii="Times New Roman" w:hAnsi="Times New Roman" w:cs="Times New Roman"/>
                <w:b/>
                <w:sz w:val="20"/>
                <w:szCs w:val="20"/>
              </w:rPr>
              <w:t>Iekšējie riski</w:t>
            </w:r>
          </w:p>
        </w:tc>
      </w:tr>
      <w:tr w:rsidR="00EA051D" w:rsidRPr="001648D3" w14:paraId="19DEA47B" w14:textId="77777777" w:rsidTr="001648D3">
        <w:tc>
          <w:tcPr>
            <w:tcW w:w="2405" w:type="dxa"/>
            <w:vAlign w:val="center"/>
          </w:tcPr>
          <w:p w14:paraId="5FAE8BDD"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Alternatīva paredz būtiskas izmaiņas esošajā apsaimniekošanas pārvaldībā, kam var nebūt pietiekošs atbalsts</w:t>
            </w:r>
          </w:p>
        </w:tc>
        <w:tc>
          <w:tcPr>
            <w:tcW w:w="1701" w:type="dxa"/>
            <w:shd w:val="clear" w:color="auto" w:fill="FFC000"/>
            <w:vAlign w:val="center"/>
          </w:tcPr>
          <w:p w14:paraId="46388E3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02B43078"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55B41B5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79890DA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32559216" w14:textId="77777777" w:rsidTr="001648D3">
        <w:tc>
          <w:tcPr>
            <w:tcW w:w="2405" w:type="dxa"/>
            <w:vAlign w:val="center"/>
          </w:tcPr>
          <w:p w14:paraId="0D58B543"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Nepieciešams ieviest jaunas tehnoloģijas dūņu apstrādē, kas esošajiem SPS nav pazīstamas, var izraisīt būtisku pretestību</w:t>
            </w:r>
          </w:p>
        </w:tc>
        <w:tc>
          <w:tcPr>
            <w:tcW w:w="1701" w:type="dxa"/>
            <w:shd w:val="clear" w:color="auto" w:fill="FFC000"/>
            <w:vAlign w:val="center"/>
          </w:tcPr>
          <w:p w14:paraId="1F2E961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5941E16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4F700FF8"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19216CB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09D53C5D" w14:textId="77777777" w:rsidTr="001648D3">
        <w:tc>
          <w:tcPr>
            <w:tcW w:w="2405" w:type="dxa"/>
            <w:vAlign w:val="center"/>
          </w:tcPr>
          <w:p w14:paraId="17D22066"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Nepieciešams īpaši apmācīts personāls, kas šobrīd nav pieejams</w:t>
            </w:r>
          </w:p>
        </w:tc>
        <w:tc>
          <w:tcPr>
            <w:tcW w:w="1701" w:type="dxa"/>
            <w:shd w:val="clear" w:color="auto" w:fill="92D050"/>
            <w:vAlign w:val="center"/>
          </w:tcPr>
          <w:p w14:paraId="7331AAB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92D050"/>
            <w:vAlign w:val="center"/>
          </w:tcPr>
          <w:p w14:paraId="536E26A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43CD091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0000"/>
            <w:vAlign w:val="center"/>
          </w:tcPr>
          <w:p w14:paraId="2BE1A07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65973293" w14:textId="77777777" w:rsidTr="001648D3">
        <w:tc>
          <w:tcPr>
            <w:tcW w:w="2405" w:type="dxa"/>
            <w:vAlign w:val="center"/>
          </w:tcPr>
          <w:p w14:paraId="5479746E"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 xml:space="preserve">Alternatīvas ieviešanai ir nepieciešamas piesaistīt būtiskas finanšu </w:t>
            </w:r>
            <w:r w:rsidRPr="001648D3">
              <w:rPr>
                <w:rFonts w:ascii="Times New Roman" w:hAnsi="Times New Roman" w:cs="Times New Roman"/>
                <w:sz w:val="20"/>
                <w:szCs w:val="20"/>
              </w:rPr>
              <w:lastRenderedPageBreak/>
              <w:t>investīcijas, kas var nebūt pieejamas</w:t>
            </w:r>
          </w:p>
        </w:tc>
        <w:tc>
          <w:tcPr>
            <w:tcW w:w="1701" w:type="dxa"/>
            <w:shd w:val="clear" w:color="auto" w:fill="FFC000"/>
            <w:vAlign w:val="center"/>
          </w:tcPr>
          <w:p w14:paraId="52748616"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lastRenderedPageBreak/>
              <w:t>Vidējs</w:t>
            </w:r>
          </w:p>
        </w:tc>
        <w:tc>
          <w:tcPr>
            <w:tcW w:w="1701" w:type="dxa"/>
            <w:shd w:val="clear" w:color="auto" w:fill="FFC000"/>
            <w:vAlign w:val="center"/>
          </w:tcPr>
          <w:p w14:paraId="5B48E9E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17435DE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0E7625DC"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r>
      <w:tr w:rsidR="00EA051D" w:rsidRPr="001648D3" w14:paraId="3AF02C21" w14:textId="77777777" w:rsidTr="001648D3">
        <w:tc>
          <w:tcPr>
            <w:tcW w:w="2405" w:type="dxa"/>
            <w:vAlign w:val="center"/>
          </w:tcPr>
          <w:p w14:paraId="747C2071"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Alternatīvas ieviešanai nepieciešamas būtiskas papildus zemes platības, kas var nebūt pieejamas</w:t>
            </w:r>
          </w:p>
        </w:tc>
        <w:tc>
          <w:tcPr>
            <w:tcW w:w="1701" w:type="dxa"/>
            <w:shd w:val="clear" w:color="auto" w:fill="FFC000"/>
            <w:vAlign w:val="center"/>
          </w:tcPr>
          <w:p w14:paraId="58F59698"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609F35A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56DB6D1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3AF3EDA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09B80878" w14:textId="77777777" w:rsidTr="001648D3">
        <w:tc>
          <w:tcPr>
            <w:tcW w:w="2405" w:type="dxa"/>
            <w:vAlign w:val="center"/>
          </w:tcPr>
          <w:p w14:paraId="2AD9C462"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Ieguldītās investīcijas tiek izmantotas, bet sasniegtais rezultāts nesniedz paredzēto efektu</w:t>
            </w:r>
          </w:p>
        </w:tc>
        <w:tc>
          <w:tcPr>
            <w:tcW w:w="1701" w:type="dxa"/>
            <w:shd w:val="clear" w:color="auto" w:fill="FF0000"/>
            <w:vAlign w:val="center"/>
          </w:tcPr>
          <w:p w14:paraId="7F4FA7A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c>
          <w:tcPr>
            <w:tcW w:w="1701" w:type="dxa"/>
            <w:shd w:val="clear" w:color="auto" w:fill="FFC000"/>
            <w:vAlign w:val="center"/>
          </w:tcPr>
          <w:p w14:paraId="2DDEEF5C"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5C91597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4F22EBAC"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r>
      <w:tr w:rsidR="00EA051D" w:rsidRPr="001648D3" w14:paraId="01D3B44B" w14:textId="77777777" w:rsidTr="001648D3">
        <w:tc>
          <w:tcPr>
            <w:tcW w:w="2405" w:type="dxa"/>
            <w:vAlign w:val="center"/>
          </w:tcPr>
          <w:p w14:paraId="7429950B"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Augsts alternatīvas ikgadējo uzturēšanas izmaksu risks</w:t>
            </w:r>
          </w:p>
        </w:tc>
        <w:tc>
          <w:tcPr>
            <w:tcW w:w="1701" w:type="dxa"/>
            <w:shd w:val="clear" w:color="auto" w:fill="FFC000"/>
            <w:vAlign w:val="center"/>
          </w:tcPr>
          <w:p w14:paraId="7A47C2B3"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2E054909"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1BCFA96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0000"/>
            <w:vAlign w:val="center"/>
          </w:tcPr>
          <w:p w14:paraId="08A3753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62256BE8" w14:textId="77777777" w:rsidTr="001648D3">
        <w:tc>
          <w:tcPr>
            <w:tcW w:w="2405" w:type="dxa"/>
            <w:vAlign w:val="center"/>
          </w:tcPr>
          <w:p w14:paraId="31B84C68"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Netiek sasniegta aprites ekonomikas principu ieviešana, resursu atgūšana un atgriešana ekonomikā</w:t>
            </w:r>
          </w:p>
        </w:tc>
        <w:tc>
          <w:tcPr>
            <w:tcW w:w="1701" w:type="dxa"/>
            <w:shd w:val="clear" w:color="auto" w:fill="FFC000"/>
            <w:vAlign w:val="center"/>
          </w:tcPr>
          <w:p w14:paraId="0657FD3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789AD44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66CE1D0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92D050"/>
            <w:vAlign w:val="center"/>
          </w:tcPr>
          <w:p w14:paraId="0C3B8336"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r>
      <w:tr w:rsidR="004E438F" w:rsidRPr="001648D3" w14:paraId="334370D3" w14:textId="77777777" w:rsidTr="001648D3">
        <w:tc>
          <w:tcPr>
            <w:tcW w:w="8926" w:type="dxa"/>
            <w:gridSpan w:val="5"/>
            <w:vAlign w:val="center"/>
          </w:tcPr>
          <w:p w14:paraId="7EA5A1F7" w14:textId="279739BD" w:rsidR="004E438F" w:rsidRPr="001648D3" w:rsidRDefault="004E438F" w:rsidP="00D70884">
            <w:pPr>
              <w:spacing w:after="60"/>
              <w:jc w:val="center"/>
              <w:rPr>
                <w:rFonts w:ascii="Times New Roman" w:hAnsi="Times New Roman" w:cs="Times New Roman"/>
                <w:b/>
                <w:sz w:val="18"/>
                <w:szCs w:val="18"/>
              </w:rPr>
            </w:pPr>
            <w:r w:rsidRPr="001648D3">
              <w:rPr>
                <w:rFonts w:ascii="Times New Roman" w:hAnsi="Times New Roman" w:cs="Times New Roman"/>
                <w:b/>
                <w:sz w:val="20"/>
                <w:szCs w:val="20"/>
              </w:rPr>
              <w:t>Ārējie riski</w:t>
            </w:r>
          </w:p>
        </w:tc>
      </w:tr>
      <w:tr w:rsidR="00EA051D" w:rsidRPr="001648D3" w14:paraId="17EA6E61" w14:textId="77777777" w:rsidTr="001648D3">
        <w:tc>
          <w:tcPr>
            <w:tcW w:w="2405" w:type="dxa"/>
            <w:vAlign w:val="center"/>
          </w:tcPr>
          <w:p w14:paraId="3D4C1E4D"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Alternatīvas ieviešanai nepieciešamas būtiskas izmaiņas esošo normatīvo aktu regulējumā</w:t>
            </w:r>
          </w:p>
        </w:tc>
        <w:tc>
          <w:tcPr>
            <w:tcW w:w="1701" w:type="dxa"/>
            <w:shd w:val="clear" w:color="auto" w:fill="92D050"/>
            <w:vAlign w:val="center"/>
          </w:tcPr>
          <w:p w14:paraId="2C334D09"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C000"/>
            <w:vAlign w:val="center"/>
          </w:tcPr>
          <w:p w14:paraId="471F1CAC"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0F9BDA7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6919A56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34235E74" w14:textId="77777777" w:rsidTr="001648D3">
        <w:tc>
          <w:tcPr>
            <w:tcW w:w="2405" w:type="dxa"/>
            <w:vAlign w:val="center"/>
          </w:tcPr>
          <w:p w14:paraId="1799478C"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Alternatīvas ieviešanai nepieciešami būtiski ārējais atbalsts no ES, LR ministrijām u.c. institūcijām</w:t>
            </w:r>
          </w:p>
        </w:tc>
        <w:tc>
          <w:tcPr>
            <w:tcW w:w="1701" w:type="dxa"/>
            <w:shd w:val="clear" w:color="auto" w:fill="FFC000"/>
            <w:vAlign w:val="center"/>
          </w:tcPr>
          <w:p w14:paraId="6E5A843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218E772A"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717E499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14DB178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4897811B" w14:textId="77777777" w:rsidTr="001648D3">
        <w:tc>
          <w:tcPr>
            <w:tcW w:w="2405" w:type="dxa"/>
            <w:vAlign w:val="center"/>
          </w:tcPr>
          <w:p w14:paraId="4BEB6700" w14:textId="77777777" w:rsidR="00EA051D" w:rsidRPr="001648D3" w:rsidRDefault="00000000" w:rsidP="00D70884">
            <w:pPr>
              <w:spacing w:after="60"/>
              <w:rPr>
                <w:rFonts w:ascii="Times New Roman" w:hAnsi="Times New Roman" w:cs="Times New Roman"/>
                <w:sz w:val="20"/>
                <w:szCs w:val="20"/>
              </w:rPr>
            </w:pPr>
            <w:sdt>
              <w:sdtPr>
                <w:rPr>
                  <w:rFonts w:ascii="Times New Roman" w:hAnsi="Times New Roman" w:cs="Times New Roman"/>
                </w:rPr>
                <w:tag w:val="goog_rdk_13"/>
                <w:id w:val="-469520404"/>
              </w:sdtPr>
              <w:sdtContent/>
            </w:sdt>
            <w:r w:rsidR="00EA051D" w:rsidRPr="001648D3">
              <w:rPr>
                <w:rFonts w:ascii="Times New Roman" w:hAnsi="Times New Roman" w:cs="Times New Roman"/>
                <w:sz w:val="20"/>
                <w:szCs w:val="20"/>
              </w:rPr>
              <w:t>Alternatīvai ir būtiski riski pastāvēt ilgtermiņā</w:t>
            </w:r>
          </w:p>
        </w:tc>
        <w:tc>
          <w:tcPr>
            <w:tcW w:w="1701" w:type="dxa"/>
            <w:shd w:val="clear" w:color="auto" w:fill="FFC000"/>
            <w:vAlign w:val="center"/>
          </w:tcPr>
          <w:p w14:paraId="20DB433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16AD80A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192C3B1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92D050"/>
            <w:vAlign w:val="center"/>
          </w:tcPr>
          <w:p w14:paraId="50E3A756"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r>
      <w:tr w:rsidR="00EA051D" w:rsidRPr="001648D3" w14:paraId="2E75462A" w14:textId="77777777" w:rsidTr="001648D3">
        <w:tc>
          <w:tcPr>
            <w:tcW w:w="2405" w:type="dxa"/>
            <w:vAlign w:val="center"/>
          </w:tcPr>
          <w:p w14:paraId="7740D41A"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 xml:space="preserve">Alternatīvai ir būtiski aizstājoši risinājumi </w:t>
            </w:r>
          </w:p>
        </w:tc>
        <w:tc>
          <w:tcPr>
            <w:tcW w:w="1701" w:type="dxa"/>
            <w:shd w:val="clear" w:color="auto" w:fill="FFC000"/>
            <w:vAlign w:val="center"/>
          </w:tcPr>
          <w:p w14:paraId="0D15EDD9"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1D524FD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79CC97F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38EE711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1E24CDE7" w14:textId="77777777" w:rsidTr="001648D3">
        <w:tc>
          <w:tcPr>
            <w:tcW w:w="2405" w:type="dxa"/>
            <w:vAlign w:val="center"/>
          </w:tcPr>
          <w:p w14:paraId="641185AF" w14:textId="77777777" w:rsidR="00EA051D" w:rsidRPr="001648D3" w:rsidRDefault="00000000" w:rsidP="00D70884">
            <w:pPr>
              <w:spacing w:after="60"/>
              <w:rPr>
                <w:rFonts w:ascii="Times New Roman" w:hAnsi="Times New Roman" w:cs="Times New Roman"/>
                <w:sz w:val="20"/>
                <w:szCs w:val="20"/>
              </w:rPr>
            </w:pPr>
            <w:sdt>
              <w:sdtPr>
                <w:rPr>
                  <w:rFonts w:ascii="Times New Roman" w:hAnsi="Times New Roman" w:cs="Times New Roman"/>
                </w:rPr>
                <w:tag w:val="goog_rdk_14"/>
                <w:id w:val="1413437524"/>
              </w:sdtPr>
              <w:sdtContent>
                <w:r w:rsidR="00EA051D" w:rsidRPr="001648D3">
                  <w:rPr>
                    <w:rFonts w:ascii="Times New Roman" w:hAnsi="Times New Roman" w:cs="Times New Roman"/>
                    <w:sz w:val="20"/>
                    <w:szCs w:val="20"/>
                  </w:rPr>
                  <w:t>A</w:t>
                </w:r>
              </w:sdtContent>
            </w:sdt>
            <w:r w:rsidR="00EA051D" w:rsidRPr="001648D3">
              <w:rPr>
                <w:rFonts w:ascii="Times New Roman" w:hAnsi="Times New Roman" w:cs="Times New Roman"/>
                <w:sz w:val="20"/>
                <w:szCs w:val="20"/>
              </w:rPr>
              <w:t xml:space="preserve">lternatīva ir </w:t>
            </w:r>
            <w:sdt>
              <w:sdtPr>
                <w:rPr>
                  <w:rFonts w:ascii="Times New Roman" w:hAnsi="Times New Roman" w:cs="Times New Roman"/>
                </w:rPr>
                <w:tag w:val="goog_rdk_14"/>
                <w:id w:val="-359046000"/>
              </w:sdtPr>
              <w:sdtContent/>
            </w:sdt>
            <w:r w:rsidR="00EA051D" w:rsidRPr="001648D3">
              <w:rPr>
                <w:rFonts w:ascii="Times New Roman" w:hAnsi="Times New Roman" w:cs="Times New Roman"/>
                <w:sz w:val="20"/>
                <w:szCs w:val="20"/>
              </w:rPr>
              <w:t>sarežģīta, kas rada riskus tās ieviešanai</w:t>
            </w:r>
          </w:p>
        </w:tc>
        <w:tc>
          <w:tcPr>
            <w:tcW w:w="1701" w:type="dxa"/>
            <w:shd w:val="clear" w:color="auto" w:fill="92D050"/>
            <w:vAlign w:val="center"/>
          </w:tcPr>
          <w:p w14:paraId="0F426EE8"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92D050"/>
            <w:vAlign w:val="center"/>
          </w:tcPr>
          <w:p w14:paraId="02A5761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20AF8ECC"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0000"/>
            <w:vAlign w:val="center"/>
          </w:tcPr>
          <w:p w14:paraId="0A05DE1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4E438F" w:rsidRPr="001648D3" w14:paraId="13163498" w14:textId="77777777" w:rsidTr="001648D3">
        <w:tc>
          <w:tcPr>
            <w:tcW w:w="8926" w:type="dxa"/>
            <w:gridSpan w:val="5"/>
            <w:vAlign w:val="center"/>
          </w:tcPr>
          <w:p w14:paraId="360C5B45" w14:textId="3A458C25" w:rsidR="004E438F" w:rsidRPr="001648D3" w:rsidRDefault="004E438F" w:rsidP="00D70884">
            <w:pPr>
              <w:spacing w:after="60"/>
              <w:jc w:val="center"/>
              <w:rPr>
                <w:rFonts w:ascii="Times New Roman" w:hAnsi="Times New Roman" w:cs="Times New Roman"/>
                <w:b/>
                <w:sz w:val="18"/>
                <w:szCs w:val="18"/>
              </w:rPr>
            </w:pPr>
            <w:r w:rsidRPr="001648D3">
              <w:rPr>
                <w:rFonts w:ascii="Times New Roman" w:hAnsi="Times New Roman" w:cs="Times New Roman"/>
                <w:b/>
                <w:sz w:val="20"/>
                <w:szCs w:val="20"/>
              </w:rPr>
              <w:t>Vides riski</w:t>
            </w:r>
          </w:p>
        </w:tc>
      </w:tr>
      <w:tr w:rsidR="00EA051D" w:rsidRPr="001648D3" w14:paraId="17366EA8" w14:textId="77777777" w:rsidTr="001648D3">
        <w:tc>
          <w:tcPr>
            <w:tcW w:w="2405" w:type="dxa"/>
            <w:vAlign w:val="center"/>
          </w:tcPr>
          <w:p w14:paraId="55EC6C7B"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Dūņu apstrāde vai utilizācija tiek veikta neatbilstoši vides prasībām</w:t>
            </w:r>
          </w:p>
        </w:tc>
        <w:tc>
          <w:tcPr>
            <w:tcW w:w="1701" w:type="dxa"/>
            <w:shd w:val="clear" w:color="auto" w:fill="FFC000"/>
            <w:vAlign w:val="center"/>
          </w:tcPr>
          <w:p w14:paraId="6A0A8C8A"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31BE6C8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7155CA6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92D050"/>
            <w:vAlign w:val="center"/>
          </w:tcPr>
          <w:p w14:paraId="034207EB"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r>
      <w:tr w:rsidR="00EA051D" w:rsidRPr="001648D3" w14:paraId="20C1D1A2" w14:textId="77777777" w:rsidTr="001648D3">
        <w:tc>
          <w:tcPr>
            <w:tcW w:w="2405" w:type="dxa"/>
            <w:vAlign w:val="center"/>
          </w:tcPr>
          <w:p w14:paraId="1E3FE3ED" w14:textId="77777777" w:rsidR="00EA051D" w:rsidRPr="001648D3" w:rsidRDefault="00000000" w:rsidP="00D70884">
            <w:pPr>
              <w:spacing w:after="60"/>
              <w:rPr>
                <w:rFonts w:ascii="Times New Roman" w:hAnsi="Times New Roman" w:cs="Times New Roman"/>
                <w:sz w:val="20"/>
                <w:szCs w:val="20"/>
              </w:rPr>
            </w:pPr>
            <w:sdt>
              <w:sdtPr>
                <w:rPr>
                  <w:rFonts w:ascii="Times New Roman" w:hAnsi="Times New Roman" w:cs="Times New Roman"/>
                </w:rPr>
                <w:tag w:val="goog_rdk_15"/>
                <w:id w:val="860488108"/>
              </w:sdtPr>
              <w:sdtContent>
                <w:r w:rsidR="00EA051D" w:rsidRPr="001648D3">
                  <w:rPr>
                    <w:rFonts w:ascii="Times New Roman" w:hAnsi="Times New Roman" w:cs="Times New Roman"/>
                    <w:sz w:val="20"/>
                    <w:szCs w:val="20"/>
                  </w:rPr>
                  <w:t>I</w:t>
                </w:r>
              </w:sdtContent>
            </w:sdt>
            <w:r w:rsidR="00EA051D" w:rsidRPr="001648D3">
              <w:rPr>
                <w:rFonts w:ascii="Times New Roman" w:hAnsi="Times New Roman" w:cs="Times New Roman"/>
                <w:sz w:val="20"/>
                <w:szCs w:val="20"/>
              </w:rPr>
              <w:t xml:space="preserve">zvēlētā </w:t>
            </w:r>
            <w:sdt>
              <w:sdtPr>
                <w:rPr>
                  <w:rFonts w:ascii="Times New Roman" w:hAnsi="Times New Roman" w:cs="Times New Roman"/>
                </w:rPr>
                <w:tag w:val="goog_rdk_15"/>
                <w:id w:val="1793399494"/>
              </w:sdtPr>
              <w:sdtContent/>
            </w:sdt>
            <w:r w:rsidR="00EA051D" w:rsidRPr="001648D3">
              <w:rPr>
                <w:rFonts w:ascii="Times New Roman" w:hAnsi="Times New Roman" w:cs="Times New Roman"/>
                <w:sz w:val="20"/>
                <w:szCs w:val="20"/>
              </w:rPr>
              <w:t>alternatīva rada būtiskus vides risku draudus konkrētā vietā</w:t>
            </w:r>
          </w:p>
        </w:tc>
        <w:tc>
          <w:tcPr>
            <w:tcW w:w="1701" w:type="dxa"/>
            <w:shd w:val="clear" w:color="auto" w:fill="FFC000"/>
            <w:vAlign w:val="center"/>
          </w:tcPr>
          <w:p w14:paraId="1417AAC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C000"/>
            <w:vAlign w:val="center"/>
          </w:tcPr>
          <w:p w14:paraId="6AFE75AB"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418" w:type="dxa"/>
            <w:shd w:val="clear" w:color="auto" w:fill="FFC000"/>
            <w:vAlign w:val="center"/>
          </w:tcPr>
          <w:p w14:paraId="3EF50CD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FF0000"/>
            <w:vAlign w:val="center"/>
          </w:tcPr>
          <w:p w14:paraId="59FB824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183C0CAA" w14:textId="77777777" w:rsidTr="001648D3">
        <w:tc>
          <w:tcPr>
            <w:tcW w:w="2405" w:type="dxa"/>
            <w:vAlign w:val="center"/>
          </w:tcPr>
          <w:p w14:paraId="469406A6"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Izvēlētā alternatīva neveicina vides kvalitātes uzlabošanos</w:t>
            </w:r>
          </w:p>
        </w:tc>
        <w:tc>
          <w:tcPr>
            <w:tcW w:w="1701" w:type="dxa"/>
            <w:shd w:val="clear" w:color="auto" w:fill="FFC000"/>
            <w:vAlign w:val="center"/>
          </w:tcPr>
          <w:p w14:paraId="37CFDD21"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3C631820"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40A154F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C000"/>
            <w:vAlign w:val="center"/>
          </w:tcPr>
          <w:p w14:paraId="08469E85"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r>
      <w:tr w:rsidR="00EA051D" w:rsidRPr="001648D3" w14:paraId="4F09CEDF" w14:textId="77777777" w:rsidTr="001648D3">
        <w:tc>
          <w:tcPr>
            <w:tcW w:w="2405" w:type="dxa"/>
            <w:vAlign w:val="center"/>
          </w:tcPr>
          <w:p w14:paraId="52BEA003"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Tehniskais risinājums veicina atkritumu rašanos</w:t>
            </w:r>
          </w:p>
        </w:tc>
        <w:tc>
          <w:tcPr>
            <w:tcW w:w="1701" w:type="dxa"/>
            <w:shd w:val="clear" w:color="auto" w:fill="FFC000"/>
            <w:vAlign w:val="center"/>
          </w:tcPr>
          <w:p w14:paraId="760D6D2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7C2157B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2630077D"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C000"/>
            <w:vAlign w:val="center"/>
          </w:tcPr>
          <w:p w14:paraId="1B9C1CC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r>
      <w:tr w:rsidR="00EA051D" w:rsidRPr="001648D3" w14:paraId="2EE18032" w14:textId="77777777" w:rsidTr="001648D3">
        <w:tc>
          <w:tcPr>
            <w:tcW w:w="2405" w:type="dxa"/>
            <w:vAlign w:val="center"/>
          </w:tcPr>
          <w:p w14:paraId="46521827"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lastRenderedPageBreak/>
              <w:t>Tehniskais risinājums veicina piesārņojuma izplatību vidē</w:t>
            </w:r>
          </w:p>
        </w:tc>
        <w:tc>
          <w:tcPr>
            <w:tcW w:w="1701" w:type="dxa"/>
            <w:shd w:val="clear" w:color="auto" w:fill="FFC000"/>
            <w:vAlign w:val="center"/>
          </w:tcPr>
          <w:p w14:paraId="56757386"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72DDAFF9"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3DB4CA8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 xml:space="preserve">Zems </w:t>
            </w:r>
          </w:p>
        </w:tc>
        <w:tc>
          <w:tcPr>
            <w:tcW w:w="1701" w:type="dxa"/>
            <w:shd w:val="clear" w:color="auto" w:fill="FFC000"/>
            <w:vAlign w:val="center"/>
          </w:tcPr>
          <w:p w14:paraId="5BCBA764"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r>
      <w:tr w:rsidR="00EA051D" w:rsidRPr="001648D3" w14:paraId="1814D371" w14:textId="77777777" w:rsidTr="001648D3">
        <w:tc>
          <w:tcPr>
            <w:tcW w:w="2405" w:type="dxa"/>
            <w:vAlign w:val="center"/>
          </w:tcPr>
          <w:p w14:paraId="1BFFC1FA"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Tehniskais risinājums rada avāriju un katastrofu riskus</w:t>
            </w:r>
          </w:p>
        </w:tc>
        <w:tc>
          <w:tcPr>
            <w:tcW w:w="1701" w:type="dxa"/>
            <w:shd w:val="clear" w:color="auto" w:fill="92D050"/>
            <w:vAlign w:val="center"/>
          </w:tcPr>
          <w:p w14:paraId="3DC1560F"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92D050"/>
            <w:vAlign w:val="center"/>
          </w:tcPr>
          <w:p w14:paraId="3D0F46CE"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0E1C2002"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0000"/>
            <w:vAlign w:val="center"/>
          </w:tcPr>
          <w:p w14:paraId="6804B807"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Augsts</w:t>
            </w:r>
          </w:p>
        </w:tc>
      </w:tr>
      <w:tr w:rsidR="00EA051D" w:rsidRPr="001648D3" w14:paraId="01D2CBA1" w14:textId="77777777" w:rsidTr="001648D3">
        <w:tc>
          <w:tcPr>
            <w:tcW w:w="2405" w:type="dxa"/>
            <w:vAlign w:val="center"/>
          </w:tcPr>
          <w:p w14:paraId="720042EE" w14:textId="77777777" w:rsidR="00EA051D" w:rsidRPr="001648D3" w:rsidRDefault="00EA051D" w:rsidP="00D70884">
            <w:pPr>
              <w:spacing w:after="60"/>
              <w:rPr>
                <w:rFonts w:ascii="Times New Roman" w:hAnsi="Times New Roman" w:cs="Times New Roman"/>
                <w:sz w:val="20"/>
                <w:szCs w:val="20"/>
              </w:rPr>
            </w:pPr>
            <w:r w:rsidRPr="001648D3">
              <w:rPr>
                <w:rFonts w:ascii="Times New Roman" w:hAnsi="Times New Roman" w:cs="Times New Roman"/>
                <w:sz w:val="20"/>
                <w:szCs w:val="20"/>
              </w:rPr>
              <w:t>Tehniskais risinājums rada cilvēku veselības riskus</w:t>
            </w:r>
          </w:p>
        </w:tc>
        <w:tc>
          <w:tcPr>
            <w:tcW w:w="1701" w:type="dxa"/>
            <w:shd w:val="clear" w:color="auto" w:fill="FFC000"/>
            <w:vAlign w:val="center"/>
          </w:tcPr>
          <w:p w14:paraId="0F149D19"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c>
          <w:tcPr>
            <w:tcW w:w="1701" w:type="dxa"/>
            <w:shd w:val="clear" w:color="auto" w:fill="92D050"/>
            <w:vAlign w:val="center"/>
          </w:tcPr>
          <w:p w14:paraId="24DB8CA5"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418" w:type="dxa"/>
            <w:shd w:val="clear" w:color="auto" w:fill="92D050"/>
            <w:vAlign w:val="center"/>
          </w:tcPr>
          <w:p w14:paraId="15AF5123"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Zems</w:t>
            </w:r>
          </w:p>
        </w:tc>
        <w:tc>
          <w:tcPr>
            <w:tcW w:w="1701" w:type="dxa"/>
            <w:shd w:val="clear" w:color="auto" w:fill="FFC000"/>
            <w:vAlign w:val="center"/>
          </w:tcPr>
          <w:p w14:paraId="01C8723A" w14:textId="77777777" w:rsidR="00EA051D" w:rsidRPr="001648D3" w:rsidRDefault="00EA051D" w:rsidP="00D70884">
            <w:pPr>
              <w:spacing w:after="60"/>
              <w:jc w:val="center"/>
              <w:rPr>
                <w:rFonts w:ascii="Times New Roman" w:hAnsi="Times New Roman" w:cs="Times New Roman"/>
                <w:sz w:val="18"/>
                <w:szCs w:val="18"/>
              </w:rPr>
            </w:pPr>
            <w:r w:rsidRPr="001648D3">
              <w:rPr>
                <w:rFonts w:ascii="Times New Roman" w:hAnsi="Times New Roman" w:cs="Times New Roman"/>
                <w:sz w:val="18"/>
                <w:szCs w:val="18"/>
              </w:rPr>
              <w:t>Vidējs</w:t>
            </w:r>
          </w:p>
        </w:tc>
      </w:tr>
    </w:tbl>
    <w:p w14:paraId="1F39B2AE" w14:textId="77777777" w:rsidR="001648D3" w:rsidRDefault="001648D3" w:rsidP="004E438F">
      <w:pPr>
        <w:spacing w:after="0"/>
        <w:ind w:firstLine="720"/>
        <w:rPr>
          <w:rFonts w:cstheme="minorHAnsi"/>
        </w:rPr>
      </w:pPr>
    </w:p>
    <w:p w14:paraId="70900A0E" w14:textId="22FB5158" w:rsidR="00EA051D" w:rsidRPr="001648D3" w:rsidRDefault="00EA051D" w:rsidP="004E438F">
      <w:pPr>
        <w:spacing w:after="0"/>
        <w:ind w:firstLine="720"/>
        <w:rPr>
          <w:rFonts w:ascii="Times New Roman" w:hAnsi="Times New Roman" w:cs="Times New Roman"/>
        </w:rPr>
      </w:pPr>
      <w:r w:rsidRPr="001648D3">
        <w:rPr>
          <w:rFonts w:ascii="Times New Roman" w:hAnsi="Times New Roman" w:cs="Times New Roman"/>
        </w:rPr>
        <w:t xml:space="preserve">Salīdzinot alternatīvas pēc veiktā risku izvērtējuma </w:t>
      </w:r>
      <w:r w:rsidR="00D730E0" w:rsidRPr="00996138">
        <w:rPr>
          <w:rFonts w:ascii="Times New Roman" w:hAnsi="Times New Roman" w:cs="Times New Roman"/>
          <w:szCs w:val="24"/>
        </w:rPr>
        <w:t>4.5.</w:t>
      </w:r>
      <w:r w:rsidR="00D730E0">
        <w:rPr>
          <w:rFonts w:ascii="Times New Roman" w:hAnsi="Times New Roman" w:cs="Times New Roman"/>
          <w:szCs w:val="24"/>
        </w:rPr>
        <w:t>21</w:t>
      </w:r>
      <w:r w:rsidRPr="001648D3">
        <w:rPr>
          <w:rFonts w:ascii="Times New Roman" w:hAnsi="Times New Roman" w:cs="Times New Roman"/>
        </w:rPr>
        <w:t>.tabulā var izdarīt šādus secinājumus:</w:t>
      </w:r>
    </w:p>
    <w:p w14:paraId="60DEB6BC" w14:textId="77777777" w:rsidR="00EA051D" w:rsidRPr="001648D3" w:rsidRDefault="00EA051D" w:rsidP="00EA051D">
      <w:pPr>
        <w:rPr>
          <w:rFonts w:ascii="Times New Roman" w:hAnsi="Times New Roman" w:cs="Times New Roman"/>
        </w:rPr>
      </w:pPr>
      <w:r w:rsidRPr="001648D3">
        <w:rPr>
          <w:rFonts w:ascii="Times New Roman" w:hAnsi="Times New Roman" w:cs="Times New Roman"/>
          <w:szCs w:val="20"/>
        </w:rPr>
        <w:t xml:space="preserve">No risku izvērtējuma viedokļa </w:t>
      </w:r>
      <w:r w:rsidRPr="001648D3">
        <w:rPr>
          <w:rFonts w:ascii="Times New Roman" w:hAnsi="Times New Roman" w:cs="Times New Roman"/>
          <w:b/>
          <w:szCs w:val="20"/>
        </w:rPr>
        <w:t>alternatīvas Nr. D1. līdz Nr. D3</w:t>
      </w:r>
      <w:r w:rsidRPr="001648D3">
        <w:rPr>
          <w:rFonts w:ascii="Times New Roman" w:hAnsi="Times New Roman" w:cs="Times New Roman"/>
          <w:szCs w:val="20"/>
        </w:rPr>
        <w:t xml:space="preserve"> ir </w:t>
      </w:r>
      <w:r w:rsidRPr="001648D3">
        <w:rPr>
          <w:rFonts w:ascii="Times New Roman" w:hAnsi="Times New Roman" w:cs="Times New Roman"/>
        </w:rPr>
        <w:t>savstarpēji ļoti līdzīgas. Visu alternatīvu iekšējie un ārējie riski tiek vērtēti pārsvarā vidējā līmenī. Alternatīvas savstarpēji atšķiras tikai dūņu pārstrādes centros ar ļoti mazu un mazu dūņu apjomu. Dūņu pārstrāde mazos centros rada lielākus riskus attiecībā uz to vai visas notekūdeņu dūņas tiks atbilstoši pārstrādātas, kā rezultātā var iestāties arī dažādi vides riski. Savukārt alternatīvas D1 priekšrocība pret alternatīvām D2 un D3 ir apstāklī, ka notekūdeņu dūņas var tikt pārvaldītas vienas pašvaldības ietvaros un nav nepieciešama sadarbība ārpus pašvaldības robežām.</w:t>
      </w:r>
    </w:p>
    <w:p w14:paraId="57FDC305" w14:textId="25C9BE00" w:rsidR="00EA051D" w:rsidRDefault="00EA051D" w:rsidP="000C4C84">
      <w:pPr>
        <w:spacing w:after="0"/>
        <w:rPr>
          <w:rFonts w:ascii="Times New Roman" w:hAnsi="Times New Roman" w:cs="Times New Roman"/>
          <w:szCs w:val="20"/>
        </w:rPr>
      </w:pPr>
      <w:r w:rsidRPr="001648D3">
        <w:rPr>
          <w:rFonts w:ascii="Times New Roman" w:hAnsi="Times New Roman" w:cs="Times New Roman"/>
          <w:b/>
          <w:szCs w:val="20"/>
        </w:rPr>
        <w:t>D4.1. alternatīva: 5 notekūdeņu dūņu pārstrādes biogāzē centru izveidi</w:t>
      </w:r>
      <w:r w:rsidRPr="001648D3">
        <w:rPr>
          <w:rFonts w:ascii="Times New Roman" w:hAnsi="Times New Roman" w:cs="Times New Roman"/>
          <w:szCs w:val="20"/>
        </w:rPr>
        <w:t xml:space="preserve"> raksturo vairāki augsti iekšējie, ārējie un vides riski. Alternatīva tiek novērtēta kā sarežģīta, ir nepieciešamas jaunas tehnoloģijas un īpaši apmācīts personāls tās īstenošana. Alternatīvas ieviešanai ir nepieciešamas jaunas zemes platības un to raksturo augsti uzturēšanas izdevumi, vienlaikus tās ieviešanai ir nepieciešams liels dažādu institūciju atbalsts un būtiskas izmaiņas esošajā normatīvo aktu regulējumā. Kopumā alternatīva tiek vērtēta kā sarežģīta un tai ir citi piemēroti aizstājošie risinājumi. Tiek secināts, ka alternatīvai piemīt būtiski vides riski staciju izbūves vietā, kā arī avāriju un katastrofu riski. </w:t>
      </w:r>
    </w:p>
    <w:p w14:paraId="478ADFEA" w14:textId="77777777" w:rsidR="000C4C84" w:rsidRPr="001648D3" w:rsidRDefault="000C4C84" w:rsidP="000C4C84">
      <w:pPr>
        <w:spacing w:after="0"/>
        <w:rPr>
          <w:rFonts w:ascii="Times New Roman" w:hAnsi="Times New Roman" w:cs="Times New Roman"/>
          <w:highlight w:val="yellow"/>
        </w:rPr>
      </w:pPr>
    </w:p>
    <w:p w14:paraId="3D2F7B25" w14:textId="77777777" w:rsidR="00EA051D" w:rsidRPr="000C4C84" w:rsidRDefault="00EA051D" w:rsidP="000C4C84">
      <w:pPr>
        <w:spacing w:after="0"/>
        <w:jc w:val="center"/>
        <w:rPr>
          <w:rFonts w:ascii="Times New Roman" w:hAnsi="Times New Roman" w:cs="Times New Roman"/>
          <w:u w:val="single"/>
        </w:rPr>
      </w:pPr>
      <w:bookmarkStart w:id="122" w:name="_Toc82277656"/>
      <w:r w:rsidRPr="000C4C84">
        <w:rPr>
          <w:rFonts w:ascii="Times New Roman" w:hAnsi="Times New Roman" w:cs="Times New Roman"/>
          <w:u w:val="single"/>
        </w:rPr>
        <w:t>Optimālās notekūdeņu dūņu centralizācijas alternatīvas noteikšana</w:t>
      </w:r>
      <w:bookmarkEnd w:id="122"/>
    </w:p>
    <w:p w14:paraId="2BCF7193" w14:textId="77777777" w:rsidR="000C4C84" w:rsidRDefault="000C4C84" w:rsidP="000C4C84">
      <w:pPr>
        <w:spacing w:after="0"/>
        <w:ind w:firstLine="720"/>
        <w:rPr>
          <w:rFonts w:cstheme="minorHAnsi"/>
        </w:rPr>
      </w:pPr>
    </w:p>
    <w:p w14:paraId="61941C99" w14:textId="66B04532" w:rsidR="00EA051D" w:rsidRPr="000C4C84" w:rsidRDefault="00EA051D" w:rsidP="000C4C84">
      <w:pPr>
        <w:spacing w:after="0"/>
        <w:ind w:firstLine="720"/>
        <w:rPr>
          <w:rFonts w:ascii="Times New Roman" w:hAnsi="Times New Roman" w:cs="Times New Roman"/>
        </w:rPr>
      </w:pPr>
      <w:r w:rsidRPr="000C4C84">
        <w:rPr>
          <w:rFonts w:ascii="Times New Roman" w:hAnsi="Times New Roman" w:cs="Times New Roman"/>
        </w:rPr>
        <w:t>Ņemot vērā, ka starp dūņu centralizācijas risinājumiem 30 vai 16 centros nav būtiskas atšķirības, lai pieņemtu lēmumu par piemērotāko dūņu pārstrādes centru skaitu ir veikts katra atsevišķā dūņu pārstrādes centra novērtējums. Novērtējuma mērķis ir atbilstoši katras apdzīvotās vietas individuālajai situācijai pārbaudīt visu izvirzīto un aprēķinu ceļā novērtēto dūņu pārstrādes centru faktisko piemērotību dūņu centralizācijai, īpaši ņemot vērā iespējamos alternatīvos risinājumus. Novērtējums veikts, ar mērķi pārliecināties, ka apskatītajos 30 vai 16 dūņu pārstrādes centru risinājumos nepastāv objektīvi apstākļi, kāpēc nav iespējams vai nebūtu ieteicams veidot notekūdeņu dūņu pārstrādes centru, jo ne vienmēr aprēķinos ir iespējams iekļaut un matemātiski novērtēt visus objektīvos apstākļus, kas katrā gadījumā var veidoties.</w:t>
      </w:r>
    </w:p>
    <w:p w14:paraId="0A19F17A" w14:textId="77777777" w:rsidR="00EA051D" w:rsidRPr="000C4C84" w:rsidRDefault="00EA051D" w:rsidP="004E438F">
      <w:pPr>
        <w:spacing w:after="0"/>
        <w:ind w:left="66" w:firstLine="720"/>
        <w:rPr>
          <w:rFonts w:ascii="Times New Roman" w:hAnsi="Times New Roman" w:cs="Times New Roman"/>
        </w:rPr>
      </w:pPr>
      <w:r w:rsidRPr="000C4C84">
        <w:rPr>
          <w:rFonts w:ascii="Times New Roman" w:hAnsi="Times New Roman" w:cs="Times New Roman"/>
        </w:rPr>
        <w:t>Izvērtējuma rezultātā  ir secināts, ka 30 dūņu pārstrādes centru alternatīva nodrošina augstākus ieguvumus vairākos aspektos, ko nevarēja novērtēt iepriekš veiktajā vienotajā alternatīvu novērtējuma ceļā:</w:t>
      </w:r>
    </w:p>
    <w:p w14:paraId="20518B45" w14:textId="77777777" w:rsidR="00EA051D" w:rsidRPr="000C4C84" w:rsidRDefault="00EA051D" w:rsidP="004E438F">
      <w:pPr>
        <w:numPr>
          <w:ilvl w:val="0"/>
          <w:numId w:val="5"/>
        </w:numPr>
        <w:pBdr>
          <w:top w:val="nil"/>
          <w:left w:val="nil"/>
          <w:bottom w:val="nil"/>
          <w:right w:val="nil"/>
          <w:between w:val="nil"/>
        </w:pBdr>
        <w:spacing w:after="0"/>
        <w:ind w:left="426"/>
        <w:rPr>
          <w:rFonts w:ascii="Times New Roman" w:hAnsi="Times New Roman" w:cs="Times New Roman"/>
        </w:rPr>
      </w:pPr>
      <w:r w:rsidRPr="000C4C84">
        <w:rPr>
          <w:rFonts w:ascii="Times New Roman" w:hAnsi="Times New Roman" w:cs="Times New Roman"/>
          <w:color w:val="000000"/>
        </w:rPr>
        <w:lastRenderedPageBreak/>
        <w:t xml:space="preserve">Lielāks dūņu centru skaits rada mazāk administratīvo problēmu </w:t>
      </w:r>
      <w:r w:rsidRPr="000C4C84">
        <w:rPr>
          <w:rFonts w:ascii="Times New Roman" w:hAnsi="Times New Roman" w:cs="Times New Roman"/>
        </w:rPr>
        <w:t>pašvaldības</w:t>
      </w:r>
      <w:r w:rsidRPr="000C4C84">
        <w:rPr>
          <w:rFonts w:ascii="Times New Roman" w:hAnsi="Times New Roman" w:cs="Times New Roman"/>
          <w:color w:val="000000"/>
        </w:rPr>
        <w:t xml:space="preserve"> attiecībā uz dūņu pārvešanu pār </w:t>
      </w:r>
      <w:r w:rsidRPr="000C4C84">
        <w:rPr>
          <w:rFonts w:ascii="Times New Roman" w:hAnsi="Times New Roman" w:cs="Times New Roman"/>
        </w:rPr>
        <w:t>pašvaldības</w:t>
      </w:r>
      <w:r w:rsidRPr="000C4C84">
        <w:rPr>
          <w:rFonts w:ascii="Times New Roman" w:hAnsi="Times New Roman" w:cs="Times New Roman"/>
          <w:color w:val="000000"/>
        </w:rPr>
        <w:t xml:space="preserve"> robežām un dūņu nodošanu apstrādei citam sabiedrisko pakalpojumu sniedzējam. Atrisinot tikai būtiskākās problēmas dūņu centru izveidošanā, tiks mazināts arī negatīvais sabiedrības viedoklis par vienas </w:t>
      </w:r>
      <w:r w:rsidRPr="000C4C84">
        <w:rPr>
          <w:rFonts w:ascii="Times New Roman" w:hAnsi="Times New Roman" w:cs="Times New Roman"/>
        </w:rPr>
        <w:t>pašvaldības</w:t>
      </w:r>
      <w:r w:rsidRPr="000C4C84">
        <w:rPr>
          <w:rFonts w:ascii="Times New Roman" w:hAnsi="Times New Roman" w:cs="Times New Roman"/>
          <w:color w:val="000000"/>
        </w:rPr>
        <w:t xml:space="preserve"> radīto notekūdeņu dūņu problēmas “uzkraušanu” citai </w:t>
      </w:r>
      <w:r w:rsidRPr="000C4C84">
        <w:rPr>
          <w:rFonts w:ascii="Times New Roman" w:hAnsi="Times New Roman" w:cs="Times New Roman"/>
        </w:rPr>
        <w:t>pašvaldībai</w:t>
      </w:r>
      <w:r w:rsidRPr="000C4C84">
        <w:rPr>
          <w:rFonts w:ascii="Times New Roman" w:hAnsi="Times New Roman" w:cs="Times New Roman"/>
          <w:color w:val="000000"/>
        </w:rPr>
        <w:t>;</w:t>
      </w:r>
    </w:p>
    <w:p w14:paraId="7358A783" w14:textId="77777777" w:rsidR="00EA051D" w:rsidRPr="000C4C84" w:rsidRDefault="00EA051D" w:rsidP="004E438F">
      <w:pPr>
        <w:numPr>
          <w:ilvl w:val="0"/>
          <w:numId w:val="5"/>
        </w:numPr>
        <w:pBdr>
          <w:top w:val="nil"/>
          <w:left w:val="nil"/>
          <w:bottom w:val="nil"/>
          <w:right w:val="nil"/>
          <w:between w:val="nil"/>
        </w:pBdr>
        <w:spacing w:after="0"/>
        <w:ind w:left="426"/>
        <w:rPr>
          <w:rFonts w:ascii="Times New Roman" w:hAnsi="Times New Roman" w:cs="Times New Roman"/>
        </w:rPr>
      </w:pPr>
      <w:r w:rsidRPr="000C4C84">
        <w:rPr>
          <w:rFonts w:ascii="Times New Roman" w:hAnsi="Times New Roman" w:cs="Times New Roman"/>
          <w:color w:val="000000"/>
        </w:rPr>
        <w:t>Lielāka dūņu centralizācija rada mazāk dūņu centrus, kas savukārt nozīmē mazākas dūņu utilizācijas iespējas lauksaimniecībā, kas ir noteikti kā galvenie pārstrādātu dūņu izmantotāji. Veidojot 16 dūņu pārstrādes centrus ap tiem būtu pieejamas lauksaimniecības zemes 523,7 tūkst. ha apjomā, bet apkārt 30 dūņu pārstrādes centriem lauksaimniecības zemju platības ir 881,5 tūkst. ha, kā rezultātā ir pieejamas daudz plašākas pārstrādātu dūņu utilizācijas iespējas;</w:t>
      </w:r>
    </w:p>
    <w:p w14:paraId="2B1F3770" w14:textId="77777777" w:rsidR="00EA051D" w:rsidRPr="000C4C84" w:rsidRDefault="00EA051D" w:rsidP="004E438F">
      <w:pPr>
        <w:numPr>
          <w:ilvl w:val="0"/>
          <w:numId w:val="5"/>
        </w:numPr>
        <w:pBdr>
          <w:top w:val="nil"/>
          <w:left w:val="nil"/>
          <w:bottom w:val="nil"/>
          <w:right w:val="nil"/>
          <w:between w:val="nil"/>
        </w:pBdr>
        <w:ind w:left="426"/>
        <w:rPr>
          <w:rFonts w:ascii="Times New Roman" w:hAnsi="Times New Roman" w:cs="Times New Roman"/>
        </w:rPr>
      </w:pPr>
      <w:r w:rsidRPr="000C4C84">
        <w:rPr>
          <w:rFonts w:ascii="Times New Roman" w:hAnsi="Times New Roman" w:cs="Times New Roman"/>
          <w:color w:val="000000"/>
        </w:rPr>
        <w:t>Lielāks dūņu centru skaits rada mazākus kopējos nobrauktos km dūņu pārvadāšanai. Kā rezultātā veidojas mazākas siltumnīcefektu gāzu emisijas no dūņu transportēšanas.</w:t>
      </w:r>
    </w:p>
    <w:p w14:paraId="679E9E6C" w14:textId="77777777" w:rsidR="00EA051D" w:rsidRPr="000C4C84" w:rsidRDefault="00EA051D" w:rsidP="000C4C84">
      <w:pPr>
        <w:spacing w:after="0"/>
        <w:ind w:firstLine="720"/>
        <w:rPr>
          <w:rFonts w:ascii="Times New Roman" w:hAnsi="Times New Roman" w:cs="Times New Roman"/>
        </w:rPr>
      </w:pPr>
      <w:r w:rsidRPr="000C4C84">
        <w:rPr>
          <w:rFonts w:ascii="Times New Roman" w:hAnsi="Times New Roman" w:cs="Times New Roman"/>
        </w:rPr>
        <w:t>Lai mazinātu mazu notekūdeņu dūņu pārstrādes centru riskus, ir nolemts novērtēt dūņu pārstrādes centru iespējamās pievienošanas iespējas tuvumā esošam centriem. Veicot D2.alternatīvas izvērtējumu ir secināts, ka dūņu centri ir apvienojami šādās vietās:</w:t>
      </w:r>
    </w:p>
    <w:p w14:paraId="4B30942A" w14:textId="77777777" w:rsidR="00EA051D" w:rsidRPr="000C4C84" w:rsidRDefault="00EA051D" w:rsidP="004E438F">
      <w:pPr>
        <w:spacing w:after="0"/>
        <w:rPr>
          <w:rFonts w:ascii="Times New Roman" w:hAnsi="Times New Roman" w:cs="Times New Roman"/>
        </w:rPr>
      </w:pPr>
      <w:r w:rsidRPr="000C4C84">
        <w:rPr>
          <w:rFonts w:ascii="Times New Roman" w:hAnsi="Times New Roman" w:cs="Times New Roman"/>
          <w:b/>
        </w:rPr>
        <w:t>Krāslava – dūņu pārstrāde veicama Daugavpilī</w:t>
      </w:r>
      <w:r w:rsidRPr="000C4C84">
        <w:rPr>
          <w:rFonts w:ascii="Times New Roman" w:hAnsi="Times New Roman" w:cs="Times New Roman"/>
        </w:rPr>
        <w:t>. Kopējais slapju notekūdeņu dūņu apjoms Krāslavas pilsētas NAI ir vidēji 5 555 m</w:t>
      </w:r>
      <w:r w:rsidRPr="000C4C84">
        <w:rPr>
          <w:rFonts w:ascii="Times New Roman" w:hAnsi="Times New Roman" w:cs="Times New Roman"/>
          <w:vertAlign w:val="superscript"/>
        </w:rPr>
        <w:t>3</w:t>
      </w:r>
      <w:r w:rsidRPr="000C4C84">
        <w:rPr>
          <w:rFonts w:ascii="Times New Roman" w:hAnsi="Times New Roman" w:cs="Times New Roman"/>
        </w:rPr>
        <w:t xml:space="preserve"> gadā. Papildus no citām Krāslavas novada NAI tiks pievestas vēl aptuveni 3 389 m</w:t>
      </w:r>
      <w:r w:rsidRPr="000C4C84">
        <w:rPr>
          <w:rFonts w:ascii="Times New Roman" w:hAnsi="Times New Roman" w:cs="Times New Roman"/>
          <w:vertAlign w:val="superscript"/>
        </w:rPr>
        <w:t>3</w:t>
      </w:r>
      <w:r w:rsidRPr="000C4C84">
        <w:rPr>
          <w:rFonts w:ascii="Times New Roman" w:hAnsi="Times New Roman" w:cs="Times New Roman"/>
        </w:rPr>
        <w:t xml:space="preserve"> slapju dūņu gadā, kas kopā veidos aptuveni 8 944 m</w:t>
      </w:r>
      <w:r w:rsidRPr="000C4C84">
        <w:rPr>
          <w:rFonts w:ascii="Times New Roman" w:hAnsi="Times New Roman" w:cs="Times New Roman"/>
          <w:vertAlign w:val="superscript"/>
        </w:rPr>
        <w:t>3</w:t>
      </w:r>
      <w:r w:rsidRPr="000C4C84">
        <w:rPr>
          <w:rFonts w:ascii="Times New Roman" w:hAnsi="Times New Roman" w:cs="Times New Roman"/>
        </w:rPr>
        <w:t xml:space="preserve"> slapju dūņu gadā un ir mazāk par 10 000 m</w:t>
      </w:r>
      <w:r w:rsidRPr="000C4C84">
        <w:rPr>
          <w:rFonts w:ascii="Times New Roman" w:hAnsi="Times New Roman" w:cs="Times New Roman"/>
          <w:vertAlign w:val="superscript"/>
        </w:rPr>
        <w:t>3</w:t>
      </w:r>
      <w:r w:rsidRPr="000C4C84">
        <w:rPr>
          <w:rFonts w:ascii="Times New Roman" w:hAnsi="Times New Roman" w:cs="Times New Roman"/>
        </w:rPr>
        <w:t>, kas ir mazus dūņu centrus raksturojoša robeža. Dūņu pārstrādes centra izveides gadījumā tas būs mazs, un attiecīgi dūņu pārstrāde ļoti dārga, kā rezultātā pastāv iepriekš aprakstītie vides un citi riski. Gadā Krāslavā tiks iegūtas vidēji 500 t mehāniski atūdeņotu (apstrādātu) notekūdeņu dūņu (sausna 18%), kas visas ir pārvedama 25 vai mazāk kravas mašīnās (izvēloties lielāku kravas ietilpību), kas attiecīgi ir vidēji divas pilnas mašīnas mēnesī. Tuvākais alternatīvais dūņu pārstrādes centrs atrodas Daugavpilī, aptuveni 40 km attālumā. Abas apdzīvotās vietas savieno labas kvalitātes autoceļš A6 Rīga – Daugavpils – Krāslava – Baltkrievijas robeža. Ņemot vērā, ka Daugavpilī ir vairāk par 100 000 m</w:t>
      </w:r>
      <w:r w:rsidRPr="000C4C84">
        <w:rPr>
          <w:rFonts w:ascii="Times New Roman" w:hAnsi="Times New Roman" w:cs="Times New Roman"/>
          <w:vertAlign w:val="superscript"/>
        </w:rPr>
        <w:t>3</w:t>
      </w:r>
      <w:r w:rsidRPr="000C4C84">
        <w:rPr>
          <w:rFonts w:ascii="Times New Roman" w:hAnsi="Times New Roman" w:cs="Times New Roman"/>
        </w:rPr>
        <w:t xml:space="preserve"> slapju dūņu gadā, secināms, ka faktiskās notekūdeņu dūņu pārstrādes izmaksas šajā centrā būs salīdzinoši zemas, kā rezultātā dūņu transportēšana uz Daugavpili un dūņu pārstrāde šajā dūņu pārstrādes centrā Krāslavas novadam būs ekonomiski izdevīgāka salīdzinājumā ar notekūdeņu dūņu pārstrādi uz vietas;</w:t>
      </w:r>
    </w:p>
    <w:p w14:paraId="21B0DD8F" w14:textId="77777777" w:rsidR="00EA051D" w:rsidRPr="000C4C84" w:rsidRDefault="00EA051D" w:rsidP="004E438F">
      <w:pPr>
        <w:spacing w:after="0"/>
        <w:rPr>
          <w:rFonts w:ascii="Times New Roman" w:hAnsi="Times New Roman" w:cs="Times New Roman"/>
        </w:rPr>
      </w:pPr>
      <w:r w:rsidRPr="000C4C84">
        <w:rPr>
          <w:rFonts w:ascii="Times New Roman" w:hAnsi="Times New Roman" w:cs="Times New Roman"/>
          <w:b/>
        </w:rPr>
        <w:t>Saulkrasti - dūņu apstrāde veicama Ādažos.</w:t>
      </w:r>
      <w:r w:rsidRPr="000C4C84">
        <w:rPr>
          <w:rFonts w:ascii="Times New Roman" w:hAnsi="Times New Roman" w:cs="Times New Roman"/>
        </w:rPr>
        <w:t xml:space="preserve"> Saulkrasti ir plaša, blīvi apdzīvota teritorija, kurā novērojama liela iedzīvotāju skaita sezonalitāte (iedzīvotāju skaita pieaugums vasaras sezonā ir 3-5 reizes)</w:t>
      </w:r>
      <w:r w:rsidRPr="000C4C84">
        <w:rPr>
          <w:rFonts w:ascii="Times New Roman" w:hAnsi="Times New Roman" w:cs="Times New Roman"/>
          <w:vertAlign w:val="superscript"/>
        </w:rPr>
        <w:footnoteReference w:id="35"/>
      </w:r>
      <w:r w:rsidRPr="000C4C84">
        <w:rPr>
          <w:rFonts w:ascii="Times New Roman" w:hAnsi="Times New Roman" w:cs="Times New Roman"/>
        </w:rPr>
        <w:t>, kas attiecīgi nozīmē arī būtiskas notekūdeņu apjoma svārstības gada griezumā. Kopējais slapju notekūdeņu dūņu apjoms vidēji 9 218 m</w:t>
      </w:r>
      <w:r w:rsidRPr="000C4C84">
        <w:rPr>
          <w:rFonts w:ascii="Times New Roman" w:hAnsi="Times New Roman" w:cs="Times New Roman"/>
          <w:vertAlign w:val="superscript"/>
        </w:rPr>
        <w:t>3</w:t>
      </w:r>
      <w:r w:rsidRPr="000C4C84">
        <w:rPr>
          <w:rFonts w:ascii="Times New Roman" w:hAnsi="Times New Roman" w:cs="Times New Roman"/>
        </w:rPr>
        <w:t xml:space="preserve"> gadā ir mazāk par 10 000 m</w:t>
      </w:r>
      <w:r w:rsidRPr="000C4C84">
        <w:rPr>
          <w:rFonts w:ascii="Times New Roman" w:hAnsi="Times New Roman" w:cs="Times New Roman"/>
          <w:vertAlign w:val="superscript"/>
        </w:rPr>
        <w:t>3</w:t>
      </w:r>
      <w:r w:rsidRPr="000C4C84">
        <w:rPr>
          <w:rFonts w:ascii="Times New Roman" w:hAnsi="Times New Roman" w:cs="Times New Roman"/>
        </w:rPr>
        <w:t xml:space="preserve">, kas ir mazus dūņu centrus raksturojoša robeža. Dūņu pārstrādes centra izveides gadījumā tas būs mazs, dūņu pārstrāde dārga, kā rezultātā pastāv iepriekš aprakstītie mazo dūņu pārstrādes centru riski. Gadā Saulkrastos tiks vidēji iegūtas aptuveni 500 t mehāniski atūdeņotu notekūdeņu dūņu (sausna 18%), kas visas ir pārvedama aptuveni 25 kravas </w:t>
      </w:r>
      <w:r w:rsidRPr="000C4C84">
        <w:rPr>
          <w:rFonts w:ascii="Times New Roman" w:hAnsi="Times New Roman" w:cs="Times New Roman"/>
        </w:rPr>
        <w:lastRenderedPageBreak/>
        <w:t>mašīnās vai mazāk (izvēloties lielāku kravas ietilpību), kas attiecīgi ir vidēji divas pilnas mašīnas mēnesī. Tuvākais alternatīvais dūņu apstrādes centrs atrodas Ādažos 30 km attālumā. Abas apdzīvotās vietas savieno autoceļš E67 Via Baltica, kas nodrošina drošu, ērtu un ātru satiksmi starp abām teritorijām. SIA “Saulkrastu komunālserviss” ir izstrādājis tehnisko projektu jauna dūņu kompostēšanas lauka izbūvei, kura būvniecība ir plānota 2021. vai 2022.gadā.</w:t>
      </w:r>
    </w:p>
    <w:p w14:paraId="193089AC" w14:textId="77777777" w:rsidR="00EA051D" w:rsidRPr="000C4C84" w:rsidRDefault="00EA051D" w:rsidP="004E438F">
      <w:pPr>
        <w:spacing w:after="0"/>
        <w:rPr>
          <w:rFonts w:ascii="Times New Roman" w:hAnsi="Times New Roman" w:cs="Times New Roman"/>
        </w:rPr>
      </w:pPr>
      <w:r w:rsidRPr="000C4C84">
        <w:rPr>
          <w:rFonts w:ascii="Times New Roman" w:hAnsi="Times New Roman" w:cs="Times New Roman"/>
          <w:b/>
        </w:rPr>
        <w:t>Baloži – dūņu pārstrāde veicama Olainē.</w:t>
      </w:r>
      <w:r w:rsidRPr="000C4C84">
        <w:rPr>
          <w:rFonts w:ascii="Times New Roman" w:hAnsi="Times New Roman" w:cs="Times New Roman"/>
        </w:rPr>
        <w:t xml:space="preserve"> Baložu pilsēta ir blīvi apdzīvota teritorija Ķekavas novada Z daļā. Vidējais saražotais slapju dūņu apjoms Baložos ir 7 762 m</w:t>
      </w:r>
      <w:r w:rsidRPr="000C4C84">
        <w:rPr>
          <w:rFonts w:ascii="Times New Roman" w:hAnsi="Times New Roman" w:cs="Times New Roman"/>
          <w:vertAlign w:val="superscript"/>
        </w:rPr>
        <w:t xml:space="preserve">3 </w:t>
      </w:r>
      <w:r w:rsidRPr="000C4C84">
        <w:rPr>
          <w:rFonts w:ascii="Times New Roman" w:hAnsi="Times New Roman" w:cs="Times New Roman"/>
        </w:rPr>
        <w:t>gadā. Dūņu centralizācijas laikā vienas pašvaldības ietvaros tiek plānots, ka papildus tiktu ievestas arī Ķekavas novada Baldones NAI izveidojušās notekūdeņu dūņas, kuru vidējais daudzums ir 4 329 m</w:t>
      </w:r>
      <w:r w:rsidRPr="000C4C84">
        <w:rPr>
          <w:rFonts w:ascii="Times New Roman" w:hAnsi="Times New Roman" w:cs="Times New Roman"/>
          <w:vertAlign w:val="superscript"/>
        </w:rPr>
        <w:t>3</w:t>
      </w:r>
      <w:r w:rsidRPr="000C4C84">
        <w:rPr>
          <w:rFonts w:ascii="Times New Roman" w:hAnsi="Times New Roman" w:cs="Times New Roman"/>
        </w:rPr>
        <w:t xml:space="preserve"> gadā, veidojot kopējo Ķekavas novada slapju dūņu apjomu 12 091 m</w:t>
      </w:r>
      <w:r w:rsidRPr="000C4C84">
        <w:rPr>
          <w:rFonts w:ascii="Times New Roman" w:hAnsi="Times New Roman" w:cs="Times New Roman"/>
          <w:vertAlign w:val="superscript"/>
        </w:rPr>
        <w:t>3</w:t>
      </w:r>
      <w:r w:rsidRPr="000C4C84">
        <w:rPr>
          <w:rFonts w:ascii="Times New Roman" w:hAnsi="Times New Roman" w:cs="Times New Roman"/>
        </w:rPr>
        <w:t xml:space="preserve"> gadā. Baložu pilsētas NAI atrodas pie Titurgas ezera starp divām blīvi padzīvotām pilsētas daļām. Titurgas ezers ir populāra vietējo iedzīvotāju rekreācijas vieta. Blakus NAI atrodas Baložu pilsētas perspektīvās attīstības teritorijas, kur jau šobrīd notiek intensīva privātmāju būvniecība un tuvākajā laikā tiek plānota arī jaunu daudzdzīvokļu māju celtniecība. Kopējais notekūdeņu dūņu apjoms tikai nedaudz pārsniedz 10 000 m</w:t>
      </w:r>
      <w:r w:rsidRPr="000C4C84">
        <w:rPr>
          <w:rFonts w:ascii="Times New Roman" w:hAnsi="Times New Roman" w:cs="Times New Roman"/>
          <w:vertAlign w:val="superscript"/>
        </w:rPr>
        <w:t>3</w:t>
      </w:r>
      <w:r w:rsidRPr="000C4C84">
        <w:rPr>
          <w:rFonts w:ascii="Times New Roman" w:hAnsi="Times New Roman" w:cs="Times New Roman"/>
        </w:rPr>
        <w:t xml:space="preserve"> gadā, kas ir mazu dūņu centru raksturojošā robeža. Dūņu pārstrādes centram Baložos pastāv labs alternatīvais risinājums attiecībā uz dūņu pārstrādi Olaines NAI, kas ir 25 km attālumā. Abas apdzīvotās vietas savieno autoceļš E77 Rīga - Jelgava, kas nodrošina drošu, ērtu un ātru satiksmi, kura vēl uzlabosies pēc plānotā Ķekavas apvedceļa izbūves.</w:t>
      </w:r>
    </w:p>
    <w:p w14:paraId="761E5356" w14:textId="77777777" w:rsidR="00EA051D" w:rsidRPr="000C4C84" w:rsidRDefault="00EA051D" w:rsidP="004E438F">
      <w:pPr>
        <w:rPr>
          <w:rFonts w:ascii="Times New Roman" w:hAnsi="Times New Roman" w:cs="Times New Roman"/>
        </w:rPr>
      </w:pPr>
      <w:r w:rsidRPr="000C4C84">
        <w:rPr>
          <w:rFonts w:ascii="Times New Roman" w:hAnsi="Times New Roman" w:cs="Times New Roman"/>
          <w:b/>
        </w:rPr>
        <w:t xml:space="preserve">Upeslejas – dūņu pārstrāde veicama Salaspilī. </w:t>
      </w:r>
      <w:r w:rsidRPr="000C4C84">
        <w:rPr>
          <w:rFonts w:ascii="Times New Roman" w:hAnsi="Times New Roman" w:cs="Times New Roman"/>
        </w:rPr>
        <w:t>Upeslejas ir Ropažu novada lielākās NAI pie kurām plānots attīstīt Ropažu novada dūņu pārstrādes centru. Ropažu novadam raksturīga iezīme, ka tā robežās nav nevienas izteikti lielas apdzīvotās teritorijas, bet novada robežās ir vairākas līdzvērtīgas apdzīvotas vietas. Kopumā Ropažu novadā ir plānots izvietot 5 mehāniskās dūņu atūdeņošanas iekārtas, kas ir lielākais šādu iekārtu skaits vienā novadā visā Latvijā. Vidējais notekūdeņu dūņu daudzums Upeslejās ir 5 667 m</w:t>
      </w:r>
      <w:r w:rsidRPr="000C4C84">
        <w:rPr>
          <w:rFonts w:ascii="Times New Roman" w:hAnsi="Times New Roman" w:cs="Times New Roman"/>
          <w:vertAlign w:val="superscript"/>
        </w:rPr>
        <w:t>3</w:t>
      </w:r>
      <w:r w:rsidRPr="000C4C84">
        <w:rPr>
          <w:rFonts w:ascii="Times New Roman" w:hAnsi="Times New Roman" w:cs="Times New Roman"/>
        </w:rPr>
        <w:t xml:space="preserve"> slapju dūņu gadā, tomēr no citām Ropažu novada apdzīvotām vietām papildus tiks ievestas vēl aptuveni 10 043 m</w:t>
      </w:r>
      <w:r w:rsidRPr="000C4C84">
        <w:rPr>
          <w:rFonts w:ascii="Times New Roman" w:hAnsi="Times New Roman" w:cs="Times New Roman"/>
          <w:vertAlign w:val="superscript"/>
        </w:rPr>
        <w:t>3</w:t>
      </w:r>
      <w:r w:rsidRPr="000C4C84">
        <w:rPr>
          <w:rFonts w:ascii="Times New Roman" w:hAnsi="Times New Roman" w:cs="Times New Roman"/>
        </w:rPr>
        <w:t xml:space="preserve"> slapju dūņu, kas veido kopējo Ropažu novada slapju dūņu apjomu 15 710 m</w:t>
      </w:r>
      <w:r w:rsidRPr="000C4C84">
        <w:rPr>
          <w:rFonts w:ascii="Times New Roman" w:hAnsi="Times New Roman" w:cs="Times New Roman"/>
          <w:vertAlign w:val="superscript"/>
        </w:rPr>
        <w:t>3</w:t>
      </w:r>
      <w:r w:rsidRPr="000C4C84">
        <w:rPr>
          <w:rFonts w:ascii="Times New Roman" w:hAnsi="Times New Roman" w:cs="Times New Roman"/>
        </w:rPr>
        <w:t xml:space="preserve"> apjomā. Ņemot vērā, ka tiek novērota strauja attīstība Upesleju NAI rajonā un ir augsts pieprasījums pēc privātmāju apbūves teritorijām visā Ropažu novadā, tad dūņu pārstrādes centra izveide un uzturēšana var radīt papildus negatīvu sabiedrības spiedienu un pretestību to izveidei. Ņemot vērā minēto, Upesleju notekūdeņu dūņu pārstrādes centram pastāv piemērota dūņu centra alternatīva, jo tikai 12 km attālumā atrodas Salaspils NAI, kur tiek plānots daudz lielāks dūņu pārstrādes centrs. Divu dūņu centru izveide tik nelielā attālumā nav tehniski pamatota un racionāla, jo dūņu transportēšanas izmaksas pārvedot dūņas tikai 12 km attālumā būs salīdzinoši mazas. Dūņu transportēšana veicama pa pašvaldību iekšējiem ceļiem.</w:t>
      </w:r>
    </w:p>
    <w:p w14:paraId="047011DE" w14:textId="70A0EEFA" w:rsidR="00EA051D" w:rsidRDefault="00EA051D" w:rsidP="000C4C84">
      <w:pPr>
        <w:spacing w:after="0"/>
        <w:ind w:firstLine="720"/>
        <w:rPr>
          <w:rFonts w:ascii="Times New Roman" w:hAnsi="Times New Roman" w:cs="Times New Roman"/>
        </w:rPr>
      </w:pPr>
      <w:r w:rsidRPr="000C4C84">
        <w:rPr>
          <w:rFonts w:ascii="Times New Roman" w:hAnsi="Times New Roman" w:cs="Times New Roman"/>
        </w:rPr>
        <w:t>Attiecībā uz citām apdzīvotām vietām un citiem dūņu pārstrādes centriem ir secināts, ka nepastāv objektīvi ierobežojumu, kāpēc šādi centri nevarētu tikt veidoti un tie ir atstājami atbilstoši 30 centru alternatīvā noteiktajam. Rezultātā Latvijā kopumā būtu veidojami 2</w:t>
      </w:r>
      <w:r w:rsidR="004576FA">
        <w:rPr>
          <w:rFonts w:ascii="Times New Roman" w:hAnsi="Times New Roman" w:cs="Times New Roman"/>
        </w:rPr>
        <w:t>7</w:t>
      </w:r>
      <w:r w:rsidRPr="000C4C84">
        <w:rPr>
          <w:rFonts w:ascii="Times New Roman" w:hAnsi="Times New Roman" w:cs="Times New Roman"/>
        </w:rPr>
        <w:t xml:space="preserve"> notekūdeņu dūņu pārstrādes centri. Atbilstošam dūņu pārstrādes centru skaitam ir veikts tā </w:t>
      </w:r>
      <w:r w:rsidRPr="000C4C84">
        <w:rPr>
          <w:rFonts w:ascii="Times New Roman" w:hAnsi="Times New Roman" w:cs="Times New Roman"/>
        </w:rPr>
        <w:lastRenderedPageBreak/>
        <w:t>ieviešanas ekonomiskais aprēķins un ir definēta jauna notekūdeņu dūņu centralizācijas alternatīva Nr.D5.</w:t>
      </w:r>
    </w:p>
    <w:p w14:paraId="70A03022" w14:textId="77777777" w:rsidR="000C4C84" w:rsidRPr="000C4C84" w:rsidRDefault="000C4C84" w:rsidP="000C4C84">
      <w:pPr>
        <w:spacing w:after="0"/>
        <w:ind w:firstLine="720"/>
        <w:rPr>
          <w:rFonts w:ascii="Times New Roman" w:hAnsi="Times New Roman" w:cs="Times New Roman"/>
        </w:rPr>
      </w:pPr>
    </w:p>
    <w:p w14:paraId="5A6A1C6E" w14:textId="68FCE168" w:rsidR="00EA051D" w:rsidRPr="0033498C" w:rsidRDefault="00EA051D" w:rsidP="0033498C">
      <w:pPr>
        <w:jc w:val="center"/>
        <w:rPr>
          <w:rFonts w:ascii="Times New Roman" w:hAnsi="Times New Roman" w:cs="Times New Roman"/>
          <w:b/>
          <w:bCs/>
          <w:color w:val="5B9BD5" w:themeColor="accent1"/>
        </w:rPr>
      </w:pPr>
      <w:bookmarkStart w:id="123" w:name="_Toc82277657"/>
      <w:r w:rsidRPr="0033498C">
        <w:rPr>
          <w:rFonts w:ascii="Times New Roman" w:hAnsi="Times New Roman" w:cs="Times New Roman"/>
          <w:b/>
          <w:bCs/>
          <w:color w:val="5B9BD5" w:themeColor="accent1"/>
        </w:rPr>
        <w:t>D5. Alternatīva: Notekūdeņu dūņu pārstrāde 2</w:t>
      </w:r>
      <w:r w:rsidR="002B5569">
        <w:rPr>
          <w:rFonts w:ascii="Times New Roman" w:hAnsi="Times New Roman" w:cs="Times New Roman"/>
          <w:b/>
          <w:bCs/>
          <w:color w:val="5B9BD5" w:themeColor="accent1"/>
        </w:rPr>
        <w:t>7</w:t>
      </w:r>
      <w:r w:rsidRPr="0033498C">
        <w:rPr>
          <w:rFonts w:ascii="Times New Roman" w:hAnsi="Times New Roman" w:cs="Times New Roman"/>
          <w:b/>
          <w:bCs/>
          <w:color w:val="5B9BD5" w:themeColor="accent1"/>
        </w:rPr>
        <w:t xml:space="preserve"> notekūdeņu dūņu pārstrādes centros</w:t>
      </w:r>
      <w:bookmarkEnd w:id="123"/>
    </w:p>
    <w:p w14:paraId="20697916" w14:textId="77777777" w:rsidR="000C4C84" w:rsidRDefault="000C4C84" w:rsidP="000C4C84">
      <w:pPr>
        <w:spacing w:after="0"/>
        <w:ind w:firstLine="720"/>
        <w:rPr>
          <w:rFonts w:ascii="Times New Roman" w:hAnsi="Times New Roman" w:cs="Times New Roman"/>
        </w:rPr>
      </w:pPr>
    </w:p>
    <w:p w14:paraId="220C9DB5" w14:textId="0C57CF18" w:rsidR="00EA051D" w:rsidRPr="000C4C84" w:rsidRDefault="00EA051D" w:rsidP="000C4C84">
      <w:pPr>
        <w:spacing w:after="0"/>
        <w:ind w:firstLine="720"/>
        <w:rPr>
          <w:rFonts w:ascii="Times New Roman" w:hAnsi="Times New Roman" w:cs="Times New Roman"/>
        </w:rPr>
      </w:pPr>
      <w:r w:rsidRPr="000C4C84">
        <w:rPr>
          <w:rFonts w:ascii="Times New Roman" w:hAnsi="Times New Roman" w:cs="Times New Roman"/>
        </w:rPr>
        <w:t>Lai veiktu finanšu aprēķinus 2</w:t>
      </w:r>
      <w:r w:rsidR="003B1983">
        <w:rPr>
          <w:rFonts w:ascii="Times New Roman" w:hAnsi="Times New Roman" w:cs="Times New Roman"/>
        </w:rPr>
        <w:t>7</w:t>
      </w:r>
      <w:r w:rsidRPr="000C4C84">
        <w:rPr>
          <w:rFonts w:ascii="Times New Roman" w:hAnsi="Times New Roman" w:cs="Times New Roman"/>
        </w:rPr>
        <w:t xml:space="preserve"> centru alternatīvai, sākotnēji ir veikts dūņu nodošanas “vārtu maksas” aprēķins</w:t>
      </w:r>
      <w:r w:rsidR="003B1983">
        <w:rPr>
          <w:rFonts w:ascii="Times New Roman" w:hAnsi="Times New Roman" w:cs="Times New Roman"/>
        </w:rPr>
        <w:t xml:space="preserve"> (</w:t>
      </w:r>
      <w:r w:rsidR="00CF16C6">
        <w:rPr>
          <w:rFonts w:ascii="Times New Roman" w:hAnsi="Times New Roman" w:cs="Times New Roman"/>
        </w:rPr>
        <w:t>ņemot</w:t>
      </w:r>
      <w:r w:rsidR="003B1983">
        <w:rPr>
          <w:rFonts w:ascii="Times New Roman" w:hAnsi="Times New Roman" w:cs="Times New Roman"/>
        </w:rPr>
        <w:t xml:space="preserve"> vērā, ka uz BAS “Daugavgrīva” dūņu vešana netiek plānots, t</w:t>
      </w:r>
      <w:r w:rsidR="00ED3708">
        <w:rPr>
          <w:rFonts w:ascii="Times New Roman" w:hAnsi="Times New Roman" w:cs="Times New Roman"/>
        </w:rPr>
        <w:t>ās dati aprēķinā netika iekļauti</w:t>
      </w:r>
      <w:r w:rsidR="003B1983">
        <w:rPr>
          <w:rFonts w:ascii="Times New Roman" w:hAnsi="Times New Roman" w:cs="Times New Roman"/>
        </w:rPr>
        <w:t>)</w:t>
      </w:r>
      <w:r w:rsidRPr="000C4C84">
        <w:rPr>
          <w:rFonts w:ascii="Times New Roman" w:hAnsi="Times New Roman" w:cs="Times New Roman"/>
        </w:rPr>
        <w:t xml:space="preserve">. “Vārtu maksas” aprēķinā tiek izmantots teorētiskais vidējais dūņu daudzums visos dūņu apstrādes centros Latvijā un teorētiskās novērtētās nepieciešamās izmaksas, šādu dūņu pārstrādei. Veicot aprēķinus, ir noteikts, ka vidējā “vārtu maksu” D5.alternatīvas gadījumā būs 43,00 EUR par vienu tonnu mehāniski atūdeņotu (18% sausna) </w:t>
      </w:r>
      <w:r w:rsidRPr="008D35DE">
        <w:rPr>
          <w:rFonts w:ascii="Times New Roman" w:hAnsi="Times New Roman" w:cs="Times New Roman"/>
        </w:rPr>
        <w:t xml:space="preserve">dūņu. </w:t>
      </w:r>
      <w:r w:rsidR="008D35DE" w:rsidRPr="008D35DE">
        <w:rPr>
          <w:rFonts w:ascii="Times New Roman" w:hAnsi="Times New Roman" w:cs="Times New Roman"/>
        </w:rPr>
        <w:t>4.5.5</w:t>
      </w:r>
      <w:r w:rsidRPr="008D35DE">
        <w:rPr>
          <w:rFonts w:ascii="Times New Roman" w:hAnsi="Times New Roman" w:cs="Times New Roman"/>
        </w:rPr>
        <w:t>. attēlā skatīt</w:t>
      </w:r>
      <w:r w:rsidRPr="000C4C84">
        <w:rPr>
          <w:rFonts w:ascii="Times New Roman" w:hAnsi="Times New Roman" w:cs="Times New Roman"/>
        </w:rPr>
        <w:t xml:space="preserve"> 2</w:t>
      </w:r>
      <w:r w:rsidR="00ED3708">
        <w:rPr>
          <w:rFonts w:ascii="Times New Roman" w:hAnsi="Times New Roman" w:cs="Times New Roman"/>
        </w:rPr>
        <w:t>7</w:t>
      </w:r>
      <w:r w:rsidRPr="000C4C84">
        <w:rPr>
          <w:rFonts w:ascii="Times New Roman" w:hAnsi="Times New Roman" w:cs="Times New Roman"/>
        </w:rPr>
        <w:t xml:space="preserve"> notekūdeņu dūņu pārstrā</w:t>
      </w:r>
      <w:r w:rsidR="004E438F" w:rsidRPr="000C4C84">
        <w:rPr>
          <w:rFonts w:ascii="Times New Roman" w:hAnsi="Times New Roman" w:cs="Times New Roman"/>
        </w:rPr>
        <w:t>des centru izvietojumu Latvijā.</w:t>
      </w:r>
    </w:p>
    <w:p w14:paraId="590AE705" w14:textId="77777777" w:rsidR="00EA051D" w:rsidRPr="00175DD0" w:rsidRDefault="00EA051D" w:rsidP="00EA051D">
      <w:pPr>
        <w:rPr>
          <w:rFonts w:cstheme="minorHAnsi"/>
        </w:rPr>
      </w:pPr>
    </w:p>
    <w:p w14:paraId="124D827C" w14:textId="77777777" w:rsidR="00EA051D" w:rsidRPr="00175DD0" w:rsidRDefault="00EA051D" w:rsidP="00EA051D">
      <w:pPr>
        <w:rPr>
          <w:rFonts w:cstheme="minorHAnsi"/>
        </w:rPr>
        <w:sectPr w:rsidR="00EA051D" w:rsidRPr="00175DD0" w:rsidSect="007E349D">
          <w:pgSz w:w="12240" w:h="15840"/>
          <w:pgMar w:top="1134" w:right="1701" w:bottom="1134" w:left="1701" w:header="720" w:footer="720" w:gutter="0"/>
          <w:cols w:space="720"/>
        </w:sectPr>
      </w:pPr>
    </w:p>
    <w:p w14:paraId="32FFBDF4" w14:textId="2107FD4A" w:rsidR="00EA051D" w:rsidRPr="00D2413C" w:rsidRDefault="00CC1E22" w:rsidP="00DD0E08">
      <w:pPr>
        <w:jc w:val="center"/>
        <w:rPr>
          <w:rFonts w:ascii="Times New Roman" w:hAnsi="Times New Roman" w:cs="Times New Roman"/>
        </w:rPr>
        <w:sectPr w:rsidR="00EA051D" w:rsidRPr="00D2413C" w:rsidSect="007E349D">
          <w:pgSz w:w="15840" w:h="12240" w:orient="landscape"/>
          <w:pgMar w:top="1134" w:right="1701" w:bottom="1134" w:left="1701" w:header="720" w:footer="720" w:gutter="0"/>
          <w:cols w:space="720"/>
          <w:docGrid w:linePitch="299"/>
        </w:sectPr>
      </w:pPr>
      <w:r>
        <w:rPr>
          <w:noProof/>
          <w:lang w:eastAsia="lv-LV"/>
        </w:rPr>
        <w:lastRenderedPageBreak/>
        <w:drawing>
          <wp:anchor distT="0" distB="0" distL="114300" distR="114300" simplePos="0" relativeHeight="251658279" behindDoc="1" locked="0" layoutInCell="1" allowOverlap="1" wp14:anchorId="7207CEFD" wp14:editId="2542B058">
            <wp:simplePos x="0" y="0"/>
            <wp:positionH relativeFrom="page">
              <wp:posOffset>1079500</wp:posOffset>
            </wp:positionH>
            <wp:positionV relativeFrom="paragraph">
              <wp:posOffset>0</wp:posOffset>
            </wp:positionV>
            <wp:extent cx="8252547" cy="5839200"/>
            <wp:effectExtent l="0" t="0" r="0" b="9525"/>
            <wp:wrapSquare wrapText="bothSides"/>
            <wp:docPr id="147" name="Picture 1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Diagram&#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8252547" cy="583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5DE" w:rsidRPr="00BC2BB0">
        <w:rPr>
          <w:rFonts w:ascii="Times New Roman" w:hAnsi="Times New Roman" w:cs="Times New Roman"/>
          <w:b/>
          <w:bCs/>
        </w:rPr>
        <w:t>4.</w:t>
      </w:r>
      <w:r w:rsidR="008D35DE">
        <w:rPr>
          <w:rFonts w:ascii="Times New Roman" w:hAnsi="Times New Roman" w:cs="Times New Roman"/>
          <w:b/>
          <w:bCs/>
        </w:rPr>
        <w:t>5</w:t>
      </w:r>
      <w:r w:rsidR="008D35DE" w:rsidRPr="00BC2BB0">
        <w:rPr>
          <w:rFonts w:ascii="Times New Roman" w:hAnsi="Times New Roman" w:cs="Times New Roman"/>
          <w:b/>
          <w:bCs/>
        </w:rPr>
        <w:t>.</w:t>
      </w:r>
      <w:r w:rsidR="008D35DE">
        <w:rPr>
          <w:rFonts w:ascii="Times New Roman" w:hAnsi="Times New Roman" w:cs="Times New Roman"/>
          <w:b/>
          <w:bCs/>
        </w:rPr>
        <w:t>5</w:t>
      </w:r>
      <w:r w:rsidR="00EA051D" w:rsidRPr="00D2413C">
        <w:rPr>
          <w:rFonts w:ascii="Times New Roman" w:hAnsi="Times New Roman" w:cs="Times New Roman"/>
          <w:b/>
          <w:bCs/>
        </w:rPr>
        <w:t>.</w:t>
      </w:r>
      <w:r w:rsidR="00D2413C" w:rsidRPr="00D2413C">
        <w:rPr>
          <w:rFonts w:ascii="Times New Roman" w:hAnsi="Times New Roman" w:cs="Times New Roman"/>
          <w:b/>
          <w:bCs/>
        </w:rPr>
        <w:t>attēls.</w:t>
      </w:r>
      <w:r w:rsidR="00D2413C">
        <w:rPr>
          <w:rFonts w:ascii="Times New Roman" w:hAnsi="Times New Roman" w:cs="Times New Roman"/>
        </w:rPr>
        <w:t xml:space="preserve"> </w:t>
      </w:r>
      <w:r w:rsidR="00EA051D" w:rsidRPr="00D2413C">
        <w:rPr>
          <w:rFonts w:ascii="Times New Roman" w:hAnsi="Times New Roman" w:cs="Times New Roman"/>
        </w:rPr>
        <w:t>2</w:t>
      </w:r>
      <w:r w:rsidR="00ED3708">
        <w:rPr>
          <w:rFonts w:ascii="Times New Roman" w:hAnsi="Times New Roman" w:cs="Times New Roman"/>
        </w:rPr>
        <w:t>7</w:t>
      </w:r>
      <w:r w:rsidR="00EA051D" w:rsidRPr="00D2413C">
        <w:rPr>
          <w:rFonts w:ascii="Times New Roman" w:hAnsi="Times New Roman" w:cs="Times New Roman"/>
        </w:rPr>
        <w:t xml:space="preserve"> notekūdeņu dūņu pārstrādes centru izvietojums Latvijā</w:t>
      </w:r>
    </w:p>
    <w:p w14:paraId="1826FD01" w14:textId="77777777" w:rsidR="00EA051D" w:rsidRPr="00175DD0" w:rsidRDefault="00EA051D" w:rsidP="00EA051D">
      <w:pPr>
        <w:rPr>
          <w:rFonts w:cstheme="minorHAnsi"/>
        </w:rPr>
      </w:pPr>
    </w:p>
    <w:p w14:paraId="2AC4CE28" w14:textId="6B31B3A4" w:rsidR="00EA051D" w:rsidRPr="00D2413C" w:rsidRDefault="00EA051D" w:rsidP="00D2413C">
      <w:pPr>
        <w:ind w:firstLine="720"/>
        <w:rPr>
          <w:rFonts w:ascii="Times New Roman" w:hAnsi="Times New Roman" w:cs="Times New Roman"/>
        </w:rPr>
      </w:pPr>
      <w:r w:rsidRPr="00D2413C">
        <w:rPr>
          <w:rFonts w:ascii="Times New Roman" w:hAnsi="Times New Roman" w:cs="Times New Roman"/>
        </w:rPr>
        <w:t xml:space="preserve">Piemērojot identisku dūņu centru darbības ikgadējo izmaksu un kapitālo investīciju aprēķinu metodiku, kā izvērtējot alternatīvas Nr.D1 – Nr.D3. ir veikti aprēķini, kur rezultāti apkopoti </w:t>
      </w:r>
      <w:r w:rsidR="00C73B0B" w:rsidRPr="00996138">
        <w:rPr>
          <w:rFonts w:ascii="Times New Roman" w:hAnsi="Times New Roman" w:cs="Times New Roman"/>
          <w:szCs w:val="24"/>
        </w:rPr>
        <w:t>4.5.</w:t>
      </w:r>
      <w:r w:rsidR="00C73B0B">
        <w:rPr>
          <w:rFonts w:ascii="Times New Roman" w:hAnsi="Times New Roman" w:cs="Times New Roman"/>
          <w:szCs w:val="24"/>
        </w:rPr>
        <w:t>22</w:t>
      </w:r>
      <w:r w:rsidRPr="00D2413C">
        <w:rPr>
          <w:rFonts w:ascii="Times New Roman" w:hAnsi="Times New Roman" w:cs="Times New Roman"/>
        </w:rPr>
        <w:t>.tabulā</w:t>
      </w:r>
    </w:p>
    <w:p w14:paraId="408417F2" w14:textId="7C9EAB74" w:rsidR="00673BAB" w:rsidRPr="00D7567B" w:rsidRDefault="00C73B0B" w:rsidP="00D7567B">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bCs/>
          <w:color w:val="000000"/>
          <w:szCs w:val="24"/>
        </w:rPr>
      </w:pPr>
      <w:r w:rsidRPr="00996138">
        <w:rPr>
          <w:rFonts w:ascii="Times New Roman" w:hAnsi="Times New Roman" w:cs="Times New Roman"/>
          <w:szCs w:val="24"/>
        </w:rPr>
        <w:t>4.5.</w:t>
      </w:r>
      <w:r>
        <w:rPr>
          <w:rFonts w:ascii="Times New Roman" w:hAnsi="Times New Roman" w:cs="Times New Roman"/>
          <w:szCs w:val="24"/>
        </w:rPr>
        <w:t>22</w:t>
      </w:r>
      <w:r w:rsidR="004E438F" w:rsidRPr="00D7567B">
        <w:rPr>
          <w:rFonts w:ascii="Times New Roman" w:hAnsi="Times New Roman" w:cs="Times New Roman"/>
          <w:bCs/>
          <w:color w:val="000000"/>
          <w:szCs w:val="24"/>
        </w:rPr>
        <w:t>.</w:t>
      </w:r>
      <w:r w:rsidR="00EA051D" w:rsidRPr="00D7567B">
        <w:rPr>
          <w:rFonts w:ascii="Times New Roman" w:hAnsi="Times New Roman" w:cs="Times New Roman"/>
          <w:bCs/>
          <w:color w:val="000000"/>
          <w:szCs w:val="24"/>
        </w:rPr>
        <w:t>tabula</w:t>
      </w:r>
    </w:p>
    <w:p w14:paraId="5B25903F" w14:textId="5193419D" w:rsidR="00EA051D" w:rsidRPr="00D7567B" w:rsidRDefault="00EA051D" w:rsidP="00D7567B">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color w:val="000000"/>
          <w:szCs w:val="24"/>
        </w:rPr>
      </w:pPr>
      <w:r w:rsidRPr="00D7567B">
        <w:rPr>
          <w:rFonts w:ascii="Times New Roman" w:hAnsi="Times New Roman" w:cs="Times New Roman"/>
          <w:b/>
          <w:color w:val="000000"/>
          <w:szCs w:val="24"/>
        </w:rPr>
        <w:t>26 dūņu</w:t>
      </w:r>
      <w:r w:rsidR="00011C1A">
        <w:rPr>
          <w:rFonts w:ascii="Times New Roman" w:hAnsi="Times New Roman" w:cs="Times New Roman"/>
          <w:b/>
          <w:color w:val="000000"/>
          <w:szCs w:val="24"/>
        </w:rPr>
        <w:t xml:space="preserve"> centralizācijas un</w:t>
      </w:r>
      <w:r w:rsidRPr="00D7567B">
        <w:rPr>
          <w:rFonts w:ascii="Times New Roman" w:hAnsi="Times New Roman" w:cs="Times New Roman"/>
          <w:b/>
          <w:color w:val="000000"/>
          <w:szCs w:val="24"/>
        </w:rPr>
        <w:t xml:space="preserve"> pārstrādes centru ikgadējās uzturēšanas un investīciju izmaksas </w:t>
      </w:r>
      <w:r w:rsidR="008D34E0" w:rsidRPr="00651378">
        <w:rPr>
          <w:rFonts w:ascii="Times New Roman" w:hAnsi="Times New Roman" w:cs="Times New Roman"/>
          <w:b/>
          <w:color w:val="000000"/>
          <w:szCs w:val="24"/>
        </w:rPr>
        <w:t xml:space="preserve">(aprēķinus skatīt </w:t>
      </w:r>
      <w:r w:rsidR="008D34E0" w:rsidRPr="00762A7F">
        <w:rPr>
          <w:rFonts w:ascii="Times New Roman" w:hAnsi="Times New Roman" w:cs="Times New Roman"/>
          <w:b/>
          <w:color w:val="000000"/>
          <w:szCs w:val="24"/>
        </w:rPr>
        <w:t xml:space="preserve">pielikumā </w:t>
      </w:r>
      <w:r w:rsidR="008D34E0" w:rsidRPr="0078125D">
        <w:rPr>
          <w:rFonts w:ascii="Times New Roman" w:hAnsi="Times New Roman" w:cs="Times New Roman"/>
          <w:b/>
          <w:color w:val="000000"/>
          <w:szCs w:val="24"/>
        </w:rPr>
        <w:t>4.9. Finanšu aprēķini “3. Uzturēšanas izmaksas notekūdeņu dūņu pārstrādē”</w:t>
      </w:r>
      <w:r w:rsidR="008D34E0" w:rsidRPr="00762A7F">
        <w:rPr>
          <w:rFonts w:ascii="Times New Roman" w:hAnsi="Times New Roman" w:cs="Times New Roman"/>
          <w:b/>
          <w:color w:val="000000"/>
          <w:szCs w:val="24"/>
        </w:rPr>
        <w:t xml:space="preserve"> un pielikumā </w:t>
      </w:r>
      <w:r w:rsidR="008D34E0" w:rsidRPr="0078125D">
        <w:rPr>
          <w:rFonts w:ascii="Times New Roman" w:hAnsi="Times New Roman" w:cs="Times New Roman"/>
          <w:b/>
          <w:color w:val="000000"/>
          <w:szCs w:val="24"/>
        </w:rPr>
        <w:t>4.10. Finanšu aprēķini “4.</w:t>
      </w:r>
      <w:r w:rsidR="008D34E0">
        <w:rPr>
          <w:rFonts w:ascii="Times New Roman" w:hAnsi="Times New Roman" w:cs="Times New Roman"/>
          <w:b/>
          <w:color w:val="000000"/>
          <w:szCs w:val="24"/>
        </w:rPr>
        <w:t> </w:t>
      </w:r>
      <w:r w:rsidR="008D34E0" w:rsidRPr="0078125D">
        <w:rPr>
          <w:rFonts w:ascii="Times New Roman" w:hAnsi="Times New Roman" w:cs="Times New Roman"/>
          <w:b/>
          <w:color w:val="000000"/>
          <w:szCs w:val="24"/>
        </w:rPr>
        <w:t>Kapitālās investīcijas notekūdeņu dūņu pārstrādē”</w:t>
      </w:r>
      <w:r w:rsidR="008D34E0" w:rsidRPr="00651378">
        <w:rPr>
          <w:rFonts w:ascii="Times New Roman" w:hAnsi="Times New Roman" w:cs="Times New Roman"/>
          <w:b/>
          <w:color w:val="000000"/>
          <w:szCs w:val="24"/>
        </w:rPr>
        <w:t>)</w:t>
      </w:r>
    </w:p>
    <w:tbl>
      <w:tblPr>
        <w:tblStyle w:val="12"/>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8"/>
        <w:gridCol w:w="1272"/>
        <w:gridCol w:w="1701"/>
        <w:gridCol w:w="1276"/>
        <w:gridCol w:w="1418"/>
        <w:gridCol w:w="1701"/>
      </w:tblGrid>
      <w:tr w:rsidR="00EA051D" w:rsidRPr="00B3496D" w14:paraId="1BF1BF5E" w14:textId="77777777" w:rsidTr="00B3496D">
        <w:trPr>
          <w:trHeight w:val="1152"/>
        </w:trPr>
        <w:tc>
          <w:tcPr>
            <w:tcW w:w="1558" w:type="dxa"/>
            <w:vMerge w:val="restart"/>
            <w:vAlign w:val="center"/>
          </w:tcPr>
          <w:p w14:paraId="4B1BB82C" w14:textId="77777777" w:rsidR="00EA051D" w:rsidRPr="00B3496D" w:rsidRDefault="00EA051D" w:rsidP="00D70884">
            <w:pPr>
              <w:spacing w:after="60"/>
              <w:jc w:val="center"/>
              <w:rPr>
                <w:rFonts w:ascii="Times New Roman" w:hAnsi="Times New Roman" w:cs="Times New Roman"/>
                <w:b/>
                <w:sz w:val="20"/>
                <w:szCs w:val="20"/>
              </w:rPr>
            </w:pPr>
            <w:r w:rsidRPr="00B3496D">
              <w:rPr>
                <w:rFonts w:ascii="Times New Roman" w:hAnsi="Times New Roman" w:cs="Times New Roman"/>
                <w:b/>
                <w:sz w:val="20"/>
                <w:szCs w:val="20"/>
              </w:rPr>
              <w:t>Dūņu centra izveides vieta</w:t>
            </w:r>
          </w:p>
        </w:tc>
        <w:tc>
          <w:tcPr>
            <w:tcW w:w="1272" w:type="dxa"/>
            <w:vMerge w:val="restart"/>
            <w:vAlign w:val="center"/>
          </w:tcPr>
          <w:p w14:paraId="0175506C" w14:textId="77777777" w:rsidR="00EA051D" w:rsidRPr="00B3496D" w:rsidRDefault="00EA051D" w:rsidP="00D70884">
            <w:pPr>
              <w:spacing w:after="60"/>
              <w:jc w:val="center"/>
              <w:rPr>
                <w:rFonts w:ascii="Times New Roman" w:hAnsi="Times New Roman" w:cs="Times New Roman"/>
                <w:b/>
                <w:sz w:val="20"/>
                <w:szCs w:val="20"/>
              </w:rPr>
            </w:pPr>
            <w:r w:rsidRPr="00B3496D">
              <w:rPr>
                <w:rFonts w:ascii="Times New Roman" w:hAnsi="Times New Roman" w:cs="Times New Roman"/>
                <w:b/>
                <w:sz w:val="20"/>
                <w:szCs w:val="20"/>
              </w:rPr>
              <w:t>Slapjo dūņu apjoms centrā (1%) t/g</w:t>
            </w:r>
          </w:p>
        </w:tc>
        <w:tc>
          <w:tcPr>
            <w:tcW w:w="1701" w:type="dxa"/>
            <w:vMerge w:val="restart"/>
            <w:vAlign w:val="center"/>
          </w:tcPr>
          <w:p w14:paraId="0C9AE9F2" w14:textId="77777777" w:rsidR="00EA051D" w:rsidRPr="00B3496D" w:rsidRDefault="00EA051D" w:rsidP="00D70884">
            <w:pPr>
              <w:spacing w:after="60"/>
              <w:jc w:val="center"/>
              <w:rPr>
                <w:rFonts w:ascii="Times New Roman" w:hAnsi="Times New Roman" w:cs="Times New Roman"/>
                <w:b/>
                <w:sz w:val="20"/>
                <w:szCs w:val="20"/>
              </w:rPr>
            </w:pPr>
            <w:r w:rsidRPr="00B3496D">
              <w:rPr>
                <w:rFonts w:ascii="Times New Roman" w:hAnsi="Times New Roman" w:cs="Times New Roman"/>
                <w:b/>
                <w:sz w:val="20"/>
                <w:szCs w:val="20"/>
              </w:rPr>
              <w:t>Papildus ievesto slapjo dūņu (1%) apjoma ekvivalents novada centrā t/gadā</w:t>
            </w:r>
          </w:p>
        </w:tc>
        <w:tc>
          <w:tcPr>
            <w:tcW w:w="1276" w:type="dxa"/>
            <w:vMerge w:val="restart"/>
            <w:vAlign w:val="center"/>
          </w:tcPr>
          <w:p w14:paraId="2E0DB0EC" w14:textId="77777777" w:rsidR="00EA051D" w:rsidRPr="00B3496D" w:rsidRDefault="00EA051D" w:rsidP="00D70884">
            <w:pPr>
              <w:spacing w:after="60"/>
              <w:jc w:val="center"/>
              <w:rPr>
                <w:rFonts w:ascii="Times New Roman" w:hAnsi="Times New Roman" w:cs="Times New Roman"/>
                <w:b/>
                <w:sz w:val="20"/>
                <w:szCs w:val="20"/>
              </w:rPr>
            </w:pPr>
            <w:r w:rsidRPr="00B3496D">
              <w:rPr>
                <w:rFonts w:ascii="Times New Roman" w:hAnsi="Times New Roman" w:cs="Times New Roman"/>
                <w:b/>
                <w:sz w:val="20"/>
                <w:szCs w:val="20"/>
              </w:rPr>
              <w:t>Kopējais slapjo dūņu apjoms centrā (1%) t/gadā</w:t>
            </w:r>
          </w:p>
        </w:tc>
        <w:tc>
          <w:tcPr>
            <w:tcW w:w="1418" w:type="dxa"/>
            <w:vMerge w:val="restart"/>
            <w:shd w:val="clear" w:color="auto" w:fill="FDEADA"/>
            <w:vAlign w:val="center"/>
          </w:tcPr>
          <w:p w14:paraId="5E492211" w14:textId="77777777" w:rsidR="00EA051D" w:rsidRPr="00B3496D" w:rsidRDefault="00EA051D" w:rsidP="00D70884">
            <w:pPr>
              <w:spacing w:after="60"/>
              <w:jc w:val="center"/>
              <w:rPr>
                <w:rFonts w:ascii="Times New Roman" w:hAnsi="Times New Roman" w:cs="Times New Roman"/>
                <w:b/>
                <w:sz w:val="20"/>
                <w:szCs w:val="20"/>
              </w:rPr>
            </w:pPr>
            <w:r w:rsidRPr="00B3496D">
              <w:rPr>
                <w:rFonts w:ascii="Times New Roman" w:hAnsi="Times New Roman" w:cs="Times New Roman"/>
                <w:b/>
                <w:sz w:val="20"/>
                <w:szCs w:val="20"/>
              </w:rPr>
              <w:t>Dūņu centra darbības ikgadējās izmaksas EUR/gadā</w:t>
            </w:r>
          </w:p>
        </w:tc>
        <w:tc>
          <w:tcPr>
            <w:tcW w:w="1701" w:type="dxa"/>
            <w:vMerge w:val="restart"/>
            <w:shd w:val="clear" w:color="auto" w:fill="FDEADA"/>
            <w:vAlign w:val="center"/>
          </w:tcPr>
          <w:p w14:paraId="36ACBD95" w14:textId="77777777" w:rsidR="00EA051D" w:rsidRPr="00B3496D" w:rsidRDefault="00EA051D" w:rsidP="00D70884">
            <w:pPr>
              <w:spacing w:after="60"/>
              <w:jc w:val="center"/>
              <w:rPr>
                <w:rFonts w:ascii="Times New Roman" w:hAnsi="Times New Roman" w:cs="Times New Roman"/>
                <w:b/>
                <w:sz w:val="20"/>
                <w:szCs w:val="20"/>
              </w:rPr>
            </w:pPr>
            <w:r w:rsidRPr="00B3496D">
              <w:rPr>
                <w:rFonts w:ascii="Times New Roman" w:hAnsi="Times New Roman" w:cs="Times New Roman"/>
                <w:b/>
                <w:sz w:val="20"/>
                <w:szCs w:val="20"/>
              </w:rPr>
              <w:t>Dūņu centru izveides investīciju izmaksas EUR</w:t>
            </w:r>
          </w:p>
        </w:tc>
      </w:tr>
      <w:tr w:rsidR="00EA051D" w:rsidRPr="00B3496D" w14:paraId="1DD390F9" w14:textId="77777777" w:rsidTr="00B3496D">
        <w:trPr>
          <w:trHeight w:val="509"/>
        </w:trPr>
        <w:tc>
          <w:tcPr>
            <w:tcW w:w="1558" w:type="dxa"/>
            <w:vMerge/>
          </w:tcPr>
          <w:p w14:paraId="24474281" w14:textId="77777777" w:rsidR="00EA051D" w:rsidRPr="00B3496D"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2" w:type="dxa"/>
            <w:vMerge/>
          </w:tcPr>
          <w:p w14:paraId="5CCF2208" w14:textId="77777777" w:rsidR="00EA051D" w:rsidRPr="00B3496D"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tcPr>
          <w:p w14:paraId="11597E93" w14:textId="77777777" w:rsidR="00EA051D" w:rsidRPr="00B3496D"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276" w:type="dxa"/>
            <w:vMerge/>
          </w:tcPr>
          <w:p w14:paraId="315995EF" w14:textId="77777777" w:rsidR="00EA051D" w:rsidRPr="00B3496D"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418" w:type="dxa"/>
            <w:vMerge/>
            <w:shd w:val="clear" w:color="auto" w:fill="FDEADA"/>
          </w:tcPr>
          <w:p w14:paraId="54D9C512" w14:textId="77777777" w:rsidR="00EA051D" w:rsidRPr="00B3496D"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c>
          <w:tcPr>
            <w:tcW w:w="1701" w:type="dxa"/>
            <w:vMerge/>
            <w:shd w:val="clear" w:color="auto" w:fill="FDEADA"/>
          </w:tcPr>
          <w:p w14:paraId="416A15D0" w14:textId="77777777" w:rsidR="00EA051D" w:rsidRPr="00B3496D" w:rsidRDefault="00EA051D" w:rsidP="00D70884">
            <w:pPr>
              <w:widowControl w:val="0"/>
              <w:pBdr>
                <w:top w:val="nil"/>
                <w:left w:val="nil"/>
                <w:bottom w:val="nil"/>
                <w:right w:val="nil"/>
                <w:between w:val="nil"/>
              </w:pBdr>
              <w:spacing w:after="60"/>
              <w:rPr>
                <w:rFonts w:ascii="Times New Roman" w:hAnsi="Times New Roman" w:cs="Times New Roman"/>
                <w:b/>
                <w:sz w:val="20"/>
                <w:szCs w:val="20"/>
              </w:rPr>
            </w:pPr>
          </w:p>
        </w:tc>
      </w:tr>
      <w:tr w:rsidR="00EA051D" w:rsidRPr="00B3496D" w14:paraId="7A3C0D40" w14:textId="77777777" w:rsidTr="00B3496D">
        <w:trPr>
          <w:trHeight w:val="312"/>
        </w:trPr>
        <w:tc>
          <w:tcPr>
            <w:tcW w:w="1558" w:type="dxa"/>
            <w:vAlign w:val="center"/>
          </w:tcPr>
          <w:p w14:paraId="586D7413"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Aizkraukles NAI</w:t>
            </w:r>
          </w:p>
        </w:tc>
        <w:tc>
          <w:tcPr>
            <w:tcW w:w="1272" w:type="dxa"/>
            <w:vAlign w:val="center"/>
          </w:tcPr>
          <w:p w14:paraId="7A0AF20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8 398</w:t>
            </w:r>
          </w:p>
        </w:tc>
        <w:tc>
          <w:tcPr>
            <w:tcW w:w="1701" w:type="dxa"/>
            <w:vAlign w:val="center"/>
          </w:tcPr>
          <w:p w14:paraId="10F359A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6 070</w:t>
            </w:r>
          </w:p>
        </w:tc>
        <w:tc>
          <w:tcPr>
            <w:tcW w:w="1276" w:type="dxa"/>
            <w:vAlign w:val="center"/>
          </w:tcPr>
          <w:p w14:paraId="62C1FE67"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14 468</w:t>
            </w:r>
          </w:p>
        </w:tc>
        <w:tc>
          <w:tcPr>
            <w:tcW w:w="1418" w:type="dxa"/>
            <w:tcBorders>
              <w:top w:val="single" w:sz="8" w:space="0" w:color="000000"/>
              <w:left w:val="single" w:sz="8" w:space="0" w:color="000000"/>
              <w:bottom w:val="single" w:sz="4" w:space="0" w:color="000000"/>
              <w:right w:val="single" w:sz="8" w:space="0" w:color="000000"/>
            </w:tcBorders>
            <w:shd w:val="clear" w:color="auto" w:fill="FDEADA"/>
            <w:vAlign w:val="bottom"/>
          </w:tcPr>
          <w:p w14:paraId="4749A6D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63 804</w:t>
            </w:r>
          </w:p>
        </w:tc>
        <w:tc>
          <w:tcPr>
            <w:tcW w:w="1701" w:type="dxa"/>
            <w:shd w:val="clear" w:color="auto" w:fill="FDEADA"/>
            <w:vAlign w:val="bottom"/>
          </w:tcPr>
          <w:p w14:paraId="6F931FE8"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834 746</w:t>
            </w:r>
          </w:p>
        </w:tc>
      </w:tr>
      <w:tr w:rsidR="00EA051D" w:rsidRPr="00B3496D" w14:paraId="63EA2BEE" w14:textId="77777777" w:rsidTr="00B3496D">
        <w:trPr>
          <w:trHeight w:val="312"/>
        </w:trPr>
        <w:tc>
          <w:tcPr>
            <w:tcW w:w="1558" w:type="dxa"/>
            <w:vAlign w:val="center"/>
          </w:tcPr>
          <w:p w14:paraId="6CD547C2"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Alūksnes NAI</w:t>
            </w:r>
          </w:p>
        </w:tc>
        <w:tc>
          <w:tcPr>
            <w:tcW w:w="1272" w:type="dxa"/>
            <w:vAlign w:val="center"/>
          </w:tcPr>
          <w:p w14:paraId="4D2ED2E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7 267</w:t>
            </w:r>
          </w:p>
        </w:tc>
        <w:tc>
          <w:tcPr>
            <w:tcW w:w="1701" w:type="dxa"/>
            <w:vAlign w:val="center"/>
          </w:tcPr>
          <w:p w14:paraId="185D4095"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5 727</w:t>
            </w:r>
          </w:p>
        </w:tc>
        <w:tc>
          <w:tcPr>
            <w:tcW w:w="1276" w:type="dxa"/>
            <w:vAlign w:val="center"/>
          </w:tcPr>
          <w:p w14:paraId="4C83601B"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12 994</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670ACCB0"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95 553</w:t>
            </w:r>
          </w:p>
        </w:tc>
        <w:tc>
          <w:tcPr>
            <w:tcW w:w="1701" w:type="dxa"/>
            <w:shd w:val="clear" w:color="auto" w:fill="FDEADA"/>
            <w:vAlign w:val="bottom"/>
          </w:tcPr>
          <w:p w14:paraId="245B76D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788 926</w:t>
            </w:r>
          </w:p>
        </w:tc>
      </w:tr>
      <w:tr w:rsidR="00EA051D" w:rsidRPr="00B3496D" w14:paraId="3F127B6B" w14:textId="77777777" w:rsidTr="00B3496D">
        <w:trPr>
          <w:trHeight w:val="312"/>
        </w:trPr>
        <w:tc>
          <w:tcPr>
            <w:tcW w:w="1558" w:type="dxa"/>
            <w:vAlign w:val="center"/>
          </w:tcPr>
          <w:p w14:paraId="29A43AE7"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Ādažu NAI</w:t>
            </w:r>
          </w:p>
        </w:tc>
        <w:tc>
          <w:tcPr>
            <w:tcW w:w="1272" w:type="dxa"/>
            <w:vAlign w:val="center"/>
          </w:tcPr>
          <w:p w14:paraId="1C7489E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41 000</w:t>
            </w:r>
          </w:p>
        </w:tc>
        <w:tc>
          <w:tcPr>
            <w:tcW w:w="1701" w:type="dxa"/>
            <w:vAlign w:val="center"/>
          </w:tcPr>
          <w:p w14:paraId="3DDB68E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11 863</w:t>
            </w:r>
          </w:p>
        </w:tc>
        <w:tc>
          <w:tcPr>
            <w:tcW w:w="1276" w:type="dxa"/>
            <w:vAlign w:val="center"/>
          </w:tcPr>
          <w:p w14:paraId="2553C3FA"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52 863</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19921CC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185 275</w:t>
            </w:r>
          </w:p>
        </w:tc>
        <w:tc>
          <w:tcPr>
            <w:tcW w:w="1701" w:type="dxa"/>
            <w:shd w:val="clear" w:color="auto" w:fill="FDEADA"/>
            <w:vAlign w:val="bottom"/>
          </w:tcPr>
          <w:p w14:paraId="156782D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2 031 515</w:t>
            </w:r>
          </w:p>
        </w:tc>
      </w:tr>
      <w:tr w:rsidR="00EA051D" w:rsidRPr="00B3496D" w14:paraId="368F1935" w14:textId="77777777" w:rsidTr="00B3496D">
        <w:trPr>
          <w:trHeight w:val="312"/>
        </w:trPr>
        <w:tc>
          <w:tcPr>
            <w:tcW w:w="1558" w:type="dxa"/>
            <w:vAlign w:val="center"/>
          </w:tcPr>
          <w:p w14:paraId="43159C80"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Bauskas NAI</w:t>
            </w:r>
          </w:p>
        </w:tc>
        <w:tc>
          <w:tcPr>
            <w:tcW w:w="1272" w:type="dxa"/>
            <w:vAlign w:val="center"/>
          </w:tcPr>
          <w:p w14:paraId="2F21B22B"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5 782</w:t>
            </w:r>
          </w:p>
        </w:tc>
        <w:tc>
          <w:tcPr>
            <w:tcW w:w="1701" w:type="dxa"/>
            <w:vAlign w:val="center"/>
          </w:tcPr>
          <w:p w14:paraId="3ABCE307"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4 003</w:t>
            </w:r>
          </w:p>
        </w:tc>
        <w:tc>
          <w:tcPr>
            <w:tcW w:w="1276" w:type="dxa"/>
            <w:vAlign w:val="center"/>
          </w:tcPr>
          <w:p w14:paraId="7B5E615A"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9 785</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6EC9A36B"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59 671</w:t>
            </w:r>
          </w:p>
        </w:tc>
        <w:tc>
          <w:tcPr>
            <w:tcW w:w="1701" w:type="dxa"/>
            <w:shd w:val="clear" w:color="auto" w:fill="FDEADA"/>
            <w:vAlign w:val="bottom"/>
          </w:tcPr>
          <w:p w14:paraId="488F251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689 172</w:t>
            </w:r>
          </w:p>
        </w:tc>
      </w:tr>
      <w:tr w:rsidR="00EA051D" w:rsidRPr="00B3496D" w14:paraId="0A399E15" w14:textId="77777777" w:rsidTr="00B3496D">
        <w:trPr>
          <w:trHeight w:val="312"/>
        </w:trPr>
        <w:tc>
          <w:tcPr>
            <w:tcW w:w="1558" w:type="dxa"/>
            <w:vAlign w:val="center"/>
          </w:tcPr>
          <w:p w14:paraId="2AC6DA06"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Cēsu NAI</w:t>
            </w:r>
          </w:p>
        </w:tc>
        <w:tc>
          <w:tcPr>
            <w:tcW w:w="1272" w:type="dxa"/>
            <w:vAlign w:val="center"/>
          </w:tcPr>
          <w:p w14:paraId="29A6F4D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40 145</w:t>
            </w:r>
          </w:p>
        </w:tc>
        <w:tc>
          <w:tcPr>
            <w:tcW w:w="1701" w:type="dxa"/>
            <w:vAlign w:val="center"/>
          </w:tcPr>
          <w:p w14:paraId="050CB69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4 368</w:t>
            </w:r>
          </w:p>
        </w:tc>
        <w:tc>
          <w:tcPr>
            <w:tcW w:w="1276" w:type="dxa"/>
            <w:vAlign w:val="center"/>
          </w:tcPr>
          <w:p w14:paraId="53C4FBA5"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44 513</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46F6C567"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146 465</w:t>
            </w:r>
          </w:p>
        </w:tc>
        <w:tc>
          <w:tcPr>
            <w:tcW w:w="1701" w:type="dxa"/>
            <w:shd w:val="clear" w:color="auto" w:fill="FDEADA"/>
            <w:vAlign w:val="bottom"/>
          </w:tcPr>
          <w:p w14:paraId="03FFDFC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1 768 711</w:t>
            </w:r>
          </w:p>
        </w:tc>
      </w:tr>
      <w:tr w:rsidR="00EA051D" w:rsidRPr="00B3496D" w14:paraId="3BEA04D8" w14:textId="77777777" w:rsidTr="00B3496D">
        <w:trPr>
          <w:trHeight w:val="312"/>
        </w:trPr>
        <w:tc>
          <w:tcPr>
            <w:tcW w:w="1558" w:type="dxa"/>
            <w:vAlign w:val="center"/>
          </w:tcPr>
          <w:p w14:paraId="5F72409A"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Daugavpils NAI</w:t>
            </w:r>
          </w:p>
        </w:tc>
        <w:tc>
          <w:tcPr>
            <w:tcW w:w="1272" w:type="dxa"/>
            <w:vAlign w:val="center"/>
          </w:tcPr>
          <w:p w14:paraId="3D253DE5"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151 893</w:t>
            </w:r>
          </w:p>
        </w:tc>
        <w:tc>
          <w:tcPr>
            <w:tcW w:w="1701" w:type="dxa"/>
            <w:vAlign w:val="center"/>
          </w:tcPr>
          <w:p w14:paraId="58C44DE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11 665</w:t>
            </w:r>
          </w:p>
        </w:tc>
        <w:tc>
          <w:tcPr>
            <w:tcW w:w="1276" w:type="dxa"/>
            <w:vAlign w:val="center"/>
          </w:tcPr>
          <w:p w14:paraId="7DECD32E"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163 558</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016E842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428 766</w:t>
            </w:r>
          </w:p>
        </w:tc>
        <w:tc>
          <w:tcPr>
            <w:tcW w:w="1701" w:type="dxa"/>
            <w:shd w:val="clear" w:color="auto" w:fill="FDEADA"/>
            <w:vAlign w:val="bottom"/>
          </w:tcPr>
          <w:p w14:paraId="07CF6F35"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5 537 476</w:t>
            </w:r>
          </w:p>
        </w:tc>
      </w:tr>
      <w:tr w:rsidR="00EA051D" w:rsidRPr="00B3496D" w14:paraId="0C3C2AA9" w14:textId="77777777" w:rsidTr="00B3496D">
        <w:trPr>
          <w:trHeight w:val="312"/>
        </w:trPr>
        <w:tc>
          <w:tcPr>
            <w:tcW w:w="1558" w:type="dxa"/>
            <w:vAlign w:val="center"/>
          </w:tcPr>
          <w:p w14:paraId="1BC8A77A"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Dobeles NAI</w:t>
            </w:r>
          </w:p>
        </w:tc>
        <w:tc>
          <w:tcPr>
            <w:tcW w:w="1272" w:type="dxa"/>
            <w:vAlign w:val="center"/>
          </w:tcPr>
          <w:p w14:paraId="7BCDBCB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9 967</w:t>
            </w:r>
          </w:p>
        </w:tc>
        <w:tc>
          <w:tcPr>
            <w:tcW w:w="1701" w:type="dxa"/>
            <w:vAlign w:val="center"/>
          </w:tcPr>
          <w:p w14:paraId="1ECEEBE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5 340</w:t>
            </w:r>
          </w:p>
        </w:tc>
        <w:tc>
          <w:tcPr>
            <w:tcW w:w="1276" w:type="dxa"/>
            <w:vAlign w:val="center"/>
          </w:tcPr>
          <w:p w14:paraId="033C5117"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15 307</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3BFF88D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66 113</w:t>
            </w:r>
          </w:p>
        </w:tc>
        <w:tc>
          <w:tcPr>
            <w:tcW w:w="1701" w:type="dxa"/>
            <w:shd w:val="clear" w:color="auto" w:fill="FDEADA"/>
            <w:vAlign w:val="bottom"/>
          </w:tcPr>
          <w:p w14:paraId="55327841"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860 827</w:t>
            </w:r>
          </w:p>
        </w:tc>
      </w:tr>
      <w:tr w:rsidR="00EA051D" w:rsidRPr="00B3496D" w14:paraId="0186CA7E" w14:textId="77777777" w:rsidTr="00B3496D">
        <w:trPr>
          <w:trHeight w:val="312"/>
        </w:trPr>
        <w:tc>
          <w:tcPr>
            <w:tcW w:w="1558" w:type="dxa"/>
            <w:vAlign w:val="center"/>
          </w:tcPr>
          <w:p w14:paraId="7B3D4F16"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Jelgavas NAI</w:t>
            </w:r>
          </w:p>
        </w:tc>
        <w:tc>
          <w:tcPr>
            <w:tcW w:w="1272" w:type="dxa"/>
            <w:vAlign w:val="center"/>
          </w:tcPr>
          <w:p w14:paraId="7A0FF9F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120 608</w:t>
            </w:r>
          </w:p>
        </w:tc>
        <w:tc>
          <w:tcPr>
            <w:tcW w:w="1701" w:type="dxa"/>
            <w:vAlign w:val="center"/>
          </w:tcPr>
          <w:p w14:paraId="51F4BBF6"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2 423</w:t>
            </w:r>
          </w:p>
        </w:tc>
        <w:tc>
          <w:tcPr>
            <w:tcW w:w="1276" w:type="dxa"/>
            <w:vAlign w:val="center"/>
          </w:tcPr>
          <w:p w14:paraId="34DBC0BB"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123 031</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6D7DA32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314 197</w:t>
            </w:r>
          </w:p>
        </w:tc>
        <w:tc>
          <w:tcPr>
            <w:tcW w:w="1701" w:type="dxa"/>
            <w:shd w:val="clear" w:color="auto" w:fill="FDEADA"/>
            <w:vAlign w:val="bottom"/>
          </w:tcPr>
          <w:p w14:paraId="07E89AC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4 250 209</w:t>
            </w:r>
          </w:p>
        </w:tc>
      </w:tr>
      <w:tr w:rsidR="00EA051D" w:rsidRPr="00B3496D" w14:paraId="157739E1" w14:textId="77777777" w:rsidTr="00B3496D">
        <w:trPr>
          <w:trHeight w:val="312"/>
        </w:trPr>
        <w:tc>
          <w:tcPr>
            <w:tcW w:w="1558" w:type="dxa"/>
            <w:vAlign w:val="center"/>
          </w:tcPr>
          <w:p w14:paraId="2B130377"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Jēkabpils NAI</w:t>
            </w:r>
          </w:p>
        </w:tc>
        <w:tc>
          <w:tcPr>
            <w:tcW w:w="1272" w:type="dxa"/>
            <w:vAlign w:val="center"/>
          </w:tcPr>
          <w:p w14:paraId="1378AED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20 280</w:t>
            </w:r>
          </w:p>
        </w:tc>
        <w:tc>
          <w:tcPr>
            <w:tcW w:w="1701" w:type="dxa"/>
            <w:vAlign w:val="center"/>
          </w:tcPr>
          <w:p w14:paraId="17D865C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817</w:t>
            </w:r>
          </w:p>
        </w:tc>
        <w:tc>
          <w:tcPr>
            <w:tcW w:w="1276" w:type="dxa"/>
            <w:vAlign w:val="center"/>
          </w:tcPr>
          <w:p w14:paraId="63C65D0C"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21 097</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4BEC894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82 042</w:t>
            </w:r>
          </w:p>
        </w:tc>
        <w:tc>
          <w:tcPr>
            <w:tcW w:w="1701" w:type="dxa"/>
            <w:shd w:val="clear" w:color="auto" w:fill="FDEADA"/>
            <w:vAlign w:val="bottom"/>
          </w:tcPr>
          <w:p w14:paraId="4C5C8C17"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1 040 812</w:t>
            </w:r>
          </w:p>
        </w:tc>
      </w:tr>
      <w:tr w:rsidR="00EA051D" w:rsidRPr="00B3496D" w14:paraId="2F91685C" w14:textId="77777777" w:rsidTr="00B3496D">
        <w:trPr>
          <w:trHeight w:val="312"/>
        </w:trPr>
        <w:tc>
          <w:tcPr>
            <w:tcW w:w="1558" w:type="dxa"/>
            <w:vAlign w:val="center"/>
          </w:tcPr>
          <w:p w14:paraId="19F43951"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Jūrmalas NAI</w:t>
            </w:r>
          </w:p>
        </w:tc>
        <w:tc>
          <w:tcPr>
            <w:tcW w:w="1272" w:type="dxa"/>
            <w:vAlign w:val="center"/>
          </w:tcPr>
          <w:p w14:paraId="4947A45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55 304</w:t>
            </w:r>
          </w:p>
        </w:tc>
        <w:tc>
          <w:tcPr>
            <w:tcW w:w="1701" w:type="dxa"/>
            <w:vAlign w:val="center"/>
          </w:tcPr>
          <w:p w14:paraId="5C78046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0,00</w:t>
            </w:r>
          </w:p>
        </w:tc>
        <w:tc>
          <w:tcPr>
            <w:tcW w:w="1276" w:type="dxa"/>
            <w:vAlign w:val="center"/>
          </w:tcPr>
          <w:p w14:paraId="034EC89B"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55 304</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00729138"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151 266</w:t>
            </w:r>
          </w:p>
        </w:tc>
        <w:tc>
          <w:tcPr>
            <w:tcW w:w="1701" w:type="dxa"/>
            <w:shd w:val="clear" w:color="auto" w:fill="FDEADA"/>
            <w:vAlign w:val="bottom"/>
          </w:tcPr>
          <w:p w14:paraId="4639B995"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2 108 698</w:t>
            </w:r>
          </w:p>
        </w:tc>
      </w:tr>
      <w:tr w:rsidR="00EA051D" w:rsidRPr="00B3496D" w14:paraId="38E66E7C" w14:textId="77777777" w:rsidTr="00B3496D">
        <w:trPr>
          <w:trHeight w:val="312"/>
        </w:trPr>
        <w:tc>
          <w:tcPr>
            <w:tcW w:w="1558" w:type="dxa"/>
            <w:vAlign w:val="center"/>
          </w:tcPr>
          <w:p w14:paraId="785D52FB"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Kuldīgas NAI</w:t>
            </w:r>
          </w:p>
        </w:tc>
        <w:tc>
          <w:tcPr>
            <w:tcW w:w="1272" w:type="dxa"/>
            <w:vAlign w:val="center"/>
          </w:tcPr>
          <w:p w14:paraId="2F4564EA"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20 307</w:t>
            </w:r>
          </w:p>
        </w:tc>
        <w:tc>
          <w:tcPr>
            <w:tcW w:w="1701" w:type="dxa"/>
            <w:vAlign w:val="center"/>
          </w:tcPr>
          <w:p w14:paraId="143D370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600</w:t>
            </w:r>
          </w:p>
        </w:tc>
        <w:tc>
          <w:tcPr>
            <w:tcW w:w="1276" w:type="dxa"/>
            <w:vAlign w:val="center"/>
          </w:tcPr>
          <w:p w14:paraId="0B75E9F5"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20 907</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459D15A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81 520</w:t>
            </w:r>
          </w:p>
        </w:tc>
        <w:tc>
          <w:tcPr>
            <w:tcW w:w="1701" w:type="dxa"/>
            <w:shd w:val="clear" w:color="auto" w:fill="FDEADA"/>
            <w:vAlign w:val="bottom"/>
          </w:tcPr>
          <w:p w14:paraId="365368C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1 034 906</w:t>
            </w:r>
          </w:p>
        </w:tc>
      </w:tr>
      <w:tr w:rsidR="00EA051D" w:rsidRPr="00B3496D" w14:paraId="1CDD925E" w14:textId="77777777" w:rsidTr="00B3496D">
        <w:trPr>
          <w:trHeight w:val="312"/>
        </w:trPr>
        <w:tc>
          <w:tcPr>
            <w:tcW w:w="1558" w:type="dxa"/>
            <w:vAlign w:val="center"/>
          </w:tcPr>
          <w:p w14:paraId="7B2951A0"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Liepājas NAI</w:t>
            </w:r>
          </w:p>
        </w:tc>
        <w:tc>
          <w:tcPr>
            <w:tcW w:w="1272" w:type="dxa"/>
            <w:vAlign w:val="center"/>
          </w:tcPr>
          <w:p w14:paraId="7B2D6B5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79 209</w:t>
            </w:r>
          </w:p>
        </w:tc>
        <w:tc>
          <w:tcPr>
            <w:tcW w:w="1701" w:type="dxa"/>
            <w:vAlign w:val="center"/>
          </w:tcPr>
          <w:p w14:paraId="187D0C48"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3 369</w:t>
            </w:r>
          </w:p>
        </w:tc>
        <w:tc>
          <w:tcPr>
            <w:tcW w:w="1276" w:type="dxa"/>
            <w:vAlign w:val="center"/>
          </w:tcPr>
          <w:p w14:paraId="104CE7DF"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82 578</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716814F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224 711</w:t>
            </w:r>
          </w:p>
        </w:tc>
        <w:tc>
          <w:tcPr>
            <w:tcW w:w="1701" w:type="dxa"/>
            <w:shd w:val="clear" w:color="auto" w:fill="FDEADA"/>
            <w:vAlign w:val="bottom"/>
          </w:tcPr>
          <w:p w14:paraId="40F89E4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2 971 095</w:t>
            </w:r>
          </w:p>
        </w:tc>
      </w:tr>
      <w:tr w:rsidR="00EA051D" w:rsidRPr="00B3496D" w14:paraId="6EB9E7BD" w14:textId="77777777" w:rsidTr="00B3496D">
        <w:trPr>
          <w:trHeight w:val="312"/>
        </w:trPr>
        <w:tc>
          <w:tcPr>
            <w:tcW w:w="1558" w:type="dxa"/>
            <w:vAlign w:val="center"/>
          </w:tcPr>
          <w:p w14:paraId="7B44E1EF"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Limbažu NAI</w:t>
            </w:r>
          </w:p>
        </w:tc>
        <w:tc>
          <w:tcPr>
            <w:tcW w:w="1272" w:type="dxa"/>
            <w:vAlign w:val="center"/>
          </w:tcPr>
          <w:p w14:paraId="1C9C7A1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8 840</w:t>
            </w:r>
          </w:p>
        </w:tc>
        <w:tc>
          <w:tcPr>
            <w:tcW w:w="1701" w:type="dxa"/>
            <w:vAlign w:val="center"/>
          </w:tcPr>
          <w:p w14:paraId="3A04D6B1"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4 000</w:t>
            </w:r>
          </w:p>
        </w:tc>
        <w:tc>
          <w:tcPr>
            <w:tcW w:w="1276" w:type="dxa"/>
            <w:vAlign w:val="center"/>
          </w:tcPr>
          <w:p w14:paraId="66AD1452"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12 840</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18F18DB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59 326</w:t>
            </w:r>
          </w:p>
        </w:tc>
        <w:tc>
          <w:tcPr>
            <w:tcW w:w="1701" w:type="dxa"/>
            <w:shd w:val="clear" w:color="auto" w:fill="FDEADA"/>
            <w:vAlign w:val="bottom"/>
          </w:tcPr>
          <w:p w14:paraId="05D59B77"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784 139</w:t>
            </w:r>
          </w:p>
        </w:tc>
      </w:tr>
      <w:tr w:rsidR="00EA051D" w:rsidRPr="00B3496D" w14:paraId="65FB1F2A" w14:textId="77777777" w:rsidTr="00B3496D">
        <w:trPr>
          <w:trHeight w:val="312"/>
        </w:trPr>
        <w:tc>
          <w:tcPr>
            <w:tcW w:w="1558" w:type="dxa"/>
            <w:vAlign w:val="center"/>
          </w:tcPr>
          <w:p w14:paraId="6CFC30BF"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Līvānu NAI</w:t>
            </w:r>
          </w:p>
        </w:tc>
        <w:tc>
          <w:tcPr>
            <w:tcW w:w="1272" w:type="dxa"/>
            <w:vAlign w:val="center"/>
          </w:tcPr>
          <w:p w14:paraId="21E70F97"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9 460</w:t>
            </w:r>
          </w:p>
        </w:tc>
        <w:tc>
          <w:tcPr>
            <w:tcW w:w="1701" w:type="dxa"/>
            <w:vAlign w:val="center"/>
          </w:tcPr>
          <w:p w14:paraId="384DE59A"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0,00</w:t>
            </w:r>
          </w:p>
        </w:tc>
        <w:tc>
          <w:tcPr>
            <w:tcW w:w="1276" w:type="dxa"/>
            <w:vAlign w:val="center"/>
          </w:tcPr>
          <w:p w14:paraId="1F6E254E"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9 460</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5F99EB7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58 486</w:t>
            </w:r>
          </w:p>
        </w:tc>
        <w:tc>
          <w:tcPr>
            <w:tcW w:w="1701" w:type="dxa"/>
            <w:shd w:val="clear" w:color="auto" w:fill="FDEADA"/>
            <w:vAlign w:val="bottom"/>
          </w:tcPr>
          <w:p w14:paraId="2EEA1A2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679 069</w:t>
            </w:r>
          </w:p>
        </w:tc>
      </w:tr>
      <w:tr w:rsidR="00EA051D" w:rsidRPr="00B3496D" w14:paraId="1772D8A6" w14:textId="77777777" w:rsidTr="00B3496D">
        <w:trPr>
          <w:trHeight w:val="312"/>
        </w:trPr>
        <w:tc>
          <w:tcPr>
            <w:tcW w:w="1558" w:type="dxa"/>
            <w:vAlign w:val="center"/>
          </w:tcPr>
          <w:p w14:paraId="6DE780E5"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Madonas NAI</w:t>
            </w:r>
          </w:p>
        </w:tc>
        <w:tc>
          <w:tcPr>
            <w:tcW w:w="1272" w:type="dxa"/>
            <w:vAlign w:val="center"/>
          </w:tcPr>
          <w:p w14:paraId="6548CDF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7 658</w:t>
            </w:r>
          </w:p>
        </w:tc>
        <w:tc>
          <w:tcPr>
            <w:tcW w:w="1701" w:type="dxa"/>
            <w:vAlign w:val="center"/>
          </w:tcPr>
          <w:p w14:paraId="3511A76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16 567</w:t>
            </w:r>
          </w:p>
        </w:tc>
        <w:tc>
          <w:tcPr>
            <w:tcW w:w="1276" w:type="dxa"/>
            <w:vAlign w:val="center"/>
          </w:tcPr>
          <w:p w14:paraId="014F5F14"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24 225</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5CFF3B2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79 747</w:t>
            </w:r>
          </w:p>
        </w:tc>
        <w:tc>
          <w:tcPr>
            <w:tcW w:w="1701" w:type="dxa"/>
            <w:shd w:val="clear" w:color="auto" w:fill="FDEADA"/>
            <w:vAlign w:val="bottom"/>
          </w:tcPr>
          <w:p w14:paraId="468C826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1 138 048</w:t>
            </w:r>
          </w:p>
        </w:tc>
      </w:tr>
      <w:tr w:rsidR="00EA051D" w:rsidRPr="00B3496D" w14:paraId="590B11D8" w14:textId="77777777" w:rsidTr="00B3496D">
        <w:trPr>
          <w:trHeight w:val="312"/>
        </w:trPr>
        <w:tc>
          <w:tcPr>
            <w:tcW w:w="1558" w:type="dxa"/>
            <w:vAlign w:val="center"/>
          </w:tcPr>
          <w:p w14:paraId="2BEE1320"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Ogres NAI</w:t>
            </w:r>
          </w:p>
        </w:tc>
        <w:tc>
          <w:tcPr>
            <w:tcW w:w="1272" w:type="dxa"/>
            <w:vAlign w:val="center"/>
          </w:tcPr>
          <w:p w14:paraId="67607CA7"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31 907</w:t>
            </w:r>
          </w:p>
        </w:tc>
        <w:tc>
          <w:tcPr>
            <w:tcW w:w="1701" w:type="dxa"/>
            <w:vAlign w:val="center"/>
          </w:tcPr>
          <w:p w14:paraId="7B9AFE3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5 798</w:t>
            </w:r>
          </w:p>
        </w:tc>
        <w:tc>
          <w:tcPr>
            <w:tcW w:w="1276" w:type="dxa"/>
            <w:vAlign w:val="center"/>
          </w:tcPr>
          <w:p w14:paraId="04166A62"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37 705</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6AFBD74A"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127 734</w:t>
            </w:r>
          </w:p>
        </w:tc>
        <w:tc>
          <w:tcPr>
            <w:tcW w:w="1701" w:type="dxa"/>
            <w:shd w:val="clear" w:color="auto" w:fill="FDEADA"/>
            <w:vAlign w:val="bottom"/>
          </w:tcPr>
          <w:p w14:paraId="5A7F19BB"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1 557 081</w:t>
            </w:r>
          </w:p>
        </w:tc>
      </w:tr>
      <w:tr w:rsidR="00EA051D" w:rsidRPr="00B3496D" w14:paraId="662171CF" w14:textId="77777777" w:rsidTr="00B3496D">
        <w:trPr>
          <w:trHeight w:val="312"/>
        </w:trPr>
        <w:tc>
          <w:tcPr>
            <w:tcW w:w="1558" w:type="dxa"/>
            <w:vAlign w:val="center"/>
          </w:tcPr>
          <w:p w14:paraId="18B86F6D"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Olaines NAI</w:t>
            </w:r>
          </w:p>
        </w:tc>
        <w:tc>
          <w:tcPr>
            <w:tcW w:w="1272" w:type="dxa"/>
            <w:vAlign w:val="center"/>
          </w:tcPr>
          <w:p w14:paraId="769767E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31 765</w:t>
            </w:r>
          </w:p>
        </w:tc>
        <w:tc>
          <w:tcPr>
            <w:tcW w:w="1701" w:type="dxa"/>
            <w:vAlign w:val="center"/>
          </w:tcPr>
          <w:p w14:paraId="297A422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20 629</w:t>
            </w:r>
          </w:p>
        </w:tc>
        <w:tc>
          <w:tcPr>
            <w:tcW w:w="1276" w:type="dxa"/>
            <w:vAlign w:val="center"/>
          </w:tcPr>
          <w:p w14:paraId="52483984"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52 394</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37D3600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193 946</w:t>
            </w:r>
          </w:p>
        </w:tc>
        <w:tc>
          <w:tcPr>
            <w:tcW w:w="1701" w:type="dxa"/>
            <w:shd w:val="clear" w:color="auto" w:fill="FDEADA"/>
            <w:vAlign w:val="bottom"/>
          </w:tcPr>
          <w:p w14:paraId="43170B8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2 016 685</w:t>
            </w:r>
          </w:p>
        </w:tc>
      </w:tr>
      <w:tr w:rsidR="00EA051D" w:rsidRPr="00B3496D" w14:paraId="2C6C7C46" w14:textId="77777777" w:rsidTr="00B3496D">
        <w:trPr>
          <w:trHeight w:val="312"/>
        </w:trPr>
        <w:tc>
          <w:tcPr>
            <w:tcW w:w="1558" w:type="dxa"/>
            <w:vAlign w:val="center"/>
          </w:tcPr>
          <w:p w14:paraId="2C180E82"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Preiļu NAI</w:t>
            </w:r>
          </w:p>
        </w:tc>
        <w:tc>
          <w:tcPr>
            <w:tcW w:w="1272" w:type="dxa"/>
            <w:vAlign w:val="center"/>
          </w:tcPr>
          <w:p w14:paraId="31F151D1"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16 480</w:t>
            </w:r>
          </w:p>
        </w:tc>
        <w:tc>
          <w:tcPr>
            <w:tcW w:w="1701" w:type="dxa"/>
            <w:vAlign w:val="center"/>
          </w:tcPr>
          <w:p w14:paraId="11DC886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553</w:t>
            </w:r>
          </w:p>
        </w:tc>
        <w:tc>
          <w:tcPr>
            <w:tcW w:w="1276" w:type="dxa"/>
            <w:vAlign w:val="center"/>
          </w:tcPr>
          <w:p w14:paraId="546AC511"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17 033</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1F17069A"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70 861</w:t>
            </w:r>
          </w:p>
        </w:tc>
        <w:tc>
          <w:tcPr>
            <w:tcW w:w="1701" w:type="dxa"/>
            <w:shd w:val="clear" w:color="auto" w:fill="FDEADA"/>
            <w:vAlign w:val="bottom"/>
          </w:tcPr>
          <w:p w14:paraId="51650B3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914 480</w:t>
            </w:r>
          </w:p>
        </w:tc>
      </w:tr>
      <w:tr w:rsidR="00EA051D" w:rsidRPr="00B3496D" w14:paraId="65C17483" w14:textId="77777777" w:rsidTr="00B3496D">
        <w:trPr>
          <w:trHeight w:val="312"/>
        </w:trPr>
        <w:tc>
          <w:tcPr>
            <w:tcW w:w="1558" w:type="dxa"/>
            <w:vAlign w:val="center"/>
          </w:tcPr>
          <w:p w14:paraId="58E858DA"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Rēzeknes NAI</w:t>
            </w:r>
          </w:p>
        </w:tc>
        <w:tc>
          <w:tcPr>
            <w:tcW w:w="1272" w:type="dxa"/>
            <w:vAlign w:val="center"/>
          </w:tcPr>
          <w:p w14:paraId="64A591B6"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92 424</w:t>
            </w:r>
          </w:p>
        </w:tc>
        <w:tc>
          <w:tcPr>
            <w:tcW w:w="1701" w:type="dxa"/>
            <w:vAlign w:val="center"/>
          </w:tcPr>
          <w:p w14:paraId="3ED3F03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7 138</w:t>
            </w:r>
          </w:p>
        </w:tc>
        <w:tc>
          <w:tcPr>
            <w:tcW w:w="1276" w:type="dxa"/>
            <w:vAlign w:val="center"/>
          </w:tcPr>
          <w:p w14:paraId="63B487C3"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99 562</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1FC92CB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278 176</w:t>
            </w:r>
          </w:p>
        </w:tc>
        <w:tc>
          <w:tcPr>
            <w:tcW w:w="1701" w:type="dxa"/>
            <w:shd w:val="clear" w:color="auto" w:fill="FDEADA"/>
            <w:vAlign w:val="bottom"/>
          </w:tcPr>
          <w:p w14:paraId="03C633E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3 508 125</w:t>
            </w:r>
          </w:p>
        </w:tc>
      </w:tr>
      <w:tr w:rsidR="00EA051D" w:rsidRPr="00B3496D" w14:paraId="0B7EAE33" w14:textId="77777777" w:rsidTr="00B3496D">
        <w:trPr>
          <w:trHeight w:val="312"/>
        </w:trPr>
        <w:tc>
          <w:tcPr>
            <w:tcW w:w="1558" w:type="dxa"/>
            <w:vAlign w:val="center"/>
          </w:tcPr>
          <w:p w14:paraId="499FB8C1"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Salaspils NAI</w:t>
            </w:r>
          </w:p>
        </w:tc>
        <w:tc>
          <w:tcPr>
            <w:tcW w:w="1272" w:type="dxa"/>
            <w:vAlign w:val="center"/>
          </w:tcPr>
          <w:p w14:paraId="0F7FA4ED"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34 733</w:t>
            </w:r>
          </w:p>
        </w:tc>
        <w:tc>
          <w:tcPr>
            <w:tcW w:w="1701" w:type="dxa"/>
            <w:vAlign w:val="center"/>
          </w:tcPr>
          <w:p w14:paraId="2EE6BF4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15 710</w:t>
            </w:r>
          </w:p>
        </w:tc>
        <w:tc>
          <w:tcPr>
            <w:tcW w:w="1276" w:type="dxa"/>
            <w:vAlign w:val="center"/>
          </w:tcPr>
          <w:p w14:paraId="65452D48"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50 443</w:t>
            </w:r>
          </w:p>
        </w:tc>
        <w:tc>
          <w:tcPr>
            <w:tcW w:w="1418" w:type="dxa"/>
            <w:tcBorders>
              <w:top w:val="nil"/>
              <w:left w:val="single" w:sz="8" w:space="0" w:color="000000"/>
              <w:bottom w:val="single" w:sz="4" w:space="0" w:color="000000"/>
              <w:right w:val="single" w:sz="8" w:space="0" w:color="000000"/>
            </w:tcBorders>
            <w:shd w:val="clear" w:color="auto" w:fill="FDEADA"/>
            <w:vAlign w:val="center"/>
          </w:tcPr>
          <w:p w14:paraId="29E7143A"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176 287</w:t>
            </w:r>
          </w:p>
        </w:tc>
        <w:tc>
          <w:tcPr>
            <w:tcW w:w="1701" w:type="dxa"/>
            <w:shd w:val="clear" w:color="auto" w:fill="FDEADA"/>
            <w:vAlign w:val="bottom"/>
          </w:tcPr>
          <w:p w14:paraId="20FFAC38"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1 954 995</w:t>
            </w:r>
          </w:p>
        </w:tc>
      </w:tr>
      <w:tr w:rsidR="00EA051D" w:rsidRPr="00B3496D" w14:paraId="1B7DE091" w14:textId="77777777" w:rsidTr="00B3496D">
        <w:trPr>
          <w:trHeight w:val="312"/>
        </w:trPr>
        <w:tc>
          <w:tcPr>
            <w:tcW w:w="1558" w:type="dxa"/>
            <w:vAlign w:val="center"/>
          </w:tcPr>
          <w:p w14:paraId="15ED8371"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Saldus NAI</w:t>
            </w:r>
          </w:p>
        </w:tc>
        <w:tc>
          <w:tcPr>
            <w:tcW w:w="1272" w:type="dxa"/>
            <w:vAlign w:val="center"/>
          </w:tcPr>
          <w:p w14:paraId="53D84045"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18 288</w:t>
            </w:r>
          </w:p>
        </w:tc>
        <w:tc>
          <w:tcPr>
            <w:tcW w:w="1701" w:type="dxa"/>
            <w:vAlign w:val="center"/>
          </w:tcPr>
          <w:p w14:paraId="2A267614"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4 157</w:t>
            </w:r>
          </w:p>
        </w:tc>
        <w:tc>
          <w:tcPr>
            <w:tcW w:w="1276" w:type="dxa"/>
            <w:vAlign w:val="center"/>
          </w:tcPr>
          <w:p w14:paraId="208C9D08"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22 445</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4D71057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85 751</w:t>
            </w:r>
          </w:p>
        </w:tc>
        <w:tc>
          <w:tcPr>
            <w:tcW w:w="1701" w:type="dxa"/>
            <w:shd w:val="clear" w:color="auto" w:fill="FDEADA"/>
            <w:vAlign w:val="bottom"/>
          </w:tcPr>
          <w:p w14:paraId="03EC4E20"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1 082 715</w:t>
            </w:r>
          </w:p>
        </w:tc>
      </w:tr>
      <w:tr w:rsidR="00EA051D" w:rsidRPr="00B3496D" w14:paraId="06D68026" w14:textId="77777777" w:rsidTr="00B3496D">
        <w:trPr>
          <w:trHeight w:val="312"/>
        </w:trPr>
        <w:tc>
          <w:tcPr>
            <w:tcW w:w="1558" w:type="dxa"/>
            <w:vAlign w:val="center"/>
          </w:tcPr>
          <w:p w14:paraId="471CE455"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Siguldas NAI</w:t>
            </w:r>
          </w:p>
        </w:tc>
        <w:tc>
          <w:tcPr>
            <w:tcW w:w="1272" w:type="dxa"/>
            <w:vAlign w:val="center"/>
          </w:tcPr>
          <w:p w14:paraId="3A70598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10 959</w:t>
            </w:r>
          </w:p>
        </w:tc>
        <w:tc>
          <w:tcPr>
            <w:tcW w:w="1701" w:type="dxa"/>
            <w:vAlign w:val="center"/>
          </w:tcPr>
          <w:p w14:paraId="0328A42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55</w:t>
            </w:r>
          </w:p>
        </w:tc>
        <w:tc>
          <w:tcPr>
            <w:tcW w:w="1276" w:type="dxa"/>
            <w:vAlign w:val="center"/>
          </w:tcPr>
          <w:p w14:paraId="492D7661"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11 014</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702352C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54 302</w:t>
            </w:r>
          </w:p>
        </w:tc>
        <w:tc>
          <w:tcPr>
            <w:tcW w:w="1701" w:type="dxa"/>
            <w:shd w:val="clear" w:color="auto" w:fill="FDEADA"/>
            <w:vAlign w:val="bottom"/>
          </w:tcPr>
          <w:p w14:paraId="162AE66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727 376</w:t>
            </w:r>
          </w:p>
        </w:tc>
      </w:tr>
      <w:tr w:rsidR="00EA051D" w:rsidRPr="00B3496D" w14:paraId="048D93DE" w14:textId="77777777" w:rsidTr="00B3496D">
        <w:trPr>
          <w:trHeight w:val="312"/>
        </w:trPr>
        <w:tc>
          <w:tcPr>
            <w:tcW w:w="1558" w:type="dxa"/>
            <w:vAlign w:val="center"/>
          </w:tcPr>
          <w:p w14:paraId="6DFEED25"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Talsu NAI</w:t>
            </w:r>
          </w:p>
        </w:tc>
        <w:tc>
          <w:tcPr>
            <w:tcW w:w="1272" w:type="dxa"/>
            <w:vAlign w:val="center"/>
          </w:tcPr>
          <w:p w14:paraId="67DC9F3F"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16 201</w:t>
            </w:r>
          </w:p>
        </w:tc>
        <w:tc>
          <w:tcPr>
            <w:tcW w:w="1701" w:type="dxa"/>
            <w:vAlign w:val="center"/>
          </w:tcPr>
          <w:p w14:paraId="15D62901"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3 841</w:t>
            </w:r>
          </w:p>
        </w:tc>
        <w:tc>
          <w:tcPr>
            <w:tcW w:w="1276" w:type="dxa"/>
            <w:vAlign w:val="center"/>
          </w:tcPr>
          <w:p w14:paraId="53EFBB2B"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20 042</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2EEC361E"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79 140</w:t>
            </w:r>
          </w:p>
        </w:tc>
        <w:tc>
          <w:tcPr>
            <w:tcW w:w="1701" w:type="dxa"/>
            <w:shd w:val="clear" w:color="auto" w:fill="FDEADA"/>
            <w:vAlign w:val="bottom"/>
          </w:tcPr>
          <w:p w14:paraId="36E4DA0A"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1 008 017</w:t>
            </w:r>
          </w:p>
        </w:tc>
      </w:tr>
      <w:tr w:rsidR="00EA051D" w:rsidRPr="00B3496D" w14:paraId="5BF29CB8" w14:textId="77777777" w:rsidTr="00B3496D">
        <w:trPr>
          <w:trHeight w:val="312"/>
        </w:trPr>
        <w:tc>
          <w:tcPr>
            <w:tcW w:w="1558" w:type="dxa"/>
            <w:vAlign w:val="center"/>
          </w:tcPr>
          <w:p w14:paraId="466E6425"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Tukuma NAI</w:t>
            </w:r>
          </w:p>
        </w:tc>
        <w:tc>
          <w:tcPr>
            <w:tcW w:w="1272" w:type="dxa"/>
            <w:vAlign w:val="center"/>
          </w:tcPr>
          <w:p w14:paraId="1404B7A3"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47 837</w:t>
            </w:r>
          </w:p>
        </w:tc>
        <w:tc>
          <w:tcPr>
            <w:tcW w:w="1701" w:type="dxa"/>
            <w:vAlign w:val="center"/>
          </w:tcPr>
          <w:p w14:paraId="140593AD"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12 950</w:t>
            </w:r>
          </w:p>
        </w:tc>
        <w:tc>
          <w:tcPr>
            <w:tcW w:w="1276" w:type="dxa"/>
            <w:vAlign w:val="center"/>
          </w:tcPr>
          <w:p w14:paraId="34FF14D0"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60 787</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38CE358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163 884</w:t>
            </w:r>
          </w:p>
        </w:tc>
        <w:tc>
          <w:tcPr>
            <w:tcW w:w="1701" w:type="dxa"/>
            <w:shd w:val="clear" w:color="auto" w:fill="FDEADA"/>
            <w:vAlign w:val="bottom"/>
          </w:tcPr>
          <w:p w14:paraId="59E9085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2 282 069</w:t>
            </w:r>
          </w:p>
        </w:tc>
      </w:tr>
      <w:tr w:rsidR="00EA051D" w:rsidRPr="00B3496D" w14:paraId="6B93A9FC" w14:textId="77777777" w:rsidTr="00B3496D">
        <w:trPr>
          <w:trHeight w:val="312"/>
        </w:trPr>
        <w:tc>
          <w:tcPr>
            <w:tcW w:w="1558" w:type="dxa"/>
            <w:vAlign w:val="center"/>
          </w:tcPr>
          <w:p w14:paraId="05731CE2"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Valmieras NAI</w:t>
            </w:r>
          </w:p>
        </w:tc>
        <w:tc>
          <w:tcPr>
            <w:tcW w:w="1272" w:type="dxa"/>
            <w:vAlign w:val="center"/>
          </w:tcPr>
          <w:p w14:paraId="2C27BC01"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43 527</w:t>
            </w:r>
          </w:p>
        </w:tc>
        <w:tc>
          <w:tcPr>
            <w:tcW w:w="1701" w:type="dxa"/>
            <w:vAlign w:val="center"/>
          </w:tcPr>
          <w:p w14:paraId="0B644B28"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16 030</w:t>
            </w:r>
          </w:p>
        </w:tc>
        <w:tc>
          <w:tcPr>
            <w:tcW w:w="1276" w:type="dxa"/>
            <w:vAlign w:val="center"/>
          </w:tcPr>
          <w:p w14:paraId="21A3FA60"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59 557</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2AC8FB3C"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213 525</w:t>
            </w:r>
          </w:p>
        </w:tc>
        <w:tc>
          <w:tcPr>
            <w:tcW w:w="1701" w:type="dxa"/>
            <w:shd w:val="clear" w:color="auto" w:fill="FDEADA"/>
            <w:vAlign w:val="bottom"/>
          </w:tcPr>
          <w:p w14:paraId="7B5AF5C6"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2 243 177</w:t>
            </w:r>
          </w:p>
        </w:tc>
      </w:tr>
      <w:tr w:rsidR="00EA051D" w:rsidRPr="00B3496D" w14:paraId="23A9ED61" w14:textId="77777777" w:rsidTr="00B3496D">
        <w:trPr>
          <w:trHeight w:val="312"/>
        </w:trPr>
        <w:tc>
          <w:tcPr>
            <w:tcW w:w="1558" w:type="dxa"/>
            <w:vAlign w:val="bottom"/>
          </w:tcPr>
          <w:p w14:paraId="1AED0888" w14:textId="77777777" w:rsidR="00EA051D" w:rsidRPr="00B3496D" w:rsidRDefault="00EA051D" w:rsidP="00D70884">
            <w:pPr>
              <w:spacing w:after="60"/>
              <w:rPr>
                <w:rFonts w:ascii="Times New Roman" w:hAnsi="Times New Roman" w:cs="Times New Roman"/>
                <w:b/>
                <w:sz w:val="18"/>
                <w:szCs w:val="18"/>
              </w:rPr>
            </w:pPr>
            <w:r w:rsidRPr="00B3496D">
              <w:rPr>
                <w:rFonts w:ascii="Times New Roman" w:hAnsi="Times New Roman" w:cs="Times New Roman"/>
                <w:b/>
                <w:color w:val="000000"/>
                <w:sz w:val="18"/>
                <w:szCs w:val="18"/>
              </w:rPr>
              <w:t>Ventspils NAI</w:t>
            </w:r>
          </w:p>
        </w:tc>
        <w:tc>
          <w:tcPr>
            <w:tcW w:w="1272" w:type="dxa"/>
            <w:vAlign w:val="center"/>
          </w:tcPr>
          <w:p w14:paraId="126D171C"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93 630</w:t>
            </w:r>
          </w:p>
        </w:tc>
        <w:tc>
          <w:tcPr>
            <w:tcW w:w="1701" w:type="dxa"/>
            <w:vAlign w:val="center"/>
          </w:tcPr>
          <w:p w14:paraId="7E1C4E82"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406</w:t>
            </w:r>
          </w:p>
        </w:tc>
        <w:tc>
          <w:tcPr>
            <w:tcW w:w="1276" w:type="dxa"/>
            <w:vAlign w:val="center"/>
          </w:tcPr>
          <w:p w14:paraId="1EFCBA0E"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94 036</w:t>
            </w:r>
          </w:p>
        </w:tc>
        <w:tc>
          <w:tcPr>
            <w:tcW w:w="1418" w:type="dxa"/>
            <w:tcBorders>
              <w:top w:val="nil"/>
              <w:left w:val="single" w:sz="8" w:space="0" w:color="000000"/>
              <w:bottom w:val="single" w:sz="4" w:space="0" w:color="000000"/>
              <w:right w:val="single" w:sz="8" w:space="0" w:color="000000"/>
            </w:tcBorders>
            <w:shd w:val="clear" w:color="auto" w:fill="FDEADA"/>
            <w:vAlign w:val="bottom"/>
          </w:tcPr>
          <w:p w14:paraId="607A630E" w14:textId="77777777" w:rsidR="00EA051D" w:rsidRPr="00B3496D" w:rsidRDefault="00EA051D" w:rsidP="00D70884">
            <w:pPr>
              <w:spacing w:after="60"/>
              <w:jc w:val="center"/>
              <w:rPr>
                <w:rFonts w:ascii="Times New Roman" w:hAnsi="Times New Roman" w:cs="Times New Roman"/>
                <w:color w:val="000000"/>
                <w:sz w:val="18"/>
                <w:szCs w:val="18"/>
              </w:rPr>
            </w:pPr>
            <w:r w:rsidRPr="00B3496D">
              <w:rPr>
                <w:rFonts w:ascii="Times New Roman" w:hAnsi="Times New Roman" w:cs="Times New Roman"/>
                <w:color w:val="000000"/>
                <w:sz w:val="18"/>
                <w:szCs w:val="18"/>
              </w:rPr>
              <w:t>250 062</w:t>
            </w:r>
          </w:p>
        </w:tc>
        <w:tc>
          <w:tcPr>
            <w:tcW w:w="1701" w:type="dxa"/>
            <w:shd w:val="clear" w:color="auto" w:fill="FDEADA"/>
            <w:vAlign w:val="bottom"/>
          </w:tcPr>
          <w:p w14:paraId="52370439" w14:textId="77777777" w:rsidR="00EA051D" w:rsidRPr="00B3496D" w:rsidRDefault="00EA051D" w:rsidP="00D70884">
            <w:pPr>
              <w:spacing w:after="60"/>
              <w:jc w:val="center"/>
              <w:rPr>
                <w:rFonts w:ascii="Times New Roman" w:hAnsi="Times New Roman" w:cs="Times New Roman"/>
                <w:sz w:val="18"/>
                <w:szCs w:val="18"/>
              </w:rPr>
            </w:pPr>
            <w:r w:rsidRPr="00B3496D">
              <w:rPr>
                <w:rFonts w:ascii="Times New Roman" w:hAnsi="Times New Roman" w:cs="Times New Roman"/>
                <w:color w:val="000000"/>
                <w:sz w:val="18"/>
                <w:szCs w:val="18"/>
              </w:rPr>
              <w:t>3 333 394</w:t>
            </w:r>
          </w:p>
        </w:tc>
      </w:tr>
      <w:tr w:rsidR="00EA051D" w:rsidRPr="00B3496D" w14:paraId="65B7ED96" w14:textId="77777777" w:rsidTr="00B3496D">
        <w:trPr>
          <w:trHeight w:val="312"/>
        </w:trPr>
        <w:tc>
          <w:tcPr>
            <w:tcW w:w="1558" w:type="dxa"/>
          </w:tcPr>
          <w:p w14:paraId="49046094" w14:textId="77777777" w:rsidR="00EA051D" w:rsidRPr="00B3496D" w:rsidRDefault="00EA051D" w:rsidP="00D70884">
            <w:pPr>
              <w:spacing w:after="60"/>
              <w:rPr>
                <w:rFonts w:ascii="Times New Roman" w:hAnsi="Times New Roman" w:cs="Times New Roman"/>
                <w:b/>
                <w:sz w:val="20"/>
                <w:szCs w:val="20"/>
              </w:rPr>
            </w:pPr>
            <w:r w:rsidRPr="00B3496D">
              <w:rPr>
                <w:rFonts w:ascii="Times New Roman" w:hAnsi="Times New Roman" w:cs="Times New Roman"/>
                <w:b/>
                <w:sz w:val="20"/>
                <w:szCs w:val="20"/>
              </w:rPr>
              <w:lastRenderedPageBreak/>
              <w:t>KOPĀ</w:t>
            </w:r>
          </w:p>
        </w:tc>
        <w:tc>
          <w:tcPr>
            <w:tcW w:w="1272" w:type="dxa"/>
          </w:tcPr>
          <w:p w14:paraId="47F9EC66" w14:textId="77777777" w:rsidR="00EA051D" w:rsidRPr="00B3496D" w:rsidRDefault="00EA051D" w:rsidP="00D70884">
            <w:pPr>
              <w:spacing w:after="60"/>
              <w:jc w:val="center"/>
              <w:rPr>
                <w:rFonts w:ascii="Times New Roman" w:hAnsi="Times New Roman" w:cs="Times New Roman"/>
                <w:sz w:val="18"/>
                <w:szCs w:val="18"/>
              </w:rPr>
            </w:pPr>
          </w:p>
        </w:tc>
        <w:tc>
          <w:tcPr>
            <w:tcW w:w="1701" w:type="dxa"/>
          </w:tcPr>
          <w:p w14:paraId="59EEEEB4" w14:textId="77777777" w:rsidR="00EA051D" w:rsidRPr="00B3496D" w:rsidRDefault="00EA051D" w:rsidP="00D70884">
            <w:pPr>
              <w:spacing w:after="60"/>
              <w:jc w:val="center"/>
              <w:rPr>
                <w:rFonts w:ascii="Times New Roman" w:hAnsi="Times New Roman" w:cs="Times New Roman"/>
                <w:sz w:val="18"/>
                <w:szCs w:val="18"/>
              </w:rPr>
            </w:pPr>
          </w:p>
        </w:tc>
        <w:tc>
          <w:tcPr>
            <w:tcW w:w="1276" w:type="dxa"/>
          </w:tcPr>
          <w:p w14:paraId="3E484D93" w14:textId="77777777" w:rsidR="00EA051D" w:rsidRPr="00B3496D" w:rsidRDefault="00EA051D" w:rsidP="00D70884">
            <w:pPr>
              <w:spacing w:after="60"/>
              <w:jc w:val="center"/>
              <w:rPr>
                <w:rFonts w:ascii="Times New Roman" w:hAnsi="Times New Roman" w:cs="Times New Roman"/>
                <w:b/>
                <w:color w:val="000000"/>
                <w:sz w:val="20"/>
                <w:szCs w:val="20"/>
              </w:rPr>
            </w:pPr>
            <w:r w:rsidRPr="00B3496D">
              <w:rPr>
                <w:rFonts w:ascii="Times New Roman" w:hAnsi="Times New Roman" w:cs="Times New Roman"/>
                <w:b/>
                <w:color w:val="000000"/>
                <w:sz w:val="20"/>
                <w:szCs w:val="20"/>
              </w:rPr>
              <w:t>1 187 948</w:t>
            </w:r>
          </w:p>
        </w:tc>
        <w:tc>
          <w:tcPr>
            <w:tcW w:w="1418" w:type="dxa"/>
            <w:shd w:val="clear" w:color="auto" w:fill="FDEADA"/>
          </w:tcPr>
          <w:p w14:paraId="76D4E69A" w14:textId="77777777" w:rsidR="00EA051D" w:rsidRPr="00B3496D" w:rsidRDefault="00EA051D" w:rsidP="00D70884">
            <w:pPr>
              <w:spacing w:after="60"/>
              <w:jc w:val="center"/>
              <w:rPr>
                <w:rFonts w:ascii="Times New Roman" w:hAnsi="Times New Roman" w:cs="Times New Roman"/>
                <w:b/>
                <w:color w:val="FF0000"/>
                <w:sz w:val="20"/>
                <w:szCs w:val="20"/>
              </w:rPr>
            </w:pPr>
            <w:r w:rsidRPr="00B3496D">
              <w:rPr>
                <w:rFonts w:ascii="Times New Roman" w:hAnsi="Times New Roman" w:cs="Times New Roman"/>
                <w:b/>
                <w:color w:val="FF0000"/>
                <w:sz w:val="20"/>
                <w:szCs w:val="20"/>
              </w:rPr>
              <w:t>3 790 609</w:t>
            </w:r>
          </w:p>
        </w:tc>
        <w:tc>
          <w:tcPr>
            <w:tcW w:w="1701" w:type="dxa"/>
            <w:shd w:val="clear" w:color="auto" w:fill="FDEADA"/>
          </w:tcPr>
          <w:p w14:paraId="609F98DB" w14:textId="77777777" w:rsidR="00EA051D" w:rsidRPr="00B3496D" w:rsidRDefault="00EA051D" w:rsidP="00D70884">
            <w:pPr>
              <w:spacing w:after="60"/>
              <w:jc w:val="center"/>
              <w:rPr>
                <w:rFonts w:ascii="Times New Roman" w:hAnsi="Times New Roman" w:cs="Times New Roman"/>
                <w:b/>
                <w:color w:val="FF0000"/>
                <w:sz w:val="20"/>
                <w:szCs w:val="20"/>
              </w:rPr>
            </w:pPr>
            <w:r w:rsidRPr="00B3496D">
              <w:rPr>
                <w:rFonts w:ascii="Times New Roman" w:hAnsi="Times New Roman" w:cs="Times New Roman"/>
                <w:b/>
                <w:color w:val="FF0000"/>
                <w:sz w:val="20"/>
                <w:szCs w:val="20"/>
              </w:rPr>
              <w:t>47 146 462</w:t>
            </w:r>
          </w:p>
        </w:tc>
      </w:tr>
    </w:tbl>
    <w:p w14:paraId="5C228023" w14:textId="60192B3D" w:rsidR="00EA051D" w:rsidRPr="00B3496D" w:rsidRDefault="00EA051D" w:rsidP="00EA051D">
      <w:pPr>
        <w:rPr>
          <w:rFonts w:ascii="Times New Roman" w:hAnsi="Times New Roman" w:cs="Times New Roman"/>
        </w:rPr>
      </w:pPr>
      <w:r w:rsidRPr="00B3496D">
        <w:rPr>
          <w:rFonts w:ascii="Times New Roman" w:hAnsi="Times New Roman" w:cs="Times New Roman"/>
        </w:rPr>
        <w:t xml:space="preserve">Kopumā pēc </w:t>
      </w:r>
      <w:r w:rsidR="004342DE" w:rsidRPr="00996138">
        <w:rPr>
          <w:rFonts w:ascii="Times New Roman" w:hAnsi="Times New Roman" w:cs="Times New Roman"/>
          <w:szCs w:val="24"/>
        </w:rPr>
        <w:t>4.5.</w:t>
      </w:r>
      <w:r w:rsidR="004342DE">
        <w:rPr>
          <w:rFonts w:ascii="Times New Roman" w:hAnsi="Times New Roman" w:cs="Times New Roman"/>
          <w:szCs w:val="24"/>
        </w:rPr>
        <w:t>23</w:t>
      </w:r>
      <w:r w:rsidRPr="00B3496D">
        <w:rPr>
          <w:rFonts w:ascii="Times New Roman" w:hAnsi="Times New Roman" w:cs="Times New Roman"/>
        </w:rPr>
        <w:t>.tabulā iekļautās informācijas, secināms, ka alternatīva D5. salīdzinājumā ar alternatīvām D2. un D3. ir vidusceļš, ņemot vērā veiktos ekonomiskos aprēķinus.</w:t>
      </w:r>
    </w:p>
    <w:p w14:paraId="69C72AA8" w14:textId="0D49D60E" w:rsidR="005F3A58" w:rsidRPr="00ED54D1" w:rsidRDefault="004342DE" w:rsidP="00ED54D1">
      <w:pPr>
        <w:pBdr>
          <w:top w:val="nil"/>
          <w:left w:val="nil"/>
          <w:bottom w:val="nil"/>
          <w:right w:val="nil"/>
          <w:between w:val="nil"/>
        </w:pBdr>
        <w:suppressAutoHyphens/>
        <w:autoSpaceDN w:val="0"/>
        <w:spacing w:after="0" w:line="240" w:lineRule="auto"/>
        <w:jc w:val="right"/>
        <w:textAlignment w:val="baseline"/>
        <w:rPr>
          <w:rFonts w:ascii="Times New Roman" w:hAnsi="Times New Roman" w:cs="Times New Roman"/>
          <w:bCs/>
          <w:color w:val="000000"/>
          <w:szCs w:val="24"/>
        </w:rPr>
      </w:pPr>
      <w:r w:rsidRPr="00996138">
        <w:rPr>
          <w:rFonts w:ascii="Times New Roman" w:hAnsi="Times New Roman" w:cs="Times New Roman"/>
          <w:szCs w:val="24"/>
        </w:rPr>
        <w:t>4.5.</w:t>
      </w:r>
      <w:r>
        <w:rPr>
          <w:rFonts w:ascii="Times New Roman" w:hAnsi="Times New Roman" w:cs="Times New Roman"/>
          <w:szCs w:val="24"/>
        </w:rPr>
        <w:t>23</w:t>
      </w:r>
      <w:r w:rsidR="004E438F" w:rsidRPr="00ED54D1">
        <w:rPr>
          <w:rFonts w:ascii="Times New Roman" w:hAnsi="Times New Roman" w:cs="Times New Roman"/>
          <w:bCs/>
          <w:color w:val="000000"/>
          <w:szCs w:val="24"/>
        </w:rPr>
        <w:t>.</w:t>
      </w:r>
      <w:r w:rsidR="00EA051D" w:rsidRPr="00ED54D1">
        <w:rPr>
          <w:rFonts w:ascii="Times New Roman" w:hAnsi="Times New Roman" w:cs="Times New Roman"/>
          <w:bCs/>
          <w:color w:val="000000"/>
          <w:szCs w:val="24"/>
        </w:rPr>
        <w:t>tabula</w:t>
      </w:r>
    </w:p>
    <w:p w14:paraId="329AA717" w14:textId="58CEC97D" w:rsidR="00EA051D" w:rsidRPr="00ED54D1" w:rsidRDefault="00EA051D" w:rsidP="00ED54D1">
      <w:pPr>
        <w:pBdr>
          <w:top w:val="nil"/>
          <w:left w:val="nil"/>
          <w:bottom w:val="nil"/>
          <w:right w:val="nil"/>
          <w:between w:val="nil"/>
        </w:pBdr>
        <w:suppressAutoHyphens/>
        <w:autoSpaceDN w:val="0"/>
        <w:spacing w:after="0" w:line="240" w:lineRule="auto"/>
        <w:jc w:val="center"/>
        <w:textAlignment w:val="baseline"/>
        <w:rPr>
          <w:rFonts w:ascii="Times New Roman" w:hAnsi="Times New Roman" w:cs="Times New Roman"/>
          <w:b/>
          <w:color w:val="000000"/>
          <w:szCs w:val="24"/>
        </w:rPr>
      </w:pPr>
      <w:r w:rsidRPr="00ED54D1">
        <w:rPr>
          <w:rFonts w:ascii="Times New Roman" w:hAnsi="Times New Roman" w:cs="Times New Roman"/>
          <w:b/>
          <w:color w:val="000000"/>
          <w:szCs w:val="24"/>
        </w:rPr>
        <w:t xml:space="preserve">Notekūdeņu dūņu centralizācijas alternatīvu izmaksu salīdzinājums </w:t>
      </w:r>
      <w:r w:rsidR="008D34E0" w:rsidRPr="00651378">
        <w:rPr>
          <w:rFonts w:ascii="Times New Roman" w:hAnsi="Times New Roman" w:cs="Times New Roman"/>
          <w:b/>
          <w:color w:val="000000"/>
          <w:szCs w:val="24"/>
        </w:rPr>
        <w:t xml:space="preserve">(aprēķinus skatīt </w:t>
      </w:r>
      <w:r w:rsidR="008D34E0" w:rsidRPr="00762A7F">
        <w:rPr>
          <w:rFonts w:ascii="Times New Roman" w:hAnsi="Times New Roman" w:cs="Times New Roman"/>
          <w:b/>
          <w:color w:val="000000"/>
          <w:szCs w:val="24"/>
        </w:rPr>
        <w:t xml:space="preserve">pielikumā </w:t>
      </w:r>
      <w:r w:rsidR="008D34E0" w:rsidRPr="0078125D">
        <w:rPr>
          <w:rFonts w:ascii="Times New Roman" w:hAnsi="Times New Roman" w:cs="Times New Roman"/>
          <w:b/>
          <w:color w:val="000000"/>
          <w:szCs w:val="24"/>
        </w:rPr>
        <w:t>4.9. Finanšu aprēķini “3. Uzturēšanas izmaksas notekūdeņu dūņu pārstrādē”</w:t>
      </w:r>
      <w:r w:rsidR="008D34E0" w:rsidRPr="00762A7F">
        <w:rPr>
          <w:rFonts w:ascii="Times New Roman" w:hAnsi="Times New Roman" w:cs="Times New Roman"/>
          <w:b/>
          <w:color w:val="000000"/>
          <w:szCs w:val="24"/>
        </w:rPr>
        <w:t xml:space="preserve"> un pielikumā </w:t>
      </w:r>
      <w:r w:rsidR="008D34E0" w:rsidRPr="0078125D">
        <w:rPr>
          <w:rFonts w:ascii="Times New Roman" w:hAnsi="Times New Roman" w:cs="Times New Roman"/>
          <w:b/>
          <w:color w:val="000000"/>
          <w:szCs w:val="24"/>
        </w:rPr>
        <w:t>4.10. Finanšu aprēķini “4.</w:t>
      </w:r>
      <w:r w:rsidR="008D34E0">
        <w:rPr>
          <w:rFonts w:ascii="Times New Roman" w:hAnsi="Times New Roman" w:cs="Times New Roman"/>
          <w:b/>
          <w:color w:val="000000"/>
          <w:szCs w:val="24"/>
        </w:rPr>
        <w:t> </w:t>
      </w:r>
      <w:r w:rsidR="008D34E0" w:rsidRPr="0078125D">
        <w:rPr>
          <w:rFonts w:ascii="Times New Roman" w:hAnsi="Times New Roman" w:cs="Times New Roman"/>
          <w:b/>
          <w:color w:val="000000"/>
          <w:szCs w:val="24"/>
        </w:rPr>
        <w:t>Kapitālās investīcijas notekūdeņu dūņu pārstrādē”</w:t>
      </w:r>
      <w:r w:rsidR="008D34E0" w:rsidRPr="00651378">
        <w:rPr>
          <w:rFonts w:ascii="Times New Roman" w:hAnsi="Times New Roman" w:cs="Times New Roman"/>
          <w:b/>
          <w:color w:val="000000"/>
          <w:szCs w:val="24"/>
        </w:rPr>
        <w:t>)</w:t>
      </w:r>
    </w:p>
    <w:p w14:paraId="7208F82A" w14:textId="77777777" w:rsidR="00EA051D" w:rsidRPr="00175DD0" w:rsidRDefault="00EA051D" w:rsidP="00EA051D">
      <w:pPr>
        <w:jc w:val="center"/>
        <w:rPr>
          <w:rFonts w:cstheme="minorHAnsi"/>
        </w:rPr>
      </w:pPr>
      <w:r w:rsidRPr="00175DD0">
        <w:rPr>
          <w:rFonts w:cstheme="minorHAnsi"/>
          <w:noProof/>
          <w:lang w:eastAsia="lv-LV"/>
        </w:rPr>
        <w:drawing>
          <wp:inline distT="0" distB="0" distL="0" distR="0" wp14:anchorId="6A668E90" wp14:editId="0559A0AB">
            <wp:extent cx="5572125" cy="3662680"/>
            <wp:effectExtent l="0" t="0" r="9525" b="0"/>
            <wp:docPr id="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6"/>
                    <a:srcRect/>
                    <a:stretch>
                      <a:fillRect/>
                    </a:stretch>
                  </pic:blipFill>
                  <pic:spPr>
                    <a:xfrm>
                      <a:off x="0" y="0"/>
                      <a:ext cx="5595011" cy="3677723"/>
                    </a:xfrm>
                    <a:prstGeom prst="rect">
                      <a:avLst/>
                    </a:prstGeom>
                    <a:ln/>
                  </pic:spPr>
                </pic:pic>
              </a:graphicData>
            </a:graphic>
          </wp:inline>
        </w:drawing>
      </w:r>
    </w:p>
    <w:p w14:paraId="5D256927" w14:textId="77777777" w:rsidR="00EA051D" w:rsidRPr="00175DD0" w:rsidRDefault="00EA051D" w:rsidP="00EA051D">
      <w:pPr>
        <w:spacing w:after="0"/>
        <w:jc w:val="center"/>
        <w:rPr>
          <w:rFonts w:cstheme="minorHAnsi"/>
        </w:rPr>
      </w:pPr>
    </w:p>
    <w:p w14:paraId="7F3FEDC8" w14:textId="77777777" w:rsidR="00EA051D" w:rsidRPr="00ED54D1" w:rsidRDefault="00EA051D" w:rsidP="00ED54D1">
      <w:pPr>
        <w:jc w:val="center"/>
        <w:rPr>
          <w:rFonts w:ascii="Times New Roman" w:hAnsi="Times New Roman" w:cs="Times New Roman"/>
          <w:u w:val="single"/>
        </w:rPr>
      </w:pPr>
      <w:bookmarkStart w:id="124" w:name="_Toc82277658"/>
      <w:r w:rsidRPr="00ED54D1">
        <w:rPr>
          <w:rFonts w:ascii="Times New Roman" w:hAnsi="Times New Roman" w:cs="Times New Roman"/>
          <w:u w:val="single"/>
        </w:rPr>
        <w:t>Secinājumi par notekūdeņu dūņu centralizācijas alternatīvām</w:t>
      </w:r>
      <w:bookmarkEnd w:id="124"/>
    </w:p>
    <w:p w14:paraId="52921215" w14:textId="51D2C9E9" w:rsidR="00EA051D" w:rsidRPr="00ED54D1" w:rsidRDefault="00EA051D" w:rsidP="00ED54D1">
      <w:pPr>
        <w:ind w:firstLine="720"/>
        <w:rPr>
          <w:rFonts w:ascii="Times New Roman" w:hAnsi="Times New Roman" w:cs="Times New Roman"/>
          <w:szCs w:val="24"/>
        </w:rPr>
      </w:pPr>
      <w:r w:rsidRPr="00ED54D1">
        <w:rPr>
          <w:rFonts w:ascii="Times New Roman" w:hAnsi="Times New Roman" w:cs="Times New Roman"/>
          <w:szCs w:val="24"/>
        </w:rPr>
        <w:t xml:space="preserve">Izvēlētā alternatīva D5 vai </w:t>
      </w:r>
      <w:r w:rsidRPr="00ED54D1">
        <w:rPr>
          <w:rFonts w:ascii="Times New Roman" w:hAnsi="Times New Roman" w:cs="Times New Roman"/>
          <w:b/>
          <w:szCs w:val="24"/>
        </w:rPr>
        <w:t xml:space="preserve">26 dūņu pārstrādes centru izveide nodrošina vienkāršu visu Latvijas </w:t>
      </w:r>
      <w:r w:rsidR="00CF16C6" w:rsidRPr="00ED54D1">
        <w:rPr>
          <w:rFonts w:ascii="Times New Roman" w:hAnsi="Times New Roman" w:cs="Times New Roman"/>
          <w:b/>
          <w:szCs w:val="24"/>
        </w:rPr>
        <w:t>notekūdeņu</w:t>
      </w:r>
      <w:r w:rsidRPr="00ED54D1">
        <w:rPr>
          <w:rFonts w:ascii="Times New Roman" w:hAnsi="Times New Roman" w:cs="Times New Roman"/>
          <w:b/>
          <w:szCs w:val="24"/>
        </w:rPr>
        <w:t xml:space="preserve"> dūņu savākšanu un pārstrādi, kā arī tas ir izmaksu ziņā efektīvs risinājums. Visas 26 dūņu pārstrādes centru izveides vietas ir vērtētas arī individuāli, izskatot risinājumus tos apvienot ar citu tuvāk esošo dūņu pārstrādes centru. Pie esošās situācijas un pieņemtajiem dūņu pārstrādes un utilizācijas risinājumiem šī ir labākā dūņu centralizācijas alternatīva Latvijā.</w:t>
      </w:r>
      <w:r w:rsidRPr="00ED54D1">
        <w:rPr>
          <w:rFonts w:ascii="Times New Roman" w:hAnsi="Times New Roman" w:cs="Times New Roman"/>
          <w:szCs w:val="24"/>
        </w:rPr>
        <w:t xml:space="preserve"> </w:t>
      </w:r>
    </w:p>
    <w:p w14:paraId="48CC965B" w14:textId="7B3350FA" w:rsidR="00EA051D" w:rsidRPr="00ED54D1" w:rsidRDefault="00EA051D" w:rsidP="00ED54D1">
      <w:pPr>
        <w:ind w:firstLine="720"/>
        <w:rPr>
          <w:rFonts w:ascii="Times New Roman" w:hAnsi="Times New Roman" w:cs="Times New Roman"/>
          <w:szCs w:val="24"/>
        </w:rPr>
      </w:pPr>
      <w:r w:rsidRPr="00ED54D1">
        <w:rPr>
          <w:rFonts w:ascii="Times New Roman" w:hAnsi="Times New Roman" w:cs="Times New Roman"/>
          <w:szCs w:val="24"/>
        </w:rPr>
        <w:t xml:space="preserve">26 dūņu pārstrādes centru izveidošana Latvijā šobrīd nav paredzēta nevienā normatīvajā aktā, kas nozīmē, ka šāds sadalījums un attiecīgais normatīvais regulējums būs jāizstrādā. Ņemot vērā, ka 26 notekūdeņu dūņu pārstrādes centru veidošana saistīta ar atbilstoša finansējuma nepieciešamību, tad 26 dūņu pārstrādes centru princips būtu jāiestrādā normatīvajos aktos ar kuriem tiktu paredzēta atbilstoša ārējā finansējuma nodrošināšana. Papildus normatīvajos aktos būtu precīzi nosakāms, ka visām Latvijas notekūdeņu dūņām ir </w:t>
      </w:r>
      <w:r w:rsidRPr="00ED54D1">
        <w:rPr>
          <w:rFonts w:ascii="Times New Roman" w:hAnsi="Times New Roman" w:cs="Times New Roman"/>
          <w:szCs w:val="24"/>
        </w:rPr>
        <w:lastRenderedPageBreak/>
        <w:t xml:space="preserve">jānonāk notekūdeņu dūņu pārstrādes centros un tās nevar tikt pārstrādātas citur, izņemot gadījumus, kad tiek izmantoti ekonomiski izdevīgāki ārpakalpojumu sniedzēju (skat. A1 un A2 alternatīvas) piedāvātie pakalpojumi, kuru darbība un dūņu pārstrādes kvalitāte tiktu kontrolēta līdzīgi, kā </w:t>
      </w:r>
      <w:r w:rsidR="00CF16C6" w:rsidRPr="00ED54D1">
        <w:rPr>
          <w:rFonts w:ascii="Times New Roman" w:hAnsi="Times New Roman" w:cs="Times New Roman"/>
          <w:szCs w:val="24"/>
        </w:rPr>
        <w:t>notekūdeņu</w:t>
      </w:r>
      <w:r w:rsidRPr="00ED54D1">
        <w:rPr>
          <w:rFonts w:ascii="Times New Roman" w:hAnsi="Times New Roman" w:cs="Times New Roman"/>
          <w:szCs w:val="24"/>
        </w:rPr>
        <w:t xml:space="preserve"> dūņu pārstrādes centros.</w:t>
      </w:r>
    </w:p>
    <w:p w14:paraId="6BB0FC05" w14:textId="77777777" w:rsidR="00EA051D" w:rsidRPr="00ED54D1" w:rsidRDefault="00EA051D" w:rsidP="00ED54D1">
      <w:pPr>
        <w:ind w:firstLine="720"/>
        <w:rPr>
          <w:rFonts w:ascii="Times New Roman" w:hAnsi="Times New Roman" w:cs="Times New Roman"/>
          <w:szCs w:val="24"/>
        </w:rPr>
      </w:pPr>
      <w:r w:rsidRPr="00ED54D1">
        <w:rPr>
          <w:rFonts w:ascii="Times New Roman" w:hAnsi="Times New Roman" w:cs="Times New Roman"/>
          <w:szCs w:val="24"/>
        </w:rPr>
        <w:t>26 dūņu pārstrādes centru izveidošana paredz būtiskas izmaiņas esošajā dūņu apsaimniekošanas pārvaldībā. Ir sagaidāms, ka atsevišķām pašvaldībām vai SPS tā var nebūt pieņemama un grūti izprotams apsaimniekošanas risinājums, un kā jebkuras izmaiņas, arī šīs rada nepieciešamību pierast pie jaunajiem apstākļiem. To ietekmēs arī nepieciešamība transportēt slapjas dūņas un nodrošināt to mehānisku atūdeņošanu. Kopumā šī risinājuma ieviešana nav iespējama bez būtiskām ārējām atbalsta, t.sk. finanšu atbalsta, jo visas sistēmas izveidi un ieviešanu valstī noteiktajām prasībām nepieciešams veikt vienlaicīgi. Alternatīvas ieviešanai būs nepieciešamas arī būtiskas zemes platības īpaši lielākajos notekūdeņu dūņu pārstrādes centros, kur var būt nepieciešamas līdz pat 3 ha lielas zemes platības, kas atsevišķos gadījumos var būt neiespējami. Tomēr tieši ap lielākajām NAI bieži ir plašas, nesakārtotas teritorijas, kurās iepriekš ir atradušās dažādas ar notekūdeņu attīrīšanu vai dūņu pārstrādi saistītas pilnībā nedemontētas konstrukcijas. Dūņu centru izveide palīdzēs sakārtot esošās NAI teritorijas.</w:t>
      </w:r>
    </w:p>
    <w:p w14:paraId="7FC13948" w14:textId="77777777" w:rsidR="00EA051D" w:rsidRPr="00ED54D1" w:rsidRDefault="00EA051D" w:rsidP="004E438F">
      <w:pPr>
        <w:pStyle w:val="ListParagraph"/>
        <w:numPr>
          <w:ilvl w:val="0"/>
          <w:numId w:val="21"/>
        </w:numPr>
        <w:suppressAutoHyphens/>
        <w:autoSpaceDN w:val="0"/>
        <w:spacing w:after="0"/>
        <w:ind w:left="426"/>
        <w:contextualSpacing w:val="0"/>
        <w:jc w:val="both"/>
        <w:textAlignment w:val="baseline"/>
        <w:rPr>
          <w:rFonts w:ascii="Times New Roman" w:hAnsi="Times New Roman" w:cs="Times New Roman"/>
          <w:sz w:val="24"/>
          <w:szCs w:val="24"/>
        </w:rPr>
      </w:pPr>
      <w:r w:rsidRPr="00ED54D1">
        <w:rPr>
          <w:rFonts w:ascii="Times New Roman" w:hAnsi="Times New Roman" w:cs="Times New Roman"/>
          <w:sz w:val="24"/>
          <w:szCs w:val="24"/>
        </w:rPr>
        <w:t>Veidojot 26 dūņu pārstrādes centrus un organizējot visu notekūdeņu dūņu plūsmu uz šiem dūņu pārstrādes centriem, ir iespējami vairāki dūņu transportēšanas risinājumi, tāpēc katra dūņu centra ietvaros būtu jāveic detalizēts novērtējums un jauna, visu dūņu transportēšanas sistēmas izveide, kura nodrošinātu ekonomiskāko dūņu centralizāciju. Vienkārša dūņu savākšana no NAI, kad dūņas tajās ir par daudz, var būt vairākas reizes dārgāka par precīzas, plānveida notekūdeņu dūņu savākšanas sistēmas izveidi.</w:t>
      </w:r>
    </w:p>
    <w:p w14:paraId="32BF8DE5" w14:textId="77777777" w:rsidR="00EA051D" w:rsidRPr="00175DD0" w:rsidRDefault="00EA051D" w:rsidP="00EA051D">
      <w:pPr>
        <w:pStyle w:val="ListParagraph"/>
        <w:spacing w:after="0"/>
        <w:ind w:left="2127"/>
        <w:jc w:val="both"/>
        <w:rPr>
          <w:rFonts w:cstheme="minorHAnsi"/>
        </w:rPr>
        <w:sectPr w:rsidR="00EA051D" w:rsidRPr="00175DD0" w:rsidSect="007E349D">
          <w:pgSz w:w="12240" w:h="15840"/>
          <w:pgMar w:top="1134" w:right="1701" w:bottom="1134" w:left="1701" w:header="720" w:footer="720" w:gutter="0"/>
          <w:cols w:space="720"/>
        </w:sectPr>
      </w:pPr>
    </w:p>
    <w:p w14:paraId="79B36514" w14:textId="6EA1A76C" w:rsidR="00EA051D" w:rsidRPr="00CE1EF7" w:rsidRDefault="00CE1EF7" w:rsidP="00CE1EF7">
      <w:pPr>
        <w:jc w:val="right"/>
        <w:rPr>
          <w:rFonts w:ascii="Times New Roman" w:hAnsi="Times New Roman" w:cs="Times New Roman"/>
          <w:szCs w:val="24"/>
        </w:rPr>
      </w:pPr>
      <w:bookmarkStart w:id="125" w:name="_Toc82277659"/>
      <w:r w:rsidRPr="00CE1EF7">
        <w:rPr>
          <w:rFonts w:ascii="Times New Roman" w:hAnsi="Times New Roman" w:cs="Times New Roman"/>
          <w:szCs w:val="24"/>
        </w:rPr>
        <w:lastRenderedPageBreak/>
        <w:t>4.</w:t>
      </w:r>
      <w:r w:rsidR="00A33176">
        <w:rPr>
          <w:rFonts w:ascii="Times New Roman" w:hAnsi="Times New Roman" w:cs="Times New Roman"/>
          <w:szCs w:val="24"/>
        </w:rPr>
        <w:t>6</w:t>
      </w:r>
      <w:r w:rsidRPr="00CE1EF7">
        <w:rPr>
          <w:rFonts w:ascii="Times New Roman" w:hAnsi="Times New Roman" w:cs="Times New Roman"/>
          <w:szCs w:val="24"/>
        </w:rPr>
        <w:t xml:space="preserve">. </w:t>
      </w:r>
      <w:r>
        <w:rPr>
          <w:rFonts w:ascii="Times New Roman" w:hAnsi="Times New Roman" w:cs="Times New Roman"/>
          <w:szCs w:val="24"/>
        </w:rPr>
        <w:t>p</w:t>
      </w:r>
      <w:r w:rsidRPr="00CE1EF7">
        <w:rPr>
          <w:rFonts w:ascii="Times New Roman" w:hAnsi="Times New Roman" w:cs="Times New Roman"/>
          <w:szCs w:val="24"/>
        </w:rPr>
        <w:t>ielikums</w:t>
      </w:r>
      <w:bookmarkEnd w:id="125"/>
    </w:p>
    <w:p w14:paraId="723996C4" w14:textId="3C8CEE19" w:rsidR="00EA051D" w:rsidRPr="00CE1EF7" w:rsidRDefault="00A80F4B" w:rsidP="00CE1EF7">
      <w:pPr>
        <w:pStyle w:val="Heading2"/>
        <w:jc w:val="center"/>
        <w:rPr>
          <w:rFonts w:ascii="Times New Roman" w:eastAsiaTheme="minorHAnsi" w:hAnsi="Times New Roman" w:cs="Times New Roman"/>
          <w:b/>
          <w:bCs/>
          <w:color w:val="auto"/>
          <w:sz w:val="24"/>
          <w:szCs w:val="24"/>
        </w:rPr>
      </w:pPr>
      <w:bookmarkStart w:id="126" w:name="_Toc82277660"/>
      <w:bookmarkStart w:id="127" w:name="_Toc107916334"/>
      <w:bookmarkStart w:id="128" w:name="_Hlk82269770"/>
      <w:r>
        <w:rPr>
          <w:rFonts w:ascii="Times New Roman" w:eastAsiaTheme="minorHAnsi" w:hAnsi="Times New Roman" w:cs="Times New Roman"/>
          <w:b/>
          <w:bCs/>
          <w:color w:val="auto"/>
          <w:sz w:val="24"/>
          <w:szCs w:val="24"/>
        </w:rPr>
        <w:t xml:space="preserve">4.6. </w:t>
      </w:r>
      <w:r w:rsidR="00CE1EF7" w:rsidRPr="00CE1EF7">
        <w:rPr>
          <w:rFonts w:ascii="Times New Roman" w:eastAsiaTheme="minorHAnsi" w:hAnsi="Times New Roman" w:cs="Times New Roman"/>
          <w:b/>
          <w:bCs/>
          <w:color w:val="auto"/>
          <w:sz w:val="24"/>
          <w:szCs w:val="24"/>
        </w:rPr>
        <w:t>Detalizēts notekūdeņu dūņu apsaimniekošanas institucionālās pārvaldības alternatīvu novērtējums</w:t>
      </w:r>
      <w:bookmarkEnd w:id="126"/>
      <w:bookmarkEnd w:id="127"/>
    </w:p>
    <w:bookmarkEnd w:id="128"/>
    <w:p w14:paraId="2659C9A0" w14:textId="77777777" w:rsidR="00EA051D" w:rsidRPr="00175DD0" w:rsidRDefault="00EA051D" w:rsidP="00EA051D">
      <w:pPr>
        <w:rPr>
          <w:rFonts w:cstheme="minorHAnsi"/>
        </w:rPr>
      </w:pPr>
    </w:p>
    <w:p w14:paraId="5D98D2AB" w14:textId="7AB676D6" w:rsidR="00EA051D" w:rsidRPr="00306481" w:rsidRDefault="00EA051D" w:rsidP="00C91397">
      <w:pPr>
        <w:spacing w:after="0"/>
        <w:ind w:firstLine="720"/>
        <w:rPr>
          <w:rFonts w:ascii="Times New Roman" w:hAnsi="Times New Roman" w:cs="Times New Roman"/>
        </w:rPr>
      </w:pPr>
      <w:r w:rsidRPr="00306481">
        <w:rPr>
          <w:rFonts w:ascii="Times New Roman" w:hAnsi="Times New Roman" w:cs="Times New Roman"/>
        </w:rPr>
        <w:t>Ņemot vērā nodaļā “Esošā situācija notekūdeņu dūņu apsaimniekošanas jomā” apkopoto, Latvijā ūdenssaimniecības pakalpojumu sniegšana tiek organizēta pašvaldību līmenī, katram SPS patstāvīgi pieņemot lēmumu par notekūdeņu savākšanas un attīrīšanas, kā arī notekūdeņu dūņu apsaimniekošanas organizēšanu. Pašvaldības var izvēlēties vai veidot vienu, vai vairākus ūdenssaimniecības pakalpojumu sniedzējus, kā arī atbilstošāko pakalpojuma sniegšanas formu (pašvaldības iestāde, komersants vai cits). Ņemot vērā minēto ir iespējams izvirzīt vairākus notekūdeņu dūņu apsaimniekošanas institucionālās pārvaldības alternatīvos  risinājumus.</w:t>
      </w:r>
    </w:p>
    <w:p w14:paraId="781E125D" w14:textId="77777777" w:rsidR="00C91397" w:rsidRDefault="00C91397" w:rsidP="00C91397">
      <w:pPr>
        <w:pStyle w:val="Heading3"/>
        <w:spacing w:before="0"/>
        <w:jc w:val="center"/>
        <w:rPr>
          <w:rFonts w:ascii="Times New Roman" w:eastAsiaTheme="minorHAnsi" w:hAnsi="Times New Roman" w:cs="Times New Roman"/>
          <w:b/>
          <w:bCs/>
          <w:color w:val="auto"/>
          <w:sz w:val="24"/>
        </w:rPr>
      </w:pPr>
      <w:bookmarkStart w:id="129" w:name="_Toc82277661"/>
    </w:p>
    <w:p w14:paraId="4AD6D844" w14:textId="458E1DE7" w:rsidR="00EA051D" w:rsidRPr="0033498C" w:rsidRDefault="00EA051D" w:rsidP="0033498C">
      <w:pPr>
        <w:jc w:val="center"/>
        <w:rPr>
          <w:rFonts w:ascii="Times New Roman" w:hAnsi="Times New Roman" w:cs="Times New Roman"/>
          <w:b/>
          <w:bCs/>
          <w:color w:val="5B9BD5" w:themeColor="accent1"/>
        </w:rPr>
      </w:pPr>
      <w:r w:rsidRPr="0033498C">
        <w:rPr>
          <w:rFonts w:ascii="Times New Roman" w:hAnsi="Times New Roman" w:cs="Times New Roman"/>
          <w:b/>
          <w:bCs/>
          <w:color w:val="5B9BD5" w:themeColor="accent1"/>
        </w:rPr>
        <w:t>E1. Alternatīva: Notekūdeņu dūņu apsaimniekošana atbilstoši katra SPS lēmumiem</w:t>
      </w:r>
      <w:bookmarkEnd w:id="129"/>
    </w:p>
    <w:p w14:paraId="61539393" w14:textId="77777777" w:rsidR="00C91397" w:rsidRDefault="00C91397" w:rsidP="00C91397">
      <w:pPr>
        <w:spacing w:after="0"/>
        <w:rPr>
          <w:rFonts w:ascii="Times New Roman" w:hAnsi="Times New Roman" w:cs="Times New Roman"/>
        </w:rPr>
      </w:pPr>
    </w:p>
    <w:p w14:paraId="2F3382FE" w14:textId="34B365C2" w:rsidR="00EA051D" w:rsidRPr="00C91397" w:rsidRDefault="00EA051D" w:rsidP="00C91397">
      <w:pPr>
        <w:spacing w:after="0"/>
        <w:ind w:firstLine="720"/>
        <w:rPr>
          <w:rFonts w:ascii="Times New Roman" w:hAnsi="Times New Roman" w:cs="Times New Roman"/>
        </w:rPr>
      </w:pPr>
      <w:r w:rsidRPr="00C91397">
        <w:rPr>
          <w:rFonts w:ascii="Times New Roman" w:hAnsi="Times New Roman" w:cs="Times New Roman"/>
        </w:rPr>
        <w:t xml:space="preserve">Alternatīva atspoguļo šobrīd pastāvošo notekūdeņu dūņu apsaimniekošanas institucionālo pārvaldību.  Katrs SPS individuāli pieņem lēmumus par to, kā tā pārraudzībā esošajās NAI tiek veikta notekūdeņu dūņu noņemšana un apsaimniekošana. SPS minētos lēmumus pieņem, izvērtējot savas tehniskās un finanšu iespējas. Alternatīvas īstenošana ir iespējama pastāvošā juridiskā regulējuma ietvaros. </w:t>
      </w:r>
    </w:p>
    <w:p w14:paraId="66351F64" w14:textId="77777777" w:rsidR="00EA051D" w:rsidRPr="00C91397" w:rsidRDefault="00EA051D" w:rsidP="001C0E0C">
      <w:pPr>
        <w:spacing w:after="0"/>
        <w:rPr>
          <w:rFonts w:ascii="Times New Roman" w:hAnsi="Times New Roman" w:cs="Times New Roman"/>
        </w:rPr>
      </w:pPr>
      <w:r w:rsidRPr="00C91397">
        <w:rPr>
          <w:rFonts w:ascii="Times New Roman" w:hAnsi="Times New Roman" w:cs="Times New Roman"/>
        </w:rPr>
        <w:t>Šāda notekūdeņu dūņu apsaimniekošanas organizēšana ir pretrunā 26 dūņu pārstrādes centru alternatīvai un izslēdz iepriekš novērtēto piemērotāko dūņu centralizācijas alternatīvu D5. Ja arī pēc 26 dūņu pārstrādes centru izveides Latvijā katrs SPS pastāvīgi varēs pieņemt lēmumu vest vai nevest dūņas uz pārstrādi speciāli izveidotos dūņu pārstrādes centros, ļoti iespējams, ka liela daļa mazo NAI notekūdeņu dūņas līdz atbilstošai dūņu pārstrādei nenonāks. SPS izvēlēsies citus alternatīvus risinājumus attiecībā uz dūņu utilizāciju. Ir sagaidāms, ka E1. alternatīvas gadījumā notekūdeņu dūņu apsaimniekošanas jomā situācija valstī neuzlabosies.</w:t>
      </w:r>
    </w:p>
    <w:p w14:paraId="1F02265B" w14:textId="77777777" w:rsidR="00EA051D" w:rsidRPr="0033498C" w:rsidRDefault="00EA051D" w:rsidP="0033498C">
      <w:pPr>
        <w:jc w:val="center"/>
        <w:rPr>
          <w:rFonts w:ascii="Times New Roman" w:hAnsi="Times New Roman" w:cs="Times New Roman"/>
          <w:b/>
          <w:color w:val="5B9BD5" w:themeColor="accent1"/>
        </w:rPr>
      </w:pPr>
    </w:p>
    <w:p w14:paraId="30864188" w14:textId="77777777" w:rsidR="00EA051D" w:rsidRPr="0033498C" w:rsidRDefault="00EA051D" w:rsidP="0033498C">
      <w:pPr>
        <w:jc w:val="center"/>
        <w:rPr>
          <w:rFonts w:ascii="Times New Roman" w:hAnsi="Times New Roman" w:cs="Times New Roman"/>
          <w:b/>
          <w:color w:val="5B9BD5" w:themeColor="accent1"/>
        </w:rPr>
      </w:pPr>
      <w:bookmarkStart w:id="130" w:name="_Toc82277662"/>
      <w:r w:rsidRPr="0033498C">
        <w:rPr>
          <w:rFonts w:ascii="Times New Roman" w:hAnsi="Times New Roman" w:cs="Times New Roman"/>
          <w:b/>
          <w:color w:val="5B9BD5" w:themeColor="accent1"/>
        </w:rPr>
        <w:t>E2.Alternatīva: Vienota notekūdeņu dūņu apsaimniekošana katras pašvaldības ietvaros</w:t>
      </w:r>
      <w:bookmarkEnd w:id="130"/>
    </w:p>
    <w:p w14:paraId="68E1D913" w14:textId="77777777" w:rsidR="001C0E0C" w:rsidRDefault="001C0E0C" w:rsidP="001C0E0C">
      <w:pPr>
        <w:spacing w:after="0"/>
        <w:rPr>
          <w:rFonts w:ascii="Times New Roman" w:hAnsi="Times New Roman" w:cs="Times New Roman"/>
        </w:rPr>
      </w:pPr>
    </w:p>
    <w:p w14:paraId="298CDB65" w14:textId="6135D2B8" w:rsidR="00EA051D" w:rsidRPr="001C0E0C" w:rsidRDefault="00EA051D" w:rsidP="001C0E0C">
      <w:pPr>
        <w:spacing w:after="0"/>
        <w:ind w:firstLine="720"/>
        <w:rPr>
          <w:rFonts w:ascii="Times New Roman" w:hAnsi="Times New Roman" w:cs="Times New Roman"/>
        </w:rPr>
      </w:pPr>
      <w:r w:rsidRPr="001C0E0C">
        <w:rPr>
          <w:rFonts w:ascii="Times New Roman" w:hAnsi="Times New Roman" w:cs="Times New Roman"/>
        </w:rPr>
        <w:t xml:space="preserve">Alternatīva paredz, ka visas Latvijas pašvaldības pieņem lēmumu par viena tās teritorijā esoša SPS izvirzīšanu par atbildīgo visu pašvaldības notekūdeņu dūņu apsaimniekošanas organizatoru. SPS nodrošina visu pašvaldības dūņu pārstrādi un tālāku atbilstošu utilizāciju. Izvirzītais SPS pieņem lēmumu un nosaka, kāds notekūdeņu dūņu apstrādes risinājums (slapju dūņu vai mehāniski atūdeņotu dūņu izvešana) tiek nodrošināts katrā NAI, neatkarīgi no tā, kam pieder NAI vai kas tās apkalpo. Šis SPS kontrolē visu notekūdeņu dūņu veidošanos visās pašvaldības NAI un nodrošina regulāru lieko dūņu noņemšanu un nogādāšanu dūņu pārstrādes centros. Izvirzītais SPS pieņem lēmumu par dūņu </w:t>
      </w:r>
      <w:r w:rsidRPr="001C0E0C">
        <w:rPr>
          <w:rFonts w:ascii="Times New Roman" w:hAnsi="Times New Roman" w:cs="Times New Roman"/>
        </w:rPr>
        <w:lastRenderedPageBreak/>
        <w:t xml:space="preserve">pārstrādes centra izveidi novadā un atbilstošāko dūņu pārstrādes metodi. Lēmumu par labāko dūņu pārstrādes veidu un risinājumu izvirzītais SPS pieņem vadoties no pieejamās infrastruktūras, tās tehniskā stāvokļa, dūņu apjoma, izmaksu aspekta u.c. faktoriem. Pārstrādātu dūņu utilizāciju nodrošina notekūdeņu dūņu pārstrādes centrs. </w:t>
      </w:r>
    </w:p>
    <w:p w14:paraId="1BC97521" w14:textId="77777777" w:rsidR="00EA051D" w:rsidRPr="001C0E0C" w:rsidRDefault="00EA051D" w:rsidP="00EA051D">
      <w:pPr>
        <w:rPr>
          <w:rFonts w:ascii="Times New Roman" w:hAnsi="Times New Roman" w:cs="Times New Roman"/>
        </w:rPr>
      </w:pPr>
      <w:r w:rsidRPr="001C0E0C">
        <w:rPr>
          <w:rFonts w:ascii="Times New Roman" w:hAnsi="Times New Roman" w:cs="Times New Roman"/>
        </w:rPr>
        <w:t>15 mazo novadu SPS, kur netiks veidots atsevišķs dūņu pārstrādes centrs saskaņā ar D5. alternatīvu, pieņem lēmumu par dūņu nodošanu pārstrādei blakus novadā, kā rezultātā mazo novadu izvēlētais SPS plāno, organizē un veic visu pašvaldībā izveidojušos notekūdeņu dūņu savākšanu un apstrādi (mehānisku atūdeņošanu) un to nogādāšanu atbilstošajā notekūdeņu dūņu pārstrādes centrā.</w:t>
      </w:r>
    </w:p>
    <w:p w14:paraId="1A9F38C0" w14:textId="39E25D0B" w:rsidR="00EA051D" w:rsidRPr="001C0E0C" w:rsidRDefault="00EA051D" w:rsidP="001C0E0C">
      <w:pPr>
        <w:ind w:firstLine="720"/>
        <w:rPr>
          <w:rFonts w:ascii="Times New Roman" w:hAnsi="Times New Roman" w:cs="Times New Roman"/>
        </w:rPr>
      </w:pPr>
      <w:r w:rsidRPr="001C0E0C">
        <w:rPr>
          <w:rFonts w:ascii="Times New Roman" w:hAnsi="Times New Roman" w:cs="Times New Roman"/>
        </w:rPr>
        <w:t xml:space="preserve">Atbilstoši pieņemtajiem lēmumiem un/vai noslēgtajiem sadarbības līgumiem tiek plānotas notekūdeņu dūņu apsaimniekošanai nepieciešamās infrastruktūras izveide. Alternatīva neizslēdz iespēju vienoties vairāk pašvaldībām kā tas ir paredzēts alternatīvas D5. ietvaros (26 </w:t>
      </w:r>
      <w:r w:rsidR="00EA3FAE" w:rsidRPr="001C0E0C">
        <w:rPr>
          <w:rFonts w:ascii="Times New Roman" w:hAnsi="Times New Roman" w:cs="Times New Roman"/>
        </w:rPr>
        <w:t xml:space="preserve">notekūdeņu </w:t>
      </w:r>
      <w:r w:rsidRPr="001C0E0C">
        <w:rPr>
          <w:rFonts w:ascii="Times New Roman" w:hAnsi="Times New Roman" w:cs="Times New Roman"/>
        </w:rPr>
        <w:t>dūņu centri). Tā pat ir ieteicams, ka nelielo pašvaldību atbildīgais SPS par notekūdeņu dūņu apsaimniekošanas organizēšanu izvēlas kaimiņu pašvaldības SPS ar ko tiek slēgts atbilstošs sadarbības līgums, ja tas ir iespējams. Šāda iespēja kā atbilstošākā būtu jāizvērtē Dienvidkurzemes, Ventspils, Jelgavas, Rēzeknes un Daugavpils novadiem, kuru tiešā tuvumā ir lielākie plānotie dūņu pārstrādes centri, kamēr pašās pašvaldībās radītais dūņu apjoms ir ļoti mazs.</w:t>
      </w:r>
    </w:p>
    <w:p w14:paraId="6950D558" w14:textId="1080D60B" w:rsidR="00EA051D" w:rsidRDefault="00EA051D" w:rsidP="001C0E0C">
      <w:pPr>
        <w:spacing w:after="0"/>
        <w:ind w:firstLine="720"/>
        <w:rPr>
          <w:rFonts w:ascii="Times New Roman" w:hAnsi="Times New Roman" w:cs="Times New Roman"/>
        </w:rPr>
      </w:pPr>
      <w:r w:rsidRPr="001C0E0C">
        <w:rPr>
          <w:rFonts w:ascii="Times New Roman" w:hAnsi="Times New Roman" w:cs="Times New Roman"/>
        </w:rPr>
        <w:t xml:space="preserve">Alternatīvas īstenošana ir iespējama pastāvošā juridiskā regulējuma un administratīvā resursa ietvaros, ar minimālām izmaiņām līgumos vai lēmumos par sabiedrisko pakalpojumu sniegšanu. Kopā ar VARAM ir jāvērtē nepieciešamība veikt grozījumus Ūdenssaimniecības pakalpojumu likuma 6.pantā, iekļaujot uzdevumu pašvaldībai šādu NAI dalījumu noteikt, vai arī ir izmantot minētā likuma 6.panta 4.daļas 2. un 3.punktu, nosakot šādas prasības pašvaldības saistošajos noteikumos.  </w:t>
      </w:r>
    </w:p>
    <w:p w14:paraId="39A01C31" w14:textId="77777777" w:rsidR="001C0E0C" w:rsidRPr="0033498C" w:rsidRDefault="001C0E0C" w:rsidP="0033498C">
      <w:pPr>
        <w:jc w:val="center"/>
        <w:rPr>
          <w:rFonts w:ascii="Times New Roman" w:hAnsi="Times New Roman" w:cs="Times New Roman"/>
          <w:color w:val="5B9BD5" w:themeColor="accent1"/>
        </w:rPr>
      </w:pPr>
    </w:p>
    <w:p w14:paraId="5D1588A1" w14:textId="77777777" w:rsidR="00EA051D" w:rsidRPr="0033498C" w:rsidRDefault="00EA051D" w:rsidP="0033498C">
      <w:pPr>
        <w:jc w:val="center"/>
        <w:rPr>
          <w:rFonts w:ascii="Times New Roman" w:hAnsi="Times New Roman" w:cs="Times New Roman"/>
          <w:b/>
          <w:bCs/>
          <w:color w:val="5B9BD5" w:themeColor="accent1"/>
        </w:rPr>
      </w:pPr>
      <w:bookmarkStart w:id="131" w:name="_Toc82277663"/>
      <w:r w:rsidRPr="0033498C">
        <w:rPr>
          <w:rFonts w:ascii="Times New Roman" w:hAnsi="Times New Roman" w:cs="Times New Roman"/>
          <w:b/>
          <w:bCs/>
          <w:color w:val="5B9BD5" w:themeColor="accent1"/>
        </w:rPr>
        <w:t>E3. Alternatīva: Vienota notekūdeņu dūņu apsaimniekošana reģionālā vai valsts mērogā veidojot jaunu dūņu pārstrādes centru operatoru</w:t>
      </w:r>
      <w:bookmarkEnd w:id="131"/>
    </w:p>
    <w:p w14:paraId="49765EFD" w14:textId="77777777" w:rsidR="001C0E0C" w:rsidRDefault="001C0E0C" w:rsidP="001C0E0C">
      <w:pPr>
        <w:spacing w:after="0"/>
        <w:rPr>
          <w:rFonts w:ascii="Times New Roman" w:hAnsi="Times New Roman" w:cs="Times New Roman"/>
        </w:rPr>
      </w:pPr>
    </w:p>
    <w:p w14:paraId="1E276567" w14:textId="4E66667B" w:rsidR="00EA051D" w:rsidRPr="001C0E0C" w:rsidRDefault="00EA051D" w:rsidP="001C0E0C">
      <w:pPr>
        <w:spacing w:after="0"/>
        <w:ind w:firstLine="720"/>
        <w:rPr>
          <w:rFonts w:ascii="Times New Roman" w:hAnsi="Times New Roman" w:cs="Times New Roman"/>
        </w:rPr>
      </w:pPr>
      <w:r w:rsidRPr="001C0E0C">
        <w:rPr>
          <w:rFonts w:ascii="Times New Roman" w:hAnsi="Times New Roman" w:cs="Times New Roman"/>
        </w:rPr>
        <w:t>Alternatīvas E3. pamatā ir valsts vai reģionu (vienojoties vairākām pašvaldībām) veidots jauns uzņēmums, kurš nodrošina visu notekūdeņu dūņu pārstrādi un utilizāciju. Šis uzņēmums pieņem lēmumu par atbilstošu dūņu pārstrādes centru izveidi Latvijā, to faktisko atrašanās vietu un izvēlēto dūņu pārstrādes metodi katrā dūņu pārstrādes centrā individuāli. Valsts uzņēmums lēmumus pieņemtu par valsts mērogā, bet, ja tiek izvēlēts reģionu modelis, tad tas pieņem lēmumus reģiona ietvaros.</w:t>
      </w:r>
    </w:p>
    <w:p w14:paraId="6869DCE2" w14:textId="77777777" w:rsidR="00EA051D" w:rsidRPr="001C0E0C" w:rsidRDefault="00EA051D" w:rsidP="001C0E0C">
      <w:pPr>
        <w:ind w:firstLine="720"/>
        <w:rPr>
          <w:rFonts w:ascii="Times New Roman" w:hAnsi="Times New Roman" w:cs="Times New Roman"/>
        </w:rPr>
      </w:pPr>
      <w:r w:rsidRPr="001C0E0C">
        <w:rPr>
          <w:rFonts w:ascii="Times New Roman" w:hAnsi="Times New Roman" w:cs="Times New Roman"/>
        </w:rPr>
        <w:t xml:space="preserve">Lai notekūdeņu dūņas nonāktu pie valsts vai reģionu izveidota jaunā notekūdeņu dūņu apsaimniekošanas uzņēmuma, līdzīgi kā alternatīvas E2. gadījumā, vietējās pašvaldības pieņemtu lēmumu par viena tās teritorijā esoša SPS izvirzīšanu par atbildīgo visu pašvaldību notekūdeņu dūņu apsaimniekošanas organizatoru. Šis SPS pieņemtu lēmumus un noteiktu, kāds notekūdeņu dūņu apstrādes risinājums (slapju dūņu vai mehāniski atūdeņotu dūņu </w:t>
      </w:r>
      <w:r w:rsidRPr="001C0E0C">
        <w:rPr>
          <w:rFonts w:ascii="Times New Roman" w:hAnsi="Times New Roman" w:cs="Times New Roman"/>
        </w:rPr>
        <w:lastRenderedPageBreak/>
        <w:t>izvešana) tiek nodrošinātas katrās pašvaldības NAI, neatkarīgi no tā, kam pieder NAI vai kas tās apkalpo. Šis SPS kontrolē visu notekūdeņu dūņu veidošanos novadā visās NAI, kā arī nodrošinātu visu lieko notekūdeņu dūņu noņemšanu un mehānisku atūdeņošanu, kā arī nogādāšanu tuvākajā notekūdeņu dūņu pārstrādes centrā. No jauna izveidotas valsts vai reģionu uzņēmums pieņemtu tikai mehāniski atūdeņotas (apstrādātas) notekūdeņu dūņas no pašvaldības izvēlētā SPS tā norādītajās vietās un laikā.</w:t>
      </w:r>
    </w:p>
    <w:p w14:paraId="404BBA58" w14:textId="77777777" w:rsidR="00EA051D" w:rsidRPr="001C0E0C" w:rsidRDefault="00EA051D" w:rsidP="001C0E0C">
      <w:pPr>
        <w:ind w:firstLine="720"/>
        <w:rPr>
          <w:rFonts w:ascii="Times New Roman" w:hAnsi="Times New Roman" w:cs="Times New Roman"/>
        </w:rPr>
      </w:pPr>
      <w:r w:rsidRPr="001C0E0C">
        <w:rPr>
          <w:rFonts w:ascii="Times New Roman" w:hAnsi="Times New Roman" w:cs="Times New Roman"/>
        </w:rPr>
        <w:t xml:space="preserve">Var prognozēt, ka kopumā valstī veidosies aptuveni 60 līdz 70 vietas, kur ir ekonomiski pamatoti veikt mehānisku notekūdeņu dūņu atūdeņošanu pirms to nogādāšanas dūņu pārstrādes centros. No šiem centriem visas apstrādātas notekūdeņu dūņas tiktu nogādātas uz tālāku pārstrādi dūņu pārstrādes centros. </w:t>
      </w:r>
    </w:p>
    <w:p w14:paraId="34389F8E" w14:textId="77777777" w:rsidR="00EA051D" w:rsidRPr="001C0E0C" w:rsidRDefault="00EA051D" w:rsidP="001C0E0C">
      <w:pPr>
        <w:spacing w:after="0"/>
        <w:ind w:firstLine="720"/>
        <w:rPr>
          <w:rFonts w:ascii="Times New Roman" w:hAnsi="Times New Roman" w:cs="Times New Roman"/>
        </w:rPr>
      </w:pPr>
      <w:r w:rsidRPr="001C0E0C">
        <w:rPr>
          <w:rFonts w:ascii="Times New Roman" w:hAnsi="Times New Roman" w:cs="Times New Roman"/>
        </w:rPr>
        <w:t>No jauna izveidotam dūņu apsaimniekošanas organizatoram var būt vairākas dūņu pārstrādes vietas, taču ņemot vērā, ka tas būs no jauna veidots uzņēmums tam nebūs pieejama esošā SPS infrastruktūra. Visa dūņu pārstrādei nepieciešamā infrastruktūra būs jāveido no jauna tā izvēlētajās un pieejamajās vietās valstī, kas būtiski sadārdzina alternatīvas ieviešanas izmaksas.</w:t>
      </w:r>
    </w:p>
    <w:p w14:paraId="46248EE3" w14:textId="77777777" w:rsidR="001C0E0C" w:rsidRPr="0033498C" w:rsidRDefault="001C0E0C" w:rsidP="0033498C">
      <w:pPr>
        <w:jc w:val="center"/>
        <w:rPr>
          <w:rFonts w:ascii="Times New Roman" w:hAnsi="Times New Roman" w:cs="Times New Roman"/>
          <w:b/>
          <w:bCs/>
          <w:color w:val="5B9BD5" w:themeColor="accent1"/>
        </w:rPr>
      </w:pPr>
      <w:bookmarkStart w:id="132" w:name="_Toc82277664"/>
    </w:p>
    <w:p w14:paraId="7B4DDF67" w14:textId="562E37EE" w:rsidR="00EA051D" w:rsidRPr="0033498C" w:rsidRDefault="00EA051D" w:rsidP="0033498C">
      <w:pPr>
        <w:jc w:val="center"/>
        <w:rPr>
          <w:rFonts w:ascii="Times New Roman" w:hAnsi="Times New Roman" w:cs="Times New Roman"/>
          <w:b/>
          <w:bCs/>
          <w:color w:val="5B9BD5" w:themeColor="accent1"/>
        </w:rPr>
      </w:pPr>
      <w:r w:rsidRPr="0033498C">
        <w:rPr>
          <w:rFonts w:ascii="Times New Roman" w:hAnsi="Times New Roman" w:cs="Times New Roman"/>
          <w:b/>
          <w:bCs/>
          <w:color w:val="5B9BD5" w:themeColor="accent1"/>
        </w:rPr>
        <w:t>E4. Alternatīva: Viens ūdenssaimniecības sabiedrisko pakalpojumu sniedzējs valsts mērogā</w:t>
      </w:r>
      <w:bookmarkEnd w:id="132"/>
    </w:p>
    <w:p w14:paraId="6F216296" w14:textId="77777777" w:rsidR="001C0E0C" w:rsidRDefault="001C0E0C" w:rsidP="001C0E0C">
      <w:pPr>
        <w:spacing w:after="0"/>
        <w:rPr>
          <w:rFonts w:cstheme="minorHAnsi"/>
        </w:rPr>
      </w:pPr>
    </w:p>
    <w:p w14:paraId="758063EE" w14:textId="40E78626" w:rsidR="00EA051D" w:rsidRDefault="00EA051D" w:rsidP="005D3AA1">
      <w:pPr>
        <w:spacing w:after="0"/>
        <w:ind w:firstLine="720"/>
        <w:rPr>
          <w:rFonts w:ascii="Times New Roman" w:hAnsi="Times New Roman" w:cs="Times New Roman"/>
        </w:rPr>
      </w:pPr>
      <w:r w:rsidRPr="001C0E0C">
        <w:rPr>
          <w:rFonts w:ascii="Times New Roman" w:hAnsi="Times New Roman" w:cs="Times New Roman"/>
        </w:rPr>
        <w:t>Alternatīva paredz, ka visus ūdenssaimniecības pakalpojumus, tai skaitā notekūdeņu dūņu apsaimniekošanu veic viens, valsts vai pašvaldību dibināts komersants, kuram tiek nodota visa esošā visu ūdenssaimniecības uzņēmumu infrastruktūra, kā tas tiek veikts piemēram Īrijas Republikā</w:t>
      </w:r>
      <w:r w:rsidRPr="001C0E0C">
        <w:rPr>
          <w:rStyle w:val="FootnoteReference"/>
          <w:rFonts w:ascii="Times New Roman" w:hAnsi="Times New Roman" w:cs="Times New Roman"/>
        </w:rPr>
        <w:footnoteReference w:id="36"/>
      </w:r>
      <w:r w:rsidRPr="001C0E0C">
        <w:rPr>
          <w:rFonts w:ascii="Times New Roman" w:hAnsi="Times New Roman" w:cs="Times New Roman"/>
        </w:rPr>
        <w:t xml:space="preserve">. Turpmākās investīcijas ūdenssaimniecības jomā, t.sk. notekūdeņu dūņu apsaimniekošanā veic viens operators, kas arī pieņem lēmumus par dūņu centralizācijas apmēru, dūņu apstrādes pakāpi un veidu, kā arī dūņu pārstrādes veidiem dūņu pārstrādes centros. Tam nav jāveido pilnīgi jauna </w:t>
      </w:r>
      <w:r w:rsidR="00CF16C6" w:rsidRPr="001C0E0C">
        <w:rPr>
          <w:rFonts w:ascii="Times New Roman" w:hAnsi="Times New Roman" w:cs="Times New Roman"/>
        </w:rPr>
        <w:t>notekūdeņu</w:t>
      </w:r>
      <w:r w:rsidRPr="001C0E0C">
        <w:rPr>
          <w:rFonts w:ascii="Times New Roman" w:hAnsi="Times New Roman" w:cs="Times New Roman"/>
        </w:rPr>
        <w:t xml:space="preserve"> dūņu pārstrādes infrastruktūra jaunā vietā (kā tas ir alternatīvas E3. gadījumā), jo tā izveidošanā tiktu ieguldīta visa esošo ūdenssaimniecības uzņēmumu infrastruktūra. Lēmumu par esošās dūņu apsaimniekošanas infrastruktūras izmantošanu, vai jaunas dūņu un citas ūdenssaimniecības infrastruktūras attīstību pieņem šāda uzņēmuma vadība, vadoties pēc veiktajiem novērtējumiem un faktiskās nepieciešamības. </w:t>
      </w:r>
    </w:p>
    <w:p w14:paraId="5E10E3BC" w14:textId="77777777" w:rsidR="005D3AA1" w:rsidRPr="001C0E0C" w:rsidRDefault="005D3AA1" w:rsidP="005D3AA1">
      <w:pPr>
        <w:spacing w:after="0"/>
        <w:ind w:firstLine="720"/>
        <w:rPr>
          <w:rFonts w:ascii="Times New Roman" w:hAnsi="Times New Roman" w:cs="Times New Roman"/>
        </w:rPr>
      </w:pPr>
    </w:p>
    <w:p w14:paraId="5986A8DB" w14:textId="77777777" w:rsidR="00EA051D" w:rsidRPr="005D3AA1" w:rsidRDefault="00EA051D" w:rsidP="005D3AA1">
      <w:pPr>
        <w:spacing w:after="0"/>
        <w:jc w:val="center"/>
        <w:rPr>
          <w:rFonts w:ascii="Times New Roman" w:hAnsi="Times New Roman" w:cs="Times New Roman"/>
          <w:u w:val="single"/>
        </w:rPr>
      </w:pPr>
      <w:bookmarkStart w:id="133" w:name="_Toc82277665"/>
      <w:r w:rsidRPr="005D3AA1">
        <w:rPr>
          <w:rFonts w:ascii="Times New Roman" w:hAnsi="Times New Roman" w:cs="Times New Roman"/>
          <w:u w:val="single"/>
        </w:rPr>
        <w:t>Notekūdeņu dūņu apsaimniekošanas institucionālo alternatīvu izmaksu salīdzinājums</w:t>
      </w:r>
      <w:bookmarkEnd w:id="133"/>
    </w:p>
    <w:p w14:paraId="19CCCAB2" w14:textId="77777777" w:rsidR="005D3AA1" w:rsidRDefault="005D3AA1" w:rsidP="005D3AA1">
      <w:pPr>
        <w:spacing w:after="0"/>
        <w:ind w:firstLine="720"/>
        <w:rPr>
          <w:rFonts w:cstheme="minorHAnsi"/>
        </w:rPr>
      </w:pPr>
    </w:p>
    <w:p w14:paraId="1E08BC17" w14:textId="5EA2BFF9" w:rsidR="00EA051D" w:rsidRDefault="00EA051D" w:rsidP="005D3AA1">
      <w:pPr>
        <w:spacing w:after="0"/>
        <w:ind w:firstLine="720"/>
        <w:rPr>
          <w:rFonts w:ascii="Times New Roman" w:hAnsi="Times New Roman" w:cs="Times New Roman"/>
          <w:szCs w:val="24"/>
        </w:rPr>
      </w:pPr>
      <w:r w:rsidRPr="005D3AA1">
        <w:rPr>
          <w:rFonts w:ascii="Times New Roman" w:hAnsi="Times New Roman" w:cs="Times New Roman"/>
          <w:szCs w:val="24"/>
        </w:rPr>
        <w:t xml:space="preserve">Dažādu dūņu institucionālo pārvaldību alternatīvu ietekmi uz dūņu pārstrādes un utilizācijas izmaksām precīzi aprēķināt nav iespējams. Var savstarpēji novērtēt, pie kura no </w:t>
      </w:r>
      <w:r w:rsidRPr="005D3AA1">
        <w:rPr>
          <w:rFonts w:ascii="Times New Roman" w:hAnsi="Times New Roman" w:cs="Times New Roman"/>
          <w:szCs w:val="24"/>
        </w:rPr>
        <w:lastRenderedPageBreak/>
        <w:t>risinājumiem izmaksas ir sagaidāmas augstākas un pie kādiem zemākas un šos risinājumus salīdzināt savstarpēji (skat. 4.</w:t>
      </w:r>
      <w:r w:rsidR="007A0E8B">
        <w:rPr>
          <w:rFonts w:ascii="Times New Roman" w:hAnsi="Times New Roman" w:cs="Times New Roman"/>
          <w:szCs w:val="24"/>
        </w:rPr>
        <w:t>6.1</w:t>
      </w:r>
      <w:r w:rsidRPr="005D3AA1">
        <w:rPr>
          <w:rFonts w:ascii="Times New Roman" w:hAnsi="Times New Roman" w:cs="Times New Roman"/>
          <w:szCs w:val="24"/>
        </w:rPr>
        <w:t>.tabulu).</w:t>
      </w:r>
    </w:p>
    <w:p w14:paraId="383458D5" w14:textId="77777777" w:rsidR="00E94B00" w:rsidRPr="005D3AA1" w:rsidRDefault="00E94B00" w:rsidP="0033498C">
      <w:pPr>
        <w:spacing w:after="0"/>
        <w:rPr>
          <w:rFonts w:ascii="Times New Roman" w:hAnsi="Times New Roman" w:cs="Times New Roman"/>
          <w:szCs w:val="24"/>
        </w:rPr>
      </w:pPr>
    </w:p>
    <w:p w14:paraId="26F753CD" w14:textId="2ED3AC2A" w:rsidR="005D3AA1" w:rsidRPr="00E94B00" w:rsidRDefault="004E438F" w:rsidP="00E94B00">
      <w:pPr>
        <w:pStyle w:val="ListParagraph"/>
        <w:pBdr>
          <w:top w:val="nil"/>
          <w:left w:val="nil"/>
          <w:bottom w:val="nil"/>
          <w:right w:val="nil"/>
          <w:between w:val="nil"/>
        </w:pBdr>
        <w:suppressAutoHyphens/>
        <w:autoSpaceDN w:val="0"/>
        <w:spacing w:after="0"/>
        <w:ind w:left="760"/>
        <w:contextualSpacing w:val="0"/>
        <w:jc w:val="right"/>
        <w:textAlignment w:val="baseline"/>
        <w:rPr>
          <w:rFonts w:ascii="Times New Roman" w:hAnsi="Times New Roman" w:cs="Times New Roman"/>
          <w:bCs/>
          <w:color w:val="000000"/>
          <w:sz w:val="24"/>
          <w:szCs w:val="24"/>
        </w:rPr>
      </w:pPr>
      <w:r w:rsidRPr="00E94B00">
        <w:rPr>
          <w:rFonts w:ascii="Times New Roman" w:hAnsi="Times New Roman" w:cs="Times New Roman"/>
          <w:bCs/>
          <w:color w:val="000000"/>
          <w:sz w:val="24"/>
          <w:szCs w:val="24"/>
        </w:rPr>
        <w:t>4.</w:t>
      </w:r>
      <w:r w:rsidR="007A0E8B">
        <w:rPr>
          <w:rFonts w:ascii="Times New Roman" w:hAnsi="Times New Roman" w:cs="Times New Roman"/>
          <w:bCs/>
          <w:color w:val="000000"/>
          <w:sz w:val="24"/>
          <w:szCs w:val="24"/>
        </w:rPr>
        <w:t>6.1</w:t>
      </w:r>
      <w:r w:rsidRPr="00E94B00">
        <w:rPr>
          <w:rFonts w:ascii="Times New Roman" w:hAnsi="Times New Roman" w:cs="Times New Roman"/>
          <w:bCs/>
          <w:color w:val="000000"/>
          <w:sz w:val="24"/>
          <w:szCs w:val="24"/>
        </w:rPr>
        <w:t>.</w:t>
      </w:r>
      <w:r w:rsidR="00EA051D" w:rsidRPr="00E94B00">
        <w:rPr>
          <w:rFonts w:ascii="Times New Roman" w:hAnsi="Times New Roman" w:cs="Times New Roman"/>
          <w:bCs/>
          <w:color w:val="000000"/>
          <w:sz w:val="24"/>
          <w:szCs w:val="24"/>
        </w:rPr>
        <w:t>tabula</w:t>
      </w:r>
    </w:p>
    <w:p w14:paraId="502492B9" w14:textId="230236A6" w:rsidR="00EA051D" w:rsidRPr="00E94B00" w:rsidRDefault="00EA051D" w:rsidP="00E94B00">
      <w:pPr>
        <w:pBdr>
          <w:top w:val="nil"/>
          <w:left w:val="nil"/>
          <w:bottom w:val="nil"/>
          <w:right w:val="nil"/>
          <w:between w:val="nil"/>
        </w:pBdr>
        <w:suppressAutoHyphens/>
        <w:autoSpaceDN w:val="0"/>
        <w:spacing w:after="0"/>
        <w:jc w:val="center"/>
        <w:textAlignment w:val="baseline"/>
        <w:rPr>
          <w:rFonts w:ascii="Times New Roman" w:hAnsi="Times New Roman" w:cs="Times New Roman"/>
          <w:b/>
          <w:color w:val="000000"/>
          <w:szCs w:val="24"/>
        </w:rPr>
      </w:pPr>
      <w:r w:rsidRPr="00E94B00">
        <w:rPr>
          <w:rFonts w:ascii="Times New Roman" w:hAnsi="Times New Roman" w:cs="Times New Roman"/>
          <w:b/>
          <w:color w:val="000000"/>
          <w:szCs w:val="24"/>
        </w:rPr>
        <w:t>Notekūdeņu dūņu pārvaldības institucionālo alternatīvu izmaksu novērtējums</w:t>
      </w:r>
    </w:p>
    <w:tbl>
      <w:tblPr>
        <w:tblStyle w:val="11"/>
        <w:tblW w:w="907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560"/>
        <w:gridCol w:w="1701"/>
        <w:gridCol w:w="2126"/>
        <w:gridCol w:w="2410"/>
      </w:tblGrid>
      <w:tr w:rsidR="00EA051D" w:rsidRPr="008E354D" w14:paraId="0C1DB9DB" w14:textId="77777777" w:rsidTr="00E94B00">
        <w:tc>
          <w:tcPr>
            <w:tcW w:w="1276" w:type="dxa"/>
            <w:vAlign w:val="center"/>
          </w:tcPr>
          <w:p w14:paraId="261DB147"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Izmaksu veids</w:t>
            </w:r>
          </w:p>
        </w:tc>
        <w:tc>
          <w:tcPr>
            <w:tcW w:w="1560" w:type="dxa"/>
            <w:vAlign w:val="center"/>
          </w:tcPr>
          <w:p w14:paraId="5C26C41D" w14:textId="77777777" w:rsidR="00EA051D" w:rsidRPr="008E354D" w:rsidRDefault="00EA051D" w:rsidP="00D70884">
            <w:pPr>
              <w:spacing w:after="60"/>
              <w:ind w:left="-106" w:right="-172"/>
              <w:jc w:val="center"/>
              <w:rPr>
                <w:rFonts w:ascii="Times New Roman" w:hAnsi="Times New Roman" w:cs="Times New Roman"/>
                <w:b/>
                <w:sz w:val="18"/>
                <w:szCs w:val="20"/>
              </w:rPr>
            </w:pPr>
            <w:r w:rsidRPr="008E354D">
              <w:rPr>
                <w:rFonts w:ascii="Times New Roman" w:hAnsi="Times New Roman" w:cs="Times New Roman"/>
                <w:b/>
                <w:sz w:val="18"/>
                <w:szCs w:val="20"/>
              </w:rPr>
              <w:t>E1.alternatīva: Notekūdeņu dūņu apsaimniekošana atbilstoši katra SPS lēmumam</w:t>
            </w:r>
          </w:p>
        </w:tc>
        <w:tc>
          <w:tcPr>
            <w:tcW w:w="1701" w:type="dxa"/>
            <w:vAlign w:val="center"/>
          </w:tcPr>
          <w:p w14:paraId="563E65C6" w14:textId="77777777" w:rsidR="00EA051D" w:rsidRPr="008E354D" w:rsidRDefault="00EA051D" w:rsidP="00D70884">
            <w:pPr>
              <w:spacing w:after="60"/>
              <w:ind w:left="-40" w:right="-104"/>
              <w:jc w:val="center"/>
              <w:rPr>
                <w:rFonts w:ascii="Times New Roman" w:hAnsi="Times New Roman" w:cs="Times New Roman"/>
                <w:b/>
                <w:sz w:val="18"/>
                <w:szCs w:val="20"/>
              </w:rPr>
            </w:pPr>
            <w:r w:rsidRPr="008E354D">
              <w:rPr>
                <w:rFonts w:ascii="Times New Roman" w:hAnsi="Times New Roman" w:cs="Times New Roman"/>
                <w:b/>
                <w:sz w:val="18"/>
                <w:szCs w:val="20"/>
              </w:rPr>
              <w:t>E2.alternatīva: Vienota notekūdeņu dūņu apsaimniekošana katras pašvaldības ietvaros</w:t>
            </w:r>
          </w:p>
        </w:tc>
        <w:tc>
          <w:tcPr>
            <w:tcW w:w="2126" w:type="dxa"/>
            <w:vAlign w:val="center"/>
          </w:tcPr>
          <w:p w14:paraId="32D34395"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E3.alternatīva: Vienota notekūdeņu dūņu apsaimniekošana reģionālā vai valsts mērogā veidojot jaunu dūņu pārstrādes centru operatoru</w:t>
            </w:r>
          </w:p>
        </w:tc>
        <w:tc>
          <w:tcPr>
            <w:tcW w:w="2410" w:type="dxa"/>
          </w:tcPr>
          <w:p w14:paraId="6DD47F1F"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E4.alternatīva: Viens ūdenssaimniecības sabiedrisko pakalpojumu sniedzējs valsts mērogā</w:t>
            </w:r>
          </w:p>
        </w:tc>
      </w:tr>
      <w:tr w:rsidR="003F0074" w:rsidRPr="008E354D" w14:paraId="4D398E27" w14:textId="77777777" w:rsidTr="00E94B00">
        <w:tc>
          <w:tcPr>
            <w:tcW w:w="1276" w:type="dxa"/>
            <w:vAlign w:val="center"/>
          </w:tcPr>
          <w:p w14:paraId="6B6FC81E" w14:textId="77777777" w:rsidR="00EA051D" w:rsidRPr="008E354D" w:rsidRDefault="00EA051D" w:rsidP="00D70884">
            <w:pPr>
              <w:spacing w:after="60"/>
              <w:jc w:val="center"/>
              <w:rPr>
                <w:rFonts w:ascii="Times New Roman" w:hAnsi="Times New Roman" w:cs="Times New Roman"/>
                <w:sz w:val="20"/>
                <w:szCs w:val="20"/>
              </w:rPr>
            </w:pPr>
            <w:r w:rsidRPr="008E354D">
              <w:rPr>
                <w:rFonts w:ascii="Times New Roman" w:hAnsi="Times New Roman" w:cs="Times New Roman"/>
                <w:sz w:val="20"/>
                <w:szCs w:val="20"/>
              </w:rPr>
              <w:t>Administratīvo izmaksu apjoms</w:t>
            </w:r>
          </w:p>
        </w:tc>
        <w:tc>
          <w:tcPr>
            <w:tcW w:w="1560" w:type="dxa"/>
            <w:shd w:val="clear" w:color="auto" w:fill="92D050"/>
            <w:vAlign w:val="center"/>
          </w:tcPr>
          <w:p w14:paraId="3A5D24A1"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Nav papildus izmaksas</w:t>
            </w:r>
          </w:p>
        </w:tc>
        <w:tc>
          <w:tcPr>
            <w:tcW w:w="1701" w:type="dxa"/>
            <w:shd w:val="clear" w:color="auto" w:fill="92D050"/>
            <w:vAlign w:val="center"/>
          </w:tcPr>
          <w:p w14:paraId="22530689"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Nav papildus izmaksas</w:t>
            </w:r>
          </w:p>
        </w:tc>
        <w:tc>
          <w:tcPr>
            <w:tcW w:w="2126" w:type="dxa"/>
            <w:shd w:val="clear" w:color="auto" w:fill="FF0000"/>
            <w:vAlign w:val="center"/>
          </w:tcPr>
          <w:p w14:paraId="662E8BA3"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Liels izmaksu apjoms, jo tiek veidoti vairāki vai viens jauns uzņēmums ar atbilstošu administratīvā resursa nodrošinājumu</w:t>
            </w:r>
          </w:p>
        </w:tc>
        <w:tc>
          <w:tcPr>
            <w:tcW w:w="2410" w:type="dxa"/>
            <w:shd w:val="clear" w:color="auto" w:fill="92D050"/>
            <w:vAlign w:val="center"/>
          </w:tcPr>
          <w:p w14:paraId="22AFCC33"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ja pieņem, ka tiktu izveidota jauna administratīvā pārvaldība vienlaikus izbeidzot visu esošo SPS administratīvo pārvaldību</w:t>
            </w:r>
          </w:p>
        </w:tc>
      </w:tr>
      <w:tr w:rsidR="003F0074" w:rsidRPr="008E354D" w14:paraId="407F2253" w14:textId="77777777" w:rsidTr="00E94B00">
        <w:tc>
          <w:tcPr>
            <w:tcW w:w="1276" w:type="dxa"/>
            <w:vAlign w:val="center"/>
          </w:tcPr>
          <w:p w14:paraId="340F4EE7" w14:textId="77777777" w:rsidR="00EA051D" w:rsidRPr="008E354D" w:rsidRDefault="00EA051D" w:rsidP="00D70884">
            <w:pPr>
              <w:spacing w:after="60"/>
              <w:ind w:right="-79"/>
              <w:jc w:val="center"/>
              <w:rPr>
                <w:rFonts w:ascii="Times New Roman" w:hAnsi="Times New Roman" w:cs="Times New Roman"/>
                <w:sz w:val="20"/>
                <w:szCs w:val="20"/>
              </w:rPr>
            </w:pPr>
            <w:r w:rsidRPr="008E354D">
              <w:rPr>
                <w:rFonts w:ascii="Times New Roman" w:hAnsi="Times New Roman" w:cs="Times New Roman"/>
                <w:sz w:val="20"/>
                <w:szCs w:val="20"/>
              </w:rPr>
              <w:t>Tehniskā personāla izmaksu apjoms</w:t>
            </w:r>
          </w:p>
        </w:tc>
        <w:tc>
          <w:tcPr>
            <w:tcW w:w="1560" w:type="dxa"/>
            <w:shd w:val="clear" w:color="auto" w:fill="92D050"/>
            <w:vAlign w:val="center"/>
          </w:tcPr>
          <w:p w14:paraId="4A52BA80"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Nav papildus izmaksas, jo nav papildus personāla</w:t>
            </w:r>
          </w:p>
        </w:tc>
        <w:tc>
          <w:tcPr>
            <w:tcW w:w="1701" w:type="dxa"/>
            <w:shd w:val="clear" w:color="auto" w:fill="92D050"/>
            <w:vAlign w:val="center"/>
          </w:tcPr>
          <w:p w14:paraId="62C99E62"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Ļoti zemas papildus izmaksas, jo esošā personāla ietvaros būtu jāmaina darba apraksti, bez papildus personāla piesaistes</w:t>
            </w:r>
          </w:p>
        </w:tc>
        <w:tc>
          <w:tcPr>
            <w:tcW w:w="2126" w:type="dxa"/>
            <w:shd w:val="clear" w:color="auto" w:fill="FF0000"/>
            <w:vAlign w:val="center"/>
          </w:tcPr>
          <w:p w14:paraId="6BCE064B"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Liels izmaksu apjoms, jo tiek veidota jauna struktūra, jauni darbinieki, bet esošajos uzņēmumos darba vietas būtiski netiek samazinātas</w:t>
            </w:r>
          </w:p>
        </w:tc>
        <w:tc>
          <w:tcPr>
            <w:tcW w:w="2410" w:type="dxa"/>
            <w:shd w:val="clear" w:color="auto" w:fill="92D050"/>
            <w:vAlign w:val="center"/>
          </w:tcPr>
          <w:p w14:paraId="59D44C47"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ja pieņem, ka būtu iespējams efektivizēt visa esošā tehniskā personāla darbību</w:t>
            </w:r>
          </w:p>
        </w:tc>
      </w:tr>
      <w:tr w:rsidR="003F0074" w:rsidRPr="008E354D" w14:paraId="6BA13AFB" w14:textId="77777777" w:rsidTr="00E94B00">
        <w:tc>
          <w:tcPr>
            <w:tcW w:w="1276" w:type="dxa"/>
            <w:vAlign w:val="center"/>
          </w:tcPr>
          <w:p w14:paraId="68549E85" w14:textId="77777777" w:rsidR="00EA051D" w:rsidRPr="008E354D" w:rsidRDefault="00EA051D" w:rsidP="00D70884">
            <w:pPr>
              <w:spacing w:after="60"/>
              <w:ind w:right="-79"/>
              <w:jc w:val="center"/>
              <w:rPr>
                <w:rFonts w:ascii="Times New Roman" w:hAnsi="Times New Roman" w:cs="Times New Roman"/>
                <w:sz w:val="20"/>
                <w:szCs w:val="20"/>
              </w:rPr>
            </w:pPr>
            <w:r w:rsidRPr="008E354D">
              <w:rPr>
                <w:rFonts w:ascii="Times New Roman" w:hAnsi="Times New Roman" w:cs="Times New Roman"/>
                <w:sz w:val="20"/>
                <w:szCs w:val="20"/>
              </w:rPr>
              <w:t>Dūņu pārstrādes izmaksu apjoms</w:t>
            </w:r>
          </w:p>
        </w:tc>
        <w:tc>
          <w:tcPr>
            <w:tcW w:w="1560" w:type="dxa"/>
            <w:shd w:val="clear" w:color="auto" w:fill="FF0000"/>
            <w:vAlign w:val="center"/>
          </w:tcPr>
          <w:p w14:paraId="11524264"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Ļoti liels izmaksu apjoms</w:t>
            </w:r>
          </w:p>
        </w:tc>
        <w:tc>
          <w:tcPr>
            <w:tcW w:w="1701" w:type="dxa"/>
            <w:shd w:val="clear" w:color="auto" w:fill="92D050"/>
            <w:vAlign w:val="center"/>
          </w:tcPr>
          <w:p w14:paraId="1BC9A34A"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jo dūņu pārstrāde tiktu organizēta 26 centru ietvaros, kas atzīts par vienu no ekonomiskākajiemdūņu pārvaldības modeļiem</w:t>
            </w:r>
          </w:p>
        </w:tc>
        <w:tc>
          <w:tcPr>
            <w:tcW w:w="2126" w:type="dxa"/>
            <w:shd w:val="clear" w:color="auto" w:fill="92D050"/>
            <w:vAlign w:val="center"/>
          </w:tcPr>
          <w:p w14:paraId="218A00C3"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jo dūņu apstrādes procesi reģiona ietvaros tiek plānoti un realizēti centralizēti</w:t>
            </w:r>
          </w:p>
        </w:tc>
        <w:tc>
          <w:tcPr>
            <w:tcW w:w="2410" w:type="dxa"/>
            <w:shd w:val="clear" w:color="auto" w:fill="92D050"/>
            <w:vAlign w:val="center"/>
          </w:tcPr>
          <w:p w14:paraId="464BF921"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jo dūņu apstrādes procesi Latvijas ietvaros tiek plānoti un realizēti centralizēti</w:t>
            </w:r>
          </w:p>
        </w:tc>
      </w:tr>
      <w:tr w:rsidR="003F0074" w:rsidRPr="008E354D" w14:paraId="511010E6" w14:textId="77777777" w:rsidTr="00E94B00">
        <w:tc>
          <w:tcPr>
            <w:tcW w:w="1276" w:type="dxa"/>
            <w:vAlign w:val="center"/>
          </w:tcPr>
          <w:p w14:paraId="2360A0C7" w14:textId="77777777" w:rsidR="00EA051D" w:rsidRPr="008E354D" w:rsidRDefault="00EA051D" w:rsidP="00D70884">
            <w:pPr>
              <w:spacing w:after="60"/>
              <w:ind w:right="-79"/>
              <w:jc w:val="center"/>
              <w:rPr>
                <w:rFonts w:ascii="Times New Roman" w:hAnsi="Times New Roman" w:cs="Times New Roman"/>
                <w:sz w:val="20"/>
                <w:szCs w:val="20"/>
              </w:rPr>
            </w:pPr>
            <w:r w:rsidRPr="008E354D">
              <w:rPr>
                <w:rFonts w:ascii="Times New Roman" w:hAnsi="Times New Roman" w:cs="Times New Roman"/>
                <w:sz w:val="20"/>
                <w:szCs w:val="20"/>
              </w:rPr>
              <w:t>Dūņu atbilstošai apsaimniekošanai nepieciešamo kapitālo investīciju izmaksu apjoms</w:t>
            </w:r>
          </w:p>
        </w:tc>
        <w:tc>
          <w:tcPr>
            <w:tcW w:w="1560" w:type="dxa"/>
            <w:shd w:val="clear" w:color="auto" w:fill="FF0000"/>
            <w:vAlign w:val="center"/>
          </w:tcPr>
          <w:p w14:paraId="4D04B3DB"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Ļoti liels izmaksu apjoms</w:t>
            </w:r>
          </w:p>
        </w:tc>
        <w:tc>
          <w:tcPr>
            <w:tcW w:w="1701" w:type="dxa"/>
            <w:shd w:val="clear" w:color="auto" w:fill="92D050"/>
            <w:vAlign w:val="center"/>
          </w:tcPr>
          <w:p w14:paraId="4874AFED"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jo dūņu pārstrāde tiktu organizēta 26 centru ietvaros, kas atzīts par vienu no ekonomiskākajiemdūņu pārvaldības modeļiem</w:t>
            </w:r>
          </w:p>
        </w:tc>
        <w:tc>
          <w:tcPr>
            <w:tcW w:w="2126" w:type="dxa"/>
            <w:shd w:val="clear" w:color="auto" w:fill="FF0000"/>
            <w:vAlign w:val="center"/>
          </w:tcPr>
          <w:p w14:paraId="3F8DE8FF"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 xml:space="preserve">Augsts izmaksu apjoms, jo dūņu apstrādes infrastruktūra reģiona ietvaros ir jāveido no jauna, jaunā vietā </w:t>
            </w:r>
          </w:p>
        </w:tc>
        <w:tc>
          <w:tcPr>
            <w:tcW w:w="2410" w:type="dxa"/>
            <w:shd w:val="clear" w:color="auto" w:fill="92D050"/>
            <w:vAlign w:val="center"/>
          </w:tcPr>
          <w:p w14:paraId="42304691"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 jo tiek pārņemta esošā infrastruktūra, kas visas Latvijas ietvaros tiek plānota ar augstāko iespējamo noslodzi</w:t>
            </w:r>
          </w:p>
        </w:tc>
      </w:tr>
      <w:tr w:rsidR="003F0074" w:rsidRPr="008E354D" w14:paraId="58255EE2" w14:textId="77777777" w:rsidTr="00E94B00">
        <w:tc>
          <w:tcPr>
            <w:tcW w:w="1276" w:type="dxa"/>
            <w:vAlign w:val="center"/>
          </w:tcPr>
          <w:p w14:paraId="70653ACB" w14:textId="77777777" w:rsidR="00EA051D" w:rsidRPr="008E354D" w:rsidRDefault="00EA051D" w:rsidP="00D70884">
            <w:pPr>
              <w:spacing w:after="60"/>
              <w:ind w:right="-79"/>
              <w:jc w:val="center"/>
              <w:rPr>
                <w:rFonts w:ascii="Times New Roman" w:hAnsi="Times New Roman" w:cs="Times New Roman"/>
                <w:sz w:val="20"/>
                <w:szCs w:val="20"/>
              </w:rPr>
            </w:pPr>
            <w:r w:rsidRPr="008E354D">
              <w:rPr>
                <w:rFonts w:ascii="Times New Roman" w:hAnsi="Times New Roman" w:cs="Times New Roman"/>
                <w:sz w:val="20"/>
                <w:szCs w:val="20"/>
              </w:rPr>
              <w:t>Dūņu transportēšanas izmaksu apjoms</w:t>
            </w:r>
          </w:p>
        </w:tc>
        <w:tc>
          <w:tcPr>
            <w:tcW w:w="1560" w:type="dxa"/>
            <w:shd w:val="clear" w:color="auto" w:fill="92D050"/>
            <w:vAlign w:val="center"/>
          </w:tcPr>
          <w:p w14:paraId="768D6585"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Ļoti zems izmaksu apjoms</w:t>
            </w:r>
          </w:p>
        </w:tc>
        <w:tc>
          <w:tcPr>
            <w:tcW w:w="1701" w:type="dxa"/>
            <w:shd w:val="clear" w:color="auto" w:fill="92D050"/>
            <w:vAlign w:val="center"/>
          </w:tcPr>
          <w:p w14:paraId="297C8F30"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w:t>
            </w:r>
          </w:p>
        </w:tc>
        <w:tc>
          <w:tcPr>
            <w:tcW w:w="2126" w:type="dxa"/>
            <w:shd w:val="clear" w:color="auto" w:fill="FF0000"/>
            <w:vAlign w:val="center"/>
          </w:tcPr>
          <w:p w14:paraId="2A8DDF42"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 xml:space="preserve">Augsts izmaksu apjoms, jo tiktu veikta pilnīgi visu dūņu transportēšana uz tuvāko dūņu pārstrādes centru (citu alternatīvu gadījumā dūņu centri plānoti blakus lielākajām NAI un dūņu transportēšana nav </w:t>
            </w:r>
            <w:r w:rsidRPr="008E354D">
              <w:rPr>
                <w:rFonts w:ascii="Times New Roman" w:hAnsi="Times New Roman" w:cs="Times New Roman"/>
                <w:sz w:val="18"/>
                <w:szCs w:val="18"/>
              </w:rPr>
              <w:lastRenderedPageBreak/>
              <w:t>nepārstrādātu dūņu transportēšana nav nepieciešama</w:t>
            </w:r>
          </w:p>
        </w:tc>
        <w:tc>
          <w:tcPr>
            <w:tcW w:w="2410" w:type="dxa"/>
            <w:shd w:val="clear" w:color="auto" w:fill="92D050"/>
            <w:vAlign w:val="center"/>
          </w:tcPr>
          <w:p w14:paraId="1FBAB102" w14:textId="77777777" w:rsidR="00EA051D" w:rsidRPr="008E354D" w:rsidRDefault="00EA051D" w:rsidP="00D70884">
            <w:pPr>
              <w:spacing w:after="60"/>
              <w:jc w:val="center"/>
              <w:rPr>
                <w:rFonts w:ascii="Times New Roman" w:hAnsi="Times New Roman" w:cs="Times New Roman"/>
              </w:rPr>
            </w:pPr>
            <w:r w:rsidRPr="008E354D">
              <w:rPr>
                <w:rFonts w:ascii="Times New Roman" w:hAnsi="Times New Roman" w:cs="Times New Roman"/>
                <w:sz w:val="18"/>
                <w:szCs w:val="18"/>
              </w:rPr>
              <w:lastRenderedPageBreak/>
              <w:t>Zems izmaksu apjoms, jo dūņu transportēšana Latvijas ietvaros tiek plānota ar augstāko iespējamo loģistikas efektivitāti</w:t>
            </w:r>
          </w:p>
        </w:tc>
      </w:tr>
      <w:tr w:rsidR="003F0074" w:rsidRPr="008E354D" w14:paraId="1956F6C7" w14:textId="77777777" w:rsidTr="00E94B00">
        <w:tc>
          <w:tcPr>
            <w:tcW w:w="1276" w:type="dxa"/>
            <w:vAlign w:val="center"/>
          </w:tcPr>
          <w:p w14:paraId="2CB5F70B" w14:textId="77777777" w:rsidR="00EA051D" w:rsidRPr="008E354D" w:rsidRDefault="00EA051D" w:rsidP="00D70884">
            <w:pPr>
              <w:spacing w:after="60"/>
              <w:ind w:right="-79"/>
              <w:jc w:val="center"/>
              <w:rPr>
                <w:rFonts w:ascii="Times New Roman" w:hAnsi="Times New Roman" w:cs="Times New Roman"/>
                <w:sz w:val="20"/>
                <w:szCs w:val="20"/>
              </w:rPr>
            </w:pPr>
            <w:r w:rsidRPr="008E354D">
              <w:rPr>
                <w:rFonts w:ascii="Times New Roman" w:hAnsi="Times New Roman" w:cs="Times New Roman"/>
                <w:sz w:val="20"/>
                <w:szCs w:val="20"/>
              </w:rPr>
              <w:t>Dūņu utilizācijas izmaksu apjoms</w:t>
            </w:r>
          </w:p>
        </w:tc>
        <w:tc>
          <w:tcPr>
            <w:tcW w:w="1560" w:type="dxa"/>
            <w:shd w:val="clear" w:color="auto" w:fill="92D050"/>
            <w:vAlign w:val="center"/>
          </w:tcPr>
          <w:p w14:paraId="5BD32CE6"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w:t>
            </w:r>
          </w:p>
        </w:tc>
        <w:tc>
          <w:tcPr>
            <w:tcW w:w="1701" w:type="dxa"/>
            <w:shd w:val="clear" w:color="auto" w:fill="92D050"/>
            <w:vAlign w:val="center"/>
          </w:tcPr>
          <w:p w14:paraId="4F6E4D78"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w:t>
            </w:r>
          </w:p>
        </w:tc>
        <w:tc>
          <w:tcPr>
            <w:tcW w:w="2126" w:type="dxa"/>
            <w:shd w:val="clear" w:color="auto" w:fill="92D050"/>
            <w:vAlign w:val="center"/>
          </w:tcPr>
          <w:p w14:paraId="559ECD3C"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Zems izmaksu apjoms</w:t>
            </w:r>
          </w:p>
        </w:tc>
        <w:tc>
          <w:tcPr>
            <w:tcW w:w="2410" w:type="dxa"/>
            <w:shd w:val="clear" w:color="auto" w:fill="92D050"/>
            <w:vAlign w:val="center"/>
          </w:tcPr>
          <w:p w14:paraId="48344C11" w14:textId="77777777" w:rsidR="00EA051D" w:rsidRPr="008E354D" w:rsidRDefault="00EA051D" w:rsidP="00D70884">
            <w:pPr>
              <w:spacing w:after="60"/>
              <w:jc w:val="center"/>
              <w:rPr>
                <w:rFonts w:ascii="Times New Roman" w:hAnsi="Times New Roman" w:cs="Times New Roman"/>
              </w:rPr>
            </w:pPr>
            <w:r w:rsidRPr="008E354D">
              <w:rPr>
                <w:rFonts w:ascii="Times New Roman" w:hAnsi="Times New Roman" w:cs="Times New Roman"/>
                <w:sz w:val="18"/>
                <w:szCs w:val="18"/>
              </w:rPr>
              <w:t>Zems izmaksu apjoms</w:t>
            </w:r>
          </w:p>
        </w:tc>
      </w:tr>
    </w:tbl>
    <w:p w14:paraId="3845F886" w14:textId="77777777" w:rsidR="00EA051D" w:rsidRPr="004A7BCB" w:rsidRDefault="00EA051D" w:rsidP="00EA051D">
      <w:pPr>
        <w:rPr>
          <w:rFonts w:ascii="Times New Roman" w:hAnsi="Times New Roman" w:cs="Times New Roman"/>
        </w:rPr>
      </w:pPr>
    </w:p>
    <w:p w14:paraId="6F5C0A6A" w14:textId="0D122CAF" w:rsidR="00EA051D" w:rsidRPr="004A7BCB" w:rsidRDefault="00EA051D" w:rsidP="004A7BCB">
      <w:pPr>
        <w:ind w:firstLine="720"/>
        <w:rPr>
          <w:rFonts w:ascii="Times New Roman" w:hAnsi="Times New Roman" w:cs="Times New Roman"/>
        </w:rPr>
      </w:pPr>
      <w:r w:rsidRPr="004A7BCB">
        <w:rPr>
          <w:rFonts w:ascii="Times New Roman" w:hAnsi="Times New Roman" w:cs="Times New Roman"/>
        </w:rPr>
        <w:t>Kā var secināt  4.</w:t>
      </w:r>
      <w:r w:rsidR="007A0E8B">
        <w:rPr>
          <w:rFonts w:ascii="Times New Roman" w:hAnsi="Times New Roman" w:cs="Times New Roman"/>
        </w:rPr>
        <w:t>6.1</w:t>
      </w:r>
      <w:r w:rsidRPr="004A7BCB">
        <w:rPr>
          <w:rFonts w:ascii="Times New Roman" w:hAnsi="Times New Roman" w:cs="Times New Roman"/>
        </w:rPr>
        <w:t>.tabulā iekļautajā novērtējumā tad altern</w:t>
      </w:r>
      <w:r w:rsidR="00CF16C6">
        <w:rPr>
          <w:rFonts w:ascii="Times New Roman" w:hAnsi="Times New Roman" w:cs="Times New Roman"/>
        </w:rPr>
        <w:t>a</w:t>
      </w:r>
      <w:r w:rsidRPr="004A7BCB">
        <w:rPr>
          <w:rFonts w:ascii="Times New Roman" w:hAnsi="Times New Roman" w:cs="Times New Roman"/>
        </w:rPr>
        <w:t xml:space="preserve">tīvas </w:t>
      </w:r>
      <w:r w:rsidRPr="004A7BCB">
        <w:rPr>
          <w:rFonts w:ascii="Times New Roman" w:hAnsi="Times New Roman" w:cs="Times New Roman"/>
          <w:b/>
        </w:rPr>
        <w:t xml:space="preserve">E2. alternatīva: Notekūdeņu dūņu apsaimniekošana atbilstoši katra SPS lēmumam </w:t>
      </w:r>
      <w:r w:rsidRPr="004A7BCB">
        <w:rPr>
          <w:rFonts w:ascii="Times New Roman" w:hAnsi="Times New Roman" w:cs="Times New Roman"/>
        </w:rPr>
        <w:t>un</w:t>
      </w:r>
      <w:r w:rsidRPr="004A7BCB">
        <w:rPr>
          <w:rFonts w:ascii="Times New Roman" w:hAnsi="Times New Roman" w:cs="Times New Roman"/>
          <w:b/>
        </w:rPr>
        <w:t xml:space="preserve"> </w:t>
      </w:r>
      <w:r w:rsidRPr="004A7BCB">
        <w:rPr>
          <w:rFonts w:ascii="Times New Roman" w:hAnsi="Times New Roman" w:cs="Times New Roman"/>
        </w:rPr>
        <w:t xml:space="preserve"> </w:t>
      </w:r>
      <w:r w:rsidRPr="004A7BCB">
        <w:rPr>
          <w:rFonts w:ascii="Times New Roman" w:hAnsi="Times New Roman" w:cs="Times New Roman"/>
          <w:b/>
        </w:rPr>
        <w:t>E4. alternatīva: Viens ūdenssaimniecības sabiedrisko pakalpojumu sniedzējs valsts mērogā</w:t>
      </w:r>
      <w:r w:rsidRPr="004A7BCB">
        <w:rPr>
          <w:rFonts w:ascii="Times New Roman" w:hAnsi="Times New Roman" w:cs="Times New Roman"/>
        </w:rPr>
        <w:t xml:space="preserve"> rada mazākos iespējamos izmaksu pieaugumus gan attiecībā uz jaunas infrastruktūras izveidi, uzturēšanu, administratīvo pārvaldību un citām izmaksu pozīcijām.</w:t>
      </w:r>
    </w:p>
    <w:p w14:paraId="39086744" w14:textId="77777777" w:rsidR="00EA051D" w:rsidRPr="004A7BCB" w:rsidRDefault="00EA051D" w:rsidP="004A7BCB">
      <w:pPr>
        <w:ind w:firstLine="720"/>
        <w:rPr>
          <w:rFonts w:ascii="Times New Roman" w:hAnsi="Times New Roman" w:cs="Times New Roman"/>
        </w:rPr>
      </w:pPr>
      <w:r w:rsidRPr="004A7BCB">
        <w:rPr>
          <w:rFonts w:ascii="Times New Roman" w:hAnsi="Times New Roman" w:cs="Times New Roman"/>
        </w:rPr>
        <w:t xml:space="preserve">Alternatīva </w:t>
      </w:r>
      <w:r w:rsidRPr="004A7BCB">
        <w:rPr>
          <w:rFonts w:ascii="Times New Roman" w:hAnsi="Times New Roman" w:cs="Times New Roman"/>
          <w:b/>
        </w:rPr>
        <w:t>E1.alternatīva: Notekūdeņu dūņu apsaimniekošana atbilstoši katra SPS lēmumam</w:t>
      </w:r>
      <w:r w:rsidRPr="004A7BCB">
        <w:rPr>
          <w:rFonts w:ascii="Times New Roman" w:hAnsi="Times New Roman" w:cs="Times New Roman"/>
        </w:rPr>
        <w:t xml:space="preserve"> no izmaksu viedokļa ir dārga dēļ lielā nepieciešamo kapitālo investīciju apjoma, pie katra SPS attīstot atsevišķu dūņu pārstrādes infrastruktūru, kā arī būs lielas kopējās uzturēšanas izmaksas.</w:t>
      </w:r>
    </w:p>
    <w:p w14:paraId="126E5EC4" w14:textId="0D48F6FD" w:rsidR="00EA051D" w:rsidRDefault="00EA051D" w:rsidP="004A7BCB">
      <w:pPr>
        <w:spacing w:after="0"/>
        <w:ind w:firstLine="720"/>
        <w:rPr>
          <w:rFonts w:ascii="Times New Roman" w:hAnsi="Times New Roman" w:cs="Times New Roman"/>
        </w:rPr>
      </w:pPr>
      <w:r w:rsidRPr="004A7BCB">
        <w:rPr>
          <w:rFonts w:ascii="Times New Roman" w:hAnsi="Times New Roman" w:cs="Times New Roman"/>
        </w:rPr>
        <w:t xml:space="preserve">Savukārt alternatīva </w:t>
      </w:r>
      <w:r w:rsidRPr="004A7BCB">
        <w:rPr>
          <w:rFonts w:ascii="Times New Roman" w:hAnsi="Times New Roman" w:cs="Times New Roman"/>
          <w:b/>
        </w:rPr>
        <w:t>E3. alternatīva: Vienota notekūdeņu dūņu apsaimniekošana reģionālā vai valsts mērogā veidojot jaunu dūņu pārstrādes centru operatoru</w:t>
      </w:r>
      <w:r w:rsidRPr="004A7BCB">
        <w:rPr>
          <w:rFonts w:ascii="Times New Roman" w:hAnsi="Times New Roman" w:cs="Times New Roman"/>
        </w:rPr>
        <w:t xml:space="preserve"> izmaksu ziņā ir ļoti neefektīva alternatīva,</w:t>
      </w:r>
      <w:r w:rsidR="00CF16C6">
        <w:rPr>
          <w:rFonts w:ascii="Times New Roman" w:hAnsi="Times New Roman" w:cs="Times New Roman"/>
        </w:rPr>
        <w:t xml:space="preserve"> </w:t>
      </w:r>
      <w:r w:rsidRPr="004A7BCB">
        <w:rPr>
          <w:rFonts w:ascii="Times New Roman" w:hAnsi="Times New Roman" w:cs="Times New Roman"/>
        </w:rPr>
        <w:t>jo ir prognozējams, ka šīs alternatīvas ieviešanas gadījumā būs jāsaskaras ar ļoti augstām administratīvā un tehniskā personāla izmaksām, kapitālo investīciju un dūņu transportēšanas izmaksām, kas salīdzinājumā ar citiem alternatīviem risinājumiem būs būtiski augstākas.</w:t>
      </w:r>
    </w:p>
    <w:p w14:paraId="541B1B55" w14:textId="77777777" w:rsidR="004A7BCB" w:rsidRPr="004A7BCB" w:rsidRDefault="004A7BCB" w:rsidP="004A7BCB">
      <w:pPr>
        <w:spacing w:after="0"/>
        <w:ind w:firstLine="720"/>
        <w:rPr>
          <w:rFonts w:ascii="Times New Roman" w:hAnsi="Times New Roman" w:cs="Times New Roman"/>
        </w:rPr>
      </w:pPr>
    </w:p>
    <w:p w14:paraId="2F364E7C" w14:textId="77777777" w:rsidR="00EA051D" w:rsidRPr="004A7BCB" w:rsidRDefault="00EA051D" w:rsidP="004A7BCB">
      <w:pPr>
        <w:spacing w:after="0"/>
        <w:jc w:val="center"/>
        <w:rPr>
          <w:rFonts w:ascii="Times New Roman" w:hAnsi="Times New Roman" w:cs="Times New Roman"/>
          <w:u w:val="single"/>
        </w:rPr>
      </w:pPr>
      <w:bookmarkStart w:id="134" w:name="_Toc82277666"/>
      <w:r w:rsidRPr="004A7BCB">
        <w:rPr>
          <w:rFonts w:ascii="Times New Roman" w:hAnsi="Times New Roman" w:cs="Times New Roman"/>
          <w:u w:val="single"/>
        </w:rPr>
        <w:t>Notekūdeņu dūņu apsaimniekošanas institucionālo alternatīvu salīdzinošais un risku novērtējums</w:t>
      </w:r>
      <w:bookmarkEnd w:id="134"/>
    </w:p>
    <w:p w14:paraId="729B623E" w14:textId="77777777" w:rsidR="004A7BCB" w:rsidRDefault="004A7BCB" w:rsidP="004A7BCB">
      <w:pPr>
        <w:spacing w:after="0"/>
        <w:ind w:firstLine="720"/>
        <w:rPr>
          <w:rFonts w:ascii="Times New Roman" w:hAnsi="Times New Roman" w:cs="Times New Roman"/>
        </w:rPr>
      </w:pPr>
    </w:p>
    <w:p w14:paraId="516DB740" w14:textId="3FFD9C31" w:rsidR="00EA051D" w:rsidRDefault="00EA051D" w:rsidP="004A7BCB">
      <w:pPr>
        <w:spacing w:after="0"/>
        <w:ind w:firstLine="720"/>
        <w:rPr>
          <w:rFonts w:ascii="Times New Roman" w:hAnsi="Times New Roman" w:cs="Times New Roman"/>
        </w:rPr>
      </w:pPr>
      <w:r w:rsidRPr="004A7BCB">
        <w:rPr>
          <w:rFonts w:ascii="Times New Roman" w:hAnsi="Times New Roman" w:cs="Times New Roman"/>
        </w:rPr>
        <w:t xml:space="preserve">Visas izvirzītās notekūdeņu dūņu pārvaldības institucionālās alternatīvas tiek analizētas pielietojot vienotus alternatīvu vērtēšanas kritērijus. Tas nodrošina, ka ir iespējams objektīvi salīdzināt atšķirīgo alternatīvo risinājumu priekšrocības un izvēlēties labāko notekūdeņu dūņu apsaimniekošanas institucionālās pārvaldības alternatīvu. Atbilstoši iepriekš aprakstītajai </w:t>
      </w:r>
      <w:r w:rsidRPr="00953546">
        <w:rPr>
          <w:rFonts w:ascii="Times New Roman" w:hAnsi="Times New Roman" w:cs="Times New Roman"/>
        </w:rPr>
        <w:t xml:space="preserve">metodikai (skat. </w:t>
      </w:r>
      <w:r w:rsidR="008D34E0">
        <w:rPr>
          <w:rFonts w:ascii="Times New Roman" w:hAnsi="Times New Roman" w:cs="Times New Roman"/>
        </w:rPr>
        <w:t xml:space="preserve">pielikumu </w:t>
      </w:r>
      <w:r w:rsidR="008D34E0" w:rsidRPr="008D34E0">
        <w:rPr>
          <w:rFonts w:ascii="Times New Roman" w:hAnsi="Times New Roman" w:cs="Times New Roman"/>
        </w:rPr>
        <w:t>4.1. Dūņu apsaimniekošanas alternatīvu izvēles metodika</w:t>
      </w:r>
      <w:r w:rsidRPr="00953546">
        <w:rPr>
          <w:rFonts w:ascii="Times New Roman" w:hAnsi="Times New Roman" w:cs="Times New Roman"/>
        </w:rPr>
        <w:t>) ir</w:t>
      </w:r>
      <w:r w:rsidRPr="004A7BCB">
        <w:rPr>
          <w:rFonts w:ascii="Times New Roman" w:hAnsi="Times New Roman" w:cs="Times New Roman"/>
        </w:rPr>
        <w:t xml:space="preserve"> veikta notekūdeņu dūņu apsaimniekošanas institucionālās pārvaldības alternatīvu salīdzināšana un risku novērtējums. </w:t>
      </w:r>
    </w:p>
    <w:p w14:paraId="36972492" w14:textId="5F62D6AB" w:rsidR="004A7BCB" w:rsidRDefault="004A7BCB" w:rsidP="004A7BCB">
      <w:pPr>
        <w:spacing w:after="0"/>
        <w:ind w:firstLine="720"/>
        <w:rPr>
          <w:rFonts w:ascii="Times New Roman" w:hAnsi="Times New Roman" w:cs="Times New Roman"/>
        </w:rPr>
      </w:pPr>
    </w:p>
    <w:p w14:paraId="6DD251F5" w14:textId="389F1D2A" w:rsidR="004A7BCB" w:rsidRDefault="004A7BCB" w:rsidP="004A7BCB">
      <w:pPr>
        <w:spacing w:after="0"/>
        <w:ind w:firstLine="720"/>
        <w:rPr>
          <w:rFonts w:ascii="Times New Roman" w:hAnsi="Times New Roman" w:cs="Times New Roman"/>
        </w:rPr>
      </w:pPr>
    </w:p>
    <w:p w14:paraId="4B2EA328" w14:textId="573619A2" w:rsidR="004A7BCB" w:rsidRDefault="004A7BCB" w:rsidP="004A7BCB">
      <w:pPr>
        <w:spacing w:after="0"/>
        <w:ind w:firstLine="720"/>
        <w:rPr>
          <w:rFonts w:ascii="Times New Roman" w:hAnsi="Times New Roman" w:cs="Times New Roman"/>
        </w:rPr>
      </w:pPr>
    </w:p>
    <w:p w14:paraId="51824F77" w14:textId="0F2F6C7D" w:rsidR="004A7BCB" w:rsidRDefault="004A7BCB" w:rsidP="004A7BCB">
      <w:pPr>
        <w:spacing w:after="0"/>
        <w:ind w:firstLine="720"/>
        <w:rPr>
          <w:rFonts w:ascii="Times New Roman" w:hAnsi="Times New Roman" w:cs="Times New Roman"/>
        </w:rPr>
      </w:pPr>
    </w:p>
    <w:p w14:paraId="2961AC3C" w14:textId="231955D0" w:rsidR="004A7BCB" w:rsidRDefault="004A7BCB" w:rsidP="004A7BCB">
      <w:pPr>
        <w:spacing w:after="0"/>
        <w:ind w:firstLine="720"/>
        <w:rPr>
          <w:rFonts w:ascii="Times New Roman" w:hAnsi="Times New Roman" w:cs="Times New Roman"/>
        </w:rPr>
      </w:pPr>
    </w:p>
    <w:p w14:paraId="1DFDC223" w14:textId="2B0D8DAF" w:rsidR="004A7BCB" w:rsidRDefault="004A7BCB" w:rsidP="004A7BCB">
      <w:pPr>
        <w:spacing w:after="0"/>
        <w:ind w:firstLine="720"/>
        <w:rPr>
          <w:rFonts w:ascii="Times New Roman" w:hAnsi="Times New Roman" w:cs="Times New Roman"/>
        </w:rPr>
      </w:pPr>
    </w:p>
    <w:p w14:paraId="42014BAA" w14:textId="46C09179" w:rsidR="004A7BCB" w:rsidRDefault="004A7BCB" w:rsidP="004A7BCB">
      <w:pPr>
        <w:spacing w:after="0"/>
        <w:ind w:firstLine="720"/>
        <w:rPr>
          <w:rFonts w:ascii="Times New Roman" w:hAnsi="Times New Roman" w:cs="Times New Roman"/>
        </w:rPr>
      </w:pPr>
    </w:p>
    <w:p w14:paraId="6499AB31" w14:textId="77777777" w:rsidR="004A7BCB" w:rsidRPr="004A7BCB" w:rsidRDefault="004A7BCB" w:rsidP="004A7BCB">
      <w:pPr>
        <w:spacing w:after="0"/>
        <w:ind w:firstLine="720"/>
        <w:rPr>
          <w:rFonts w:ascii="Times New Roman" w:hAnsi="Times New Roman" w:cs="Times New Roman"/>
        </w:rPr>
      </w:pPr>
    </w:p>
    <w:p w14:paraId="2B730531" w14:textId="3CA6B13E" w:rsidR="004A7BCB" w:rsidRPr="004A7BCB" w:rsidRDefault="004E438F" w:rsidP="004A7BCB">
      <w:pPr>
        <w:pBdr>
          <w:top w:val="nil"/>
          <w:left w:val="nil"/>
          <w:bottom w:val="nil"/>
          <w:right w:val="nil"/>
          <w:between w:val="nil"/>
        </w:pBdr>
        <w:suppressAutoHyphens/>
        <w:autoSpaceDN w:val="0"/>
        <w:spacing w:after="0"/>
        <w:jc w:val="right"/>
        <w:textAlignment w:val="baseline"/>
        <w:rPr>
          <w:rFonts w:ascii="Times New Roman" w:hAnsi="Times New Roman" w:cs="Times New Roman"/>
          <w:bCs/>
        </w:rPr>
      </w:pPr>
      <w:r w:rsidRPr="004A7BCB">
        <w:rPr>
          <w:rFonts w:ascii="Times New Roman" w:hAnsi="Times New Roman" w:cs="Times New Roman"/>
          <w:bCs/>
        </w:rPr>
        <w:t>4.</w:t>
      </w:r>
      <w:r w:rsidR="00A850F6">
        <w:rPr>
          <w:rFonts w:ascii="Times New Roman" w:hAnsi="Times New Roman" w:cs="Times New Roman"/>
          <w:bCs/>
        </w:rPr>
        <w:t>6.2</w:t>
      </w:r>
      <w:r w:rsidRPr="004A7BCB">
        <w:rPr>
          <w:rFonts w:ascii="Times New Roman" w:hAnsi="Times New Roman" w:cs="Times New Roman"/>
          <w:bCs/>
        </w:rPr>
        <w:t>.</w:t>
      </w:r>
      <w:r w:rsidR="00EA051D" w:rsidRPr="004A7BCB">
        <w:rPr>
          <w:rFonts w:ascii="Times New Roman" w:hAnsi="Times New Roman" w:cs="Times New Roman"/>
          <w:bCs/>
        </w:rPr>
        <w:t>tabula</w:t>
      </w:r>
    </w:p>
    <w:p w14:paraId="791BE1AC" w14:textId="796B7BA3" w:rsidR="00EA051D" w:rsidRPr="004A7BCB" w:rsidRDefault="00EA051D" w:rsidP="004A7BCB">
      <w:pPr>
        <w:pBdr>
          <w:top w:val="nil"/>
          <w:left w:val="nil"/>
          <w:bottom w:val="nil"/>
          <w:right w:val="nil"/>
          <w:between w:val="nil"/>
        </w:pBdr>
        <w:suppressAutoHyphens/>
        <w:autoSpaceDN w:val="0"/>
        <w:spacing w:after="0"/>
        <w:jc w:val="center"/>
        <w:textAlignment w:val="baseline"/>
        <w:rPr>
          <w:rFonts w:ascii="Times New Roman" w:hAnsi="Times New Roman" w:cs="Times New Roman"/>
          <w:b/>
        </w:rPr>
      </w:pPr>
      <w:r w:rsidRPr="004A7BCB">
        <w:rPr>
          <w:rFonts w:ascii="Times New Roman" w:hAnsi="Times New Roman" w:cs="Times New Roman"/>
          <w:b/>
        </w:rPr>
        <w:t>Notekūdeņu dūņu apsaimniekošanas institucionālās pārvaldības alternatīvu novērtēšana pēc salīdzinošajiem kritērijiem</w:t>
      </w:r>
    </w:p>
    <w:tbl>
      <w:tblPr>
        <w:tblStyle w:val="10"/>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560"/>
        <w:gridCol w:w="1701"/>
        <w:gridCol w:w="2126"/>
        <w:gridCol w:w="2410"/>
      </w:tblGrid>
      <w:tr w:rsidR="00EA051D" w:rsidRPr="008E354D" w14:paraId="5DAF4864" w14:textId="77777777" w:rsidTr="004A7BCB">
        <w:tc>
          <w:tcPr>
            <w:tcW w:w="1129" w:type="dxa"/>
            <w:vAlign w:val="center"/>
          </w:tcPr>
          <w:p w14:paraId="3DAD7201"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Alternatīvu salīdzināšanas kritēriji</w:t>
            </w:r>
          </w:p>
        </w:tc>
        <w:tc>
          <w:tcPr>
            <w:tcW w:w="1560" w:type="dxa"/>
            <w:vAlign w:val="center"/>
          </w:tcPr>
          <w:p w14:paraId="41FB6735"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E1.alternatīva: Notekūdeņu dūņu apsaimniekošana atbilstoši katra SPS lēmumam</w:t>
            </w:r>
          </w:p>
        </w:tc>
        <w:tc>
          <w:tcPr>
            <w:tcW w:w="1701" w:type="dxa"/>
            <w:vAlign w:val="center"/>
          </w:tcPr>
          <w:p w14:paraId="64B323BC"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E2.alternatīva: Vienota notekūdeņu dūņu apsaimniekošana katras pašvaldības ietvaros</w:t>
            </w:r>
          </w:p>
        </w:tc>
        <w:tc>
          <w:tcPr>
            <w:tcW w:w="2126" w:type="dxa"/>
            <w:vAlign w:val="center"/>
          </w:tcPr>
          <w:p w14:paraId="476EC813" w14:textId="77777777" w:rsidR="00EA051D" w:rsidRPr="008E354D" w:rsidRDefault="00EA051D" w:rsidP="00D70884">
            <w:pPr>
              <w:spacing w:after="60"/>
              <w:jc w:val="center"/>
              <w:rPr>
                <w:rFonts w:ascii="Times New Roman" w:hAnsi="Times New Roman" w:cs="Times New Roman"/>
                <w:b/>
                <w:sz w:val="18"/>
                <w:szCs w:val="20"/>
              </w:rPr>
            </w:pPr>
            <w:r w:rsidRPr="008E354D">
              <w:rPr>
                <w:rFonts w:ascii="Times New Roman" w:hAnsi="Times New Roman" w:cs="Times New Roman"/>
                <w:b/>
                <w:sz w:val="18"/>
                <w:szCs w:val="20"/>
              </w:rPr>
              <w:t>E3.alternatīva: Vienota notekūdeņu dūņu apsaimniekošana reģionālā vai valsts mērogā veidojot jaunu dūņu pārstrādes centru operatoru</w:t>
            </w:r>
          </w:p>
        </w:tc>
        <w:tc>
          <w:tcPr>
            <w:tcW w:w="2410" w:type="dxa"/>
          </w:tcPr>
          <w:p w14:paraId="7FFE6680" w14:textId="77777777" w:rsidR="00EA051D" w:rsidRPr="008E354D" w:rsidRDefault="00EA051D" w:rsidP="00D70884">
            <w:pPr>
              <w:spacing w:after="60"/>
              <w:ind w:left="-99" w:right="-104"/>
              <w:jc w:val="center"/>
              <w:rPr>
                <w:rFonts w:ascii="Times New Roman" w:hAnsi="Times New Roman" w:cs="Times New Roman"/>
                <w:b/>
                <w:sz w:val="18"/>
                <w:szCs w:val="20"/>
              </w:rPr>
            </w:pPr>
            <w:r w:rsidRPr="008E354D">
              <w:rPr>
                <w:rFonts w:ascii="Times New Roman" w:hAnsi="Times New Roman" w:cs="Times New Roman"/>
                <w:b/>
                <w:sz w:val="18"/>
                <w:szCs w:val="20"/>
              </w:rPr>
              <w:t>E4.alternatīva: Viens ūdenssaimniecības sabiedrisko pakalpojumu sniedzējs valsts mērogā</w:t>
            </w:r>
          </w:p>
        </w:tc>
      </w:tr>
      <w:tr w:rsidR="00EA051D" w:rsidRPr="008E354D" w14:paraId="4155C140" w14:textId="77777777" w:rsidTr="004A7BCB">
        <w:tc>
          <w:tcPr>
            <w:tcW w:w="1129" w:type="dxa"/>
            <w:vAlign w:val="center"/>
          </w:tcPr>
          <w:p w14:paraId="287902F7" w14:textId="77777777" w:rsidR="00EA051D" w:rsidRPr="008E354D" w:rsidRDefault="00000000" w:rsidP="00D70884">
            <w:pPr>
              <w:spacing w:after="60"/>
              <w:jc w:val="center"/>
              <w:rPr>
                <w:rFonts w:ascii="Times New Roman" w:hAnsi="Times New Roman" w:cs="Times New Roman"/>
                <w:sz w:val="20"/>
                <w:szCs w:val="20"/>
              </w:rPr>
            </w:pPr>
            <w:sdt>
              <w:sdtPr>
                <w:rPr>
                  <w:rFonts w:ascii="Times New Roman" w:hAnsi="Times New Roman" w:cs="Times New Roman"/>
                </w:rPr>
                <w:tag w:val="goog_rdk_10"/>
                <w:id w:val="582801330"/>
              </w:sdtPr>
              <w:sdtContent>
                <w:r w:rsidR="00EA051D" w:rsidRPr="008E354D">
                  <w:rPr>
                    <w:rFonts w:ascii="Times New Roman" w:hAnsi="Times New Roman" w:cs="Times New Roman"/>
                    <w:sz w:val="20"/>
                    <w:szCs w:val="20"/>
                  </w:rPr>
                  <w:t>A</w:t>
                </w:r>
              </w:sdtContent>
            </w:sdt>
            <w:r w:rsidR="00EA051D" w:rsidRPr="008E354D">
              <w:rPr>
                <w:rFonts w:ascii="Times New Roman" w:hAnsi="Times New Roman" w:cs="Times New Roman"/>
                <w:sz w:val="20"/>
                <w:szCs w:val="20"/>
              </w:rPr>
              <w:t xml:space="preserve">tbilst ES un </w:t>
            </w:r>
            <w:sdt>
              <w:sdtPr>
                <w:rPr>
                  <w:rFonts w:ascii="Times New Roman" w:hAnsi="Times New Roman" w:cs="Times New Roman"/>
                </w:rPr>
                <w:tag w:val="goog_rdk_10"/>
                <w:id w:val="727346042"/>
              </w:sdtPr>
              <w:sdtContent/>
            </w:sdt>
            <w:r w:rsidR="00EA051D" w:rsidRPr="008E354D">
              <w:rPr>
                <w:rFonts w:ascii="Times New Roman" w:hAnsi="Times New Roman" w:cs="Times New Roman"/>
                <w:sz w:val="20"/>
                <w:szCs w:val="20"/>
              </w:rPr>
              <w:t>LR stratēģiju ilgtermiņa mērķiem</w:t>
            </w:r>
          </w:p>
        </w:tc>
        <w:tc>
          <w:tcPr>
            <w:tcW w:w="1560" w:type="dxa"/>
            <w:shd w:val="clear" w:color="auto" w:fill="FF0000"/>
            <w:vAlign w:val="center"/>
          </w:tcPr>
          <w:p w14:paraId="45738104"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7B2954A2"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 xml:space="preserve">Maziem SPS var būt būtiskas grūtības  sasniegt ES un LR stratēģiju ilgtermiņa attīstības mērķus </w:t>
            </w:r>
          </w:p>
        </w:tc>
        <w:tc>
          <w:tcPr>
            <w:tcW w:w="1701" w:type="dxa"/>
            <w:shd w:val="clear" w:color="auto" w:fill="92D050"/>
            <w:vAlign w:val="center"/>
          </w:tcPr>
          <w:p w14:paraId="7BA0D76A"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6474F46B"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Izveidotie 26 dūņu centri atbildīs izvirzītiem mērķiem</w:t>
            </w:r>
          </w:p>
        </w:tc>
        <w:tc>
          <w:tcPr>
            <w:tcW w:w="2126" w:type="dxa"/>
            <w:shd w:val="clear" w:color="auto" w:fill="92D050"/>
            <w:vAlign w:val="center"/>
          </w:tcPr>
          <w:p w14:paraId="75D190E6"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03B0B434"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Pietiekami lieli dūņu apsaimniekošanas operatori nodrošina ES un LR stratēģiju ilgtermiņa mērķu sasniegšanu</w:t>
            </w:r>
          </w:p>
        </w:tc>
        <w:tc>
          <w:tcPr>
            <w:tcW w:w="2410" w:type="dxa"/>
            <w:shd w:val="clear" w:color="auto" w:fill="92D050"/>
            <w:vAlign w:val="center"/>
          </w:tcPr>
          <w:p w14:paraId="2CFDF10E"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25156879"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Viens liels ūdenssaimniecības operators nodrošina ES un LR stratēģiju ilgtermiņa mērķu sasniegšanu</w:t>
            </w:r>
          </w:p>
        </w:tc>
      </w:tr>
      <w:tr w:rsidR="00EA051D" w:rsidRPr="008E354D" w14:paraId="71F96B4C" w14:textId="77777777" w:rsidTr="004A7BCB">
        <w:tc>
          <w:tcPr>
            <w:tcW w:w="1129" w:type="dxa"/>
            <w:vAlign w:val="center"/>
          </w:tcPr>
          <w:p w14:paraId="11E37F2E" w14:textId="77777777" w:rsidR="00EA051D" w:rsidRPr="008E354D" w:rsidRDefault="00EA051D" w:rsidP="00D70884">
            <w:pPr>
              <w:spacing w:after="60"/>
              <w:jc w:val="center"/>
              <w:rPr>
                <w:rFonts w:ascii="Times New Roman" w:hAnsi="Times New Roman" w:cs="Times New Roman"/>
                <w:sz w:val="20"/>
                <w:szCs w:val="20"/>
              </w:rPr>
            </w:pPr>
            <w:r w:rsidRPr="008E354D">
              <w:rPr>
                <w:rFonts w:ascii="Times New Roman" w:hAnsi="Times New Roman" w:cs="Times New Roman"/>
                <w:sz w:val="20"/>
                <w:szCs w:val="20"/>
              </w:rPr>
              <w:t>Atbilst stratēģijas izvirzītajai Vīzijai un Misijai</w:t>
            </w:r>
          </w:p>
        </w:tc>
        <w:tc>
          <w:tcPr>
            <w:tcW w:w="1560" w:type="dxa"/>
            <w:shd w:val="clear" w:color="auto" w:fill="FF0000"/>
            <w:vAlign w:val="center"/>
          </w:tcPr>
          <w:p w14:paraId="5F92D3C3"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1ED2C7B1"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Esošā notekūdeņu dūņu apsaimniekošanas situācija  liecina, ka stratēģijā izvirzītā Vīzija un Misija nevar tikt sasniegta</w:t>
            </w:r>
          </w:p>
        </w:tc>
        <w:tc>
          <w:tcPr>
            <w:tcW w:w="1701" w:type="dxa"/>
            <w:shd w:val="clear" w:color="auto" w:fill="92D050"/>
            <w:vAlign w:val="center"/>
          </w:tcPr>
          <w:p w14:paraId="1743A1B4"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189F260C"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 var nodrošināt izvirzītās Vīzijas un Misijas sasniegšanu</w:t>
            </w:r>
          </w:p>
        </w:tc>
        <w:tc>
          <w:tcPr>
            <w:tcW w:w="2126" w:type="dxa"/>
            <w:shd w:val="clear" w:color="auto" w:fill="92D050"/>
            <w:vAlign w:val="center"/>
          </w:tcPr>
          <w:p w14:paraId="2C8361EB"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475039C1"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Pietiekami lieli dūņu apsaimniekošanas operators nodrošinās izvirzītās Vīzijas un Misijas sasniegšanu</w:t>
            </w:r>
          </w:p>
        </w:tc>
        <w:tc>
          <w:tcPr>
            <w:tcW w:w="2410" w:type="dxa"/>
            <w:shd w:val="clear" w:color="auto" w:fill="92D050"/>
            <w:vAlign w:val="center"/>
          </w:tcPr>
          <w:p w14:paraId="6BC48298"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6CD2E71E"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Viens liels ūdenssaimniecības operators nodrošina izvirzītās Vīzijas un Misijas sasniegšanu</w:t>
            </w:r>
          </w:p>
        </w:tc>
      </w:tr>
      <w:tr w:rsidR="00EA051D" w:rsidRPr="008E354D" w14:paraId="2084BFE0" w14:textId="77777777" w:rsidTr="004A7BCB">
        <w:tc>
          <w:tcPr>
            <w:tcW w:w="1129" w:type="dxa"/>
            <w:vAlign w:val="center"/>
          </w:tcPr>
          <w:p w14:paraId="08963720" w14:textId="77777777" w:rsidR="00EA051D" w:rsidRPr="008E354D" w:rsidRDefault="00EA051D" w:rsidP="00D70884">
            <w:pPr>
              <w:spacing w:after="60"/>
              <w:jc w:val="center"/>
              <w:rPr>
                <w:rFonts w:ascii="Times New Roman" w:hAnsi="Times New Roman" w:cs="Times New Roman"/>
                <w:sz w:val="20"/>
                <w:szCs w:val="20"/>
              </w:rPr>
            </w:pPr>
            <w:r w:rsidRPr="008E354D">
              <w:rPr>
                <w:rFonts w:ascii="Times New Roman" w:hAnsi="Times New Roman" w:cs="Times New Roman"/>
                <w:sz w:val="20"/>
                <w:szCs w:val="20"/>
              </w:rPr>
              <w:t>Zemākas uzturēšanas izmaksas</w:t>
            </w:r>
          </w:p>
        </w:tc>
        <w:tc>
          <w:tcPr>
            <w:tcW w:w="1560" w:type="dxa"/>
            <w:shd w:val="clear" w:color="auto" w:fill="FF0000"/>
            <w:vAlign w:val="center"/>
          </w:tcPr>
          <w:p w14:paraId="05CD8B7D"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396CEB1D"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sz w:val="18"/>
                <w:szCs w:val="18"/>
              </w:rPr>
              <w:t xml:space="preserve">Maziem SPS veidosies lielas dūņu apsaimniekošanas izmaksas </w:t>
            </w:r>
          </w:p>
        </w:tc>
        <w:tc>
          <w:tcPr>
            <w:tcW w:w="1701" w:type="dxa"/>
            <w:shd w:val="clear" w:color="auto" w:fill="92D050"/>
            <w:vAlign w:val="center"/>
          </w:tcPr>
          <w:p w14:paraId="228493ED"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532B9D26"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sz w:val="18"/>
                <w:szCs w:val="18"/>
              </w:rPr>
              <w:t xml:space="preserve">Izvēlētais centru skaits nodrošina vienas no zemākām uzturēšanas izmaksām </w:t>
            </w:r>
          </w:p>
        </w:tc>
        <w:tc>
          <w:tcPr>
            <w:tcW w:w="2126" w:type="dxa"/>
            <w:shd w:val="clear" w:color="auto" w:fill="FFFF00"/>
            <w:vAlign w:val="center"/>
          </w:tcPr>
          <w:p w14:paraId="4B38A188"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b/>
                <w:sz w:val="18"/>
                <w:szCs w:val="18"/>
              </w:rPr>
              <w:t>Daļēji atbilst</w:t>
            </w:r>
          </w:p>
          <w:p w14:paraId="5699B95E"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 iekļauj salīdzinoši lielas transportēšanas izmaksas</w:t>
            </w:r>
          </w:p>
        </w:tc>
        <w:tc>
          <w:tcPr>
            <w:tcW w:w="2410" w:type="dxa"/>
            <w:shd w:val="clear" w:color="auto" w:fill="92D050"/>
          </w:tcPr>
          <w:p w14:paraId="6269389E"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79ADEDB2"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Vienots ūdenssaimniecības operators var nodrošināt lētākos iespējamos dūņu apsaimniekošanas procesus</w:t>
            </w:r>
          </w:p>
        </w:tc>
      </w:tr>
      <w:tr w:rsidR="00EA051D" w:rsidRPr="008E354D" w14:paraId="4C8A3457" w14:textId="77777777" w:rsidTr="004A7BCB">
        <w:tc>
          <w:tcPr>
            <w:tcW w:w="1129" w:type="dxa"/>
            <w:vAlign w:val="center"/>
          </w:tcPr>
          <w:p w14:paraId="1FC1B1BE" w14:textId="77777777" w:rsidR="00EA051D" w:rsidRPr="008E354D" w:rsidRDefault="00000000" w:rsidP="00D70884">
            <w:pPr>
              <w:spacing w:after="60"/>
              <w:jc w:val="center"/>
              <w:rPr>
                <w:rFonts w:ascii="Times New Roman" w:hAnsi="Times New Roman" w:cs="Times New Roman"/>
                <w:sz w:val="20"/>
                <w:szCs w:val="20"/>
              </w:rPr>
            </w:pPr>
            <w:sdt>
              <w:sdtPr>
                <w:rPr>
                  <w:rFonts w:ascii="Times New Roman" w:hAnsi="Times New Roman" w:cs="Times New Roman"/>
                </w:rPr>
                <w:tag w:val="goog_rdk_11"/>
                <w:id w:val="2021430677"/>
              </w:sdtPr>
              <w:sdtContent>
                <w:r w:rsidR="00EA051D" w:rsidRPr="008E354D">
                  <w:rPr>
                    <w:rFonts w:ascii="Times New Roman" w:hAnsi="Times New Roman" w:cs="Times New Roman"/>
                    <w:sz w:val="20"/>
                    <w:szCs w:val="20"/>
                  </w:rPr>
                  <w:t>Z</w:t>
                </w:r>
              </w:sdtContent>
            </w:sdt>
            <w:r w:rsidR="00EA051D" w:rsidRPr="008E354D">
              <w:rPr>
                <w:rFonts w:ascii="Times New Roman" w:hAnsi="Times New Roman" w:cs="Times New Roman"/>
                <w:sz w:val="20"/>
                <w:szCs w:val="20"/>
              </w:rPr>
              <w:t>emākas kapitālās investīcijas</w:t>
            </w:r>
          </w:p>
        </w:tc>
        <w:tc>
          <w:tcPr>
            <w:tcW w:w="1560" w:type="dxa"/>
            <w:shd w:val="clear" w:color="auto" w:fill="FF0000"/>
            <w:vAlign w:val="center"/>
          </w:tcPr>
          <w:p w14:paraId="64CC96CB"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17C1E29C"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sz w:val="18"/>
                <w:szCs w:val="18"/>
              </w:rPr>
              <w:t xml:space="preserve">Maziem SPS būs nepieciešamas lielas dūņu pārstrādes kapitālās investīcijas </w:t>
            </w:r>
          </w:p>
        </w:tc>
        <w:tc>
          <w:tcPr>
            <w:tcW w:w="1701" w:type="dxa"/>
            <w:shd w:val="clear" w:color="auto" w:fill="92D050"/>
            <w:vAlign w:val="center"/>
          </w:tcPr>
          <w:p w14:paraId="041F2DA1"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3B261A62"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sz w:val="18"/>
                <w:szCs w:val="18"/>
              </w:rPr>
              <w:t xml:space="preserve">Izvēlētais centru skaits nodrošina vienas no zemākām uzturēšanas izmaksām </w:t>
            </w:r>
          </w:p>
        </w:tc>
        <w:tc>
          <w:tcPr>
            <w:tcW w:w="2126" w:type="dxa"/>
            <w:shd w:val="clear" w:color="auto" w:fill="FFFF00"/>
            <w:vAlign w:val="center"/>
          </w:tcPr>
          <w:p w14:paraId="3FCEF17A"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Daļēji atbilst</w:t>
            </w:r>
          </w:p>
          <w:p w14:paraId="0112A0ED"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 iekļauj salīdzinoši lielas kapitālās investīcijas</w:t>
            </w:r>
          </w:p>
        </w:tc>
        <w:tc>
          <w:tcPr>
            <w:tcW w:w="2410" w:type="dxa"/>
            <w:shd w:val="clear" w:color="auto" w:fill="92D050"/>
          </w:tcPr>
          <w:p w14:paraId="42B46223"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1D25C1D8"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sz w:val="18"/>
                <w:szCs w:val="18"/>
              </w:rPr>
              <w:t>Vienots ūdenssaimniecības operators var nodrošināt optimālāko sistēmu un zemāko kapitālo investīciju nepieciešamību</w:t>
            </w:r>
          </w:p>
        </w:tc>
      </w:tr>
      <w:tr w:rsidR="00EA051D" w:rsidRPr="008E354D" w14:paraId="1B10F78A" w14:textId="77777777" w:rsidTr="004A7BCB">
        <w:tc>
          <w:tcPr>
            <w:tcW w:w="1129" w:type="dxa"/>
            <w:vAlign w:val="center"/>
          </w:tcPr>
          <w:p w14:paraId="6D06C246" w14:textId="77777777" w:rsidR="00EA051D" w:rsidRPr="008E354D" w:rsidRDefault="00000000" w:rsidP="00D70884">
            <w:pPr>
              <w:spacing w:after="60"/>
              <w:jc w:val="center"/>
              <w:rPr>
                <w:rFonts w:ascii="Times New Roman" w:hAnsi="Times New Roman" w:cs="Times New Roman"/>
                <w:sz w:val="20"/>
                <w:szCs w:val="20"/>
              </w:rPr>
            </w:pPr>
            <w:sdt>
              <w:sdtPr>
                <w:rPr>
                  <w:rFonts w:ascii="Times New Roman" w:hAnsi="Times New Roman" w:cs="Times New Roman"/>
                </w:rPr>
                <w:tag w:val="goog_rdk_11"/>
                <w:id w:val="-449782452"/>
              </w:sdtPr>
              <w:sdtContent>
                <w:r w:rsidR="00EA051D" w:rsidRPr="008E354D">
                  <w:rPr>
                    <w:rFonts w:ascii="Times New Roman" w:hAnsi="Times New Roman" w:cs="Times New Roman"/>
                    <w:sz w:val="20"/>
                    <w:szCs w:val="20"/>
                  </w:rPr>
                  <w:t>V</w:t>
                </w:r>
              </w:sdtContent>
            </w:sdt>
            <w:r w:rsidR="00EA051D" w:rsidRPr="008E354D">
              <w:rPr>
                <w:rFonts w:ascii="Times New Roman" w:hAnsi="Times New Roman" w:cs="Times New Roman"/>
                <w:sz w:val="20"/>
                <w:szCs w:val="20"/>
              </w:rPr>
              <w:t>ienkāršāks  ieviešanas scenārijs</w:t>
            </w:r>
          </w:p>
        </w:tc>
        <w:tc>
          <w:tcPr>
            <w:tcW w:w="1560" w:type="dxa"/>
            <w:shd w:val="clear" w:color="auto" w:fill="92D050"/>
            <w:vAlign w:val="center"/>
          </w:tcPr>
          <w:p w14:paraId="3757DB03"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4079C500"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 neprasa nekādas izmaiņas</w:t>
            </w:r>
          </w:p>
        </w:tc>
        <w:tc>
          <w:tcPr>
            <w:tcW w:w="1701" w:type="dxa"/>
            <w:shd w:val="clear" w:color="auto" w:fill="92D050"/>
            <w:vAlign w:val="center"/>
          </w:tcPr>
          <w:p w14:paraId="1A8772B6"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59485E32" w14:textId="77777777" w:rsidR="00EA051D" w:rsidRPr="008E354D" w:rsidRDefault="00EA051D" w:rsidP="00D70884">
            <w:pPr>
              <w:spacing w:after="60"/>
              <w:ind w:left="-28"/>
              <w:jc w:val="center"/>
              <w:rPr>
                <w:rFonts w:ascii="Times New Roman" w:hAnsi="Times New Roman" w:cs="Times New Roman"/>
                <w:sz w:val="18"/>
                <w:szCs w:val="18"/>
              </w:rPr>
            </w:pPr>
            <w:r w:rsidRPr="008E354D">
              <w:rPr>
                <w:rFonts w:ascii="Times New Roman" w:hAnsi="Times New Roman" w:cs="Times New Roman"/>
                <w:sz w:val="18"/>
                <w:szCs w:val="18"/>
              </w:rPr>
              <w:t>Alternatīva prasa nelielas izmaiņas normatīvajos aktos</w:t>
            </w:r>
          </w:p>
        </w:tc>
        <w:tc>
          <w:tcPr>
            <w:tcW w:w="2126" w:type="dxa"/>
            <w:shd w:val="clear" w:color="auto" w:fill="FF0000"/>
            <w:vAlign w:val="center"/>
          </w:tcPr>
          <w:p w14:paraId="48529934"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23CC2F18"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 prasa būtiskas izmaiņas esošajā dūņu apsaimniekošanas sistēmā</w:t>
            </w:r>
          </w:p>
        </w:tc>
        <w:tc>
          <w:tcPr>
            <w:tcW w:w="2410" w:type="dxa"/>
            <w:shd w:val="clear" w:color="auto" w:fill="FF0000"/>
            <w:vAlign w:val="center"/>
          </w:tcPr>
          <w:p w14:paraId="6B375EF8"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46433339"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 prasa būtiskas izmaiņas esošajā dūņu apsaimniekošanas sistēmā</w:t>
            </w:r>
          </w:p>
        </w:tc>
      </w:tr>
      <w:tr w:rsidR="00696FE5" w:rsidRPr="008E354D" w14:paraId="3B88B931" w14:textId="77777777" w:rsidTr="004A7BCB">
        <w:tc>
          <w:tcPr>
            <w:tcW w:w="1129" w:type="dxa"/>
            <w:vAlign w:val="center"/>
          </w:tcPr>
          <w:p w14:paraId="74F516D6" w14:textId="77777777" w:rsidR="00696FE5" w:rsidRPr="008E354D" w:rsidRDefault="00696FE5" w:rsidP="00696FE5">
            <w:pPr>
              <w:spacing w:after="60"/>
              <w:jc w:val="center"/>
              <w:rPr>
                <w:rFonts w:ascii="Times New Roman" w:hAnsi="Times New Roman" w:cs="Times New Roman"/>
                <w:sz w:val="20"/>
                <w:szCs w:val="20"/>
              </w:rPr>
            </w:pPr>
            <w:r w:rsidRPr="008E354D">
              <w:rPr>
                <w:rFonts w:ascii="Times New Roman" w:hAnsi="Times New Roman" w:cs="Times New Roman"/>
                <w:sz w:val="20"/>
                <w:szCs w:val="20"/>
              </w:rPr>
              <w:t>Alternatīvu neierobežo noteikts dūņu apjoms</w:t>
            </w:r>
          </w:p>
        </w:tc>
        <w:tc>
          <w:tcPr>
            <w:tcW w:w="1560" w:type="dxa"/>
            <w:shd w:val="clear" w:color="auto" w:fill="92D050"/>
            <w:vAlign w:val="center"/>
          </w:tcPr>
          <w:p w14:paraId="797A084C" w14:textId="77777777" w:rsidR="00696FE5" w:rsidRPr="008E354D" w:rsidRDefault="00696FE5" w:rsidP="00696FE5">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599D55DA" w14:textId="77777777" w:rsidR="00696FE5" w:rsidRPr="008E354D" w:rsidRDefault="00696FE5" w:rsidP="00696FE5">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Alternatīvas ieviešanai nav nozīmīgs dūņu apjoms</w:t>
            </w:r>
          </w:p>
        </w:tc>
        <w:tc>
          <w:tcPr>
            <w:tcW w:w="1701" w:type="dxa"/>
            <w:shd w:val="clear" w:color="auto" w:fill="92D050"/>
            <w:vAlign w:val="center"/>
          </w:tcPr>
          <w:p w14:paraId="03F36AFC" w14:textId="77777777" w:rsidR="00696FE5" w:rsidRPr="008E354D" w:rsidRDefault="00696FE5" w:rsidP="00696FE5">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2C5BF068" w14:textId="77777777" w:rsidR="00696FE5" w:rsidRPr="008E354D" w:rsidRDefault="00696FE5" w:rsidP="00696FE5">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Alternatīvas ieviešanai nav nozīmīgs dūņu apjoms</w:t>
            </w:r>
          </w:p>
        </w:tc>
        <w:tc>
          <w:tcPr>
            <w:tcW w:w="2126" w:type="dxa"/>
            <w:shd w:val="clear" w:color="auto" w:fill="92D050"/>
            <w:vAlign w:val="center"/>
          </w:tcPr>
          <w:p w14:paraId="5E229BB9" w14:textId="77777777" w:rsidR="00696FE5" w:rsidRPr="008E354D" w:rsidRDefault="00696FE5" w:rsidP="00696FE5">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70BCEF28" w14:textId="77777777" w:rsidR="00696FE5" w:rsidRPr="008E354D" w:rsidRDefault="00696FE5" w:rsidP="00696FE5">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Alternatīvas ieviešanai nav nozīmīgs dūņu apjoms</w:t>
            </w:r>
          </w:p>
        </w:tc>
        <w:tc>
          <w:tcPr>
            <w:tcW w:w="2410" w:type="dxa"/>
            <w:shd w:val="clear" w:color="auto" w:fill="92D050"/>
            <w:vAlign w:val="center"/>
          </w:tcPr>
          <w:p w14:paraId="1B2FC167" w14:textId="77777777" w:rsidR="00696FE5" w:rsidRPr="008E354D" w:rsidRDefault="00696FE5" w:rsidP="00696FE5">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121B473D" w14:textId="77777777" w:rsidR="00696FE5" w:rsidRPr="008E354D" w:rsidRDefault="00696FE5" w:rsidP="00696FE5">
            <w:pPr>
              <w:spacing w:after="60"/>
              <w:jc w:val="center"/>
              <w:rPr>
                <w:rFonts w:ascii="Times New Roman" w:hAnsi="Times New Roman" w:cs="Times New Roman"/>
                <w:sz w:val="18"/>
                <w:szCs w:val="18"/>
              </w:rPr>
            </w:pPr>
            <w:r w:rsidRPr="008E354D">
              <w:rPr>
                <w:rFonts w:ascii="Times New Roman" w:hAnsi="Times New Roman" w:cs="Times New Roman"/>
                <w:sz w:val="18"/>
                <w:szCs w:val="18"/>
              </w:rPr>
              <w:t>Alternatīvas ieviešanai nav nozīmīgs dūņu apjoms</w:t>
            </w:r>
          </w:p>
        </w:tc>
      </w:tr>
      <w:tr w:rsidR="00EA051D" w:rsidRPr="008E354D" w14:paraId="2DD736E9" w14:textId="77777777" w:rsidTr="004A7BCB">
        <w:tc>
          <w:tcPr>
            <w:tcW w:w="1129" w:type="dxa"/>
            <w:vAlign w:val="center"/>
          </w:tcPr>
          <w:p w14:paraId="073551F7" w14:textId="77777777" w:rsidR="00EA051D" w:rsidRPr="008E354D" w:rsidRDefault="00EA051D" w:rsidP="00D70884">
            <w:pPr>
              <w:spacing w:after="60"/>
              <w:ind w:left="-108" w:right="-26"/>
              <w:jc w:val="center"/>
              <w:rPr>
                <w:rFonts w:ascii="Times New Roman" w:hAnsi="Times New Roman" w:cs="Times New Roman"/>
                <w:sz w:val="20"/>
                <w:szCs w:val="20"/>
              </w:rPr>
            </w:pPr>
            <w:r w:rsidRPr="008E354D">
              <w:rPr>
                <w:rFonts w:ascii="Times New Roman" w:hAnsi="Times New Roman" w:cs="Times New Roman"/>
                <w:sz w:val="20"/>
                <w:szCs w:val="20"/>
              </w:rPr>
              <w:lastRenderedPageBreak/>
              <w:t>Dūņu apsaimniekošanas uzraudzības ārējā kontrole ir viegli īstenojama un neprasa lielus resursus</w:t>
            </w:r>
          </w:p>
        </w:tc>
        <w:tc>
          <w:tcPr>
            <w:tcW w:w="1560" w:type="dxa"/>
            <w:shd w:val="clear" w:color="auto" w:fill="FF0000"/>
            <w:vAlign w:val="center"/>
          </w:tcPr>
          <w:p w14:paraId="239616F2"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Neatbilst</w:t>
            </w:r>
          </w:p>
          <w:p w14:paraId="4FFB0DD1" w14:textId="77777777" w:rsidR="00EA051D" w:rsidRPr="008E354D" w:rsidRDefault="00EA051D" w:rsidP="00D70884">
            <w:pPr>
              <w:spacing w:after="60"/>
              <w:ind w:left="-48" w:firstLine="48"/>
              <w:jc w:val="center"/>
              <w:rPr>
                <w:rFonts w:ascii="Times New Roman" w:hAnsi="Times New Roman" w:cs="Times New Roman"/>
                <w:sz w:val="18"/>
                <w:szCs w:val="18"/>
              </w:rPr>
            </w:pPr>
            <w:r w:rsidRPr="008E354D">
              <w:rPr>
                <w:rFonts w:ascii="Times New Roman" w:hAnsi="Times New Roman" w:cs="Times New Roman"/>
                <w:sz w:val="18"/>
                <w:szCs w:val="18"/>
              </w:rPr>
              <w:t>Pie ļoti liela SPS skaita dūņu uzraudzības kontrole ir grūtāk organizējama</w:t>
            </w:r>
          </w:p>
        </w:tc>
        <w:tc>
          <w:tcPr>
            <w:tcW w:w="1701" w:type="dxa"/>
            <w:shd w:val="clear" w:color="auto" w:fill="92D050"/>
            <w:vAlign w:val="center"/>
          </w:tcPr>
          <w:p w14:paraId="6D4DE4D6"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6050E4BE"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Ārējā kontrole ir viegli nodrošināma</w:t>
            </w:r>
          </w:p>
        </w:tc>
        <w:tc>
          <w:tcPr>
            <w:tcW w:w="2126" w:type="dxa"/>
            <w:shd w:val="clear" w:color="auto" w:fill="92D050"/>
            <w:vAlign w:val="center"/>
          </w:tcPr>
          <w:p w14:paraId="1A6448BC"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Atbilst</w:t>
            </w:r>
          </w:p>
          <w:p w14:paraId="14470381" w14:textId="77777777" w:rsidR="00EA051D" w:rsidRPr="008E354D" w:rsidRDefault="00EA051D" w:rsidP="00D70884">
            <w:pPr>
              <w:spacing w:after="60"/>
              <w:jc w:val="center"/>
              <w:rPr>
                <w:rFonts w:ascii="Times New Roman" w:hAnsi="Times New Roman" w:cs="Times New Roman"/>
                <w:sz w:val="18"/>
                <w:szCs w:val="18"/>
              </w:rPr>
            </w:pPr>
            <w:r w:rsidRPr="008E354D">
              <w:rPr>
                <w:rFonts w:ascii="Times New Roman" w:hAnsi="Times New Roman" w:cs="Times New Roman"/>
                <w:sz w:val="18"/>
                <w:szCs w:val="18"/>
              </w:rPr>
              <w:t>Ārējā kontrole ir viegli nodrošināma</w:t>
            </w:r>
          </w:p>
        </w:tc>
        <w:tc>
          <w:tcPr>
            <w:tcW w:w="2410" w:type="dxa"/>
            <w:shd w:val="clear" w:color="auto" w:fill="FFFF00"/>
            <w:vAlign w:val="center"/>
          </w:tcPr>
          <w:p w14:paraId="035E2FFA" w14:textId="77777777" w:rsidR="00EA051D" w:rsidRPr="008E354D" w:rsidRDefault="00EA051D" w:rsidP="00D70884">
            <w:pPr>
              <w:spacing w:after="60"/>
              <w:jc w:val="center"/>
              <w:rPr>
                <w:rFonts w:ascii="Times New Roman" w:hAnsi="Times New Roman" w:cs="Times New Roman"/>
                <w:b/>
                <w:sz w:val="18"/>
                <w:szCs w:val="18"/>
              </w:rPr>
            </w:pPr>
            <w:r w:rsidRPr="008E354D">
              <w:rPr>
                <w:rFonts w:ascii="Times New Roman" w:hAnsi="Times New Roman" w:cs="Times New Roman"/>
                <w:b/>
                <w:sz w:val="18"/>
                <w:szCs w:val="18"/>
              </w:rPr>
              <w:t>Daļēji atbilst</w:t>
            </w:r>
          </w:p>
          <w:p w14:paraId="4F634191" w14:textId="77777777" w:rsidR="00EA051D" w:rsidRPr="008E354D" w:rsidRDefault="00EA051D" w:rsidP="00D70884">
            <w:pPr>
              <w:spacing w:after="60"/>
              <w:ind w:left="-75" w:right="-104"/>
              <w:jc w:val="center"/>
              <w:rPr>
                <w:rFonts w:ascii="Times New Roman" w:hAnsi="Times New Roman" w:cs="Times New Roman"/>
                <w:b/>
                <w:sz w:val="18"/>
                <w:szCs w:val="18"/>
              </w:rPr>
            </w:pPr>
            <w:r w:rsidRPr="008E354D">
              <w:rPr>
                <w:rFonts w:ascii="Times New Roman" w:hAnsi="Times New Roman" w:cs="Times New Roman"/>
                <w:sz w:val="18"/>
                <w:szCs w:val="18"/>
              </w:rPr>
              <w:t xml:space="preserve">Lielā un vienotā sistēmā bez liela ārējā atbalsta un iesaistes ir grūti nodrošināt efektīvu ārējo kontroli un uzraudzību </w:t>
            </w:r>
          </w:p>
        </w:tc>
      </w:tr>
    </w:tbl>
    <w:p w14:paraId="34625D51" w14:textId="77777777" w:rsidR="00EA051D" w:rsidRPr="00175DD0" w:rsidRDefault="00EA051D" w:rsidP="00EA051D">
      <w:pPr>
        <w:rPr>
          <w:rFonts w:cstheme="minorHAnsi"/>
        </w:rPr>
      </w:pPr>
    </w:p>
    <w:p w14:paraId="3CA2A9A5" w14:textId="3E7542A8" w:rsidR="00EA051D" w:rsidRPr="008E354D" w:rsidRDefault="00EA051D" w:rsidP="00EA051D">
      <w:pPr>
        <w:spacing w:after="0"/>
        <w:rPr>
          <w:rFonts w:ascii="Times New Roman" w:hAnsi="Times New Roman" w:cs="Times New Roman"/>
        </w:rPr>
      </w:pPr>
      <w:r w:rsidRPr="008E354D">
        <w:rPr>
          <w:rFonts w:ascii="Times New Roman" w:hAnsi="Times New Roman" w:cs="Times New Roman"/>
        </w:rPr>
        <w:t>Salīdzinot alternatīvas pēc veiktā izvērtējuma 4.</w:t>
      </w:r>
      <w:r w:rsidR="007A0E8B">
        <w:rPr>
          <w:rFonts w:ascii="Times New Roman" w:hAnsi="Times New Roman" w:cs="Times New Roman"/>
        </w:rPr>
        <w:t>6.2</w:t>
      </w:r>
      <w:r w:rsidRPr="008E354D">
        <w:rPr>
          <w:rFonts w:ascii="Times New Roman" w:hAnsi="Times New Roman" w:cs="Times New Roman"/>
        </w:rPr>
        <w:t>.tabulā var izdarīt šādus secinājumus:</w:t>
      </w:r>
    </w:p>
    <w:p w14:paraId="4752E1C7" w14:textId="43381157" w:rsidR="00EA051D" w:rsidRPr="008E354D" w:rsidRDefault="00EA051D" w:rsidP="00EA051D">
      <w:pPr>
        <w:rPr>
          <w:rFonts w:ascii="Times New Roman" w:hAnsi="Times New Roman" w:cs="Times New Roman"/>
        </w:rPr>
      </w:pPr>
      <w:r w:rsidRPr="008E354D">
        <w:rPr>
          <w:rFonts w:ascii="Times New Roman" w:hAnsi="Times New Roman" w:cs="Times New Roman"/>
          <w:b/>
          <w:szCs w:val="20"/>
        </w:rPr>
        <w:t xml:space="preserve">E1. alternatīva: Notekūdeņu dūņu apsaimniekošana atbilstoši katra SPS lēmumam </w:t>
      </w:r>
      <w:r w:rsidRPr="008E354D">
        <w:rPr>
          <w:rFonts w:ascii="Times New Roman" w:hAnsi="Times New Roman" w:cs="Times New Roman"/>
          <w:szCs w:val="20"/>
        </w:rPr>
        <w:t>vairākos salīdzinošos kritērijos tiek novērtēta kā neatbilstoša alternatīva. Vienīgās šīs alternatīvas priekšrocības ir vienkāršajā ieviešanas scenārijā (nekas netiek mainīts salīdzinājumā ar esošo situāciju), kā arī alternatīvu nei</w:t>
      </w:r>
      <w:r w:rsidR="00CF16C6">
        <w:rPr>
          <w:rFonts w:ascii="Times New Roman" w:hAnsi="Times New Roman" w:cs="Times New Roman"/>
          <w:szCs w:val="20"/>
        </w:rPr>
        <w:t>e</w:t>
      </w:r>
      <w:r w:rsidRPr="008E354D">
        <w:rPr>
          <w:rFonts w:ascii="Times New Roman" w:hAnsi="Times New Roman" w:cs="Times New Roman"/>
          <w:szCs w:val="20"/>
        </w:rPr>
        <w:t>robežo noteikts notekūdeņu dūņu daudzums. Šis ir atbilstošs kritērijs visu apskatīto alternatīvu gadījumā.</w:t>
      </w:r>
    </w:p>
    <w:p w14:paraId="51AC6A08" w14:textId="77777777" w:rsidR="00EA051D" w:rsidRPr="008E354D" w:rsidRDefault="00EA051D" w:rsidP="00EA051D">
      <w:pPr>
        <w:rPr>
          <w:rFonts w:ascii="Times New Roman" w:hAnsi="Times New Roman" w:cs="Times New Roman"/>
        </w:rPr>
      </w:pPr>
      <w:r w:rsidRPr="008E354D">
        <w:rPr>
          <w:rFonts w:ascii="Times New Roman" w:hAnsi="Times New Roman" w:cs="Times New Roman"/>
          <w:b/>
          <w:szCs w:val="20"/>
        </w:rPr>
        <w:t>E2. alternatīva: Vienota notekūdeņu dūņu apsaimniekošana katras pašvaldības ietvaros</w:t>
      </w:r>
      <w:r w:rsidRPr="008E354D">
        <w:rPr>
          <w:rFonts w:ascii="Times New Roman" w:hAnsi="Times New Roman" w:cs="Times New Roman"/>
          <w:szCs w:val="20"/>
        </w:rPr>
        <w:t xml:space="preserve"> pilnībā atbilst visiem izvirzītajiem salīdzinošiem kritērijiem. Tā arī ir saskaņā ar izvirzīto D5. alternatīvu par dūņu centru izveidošanu</w:t>
      </w:r>
    </w:p>
    <w:p w14:paraId="5E6C8D78" w14:textId="77777777" w:rsidR="00EA051D" w:rsidRPr="008E354D" w:rsidRDefault="00EA051D" w:rsidP="00EA051D">
      <w:pPr>
        <w:rPr>
          <w:rFonts w:ascii="Times New Roman" w:hAnsi="Times New Roman" w:cs="Times New Roman"/>
          <w:szCs w:val="20"/>
        </w:rPr>
      </w:pPr>
      <w:r w:rsidRPr="008E354D">
        <w:rPr>
          <w:rFonts w:ascii="Times New Roman" w:hAnsi="Times New Roman" w:cs="Times New Roman"/>
          <w:b/>
          <w:szCs w:val="20"/>
        </w:rPr>
        <w:t>E3. alternatīva: Vienota notekūdeņu dūņu apsaimniekošana reģionālā vai valsts mērogā veidojot jaunu dūņu pārstrādes centru operatoru</w:t>
      </w:r>
      <w:r w:rsidRPr="008E354D">
        <w:rPr>
          <w:rFonts w:ascii="Times New Roman" w:hAnsi="Times New Roman" w:cs="Times New Roman"/>
          <w:szCs w:val="20"/>
        </w:rPr>
        <w:t xml:space="preserve"> ir neatbilstoša pēc tās sarežģītības un iespējām iekļauties esošā notekūdeņu dūņu apsaimniekošanas sistēmā. Alternatīvas kopējās augstās izmaksas ir novērtētas iepriekš, bet pēc citiem vērtēšanas kritērijiem alternatīva ir atbilstoša.</w:t>
      </w:r>
    </w:p>
    <w:p w14:paraId="057C2943" w14:textId="77777777" w:rsidR="00EA051D" w:rsidRPr="008E354D" w:rsidRDefault="00EA051D" w:rsidP="00EA051D">
      <w:pPr>
        <w:rPr>
          <w:rFonts w:ascii="Times New Roman" w:hAnsi="Times New Roman" w:cs="Times New Roman"/>
        </w:rPr>
      </w:pPr>
      <w:r w:rsidRPr="008E354D">
        <w:rPr>
          <w:rFonts w:ascii="Times New Roman" w:hAnsi="Times New Roman" w:cs="Times New Roman"/>
          <w:b/>
          <w:szCs w:val="20"/>
        </w:rPr>
        <w:t>E4. alternatīva: Viens ūdenssaimniecības sabiedrisko pakalpojumu sniedzējs valsts mērogā</w:t>
      </w:r>
      <w:r w:rsidRPr="008E354D">
        <w:rPr>
          <w:rFonts w:ascii="Times New Roman" w:hAnsi="Times New Roman" w:cs="Times New Roman"/>
          <w:szCs w:val="20"/>
        </w:rPr>
        <w:t xml:space="preserve"> ir neatbilstoša vērtējot tās ieviešanas sarežģītību pret esošo notekūdeņu dūņu apsaimniekošanas sistēmu. Tiek prognozēts, ka nodrošināt ārēju neatkarīgu uzraudzību pilnībā slēgtā uzņēmumā var būt apgrūtinoši. Citādi alternatīva ir atbilstoša izvirzītajiem salīdzinošajiem kritērijiem.</w:t>
      </w:r>
    </w:p>
    <w:p w14:paraId="146BA281" w14:textId="5D79EE4F" w:rsidR="008E354D" w:rsidRDefault="00EA051D" w:rsidP="00EA051D">
      <w:pPr>
        <w:rPr>
          <w:rFonts w:ascii="Times New Roman" w:hAnsi="Times New Roman" w:cs="Times New Roman"/>
        </w:rPr>
      </w:pPr>
      <w:r w:rsidRPr="008E354D">
        <w:rPr>
          <w:rFonts w:ascii="Times New Roman" w:hAnsi="Times New Roman" w:cs="Times New Roman"/>
        </w:rPr>
        <w:t>Kopā ar notekūdeņu dūņu apsaimniekošanas institucionālās pārvaldības alternatīvu atbilstības novērtējumu ir veikts arī risku novērtējums par šo alternatīvo risinājumu tālāku ilgtermiņa izmantošanu.</w:t>
      </w:r>
    </w:p>
    <w:p w14:paraId="29B82471" w14:textId="185AD16E" w:rsidR="00E07456" w:rsidRDefault="00E07456" w:rsidP="00EA051D">
      <w:pPr>
        <w:rPr>
          <w:rFonts w:ascii="Times New Roman" w:hAnsi="Times New Roman" w:cs="Times New Roman"/>
        </w:rPr>
      </w:pPr>
    </w:p>
    <w:p w14:paraId="6F211C49" w14:textId="6447069E" w:rsidR="00E07456" w:rsidRDefault="00E07456" w:rsidP="00EA051D">
      <w:pPr>
        <w:rPr>
          <w:rFonts w:ascii="Times New Roman" w:hAnsi="Times New Roman" w:cs="Times New Roman"/>
        </w:rPr>
      </w:pPr>
    </w:p>
    <w:p w14:paraId="13D5BD08" w14:textId="09C1A963" w:rsidR="00E07456" w:rsidRDefault="00E07456" w:rsidP="00EA051D">
      <w:pPr>
        <w:rPr>
          <w:rFonts w:ascii="Times New Roman" w:hAnsi="Times New Roman" w:cs="Times New Roman"/>
        </w:rPr>
      </w:pPr>
    </w:p>
    <w:p w14:paraId="658BE765" w14:textId="433902E1" w:rsidR="00E07456" w:rsidRDefault="00E07456" w:rsidP="00EA051D">
      <w:pPr>
        <w:rPr>
          <w:rFonts w:ascii="Times New Roman" w:hAnsi="Times New Roman" w:cs="Times New Roman"/>
        </w:rPr>
      </w:pPr>
    </w:p>
    <w:p w14:paraId="7D304EDF" w14:textId="77777777" w:rsidR="00E07456" w:rsidRPr="008E354D" w:rsidRDefault="00E07456" w:rsidP="00EA051D">
      <w:pPr>
        <w:rPr>
          <w:rFonts w:ascii="Times New Roman" w:hAnsi="Times New Roman" w:cs="Times New Roman"/>
        </w:rPr>
      </w:pPr>
    </w:p>
    <w:p w14:paraId="5CD64124" w14:textId="53BB1B7A" w:rsidR="008E354D" w:rsidRPr="008E354D" w:rsidRDefault="00A670F6" w:rsidP="008E354D">
      <w:pPr>
        <w:pBdr>
          <w:top w:val="nil"/>
          <w:left w:val="nil"/>
          <w:bottom w:val="nil"/>
          <w:right w:val="nil"/>
          <w:between w:val="nil"/>
        </w:pBdr>
        <w:suppressAutoHyphens/>
        <w:autoSpaceDN w:val="0"/>
        <w:spacing w:after="0"/>
        <w:jc w:val="right"/>
        <w:textAlignment w:val="baseline"/>
        <w:rPr>
          <w:rFonts w:ascii="Times New Roman" w:hAnsi="Times New Roman" w:cs="Times New Roman"/>
          <w:bCs/>
        </w:rPr>
      </w:pPr>
      <w:r w:rsidRPr="008E354D">
        <w:rPr>
          <w:rFonts w:ascii="Times New Roman" w:hAnsi="Times New Roman" w:cs="Times New Roman"/>
          <w:bCs/>
        </w:rPr>
        <w:t>4.</w:t>
      </w:r>
      <w:r w:rsidR="0016792C">
        <w:rPr>
          <w:rFonts w:ascii="Times New Roman" w:hAnsi="Times New Roman" w:cs="Times New Roman"/>
          <w:bCs/>
        </w:rPr>
        <w:t>6.3</w:t>
      </w:r>
      <w:r w:rsidRPr="008E354D">
        <w:rPr>
          <w:rFonts w:ascii="Times New Roman" w:hAnsi="Times New Roman" w:cs="Times New Roman"/>
          <w:bCs/>
        </w:rPr>
        <w:t>.</w:t>
      </w:r>
      <w:r w:rsidR="00EA051D" w:rsidRPr="008E354D">
        <w:rPr>
          <w:rFonts w:ascii="Times New Roman" w:hAnsi="Times New Roman" w:cs="Times New Roman"/>
          <w:bCs/>
        </w:rPr>
        <w:t>tabula</w:t>
      </w:r>
    </w:p>
    <w:p w14:paraId="612CE9E2" w14:textId="3044DCC5" w:rsidR="00EA051D" w:rsidRPr="008E354D" w:rsidRDefault="00EA051D" w:rsidP="008E354D">
      <w:pPr>
        <w:pBdr>
          <w:top w:val="nil"/>
          <w:left w:val="nil"/>
          <w:bottom w:val="nil"/>
          <w:right w:val="nil"/>
          <w:between w:val="nil"/>
        </w:pBdr>
        <w:suppressAutoHyphens/>
        <w:autoSpaceDN w:val="0"/>
        <w:spacing w:after="0"/>
        <w:jc w:val="center"/>
        <w:textAlignment w:val="baseline"/>
        <w:rPr>
          <w:rFonts w:ascii="Times New Roman" w:hAnsi="Times New Roman" w:cs="Times New Roman"/>
          <w:b/>
        </w:rPr>
      </w:pPr>
      <w:r w:rsidRPr="008E354D">
        <w:rPr>
          <w:rFonts w:ascii="Times New Roman" w:hAnsi="Times New Roman" w:cs="Times New Roman"/>
          <w:b/>
        </w:rPr>
        <w:t>Notekūdeņu dūņu apsaimniekošanas institucionālās pārvaldības alternatīvu risku novērtējums</w:t>
      </w:r>
    </w:p>
    <w:tbl>
      <w:tblPr>
        <w:tblStyle w:val="9"/>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560"/>
        <w:gridCol w:w="1842"/>
        <w:gridCol w:w="1985"/>
        <w:gridCol w:w="1843"/>
      </w:tblGrid>
      <w:tr w:rsidR="00D70884" w:rsidRPr="008E354D" w14:paraId="14BDDBDC" w14:textId="77777777" w:rsidTr="00E07456">
        <w:tc>
          <w:tcPr>
            <w:tcW w:w="1696" w:type="dxa"/>
            <w:vAlign w:val="center"/>
          </w:tcPr>
          <w:p w14:paraId="1315645D" w14:textId="77777777" w:rsidR="00D70884" w:rsidRPr="008E354D" w:rsidRDefault="00D70884" w:rsidP="00D70884">
            <w:pPr>
              <w:spacing w:after="40" w:line="240" w:lineRule="auto"/>
              <w:jc w:val="center"/>
              <w:rPr>
                <w:rFonts w:ascii="Times New Roman" w:hAnsi="Times New Roman" w:cs="Times New Roman"/>
                <w:b/>
                <w:sz w:val="18"/>
                <w:szCs w:val="20"/>
              </w:rPr>
            </w:pPr>
            <w:r w:rsidRPr="008E354D">
              <w:rPr>
                <w:rFonts w:ascii="Times New Roman" w:hAnsi="Times New Roman" w:cs="Times New Roman"/>
                <w:b/>
                <w:sz w:val="18"/>
                <w:szCs w:val="20"/>
              </w:rPr>
              <w:t>Risku novērtējums</w:t>
            </w:r>
          </w:p>
        </w:tc>
        <w:tc>
          <w:tcPr>
            <w:tcW w:w="1560" w:type="dxa"/>
            <w:shd w:val="clear" w:color="auto" w:fill="auto"/>
            <w:vAlign w:val="center"/>
          </w:tcPr>
          <w:p w14:paraId="36B7EE6C" w14:textId="77777777" w:rsidR="00D70884" w:rsidRPr="008E354D" w:rsidRDefault="00D70884" w:rsidP="00D70884">
            <w:pPr>
              <w:spacing w:after="40" w:line="240" w:lineRule="auto"/>
              <w:jc w:val="center"/>
              <w:rPr>
                <w:rFonts w:ascii="Times New Roman" w:hAnsi="Times New Roman" w:cs="Times New Roman"/>
                <w:b/>
                <w:sz w:val="18"/>
                <w:szCs w:val="20"/>
              </w:rPr>
            </w:pPr>
            <w:r w:rsidRPr="008E354D">
              <w:rPr>
                <w:rFonts w:ascii="Times New Roman" w:hAnsi="Times New Roman" w:cs="Times New Roman"/>
                <w:b/>
                <w:sz w:val="18"/>
                <w:szCs w:val="20"/>
              </w:rPr>
              <w:t>E1.alternatīva: Notekūdeņu dūņu apsaimniekošana atbilstoši katra SPS lēmumam</w:t>
            </w:r>
          </w:p>
        </w:tc>
        <w:tc>
          <w:tcPr>
            <w:tcW w:w="1842" w:type="dxa"/>
            <w:vAlign w:val="center"/>
          </w:tcPr>
          <w:p w14:paraId="49426646" w14:textId="77777777" w:rsidR="00D70884" w:rsidRPr="008E354D" w:rsidRDefault="00D70884" w:rsidP="00D70884">
            <w:pPr>
              <w:spacing w:after="40" w:line="240" w:lineRule="auto"/>
              <w:jc w:val="center"/>
              <w:rPr>
                <w:rFonts w:ascii="Times New Roman" w:hAnsi="Times New Roman" w:cs="Times New Roman"/>
                <w:b/>
                <w:sz w:val="18"/>
                <w:szCs w:val="20"/>
              </w:rPr>
            </w:pPr>
            <w:r w:rsidRPr="008E354D">
              <w:rPr>
                <w:rFonts w:ascii="Times New Roman" w:hAnsi="Times New Roman" w:cs="Times New Roman"/>
                <w:b/>
                <w:sz w:val="18"/>
                <w:szCs w:val="20"/>
              </w:rPr>
              <w:t>E2.alternatīva: Vienota notekūdeņu dūņu apsaimniekošana katras pašvaldības ietvaros</w:t>
            </w:r>
          </w:p>
        </w:tc>
        <w:tc>
          <w:tcPr>
            <w:tcW w:w="1985" w:type="dxa"/>
            <w:shd w:val="clear" w:color="auto" w:fill="auto"/>
            <w:vAlign w:val="center"/>
          </w:tcPr>
          <w:p w14:paraId="135A5862" w14:textId="77777777" w:rsidR="00D70884" w:rsidRPr="008E354D" w:rsidRDefault="00D70884" w:rsidP="00D70884">
            <w:pPr>
              <w:spacing w:after="40" w:line="240" w:lineRule="auto"/>
              <w:jc w:val="center"/>
              <w:rPr>
                <w:rFonts w:ascii="Times New Roman" w:hAnsi="Times New Roman" w:cs="Times New Roman"/>
                <w:b/>
                <w:sz w:val="18"/>
                <w:szCs w:val="20"/>
              </w:rPr>
            </w:pPr>
            <w:r w:rsidRPr="008E354D">
              <w:rPr>
                <w:rFonts w:ascii="Times New Roman" w:hAnsi="Times New Roman" w:cs="Times New Roman"/>
                <w:b/>
                <w:sz w:val="18"/>
                <w:szCs w:val="20"/>
              </w:rPr>
              <w:t>E3.alternatīva: Vienota notekūdeņu dūņu apsaimniekošana reģionālā vai valsts mērogā veidojot jaunu dūņu pārstrādes centru operatoru</w:t>
            </w:r>
          </w:p>
        </w:tc>
        <w:tc>
          <w:tcPr>
            <w:tcW w:w="1843" w:type="dxa"/>
            <w:vAlign w:val="center"/>
          </w:tcPr>
          <w:p w14:paraId="0BFD6FFC" w14:textId="77777777" w:rsidR="00D70884" w:rsidRPr="008E354D" w:rsidRDefault="00D70884" w:rsidP="00D70884">
            <w:pPr>
              <w:spacing w:after="40" w:line="240" w:lineRule="auto"/>
              <w:ind w:left="-99" w:right="-104"/>
              <w:jc w:val="center"/>
              <w:rPr>
                <w:rFonts w:ascii="Times New Roman" w:hAnsi="Times New Roman" w:cs="Times New Roman"/>
                <w:b/>
                <w:sz w:val="18"/>
                <w:szCs w:val="20"/>
              </w:rPr>
            </w:pPr>
            <w:r w:rsidRPr="008E354D">
              <w:rPr>
                <w:rFonts w:ascii="Times New Roman" w:hAnsi="Times New Roman" w:cs="Times New Roman"/>
                <w:b/>
                <w:sz w:val="18"/>
                <w:szCs w:val="20"/>
              </w:rPr>
              <w:t>E4.alternatīva: Viens ūdenssaimniecības sabiedrisko pakalpojumu sniedzējs valsts mērogā</w:t>
            </w:r>
          </w:p>
        </w:tc>
      </w:tr>
      <w:tr w:rsidR="00A670F6" w:rsidRPr="008E354D" w14:paraId="10E94798" w14:textId="77777777" w:rsidTr="00E07456">
        <w:tc>
          <w:tcPr>
            <w:tcW w:w="8926" w:type="dxa"/>
            <w:gridSpan w:val="5"/>
            <w:vAlign w:val="center"/>
          </w:tcPr>
          <w:p w14:paraId="1692984C" w14:textId="21F0D60A" w:rsidR="00A670F6" w:rsidRPr="008E354D" w:rsidRDefault="00A670F6" w:rsidP="00D70884">
            <w:pPr>
              <w:spacing w:after="40"/>
              <w:jc w:val="center"/>
              <w:rPr>
                <w:rFonts w:ascii="Times New Roman" w:hAnsi="Times New Roman" w:cs="Times New Roman"/>
                <w:b/>
                <w:sz w:val="18"/>
                <w:szCs w:val="18"/>
              </w:rPr>
            </w:pPr>
            <w:r w:rsidRPr="008E354D">
              <w:rPr>
                <w:rFonts w:ascii="Times New Roman" w:hAnsi="Times New Roman" w:cs="Times New Roman"/>
                <w:b/>
                <w:sz w:val="20"/>
                <w:szCs w:val="20"/>
              </w:rPr>
              <w:t>Iekšējie riski</w:t>
            </w:r>
          </w:p>
        </w:tc>
      </w:tr>
      <w:tr w:rsidR="00EA051D" w:rsidRPr="008E354D" w14:paraId="6D3091F2" w14:textId="77777777" w:rsidTr="00E07456">
        <w:tc>
          <w:tcPr>
            <w:tcW w:w="1696" w:type="dxa"/>
            <w:vAlign w:val="center"/>
          </w:tcPr>
          <w:p w14:paraId="606C5D98"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Alternatīva paredz būtiskas izmaiņas esošajā apsaimniekošanas pārvaldībā, kam var nebūt pietiekošs atbalsts</w:t>
            </w:r>
          </w:p>
        </w:tc>
        <w:tc>
          <w:tcPr>
            <w:tcW w:w="1560" w:type="dxa"/>
            <w:shd w:val="clear" w:color="auto" w:fill="92D050"/>
            <w:vAlign w:val="center"/>
          </w:tcPr>
          <w:p w14:paraId="384F8615"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FFC000"/>
            <w:vAlign w:val="center"/>
          </w:tcPr>
          <w:p w14:paraId="5DD7A2C0"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985" w:type="dxa"/>
            <w:shd w:val="clear" w:color="auto" w:fill="FF0000"/>
            <w:vAlign w:val="center"/>
          </w:tcPr>
          <w:p w14:paraId="348B98C3"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3" w:type="dxa"/>
            <w:shd w:val="clear" w:color="auto" w:fill="FF0000"/>
            <w:vAlign w:val="center"/>
          </w:tcPr>
          <w:p w14:paraId="6A7031BA"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r>
      <w:tr w:rsidR="00EA051D" w:rsidRPr="008E354D" w14:paraId="511A607D" w14:textId="77777777" w:rsidTr="00E07456">
        <w:tc>
          <w:tcPr>
            <w:tcW w:w="1696" w:type="dxa"/>
            <w:vAlign w:val="center"/>
          </w:tcPr>
          <w:p w14:paraId="7B5BE7E6"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Nepieciešams ieviest jaunas tehnoloģijas dūņu pārstrādē, kas esošajiem SPS nav pazīstamas, var izraisīt būtisku pretestību</w:t>
            </w:r>
          </w:p>
        </w:tc>
        <w:tc>
          <w:tcPr>
            <w:tcW w:w="1560" w:type="dxa"/>
            <w:shd w:val="clear" w:color="auto" w:fill="92D050"/>
            <w:vAlign w:val="center"/>
          </w:tcPr>
          <w:p w14:paraId="0FDC4D7B"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92D050"/>
            <w:vAlign w:val="center"/>
          </w:tcPr>
          <w:p w14:paraId="119522F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C000"/>
            <w:vAlign w:val="center"/>
          </w:tcPr>
          <w:p w14:paraId="216AB81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3" w:type="dxa"/>
            <w:shd w:val="clear" w:color="auto" w:fill="FF0000"/>
            <w:vAlign w:val="center"/>
          </w:tcPr>
          <w:p w14:paraId="162629B2"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r>
      <w:tr w:rsidR="00EA051D" w:rsidRPr="008E354D" w14:paraId="7CBA0B95" w14:textId="77777777" w:rsidTr="00E07456">
        <w:tc>
          <w:tcPr>
            <w:tcW w:w="1696" w:type="dxa"/>
            <w:vAlign w:val="center"/>
          </w:tcPr>
          <w:p w14:paraId="7BF4788B"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Nepieciešams īpaši apmācīts personāls, kas šobrīd nav pieejams</w:t>
            </w:r>
          </w:p>
        </w:tc>
        <w:tc>
          <w:tcPr>
            <w:tcW w:w="1560" w:type="dxa"/>
            <w:shd w:val="clear" w:color="auto" w:fill="92D050"/>
            <w:vAlign w:val="center"/>
          </w:tcPr>
          <w:p w14:paraId="6CC1643B"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92D050"/>
            <w:vAlign w:val="center"/>
          </w:tcPr>
          <w:p w14:paraId="522F0F76"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C000"/>
            <w:vAlign w:val="center"/>
          </w:tcPr>
          <w:p w14:paraId="72710E96"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3" w:type="dxa"/>
            <w:shd w:val="clear" w:color="auto" w:fill="FF0000"/>
            <w:vAlign w:val="center"/>
          </w:tcPr>
          <w:p w14:paraId="76497FD5"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r>
      <w:tr w:rsidR="00EA051D" w:rsidRPr="008E354D" w14:paraId="690998E4" w14:textId="77777777" w:rsidTr="00E07456">
        <w:tc>
          <w:tcPr>
            <w:tcW w:w="1696" w:type="dxa"/>
            <w:vAlign w:val="center"/>
          </w:tcPr>
          <w:p w14:paraId="085B410D"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Alternatīvas ieviešanai ir nepieciešamas piesaistīt būtiskas finanšu investīcijas, kas var nebūt pieejamas</w:t>
            </w:r>
          </w:p>
        </w:tc>
        <w:tc>
          <w:tcPr>
            <w:tcW w:w="1560" w:type="dxa"/>
            <w:shd w:val="clear" w:color="auto" w:fill="FF0000"/>
            <w:vAlign w:val="center"/>
          </w:tcPr>
          <w:p w14:paraId="2FDB552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0C5FAE2A"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0000"/>
            <w:vAlign w:val="center"/>
          </w:tcPr>
          <w:p w14:paraId="4DA93CAD"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3" w:type="dxa"/>
            <w:shd w:val="clear" w:color="auto" w:fill="FFC000"/>
            <w:vAlign w:val="center"/>
          </w:tcPr>
          <w:p w14:paraId="70899442"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r>
      <w:tr w:rsidR="00EA051D" w:rsidRPr="008E354D" w14:paraId="7073791A" w14:textId="77777777" w:rsidTr="00E07456">
        <w:tc>
          <w:tcPr>
            <w:tcW w:w="1696" w:type="dxa"/>
            <w:vAlign w:val="center"/>
          </w:tcPr>
          <w:p w14:paraId="303B58D7"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Alternatīvas ieviešanai nepieciešamas būtiskas papildus zemes platības, kas var nebūt pieejamas</w:t>
            </w:r>
          </w:p>
        </w:tc>
        <w:tc>
          <w:tcPr>
            <w:tcW w:w="1560" w:type="dxa"/>
            <w:shd w:val="clear" w:color="auto" w:fill="92D050"/>
            <w:vAlign w:val="center"/>
          </w:tcPr>
          <w:p w14:paraId="6FCC0D2A"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92D050"/>
            <w:vAlign w:val="center"/>
          </w:tcPr>
          <w:p w14:paraId="0221F507"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6BC1CF41"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0538D5EC"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1AA9CC78" w14:textId="77777777" w:rsidTr="00E07456">
        <w:tc>
          <w:tcPr>
            <w:tcW w:w="1696" w:type="dxa"/>
            <w:vAlign w:val="center"/>
          </w:tcPr>
          <w:p w14:paraId="18F9C765"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 xml:space="preserve">Ieguldītās investīcijas tiek </w:t>
            </w:r>
            <w:r w:rsidRPr="008E354D">
              <w:rPr>
                <w:rFonts w:ascii="Times New Roman" w:hAnsi="Times New Roman" w:cs="Times New Roman"/>
                <w:sz w:val="20"/>
                <w:szCs w:val="20"/>
              </w:rPr>
              <w:lastRenderedPageBreak/>
              <w:t>izmantotas, bet sasniegtais rezultāts nesniedz paredzēto efektu</w:t>
            </w:r>
          </w:p>
        </w:tc>
        <w:tc>
          <w:tcPr>
            <w:tcW w:w="1560" w:type="dxa"/>
            <w:shd w:val="clear" w:color="auto" w:fill="FF0000"/>
            <w:vAlign w:val="center"/>
          </w:tcPr>
          <w:p w14:paraId="4163255D"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lastRenderedPageBreak/>
              <w:t>Augsts</w:t>
            </w:r>
          </w:p>
        </w:tc>
        <w:tc>
          <w:tcPr>
            <w:tcW w:w="1842" w:type="dxa"/>
            <w:shd w:val="clear" w:color="auto" w:fill="92D050"/>
            <w:vAlign w:val="center"/>
          </w:tcPr>
          <w:p w14:paraId="139D390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11A2808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222904CC"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4BD77F05" w14:textId="77777777" w:rsidTr="00E07456">
        <w:tc>
          <w:tcPr>
            <w:tcW w:w="1696" w:type="dxa"/>
            <w:vAlign w:val="center"/>
          </w:tcPr>
          <w:p w14:paraId="7F15E092"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Augsts alternatīvas ikgadējo uzturēšanas izmaksu risks</w:t>
            </w:r>
          </w:p>
        </w:tc>
        <w:tc>
          <w:tcPr>
            <w:tcW w:w="1560" w:type="dxa"/>
            <w:shd w:val="clear" w:color="auto" w:fill="FF0000"/>
            <w:vAlign w:val="center"/>
          </w:tcPr>
          <w:p w14:paraId="05553E19"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323BFEB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42A70D0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1DAB3330"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3DC8197C" w14:textId="77777777" w:rsidTr="00E07456">
        <w:tc>
          <w:tcPr>
            <w:tcW w:w="1696" w:type="dxa"/>
            <w:vAlign w:val="center"/>
          </w:tcPr>
          <w:p w14:paraId="2530C0B4"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Netiek sasniegta aprites ekonomikas principu ieviešana, resursu atgūšana un atgriešana ekonomikā</w:t>
            </w:r>
          </w:p>
        </w:tc>
        <w:tc>
          <w:tcPr>
            <w:tcW w:w="1560" w:type="dxa"/>
            <w:shd w:val="clear" w:color="auto" w:fill="FF0000"/>
            <w:vAlign w:val="center"/>
          </w:tcPr>
          <w:p w14:paraId="5A5D83B8"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50930AE0"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341515D5"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27F359C8"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A670F6" w:rsidRPr="008E354D" w14:paraId="28BB010F" w14:textId="77777777" w:rsidTr="00E07456">
        <w:tc>
          <w:tcPr>
            <w:tcW w:w="8926" w:type="dxa"/>
            <w:gridSpan w:val="5"/>
            <w:vAlign w:val="center"/>
          </w:tcPr>
          <w:p w14:paraId="41490113" w14:textId="5F01CD02" w:rsidR="00A670F6" w:rsidRPr="008E354D" w:rsidRDefault="00A670F6" w:rsidP="00A670F6">
            <w:pPr>
              <w:spacing w:after="40"/>
              <w:jc w:val="left"/>
              <w:rPr>
                <w:rFonts w:ascii="Times New Roman" w:hAnsi="Times New Roman" w:cs="Times New Roman"/>
                <w:b/>
                <w:sz w:val="18"/>
                <w:szCs w:val="18"/>
              </w:rPr>
            </w:pPr>
            <w:r w:rsidRPr="008E354D">
              <w:rPr>
                <w:rFonts w:ascii="Times New Roman" w:hAnsi="Times New Roman" w:cs="Times New Roman"/>
                <w:b/>
                <w:sz w:val="20"/>
                <w:szCs w:val="20"/>
              </w:rPr>
              <w:t>Ārējie riski</w:t>
            </w:r>
          </w:p>
        </w:tc>
      </w:tr>
      <w:tr w:rsidR="00EA051D" w:rsidRPr="008E354D" w14:paraId="7CB4D386" w14:textId="77777777" w:rsidTr="00E07456">
        <w:tc>
          <w:tcPr>
            <w:tcW w:w="1696" w:type="dxa"/>
            <w:vAlign w:val="center"/>
          </w:tcPr>
          <w:p w14:paraId="2924570B"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Alternatīvas ieviešanai nepieciešamas būtiskas izmaiņas esošo normatīvo aktu regulējumā</w:t>
            </w:r>
          </w:p>
        </w:tc>
        <w:tc>
          <w:tcPr>
            <w:tcW w:w="1560" w:type="dxa"/>
            <w:shd w:val="clear" w:color="auto" w:fill="92D050"/>
            <w:vAlign w:val="center"/>
          </w:tcPr>
          <w:p w14:paraId="722C1C7B"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92D050"/>
            <w:vAlign w:val="center"/>
          </w:tcPr>
          <w:p w14:paraId="214D9292"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0000"/>
            <w:vAlign w:val="center"/>
          </w:tcPr>
          <w:p w14:paraId="37FCB67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3" w:type="dxa"/>
            <w:shd w:val="clear" w:color="auto" w:fill="FF0000"/>
            <w:vAlign w:val="center"/>
          </w:tcPr>
          <w:p w14:paraId="74F1D63D"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r>
      <w:tr w:rsidR="00EA051D" w:rsidRPr="008E354D" w14:paraId="24B42F06" w14:textId="77777777" w:rsidTr="00E07456">
        <w:tc>
          <w:tcPr>
            <w:tcW w:w="1696" w:type="dxa"/>
            <w:vAlign w:val="center"/>
          </w:tcPr>
          <w:p w14:paraId="4023B524"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Alternatīvas ieviešanai nepieciešami būtiski ārējais atbalsts no ES, LR ministrijām u.c. institūcijām</w:t>
            </w:r>
          </w:p>
        </w:tc>
        <w:tc>
          <w:tcPr>
            <w:tcW w:w="1560" w:type="dxa"/>
            <w:shd w:val="clear" w:color="auto" w:fill="92D050"/>
            <w:vAlign w:val="center"/>
          </w:tcPr>
          <w:p w14:paraId="34E8EA7D"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FFC000"/>
            <w:vAlign w:val="center"/>
          </w:tcPr>
          <w:p w14:paraId="66789107"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985" w:type="dxa"/>
            <w:shd w:val="clear" w:color="auto" w:fill="FF0000"/>
            <w:vAlign w:val="center"/>
          </w:tcPr>
          <w:p w14:paraId="3A60AEA8"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3" w:type="dxa"/>
            <w:shd w:val="clear" w:color="auto" w:fill="FF0000"/>
            <w:vAlign w:val="center"/>
          </w:tcPr>
          <w:p w14:paraId="2A193933"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r>
      <w:tr w:rsidR="00EA051D" w:rsidRPr="008E354D" w14:paraId="604AE378" w14:textId="77777777" w:rsidTr="00E07456">
        <w:tc>
          <w:tcPr>
            <w:tcW w:w="1696" w:type="dxa"/>
            <w:vAlign w:val="center"/>
          </w:tcPr>
          <w:p w14:paraId="2F7CB653" w14:textId="77777777" w:rsidR="00EA051D" w:rsidRPr="008E354D" w:rsidRDefault="00000000" w:rsidP="00A670F6">
            <w:pPr>
              <w:spacing w:after="40"/>
              <w:jc w:val="left"/>
              <w:rPr>
                <w:rFonts w:ascii="Times New Roman" w:hAnsi="Times New Roman" w:cs="Times New Roman"/>
                <w:sz w:val="20"/>
                <w:szCs w:val="20"/>
              </w:rPr>
            </w:pPr>
            <w:sdt>
              <w:sdtPr>
                <w:rPr>
                  <w:rFonts w:ascii="Times New Roman" w:hAnsi="Times New Roman" w:cs="Times New Roman"/>
                </w:rPr>
                <w:tag w:val="goog_rdk_13"/>
                <w:id w:val="338593372"/>
              </w:sdtPr>
              <w:sdtContent/>
            </w:sdt>
            <w:r w:rsidR="00EA051D" w:rsidRPr="008E354D">
              <w:rPr>
                <w:rFonts w:ascii="Times New Roman" w:hAnsi="Times New Roman" w:cs="Times New Roman"/>
                <w:sz w:val="20"/>
                <w:szCs w:val="20"/>
              </w:rPr>
              <w:t>Alternatīvai ir būtiski riski pastāvēt ilgtermiņā</w:t>
            </w:r>
          </w:p>
        </w:tc>
        <w:tc>
          <w:tcPr>
            <w:tcW w:w="1560" w:type="dxa"/>
            <w:shd w:val="clear" w:color="auto" w:fill="FF0000"/>
            <w:vAlign w:val="center"/>
          </w:tcPr>
          <w:p w14:paraId="5E6B4A05"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550380AD"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C000"/>
            <w:vAlign w:val="center"/>
          </w:tcPr>
          <w:p w14:paraId="026C450B"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3" w:type="dxa"/>
            <w:shd w:val="clear" w:color="auto" w:fill="92D050"/>
            <w:vAlign w:val="center"/>
          </w:tcPr>
          <w:p w14:paraId="0EA16275"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6D9E35D6" w14:textId="77777777" w:rsidTr="00E07456">
        <w:tc>
          <w:tcPr>
            <w:tcW w:w="1696" w:type="dxa"/>
            <w:vAlign w:val="center"/>
          </w:tcPr>
          <w:p w14:paraId="34054F95"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 xml:space="preserve">Alternatīvai ir būtiski aizstājoši risinājumi </w:t>
            </w:r>
          </w:p>
        </w:tc>
        <w:tc>
          <w:tcPr>
            <w:tcW w:w="1560" w:type="dxa"/>
            <w:shd w:val="clear" w:color="auto" w:fill="FFC000"/>
            <w:vAlign w:val="center"/>
          </w:tcPr>
          <w:p w14:paraId="4ACACA90"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2" w:type="dxa"/>
            <w:shd w:val="clear" w:color="auto" w:fill="92D050"/>
            <w:vAlign w:val="center"/>
          </w:tcPr>
          <w:p w14:paraId="60C9E26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C000"/>
            <w:vAlign w:val="center"/>
          </w:tcPr>
          <w:p w14:paraId="3C009A49"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3" w:type="dxa"/>
            <w:shd w:val="clear" w:color="auto" w:fill="FFC000"/>
            <w:vAlign w:val="center"/>
          </w:tcPr>
          <w:p w14:paraId="7E2BB3D0"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r>
      <w:tr w:rsidR="00EA051D" w:rsidRPr="008E354D" w14:paraId="364CDB17" w14:textId="77777777" w:rsidTr="00E07456">
        <w:tc>
          <w:tcPr>
            <w:tcW w:w="1696" w:type="dxa"/>
            <w:vAlign w:val="center"/>
          </w:tcPr>
          <w:p w14:paraId="69843592" w14:textId="77777777" w:rsidR="00EA051D" w:rsidRPr="008E354D" w:rsidRDefault="00000000" w:rsidP="00A670F6">
            <w:pPr>
              <w:spacing w:after="40"/>
              <w:jc w:val="left"/>
              <w:rPr>
                <w:rFonts w:ascii="Times New Roman" w:hAnsi="Times New Roman" w:cs="Times New Roman"/>
                <w:sz w:val="20"/>
                <w:szCs w:val="20"/>
              </w:rPr>
            </w:pPr>
            <w:sdt>
              <w:sdtPr>
                <w:rPr>
                  <w:rFonts w:ascii="Times New Roman" w:hAnsi="Times New Roman" w:cs="Times New Roman"/>
                </w:rPr>
                <w:tag w:val="goog_rdk_14"/>
                <w:id w:val="-455562218"/>
              </w:sdtPr>
              <w:sdtContent>
                <w:r w:rsidR="00EA051D" w:rsidRPr="008E354D">
                  <w:rPr>
                    <w:rFonts w:ascii="Times New Roman" w:hAnsi="Times New Roman" w:cs="Times New Roman"/>
                    <w:sz w:val="20"/>
                    <w:szCs w:val="20"/>
                  </w:rPr>
                  <w:t>A</w:t>
                </w:r>
              </w:sdtContent>
            </w:sdt>
            <w:r w:rsidR="00EA051D" w:rsidRPr="008E354D">
              <w:rPr>
                <w:rFonts w:ascii="Times New Roman" w:hAnsi="Times New Roman" w:cs="Times New Roman"/>
                <w:sz w:val="20"/>
                <w:szCs w:val="20"/>
              </w:rPr>
              <w:t xml:space="preserve">lternatīva ir </w:t>
            </w:r>
            <w:sdt>
              <w:sdtPr>
                <w:rPr>
                  <w:rFonts w:ascii="Times New Roman" w:hAnsi="Times New Roman" w:cs="Times New Roman"/>
                </w:rPr>
                <w:tag w:val="goog_rdk_14"/>
                <w:id w:val="542339021"/>
              </w:sdtPr>
              <w:sdtContent/>
            </w:sdt>
            <w:r w:rsidR="00EA051D" w:rsidRPr="008E354D">
              <w:rPr>
                <w:rFonts w:ascii="Times New Roman" w:hAnsi="Times New Roman" w:cs="Times New Roman"/>
                <w:sz w:val="20"/>
                <w:szCs w:val="20"/>
              </w:rPr>
              <w:t>sarežģīta, kas rada riskus tās ieviešanai</w:t>
            </w:r>
          </w:p>
        </w:tc>
        <w:tc>
          <w:tcPr>
            <w:tcW w:w="1560" w:type="dxa"/>
            <w:shd w:val="clear" w:color="auto" w:fill="92D050"/>
            <w:vAlign w:val="center"/>
          </w:tcPr>
          <w:p w14:paraId="1008125C"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92D050"/>
            <w:vAlign w:val="center"/>
          </w:tcPr>
          <w:p w14:paraId="20B5119D"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0000"/>
            <w:vAlign w:val="center"/>
          </w:tcPr>
          <w:p w14:paraId="5D7184BB"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3" w:type="dxa"/>
            <w:shd w:val="clear" w:color="auto" w:fill="FF0000"/>
            <w:vAlign w:val="center"/>
          </w:tcPr>
          <w:p w14:paraId="66FDEBD3"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r>
      <w:tr w:rsidR="00A670F6" w:rsidRPr="008E354D" w14:paraId="58C47AF7" w14:textId="77777777" w:rsidTr="00E07456">
        <w:tc>
          <w:tcPr>
            <w:tcW w:w="8926" w:type="dxa"/>
            <w:gridSpan w:val="5"/>
            <w:vAlign w:val="center"/>
          </w:tcPr>
          <w:p w14:paraId="1990882A" w14:textId="5EFFFC05" w:rsidR="00A670F6" w:rsidRPr="008E354D" w:rsidRDefault="00A670F6" w:rsidP="00A670F6">
            <w:pPr>
              <w:spacing w:after="40"/>
              <w:jc w:val="left"/>
              <w:rPr>
                <w:rFonts w:ascii="Times New Roman" w:hAnsi="Times New Roman" w:cs="Times New Roman"/>
                <w:b/>
                <w:sz w:val="18"/>
                <w:szCs w:val="18"/>
              </w:rPr>
            </w:pPr>
            <w:r w:rsidRPr="008E354D">
              <w:rPr>
                <w:rFonts w:ascii="Times New Roman" w:hAnsi="Times New Roman" w:cs="Times New Roman"/>
                <w:b/>
                <w:sz w:val="20"/>
                <w:szCs w:val="20"/>
              </w:rPr>
              <w:t>Vides riski</w:t>
            </w:r>
          </w:p>
        </w:tc>
      </w:tr>
      <w:tr w:rsidR="00EA051D" w:rsidRPr="008E354D" w14:paraId="6A0B5A40" w14:textId="77777777" w:rsidTr="00E07456">
        <w:tc>
          <w:tcPr>
            <w:tcW w:w="1696" w:type="dxa"/>
            <w:vAlign w:val="center"/>
          </w:tcPr>
          <w:p w14:paraId="04AE290E"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Dūņu apstrāde vai utilizācija tiek veikta neatbilstoši vides prasībām</w:t>
            </w:r>
          </w:p>
        </w:tc>
        <w:tc>
          <w:tcPr>
            <w:tcW w:w="1560" w:type="dxa"/>
            <w:shd w:val="clear" w:color="auto" w:fill="FF0000"/>
            <w:vAlign w:val="center"/>
          </w:tcPr>
          <w:p w14:paraId="2869B0F7"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FFC000"/>
            <w:vAlign w:val="center"/>
          </w:tcPr>
          <w:p w14:paraId="79B6B40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Vidēja</w:t>
            </w:r>
          </w:p>
        </w:tc>
        <w:tc>
          <w:tcPr>
            <w:tcW w:w="1985" w:type="dxa"/>
            <w:shd w:val="clear" w:color="auto" w:fill="92D050"/>
            <w:vAlign w:val="center"/>
          </w:tcPr>
          <w:p w14:paraId="7124F7C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Zema</w:t>
            </w:r>
          </w:p>
        </w:tc>
        <w:tc>
          <w:tcPr>
            <w:tcW w:w="1843" w:type="dxa"/>
            <w:shd w:val="clear" w:color="auto" w:fill="92D050"/>
            <w:vAlign w:val="center"/>
          </w:tcPr>
          <w:p w14:paraId="3243B1D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Zema</w:t>
            </w:r>
          </w:p>
        </w:tc>
      </w:tr>
      <w:tr w:rsidR="00EA051D" w:rsidRPr="008E354D" w14:paraId="2D9273EE" w14:textId="77777777" w:rsidTr="00E07456">
        <w:tc>
          <w:tcPr>
            <w:tcW w:w="1696" w:type="dxa"/>
            <w:vAlign w:val="center"/>
          </w:tcPr>
          <w:p w14:paraId="509249D4" w14:textId="77777777" w:rsidR="00EA051D" w:rsidRPr="008E354D" w:rsidRDefault="00000000" w:rsidP="00A670F6">
            <w:pPr>
              <w:spacing w:after="40"/>
              <w:jc w:val="left"/>
              <w:rPr>
                <w:rFonts w:ascii="Times New Roman" w:hAnsi="Times New Roman" w:cs="Times New Roman"/>
                <w:sz w:val="20"/>
                <w:szCs w:val="20"/>
              </w:rPr>
            </w:pPr>
            <w:sdt>
              <w:sdtPr>
                <w:rPr>
                  <w:rFonts w:ascii="Times New Roman" w:hAnsi="Times New Roman" w:cs="Times New Roman"/>
                </w:rPr>
                <w:tag w:val="goog_rdk_15"/>
                <w:id w:val="1717691812"/>
              </w:sdtPr>
              <w:sdtContent>
                <w:r w:rsidR="00EA051D" w:rsidRPr="008E354D">
                  <w:rPr>
                    <w:rFonts w:ascii="Times New Roman" w:hAnsi="Times New Roman" w:cs="Times New Roman"/>
                    <w:sz w:val="20"/>
                    <w:szCs w:val="20"/>
                  </w:rPr>
                  <w:t>I</w:t>
                </w:r>
              </w:sdtContent>
            </w:sdt>
            <w:r w:rsidR="00EA051D" w:rsidRPr="008E354D">
              <w:rPr>
                <w:rFonts w:ascii="Times New Roman" w:hAnsi="Times New Roman" w:cs="Times New Roman"/>
                <w:sz w:val="20"/>
                <w:szCs w:val="20"/>
              </w:rPr>
              <w:t xml:space="preserve">zvēlētā </w:t>
            </w:r>
            <w:sdt>
              <w:sdtPr>
                <w:rPr>
                  <w:rFonts w:ascii="Times New Roman" w:hAnsi="Times New Roman" w:cs="Times New Roman"/>
                </w:rPr>
                <w:tag w:val="goog_rdk_15"/>
                <w:id w:val="1072008840"/>
              </w:sdtPr>
              <w:sdtContent/>
            </w:sdt>
            <w:r w:rsidR="00EA051D" w:rsidRPr="008E354D">
              <w:rPr>
                <w:rFonts w:ascii="Times New Roman" w:hAnsi="Times New Roman" w:cs="Times New Roman"/>
                <w:sz w:val="20"/>
                <w:szCs w:val="20"/>
              </w:rPr>
              <w:t>alternatīva rada būtiskus vides risku draudus konkrētā vietā</w:t>
            </w:r>
          </w:p>
        </w:tc>
        <w:tc>
          <w:tcPr>
            <w:tcW w:w="1560" w:type="dxa"/>
            <w:shd w:val="clear" w:color="auto" w:fill="92D050"/>
            <w:vAlign w:val="center"/>
          </w:tcPr>
          <w:p w14:paraId="1727182B"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2" w:type="dxa"/>
            <w:shd w:val="clear" w:color="auto" w:fill="92D050"/>
            <w:vAlign w:val="center"/>
          </w:tcPr>
          <w:p w14:paraId="51D6EE68"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FFC000"/>
            <w:vAlign w:val="center"/>
          </w:tcPr>
          <w:p w14:paraId="3D84DBE1"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3" w:type="dxa"/>
            <w:shd w:val="clear" w:color="auto" w:fill="FFC000"/>
            <w:vAlign w:val="center"/>
          </w:tcPr>
          <w:p w14:paraId="2CF4273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r>
      <w:tr w:rsidR="00EA051D" w:rsidRPr="008E354D" w14:paraId="7677A3B3" w14:textId="77777777" w:rsidTr="00E07456">
        <w:tc>
          <w:tcPr>
            <w:tcW w:w="1696" w:type="dxa"/>
            <w:vAlign w:val="center"/>
          </w:tcPr>
          <w:p w14:paraId="66763558"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Izvēlētā alternatīva neveicina vides kvalitātes uzlabošanos</w:t>
            </w:r>
          </w:p>
        </w:tc>
        <w:tc>
          <w:tcPr>
            <w:tcW w:w="1560" w:type="dxa"/>
            <w:shd w:val="clear" w:color="auto" w:fill="FF0000"/>
            <w:vAlign w:val="center"/>
          </w:tcPr>
          <w:p w14:paraId="5FE96089"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1729535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277010B2"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113D4473"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71684A84" w14:textId="77777777" w:rsidTr="00E07456">
        <w:tc>
          <w:tcPr>
            <w:tcW w:w="1696" w:type="dxa"/>
            <w:vAlign w:val="center"/>
          </w:tcPr>
          <w:p w14:paraId="66D00582"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Tehniskais risinājums veicina atkritumu rašanos</w:t>
            </w:r>
          </w:p>
        </w:tc>
        <w:tc>
          <w:tcPr>
            <w:tcW w:w="1560" w:type="dxa"/>
            <w:shd w:val="clear" w:color="auto" w:fill="FF0000"/>
            <w:vAlign w:val="center"/>
          </w:tcPr>
          <w:p w14:paraId="55703341"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4C6B1516"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4314C9FA"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0F95659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1D6BEAA1" w14:textId="77777777" w:rsidTr="00E07456">
        <w:tc>
          <w:tcPr>
            <w:tcW w:w="1696" w:type="dxa"/>
            <w:vAlign w:val="center"/>
          </w:tcPr>
          <w:p w14:paraId="48FFAE47"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Tehniskais risinājums veicina piesārņojuma izplatību vidē</w:t>
            </w:r>
          </w:p>
        </w:tc>
        <w:tc>
          <w:tcPr>
            <w:tcW w:w="1560" w:type="dxa"/>
            <w:shd w:val="clear" w:color="auto" w:fill="FF0000"/>
            <w:vAlign w:val="center"/>
          </w:tcPr>
          <w:p w14:paraId="13CDAB3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542F2E02"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3104DD51"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 xml:space="preserve">Zems </w:t>
            </w:r>
          </w:p>
        </w:tc>
        <w:tc>
          <w:tcPr>
            <w:tcW w:w="1843" w:type="dxa"/>
            <w:shd w:val="clear" w:color="auto" w:fill="92D050"/>
            <w:vAlign w:val="center"/>
          </w:tcPr>
          <w:p w14:paraId="22AB370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r w:rsidR="00EA051D" w:rsidRPr="008E354D" w14:paraId="0D3DCD99" w14:textId="77777777" w:rsidTr="00E07456">
        <w:tc>
          <w:tcPr>
            <w:tcW w:w="1696" w:type="dxa"/>
            <w:vAlign w:val="center"/>
          </w:tcPr>
          <w:p w14:paraId="5014F476"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Tehniskais risinājums rada avāriju un katastrofu riskus</w:t>
            </w:r>
          </w:p>
        </w:tc>
        <w:tc>
          <w:tcPr>
            <w:tcW w:w="1560" w:type="dxa"/>
            <w:shd w:val="clear" w:color="auto" w:fill="FFC000"/>
            <w:vAlign w:val="center"/>
          </w:tcPr>
          <w:p w14:paraId="4EF321C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2" w:type="dxa"/>
            <w:shd w:val="clear" w:color="auto" w:fill="FFC000"/>
            <w:vAlign w:val="center"/>
          </w:tcPr>
          <w:p w14:paraId="6063404E"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985" w:type="dxa"/>
            <w:shd w:val="clear" w:color="auto" w:fill="FFC000"/>
            <w:vAlign w:val="center"/>
          </w:tcPr>
          <w:p w14:paraId="5AA6E3F3"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c>
          <w:tcPr>
            <w:tcW w:w="1843" w:type="dxa"/>
            <w:shd w:val="clear" w:color="auto" w:fill="FFC000"/>
            <w:vAlign w:val="center"/>
          </w:tcPr>
          <w:p w14:paraId="4F83C588"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Vidējs</w:t>
            </w:r>
          </w:p>
        </w:tc>
      </w:tr>
      <w:tr w:rsidR="00EA051D" w:rsidRPr="008E354D" w14:paraId="24FFAD2E" w14:textId="77777777" w:rsidTr="00E07456">
        <w:tc>
          <w:tcPr>
            <w:tcW w:w="1696" w:type="dxa"/>
            <w:vAlign w:val="center"/>
          </w:tcPr>
          <w:p w14:paraId="17051C3C" w14:textId="77777777" w:rsidR="00EA051D" w:rsidRPr="008E354D" w:rsidRDefault="00EA051D" w:rsidP="00A670F6">
            <w:pPr>
              <w:spacing w:after="40"/>
              <w:jc w:val="left"/>
              <w:rPr>
                <w:rFonts w:ascii="Times New Roman" w:hAnsi="Times New Roman" w:cs="Times New Roman"/>
                <w:sz w:val="20"/>
                <w:szCs w:val="20"/>
              </w:rPr>
            </w:pPr>
            <w:r w:rsidRPr="008E354D">
              <w:rPr>
                <w:rFonts w:ascii="Times New Roman" w:hAnsi="Times New Roman" w:cs="Times New Roman"/>
                <w:sz w:val="20"/>
                <w:szCs w:val="20"/>
              </w:rPr>
              <w:t>Tehniskais risinājums rada cilvēku veselības riskus</w:t>
            </w:r>
          </w:p>
        </w:tc>
        <w:tc>
          <w:tcPr>
            <w:tcW w:w="1560" w:type="dxa"/>
            <w:shd w:val="clear" w:color="auto" w:fill="FF0000"/>
            <w:vAlign w:val="center"/>
          </w:tcPr>
          <w:p w14:paraId="3A18DF5F"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Augsts</w:t>
            </w:r>
          </w:p>
        </w:tc>
        <w:tc>
          <w:tcPr>
            <w:tcW w:w="1842" w:type="dxa"/>
            <w:shd w:val="clear" w:color="auto" w:fill="92D050"/>
            <w:vAlign w:val="center"/>
          </w:tcPr>
          <w:p w14:paraId="673E147A"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985" w:type="dxa"/>
            <w:shd w:val="clear" w:color="auto" w:fill="92D050"/>
            <w:vAlign w:val="center"/>
          </w:tcPr>
          <w:p w14:paraId="53A48BC6"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c>
          <w:tcPr>
            <w:tcW w:w="1843" w:type="dxa"/>
            <w:shd w:val="clear" w:color="auto" w:fill="92D050"/>
            <w:vAlign w:val="center"/>
          </w:tcPr>
          <w:p w14:paraId="6A9303A4" w14:textId="77777777" w:rsidR="00EA051D" w:rsidRPr="008E354D" w:rsidRDefault="00EA051D" w:rsidP="00D70884">
            <w:pPr>
              <w:spacing w:after="40"/>
              <w:jc w:val="center"/>
              <w:rPr>
                <w:rFonts w:ascii="Times New Roman" w:hAnsi="Times New Roman" w:cs="Times New Roman"/>
                <w:sz w:val="18"/>
                <w:szCs w:val="18"/>
              </w:rPr>
            </w:pPr>
            <w:r w:rsidRPr="008E354D">
              <w:rPr>
                <w:rFonts w:ascii="Times New Roman" w:hAnsi="Times New Roman" w:cs="Times New Roman"/>
                <w:sz w:val="18"/>
                <w:szCs w:val="18"/>
              </w:rPr>
              <w:t>Zems</w:t>
            </w:r>
          </w:p>
        </w:tc>
      </w:tr>
    </w:tbl>
    <w:p w14:paraId="7FA38830" w14:textId="77777777" w:rsidR="00EA051D" w:rsidRPr="00175DD0" w:rsidRDefault="00EA051D" w:rsidP="00EA051D">
      <w:pPr>
        <w:spacing w:after="0"/>
        <w:rPr>
          <w:rFonts w:cstheme="minorHAnsi"/>
        </w:rPr>
      </w:pPr>
    </w:p>
    <w:p w14:paraId="3FAC8868" w14:textId="2274F946" w:rsidR="00EA051D" w:rsidRPr="00E07456" w:rsidRDefault="00EA051D" w:rsidP="00EA051D">
      <w:pPr>
        <w:spacing w:after="0"/>
        <w:rPr>
          <w:rFonts w:ascii="Times New Roman" w:hAnsi="Times New Roman" w:cs="Times New Roman"/>
        </w:rPr>
      </w:pPr>
      <w:r w:rsidRPr="00E07456">
        <w:rPr>
          <w:rFonts w:ascii="Times New Roman" w:hAnsi="Times New Roman" w:cs="Times New Roman"/>
        </w:rPr>
        <w:t>Salīdzinot alternatīvas pēc veiktā risku izvērtējuma 4.</w:t>
      </w:r>
      <w:r w:rsidR="0016792C">
        <w:rPr>
          <w:rFonts w:ascii="Times New Roman" w:hAnsi="Times New Roman" w:cs="Times New Roman"/>
        </w:rPr>
        <w:t>6.3</w:t>
      </w:r>
      <w:r w:rsidRPr="00E07456">
        <w:rPr>
          <w:rFonts w:ascii="Times New Roman" w:hAnsi="Times New Roman" w:cs="Times New Roman"/>
        </w:rPr>
        <w:t>.tabulā var izdarīt šādus secinājumus:</w:t>
      </w:r>
    </w:p>
    <w:p w14:paraId="58F9D812" w14:textId="77777777" w:rsidR="00EA051D" w:rsidRPr="00E07456" w:rsidRDefault="00EA051D" w:rsidP="00EA051D">
      <w:pPr>
        <w:rPr>
          <w:rFonts w:ascii="Times New Roman" w:hAnsi="Times New Roman" w:cs="Times New Roman"/>
        </w:rPr>
      </w:pPr>
      <w:r w:rsidRPr="00E07456">
        <w:rPr>
          <w:rFonts w:ascii="Times New Roman" w:hAnsi="Times New Roman" w:cs="Times New Roman"/>
          <w:b/>
          <w:szCs w:val="20"/>
        </w:rPr>
        <w:t>E1. alternatīva: Notekūdeņu dūņu apsaimniekošana atbilstoši katra SPS lēmumam</w:t>
      </w:r>
      <w:r w:rsidRPr="00E07456">
        <w:rPr>
          <w:rFonts w:ascii="Times New Roman" w:hAnsi="Times New Roman" w:cs="Times New Roman"/>
          <w:szCs w:val="20"/>
        </w:rPr>
        <w:t xml:space="preserve"> no dažādu risku viedokļa ir alternatīva ar augstākajiem riskiem. Tā tiek novērtēta ar vairākiem augstiem iekšējiem, ārējiem un vides riskiem. Riski ir saistīti ar pārāk mazu dūņu pārstrādes centru izveidošanu pie daudzām NAI, kuru darbību ir grūti kontrolēt un uzraudzīt. Arī pārstrādāto notekūdeņu dūņu kvalitāte var būt nepietiekoša, dēļ nelielā dūņu apjoma, kas kavē efektīvu dūņu pārstrādi.</w:t>
      </w:r>
    </w:p>
    <w:p w14:paraId="03E2FFA9" w14:textId="77777777" w:rsidR="00EA051D" w:rsidRPr="00E07456" w:rsidRDefault="00EA051D" w:rsidP="00EA051D">
      <w:pPr>
        <w:rPr>
          <w:rFonts w:ascii="Times New Roman" w:hAnsi="Times New Roman" w:cs="Times New Roman"/>
        </w:rPr>
      </w:pPr>
      <w:r w:rsidRPr="00E07456">
        <w:rPr>
          <w:rFonts w:ascii="Times New Roman" w:hAnsi="Times New Roman" w:cs="Times New Roman"/>
          <w:b/>
          <w:szCs w:val="20"/>
        </w:rPr>
        <w:t>E2. alternatīva: Vienota notekūdeņu dūņu apsaimniekošana katras pašvaldības ietvaros</w:t>
      </w:r>
      <w:r w:rsidRPr="00E07456">
        <w:rPr>
          <w:rFonts w:ascii="Times New Roman" w:hAnsi="Times New Roman" w:cs="Times New Roman"/>
          <w:szCs w:val="20"/>
        </w:rPr>
        <w:t xml:space="preserve"> tiek novērtēta ar mazākajiem riskiem salīdzinājumā ar citām alternatīvām. Netiek novērtēts, ka tā varētu saskarties ar kādu augstu iekšējo, ārējo vai vides risku. Liela daļa identificēto risku tiek novērtēti zemā līmenī, kā rezultātā ir uzskatāms, ka alternatīva ir salīdzinoši droši ieviešama.</w:t>
      </w:r>
    </w:p>
    <w:p w14:paraId="3676B70F" w14:textId="77777777" w:rsidR="00EA051D" w:rsidRPr="00E07456" w:rsidRDefault="00EA051D" w:rsidP="00D70884">
      <w:pPr>
        <w:spacing w:after="0"/>
        <w:rPr>
          <w:rFonts w:ascii="Times New Roman" w:hAnsi="Times New Roman" w:cs="Times New Roman"/>
        </w:rPr>
      </w:pPr>
      <w:r w:rsidRPr="00E07456">
        <w:rPr>
          <w:rFonts w:ascii="Times New Roman" w:hAnsi="Times New Roman" w:cs="Times New Roman"/>
          <w:szCs w:val="20"/>
        </w:rPr>
        <w:t xml:space="preserve">Alternatīvas </w:t>
      </w:r>
      <w:r w:rsidRPr="00E07456">
        <w:rPr>
          <w:rFonts w:ascii="Times New Roman" w:hAnsi="Times New Roman" w:cs="Times New Roman"/>
          <w:b/>
          <w:szCs w:val="20"/>
        </w:rPr>
        <w:t xml:space="preserve">E3. alternatīva: Vienota notekūdeņu dūņu apsaimniekošana reģionālā vai valsts mērogā veidojot jaunu dūņu pārstrādes centru operatoru </w:t>
      </w:r>
      <w:r w:rsidRPr="00E07456">
        <w:rPr>
          <w:rFonts w:ascii="Times New Roman" w:hAnsi="Times New Roman" w:cs="Times New Roman"/>
          <w:szCs w:val="20"/>
        </w:rPr>
        <w:t>un</w:t>
      </w:r>
      <w:r w:rsidRPr="00E07456">
        <w:rPr>
          <w:rFonts w:ascii="Times New Roman" w:hAnsi="Times New Roman" w:cs="Times New Roman"/>
          <w:b/>
          <w:szCs w:val="20"/>
        </w:rPr>
        <w:t xml:space="preserve"> E4. alternatīva: Viens ūdenssaimniecības sabiedrisko pakalpojumu sniedzējs valsts mērogā</w:t>
      </w:r>
      <w:r w:rsidRPr="00E07456">
        <w:rPr>
          <w:rFonts w:ascii="Times New Roman" w:hAnsi="Times New Roman" w:cs="Times New Roman"/>
          <w:szCs w:val="20"/>
        </w:rPr>
        <w:t xml:space="preserve"> līdzīgi kā alternatīva E1 izceļas ar vairākiem nozīmīgiem iekšējiem un ārējiem riskiem. Lielākie alternatīvas riski saistīta ar tās piedāvātajām ļoti plašām izmaiņām salīdzinājumā pret esošo </w:t>
      </w:r>
      <w:r w:rsidRPr="00E07456">
        <w:rPr>
          <w:rFonts w:ascii="Times New Roman" w:hAnsi="Times New Roman" w:cs="Times New Roman"/>
          <w:szCs w:val="20"/>
        </w:rPr>
        <w:lastRenderedPageBreak/>
        <w:t>ūdenssaimniecības sistēmu kārtību vai notekūdeņu dūņu apsaimniekošanas kārtību, savukārt vides riski ir daudz mazāki, jo alternatīva var nodrošināt augstu vides prasību ievērošanu.</w:t>
      </w:r>
    </w:p>
    <w:p w14:paraId="03598AED" w14:textId="77777777" w:rsidR="00EA051D" w:rsidRPr="00E07456" w:rsidRDefault="00EA051D" w:rsidP="00EA051D">
      <w:pPr>
        <w:spacing w:after="0"/>
        <w:rPr>
          <w:rFonts w:ascii="Times New Roman" w:hAnsi="Times New Roman" w:cs="Times New Roman"/>
          <w:sz w:val="20"/>
        </w:rPr>
      </w:pPr>
    </w:p>
    <w:p w14:paraId="1D335CB9" w14:textId="77777777" w:rsidR="00EA051D" w:rsidRPr="00E07456" w:rsidRDefault="00EA051D" w:rsidP="00E07456">
      <w:pPr>
        <w:jc w:val="center"/>
        <w:rPr>
          <w:rFonts w:ascii="Times New Roman" w:hAnsi="Times New Roman" w:cs="Times New Roman"/>
          <w:u w:val="single"/>
        </w:rPr>
      </w:pPr>
      <w:bookmarkStart w:id="135" w:name="_Toc82277667"/>
      <w:r w:rsidRPr="00E07456">
        <w:rPr>
          <w:rFonts w:ascii="Times New Roman" w:hAnsi="Times New Roman" w:cs="Times New Roman"/>
          <w:u w:val="single"/>
        </w:rPr>
        <w:t>Secinājumi par notekūdeņu dūņu apsaimniekošanas institucionālās pārvaldības alternatīvām</w:t>
      </w:r>
      <w:bookmarkEnd w:id="135"/>
    </w:p>
    <w:p w14:paraId="5678E8A4" w14:textId="77777777" w:rsidR="00EA051D" w:rsidRPr="00E07456" w:rsidRDefault="00EA051D" w:rsidP="00E07456">
      <w:pPr>
        <w:ind w:firstLine="709"/>
        <w:rPr>
          <w:rFonts w:ascii="Times New Roman" w:hAnsi="Times New Roman" w:cs="Times New Roman"/>
        </w:rPr>
      </w:pPr>
      <w:r w:rsidRPr="00E07456">
        <w:rPr>
          <w:rFonts w:ascii="Times New Roman" w:hAnsi="Times New Roman" w:cs="Times New Roman"/>
        </w:rPr>
        <w:t xml:space="preserve">Ņemot vērā izvēlētos dūņu utilizācijas, pārstrādes un centralizācijas risinājumus nozīmīga ir atbilstoša dūņu apsaimniekošanas institucionālās pārvaldības izveidošana. Kā </w:t>
      </w:r>
      <w:r w:rsidRPr="00E07456">
        <w:rPr>
          <w:rFonts w:ascii="Times New Roman" w:hAnsi="Times New Roman" w:cs="Times New Roman"/>
          <w:b/>
        </w:rPr>
        <w:t>piemērotākais un efektīvākais risinājums  ir vienota notekūdeņu dūņu apsaimniekošana katras pašvaldības ietvaros,  kas paredz kādu no esošajiem pašvaldības SPS noteikt par galveno un vienīgo visu pašvaldīb</w:t>
      </w:r>
      <w:r w:rsidR="0093337A" w:rsidRPr="00E07456">
        <w:rPr>
          <w:rFonts w:ascii="Times New Roman" w:hAnsi="Times New Roman" w:cs="Times New Roman"/>
          <w:b/>
        </w:rPr>
        <w:t xml:space="preserve">as </w:t>
      </w:r>
      <w:r w:rsidRPr="00E07456">
        <w:rPr>
          <w:rFonts w:ascii="Times New Roman" w:hAnsi="Times New Roman" w:cs="Times New Roman"/>
          <w:b/>
        </w:rPr>
        <w:t>notekūdeņu dūņu apsaimniekošanā.</w:t>
      </w:r>
      <w:r w:rsidRPr="00E07456">
        <w:rPr>
          <w:rFonts w:ascii="Times New Roman" w:hAnsi="Times New Roman" w:cs="Times New Roman"/>
        </w:rPr>
        <w:t xml:space="preserve"> Šis risinājums pilnībā atbilst izvirzītajiem alternatīvu vērtēšanas kritērijiem. Šādas sistēmas ieviešana paredz būtiskas izmaiņas esošajā dūņu apsaimniekošanas sistēmā, kuras ir nepieciešams iekļaut normatīvo aktu grozījumos, piemēram</w:t>
      </w:r>
      <w:r w:rsidR="0093337A" w:rsidRPr="00E07456">
        <w:rPr>
          <w:rFonts w:ascii="Times New Roman" w:hAnsi="Times New Roman" w:cs="Times New Roman"/>
        </w:rPr>
        <w:t xml:space="preserve">, </w:t>
      </w:r>
      <w:r w:rsidRPr="00E07456">
        <w:rPr>
          <w:rFonts w:ascii="Times New Roman" w:hAnsi="Times New Roman" w:cs="Times New Roman"/>
        </w:rPr>
        <w:t>ūdenssaimniecības pakalpojumu likumā, kurā būs jānosaka par dūņu savākšanu un pārstrādi atbildīgā SPS pienākumi, atbildība, kā arī iespēja saņemt dūņu apsaimniekošanai nepieciešamo finansējumu no notekūdeņu radītājiem un  citiem SPS, ja no tiem tiks pieņemtas dūņas apsaimniekošanā. Likumā būs jānosaka arī pašvaldību pienākums noteikt vienu SPS par atbildīgo visu pašvaldības notekūdeņu dūņu apsaimniekošanā u.c. aktuālas izmaiņas.</w:t>
      </w:r>
    </w:p>
    <w:p w14:paraId="7781C7B2" w14:textId="77777777" w:rsidR="00EA051D" w:rsidRPr="00175DD0" w:rsidRDefault="00EA051D" w:rsidP="00EA051D">
      <w:pPr>
        <w:rPr>
          <w:rFonts w:cstheme="minorHAnsi"/>
        </w:rPr>
        <w:sectPr w:rsidR="00EA051D" w:rsidRPr="00175DD0" w:rsidSect="007E349D">
          <w:pgSz w:w="12240" w:h="15840"/>
          <w:pgMar w:top="1134" w:right="1701" w:bottom="1134" w:left="1701" w:header="720" w:footer="720" w:gutter="0"/>
          <w:cols w:space="720"/>
        </w:sectPr>
      </w:pPr>
    </w:p>
    <w:p w14:paraId="48D6FBFD" w14:textId="1E47B566" w:rsidR="00EA051D" w:rsidRPr="00AB56DE" w:rsidRDefault="00AB56DE" w:rsidP="00D54DA6">
      <w:pPr>
        <w:spacing w:after="0"/>
        <w:jc w:val="right"/>
        <w:rPr>
          <w:rFonts w:ascii="Times New Roman" w:hAnsi="Times New Roman" w:cs="Times New Roman"/>
          <w:szCs w:val="20"/>
        </w:rPr>
      </w:pPr>
      <w:r>
        <w:rPr>
          <w:rFonts w:ascii="Times New Roman" w:hAnsi="Times New Roman" w:cs="Times New Roman"/>
          <w:szCs w:val="20"/>
        </w:rPr>
        <w:lastRenderedPageBreak/>
        <w:t>4.</w:t>
      </w:r>
      <w:r w:rsidR="0016792C">
        <w:rPr>
          <w:rFonts w:ascii="Times New Roman" w:hAnsi="Times New Roman" w:cs="Times New Roman"/>
          <w:szCs w:val="20"/>
        </w:rPr>
        <w:t>7</w:t>
      </w:r>
      <w:r>
        <w:rPr>
          <w:rFonts w:ascii="Times New Roman" w:hAnsi="Times New Roman" w:cs="Times New Roman"/>
          <w:szCs w:val="20"/>
        </w:rPr>
        <w:t xml:space="preserve">. </w:t>
      </w:r>
      <w:r w:rsidRPr="00AB56DE">
        <w:rPr>
          <w:rFonts w:ascii="Times New Roman" w:hAnsi="Times New Roman" w:cs="Times New Roman"/>
          <w:szCs w:val="20"/>
        </w:rPr>
        <w:t>pielikums</w:t>
      </w:r>
    </w:p>
    <w:p w14:paraId="7A8DEA5B" w14:textId="2E63D182" w:rsidR="00EA051D" w:rsidRPr="00D54DA6" w:rsidRDefault="00A80F4B" w:rsidP="00D54DA6">
      <w:pPr>
        <w:pStyle w:val="Heading2"/>
        <w:spacing w:before="0"/>
        <w:jc w:val="center"/>
        <w:rPr>
          <w:rFonts w:ascii="Times New Roman" w:eastAsiaTheme="minorHAnsi" w:hAnsi="Times New Roman" w:cs="Times New Roman"/>
          <w:b/>
          <w:bCs/>
          <w:color w:val="auto"/>
          <w:sz w:val="24"/>
          <w:szCs w:val="24"/>
        </w:rPr>
      </w:pPr>
      <w:bookmarkStart w:id="136" w:name="_Toc107916335"/>
      <w:r>
        <w:rPr>
          <w:rFonts w:ascii="Times New Roman" w:eastAsiaTheme="minorHAnsi" w:hAnsi="Times New Roman" w:cs="Times New Roman"/>
          <w:b/>
          <w:bCs/>
          <w:color w:val="auto"/>
          <w:sz w:val="24"/>
          <w:szCs w:val="24"/>
        </w:rPr>
        <w:t xml:space="preserve">4.7. </w:t>
      </w:r>
      <w:r w:rsidR="00D54DA6" w:rsidRPr="00D54DA6">
        <w:rPr>
          <w:rFonts w:ascii="Times New Roman" w:eastAsiaTheme="minorHAnsi" w:hAnsi="Times New Roman" w:cs="Times New Roman"/>
          <w:b/>
          <w:bCs/>
          <w:color w:val="auto"/>
          <w:sz w:val="24"/>
          <w:szCs w:val="24"/>
        </w:rPr>
        <w:t>Finanšu aprēķini “1. Dažādu notekūdeņu dūņu apstrādes veidu izmaksas”</w:t>
      </w:r>
      <w:bookmarkEnd w:id="136"/>
    </w:p>
    <w:p w14:paraId="31648FE8" w14:textId="77777777" w:rsidR="00EA051D" w:rsidRPr="00175DD0" w:rsidRDefault="00EA051D" w:rsidP="00D54DA6">
      <w:pPr>
        <w:spacing w:after="0"/>
      </w:pPr>
    </w:p>
    <w:p w14:paraId="3C1307E6" w14:textId="347341AA" w:rsidR="009334B1" w:rsidRPr="007D7339" w:rsidRDefault="00EA051D" w:rsidP="007D7339">
      <w:pPr>
        <w:pBdr>
          <w:top w:val="nil"/>
          <w:left w:val="nil"/>
          <w:bottom w:val="nil"/>
          <w:right w:val="nil"/>
          <w:between w:val="nil"/>
        </w:pBdr>
        <w:spacing w:after="0"/>
        <w:jc w:val="right"/>
        <w:rPr>
          <w:rFonts w:ascii="Times New Roman" w:hAnsi="Times New Roman" w:cs="Times New Roman"/>
          <w:bCs/>
          <w:szCs w:val="20"/>
        </w:rPr>
      </w:pPr>
      <w:r w:rsidRPr="007D7339">
        <w:rPr>
          <w:rFonts w:ascii="Times New Roman" w:hAnsi="Times New Roman" w:cs="Times New Roman"/>
          <w:bCs/>
          <w:szCs w:val="20"/>
        </w:rPr>
        <w:t>4.</w:t>
      </w:r>
      <w:r w:rsidR="007A5D2D">
        <w:rPr>
          <w:rFonts w:ascii="Times New Roman" w:hAnsi="Times New Roman" w:cs="Times New Roman"/>
          <w:bCs/>
          <w:szCs w:val="20"/>
        </w:rPr>
        <w:t>7.1</w:t>
      </w:r>
      <w:r w:rsidRPr="007D7339">
        <w:rPr>
          <w:rFonts w:ascii="Times New Roman" w:hAnsi="Times New Roman" w:cs="Times New Roman"/>
          <w:bCs/>
          <w:szCs w:val="20"/>
        </w:rPr>
        <w:t>. tabula</w:t>
      </w:r>
    </w:p>
    <w:p w14:paraId="79F19204" w14:textId="4FBA6073" w:rsidR="00EA051D" w:rsidRPr="009334B1" w:rsidRDefault="00EA051D" w:rsidP="007D7339">
      <w:pPr>
        <w:pBdr>
          <w:top w:val="nil"/>
          <w:left w:val="nil"/>
          <w:bottom w:val="nil"/>
          <w:right w:val="nil"/>
          <w:between w:val="nil"/>
        </w:pBdr>
        <w:spacing w:after="0"/>
        <w:jc w:val="center"/>
        <w:rPr>
          <w:rFonts w:ascii="Times New Roman" w:hAnsi="Times New Roman" w:cs="Times New Roman"/>
          <w:b/>
          <w:szCs w:val="20"/>
        </w:rPr>
      </w:pPr>
      <w:r w:rsidRPr="009334B1">
        <w:rPr>
          <w:rFonts w:ascii="Times New Roman" w:hAnsi="Times New Roman" w:cs="Times New Roman"/>
          <w:b/>
          <w:szCs w:val="20"/>
        </w:rPr>
        <w:t>Slapju dūņu (1% sausne) transportēšanas izmaksu aprēķins</w:t>
      </w:r>
      <w:r w:rsidR="00E6063D" w:rsidRPr="009334B1">
        <w:rPr>
          <w:rFonts w:ascii="Times New Roman" w:hAnsi="Times New Roman" w:cs="Times New Roman"/>
          <w:b/>
          <w:szCs w:val="20"/>
        </w:rPr>
        <w:t>, EUR</w:t>
      </w:r>
    </w:p>
    <w:p w14:paraId="437BA262" w14:textId="77777777" w:rsidR="00EA051D" w:rsidRPr="00175DD0" w:rsidRDefault="00EA051D" w:rsidP="00EA051D">
      <w:r w:rsidRPr="007D7339">
        <w:rPr>
          <w:rFonts w:ascii="Times New Roman" w:hAnsi="Times New Roman" w:cs="Times New Roman"/>
          <w:noProof/>
          <w:lang w:eastAsia="lv-LV"/>
        </w:rPr>
        <w:drawing>
          <wp:inline distT="0" distB="0" distL="0" distR="0" wp14:anchorId="4954DA89" wp14:editId="575086B8">
            <wp:extent cx="5943600" cy="2256203"/>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2256203"/>
                    </a:xfrm>
                    <a:prstGeom prst="rect">
                      <a:avLst/>
                    </a:prstGeom>
                    <a:noFill/>
                    <a:ln>
                      <a:noFill/>
                    </a:ln>
                  </pic:spPr>
                </pic:pic>
              </a:graphicData>
            </a:graphic>
          </wp:inline>
        </w:drawing>
      </w:r>
    </w:p>
    <w:p w14:paraId="7911580C" w14:textId="77777777" w:rsidR="00EA051D" w:rsidRPr="007D7339" w:rsidRDefault="00EA051D" w:rsidP="007D7339">
      <w:pPr>
        <w:pBdr>
          <w:top w:val="nil"/>
          <w:left w:val="nil"/>
          <w:bottom w:val="nil"/>
          <w:right w:val="nil"/>
          <w:between w:val="nil"/>
        </w:pBdr>
        <w:spacing w:after="0"/>
        <w:rPr>
          <w:rFonts w:ascii="Times New Roman" w:hAnsi="Times New Roman" w:cs="Times New Roman"/>
          <w:b/>
          <w:color w:val="000000"/>
          <w:szCs w:val="24"/>
        </w:rPr>
      </w:pPr>
      <w:r w:rsidRPr="007D7339">
        <w:rPr>
          <w:rFonts w:ascii="Times New Roman" w:hAnsi="Times New Roman" w:cs="Times New Roman"/>
          <w:b/>
          <w:color w:val="000000"/>
          <w:szCs w:val="24"/>
        </w:rPr>
        <w:t>Pieņēmumi</w:t>
      </w:r>
    </w:p>
    <w:tbl>
      <w:tblPr>
        <w:tblStyle w:val="TableGrid"/>
        <w:tblW w:w="0" w:type="auto"/>
        <w:tblLook w:val="04A0" w:firstRow="1" w:lastRow="0" w:firstColumn="1" w:lastColumn="0" w:noHBand="0" w:noVBand="1"/>
      </w:tblPr>
      <w:tblGrid>
        <w:gridCol w:w="3397"/>
        <w:gridCol w:w="1134"/>
        <w:gridCol w:w="1701"/>
      </w:tblGrid>
      <w:tr w:rsidR="00EA051D" w:rsidRPr="007D7339" w14:paraId="2235E8A6" w14:textId="77777777" w:rsidTr="00D70884">
        <w:trPr>
          <w:trHeight w:val="288"/>
        </w:trPr>
        <w:tc>
          <w:tcPr>
            <w:tcW w:w="3397" w:type="dxa"/>
            <w:noWrap/>
            <w:hideMark/>
          </w:tcPr>
          <w:p w14:paraId="296BCB62"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transporta izmaksas</w:t>
            </w:r>
          </w:p>
        </w:tc>
        <w:tc>
          <w:tcPr>
            <w:tcW w:w="1134" w:type="dxa"/>
            <w:noWrap/>
            <w:hideMark/>
          </w:tcPr>
          <w:p w14:paraId="27662E5E"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1,50</w:t>
            </w:r>
          </w:p>
        </w:tc>
        <w:tc>
          <w:tcPr>
            <w:tcW w:w="1701" w:type="dxa"/>
            <w:noWrap/>
            <w:hideMark/>
          </w:tcPr>
          <w:p w14:paraId="160D95BB"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EUR/km</w:t>
            </w:r>
          </w:p>
        </w:tc>
      </w:tr>
      <w:tr w:rsidR="00EA051D" w:rsidRPr="007D7339" w14:paraId="7E2BB587" w14:textId="77777777" w:rsidTr="00D70884">
        <w:trPr>
          <w:trHeight w:val="288"/>
        </w:trPr>
        <w:tc>
          <w:tcPr>
            <w:tcW w:w="3397" w:type="dxa"/>
            <w:hideMark/>
          </w:tcPr>
          <w:p w14:paraId="092AE740"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slapju dūņu daudzums mašīnā</w:t>
            </w:r>
          </w:p>
        </w:tc>
        <w:tc>
          <w:tcPr>
            <w:tcW w:w="1134" w:type="dxa"/>
            <w:noWrap/>
            <w:hideMark/>
          </w:tcPr>
          <w:p w14:paraId="4DF6258A"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8,00</w:t>
            </w:r>
          </w:p>
        </w:tc>
        <w:tc>
          <w:tcPr>
            <w:tcW w:w="1701" w:type="dxa"/>
            <w:noWrap/>
            <w:hideMark/>
          </w:tcPr>
          <w:p w14:paraId="770B0E2C"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t</w:t>
            </w:r>
          </w:p>
        </w:tc>
      </w:tr>
    </w:tbl>
    <w:p w14:paraId="6DDFEC82" w14:textId="77777777" w:rsidR="00D70884" w:rsidRPr="00175DD0" w:rsidRDefault="00D70884" w:rsidP="00EA051D">
      <w:pPr>
        <w:pBdr>
          <w:top w:val="nil"/>
          <w:left w:val="nil"/>
          <w:bottom w:val="nil"/>
          <w:right w:val="nil"/>
          <w:between w:val="nil"/>
        </w:pBdr>
        <w:spacing w:after="0"/>
        <w:ind w:left="720"/>
        <w:rPr>
          <w:rFonts w:cstheme="minorHAnsi"/>
          <w:b/>
          <w:color w:val="000000"/>
          <w:sz w:val="20"/>
          <w:szCs w:val="20"/>
        </w:rPr>
      </w:pPr>
    </w:p>
    <w:p w14:paraId="428129CB" w14:textId="77777777" w:rsidR="00EA051D" w:rsidRPr="00175DD0" w:rsidRDefault="00EA051D" w:rsidP="00EA051D">
      <w:pPr>
        <w:pBdr>
          <w:top w:val="nil"/>
          <w:left w:val="nil"/>
          <w:bottom w:val="nil"/>
          <w:right w:val="nil"/>
          <w:between w:val="nil"/>
        </w:pBdr>
        <w:spacing w:after="0"/>
        <w:ind w:left="720"/>
        <w:rPr>
          <w:rFonts w:cstheme="minorHAnsi"/>
          <w:b/>
          <w:color w:val="000000"/>
          <w:sz w:val="20"/>
          <w:szCs w:val="20"/>
        </w:rPr>
      </w:pPr>
    </w:p>
    <w:p w14:paraId="46AAB532" w14:textId="4E959807" w:rsidR="007D7339" w:rsidRPr="007D7339" w:rsidRDefault="00EA051D" w:rsidP="00007A9A">
      <w:pPr>
        <w:pBdr>
          <w:top w:val="nil"/>
          <w:left w:val="nil"/>
          <w:bottom w:val="nil"/>
          <w:right w:val="nil"/>
          <w:between w:val="nil"/>
        </w:pBdr>
        <w:spacing w:after="0"/>
        <w:jc w:val="right"/>
        <w:rPr>
          <w:rFonts w:ascii="Times New Roman" w:hAnsi="Times New Roman" w:cs="Times New Roman"/>
          <w:bCs/>
          <w:szCs w:val="20"/>
        </w:rPr>
      </w:pPr>
      <w:r w:rsidRPr="007D7339">
        <w:rPr>
          <w:rFonts w:ascii="Times New Roman" w:hAnsi="Times New Roman" w:cs="Times New Roman"/>
          <w:bCs/>
          <w:szCs w:val="20"/>
        </w:rPr>
        <w:t>4.</w:t>
      </w:r>
      <w:r w:rsidR="007A5D2D">
        <w:rPr>
          <w:rFonts w:ascii="Times New Roman" w:hAnsi="Times New Roman" w:cs="Times New Roman"/>
          <w:bCs/>
          <w:szCs w:val="20"/>
        </w:rPr>
        <w:t>7.2</w:t>
      </w:r>
      <w:r w:rsidRPr="007D7339">
        <w:rPr>
          <w:rFonts w:ascii="Times New Roman" w:hAnsi="Times New Roman" w:cs="Times New Roman"/>
          <w:bCs/>
          <w:szCs w:val="20"/>
        </w:rPr>
        <w:t>. tabula</w:t>
      </w:r>
    </w:p>
    <w:p w14:paraId="702D203E" w14:textId="7AB9D844" w:rsidR="00EA051D" w:rsidRPr="007D7339" w:rsidRDefault="00EA051D" w:rsidP="007D7339">
      <w:pPr>
        <w:pBdr>
          <w:top w:val="nil"/>
          <w:left w:val="nil"/>
          <w:bottom w:val="nil"/>
          <w:right w:val="nil"/>
          <w:between w:val="nil"/>
        </w:pBdr>
        <w:spacing w:after="0"/>
        <w:jc w:val="center"/>
        <w:rPr>
          <w:rFonts w:ascii="Times New Roman" w:hAnsi="Times New Roman" w:cs="Times New Roman"/>
          <w:b/>
          <w:szCs w:val="20"/>
        </w:rPr>
      </w:pPr>
      <w:r w:rsidRPr="007D7339">
        <w:rPr>
          <w:rFonts w:ascii="Times New Roman" w:hAnsi="Times New Roman" w:cs="Times New Roman"/>
          <w:b/>
          <w:szCs w:val="20"/>
        </w:rPr>
        <w:t>Slapju dūņu (1% sausne) mehāniskas atūdeņošanas (18% sausne) un transportēšanas izmaksu aprēķins</w:t>
      </w:r>
      <w:r w:rsidR="00E6063D" w:rsidRPr="007D7339">
        <w:rPr>
          <w:rFonts w:ascii="Times New Roman" w:hAnsi="Times New Roman" w:cs="Times New Roman"/>
          <w:b/>
          <w:szCs w:val="20"/>
        </w:rPr>
        <w:t>, EUR</w:t>
      </w:r>
    </w:p>
    <w:p w14:paraId="0E3AE004" w14:textId="77777777" w:rsidR="00EA051D" w:rsidRPr="00175DD0" w:rsidRDefault="00EA051D" w:rsidP="00EA051D">
      <w:r w:rsidRPr="00175DD0">
        <w:rPr>
          <w:noProof/>
          <w:lang w:eastAsia="lv-LV"/>
        </w:rPr>
        <w:drawing>
          <wp:inline distT="0" distB="0" distL="0" distR="0" wp14:anchorId="474D2F96" wp14:editId="77277929">
            <wp:extent cx="5943600" cy="288004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880043"/>
                    </a:xfrm>
                    <a:prstGeom prst="rect">
                      <a:avLst/>
                    </a:prstGeom>
                    <a:noFill/>
                    <a:ln>
                      <a:noFill/>
                    </a:ln>
                  </pic:spPr>
                </pic:pic>
              </a:graphicData>
            </a:graphic>
          </wp:inline>
        </w:drawing>
      </w:r>
    </w:p>
    <w:p w14:paraId="32E71155" w14:textId="77777777" w:rsidR="007D7339" w:rsidRDefault="007D7339" w:rsidP="007D7339">
      <w:pPr>
        <w:pBdr>
          <w:top w:val="nil"/>
          <w:left w:val="nil"/>
          <w:bottom w:val="nil"/>
          <w:right w:val="nil"/>
          <w:between w:val="nil"/>
        </w:pBdr>
        <w:spacing w:after="0"/>
        <w:rPr>
          <w:rFonts w:ascii="Times New Roman" w:hAnsi="Times New Roman" w:cs="Times New Roman"/>
          <w:b/>
          <w:color w:val="000000"/>
          <w:szCs w:val="24"/>
        </w:rPr>
      </w:pPr>
    </w:p>
    <w:p w14:paraId="7C66C163" w14:textId="77777777" w:rsidR="007D7339" w:rsidRDefault="007D7339" w:rsidP="007D7339">
      <w:pPr>
        <w:pBdr>
          <w:top w:val="nil"/>
          <w:left w:val="nil"/>
          <w:bottom w:val="nil"/>
          <w:right w:val="nil"/>
          <w:between w:val="nil"/>
        </w:pBdr>
        <w:spacing w:after="0"/>
        <w:rPr>
          <w:rFonts w:ascii="Times New Roman" w:hAnsi="Times New Roman" w:cs="Times New Roman"/>
          <w:b/>
          <w:color w:val="000000"/>
          <w:szCs w:val="24"/>
        </w:rPr>
      </w:pPr>
    </w:p>
    <w:p w14:paraId="03B0A5BD" w14:textId="6590BB1A" w:rsidR="00EA051D" w:rsidRPr="007D7339" w:rsidRDefault="00EA051D" w:rsidP="007D7339">
      <w:pPr>
        <w:pBdr>
          <w:top w:val="nil"/>
          <w:left w:val="nil"/>
          <w:bottom w:val="nil"/>
          <w:right w:val="nil"/>
          <w:between w:val="nil"/>
        </w:pBdr>
        <w:spacing w:after="0"/>
        <w:rPr>
          <w:rFonts w:ascii="Times New Roman" w:hAnsi="Times New Roman" w:cs="Times New Roman"/>
          <w:b/>
          <w:color w:val="000000"/>
          <w:szCs w:val="24"/>
        </w:rPr>
      </w:pPr>
      <w:r w:rsidRPr="007D7339">
        <w:rPr>
          <w:rFonts w:ascii="Times New Roman" w:hAnsi="Times New Roman" w:cs="Times New Roman"/>
          <w:b/>
          <w:color w:val="000000"/>
          <w:szCs w:val="24"/>
        </w:rPr>
        <w:lastRenderedPageBreak/>
        <w:t>Pieņēmumi</w:t>
      </w:r>
    </w:p>
    <w:tbl>
      <w:tblPr>
        <w:tblStyle w:val="TableGrid"/>
        <w:tblW w:w="0" w:type="auto"/>
        <w:tblLook w:val="04A0" w:firstRow="1" w:lastRow="0" w:firstColumn="1" w:lastColumn="0" w:noHBand="0" w:noVBand="1"/>
      </w:tblPr>
      <w:tblGrid>
        <w:gridCol w:w="4248"/>
        <w:gridCol w:w="2268"/>
        <w:gridCol w:w="2268"/>
      </w:tblGrid>
      <w:tr w:rsidR="00EA051D" w:rsidRPr="007D7339" w14:paraId="21947B95" w14:textId="77777777" w:rsidTr="008E6BAE">
        <w:trPr>
          <w:trHeight w:val="288"/>
        </w:trPr>
        <w:tc>
          <w:tcPr>
            <w:tcW w:w="4248" w:type="dxa"/>
            <w:noWrap/>
            <w:hideMark/>
          </w:tcPr>
          <w:p w14:paraId="2AD3048D"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Dūņu atūdeņošanas pakāpe</w:t>
            </w:r>
          </w:p>
        </w:tc>
        <w:tc>
          <w:tcPr>
            <w:tcW w:w="2268" w:type="dxa"/>
            <w:noWrap/>
            <w:hideMark/>
          </w:tcPr>
          <w:p w14:paraId="7C62543C"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18</w:t>
            </w:r>
          </w:p>
        </w:tc>
        <w:tc>
          <w:tcPr>
            <w:tcW w:w="2268" w:type="dxa"/>
            <w:noWrap/>
            <w:hideMark/>
          </w:tcPr>
          <w:p w14:paraId="634678C8"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w:t>
            </w:r>
          </w:p>
        </w:tc>
      </w:tr>
      <w:tr w:rsidR="00EA051D" w:rsidRPr="007D7339" w14:paraId="1FF82984" w14:textId="77777777" w:rsidTr="008E6BAE">
        <w:trPr>
          <w:trHeight w:val="288"/>
        </w:trPr>
        <w:tc>
          <w:tcPr>
            <w:tcW w:w="4248" w:type="dxa"/>
            <w:noWrap/>
            <w:hideMark/>
          </w:tcPr>
          <w:p w14:paraId="5855BE52"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Transporta izmaksas</w:t>
            </w:r>
          </w:p>
        </w:tc>
        <w:tc>
          <w:tcPr>
            <w:tcW w:w="2268" w:type="dxa"/>
            <w:noWrap/>
            <w:hideMark/>
          </w:tcPr>
          <w:p w14:paraId="6C733CA8"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1,50</w:t>
            </w:r>
          </w:p>
        </w:tc>
        <w:tc>
          <w:tcPr>
            <w:tcW w:w="2268" w:type="dxa"/>
            <w:noWrap/>
            <w:hideMark/>
          </w:tcPr>
          <w:p w14:paraId="1BEAF650"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EUR/km</w:t>
            </w:r>
          </w:p>
        </w:tc>
      </w:tr>
      <w:tr w:rsidR="00EA051D" w:rsidRPr="007D7339" w14:paraId="60209033" w14:textId="77777777" w:rsidTr="008E6BAE">
        <w:trPr>
          <w:trHeight w:val="288"/>
        </w:trPr>
        <w:tc>
          <w:tcPr>
            <w:tcW w:w="4248" w:type="dxa"/>
            <w:hideMark/>
          </w:tcPr>
          <w:p w14:paraId="0E5D6740"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Dūņu atūdeņošanas izmaksas</w:t>
            </w:r>
          </w:p>
        </w:tc>
        <w:tc>
          <w:tcPr>
            <w:tcW w:w="2268" w:type="dxa"/>
            <w:noWrap/>
            <w:hideMark/>
          </w:tcPr>
          <w:p w14:paraId="304EC1DE"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0,32</w:t>
            </w:r>
          </w:p>
        </w:tc>
        <w:tc>
          <w:tcPr>
            <w:tcW w:w="2268" w:type="dxa"/>
            <w:noWrap/>
            <w:hideMark/>
          </w:tcPr>
          <w:p w14:paraId="58701D4A"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EUR/m3</w:t>
            </w:r>
          </w:p>
        </w:tc>
      </w:tr>
      <w:tr w:rsidR="00EA051D" w:rsidRPr="007D7339" w14:paraId="5BED806E" w14:textId="77777777" w:rsidTr="008E6BAE">
        <w:trPr>
          <w:trHeight w:val="416"/>
        </w:trPr>
        <w:tc>
          <w:tcPr>
            <w:tcW w:w="4248" w:type="dxa"/>
            <w:hideMark/>
          </w:tcPr>
          <w:p w14:paraId="5C48D914"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Atūdeņotu dūņu daudzums mašīnā</w:t>
            </w:r>
          </w:p>
        </w:tc>
        <w:tc>
          <w:tcPr>
            <w:tcW w:w="2268" w:type="dxa"/>
            <w:noWrap/>
            <w:hideMark/>
          </w:tcPr>
          <w:p w14:paraId="71BCCB53"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20,00</w:t>
            </w:r>
          </w:p>
        </w:tc>
        <w:tc>
          <w:tcPr>
            <w:tcW w:w="2268" w:type="dxa"/>
            <w:noWrap/>
            <w:hideMark/>
          </w:tcPr>
          <w:p w14:paraId="72D1210A"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t</w:t>
            </w:r>
          </w:p>
        </w:tc>
      </w:tr>
      <w:tr w:rsidR="00EA051D" w:rsidRPr="007D7339" w14:paraId="11A60554" w14:textId="77777777" w:rsidTr="008E6BAE">
        <w:trPr>
          <w:trHeight w:val="833"/>
        </w:trPr>
        <w:tc>
          <w:tcPr>
            <w:tcW w:w="4248" w:type="dxa"/>
            <w:hideMark/>
          </w:tcPr>
          <w:p w14:paraId="4164E948"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Dūņu atūdeņošanas ēka, iekārtas un remontu izmaksas 15 gadu periodā mazām iekārtām (max 5000)</w:t>
            </w:r>
          </w:p>
        </w:tc>
        <w:tc>
          <w:tcPr>
            <w:tcW w:w="2268" w:type="dxa"/>
            <w:noWrap/>
            <w:hideMark/>
          </w:tcPr>
          <w:p w14:paraId="57564985"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173 000,00</w:t>
            </w:r>
          </w:p>
        </w:tc>
        <w:tc>
          <w:tcPr>
            <w:tcW w:w="2268" w:type="dxa"/>
            <w:noWrap/>
            <w:hideMark/>
          </w:tcPr>
          <w:p w14:paraId="244F4F68"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EUR/15 gados</w:t>
            </w:r>
          </w:p>
        </w:tc>
      </w:tr>
      <w:tr w:rsidR="00EA051D" w:rsidRPr="007D7339" w14:paraId="4C9B9A3B" w14:textId="77777777" w:rsidTr="008E6BAE">
        <w:trPr>
          <w:trHeight w:val="288"/>
        </w:trPr>
        <w:tc>
          <w:tcPr>
            <w:tcW w:w="4248" w:type="dxa"/>
            <w:noWrap/>
            <w:hideMark/>
          </w:tcPr>
          <w:p w14:paraId="29271200"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Vidējām iekārtām (max 20 000)</w:t>
            </w:r>
          </w:p>
        </w:tc>
        <w:tc>
          <w:tcPr>
            <w:tcW w:w="2268" w:type="dxa"/>
            <w:noWrap/>
            <w:hideMark/>
          </w:tcPr>
          <w:p w14:paraId="5AEA6377"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230 000,00</w:t>
            </w:r>
          </w:p>
        </w:tc>
        <w:tc>
          <w:tcPr>
            <w:tcW w:w="2268" w:type="dxa"/>
            <w:noWrap/>
            <w:hideMark/>
          </w:tcPr>
          <w:p w14:paraId="6CF6A16C"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EUR/15 gados</w:t>
            </w:r>
          </w:p>
        </w:tc>
      </w:tr>
      <w:tr w:rsidR="00EA051D" w:rsidRPr="007D7339" w14:paraId="4920B778" w14:textId="77777777" w:rsidTr="008E6BAE">
        <w:trPr>
          <w:trHeight w:val="288"/>
        </w:trPr>
        <w:tc>
          <w:tcPr>
            <w:tcW w:w="4248" w:type="dxa"/>
            <w:noWrap/>
            <w:hideMark/>
          </w:tcPr>
          <w:p w14:paraId="087895CA"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Lielām (max 100 000)</w:t>
            </w:r>
          </w:p>
        </w:tc>
        <w:tc>
          <w:tcPr>
            <w:tcW w:w="2268" w:type="dxa"/>
            <w:noWrap/>
            <w:hideMark/>
          </w:tcPr>
          <w:p w14:paraId="15171D62"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300 000,00</w:t>
            </w:r>
          </w:p>
        </w:tc>
        <w:tc>
          <w:tcPr>
            <w:tcW w:w="2268" w:type="dxa"/>
            <w:noWrap/>
            <w:hideMark/>
          </w:tcPr>
          <w:p w14:paraId="32CEF884" w14:textId="77777777" w:rsidR="00EA051D" w:rsidRPr="007D7339" w:rsidRDefault="00EA051D" w:rsidP="00E6063D">
            <w:pPr>
              <w:spacing w:after="60"/>
              <w:rPr>
                <w:rFonts w:ascii="Times New Roman" w:hAnsi="Times New Roman" w:cs="Times New Roman"/>
              </w:rPr>
            </w:pPr>
            <w:r w:rsidRPr="007D7339">
              <w:rPr>
                <w:rFonts w:ascii="Times New Roman" w:hAnsi="Times New Roman" w:cs="Times New Roman"/>
              </w:rPr>
              <w:t>EUR/15 gados</w:t>
            </w:r>
          </w:p>
        </w:tc>
      </w:tr>
    </w:tbl>
    <w:p w14:paraId="072B566E" w14:textId="77777777" w:rsidR="00EA051D" w:rsidRPr="00175DD0" w:rsidRDefault="00EA051D" w:rsidP="00EA051D"/>
    <w:p w14:paraId="76ED2C86" w14:textId="0263DD35" w:rsidR="00007A9A" w:rsidRPr="00007A9A" w:rsidRDefault="00EA051D" w:rsidP="00007A9A">
      <w:pPr>
        <w:pBdr>
          <w:top w:val="nil"/>
          <w:left w:val="nil"/>
          <w:bottom w:val="nil"/>
          <w:right w:val="nil"/>
          <w:between w:val="nil"/>
        </w:pBdr>
        <w:spacing w:after="0"/>
        <w:jc w:val="right"/>
        <w:rPr>
          <w:rFonts w:ascii="Times New Roman" w:hAnsi="Times New Roman" w:cs="Times New Roman"/>
          <w:bCs/>
          <w:szCs w:val="20"/>
        </w:rPr>
      </w:pPr>
      <w:r w:rsidRPr="00007A9A">
        <w:rPr>
          <w:rFonts w:ascii="Times New Roman" w:hAnsi="Times New Roman" w:cs="Times New Roman"/>
          <w:bCs/>
          <w:szCs w:val="20"/>
        </w:rPr>
        <w:t>4.</w:t>
      </w:r>
      <w:r w:rsidR="007A5D2D">
        <w:rPr>
          <w:rFonts w:ascii="Times New Roman" w:hAnsi="Times New Roman" w:cs="Times New Roman"/>
          <w:bCs/>
          <w:szCs w:val="20"/>
        </w:rPr>
        <w:t>7.3</w:t>
      </w:r>
      <w:r w:rsidRPr="00007A9A">
        <w:rPr>
          <w:rFonts w:ascii="Times New Roman" w:hAnsi="Times New Roman" w:cs="Times New Roman"/>
          <w:bCs/>
          <w:szCs w:val="20"/>
        </w:rPr>
        <w:t>. tabula</w:t>
      </w:r>
    </w:p>
    <w:p w14:paraId="249F79A7" w14:textId="1DDE5EF2" w:rsidR="00EA051D" w:rsidRPr="00391187" w:rsidRDefault="00EA051D" w:rsidP="00007A9A">
      <w:pPr>
        <w:pBdr>
          <w:top w:val="nil"/>
          <w:left w:val="nil"/>
          <w:bottom w:val="nil"/>
          <w:right w:val="nil"/>
          <w:between w:val="nil"/>
        </w:pBdr>
        <w:spacing w:after="0"/>
        <w:jc w:val="center"/>
        <w:rPr>
          <w:rFonts w:ascii="Times New Roman" w:hAnsi="Times New Roman" w:cs="Times New Roman"/>
          <w:b/>
          <w:szCs w:val="20"/>
        </w:rPr>
      </w:pPr>
      <w:r w:rsidRPr="00391187">
        <w:rPr>
          <w:rFonts w:ascii="Times New Roman" w:hAnsi="Times New Roman" w:cs="Times New Roman"/>
          <w:b/>
          <w:szCs w:val="20"/>
        </w:rPr>
        <w:t>Mehāniskas atūdeņotu dūņu (18% sausne) pārstrādes izmaksas tās noturot 12 mēnešus</w:t>
      </w:r>
      <w:r w:rsidR="00E6063D" w:rsidRPr="00391187">
        <w:rPr>
          <w:rFonts w:ascii="Times New Roman" w:hAnsi="Times New Roman" w:cs="Times New Roman"/>
          <w:b/>
          <w:szCs w:val="20"/>
        </w:rPr>
        <w:t>, EUR</w:t>
      </w:r>
    </w:p>
    <w:p w14:paraId="150ABE48" w14:textId="77777777" w:rsidR="00EA051D" w:rsidRPr="00175DD0" w:rsidRDefault="00EA051D" w:rsidP="00EA051D">
      <w:r w:rsidRPr="00175DD0">
        <w:rPr>
          <w:noProof/>
          <w:lang w:eastAsia="lv-LV"/>
        </w:rPr>
        <w:drawing>
          <wp:inline distT="0" distB="0" distL="0" distR="0" wp14:anchorId="40601AC6" wp14:editId="41EFE197">
            <wp:extent cx="5943600" cy="2165561"/>
            <wp:effectExtent l="0" t="0" r="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2165561"/>
                    </a:xfrm>
                    <a:prstGeom prst="rect">
                      <a:avLst/>
                    </a:prstGeom>
                    <a:noFill/>
                    <a:ln>
                      <a:noFill/>
                    </a:ln>
                  </pic:spPr>
                </pic:pic>
              </a:graphicData>
            </a:graphic>
          </wp:inline>
        </w:drawing>
      </w:r>
    </w:p>
    <w:p w14:paraId="583295FD" w14:textId="77777777" w:rsidR="00EA051D" w:rsidRPr="00007A9A" w:rsidRDefault="00EA051D" w:rsidP="00007A9A">
      <w:pPr>
        <w:pBdr>
          <w:top w:val="nil"/>
          <w:left w:val="nil"/>
          <w:bottom w:val="nil"/>
          <w:right w:val="nil"/>
          <w:between w:val="nil"/>
        </w:pBdr>
        <w:spacing w:after="0"/>
        <w:rPr>
          <w:rFonts w:ascii="Times New Roman" w:hAnsi="Times New Roman" w:cs="Times New Roman"/>
          <w:b/>
          <w:color w:val="000000"/>
          <w:szCs w:val="24"/>
        </w:rPr>
      </w:pPr>
      <w:r w:rsidRPr="00007A9A">
        <w:rPr>
          <w:rFonts w:ascii="Times New Roman" w:hAnsi="Times New Roman" w:cs="Times New Roman"/>
          <w:b/>
          <w:color w:val="000000"/>
          <w:szCs w:val="24"/>
        </w:rPr>
        <w:t>Pieņēmumi</w:t>
      </w:r>
    </w:p>
    <w:tbl>
      <w:tblPr>
        <w:tblStyle w:val="TableGrid"/>
        <w:tblW w:w="0" w:type="auto"/>
        <w:tblLook w:val="04A0" w:firstRow="1" w:lastRow="0" w:firstColumn="1" w:lastColumn="0" w:noHBand="0" w:noVBand="1"/>
      </w:tblPr>
      <w:tblGrid>
        <w:gridCol w:w="5480"/>
        <w:gridCol w:w="1178"/>
        <w:gridCol w:w="1984"/>
      </w:tblGrid>
      <w:tr w:rsidR="00EA051D" w:rsidRPr="00007A9A" w14:paraId="448F1F71" w14:textId="77777777" w:rsidTr="00E6063D">
        <w:trPr>
          <w:trHeight w:val="288"/>
        </w:trPr>
        <w:tc>
          <w:tcPr>
            <w:tcW w:w="5480" w:type="dxa"/>
            <w:noWrap/>
            <w:hideMark/>
          </w:tcPr>
          <w:p w14:paraId="27B0EFD7"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Izmaksas dūņu atūdeņošanai līdz 18%</w:t>
            </w:r>
          </w:p>
        </w:tc>
        <w:tc>
          <w:tcPr>
            <w:tcW w:w="3162" w:type="dxa"/>
            <w:gridSpan w:val="2"/>
            <w:noWrap/>
            <w:hideMark/>
          </w:tcPr>
          <w:p w14:paraId="49EDD848"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(tiek ņemts no iepriekš veiktā aprēķina par dūņu mehānisku atūdeņošanu)</w:t>
            </w:r>
          </w:p>
        </w:tc>
      </w:tr>
      <w:tr w:rsidR="00EA051D" w:rsidRPr="00007A9A" w14:paraId="45B475DB" w14:textId="77777777" w:rsidTr="00E6063D">
        <w:trPr>
          <w:trHeight w:val="288"/>
        </w:trPr>
        <w:tc>
          <w:tcPr>
            <w:tcW w:w="5480" w:type="dxa"/>
            <w:noWrap/>
            <w:hideMark/>
          </w:tcPr>
          <w:p w14:paraId="41B6115C"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biezums dūņu laukā</w:t>
            </w:r>
          </w:p>
        </w:tc>
        <w:tc>
          <w:tcPr>
            <w:tcW w:w="1178" w:type="dxa"/>
            <w:noWrap/>
            <w:hideMark/>
          </w:tcPr>
          <w:p w14:paraId="00C4D210"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0,4</w:t>
            </w:r>
          </w:p>
        </w:tc>
        <w:tc>
          <w:tcPr>
            <w:tcW w:w="1984" w:type="dxa"/>
            <w:noWrap/>
            <w:hideMark/>
          </w:tcPr>
          <w:p w14:paraId="19BB68E9"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m</w:t>
            </w:r>
          </w:p>
        </w:tc>
      </w:tr>
      <w:tr w:rsidR="00EA051D" w:rsidRPr="00007A9A" w14:paraId="4C21B4AD" w14:textId="77777777" w:rsidTr="00E6063D">
        <w:trPr>
          <w:trHeight w:val="288"/>
        </w:trPr>
        <w:tc>
          <w:tcPr>
            <w:tcW w:w="5480" w:type="dxa"/>
            <w:noWrap/>
            <w:hideMark/>
          </w:tcPr>
          <w:p w14:paraId="371A3547"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 xml:space="preserve">Dūņu mehāniskā atūdeņošana </w:t>
            </w:r>
          </w:p>
        </w:tc>
        <w:tc>
          <w:tcPr>
            <w:tcW w:w="1178" w:type="dxa"/>
            <w:noWrap/>
            <w:hideMark/>
          </w:tcPr>
          <w:p w14:paraId="037AB75E"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18</w:t>
            </w:r>
          </w:p>
        </w:tc>
        <w:tc>
          <w:tcPr>
            <w:tcW w:w="1984" w:type="dxa"/>
            <w:noWrap/>
            <w:hideMark/>
          </w:tcPr>
          <w:p w14:paraId="15D94B12"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 sausne</w:t>
            </w:r>
          </w:p>
        </w:tc>
      </w:tr>
      <w:tr w:rsidR="00EA051D" w:rsidRPr="00007A9A" w14:paraId="3D007716" w14:textId="77777777" w:rsidTr="00E6063D">
        <w:trPr>
          <w:trHeight w:val="288"/>
        </w:trPr>
        <w:tc>
          <w:tcPr>
            <w:tcW w:w="5480" w:type="dxa"/>
            <w:noWrap/>
            <w:hideMark/>
          </w:tcPr>
          <w:p w14:paraId="441D2119"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Nostādinātu dūņu mitrums</w:t>
            </w:r>
          </w:p>
        </w:tc>
        <w:tc>
          <w:tcPr>
            <w:tcW w:w="1178" w:type="dxa"/>
            <w:noWrap/>
            <w:hideMark/>
          </w:tcPr>
          <w:p w14:paraId="2C8B842A"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30</w:t>
            </w:r>
          </w:p>
        </w:tc>
        <w:tc>
          <w:tcPr>
            <w:tcW w:w="1984" w:type="dxa"/>
            <w:noWrap/>
            <w:hideMark/>
          </w:tcPr>
          <w:p w14:paraId="7F5A0F0E"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 sausne</w:t>
            </w:r>
          </w:p>
        </w:tc>
      </w:tr>
      <w:tr w:rsidR="00EA051D" w:rsidRPr="00007A9A" w14:paraId="70AA87AF" w14:textId="77777777" w:rsidTr="00E6063D">
        <w:trPr>
          <w:trHeight w:val="288"/>
        </w:trPr>
        <w:tc>
          <w:tcPr>
            <w:tcW w:w="5480" w:type="dxa"/>
            <w:noWrap/>
            <w:hideMark/>
          </w:tcPr>
          <w:p w14:paraId="55E54927"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uzglabāšanas laukuma izveidošana</w:t>
            </w:r>
          </w:p>
        </w:tc>
        <w:tc>
          <w:tcPr>
            <w:tcW w:w="1178" w:type="dxa"/>
            <w:noWrap/>
            <w:hideMark/>
          </w:tcPr>
          <w:p w14:paraId="583445EB"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120</w:t>
            </w:r>
          </w:p>
        </w:tc>
        <w:tc>
          <w:tcPr>
            <w:tcW w:w="1984" w:type="dxa"/>
            <w:noWrap/>
            <w:hideMark/>
          </w:tcPr>
          <w:p w14:paraId="686B1FA9"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EUR/m2</w:t>
            </w:r>
          </w:p>
        </w:tc>
      </w:tr>
      <w:tr w:rsidR="00EA051D" w:rsidRPr="00007A9A" w14:paraId="7D0FD011" w14:textId="77777777" w:rsidTr="00E6063D">
        <w:trPr>
          <w:trHeight w:val="288"/>
        </w:trPr>
        <w:tc>
          <w:tcPr>
            <w:tcW w:w="5480" w:type="dxa"/>
            <w:noWrap/>
            <w:hideMark/>
          </w:tcPr>
          <w:p w14:paraId="592436FD"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uzglabāšanas laukuma jumts</w:t>
            </w:r>
          </w:p>
        </w:tc>
        <w:tc>
          <w:tcPr>
            <w:tcW w:w="1178" w:type="dxa"/>
            <w:noWrap/>
            <w:hideMark/>
          </w:tcPr>
          <w:p w14:paraId="5D5E6FD6"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50</w:t>
            </w:r>
          </w:p>
        </w:tc>
        <w:tc>
          <w:tcPr>
            <w:tcW w:w="1984" w:type="dxa"/>
            <w:noWrap/>
            <w:hideMark/>
          </w:tcPr>
          <w:p w14:paraId="0AF53C1D"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EUR/m2</w:t>
            </w:r>
          </w:p>
        </w:tc>
      </w:tr>
      <w:tr w:rsidR="00EA051D" w:rsidRPr="00007A9A" w14:paraId="2573B109" w14:textId="77777777" w:rsidTr="00E6063D">
        <w:trPr>
          <w:trHeight w:val="288"/>
        </w:trPr>
        <w:tc>
          <w:tcPr>
            <w:tcW w:w="5480" w:type="dxa"/>
            <w:noWrap/>
            <w:hideMark/>
          </w:tcPr>
          <w:p w14:paraId="62AE0A78"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Smaku novēršanas aprīkojums</w:t>
            </w:r>
          </w:p>
        </w:tc>
        <w:tc>
          <w:tcPr>
            <w:tcW w:w="1178" w:type="dxa"/>
            <w:noWrap/>
            <w:hideMark/>
          </w:tcPr>
          <w:p w14:paraId="49D485D2"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2</w:t>
            </w:r>
          </w:p>
        </w:tc>
        <w:tc>
          <w:tcPr>
            <w:tcW w:w="1984" w:type="dxa"/>
            <w:noWrap/>
            <w:hideMark/>
          </w:tcPr>
          <w:p w14:paraId="791E962A"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EUR/m2</w:t>
            </w:r>
          </w:p>
        </w:tc>
      </w:tr>
      <w:tr w:rsidR="00EA051D" w:rsidRPr="00007A9A" w14:paraId="56244FF1" w14:textId="77777777" w:rsidTr="00E6063D">
        <w:trPr>
          <w:trHeight w:val="288"/>
        </w:trPr>
        <w:tc>
          <w:tcPr>
            <w:tcW w:w="5480" w:type="dxa"/>
            <w:noWrap/>
            <w:hideMark/>
          </w:tcPr>
          <w:p w14:paraId="625B6FC6"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Smaku mazināšanas uzturēšanas izmaksas</w:t>
            </w:r>
          </w:p>
        </w:tc>
        <w:tc>
          <w:tcPr>
            <w:tcW w:w="1178" w:type="dxa"/>
            <w:noWrap/>
            <w:hideMark/>
          </w:tcPr>
          <w:p w14:paraId="68DBE009"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2</w:t>
            </w:r>
          </w:p>
        </w:tc>
        <w:tc>
          <w:tcPr>
            <w:tcW w:w="1984" w:type="dxa"/>
            <w:noWrap/>
            <w:hideMark/>
          </w:tcPr>
          <w:p w14:paraId="562EA2B1"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EUR/m3</w:t>
            </w:r>
          </w:p>
        </w:tc>
      </w:tr>
      <w:tr w:rsidR="00EA051D" w:rsidRPr="00007A9A" w14:paraId="46A11277" w14:textId="77777777" w:rsidTr="00E6063D">
        <w:trPr>
          <w:trHeight w:val="288"/>
        </w:trPr>
        <w:tc>
          <w:tcPr>
            <w:tcW w:w="5480" w:type="dxa"/>
            <w:noWrap/>
            <w:hideMark/>
          </w:tcPr>
          <w:p w14:paraId="4A1BC31E"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Sūkņu stacija drenāžas ūdeņu novadīšanai</w:t>
            </w:r>
          </w:p>
        </w:tc>
        <w:tc>
          <w:tcPr>
            <w:tcW w:w="1178" w:type="dxa"/>
            <w:noWrap/>
            <w:hideMark/>
          </w:tcPr>
          <w:p w14:paraId="26192553"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w:t>
            </w:r>
          </w:p>
        </w:tc>
        <w:tc>
          <w:tcPr>
            <w:tcW w:w="1984" w:type="dxa"/>
            <w:noWrap/>
            <w:hideMark/>
          </w:tcPr>
          <w:p w14:paraId="2DB9A94F"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EUR/m3</w:t>
            </w:r>
          </w:p>
        </w:tc>
      </w:tr>
      <w:tr w:rsidR="00EA051D" w:rsidRPr="00007A9A" w14:paraId="6FFEEC3B" w14:textId="77777777" w:rsidTr="00E6063D">
        <w:trPr>
          <w:trHeight w:val="288"/>
        </w:trPr>
        <w:tc>
          <w:tcPr>
            <w:tcW w:w="5480" w:type="dxa"/>
            <w:noWrap/>
            <w:hideMark/>
          </w:tcPr>
          <w:p w14:paraId="2C4E461C"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lastRenderedPageBreak/>
              <w:t>Dūņu transportēšana uz dūņu nostādināšanai</w:t>
            </w:r>
          </w:p>
        </w:tc>
        <w:tc>
          <w:tcPr>
            <w:tcW w:w="1178" w:type="dxa"/>
            <w:noWrap/>
            <w:hideMark/>
          </w:tcPr>
          <w:p w14:paraId="51E462B5"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1,5</w:t>
            </w:r>
          </w:p>
        </w:tc>
        <w:tc>
          <w:tcPr>
            <w:tcW w:w="1984" w:type="dxa"/>
            <w:noWrap/>
            <w:hideMark/>
          </w:tcPr>
          <w:p w14:paraId="41AB9EFB"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EUR/km</w:t>
            </w:r>
          </w:p>
        </w:tc>
      </w:tr>
      <w:tr w:rsidR="00EA051D" w:rsidRPr="00007A9A" w14:paraId="7DE55C64" w14:textId="77777777" w:rsidTr="00E6063D">
        <w:trPr>
          <w:trHeight w:val="288"/>
        </w:trPr>
        <w:tc>
          <w:tcPr>
            <w:tcW w:w="5480" w:type="dxa"/>
            <w:noWrap/>
            <w:hideMark/>
          </w:tcPr>
          <w:p w14:paraId="21B9869A"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stumšana un kraušana</w:t>
            </w:r>
          </w:p>
        </w:tc>
        <w:tc>
          <w:tcPr>
            <w:tcW w:w="1178" w:type="dxa"/>
            <w:noWrap/>
            <w:hideMark/>
          </w:tcPr>
          <w:p w14:paraId="656D7C76"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1,2</w:t>
            </w:r>
          </w:p>
        </w:tc>
        <w:tc>
          <w:tcPr>
            <w:tcW w:w="1984" w:type="dxa"/>
            <w:noWrap/>
            <w:hideMark/>
          </w:tcPr>
          <w:p w14:paraId="344CB5C0"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EUR/m3</w:t>
            </w:r>
          </w:p>
        </w:tc>
      </w:tr>
      <w:tr w:rsidR="00EA051D" w:rsidRPr="00007A9A" w14:paraId="2232A23F" w14:textId="77777777" w:rsidTr="00E6063D">
        <w:trPr>
          <w:trHeight w:val="300"/>
        </w:trPr>
        <w:tc>
          <w:tcPr>
            <w:tcW w:w="5480" w:type="dxa"/>
            <w:noWrap/>
            <w:hideMark/>
          </w:tcPr>
          <w:p w14:paraId="631659C5"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daudzums mašīnā apstrādātu 30% dūņu aizvešanai</w:t>
            </w:r>
          </w:p>
        </w:tc>
        <w:tc>
          <w:tcPr>
            <w:tcW w:w="1178" w:type="dxa"/>
            <w:noWrap/>
            <w:hideMark/>
          </w:tcPr>
          <w:p w14:paraId="6B7EB4B4"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20</w:t>
            </w:r>
          </w:p>
        </w:tc>
        <w:tc>
          <w:tcPr>
            <w:tcW w:w="1984" w:type="dxa"/>
            <w:noWrap/>
            <w:hideMark/>
          </w:tcPr>
          <w:p w14:paraId="76E74AEF"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t</w:t>
            </w:r>
          </w:p>
        </w:tc>
      </w:tr>
      <w:tr w:rsidR="00EA051D" w:rsidRPr="00007A9A" w14:paraId="34B025F6" w14:textId="77777777" w:rsidTr="00E6063D">
        <w:trPr>
          <w:trHeight w:val="288"/>
        </w:trPr>
        <w:tc>
          <w:tcPr>
            <w:tcW w:w="5480" w:type="dxa"/>
            <w:noWrap/>
            <w:hideMark/>
          </w:tcPr>
          <w:p w14:paraId="0B870243"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Apstrādātu dūņu transportēšanas izmaksas</w:t>
            </w:r>
          </w:p>
        </w:tc>
        <w:tc>
          <w:tcPr>
            <w:tcW w:w="1178" w:type="dxa"/>
            <w:noWrap/>
            <w:hideMark/>
          </w:tcPr>
          <w:p w14:paraId="556E80BB"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1,5</w:t>
            </w:r>
          </w:p>
        </w:tc>
        <w:tc>
          <w:tcPr>
            <w:tcW w:w="1984" w:type="dxa"/>
            <w:noWrap/>
            <w:hideMark/>
          </w:tcPr>
          <w:p w14:paraId="0B4D6F36"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EUR/km</w:t>
            </w:r>
          </w:p>
        </w:tc>
      </w:tr>
    </w:tbl>
    <w:p w14:paraId="367B3968" w14:textId="77777777" w:rsidR="00007A9A" w:rsidRDefault="00007A9A" w:rsidP="00007A9A">
      <w:pPr>
        <w:pBdr>
          <w:top w:val="nil"/>
          <w:left w:val="nil"/>
          <w:bottom w:val="nil"/>
          <w:right w:val="nil"/>
          <w:between w:val="nil"/>
        </w:pBdr>
        <w:spacing w:after="0"/>
        <w:jc w:val="right"/>
        <w:rPr>
          <w:rFonts w:ascii="Times New Roman" w:hAnsi="Times New Roman" w:cs="Times New Roman"/>
          <w:bCs/>
          <w:szCs w:val="20"/>
        </w:rPr>
      </w:pPr>
    </w:p>
    <w:p w14:paraId="00D0375C" w14:textId="373957C5" w:rsidR="00007A9A" w:rsidRPr="00007A9A" w:rsidRDefault="00EA051D" w:rsidP="00007A9A">
      <w:pPr>
        <w:pBdr>
          <w:top w:val="nil"/>
          <w:left w:val="nil"/>
          <w:bottom w:val="nil"/>
          <w:right w:val="nil"/>
          <w:between w:val="nil"/>
        </w:pBdr>
        <w:spacing w:after="0"/>
        <w:jc w:val="right"/>
        <w:rPr>
          <w:rFonts w:ascii="Times New Roman" w:hAnsi="Times New Roman" w:cs="Times New Roman"/>
          <w:bCs/>
          <w:szCs w:val="20"/>
        </w:rPr>
      </w:pPr>
      <w:r w:rsidRPr="00007A9A">
        <w:rPr>
          <w:rFonts w:ascii="Times New Roman" w:hAnsi="Times New Roman" w:cs="Times New Roman"/>
          <w:bCs/>
          <w:szCs w:val="20"/>
        </w:rPr>
        <w:t>4.</w:t>
      </w:r>
      <w:r w:rsidR="007A5D2D">
        <w:rPr>
          <w:rFonts w:ascii="Times New Roman" w:hAnsi="Times New Roman" w:cs="Times New Roman"/>
          <w:bCs/>
          <w:szCs w:val="20"/>
        </w:rPr>
        <w:t>7.4</w:t>
      </w:r>
      <w:r w:rsidRPr="00007A9A">
        <w:rPr>
          <w:rFonts w:ascii="Times New Roman" w:hAnsi="Times New Roman" w:cs="Times New Roman"/>
          <w:bCs/>
          <w:szCs w:val="20"/>
        </w:rPr>
        <w:t>. tabula</w:t>
      </w:r>
    </w:p>
    <w:p w14:paraId="611D543C" w14:textId="2BE16443" w:rsidR="00EA051D" w:rsidRPr="00007A9A" w:rsidRDefault="00EA051D" w:rsidP="00007A9A">
      <w:pPr>
        <w:pBdr>
          <w:top w:val="nil"/>
          <w:left w:val="nil"/>
          <w:bottom w:val="nil"/>
          <w:right w:val="nil"/>
          <w:between w:val="nil"/>
        </w:pBdr>
        <w:spacing w:after="0"/>
        <w:jc w:val="center"/>
        <w:rPr>
          <w:rFonts w:ascii="Times New Roman" w:hAnsi="Times New Roman" w:cs="Times New Roman"/>
          <w:b/>
          <w:szCs w:val="20"/>
        </w:rPr>
      </w:pPr>
      <w:r w:rsidRPr="00007A9A">
        <w:rPr>
          <w:rFonts w:ascii="Times New Roman" w:hAnsi="Times New Roman" w:cs="Times New Roman"/>
          <w:b/>
          <w:szCs w:val="20"/>
        </w:rPr>
        <w:t>Mehāniskas atūdeņotu dūņu (18% sausne) pārstrāde</w:t>
      </w:r>
      <w:r w:rsidR="00E6063D" w:rsidRPr="00007A9A">
        <w:rPr>
          <w:rFonts w:ascii="Times New Roman" w:hAnsi="Times New Roman" w:cs="Times New Roman"/>
          <w:b/>
          <w:szCs w:val="20"/>
        </w:rPr>
        <w:t>s izmaksas</w:t>
      </w:r>
      <w:r w:rsidRPr="00007A9A">
        <w:rPr>
          <w:rFonts w:ascii="Times New Roman" w:hAnsi="Times New Roman" w:cs="Times New Roman"/>
          <w:b/>
          <w:szCs w:val="20"/>
        </w:rPr>
        <w:t xml:space="preserve"> dūņ</w:t>
      </w:r>
      <w:r w:rsidR="00E6063D" w:rsidRPr="00007A9A">
        <w:rPr>
          <w:rFonts w:ascii="Times New Roman" w:hAnsi="Times New Roman" w:cs="Times New Roman"/>
          <w:b/>
          <w:szCs w:val="20"/>
        </w:rPr>
        <w:t>as</w:t>
      </w:r>
      <w:r w:rsidRPr="00007A9A">
        <w:rPr>
          <w:rFonts w:ascii="Times New Roman" w:hAnsi="Times New Roman" w:cs="Times New Roman"/>
          <w:b/>
          <w:szCs w:val="20"/>
        </w:rPr>
        <w:t xml:space="preserve"> kompost</w:t>
      </w:r>
      <w:r w:rsidR="00E6063D" w:rsidRPr="00007A9A">
        <w:rPr>
          <w:rFonts w:ascii="Times New Roman" w:hAnsi="Times New Roman" w:cs="Times New Roman"/>
          <w:b/>
          <w:szCs w:val="20"/>
        </w:rPr>
        <w:t>ējot, EUR</w:t>
      </w:r>
    </w:p>
    <w:p w14:paraId="3D35775C" w14:textId="77777777" w:rsidR="00EA051D" w:rsidRPr="00175DD0" w:rsidRDefault="00EA051D" w:rsidP="00EA051D">
      <w:r w:rsidRPr="00175DD0">
        <w:rPr>
          <w:noProof/>
          <w:lang w:eastAsia="lv-LV"/>
        </w:rPr>
        <w:drawing>
          <wp:inline distT="0" distB="0" distL="0" distR="0" wp14:anchorId="2AAE3885" wp14:editId="78BB17E9">
            <wp:extent cx="5943600" cy="2587486"/>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2587486"/>
                    </a:xfrm>
                    <a:prstGeom prst="rect">
                      <a:avLst/>
                    </a:prstGeom>
                    <a:noFill/>
                    <a:ln>
                      <a:noFill/>
                    </a:ln>
                  </pic:spPr>
                </pic:pic>
              </a:graphicData>
            </a:graphic>
          </wp:inline>
        </w:drawing>
      </w:r>
    </w:p>
    <w:p w14:paraId="4730DE09" w14:textId="77777777" w:rsidR="00EA051D" w:rsidRPr="00007A9A" w:rsidRDefault="00EA051D" w:rsidP="00007A9A">
      <w:pPr>
        <w:pBdr>
          <w:top w:val="nil"/>
          <w:left w:val="nil"/>
          <w:bottom w:val="nil"/>
          <w:right w:val="nil"/>
          <w:between w:val="nil"/>
        </w:pBdr>
        <w:spacing w:after="0"/>
        <w:rPr>
          <w:rFonts w:ascii="Times New Roman" w:hAnsi="Times New Roman" w:cs="Times New Roman"/>
          <w:b/>
          <w:szCs w:val="20"/>
        </w:rPr>
      </w:pPr>
      <w:r w:rsidRPr="00007A9A">
        <w:rPr>
          <w:rFonts w:ascii="Times New Roman" w:hAnsi="Times New Roman" w:cs="Times New Roman"/>
          <w:b/>
          <w:szCs w:val="20"/>
        </w:rPr>
        <w:t>Pieņēmumi</w:t>
      </w:r>
    </w:p>
    <w:tbl>
      <w:tblPr>
        <w:tblStyle w:val="TableGrid"/>
        <w:tblW w:w="0" w:type="auto"/>
        <w:tblLook w:val="04A0" w:firstRow="1" w:lastRow="0" w:firstColumn="1" w:lastColumn="0" w:noHBand="0" w:noVBand="1"/>
      </w:tblPr>
      <w:tblGrid>
        <w:gridCol w:w="5480"/>
        <w:gridCol w:w="1603"/>
        <w:gridCol w:w="1417"/>
      </w:tblGrid>
      <w:tr w:rsidR="00EA051D" w:rsidRPr="00007A9A" w14:paraId="3319FA4D" w14:textId="77777777" w:rsidTr="008E6BAE">
        <w:trPr>
          <w:trHeight w:val="288"/>
        </w:trPr>
        <w:tc>
          <w:tcPr>
            <w:tcW w:w="5480" w:type="dxa"/>
            <w:noWrap/>
            <w:hideMark/>
          </w:tcPr>
          <w:p w14:paraId="38C2E267"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Izmaksas dūņu atūdeņošanai līdz 18%</w:t>
            </w:r>
          </w:p>
        </w:tc>
        <w:tc>
          <w:tcPr>
            <w:tcW w:w="3020" w:type="dxa"/>
            <w:gridSpan w:val="2"/>
            <w:noWrap/>
            <w:hideMark/>
          </w:tcPr>
          <w:p w14:paraId="277448CF"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(tiek ņemts no iepriekš veiktā aprēķina par dūņu mehānisku atūdeņošanu)</w:t>
            </w:r>
          </w:p>
        </w:tc>
      </w:tr>
      <w:tr w:rsidR="00EA051D" w:rsidRPr="00007A9A" w14:paraId="40DA0F22" w14:textId="77777777" w:rsidTr="008E6BAE">
        <w:trPr>
          <w:trHeight w:val="768"/>
        </w:trPr>
        <w:tc>
          <w:tcPr>
            <w:tcW w:w="5480" w:type="dxa"/>
            <w:hideMark/>
          </w:tcPr>
          <w:p w14:paraId="06A4324B"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laukuma jumts</w:t>
            </w:r>
          </w:p>
        </w:tc>
        <w:tc>
          <w:tcPr>
            <w:tcW w:w="1603" w:type="dxa"/>
            <w:noWrap/>
            <w:hideMark/>
          </w:tcPr>
          <w:p w14:paraId="642A2450"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50</w:t>
            </w:r>
          </w:p>
        </w:tc>
        <w:tc>
          <w:tcPr>
            <w:tcW w:w="1417" w:type="dxa"/>
            <w:noWrap/>
            <w:hideMark/>
          </w:tcPr>
          <w:p w14:paraId="3FBFEC53"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EUR/m2</w:t>
            </w:r>
          </w:p>
        </w:tc>
      </w:tr>
      <w:tr w:rsidR="00EA051D" w:rsidRPr="00007A9A" w14:paraId="02230816" w14:textId="77777777" w:rsidTr="008E6BAE">
        <w:trPr>
          <w:trHeight w:val="288"/>
        </w:trPr>
        <w:tc>
          <w:tcPr>
            <w:tcW w:w="5480" w:type="dxa"/>
            <w:hideMark/>
          </w:tcPr>
          <w:p w14:paraId="0883632C"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kompostēšanas laukuma izveide</w:t>
            </w:r>
          </w:p>
        </w:tc>
        <w:tc>
          <w:tcPr>
            <w:tcW w:w="1603" w:type="dxa"/>
            <w:noWrap/>
            <w:hideMark/>
          </w:tcPr>
          <w:p w14:paraId="33803DF7"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120</w:t>
            </w:r>
          </w:p>
        </w:tc>
        <w:tc>
          <w:tcPr>
            <w:tcW w:w="1417" w:type="dxa"/>
            <w:noWrap/>
            <w:hideMark/>
          </w:tcPr>
          <w:p w14:paraId="59D6024C"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EUR/m2</w:t>
            </w:r>
          </w:p>
        </w:tc>
      </w:tr>
      <w:tr w:rsidR="00EA051D" w:rsidRPr="00007A9A" w14:paraId="233CD4CD" w14:textId="77777777" w:rsidTr="008E6BAE">
        <w:trPr>
          <w:trHeight w:val="288"/>
        </w:trPr>
        <w:tc>
          <w:tcPr>
            <w:tcW w:w="5480" w:type="dxa"/>
            <w:noWrap/>
            <w:hideMark/>
          </w:tcPr>
          <w:p w14:paraId="14F9EBBE"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Smaku novēršanas aprīkojums</w:t>
            </w:r>
          </w:p>
        </w:tc>
        <w:tc>
          <w:tcPr>
            <w:tcW w:w="1603" w:type="dxa"/>
            <w:noWrap/>
            <w:hideMark/>
          </w:tcPr>
          <w:p w14:paraId="52D590E5"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2</w:t>
            </w:r>
          </w:p>
        </w:tc>
        <w:tc>
          <w:tcPr>
            <w:tcW w:w="1417" w:type="dxa"/>
            <w:noWrap/>
            <w:hideMark/>
          </w:tcPr>
          <w:p w14:paraId="66248CDD"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EUR/m2</w:t>
            </w:r>
          </w:p>
        </w:tc>
      </w:tr>
      <w:tr w:rsidR="00EA051D" w:rsidRPr="00007A9A" w14:paraId="2E03AEE3" w14:textId="77777777" w:rsidTr="008E6BAE">
        <w:trPr>
          <w:trHeight w:val="288"/>
        </w:trPr>
        <w:tc>
          <w:tcPr>
            <w:tcW w:w="5480" w:type="dxa"/>
            <w:noWrap/>
            <w:hideMark/>
          </w:tcPr>
          <w:p w14:paraId="6FBC8021"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Smaku mazināšanas uzturēšanas izmaksas</w:t>
            </w:r>
          </w:p>
        </w:tc>
        <w:tc>
          <w:tcPr>
            <w:tcW w:w="1603" w:type="dxa"/>
            <w:noWrap/>
            <w:hideMark/>
          </w:tcPr>
          <w:p w14:paraId="2D8C7304"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2</w:t>
            </w:r>
          </w:p>
        </w:tc>
        <w:tc>
          <w:tcPr>
            <w:tcW w:w="1417" w:type="dxa"/>
            <w:noWrap/>
            <w:hideMark/>
          </w:tcPr>
          <w:p w14:paraId="00253234"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EUR/m3</w:t>
            </w:r>
          </w:p>
        </w:tc>
      </w:tr>
      <w:tr w:rsidR="00EA051D" w:rsidRPr="00007A9A" w14:paraId="2A47318D" w14:textId="77777777" w:rsidTr="008E6BAE">
        <w:trPr>
          <w:trHeight w:val="288"/>
        </w:trPr>
        <w:tc>
          <w:tcPr>
            <w:tcW w:w="5480" w:type="dxa"/>
            <w:hideMark/>
          </w:tcPr>
          <w:p w14:paraId="5E590492"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kompostēšanas tehnikas iegāde</w:t>
            </w:r>
          </w:p>
        </w:tc>
        <w:tc>
          <w:tcPr>
            <w:tcW w:w="1603" w:type="dxa"/>
            <w:noWrap/>
            <w:hideMark/>
          </w:tcPr>
          <w:p w14:paraId="18112F8E"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150000</w:t>
            </w:r>
          </w:p>
        </w:tc>
        <w:tc>
          <w:tcPr>
            <w:tcW w:w="1417" w:type="dxa"/>
            <w:noWrap/>
            <w:hideMark/>
          </w:tcPr>
          <w:p w14:paraId="665A1E3F"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w:t>
            </w:r>
          </w:p>
        </w:tc>
      </w:tr>
      <w:tr w:rsidR="00EA051D" w:rsidRPr="00007A9A" w14:paraId="76372D9B" w14:textId="77777777" w:rsidTr="008E6BAE">
        <w:trPr>
          <w:trHeight w:val="288"/>
        </w:trPr>
        <w:tc>
          <w:tcPr>
            <w:tcW w:w="5480" w:type="dxa"/>
            <w:hideMark/>
          </w:tcPr>
          <w:p w14:paraId="0844BFD3"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kompostēšanas tenikas darba jauda</w:t>
            </w:r>
          </w:p>
        </w:tc>
        <w:tc>
          <w:tcPr>
            <w:tcW w:w="1603" w:type="dxa"/>
            <w:noWrap/>
            <w:hideMark/>
          </w:tcPr>
          <w:p w14:paraId="507FADB6"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950</w:t>
            </w:r>
          </w:p>
        </w:tc>
        <w:tc>
          <w:tcPr>
            <w:tcW w:w="1417" w:type="dxa"/>
            <w:noWrap/>
            <w:hideMark/>
          </w:tcPr>
          <w:p w14:paraId="4D37F177"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m3/h</w:t>
            </w:r>
          </w:p>
        </w:tc>
      </w:tr>
      <w:tr w:rsidR="00EA051D" w:rsidRPr="00007A9A" w14:paraId="06DBA312" w14:textId="77777777" w:rsidTr="008E6BAE">
        <w:trPr>
          <w:trHeight w:val="288"/>
        </w:trPr>
        <w:tc>
          <w:tcPr>
            <w:tcW w:w="5480" w:type="dxa"/>
            <w:hideMark/>
          </w:tcPr>
          <w:p w14:paraId="3DDD892C"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Dūņu komposta izveides tekošās izmaksas</w:t>
            </w:r>
          </w:p>
        </w:tc>
        <w:tc>
          <w:tcPr>
            <w:tcW w:w="1603" w:type="dxa"/>
            <w:noWrap/>
            <w:hideMark/>
          </w:tcPr>
          <w:p w14:paraId="76E42C2E"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30</w:t>
            </w:r>
          </w:p>
        </w:tc>
        <w:tc>
          <w:tcPr>
            <w:tcW w:w="1417" w:type="dxa"/>
            <w:noWrap/>
            <w:hideMark/>
          </w:tcPr>
          <w:p w14:paraId="2A7FE0B1"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EUR/h</w:t>
            </w:r>
          </w:p>
        </w:tc>
      </w:tr>
      <w:tr w:rsidR="00EA051D" w:rsidRPr="00007A9A" w14:paraId="0EC43CEC" w14:textId="77777777" w:rsidTr="008E6BAE">
        <w:trPr>
          <w:trHeight w:val="288"/>
        </w:trPr>
        <w:tc>
          <w:tcPr>
            <w:tcW w:w="5480" w:type="dxa"/>
            <w:hideMark/>
          </w:tcPr>
          <w:p w14:paraId="330BA8EE"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Vienas komposta kaudzes apstrādes ciklu skaits</w:t>
            </w:r>
          </w:p>
        </w:tc>
        <w:tc>
          <w:tcPr>
            <w:tcW w:w="1603" w:type="dxa"/>
            <w:noWrap/>
            <w:hideMark/>
          </w:tcPr>
          <w:p w14:paraId="615C7F8F"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3,0</w:t>
            </w:r>
          </w:p>
        </w:tc>
        <w:tc>
          <w:tcPr>
            <w:tcW w:w="1417" w:type="dxa"/>
            <w:noWrap/>
            <w:hideMark/>
          </w:tcPr>
          <w:p w14:paraId="34968DA2"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reizes</w:t>
            </w:r>
          </w:p>
        </w:tc>
      </w:tr>
      <w:tr w:rsidR="00EA051D" w:rsidRPr="00007A9A" w14:paraId="6414B181" w14:textId="77777777" w:rsidTr="008E6BAE">
        <w:trPr>
          <w:trHeight w:val="288"/>
        </w:trPr>
        <w:tc>
          <w:tcPr>
            <w:tcW w:w="5480" w:type="dxa"/>
            <w:hideMark/>
          </w:tcPr>
          <w:p w14:paraId="1961DEA3"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Komposta pildmateriāla iegāde</w:t>
            </w:r>
          </w:p>
        </w:tc>
        <w:tc>
          <w:tcPr>
            <w:tcW w:w="1603" w:type="dxa"/>
            <w:noWrap/>
            <w:hideMark/>
          </w:tcPr>
          <w:p w14:paraId="5AA6CFD5"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5</w:t>
            </w:r>
          </w:p>
        </w:tc>
        <w:tc>
          <w:tcPr>
            <w:tcW w:w="1417" w:type="dxa"/>
            <w:noWrap/>
            <w:hideMark/>
          </w:tcPr>
          <w:p w14:paraId="4C7FF632"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EUR/t</w:t>
            </w:r>
          </w:p>
        </w:tc>
      </w:tr>
      <w:tr w:rsidR="00EA051D" w:rsidRPr="00007A9A" w14:paraId="7564D25F" w14:textId="77777777" w:rsidTr="008E6BAE">
        <w:trPr>
          <w:trHeight w:val="288"/>
        </w:trPr>
        <w:tc>
          <w:tcPr>
            <w:tcW w:w="5480" w:type="dxa"/>
            <w:hideMark/>
          </w:tcPr>
          <w:p w14:paraId="08EA9DCC"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Pildmateriāla pievešana</w:t>
            </w:r>
          </w:p>
        </w:tc>
        <w:tc>
          <w:tcPr>
            <w:tcW w:w="1603" w:type="dxa"/>
            <w:noWrap/>
            <w:hideMark/>
          </w:tcPr>
          <w:p w14:paraId="2BB45F39"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15</w:t>
            </w:r>
          </w:p>
        </w:tc>
        <w:tc>
          <w:tcPr>
            <w:tcW w:w="1417" w:type="dxa"/>
            <w:noWrap/>
            <w:hideMark/>
          </w:tcPr>
          <w:p w14:paraId="41B5C574"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20</w:t>
            </w:r>
          </w:p>
        </w:tc>
      </w:tr>
      <w:tr w:rsidR="00EA051D" w:rsidRPr="00007A9A" w14:paraId="64C20AF6" w14:textId="77777777" w:rsidTr="008E6BAE">
        <w:trPr>
          <w:trHeight w:val="300"/>
        </w:trPr>
        <w:tc>
          <w:tcPr>
            <w:tcW w:w="5480" w:type="dxa"/>
            <w:noWrap/>
            <w:hideMark/>
          </w:tcPr>
          <w:p w14:paraId="37E7818B"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lastRenderedPageBreak/>
              <w:t>Komposta transportēšanas izmaksas</w:t>
            </w:r>
          </w:p>
        </w:tc>
        <w:tc>
          <w:tcPr>
            <w:tcW w:w="1603" w:type="dxa"/>
            <w:noWrap/>
            <w:hideMark/>
          </w:tcPr>
          <w:p w14:paraId="4761953A"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1,5</w:t>
            </w:r>
          </w:p>
        </w:tc>
        <w:tc>
          <w:tcPr>
            <w:tcW w:w="1417" w:type="dxa"/>
            <w:noWrap/>
            <w:hideMark/>
          </w:tcPr>
          <w:p w14:paraId="05A6A2D9"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EUR/km</w:t>
            </w:r>
          </w:p>
        </w:tc>
      </w:tr>
      <w:tr w:rsidR="00EA051D" w:rsidRPr="00007A9A" w14:paraId="47F0AF09" w14:textId="77777777" w:rsidTr="008E6BAE">
        <w:trPr>
          <w:trHeight w:val="288"/>
        </w:trPr>
        <w:tc>
          <w:tcPr>
            <w:tcW w:w="5480" w:type="dxa"/>
            <w:hideMark/>
          </w:tcPr>
          <w:p w14:paraId="032B7F0D"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Komposta iekraušana izvešanai</w:t>
            </w:r>
          </w:p>
        </w:tc>
        <w:tc>
          <w:tcPr>
            <w:tcW w:w="1603" w:type="dxa"/>
            <w:noWrap/>
            <w:hideMark/>
          </w:tcPr>
          <w:p w14:paraId="36B5B69E"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1,2</w:t>
            </w:r>
          </w:p>
        </w:tc>
        <w:tc>
          <w:tcPr>
            <w:tcW w:w="1417" w:type="dxa"/>
            <w:noWrap/>
            <w:hideMark/>
          </w:tcPr>
          <w:p w14:paraId="742B9B45"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EUR/m3</w:t>
            </w:r>
          </w:p>
        </w:tc>
      </w:tr>
      <w:tr w:rsidR="00EA051D" w:rsidRPr="00007A9A" w14:paraId="1959FDF2" w14:textId="77777777" w:rsidTr="008E6BAE">
        <w:trPr>
          <w:trHeight w:val="288"/>
        </w:trPr>
        <w:tc>
          <w:tcPr>
            <w:tcW w:w="5480" w:type="dxa"/>
            <w:hideMark/>
          </w:tcPr>
          <w:p w14:paraId="7777C79B"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Komposta daudzums mašīnā</w:t>
            </w:r>
          </w:p>
        </w:tc>
        <w:tc>
          <w:tcPr>
            <w:tcW w:w="1603" w:type="dxa"/>
            <w:noWrap/>
            <w:hideMark/>
          </w:tcPr>
          <w:p w14:paraId="49316F42"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20</w:t>
            </w:r>
          </w:p>
        </w:tc>
        <w:tc>
          <w:tcPr>
            <w:tcW w:w="1417" w:type="dxa"/>
            <w:noWrap/>
            <w:hideMark/>
          </w:tcPr>
          <w:p w14:paraId="08860AD3"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t</w:t>
            </w:r>
          </w:p>
        </w:tc>
      </w:tr>
      <w:tr w:rsidR="00EA051D" w:rsidRPr="00007A9A" w14:paraId="14EC19FB" w14:textId="77777777" w:rsidTr="008E6BAE">
        <w:trPr>
          <w:trHeight w:val="420"/>
        </w:trPr>
        <w:tc>
          <w:tcPr>
            <w:tcW w:w="5480" w:type="dxa"/>
            <w:noWrap/>
            <w:hideMark/>
          </w:tcPr>
          <w:p w14:paraId="2C6FF6B8"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Komposta transportēšanas izmaksas</w:t>
            </w:r>
          </w:p>
        </w:tc>
        <w:tc>
          <w:tcPr>
            <w:tcW w:w="1603" w:type="dxa"/>
            <w:noWrap/>
            <w:hideMark/>
          </w:tcPr>
          <w:p w14:paraId="5E58C776" w14:textId="77777777" w:rsidR="00EA051D" w:rsidRPr="00007A9A" w:rsidRDefault="00EA051D" w:rsidP="00E6063D">
            <w:pPr>
              <w:spacing w:after="60"/>
              <w:jc w:val="center"/>
              <w:rPr>
                <w:rFonts w:ascii="Times New Roman" w:hAnsi="Times New Roman" w:cs="Times New Roman"/>
              </w:rPr>
            </w:pPr>
            <w:r w:rsidRPr="00007A9A">
              <w:rPr>
                <w:rFonts w:ascii="Times New Roman" w:hAnsi="Times New Roman" w:cs="Times New Roman"/>
              </w:rPr>
              <w:t>1,5</w:t>
            </w:r>
          </w:p>
        </w:tc>
        <w:tc>
          <w:tcPr>
            <w:tcW w:w="1417" w:type="dxa"/>
            <w:noWrap/>
            <w:hideMark/>
          </w:tcPr>
          <w:p w14:paraId="0EE8D2CF" w14:textId="77777777" w:rsidR="00EA051D" w:rsidRPr="00007A9A" w:rsidRDefault="00EA051D" w:rsidP="00E6063D">
            <w:pPr>
              <w:spacing w:after="60"/>
              <w:rPr>
                <w:rFonts w:ascii="Times New Roman" w:hAnsi="Times New Roman" w:cs="Times New Roman"/>
              </w:rPr>
            </w:pPr>
            <w:r w:rsidRPr="00007A9A">
              <w:rPr>
                <w:rFonts w:ascii="Times New Roman" w:hAnsi="Times New Roman" w:cs="Times New Roman"/>
              </w:rPr>
              <w:t>EUR/km</w:t>
            </w:r>
          </w:p>
        </w:tc>
      </w:tr>
    </w:tbl>
    <w:p w14:paraId="6C0B492A" w14:textId="77777777" w:rsidR="00007A9A" w:rsidRDefault="00007A9A" w:rsidP="00007A9A">
      <w:pPr>
        <w:pBdr>
          <w:top w:val="nil"/>
          <w:left w:val="nil"/>
          <w:bottom w:val="nil"/>
          <w:right w:val="nil"/>
          <w:between w:val="nil"/>
        </w:pBdr>
        <w:spacing w:after="0"/>
        <w:rPr>
          <w:rFonts w:ascii="Times New Roman" w:hAnsi="Times New Roman" w:cs="Times New Roman"/>
          <w:b/>
          <w:szCs w:val="20"/>
        </w:rPr>
      </w:pPr>
    </w:p>
    <w:p w14:paraId="2866136A" w14:textId="288D1FE1" w:rsidR="00007A9A" w:rsidRPr="00007A9A" w:rsidRDefault="00EA051D" w:rsidP="00007A9A">
      <w:pPr>
        <w:pBdr>
          <w:top w:val="nil"/>
          <w:left w:val="nil"/>
          <w:bottom w:val="nil"/>
          <w:right w:val="nil"/>
          <w:between w:val="nil"/>
        </w:pBdr>
        <w:spacing w:after="0"/>
        <w:jc w:val="right"/>
        <w:rPr>
          <w:rFonts w:ascii="Times New Roman" w:hAnsi="Times New Roman" w:cs="Times New Roman"/>
          <w:bCs/>
          <w:szCs w:val="20"/>
        </w:rPr>
      </w:pPr>
      <w:r w:rsidRPr="00007A9A">
        <w:rPr>
          <w:rFonts w:ascii="Times New Roman" w:hAnsi="Times New Roman" w:cs="Times New Roman"/>
          <w:bCs/>
          <w:szCs w:val="20"/>
        </w:rPr>
        <w:t>4.</w:t>
      </w:r>
      <w:r w:rsidR="007F57E1">
        <w:rPr>
          <w:rFonts w:ascii="Times New Roman" w:hAnsi="Times New Roman" w:cs="Times New Roman"/>
          <w:bCs/>
          <w:szCs w:val="20"/>
        </w:rPr>
        <w:t>7.5</w:t>
      </w:r>
      <w:r w:rsidRPr="00007A9A">
        <w:rPr>
          <w:rFonts w:ascii="Times New Roman" w:hAnsi="Times New Roman" w:cs="Times New Roman"/>
          <w:bCs/>
          <w:szCs w:val="20"/>
        </w:rPr>
        <w:t>. tabula</w:t>
      </w:r>
    </w:p>
    <w:p w14:paraId="58BA03B3" w14:textId="6A6B1088" w:rsidR="00EA051D" w:rsidRPr="00007A9A" w:rsidRDefault="00EA051D" w:rsidP="00007A9A">
      <w:pPr>
        <w:pBdr>
          <w:top w:val="nil"/>
          <w:left w:val="nil"/>
          <w:bottom w:val="nil"/>
          <w:right w:val="nil"/>
          <w:between w:val="nil"/>
        </w:pBdr>
        <w:spacing w:after="0"/>
        <w:jc w:val="center"/>
        <w:rPr>
          <w:rFonts w:ascii="Times New Roman" w:hAnsi="Times New Roman" w:cs="Times New Roman"/>
          <w:b/>
          <w:szCs w:val="20"/>
        </w:rPr>
      </w:pPr>
      <w:r w:rsidRPr="00007A9A">
        <w:rPr>
          <w:rFonts w:ascii="Times New Roman" w:hAnsi="Times New Roman" w:cs="Times New Roman"/>
          <w:b/>
          <w:szCs w:val="20"/>
        </w:rPr>
        <w:t>Dažādas jaudas biogāzes staciju darbības izmaksu un ieņēmumi aprēķini veicot no bioloģiskajām NAI noņemtu notekūdeņu dūņu pārstrādi bez fugāta ūdens attīrīšanas</w:t>
      </w:r>
      <w:r w:rsidR="00E6063D" w:rsidRPr="00007A9A">
        <w:rPr>
          <w:rFonts w:ascii="Times New Roman" w:hAnsi="Times New Roman" w:cs="Times New Roman"/>
          <w:b/>
          <w:szCs w:val="20"/>
        </w:rPr>
        <w:t>, EUR</w:t>
      </w:r>
    </w:p>
    <w:p w14:paraId="732CE009" w14:textId="77777777" w:rsidR="00EA051D" w:rsidRPr="00175DD0" w:rsidRDefault="00EA051D" w:rsidP="00EA051D">
      <w:pPr>
        <w:pBdr>
          <w:top w:val="nil"/>
          <w:left w:val="nil"/>
          <w:bottom w:val="nil"/>
          <w:right w:val="nil"/>
          <w:between w:val="nil"/>
        </w:pBdr>
        <w:spacing w:after="0"/>
        <w:ind w:left="720"/>
        <w:rPr>
          <w:rFonts w:cstheme="minorHAnsi"/>
          <w:b/>
          <w:color w:val="000000"/>
          <w:sz w:val="20"/>
          <w:szCs w:val="20"/>
        </w:rPr>
      </w:pPr>
      <w:r w:rsidRPr="00175DD0">
        <w:rPr>
          <w:rFonts w:cstheme="minorHAnsi"/>
          <w:b/>
          <w:color w:val="000000"/>
          <w:sz w:val="20"/>
          <w:szCs w:val="20"/>
        </w:rPr>
        <w:t xml:space="preserve"> </w:t>
      </w:r>
    </w:p>
    <w:p w14:paraId="1B9BBCB2" w14:textId="77777777" w:rsidR="00EA051D" w:rsidRPr="00175DD0" w:rsidRDefault="00EA051D" w:rsidP="00EA051D">
      <w:r w:rsidRPr="00175DD0">
        <w:rPr>
          <w:noProof/>
          <w:lang w:eastAsia="lv-LV"/>
        </w:rPr>
        <w:drawing>
          <wp:inline distT="0" distB="0" distL="0" distR="0" wp14:anchorId="3C913E6E" wp14:editId="7E3B4F68">
            <wp:extent cx="5805542" cy="4400550"/>
            <wp:effectExtent l="0" t="0" r="508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10386" cy="4404222"/>
                    </a:xfrm>
                    <a:prstGeom prst="rect">
                      <a:avLst/>
                    </a:prstGeom>
                    <a:noFill/>
                    <a:ln>
                      <a:noFill/>
                    </a:ln>
                  </pic:spPr>
                </pic:pic>
              </a:graphicData>
            </a:graphic>
          </wp:inline>
        </w:drawing>
      </w:r>
    </w:p>
    <w:p w14:paraId="40A2C338" w14:textId="77777777" w:rsidR="00EA051D" w:rsidRPr="00175DD0" w:rsidRDefault="00EA051D" w:rsidP="00EA051D"/>
    <w:p w14:paraId="3F280AEB" w14:textId="77777777" w:rsidR="00EA051D" w:rsidRPr="00175DD0" w:rsidRDefault="00EA051D" w:rsidP="00EA051D"/>
    <w:p w14:paraId="7E37AF76" w14:textId="77777777" w:rsidR="00EA051D" w:rsidRPr="00175DD0" w:rsidRDefault="00EA051D" w:rsidP="00EA051D"/>
    <w:p w14:paraId="395336C2" w14:textId="44624384" w:rsidR="00EA051D" w:rsidRDefault="00EA051D" w:rsidP="00EA051D"/>
    <w:p w14:paraId="589B7D80" w14:textId="77777777" w:rsidR="00007A9A" w:rsidRPr="00175DD0" w:rsidRDefault="00007A9A" w:rsidP="00EA051D"/>
    <w:p w14:paraId="2E21A0FC" w14:textId="44F82321" w:rsidR="00C3685F" w:rsidRPr="00C3685F" w:rsidRDefault="00EA051D" w:rsidP="00C3685F">
      <w:pPr>
        <w:pBdr>
          <w:top w:val="nil"/>
          <w:left w:val="nil"/>
          <w:bottom w:val="nil"/>
          <w:right w:val="nil"/>
          <w:between w:val="nil"/>
        </w:pBdr>
        <w:spacing w:after="0"/>
        <w:jc w:val="right"/>
        <w:rPr>
          <w:rFonts w:ascii="Times New Roman" w:hAnsi="Times New Roman" w:cs="Times New Roman"/>
          <w:bCs/>
          <w:szCs w:val="20"/>
        </w:rPr>
      </w:pPr>
      <w:r w:rsidRPr="00C3685F">
        <w:rPr>
          <w:rFonts w:ascii="Times New Roman" w:hAnsi="Times New Roman" w:cs="Times New Roman"/>
          <w:bCs/>
          <w:szCs w:val="20"/>
        </w:rPr>
        <w:lastRenderedPageBreak/>
        <w:t>4.</w:t>
      </w:r>
      <w:r w:rsidR="000E16AB">
        <w:rPr>
          <w:rFonts w:ascii="Times New Roman" w:hAnsi="Times New Roman" w:cs="Times New Roman"/>
          <w:bCs/>
          <w:szCs w:val="20"/>
        </w:rPr>
        <w:t>7.6</w:t>
      </w:r>
      <w:r w:rsidRPr="00C3685F">
        <w:rPr>
          <w:rFonts w:ascii="Times New Roman" w:hAnsi="Times New Roman" w:cs="Times New Roman"/>
          <w:bCs/>
          <w:szCs w:val="20"/>
        </w:rPr>
        <w:t>. tabula</w:t>
      </w:r>
    </w:p>
    <w:p w14:paraId="486871BD" w14:textId="4AA880D4" w:rsidR="00EA051D" w:rsidRPr="00C3685F" w:rsidRDefault="00DD0E08" w:rsidP="00C3685F">
      <w:pPr>
        <w:pBdr>
          <w:top w:val="nil"/>
          <w:left w:val="nil"/>
          <w:bottom w:val="nil"/>
          <w:right w:val="nil"/>
          <w:between w:val="nil"/>
        </w:pBdr>
        <w:spacing w:after="0"/>
        <w:jc w:val="center"/>
        <w:rPr>
          <w:rFonts w:ascii="Times New Roman" w:hAnsi="Times New Roman" w:cs="Times New Roman"/>
          <w:b/>
          <w:szCs w:val="20"/>
        </w:rPr>
      </w:pPr>
      <w:r w:rsidRPr="00175DD0">
        <w:rPr>
          <w:noProof/>
          <w:lang w:eastAsia="lv-LV"/>
        </w:rPr>
        <w:drawing>
          <wp:anchor distT="0" distB="0" distL="114300" distR="114300" simplePos="0" relativeHeight="251658277" behindDoc="0" locked="0" layoutInCell="1" allowOverlap="1" wp14:anchorId="5921A613" wp14:editId="3D631364">
            <wp:simplePos x="0" y="0"/>
            <wp:positionH relativeFrom="margin">
              <wp:align>center</wp:align>
            </wp:positionH>
            <wp:positionV relativeFrom="paragraph">
              <wp:posOffset>593090</wp:posOffset>
            </wp:positionV>
            <wp:extent cx="5943600" cy="5249232"/>
            <wp:effectExtent l="0" t="0" r="0" b="889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5249232"/>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C3685F">
        <w:rPr>
          <w:rFonts w:ascii="Times New Roman" w:hAnsi="Times New Roman" w:cs="Times New Roman"/>
          <w:b/>
          <w:szCs w:val="20"/>
        </w:rPr>
        <w:t>Dažādas jaudas biogāzes staciju darbības izmaksu un ieņēmumi aprēķini veicot no bioloģiskajām NAI noņemtu notekūdeņu dūņu pārstrādi ar fugāta ūdens attīrīšanu</w:t>
      </w:r>
      <w:r w:rsidR="00E6063D" w:rsidRPr="00C3685F">
        <w:rPr>
          <w:rFonts w:ascii="Times New Roman" w:hAnsi="Times New Roman" w:cs="Times New Roman"/>
          <w:b/>
          <w:szCs w:val="20"/>
        </w:rPr>
        <w:t>, EUR</w:t>
      </w:r>
    </w:p>
    <w:p w14:paraId="69E04184" w14:textId="2F46D00E" w:rsidR="00EA051D" w:rsidRPr="00175DD0" w:rsidRDefault="00EA051D" w:rsidP="00EA051D"/>
    <w:p w14:paraId="5B3E4755" w14:textId="77777777" w:rsidR="00EA051D" w:rsidRPr="00175DD0" w:rsidRDefault="00EA051D" w:rsidP="00EA051D"/>
    <w:p w14:paraId="7F4374AC" w14:textId="77777777" w:rsidR="00EA051D" w:rsidRPr="00175DD0" w:rsidRDefault="00EA051D" w:rsidP="00EA051D">
      <w:pPr>
        <w:sectPr w:rsidR="00EA051D" w:rsidRPr="00175DD0" w:rsidSect="007E349D">
          <w:pgSz w:w="12240" w:h="15840"/>
          <w:pgMar w:top="1134" w:right="1701" w:bottom="1134" w:left="1701" w:header="720" w:footer="720" w:gutter="0"/>
          <w:cols w:space="720"/>
        </w:sectPr>
      </w:pPr>
    </w:p>
    <w:p w14:paraId="59DFE0CB" w14:textId="0D249186" w:rsidR="00EA051D" w:rsidRPr="00C3685F" w:rsidRDefault="00C3685F" w:rsidP="00C3685F">
      <w:pPr>
        <w:spacing w:after="0"/>
        <w:jc w:val="right"/>
        <w:rPr>
          <w:rFonts w:ascii="Times New Roman" w:hAnsi="Times New Roman" w:cs="Times New Roman"/>
          <w:szCs w:val="20"/>
        </w:rPr>
      </w:pPr>
      <w:r>
        <w:rPr>
          <w:rFonts w:ascii="Times New Roman" w:hAnsi="Times New Roman" w:cs="Times New Roman"/>
          <w:szCs w:val="20"/>
        </w:rPr>
        <w:lastRenderedPageBreak/>
        <w:t>4.</w:t>
      </w:r>
      <w:r w:rsidR="000E16AB">
        <w:rPr>
          <w:rFonts w:ascii="Times New Roman" w:hAnsi="Times New Roman" w:cs="Times New Roman"/>
          <w:szCs w:val="20"/>
        </w:rPr>
        <w:t>8</w:t>
      </w:r>
      <w:r>
        <w:rPr>
          <w:rFonts w:ascii="Times New Roman" w:hAnsi="Times New Roman" w:cs="Times New Roman"/>
          <w:szCs w:val="20"/>
        </w:rPr>
        <w:t xml:space="preserve">. </w:t>
      </w:r>
      <w:r w:rsidRPr="00C3685F">
        <w:rPr>
          <w:rFonts w:ascii="Times New Roman" w:hAnsi="Times New Roman" w:cs="Times New Roman"/>
          <w:szCs w:val="20"/>
        </w:rPr>
        <w:t>pielikums</w:t>
      </w:r>
    </w:p>
    <w:p w14:paraId="7CBFC4C0" w14:textId="6E6AD845" w:rsidR="00EA051D" w:rsidRPr="00885F18" w:rsidRDefault="00A80F4B" w:rsidP="00885F18">
      <w:pPr>
        <w:pStyle w:val="Heading2"/>
        <w:jc w:val="center"/>
        <w:rPr>
          <w:rFonts w:ascii="Times New Roman" w:eastAsiaTheme="minorHAnsi" w:hAnsi="Times New Roman" w:cs="Times New Roman"/>
          <w:b/>
          <w:color w:val="auto"/>
          <w:sz w:val="24"/>
          <w:szCs w:val="20"/>
        </w:rPr>
      </w:pPr>
      <w:bookmarkStart w:id="137" w:name="_Toc107916336"/>
      <w:r>
        <w:rPr>
          <w:rFonts w:ascii="Times New Roman" w:eastAsiaTheme="minorHAnsi" w:hAnsi="Times New Roman" w:cs="Times New Roman"/>
          <w:b/>
          <w:color w:val="auto"/>
          <w:sz w:val="24"/>
          <w:szCs w:val="20"/>
        </w:rPr>
        <w:t xml:space="preserve">4.8. </w:t>
      </w:r>
      <w:r w:rsidR="00C3685F" w:rsidRPr="00885F18">
        <w:rPr>
          <w:rFonts w:ascii="Times New Roman" w:eastAsiaTheme="minorHAnsi" w:hAnsi="Times New Roman" w:cs="Times New Roman"/>
          <w:b/>
          <w:color w:val="auto"/>
          <w:sz w:val="24"/>
          <w:szCs w:val="20"/>
        </w:rPr>
        <w:t>Finanšu aprēķini “2. notekūdeņu dūņu apstrādes izmaksas pašvaldībās”</w:t>
      </w:r>
      <w:bookmarkEnd w:id="137"/>
    </w:p>
    <w:p w14:paraId="04949507" w14:textId="77777777" w:rsidR="00C3685F" w:rsidRPr="00C3685F" w:rsidRDefault="00C3685F" w:rsidP="00C3685F">
      <w:pPr>
        <w:spacing w:after="0"/>
        <w:jc w:val="center"/>
        <w:rPr>
          <w:rFonts w:ascii="Times New Roman" w:hAnsi="Times New Roman" w:cs="Times New Roman"/>
          <w:b/>
          <w:bCs/>
          <w:szCs w:val="20"/>
        </w:rPr>
      </w:pPr>
    </w:p>
    <w:p w14:paraId="1A9CB17F" w14:textId="2CED7D3A" w:rsidR="00C3685F" w:rsidRPr="00C3685F" w:rsidRDefault="00EA051D" w:rsidP="00C3685F">
      <w:pPr>
        <w:pBdr>
          <w:top w:val="nil"/>
          <w:left w:val="nil"/>
          <w:bottom w:val="nil"/>
          <w:right w:val="nil"/>
          <w:between w:val="nil"/>
        </w:pBdr>
        <w:spacing w:after="0"/>
        <w:jc w:val="right"/>
        <w:rPr>
          <w:rFonts w:ascii="Times New Roman" w:hAnsi="Times New Roman" w:cs="Times New Roman"/>
          <w:bCs/>
          <w:szCs w:val="20"/>
        </w:rPr>
      </w:pPr>
      <w:r w:rsidRPr="00C3685F">
        <w:rPr>
          <w:rFonts w:ascii="Times New Roman" w:hAnsi="Times New Roman" w:cs="Times New Roman"/>
          <w:bCs/>
          <w:szCs w:val="20"/>
        </w:rPr>
        <w:t>4.</w:t>
      </w:r>
      <w:r w:rsidR="00492955">
        <w:rPr>
          <w:rFonts w:ascii="Times New Roman" w:hAnsi="Times New Roman" w:cs="Times New Roman"/>
          <w:bCs/>
          <w:szCs w:val="20"/>
        </w:rPr>
        <w:t>8.1</w:t>
      </w:r>
      <w:r w:rsidRPr="00C3685F">
        <w:rPr>
          <w:rFonts w:ascii="Times New Roman" w:hAnsi="Times New Roman" w:cs="Times New Roman"/>
          <w:bCs/>
          <w:szCs w:val="20"/>
        </w:rPr>
        <w:t>. tabula</w:t>
      </w:r>
    </w:p>
    <w:p w14:paraId="63EC075D" w14:textId="4FF8E602" w:rsidR="00EA051D" w:rsidRPr="00C3685F" w:rsidRDefault="00EA051D" w:rsidP="00C3685F">
      <w:pPr>
        <w:pBdr>
          <w:top w:val="nil"/>
          <w:left w:val="nil"/>
          <w:bottom w:val="nil"/>
          <w:right w:val="nil"/>
          <w:between w:val="nil"/>
        </w:pBdr>
        <w:spacing w:after="0"/>
        <w:jc w:val="center"/>
        <w:rPr>
          <w:rFonts w:ascii="Times New Roman" w:hAnsi="Times New Roman" w:cs="Times New Roman"/>
          <w:b/>
          <w:szCs w:val="20"/>
        </w:rPr>
      </w:pPr>
      <w:r w:rsidRPr="00C3685F">
        <w:rPr>
          <w:rFonts w:ascii="Times New Roman" w:hAnsi="Times New Roman" w:cs="Times New Roman"/>
          <w:b/>
          <w:szCs w:val="20"/>
        </w:rPr>
        <w:t>Dūņu centralizācijas 1.solis – visu dūņu nogādāšana līdz pašvaldības lielākajām NAI un to mehāniska atūdeņošana. Ikgadējās izmaksas (EUR) un veicamais attālums (km).</w:t>
      </w:r>
    </w:p>
    <w:p w14:paraId="70E3604F" w14:textId="77777777" w:rsidR="00EA051D" w:rsidRPr="00175DD0" w:rsidRDefault="00EA051D" w:rsidP="00EA051D">
      <w:r w:rsidRPr="00175DD0">
        <w:rPr>
          <w:noProof/>
          <w:lang w:eastAsia="lv-LV"/>
        </w:rPr>
        <w:drawing>
          <wp:inline distT="0" distB="0" distL="0" distR="0" wp14:anchorId="75755A53" wp14:editId="6019C2A7">
            <wp:extent cx="5781675" cy="438557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87601" cy="4390073"/>
                    </a:xfrm>
                    <a:prstGeom prst="rect">
                      <a:avLst/>
                    </a:prstGeom>
                    <a:noFill/>
                    <a:ln>
                      <a:noFill/>
                    </a:ln>
                  </pic:spPr>
                </pic:pic>
              </a:graphicData>
            </a:graphic>
          </wp:inline>
        </w:drawing>
      </w:r>
    </w:p>
    <w:p w14:paraId="5DF2BB9F" w14:textId="77777777" w:rsidR="00EA051D" w:rsidRPr="00175DD0" w:rsidRDefault="00EA051D" w:rsidP="00EA051D"/>
    <w:p w14:paraId="4414A598" w14:textId="77777777" w:rsidR="00E6063D" w:rsidRPr="00175DD0" w:rsidRDefault="00E6063D" w:rsidP="00EA051D"/>
    <w:p w14:paraId="67218219" w14:textId="77777777" w:rsidR="00E6063D" w:rsidRPr="00175DD0" w:rsidRDefault="00E6063D" w:rsidP="00EA051D">
      <w:pPr>
        <w:sectPr w:rsidR="00E6063D" w:rsidRPr="00175DD0" w:rsidSect="007E349D">
          <w:pgSz w:w="12240" w:h="15840"/>
          <w:pgMar w:top="1134" w:right="1701" w:bottom="1134" w:left="1701" w:header="720" w:footer="720" w:gutter="0"/>
          <w:cols w:space="720"/>
        </w:sectPr>
      </w:pPr>
    </w:p>
    <w:p w14:paraId="5B55650A" w14:textId="5923928A" w:rsidR="00885F18" w:rsidRPr="00B71C30" w:rsidRDefault="00885F18" w:rsidP="00B71C30">
      <w:pPr>
        <w:spacing w:after="0"/>
        <w:jc w:val="right"/>
        <w:rPr>
          <w:rFonts w:ascii="Times New Roman" w:hAnsi="Times New Roman" w:cs="Times New Roman"/>
          <w:szCs w:val="20"/>
        </w:rPr>
      </w:pPr>
      <w:r>
        <w:rPr>
          <w:rFonts w:ascii="Times New Roman" w:hAnsi="Times New Roman" w:cs="Times New Roman"/>
          <w:szCs w:val="20"/>
        </w:rPr>
        <w:lastRenderedPageBreak/>
        <w:t>4.</w:t>
      </w:r>
      <w:r w:rsidR="00646F29">
        <w:rPr>
          <w:rFonts w:ascii="Times New Roman" w:hAnsi="Times New Roman" w:cs="Times New Roman"/>
          <w:szCs w:val="20"/>
        </w:rPr>
        <w:t>9</w:t>
      </w:r>
      <w:r>
        <w:rPr>
          <w:rFonts w:ascii="Times New Roman" w:hAnsi="Times New Roman" w:cs="Times New Roman"/>
          <w:szCs w:val="20"/>
        </w:rPr>
        <w:t xml:space="preserve">. </w:t>
      </w:r>
      <w:r w:rsidRPr="00C3685F">
        <w:rPr>
          <w:rFonts w:ascii="Times New Roman" w:hAnsi="Times New Roman" w:cs="Times New Roman"/>
          <w:szCs w:val="20"/>
        </w:rPr>
        <w:t>pielikums</w:t>
      </w:r>
    </w:p>
    <w:p w14:paraId="1BA032F1" w14:textId="13338F27" w:rsidR="00EA051D" w:rsidRPr="00B71C30" w:rsidRDefault="00A80F4B" w:rsidP="00B71C30">
      <w:pPr>
        <w:pStyle w:val="Heading2"/>
        <w:jc w:val="center"/>
        <w:rPr>
          <w:rFonts w:ascii="Times New Roman" w:eastAsiaTheme="minorHAnsi" w:hAnsi="Times New Roman" w:cs="Times New Roman"/>
          <w:b/>
          <w:color w:val="auto"/>
          <w:sz w:val="24"/>
          <w:szCs w:val="20"/>
        </w:rPr>
      </w:pPr>
      <w:bookmarkStart w:id="138" w:name="_Toc107916337"/>
      <w:r>
        <w:rPr>
          <w:rFonts w:ascii="Times New Roman" w:eastAsiaTheme="minorHAnsi" w:hAnsi="Times New Roman" w:cs="Times New Roman"/>
          <w:b/>
          <w:color w:val="auto"/>
          <w:sz w:val="24"/>
          <w:szCs w:val="20"/>
        </w:rPr>
        <w:t xml:space="preserve">4.9. </w:t>
      </w:r>
      <w:r w:rsidR="00B71C30" w:rsidRPr="00B71C30">
        <w:rPr>
          <w:rFonts w:ascii="Times New Roman" w:eastAsiaTheme="minorHAnsi" w:hAnsi="Times New Roman" w:cs="Times New Roman"/>
          <w:b/>
          <w:color w:val="auto"/>
          <w:sz w:val="24"/>
          <w:szCs w:val="20"/>
        </w:rPr>
        <w:t>Finanšu aprēķini “3. Uzturēšanas izmaksas notekūdeņu dūņu pārstrādē”</w:t>
      </w:r>
      <w:bookmarkEnd w:id="138"/>
    </w:p>
    <w:p w14:paraId="6BCF12B4" w14:textId="77777777" w:rsidR="00EA051D" w:rsidRPr="00175DD0" w:rsidRDefault="00EA051D" w:rsidP="00EA051D">
      <w:pPr>
        <w:pBdr>
          <w:top w:val="nil"/>
          <w:left w:val="nil"/>
          <w:bottom w:val="nil"/>
          <w:right w:val="nil"/>
          <w:between w:val="nil"/>
        </w:pBdr>
        <w:spacing w:after="0"/>
        <w:ind w:left="720"/>
        <w:rPr>
          <w:rFonts w:cstheme="minorHAnsi"/>
          <w:b/>
          <w:color w:val="000000"/>
          <w:sz w:val="20"/>
          <w:szCs w:val="20"/>
        </w:rPr>
      </w:pPr>
    </w:p>
    <w:p w14:paraId="433FDAA9" w14:textId="5E5F7633" w:rsidR="0025302D" w:rsidRDefault="00EA051D" w:rsidP="0025302D">
      <w:pPr>
        <w:pBdr>
          <w:top w:val="nil"/>
          <w:left w:val="nil"/>
          <w:bottom w:val="nil"/>
          <w:right w:val="nil"/>
          <w:between w:val="nil"/>
        </w:pBdr>
        <w:spacing w:after="0"/>
        <w:jc w:val="right"/>
        <w:rPr>
          <w:rFonts w:ascii="Times New Roman" w:hAnsi="Times New Roman" w:cs="Times New Roman"/>
          <w:szCs w:val="20"/>
        </w:rPr>
      </w:pPr>
      <w:r w:rsidRPr="0025302D">
        <w:rPr>
          <w:rFonts w:ascii="Times New Roman" w:hAnsi="Times New Roman" w:cs="Times New Roman"/>
          <w:szCs w:val="20"/>
        </w:rPr>
        <w:t>4.</w:t>
      </w:r>
      <w:r w:rsidR="00646F29">
        <w:rPr>
          <w:rFonts w:ascii="Times New Roman" w:hAnsi="Times New Roman" w:cs="Times New Roman"/>
          <w:szCs w:val="20"/>
        </w:rPr>
        <w:t>9.1</w:t>
      </w:r>
      <w:r w:rsidRPr="0025302D">
        <w:rPr>
          <w:rFonts w:ascii="Times New Roman" w:hAnsi="Times New Roman" w:cs="Times New Roman"/>
          <w:szCs w:val="20"/>
        </w:rPr>
        <w:t>. tabula</w:t>
      </w:r>
    </w:p>
    <w:p w14:paraId="020D645A" w14:textId="7F51E884" w:rsidR="00EA051D" w:rsidRPr="0025302D" w:rsidRDefault="00DD0E08" w:rsidP="0025302D">
      <w:pPr>
        <w:pBdr>
          <w:top w:val="nil"/>
          <w:left w:val="nil"/>
          <w:bottom w:val="nil"/>
          <w:right w:val="nil"/>
          <w:between w:val="nil"/>
        </w:pBdr>
        <w:spacing w:after="0"/>
        <w:jc w:val="center"/>
        <w:rPr>
          <w:rFonts w:ascii="Times New Roman" w:hAnsi="Times New Roman" w:cs="Times New Roman"/>
          <w:b/>
          <w:bCs/>
          <w:szCs w:val="20"/>
        </w:rPr>
      </w:pPr>
      <w:r w:rsidRPr="00175DD0">
        <w:rPr>
          <w:noProof/>
          <w:lang w:eastAsia="lv-LV"/>
        </w:rPr>
        <w:drawing>
          <wp:anchor distT="0" distB="0" distL="114300" distR="114300" simplePos="0" relativeHeight="251658276" behindDoc="0" locked="0" layoutInCell="1" allowOverlap="1" wp14:anchorId="3B79DB39" wp14:editId="045205AB">
            <wp:simplePos x="0" y="0"/>
            <wp:positionH relativeFrom="margin">
              <wp:align>center</wp:align>
            </wp:positionH>
            <wp:positionV relativeFrom="paragraph">
              <wp:posOffset>205105</wp:posOffset>
            </wp:positionV>
            <wp:extent cx="6203623" cy="6581775"/>
            <wp:effectExtent l="0" t="0" r="6985"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03623" cy="658177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25302D">
        <w:rPr>
          <w:rFonts w:ascii="Times New Roman" w:hAnsi="Times New Roman" w:cs="Times New Roman"/>
          <w:b/>
          <w:bCs/>
          <w:szCs w:val="20"/>
        </w:rPr>
        <w:t>D1 alternatīva: Dūņu pārstrādes izmaksas 41 dūņu pārstrādes centrā</w:t>
      </w:r>
      <w:r w:rsidR="00BA0DC1" w:rsidRPr="0025302D">
        <w:rPr>
          <w:rFonts w:ascii="Times New Roman" w:hAnsi="Times New Roman" w:cs="Times New Roman"/>
          <w:b/>
          <w:bCs/>
          <w:szCs w:val="20"/>
        </w:rPr>
        <w:t>, EUR/gadā</w:t>
      </w:r>
    </w:p>
    <w:p w14:paraId="56CF85F8" w14:textId="7F7324A6" w:rsidR="00EA051D" w:rsidRPr="00175DD0" w:rsidRDefault="00EA051D" w:rsidP="00EA051D"/>
    <w:p w14:paraId="72535A8D" w14:textId="03B459C5" w:rsidR="00EA051D" w:rsidRDefault="00EA051D" w:rsidP="00EA051D"/>
    <w:p w14:paraId="38E47BE9" w14:textId="77777777" w:rsidR="0025302D" w:rsidRPr="00175DD0" w:rsidRDefault="0025302D" w:rsidP="00EA051D"/>
    <w:p w14:paraId="34A17DCC" w14:textId="7E51FF96" w:rsidR="0025302D" w:rsidRPr="0025302D" w:rsidRDefault="00EA051D" w:rsidP="0025302D">
      <w:pPr>
        <w:pBdr>
          <w:top w:val="nil"/>
          <w:left w:val="nil"/>
          <w:bottom w:val="nil"/>
          <w:right w:val="nil"/>
          <w:between w:val="nil"/>
        </w:pBdr>
        <w:spacing w:after="0"/>
        <w:jc w:val="right"/>
        <w:rPr>
          <w:rFonts w:ascii="Times New Roman" w:hAnsi="Times New Roman" w:cs="Times New Roman"/>
          <w:szCs w:val="20"/>
        </w:rPr>
      </w:pPr>
      <w:r w:rsidRPr="0025302D">
        <w:rPr>
          <w:rFonts w:ascii="Times New Roman" w:hAnsi="Times New Roman" w:cs="Times New Roman"/>
          <w:szCs w:val="20"/>
        </w:rPr>
        <w:lastRenderedPageBreak/>
        <w:t>4.</w:t>
      </w:r>
      <w:r w:rsidR="00646F29">
        <w:rPr>
          <w:rFonts w:ascii="Times New Roman" w:hAnsi="Times New Roman" w:cs="Times New Roman"/>
          <w:szCs w:val="20"/>
        </w:rPr>
        <w:t>9.2</w:t>
      </w:r>
      <w:r w:rsidRPr="0025302D">
        <w:rPr>
          <w:rFonts w:ascii="Times New Roman" w:hAnsi="Times New Roman" w:cs="Times New Roman"/>
          <w:szCs w:val="20"/>
        </w:rPr>
        <w:t>. tabula</w:t>
      </w:r>
    </w:p>
    <w:p w14:paraId="02C5D3CE" w14:textId="265F9267" w:rsidR="00EA051D" w:rsidRPr="0025302D" w:rsidRDefault="00DD0E08" w:rsidP="0025302D">
      <w:pPr>
        <w:pBdr>
          <w:top w:val="nil"/>
          <w:left w:val="nil"/>
          <w:bottom w:val="nil"/>
          <w:right w:val="nil"/>
          <w:between w:val="nil"/>
        </w:pBdr>
        <w:spacing w:after="0"/>
        <w:jc w:val="center"/>
        <w:rPr>
          <w:rFonts w:ascii="Times New Roman" w:hAnsi="Times New Roman" w:cs="Times New Roman"/>
          <w:b/>
          <w:bCs/>
          <w:szCs w:val="20"/>
        </w:rPr>
      </w:pPr>
      <w:r w:rsidRPr="00175DD0">
        <w:rPr>
          <w:noProof/>
          <w:lang w:eastAsia="lv-LV"/>
        </w:rPr>
        <w:drawing>
          <wp:anchor distT="0" distB="0" distL="114300" distR="114300" simplePos="0" relativeHeight="251658275" behindDoc="0" locked="0" layoutInCell="1" allowOverlap="1" wp14:anchorId="2A2155CE" wp14:editId="3B8044CC">
            <wp:simplePos x="0" y="0"/>
            <wp:positionH relativeFrom="margin">
              <wp:align>center</wp:align>
            </wp:positionH>
            <wp:positionV relativeFrom="paragraph">
              <wp:posOffset>202565</wp:posOffset>
            </wp:positionV>
            <wp:extent cx="5943600" cy="5642068"/>
            <wp:effectExtent l="0" t="0" r="0" b="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5642068"/>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25302D">
        <w:rPr>
          <w:rFonts w:ascii="Times New Roman" w:hAnsi="Times New Roman" w:cs="Times New Roman"/>
          <w:b/>
          <w:bCs/>
          <w:szCs w:val="20"/>
        </w:rPr>
        <w:t>D2 alternatīva: Dūņu pārstrādes izmaksas 30 dūņu pārstrādes centros</w:t>
      </w:r>
      <w:r w:rsidR="00BA0DC1" w:rsidRPr="0025302D">
        <w:rPr>
          <w:rFonts w:ascii="Times New Roman" w:hAnsi="Times New Roman" w:cs="Times New Roman"/>
          <w:b/>
          <w:bCs/>
          <w:szCs w:val="20"/>
        </w:rPr>
        <w:t>, EUR/gadā</w:t>
      </w:r>
    </w:p>
    <w:p w14:paraId="7A5B2D9F" w14:textId="1C4BE366" w:rsidR="00EA051D" w:rsidRPr="00175DD0" w:rsidRDefault="00EA051D" w:rsidP="00BA0DC1">
      <w:pPr>
        <w:pBdr>
          <w:top w:val="nil"/>
          <w:left w:val="nil"/>
          <w:bottom w:val="nil"/>
          <w:right w:val="nil"/>
          <w:between w:val="nil"/>
        </w:pBdr>
        <w:spacing w:after="0"/>
        <w:rPr>
          <w:rFonts w:cstheme="minorHAnsi"/>
          <w:b/>
          <w:color w:val="000000"/>
          <w:sz w:val="20"/>
          <w:szCs w:val="20"/>
        </w:rPr>
      </w:pPr>
    </w:p>
    <w:p w14:paraId="7EE5C2D6"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2CBB28F8"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09D85D90"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696AB344"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79174E91"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15EBD4B3"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57D03D36"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400BAC0C"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568457F5"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652FF26E"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368F63D5"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30BDF0F2" w14:textId="77777777" w:rsidR="008E17F7" w:rsidRDefault="008E17F7" w:rsidP="008E17F7">
      <w:pPr>
        <w:pBdr>
          <w:top w:val="nil"/>
          <w:left w:val="nil"/>
          <w:bottom w:val="nil"/>
          <w:right w:val="nil"/>
          <w:between w:val="nil"/>
        </w:pBdr>
        <w:spacing w:after="0"/>
        <w:jc w:val="right"/>
        <w:rPr>
          <w:rFonts w:ascii="Times New Roman" w:hAnsi="Times New Roman" w:cs="Times New Roman"/>
          <w:szCs w:val="20"/>
        </w:rPr>
      </w:pPr>
    </w:p>
    <w:p w14:paraId="54FCBA68" w14:textId="2AFBA856" w:rsidR="008E17F7" w:rsidRPr="008E17F7" w:rsidRDefault="00EA051D" w:rsidP="008E17F7">
      <w:pPr>
        <w:pBdr>
          <w:top w:val="nil"/>
          <w:left w:val="nil"/>
          <w:bottom w:val="nil"/>
          <w:right w:val="nil"/>
          <w:between w:val="nil"/>
        </w:pBdr>
        <w:spacing w:after="0"/>
        <w:jc w:val="right"/>
        <w:rPr>
          <w:rFonts w:ascii="Times New Roman" w:hAnsi="Times New Roman" w:cs="Times New Roman"/>
          <w:szCs w:val="20"/>
        </w:rPr>
      </w:pPr>
      <w:r w:rsidRPr="008E17F7">
        <w:rPr>
          <w:rFonts w:ascii="Times New Roman" w:hAnsi="Times New Roman" w:cs="Times New Roman"/>
          <w:szCs w:val="20"/>
        </w:rPr>
        <w:t>4.</w:t>
      </w:r>
      <w:r w:rsidR="00646F29">
        <w:rPr>
          <w:rFonts w:ascii="Times New Roman" w:hAnsi="Times New Roman" w:cs="Times New Roman"/>
          <w:szCs w:val="20"/>
        </w:rPr>
        <w:t>9.3</w:t>
      </w:r>
      <w:r w:rsidRPr="008E17F7">
        <w:rPr>
          <w:rFonts w:ascii="Times New Roman" w:hAnsi="Times New Roman" w:cs="Times New Roman"/>
          <w:szCs w:val="20"/>
        </w:rPr>
        <w:t>. tabula</w:t>
      </w:r>
    </w:p>
    <w:p w14:paraId="363CC70D" w14:textId="2E4BF9A4" w:rsidR="00EA051D" w:rsidRPr="008E17F7" w:rsidRDefault="00CC0AAA" w:rsidP="008E17F7">
      <w:pPr>
        <w:pBdr>
          <w:top w:val="nil"/>
          <w:left w:val="nil"/>
          <w:bottom w:val="nil"/>
          <w:right w:val="nil"/>
          <w:between w:val="nil"/>
        </w:pBdr>
        <w:spacing w:after="0"/>
        <w:jc w:val="center"/>
        <w:rPr>
          <w:rFonts w:ascii="Times New Roman" w:hAnsi="Times New Roman" w:cs="Times New Roman"/>
          <w:b/>
          <w:bCs/>
          <w:szCs w:val="20"/>
        </w:rPr>
      </w:pPr>
      <w:r w:rsidRPr="00175DD0">
        <w:rPr>
          <w:noProof/>
          <w:lang w:eastAsia="lv-LV"/>
        </w:rPr>
        <w:drawing>
          <wp:anchor distT="0" distB="0" distL="114300" distR="114300" simplePos="0" relativeHeight="251658269" behindDoc="0" locked="0" layoutInCell="1" allowOverlap="1" wp14:anchorId="0F23579B" wp14:editId="33B4D801">
            <wp:simplePos x="0" y="0"/>
            <wp:positionH relativeFrom="margin">
              <wp:align>center</wp:align>
            </wp:positionH>
            <wp:positionV relativeFrom="paragraph">
              <wp:posOffset>212090</wp:posOffset>
            </wp:positionV>
            <wp:extent cx="6343650" cy="7788069"/>
            <wp:effectExtent l="0" t="0" r="0" b="381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343650" cy="7788069"/>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8E17F7">
        <w:rPr>
          <w:rFonts w:ascii="Times New Roman" w:hAnsi="Times New Roman" w:cs="Times New Roman"/>
          <w:b/>
          <w:bCs/>
          <w:szCs w:val="20"/>
        </w:rPr>
        <w:t>D3 alternatīva: Dūņu pārstrādes izmaksas 16 dūņu pārstrādes centros</w:t>
      </w:r>
      <w:r w:rsidR="00BA0DC1" w:rsidRPr="008E17F7">
        <w:rPr>
          <w:rFonts w:ascii="Times New Roman" w:hAnsi="Times New Roman" w:cs="Times New Roman"/>
          <w:b/>
          <w:bCs/>
          <w:szCs w:val="20"/>
        </w:rPr>
        <w:t>, EUR/gadā</w:t>
      </w:r>
    </w:p>
    <w:p w14:paraId="54AD1A42" w14:textId="35202C30" w:rsidR="00EA051D" w:rsidRPr="00175DD0" w:rsidRDefault="00EA051D" w:rsidP="00EA051D"/>
    <w:p w14:paraId="54870375" w14:textId="77777777" w:rsidR="008E17F7" w:rsidRDefault="008E17F7" w:rsidP="00EA051D">
      <w:pPr>
        <w:pBdr>
          <w:top w:val="nil"/>
          <w:left w:val="nil"/>
          <w:bottom w:val="nil"/>
          <w:right w:val="nil"/>
          <w:between w:val="nil"/>
        </w:pBdr>
        <w:spacing w:after="0"/>
        <w:ind w:left="720"/>
        <w:rPr>
          <w:rFonts w:cstheme="minorHAnsi"/>
          <w:b/>
          <w:color w:val="000000"/>
          <w:sz w:val="20"/>
          <w:szCs w:val="20"/>
        </w:rPr>
      </w:pPr>
    </w:p>
    <w:p w14:paraId="5D9D25C2" w14:textId="6A7F14C7" w:rsidR="008E17F7" w:rsidRPr="008E17F7" w:rsidRDefault="00EA051D" w:rsidP="008E17F7">
      <w:pPr>
        <w:pBdr>
          <w:top w:val="nil"/>
          <w:left w:val="nil"/>
          <w:bottom w:val="nil"/>
          <w:right w:val="nil"/>
          <w:between w:val="nil"/>
        </w:pBdr>
        <w:spacing w:after="0"/>
        <w:ind w:left="720"/>
        <w:jc w:val="right"/>
        <w:rPr>
          <w:rFonts w:ascii="Times New Roman" w:hAnsi="Times New Roman" w:cs="Times New Roman"/>
          <w:szCs w:val="20"/>
        </w:rPr>
      </w:pPr>
      <w:r w:rsidRPr="008E17F7">
        <w:rPr>
          <w:rFonts w:ascii="Times New Roman" w:hAnsi="Times New Roman" w:cs="Times New Roman"/>
          <w:szCs w:val="20"/>
        </w:rPr>
        <w:t>4.</w:t>
      </w:r>
      <w:r w:rsidR="00646F29">
        <w:rPr>
          <w:rFonts w:ascii="Times New Roman" w:hAnsi="Times New Roman" w:cs="Times New Roman"/>
          <w:szCs w:val="20"/>
        </w:rPr>
        <w:t>9.4</w:t>
      </w:r>
      <w:r w:rsidRPr="008E17F7">
        <w:rPr>
          <w:rFonts w:ascii="Times New Roman" w:hAnsi="Times New Roman" w:cs="Times New Roman"/>
          <w:szCs w:val="20"/>
        </w:rPr>
        <w:t>. tabula</w:t>
      </w:r>
    </w:p>
    <w:p w14:paraId="0FD53C55" w14:textId="7B8484FE" w:rsidR="00EA051D" w:rsidRPr="008E17F7" w:rsidRDefault="00CC0AAA" w:rsidP="008E17F7">
      <w:pPr>
        <w:pBdr>
          <w:top w:val="nil"/>
          <w:left w:val="nil"/>
          <w:bottom w:val="nil"/>
          <w:right w:val="nil"/>
          <w:between w:val="nil"/>
        </w:pBdr>
        <w:spacing w:after="0"/>
        <w:jc w:val="center"/>
        <w:rPr>
          <w:rFonts w:ascii="Times New Roman" w:hAnsi="Times New Roman" w:cs="Times New Roman"/>
          <w:b/>
          <w:bCs/>
          <w:szCs w:val="20"/>
        </w:rPr>
      </w:pPr>
      <w:r w:rsidRPr="00175DD0">
        <w:rPr>
          <w:noProof/>
          <w:lang w:eastAsia="lv-LV"/>
        </w:rPr>
        <w:drawing>
          <wp:anchor distT="0" distB="0" distL="114300" distR="114300" simplePos="0" relativeHeight="251658270" behindDoc="0" locked="0" layoutInCell="1" allowOverlap="1" wp14:anchorId="2F23FB69" wp14:editId="25EEF724">
            <wp:simplePos x="0" y="0"/>
            <wp:positionH relativeFrom="margin">
              <wp:align>center</wp:align>
            </wp:positionH>
            <wp:positionV relativeFrom="paragraph">
              <wp:posOffset>205105</wp:posOffset>
            </wp:positionV>
            <wp:extent cx="6328351" cy="7038975"/>
            <wp:effectExtent l="0" t="0" r="0" b="0"/>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328351" cy="703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8E17F7">
        <w:rPr>
          <w:rFonts w:ascii="Times New Roman" w:hAnsi="Times New Roman" w:cs="Times New Roman"/>
          <w:b/>
          <w:bCs/>
          <w:szCs w:val="20"/>
        </w:rPr>
        <w:t>D4 alternatīva: Dūņu pārstrādes izmaksas 5 dūņu pārstrādes centros</w:t>
      </w:r>
      <w:r w:rsidR="00BA0DC1" w:rsidRPr="008E17F7">
        <w:rPr>
          <w:rFonts w:ascii="Times New Roman" w:hAnsi="Times New Roman" w:cs="Times New Roman"/>
          <w:b/>
          <w:bCs/>
          <w:szCs w:val="20"/>
        </w:rPr>
        <w:t>, EUR/gadā</w:t>
      </w:r>
    </w:p>
    <w:p w14:paraId="02784101" w14:textId="0D2264DF" w:rsidR="00EA051D" w:rsidRPr="00175DD0" w:rsidRDefault="00EA051D" w:rsidP="00EA051D"/>
    <w:p w14:paraId="5A6278B6" w14:textId="77777777" w:rsidR="00EA051D" w:rsidRPr="00175DD0" w:rsidRDefault="00EA051D" w:rsidP="00EA051D"/>
    <w:p w14:paraId="0EBDC48D" w14:textId="77777777" w:rsidR="00EA051D" w:rsidRPr="00175DD0" w:rsidRDefault="00EA051D" w:rsidP="00EA051D"/>
    <w:p w14:paraId="212A04F4" w14:textId="77777777" w:rsidR="00BA0DC1" w:rsidRPr="00175DD0" w:rsidRDefault="00BA0DC1" w:rsidP="00EA051D">
      <w:pPr>
        <w:pBdr>
          <w:top w:val="nil"/>
          <w:left w:val="nil"/>
          <w:bottom w:val="nil"/>
          <w:right w:val="nil"/>
          <w:between w:val="nil"/>
        </w:pBdr>
        <w:spacing w:after="0"/>
        <w:ind w:left="720"/>
        <w:rPr>
          <w:rFonts w:cstheme="minorHAnsi"/>
          <w:b/>
          <w:color w:val="000000"/>
          <w:sz w:val="20"/>
          <w:szCs w:val="20"/>
        </w:rPr>
      </w:pPr>
    </w:p>
    <w:p w14:paraId="1663BFEA" w14:textId="544AE1CC" w:rsidR="008E17F7" w:rsidRPr="008E17F7" w:rsidRDefault="00EA051D" w:rsidP="008E17F7">
      <w:pPr>
        <w:pBdr>
          <w:top w:val="nil"/>
          <w:left w:val="nil"/>
          <w:bottom w:val="nil"/>
          <w:right w:val="nil"/>
          <w:between w:val="nil"/>
        </w:pBdr>
        <w:spacing w:after="0"/>
        <w:ind w:left="720"/>
        <w:jc w:val="right"/>
        <w:rPr>
          <w:rFonts w:ascii="Times New Roman" w:hAnsi="Times New Roman" w:cs="Times New Roman"/>
          <w:szCs w:val="20"/>
        </w:rPr>
      </w:pPr>
      <w:r w:rsidRPr="008E17F7">
        <w:rPr>
          <w:rFonts w:ascii="Times New Roman" w:hAnsi="Times New Roman" w:cs="Times New Roman"/>
          <w:szCs w:val="20"/>
        </w:rPr>
        <w:t>4.</w:t>
      </w:r>
      <w:r w:rsidR="00646F29">
        <w:rPr>
          <w:rFonts w:ascii="Times New Roman" w:hAnsi="Times New Roman" w:cs="Times New Roman"/>
          <w:szCs w:val="20"/>
        </w:rPr>
        <w:t>9.5</w:t>
      </w:r>
      <w:r w:rsidRPr="008E17F7">
        <w:rPr>
          <w:rFonts w:ascii="Times New Roman" w:hAnsi="Times New Roman" w:cs="Times New Roman"/>
          <w:szCs w:val="20"/>
        </w:rPr>
        <w:t>. tabula</w:t>
      </w:r>
    </w:p>
    <w:p w14:paraId="640CD32A" w14:textId="6B63691F" w:rsidR="00EA051D" w:rsidRPr="008E17F7" w:rsidRDefault="00CC0AAA" w:rsidP="008E17F7">
      <w:pPr>
        <w:pBdr>
          <w:top w:val="nil"/>
          <w:left w:val="nil"/>
          <w:bottom w:val="nil"/>
          <w:right w:val="nil"/>
          <w:between w:val="nil"/>
        </w:pBdr>
        <w:spacing w:after="0"/>
        <w:ind w:left="720"/>
        <w:jc w:val="center"/>
        <w:rPr>
          <w:rFonts w:ascii="Times New Roman" w:hAnsi="Times New Roman" w:cs="Times New Roman"/>
          <w:b/>
          <w:bCs/>
          <w:szCs w:val="20"/>
        </w:rPr>
      </w:pPr>
      <w:r w:rsidRPr="00175DD0">
        <w:rPr>
          <w:noProof/>
          <w:lang w:eastAsia="lv-LV"/>
        </w:rPr>
        <w:drawing>
          <wp:anchor distT="0" distB="0" distL="114300" distR="114300" simplePos="0" relativeHeight="251658271" behindDoc="0" locked="0" layoutInCell="1" allowOverlap="1" wp14:anchorId="06E95B46" wp14:editId="4C1CB550">
            <wp:simplePos x="0" y="0"/>
            <wp:positionH relativeFrom="margin">
              <wp:align>center</wp:align>
            </wp:positionH>
            <wp:positionV relativeFrom="paragraph">
              <wp:posOffset>395605</wp:posOffset>
            </wp:positionV>
            <wp:extent cx="6385428" cy="6600825"/>
            <wp:effectExtent l="0" t="0" r="0" b="0"/>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85428" cy="66008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8E17F7">
        <w:rPr>
          <w:rFonts w:ascii="Times New Roman" w:hAnsi="Times New Roman" w:cs="Times New Roman"/>
          <w:b/>
          <w:bCs/>
          <w:szCs w:val="20"/>
        </w:rPr>
        <w:t>D5 alternatīva: Dūņu pārstrādes izmaksas 26 dūņu pārstrādes centros</w:t>
      </w:r>
      <w:r w:rsidR="00BA0DC1" w:rsidRPr="008E17F7">
        <w:rPr>
          <w:rFonts w:ascii="Times New Roman" w:hAnsi="Times New Roman" w:cs="Times New Roman"/>
          <w:b/>
          <w:bCs/>
          <w:szCs w:val="20"/>
        </w:rPr>
        <w:t>, EUR/gadā</w:t>
      </w:r>
    </w:p>
    <w:p w14:paraId="5B0DD9E2" w14:textId="02896139" w:rsidR="00EA051D" w:rsidRPr="00175DD0" w:rsidRDefault="00EA051D" w:rsidP="00EA051D"/>
    <w:p w14:paraId="3D6C94F5" w14:textId="77777777" w:rsidR="00EA051D" w:rsidRPr="00175DD0" w:rsidRDefault="00EA051D" w:rsidP="00EA051D"/>
    <w:p w14:paraId="099B5D63" w14:textId="77777777" w:rsidR="00EA051D" w:rsidRPr="00175DD0" w:rsidRDefault="00EA051D" w:rsidP="00EA051D">
      <w:pPr>
        <w:sectPr w:rsidR="00EA051D" w:rsidRPr="00175DD0" w:rsidSect="007E349D">
          <w:pgSz w:w="12240" w:h="15840"/>
          <w:pgMar w:top="1134" w:right="1701" w:bottom="1134" w:left="1701" w:header="720" w:footer="720" w:gutter="0"/>
          <w:cols w:space="720"/>
        </w:sectPr>
      </w:pPr>
    </w:p>
    <w:p w14:paraId="332B03E5" w14:textId="164FFF21" w:rsidR="009B6F7F" w:rsidRPr="009B6F7F" w:rsidRDefault="009B6F7F" w:rsidP="009B6F7F">
      <w:pPr>
        <w:jc w:val="right"/>
        <w:rPr>
          <w:rFonts w:ascii="Times New Roman" w:hAnsi="Times New Roman" w:cs="Times New Roman"/>
        </w:rPr>
      </w:pPr>
      <w:r w:rsidRPr="009B6F7F">
        <w:rPr>
          <w:rFonts w:ascii="Times New Roman" w:hAnsi="Times New Roman" w:cs="Times New Roman"/>
        </w:rPr>
        <w:lastRenderedPageBreak/>
        <w:t>4.</w:t>
      </w:r>
      <w:r w:rsidR="00CC0AAA">
        <w:rPr>
          <w:rFonts w:ascii="Times New Roman" w:hAnsi="Times New Roman" w:cs="Times New Roman"/>
        </w:rPr>
        <w:t>10</w:t>
      </w:r>
      <w:r w:rsidRPr="009B6F7F">
        <w:rPr>
          <w:rFonts w:ascii="Times New Roman" w:hAnsi="Times New Roman" w:cs="Times New Roman"/>
        </w:rPr>
        <w:t>.pielikums</w:t>
      </w:r>
    </w:p>
    <w:p w14:paraId="2EF0CA01" w14:textId="4EF0FFBE" w:rsidR="00EA051D" w:rsidRPr="009B6F7F" w:rsidRDefault="00A80F4B" w:rsidP="009B6F7F">
      <w:pPr>
        <w:pStyle w:val="Heading2"/>
        <w:jc w:val="center"/>
        <w:rPr>
          <w:rFonts w:ascii="Times New Roman" w:eastAsiaTheme="minorHAnsi" w:hAnsi="Times New Roman" w:cs="Times New Roman"/>
          <w:b/>
          <w:bCs/>
          <w:color w:val="auto"/>
          <w:sz w:val="24"/>
          <w:szCs w:val="20"/>
        </w:rPr>
      </w:pPr>
      <w:bookmarkStart w:id="139" w:name="_Toc107916338"/>
      <w:r>
        <w:rPr>
          <w:rFonts w:ascii="Times New Roman" w:eastAsiaTheme="minorHAnsi" w:hAnsi="Times New Roman" w:cs="Times New Roman"/>
          <w:b/>
          <w:bCs/>
          <w:color w:val="auto"/>
          <w:sz w:val="24"/>
          <w:szCs w:val="20"/>
        </w:rPr>
        <w:t xml:space="preserve">4.10. </w:t>
      </w:r>
      <w:r w:rsidR="009B6F7F" w:rsidRPr="009B6F7F">
        <w:rPr>
          <w:rFonts w:ascii="Times New Roman" w:eastAsiaTheme="minorHAnsi" w:hAnsi="Times New Roman" w:cs="Times New Roman"/>
          <w:b/>
          <w:bCs/>
          <w:color w:val="auto"/>
          <w:sz w:val="24"/>
          <w:szCs w:val="20"/>
        </w:rPr>
        <w:t>Finanšu aprēķini “4. Kapitālās investīcijas notekūdeņu dūņu pārstrādē”</w:t>
      </w:r>
      <w:bookmarkEnd w:id="139"/>
    </w:p>
    <w:p w14:paraId="70D56276" w14:textId="4553EC71" w:rsidR="009B6F7F" w:rsidRPr="009B6F7F" w:rsidRDefault="00EA051D" w:rsidP="009B6F7F">
      <w:pPr>
        <w:pBdr>
          <w:top w:val="nil"/>
          <w:left w:val="nil"/>
          <w:bottom w:val="nil"/>
          <w:right w:val="nil"/>
          <w:between w:val="nil"/>
        </w:pBdr>
        <w:spacing w:after="0"/>
        <w:ind w:left="720"/>
        <w:jc w:val="right"/>
        <w:rPr>
          <w:rFonts w:ascii="Times New Roman" w:hAnsi="Times New Roman" w:cs="Times New Roman"/>
          <w:szCs w:val="20"/>
        </w:rPr>
      </w:pPr>
      <w:r w:rsidRPr="009B6F7F">
        <w:rPr>
          <w:rFonts w:ascii="Times New Roman" w:hAnsi="Times New Roman" w:cs="Times New Roman"/>
          <w:szCs w:val="20"/>
        </w:rPr>
        <w:t>4.</w:t>
      </w:r>
      <w:r w:rsidR="00CC0AAA">
        <w:rPr>
          <w:rFonts w:ascii="Times New Roman" w:hAnsi="Times New Roman" w:cs="Times New Roman"/>
          <w:szCs w:val="20"/>
        </w:rPr>
        <w:t>10</w:t>
      </w:r>
      <w:r w:rsidRPr="009B6F7F">
        <w:rPr>
          <w:rFonts w:ascii="Times New Roman" w:hAnsi="Times New Roman" w:cs="Times New Roman"/>
          <w:szCs w:val="20"/>
        </w:rPr>
        <w:t>.</w:t>
      </w:r>
      <w:r w:rsidR="00CC0AAA">
        <w:rPr>
          <w:rFonts w:ascii="Times New Roman" w:hAnsi="Times New Roman" w:cs="Times New Roman"/>
          <w:szCs w:val="20"/>
        </w:rPr>
        <w:t>1.</w:t>
      </w:r>
      <w:r w:rsidRPr="009B6F7F">
        <w:rPr>
          <w:rFonts w:ascii="Times New Roman" w:hAnsi="Times New Roman" w:cs="Times New Roman"/>
          <w:szCs w:val="20"/>
        </w:rPr>
        <w:t xml:space="preserve"> tabula</w:t>
      </w:r>
    </w:p>
    <w:p w14:paraId="66825AEF" w14:textId="5B7F9037" w:rsidR="00EA051D" w:rsidRPr="00175DD0" w:rsidRDefault="00496AAC" w:rsidP="009B6F7F">
      <w:pPr>
        <w:pBdr>
          <w:top w:val="nil"/>
          <w:left w:val="nil"/>
          <w:bottom w:val="nil"/>
          <w:right w:val="nil"/>
          <w:between w:val="nil"/>
        </w:pBdr>
        <w:spacing w:after="0"/>
        <w:ind w:left="720"/>
        <w:jc w:val="center"/>
        <w:rPr>
          <w:rFonts w:cstheme="minorHAnsi"/>
          <w:b/>
          <w:color w:val="000000"/>
          <w:sz w:val="20"/>
          <w:szCs w:val="20"/>
        </w:rPr>
      </w:pPr>
      <w:r w:rsidRPr="00175DD0">
        <w:rPr>
          <w:noProof/>
          <w:lang w:eastAsia="lv-LV"/>
        </w:rPr>
        <w:drawing>
          <wp:anchor distT="0" distB="0" distL="114300" distR="114300" simplePos="0" relativeHeight="251658272" behindDoc="0" locked="0" layoutInCell="1" allowOverlap="1" wp14:anchorId="7B9CB60C" wp14:editId="47CC7528">
            <wp:simplePos x="0" y="0"/>
            <wp:positionH relativeFrom="margin">
              <wp:align>center</wp:align>
            </wp:positionH>
            <wp:positionV relativeFrom="paragraph">
              <wp:posOffset>224790</wp:posOffset>
            </wp:positionV>
            <wp:extent cx="5943144" cy="5991225"/>
            <wp:effectExtent l="0" t="0" r="635" b="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144" cy="59912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9B6F7F">
        <w:rPr>
          <w:rFonts w:ascii="Times New Roman" w:hAnsi="Times New Roman" w:cs="Times New Roman"/>
          <w:b/>
          <w:bCs/>
          <w:szCs w:val="20"/>
        </w:rPr>
        <w:t>D1 alternatīva: 41 dūņu pārstrādes centra izveides izmaksas</w:t>
      </w:r>
      <w:r w:rsidR="00BA0DC1" w:rsidRPr="009B6F7F">
        <w:rPr>
          <w:rFonts w:ascii="Times New Roman" w:hAnsi="Times New Roman" w:cs="Times New Roman"/>
          <w:b/>
          <w:bCs/>
          <w:szCs w:val="20"/>
        </w:rPr>
        <w:t>, EUR</w:t>
      </w:r>
    </w:p>
    <w:p w14:paraId="31E7631C" w14:textId="0B9E85CC" w:rsidR="00EA051D" w:rsidRPr="00175DD0" w:rsidRDefault="00EA051D" w:rsidP="00EA051D">
      <w:pPr>
        <w:spacing w:after="0"/>
        <w:rPr>
          <w:rFonts w:cstheme="minorHAnsi"/>
        </w:rPr>
      </w:pPr>
    </w:p>
    <w:p w14:paraId="14D1EC50" w14:textId="77777777" w:rsidR="00EA051D" w:rsidRPr="00175DD0" w:rsidRDefault="00EA051D" w:rsidP="00EA051D">
      <w:pPr>
        <w:spacing w:after="0"/>
        <w:rPr>
          <w:rFonts w:cstheme="minorHAnsi"/>
        </w:rPr>
      </w:pPr>
    </w:p>
    <w:p w14:paraId="546362F2" w14:textId="77777777" w:rsidR="00EA051D" w:rsidRPr="00175DD0" w:rsidRDefault="00EA051D" w:rsidP="00EA051D">
      <w:pPr>
        <w:spacing w:after="0"/>
        <w:rPr>
          <w:rFonts w:cstheme="minorHAnsi"/>
        </w:rPr>
      </w:pPr>
    </w:p>
    <w:p w14:paraId="03D7CC5D" w14:textId="77777777" w:rsidR="00EA051D" w:rsidRPr="00175DD0" w:rsidRDefault="00EA051D" w:rsidP="00EA051D">
      <w:pPr>
        <w:spacing w:after="0"/>
        <w:rPr>
          <w:rFonts w:cstheme="minorHAnsi"/>
        </w:rPr>
      </w:pPr>
    </w:p>
    <w:p w14:paraId="08C7B539" w14:textId="77777777" w:rsidR="00EA051D" w:rsidRPr="00175DD0" w:rsidRDefault="00EA051D" w:rsidP="00EA051D">
      <w:pPr>
        <w:spacing w:after="0"/>
        <w:rPr>
          <w:rFonts w:cstheme="minorHAnsi"/>
        </w:rPr>
      </w:pPr>
    </w:p>
    <w:p w14:paraId="70801057" w14:textId="77777777" w:rsidR="00EA051D" w:rsidRPr="00175DD0" w:rsidRDefault="00EA051D" w:rsidP="00EA051D">
      <w:pPr>
        <w:spacing w:after="0"/>
        <w:rPr>
          <w:rFonts w:cstheme="minorHAnsi"/>
        </w:rPr>
      </w:pPr>
    </w:p>
    <w:p w14:paraId="7BFFC221" w14:textId="452F2DB9" w:rsidR="00EA051D" w:rsidRDefault="00EA051D" w:rsidP="00EA051D">
      <w:pPr>
        <w:spacing w:after="0"/>
        <w:rPr>
          <w:rFonts w:cstheme="minorHAnsi"/>
        </w:rPr>
      </w:pPr>
    </w:p>
    <w:p w14:paraId="3DF9E3F4" w14:textId="36AAE800" w:rsidR="009B6F7F" w:rsidRDefault="009B6F7F" w:rsidP="00EA051D">
      <w:pPr>
        <w:spacing w:after="0"/>
        <w:rPr>
          <w:rFonts w:cstheme="minorHAnsi"/>
        </w:rPr>
      </w:pPr>
    </w:p>
    <w:p w14:paraId="5593121A" w14:textId="062A61F1" w:rsidR="009B6F7F" w:rsidRDefault="009B6F7F" w:rsidP="00EA051D">
      <w:pPr>
        <w:spacing w:after="0"/>
        <w:rPr>
          <w:rFonts w:cstheme="minorHAnsi"/>
        </w:rPr>
      </w:pPr>
    </w:p>
    <w:p w14:paraId="22FBFCA5" w14:textId="77777777" w:rsidR="009B6F7F" w:rsidRPr="00175DD0" w:rsidRDefault="009B6F7F" w:rsidP="00EA051D">
      <w:pPr>
        <w:spacing w:after="0"/>
        <w:rPr>
          <w:rFonts w:cstheme="minorHAnsi"/>
        </w:rPr>
      </w:pPr>
    </w:p>
    <w:p w14:paraId="1DC754D1" w14:textId="77777777" w:rsidR="00EA051D" w:rsidRPr="00175DD0" w:rsidRDefault="00EA051D" w:rsidP="00EA051D">
      <w:pPr>
        <w:spacing w:after="0"/>
        <w:rPr>
          <w:rFonts w:cstheme="minorHAnsi"/>
        </w:rPr>
      </w:pPr>
    </w:p>
    <w:p w14:paraId="234A5B92" w14:textId="1FAB6740" w:rsidR="009B6F7F" w:rsidRPr="009B6F7F" w:rsidRDefault="00EA051D" w:rsidP="009B6F7F">
      <w:pPr>
        <w:pBdr>
          <w:top w:val="nil"/>
          <w:left w:val="nil"/>
          <w:bottom w:val="nil"/>
          <w:right w:val="nil"/>
          <w:between w:val="nil"/>
        </w:pBdr>
        <w:spacing w:after="0"/>
        <w:ind w:left="720"/>
        <w:jc w:val="right"/>
        <w:rPr>
          <w:rFonts w:ascii="Times New Roman" w:hAnsi="Times New Roman" w:cs="Times New Roman"/>
          <w:szCs w:val="20"/>
        </w:rPr>
      </w:pPr>
      <w:r w:rsidRPr="009B6F7F">
        <w:rPr>
          <w:rFonts w:ascii="Times New Roman" w:hAnsi="Times New Roman" w:cs="Times New Roman"/>
          <w:szCs w:val="20"/>
        </w:rPr>
        <w:t>4.</w:t>
      </w:r>
      <w:r w:rsidR="00496AAC">
        <w:rPr>
          <w:rFonts w:ascii="Times New Roman" w:hAnsi="Times New Roman" w:cs="Times New Roman"/>
          <w:szCs w:val="20"/>
        </w:rPr>
        <w:t>10.2</w:t>
      </w:r>
      <w:r w:rsidRPr="009B6F7F">
        <w:rPr>
          <w:rFonts w:ascii="Times New Roman" w:hAnsi="Times New Roman" w:cs="Times New Roman"/>
          <w:szCs w:val="20"/>
        </w:rPr>
        <w:t>. tabula</w:t>
      </w:r>
    </w:p>
    <w:p w14:paraId="030D8DE7" w14:textId="31D35026" w:rsidR="00EA051D" w:rsidRPr="009B6F7F" w:rsidRDefault="00496AAC" w:rsidP="009B6F7F">
      <w:pPr>
        <w:pBdr>
          <w:top w:val="nil"/>
          <w:left w:val="nil"/>
          <w:bottom w:val="nil"/>
          <w:right w:val="nil"/>
          <w:between w:val="nil"/>
        </w:pBdr>
        <w:spacing w:after="0"/>
        <w:ind w:left="720"/>
        <w:jc w:val="center"/>
        <w:rPr>
          <w:rFonts w:ascii="Times New Roman" w:hAnsi="Times New Roman" w:cs="Times New Roman"/>
          <w:b/>
          <w:bCs/>
          <w:szCs w:val="20"/>
        </w:rPr>
      </w:pPr>
      <w:r w:rsidRPr="00175DD0">
        <w:rPr>
          <w:noProof/>
          <w:lang w:eastAsia="lv-LV"/>
        </w:rPr>
        <w:drawing>
          <wp:anchor distT="0" distB="0" distL="114300" distR="114300" simplePos="0" relativeHeight="251658273" behindDoc="0" locked="0" layoutInCell="1" allowOverlap="1" wp14:anchorId="2D1C3D83" wp14:editId="12B69BF2">
            <wp:simplePos x="0" y="0"/>
            <wp:positionH relativeFrom="margin">
              <wp:align>center</wp:align>
            </wp:positionH>
            <wp:positionV relativeFrom="paragraph">
              <wp:posOffset>198120</wp:posOffset>
            </wp:positionV>
            <wp:extent cx="5943033" cy="5095875"/>
            <wp:effectExtent l="0" t="0" r="635" b="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033" cy="509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9B6F7F">
        <w:rPr>
          <w:rFonts w:ascii="Times New Roman" w:hAnsi="Times New Roman" w:cs="Times New Roman"/>
          <w:b/>
          <w:bCs/>
          <w:szCs w:val="20"/>
        </w:rPr>
        <w:t>D2 alternatīva: 30 dūņu pārstrādes centru izveides izmaksas</w:t>
      </w:r>
      <w:r w:rsidR="00BA0DC1" w:rsidRPr="009B6F7F">
        <w:rPr>
          <w:rFonts w:ascii="Times New Roman" w:hAnsi="Times New Roman" w:cs="Times New Roman"/>
          <w:b/>
          <w:bCs/>
          <w:szCs w:val="20"/>
        </w:rPr>
        <w:t>, EUR</w:t>
      </w:r>
    </w:p>
    <w:p w14:paraId="3A097E55" w14:textId="3E03C618" w:rsidR="00EA051D" w:rsidRPr="00175DD0" w:rsidRDefault="00EA051D" w:rsidP="00EA051D">
      <w:pPr>
        <w:spacing w:after="0"/>
        <w:rPr>
          <w:rFonts w:cstheme="minorHAnsi"/>
        </w:rPr>
      </w:pPr>
    </w:p>
    <w:p w14:paraId="19404B31" w14:textId="77777777" w:rsidR="00EA051D" w:rsidRPr="00175DD0" w:rsidRDefault="00EA051D" w:rsidP="00EA051D">
      <w:pPr>
        <w:spacing w:after="0"/>
        <w:rPr>
          <w:rFonts w:cstheme="minorHAnsi"/>
        </w:rPr>
      </w:pPr>
    </w:p>
    <w:p w14:paraId="529145C8" w14:textId="77777777" w:rsidR="00BA0DC1" w:rsidRPr="00175DD0" w:rsidRDefault="00BA0DC1" w:rsidP="00EA051D">
      <w:pPr>
        <w:spacing w:after="0"/>
        <w:rPr>
          <w:rFonts w:cstheme="minorHAnsi"/>
        </w:rPr>
      </w:pPr>
    </w:p>
    <w:p w14:paraId="2A2EDF3A" w14:textId="77777777" w:rsidR="00BA0DC1" w:rsidRPr="00175DD0" w:rsidRDefault="00BA0DC1" w:rsidP="00EA051D">
      <w:pPr>
        <w:spacing w:after="0"/>
        <w:rPr>
          <w:rFonts w:cstheme="minorHAnsi"/>
        </w:rPr>
      </w:pPr>
    </w:p>
    <w:p w14:paraId="6336782E" w14:textId="77777777" w:rsidR="00BA0DC1" w:rsidRPr="00175DD0" w:rsidRDefault="00BA0DC1" w:rsidP="00EA051D">
      <w:pPr>
        <w:spacing w:after="0"/>
        <w:rPr>
          <w:rFonts w:cstheme="minorHAnsi"/>
        </w:rPr>
      </w:pPr>
    </w:p>
    <w:p w14:paraId="3BAD5AD2" w14:textId="77777777" w:rsidR="00BA0DC1" w:rsidRPr="00175DD0" w:rsidRDefault="00BA0DC1" w:rsidP="00EA051D">
      <w:pPr>
        <w:spacing w:after="0"/>
        <w:rPr>
          <w:rFonts w:cstheme="minorHAnsi"/>
        </w:rPr>
      </w:pPr>
    </w:p>
    <w:p w14:paraId="04820987" w14:textId="77777777" w:rsidR="00BA0DC1" w:rsidRPr="00175DD0" w:rsidRDefault="00BA0DC1" w:rsidP="00EA051D">
      <w:pPr>
        <w:spacing w:after="0"/>
        <w:rPr>
          <w:rFonts w:cstheme="minorHAnsi"/>
        </w:rPr>
      </w:pPr>
    </w:p>
    <w:p w14:paraId="0BB42E5A" w14:textId="77777777" w:rsidR="00BA0DC1" w:rsidRPr="00175DD0" w:rsidRDefault="00BA0DC1" w:rsidP="00EA051D">
      <w:pPr>
        <w:spacing w:after="0"/>
        <w:rPr>
          <w:rFonts w:cstheme="minorHAnsi"/>
        </w:rPr>
      </w:pPr>
    </w:p>
    <w:p w14:paraId="1A62EFEA" w14:textId="77777777" w:rsidR="00BA0DC1" w:rsidRPr="00175DD0" w:rsidRDefault="00BA0DC1" w:rsidP="00EA051D">
      <w:pPr>
        <w:spacing w:after="0"/>
        <w:rPr>
          <w:rFonts w:cstheme="minorHAnsi"/>
        </w:rPr>
      </w:pPr>
    </w:p>
    <w:p w14:paraId="609AA6D8" w14:textId="418038A0" w:rsidR="00BA0DC1" w:rsidRDefault="00BA0DC1" w:rsidP="00EA051D">
      <w:pPr>
        <w:spacing w:after="0"/>
        <w:rPr>
          <w:rFonts w:cstheme="minorHAnsi"/>
        </w:rPr>
      </w:pPr>
    </w:p>
    <w:p w14:paraId="6F091FD3" w14:textId="77777777" w:rsidR="009B6F7F" w:rsidRPr="00175DD0" w:rsidRDefault="009B6F7F" w:rsidP="00EA051D">
      <w:pPr>
        <w:spacing w:after="0"/>
        <w:rPr>
          <w:rFonts w:cstheme="minorHAnsi"/>
        </w:rPr>
      </w:pPr>
    </w:p>
    <w:p w14:paraId="27FF8735" w14:textId="77777777" w:rsidR="00BA0DC1" w:rsidRPr="00175DD0" w:rsidRDefault="00BA0DC1" w:rsidP="00EA051D">
      <w:pPr>
        <w:spacing w:after="0"/>
        <w:rPr>
          <w:rFonts w:cstheme="minorHAnsi"/>
        </w:rPr>
      </w:pPr>
    </w:p>
    <w:p w14:paraId="10F2D4D3" w14:textId="77777777" w:rsidR="00BA0DC1" w:rsidRPr="00175DD0" w:rsidRDefault="00BA0DC1" w:rsidP="00EA051D">
      <w:pPr>
        <w:spacing w:after="0"/>
        <w:rPr>
          <w:rFonts w:cstheme="minorHAnsi"/>
        </w:rPr>
      </w:pPr>
    </w:p>
    <w:p w14:paraId="4EDB4A97" w14:textId="77777777" w:rsidR="00BA0DC1" w:rsidRPr="00175DD0" w:rsidRDefault="00BA0DC1" w:rsidP="00EA051D">
      <w:pPr>
        <w:spacing w:after="0"/>
        <w:rPr>
          <w:rFonts w:cstheme="minorHAnsi"/>
        </w:rPr>
      </w:pPr>
    </w:p>
    <w:p w14:paraId="4DC95593" w14:textId="77777777" w:rsidR="00BA0DC1" w:rsidRPr="00175DD0" w:rsidRDefault="00BA0DC1" w:rsidP="00EA051D">
      <w:pPr>
        <w:spacing w:after="0"/>
        <w:rPr>
          <w:rFonts w:cstheme="minorHAnsi"/>
        </w:rPr>
      </w:pPr>
    </w:p>
    <w:p w14:paraId="3FE4D69F" w14:textId="77777777" w:rsidR="00BA0DC1" w:rsidRPr="00175DD0" w:rsidRDefault="00BA0DC1" w:rsidP="00EA051D">
      <w:pPr>
        <w:spacing w:after="0"/>
        <w:rPr>
          <w:rFonts w:cstheme="minorHAnsi"/>
        </w:rPr>
      </w:pPr>
    </w:p>
    <w:p w14:paraId="490A7305" w14:textId="77777777" w:rsidR="00BA0DC1" w:rsidRPr="00175DD0" w:rsidRDefault="00BA0DC1" w:rsidP="00EA051D">
      <w:pPr>
        <w:spacing w:after="0"/>
        <w:rPr>
          <w:rFonts w:cstheme="minorHAnsi"/>
        </w:rPr>
      </w:pPr>
    </w:p>
    <w:p w14:paraId="6FFC6A20" w14:textId="4F543958" w:rsidR="009B6F7F" w:rsidRPr="009B6F7F" w:rsidRDefault="00EA051D" w:rsidP="009B6F7F">
      <w:pPr>
        <w:pBdr>
          <w:top w:val="nil"/>
          <w:left w:val="nil"/>
          <w:bottom w:val="nil"/>
          <w:right w:val="nil"/>
          <w:between w:val="nil"/>
        </w:pBdr>
        <w:spacing w:after="0"/>
        <w:ind w:left="720"/>
        <w:jc w:val="right"/>
        <w:rPr>
          <w:rFonts w:ascii="Times New Roman" w:hAnsi="Times New Roman" w:cs="Times New Roman"/>
          <w:szCs w:val="20"/>
        </w:rPr>
      </w:pPr>
      <w:r w:rsidRPr="009B6F7F">
        <w:rPr>
          <w:rFonts w:ascii="Times New Roman" w:hAnsi="Times New Roman" w:cs="Times New Roman"/>
          <w:szCs w:val="20"/>
        </w:rPr>
        <w:t>4.</w:t>
      </w:r>
      <w:r w:rsidR="00D05303">
        <w:rPr>
          <w:rFonts w:ascii="Times New Roman" w:hAnsi="Times New Roman" w:cs="Times New Roman"/>
          <w:szCs w:val="20"/>
        </w:rPr>
        <w:t>10.3</w:t>
      </w:r>
      <w:r w:rsidRPr="009B6F7F">
        <w:rPr>
          <w:rFonts w:ascii="Times New Roman" w:hAnsi="Times New Roman" w:cs="Times New Roman"/>
          <w:szCs w:val="20"/>
        </w:rPr>
        <w:t>. tabula</w:t>
      </w:r>
    </w:p>
    <w:p w14:paraId="4F94ADF7" w14:textId="04A8F205" w:rsidR="00EA051D" w:rsidRPr="009B6F7F" w:rsidRDefault="00D05303" w:rsidP="009B6F7F">
      <w:pPr>
        <w:pBdr>
          <w:top w:val="nil"/>
          <w:left w:val="nil"/>
          <w:bottom w:val="nil"/>
          <w:right w:val="nil"/>
          <w:between w:val="nil"/>
        </w:pBdr>
        <w:spacing w:after="0"/>
        <w:ind w:left="720"/>
        <w:jc w:val="center"/>
        <w:rPr>
          <w:rFonts w:ascii="Times New Roman" w:hAnsi="Times New Roman" w:cs="Times New Roman"/>
          <w:b/>
          <w:bCs/>
          <w:szCs w:val="20"/>
        </w:rPr>
      </w:pPr>
      <w:r w:rsidRPr="00175DD0">
        <w:rPr>
          <w:noProof/>
          <w:lang w:eastAsia="lv-LV"/>
        </w:rPr>
        <w:drawing>
          <wp:anchor distT="0" distB="0" distL="114300" distR="114300" simplePos="0" relativeHeight="251658274" behindDoc="0" locked="0" layoutInCell="1" allowOverlap="1" wp14:anchorId="0B47B0D7" wp14:editId="60594C5B">
            <wp:simplePos x="0" y="0"/>
            <wp:positionH relativeFrom="margin">
              <wp:align>center</wp:align>
            </wp:positionH>
            <wp:positionV relativeFrom="paragraph">
              <wp:posOffset>198120</wp:posOffset>
            </wp:positionV>
            <wp:extent cx="5942965" cy="3933825"/>
            <wp:effectExtent l="0" t="0" r="635" b="9525"/>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2965" cy="39338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51D" w:rsidRPr="009B6F7F">
        <w:rPr>
          <w:rFonts w:ascii="Times New Roman" w:hAnsi="Times New Roman" w:cs="Times New Roman"/>
          <w:b/>
          <w:bCs/>
          <w:szCs w:val="20"/>
        </w:rPr>
        <w:t>D3 alternatīva: 16 dūņu pārstrādes centru izveides izmaksas</w:t>
      </w:r>
      <w:r w:rsidR="00BA0DC1" w:rsidRPr="009B6F7F">
        <w:rPr>
          <w:rFonts w:ascii="Times New Roman" w:hAnsi="Times New Roman" w:cs="Times New Roman"/>
          <w:b/>
          <w:bCs/>
          <w:szCs w:val="20"/>
        </w:rPr>
        <w:t>, EUR</w:t>
      </w:r>
    </w:p>
    <w:p w14:paraId="15E2A9AF" w14:textId="7479EDE9" w:rsidR="00EA051D" w:rsidRPr="00175DD0" w:rsidRDefault="00EA051D" w:rsidP="00EA051D">
      <w:pPr>
        <w:spacing w:after="0"/>
        <w:rPr>
          <w:rFonts w:cstheme="minorHAnsi"/>
        </w:rPr>
      </w:pPr>
    </w:p>
    <w:p w14:paraId="339466F5" w14:textId="77777777" w:rsidR="00EA051D" w:rsidRPr="00175DD0" w:rsidRDefault="00EA051D" w:rsidP="00EA051D">
      <w:pPr>
        <w:spacing w:after="0"/>
        <w:rPr>
          <w:rFonts w:cstheme="minorHAnsi"/>
        </w:rPr>
      </w:pPr>
    </w:p>
    <w:p w14:paraId="5F3E8A50" w14:textId="77777777" w:rsidR="00BA0DC1" w:rsidRPr="00175DD0" w:rsidRDefault="00BA0DC1" w:rsidP="00EA051D">
      <w:pPr>
        <w:spacing w:after="0"/>
        <w:rPr>
          <w:rFonts w:cstheme="minorHAnsi"/>
        </w:rPr>
        <w:sectPr w:rsidR="00BA0DC1" w:rsidRPr="00175DD0" w:rsidSect="007E349D">
          <w:pgSz w:w="11906" w:h="16838"/>
          <w:pgMar w:top="1134" w:right="1701" w:bottom="1134" w:left="1701" w:header="708" w:footer="708" w:gutter="0"/>
          <w:cols w:space="708"/>
          <w:docGrid w:linePitch="360"/>
        </w:sectPr>
      </w:pPr>
    </w:p>
    <w:p w14:paraId="68194A92" w14:textId="43FF71AA" w:rsidR="009B6F7F" w:rsidRPr="009B6F7F" w:rsidRDefault="00EA051D" w:rsidP="009B6F7F">
      <w:pPr>
        <w:pBdr>
          <w:top w:val="nil"/>
          <w:left w:val="nil"/>
          <w:bottom w:val="nil"/>
          <w:right w:val="nil"/>
          <w:between w:val="nil"/>
        </w:pBdr>
        <w:spacing w:after="0"/>
        <w:ind w:left="720"/>
        <w:jc w:val="right"/>
        <w:rPr>
          <w:rFonts w:ascii="Times New Roman" w:hAnsi="Times New Roman" w:cs="Times New Roman"/>
          <w:szCs w:val="20"/>
        </w:rPr>
      </w:pPr>
      <w:r w:rsidRPr="009B6F7F">
        <w:rPr>
          <w:rFonts w:ascii="Times New Roman" w:hAnsi="Times New Roman" w:cs="Times New Roman"/>
          <w:szCs w:val="20"/>
        </w:rPr>
        <w:lastRenderedPageBreak/>
        <w:t>4.</w:t>
      </w:r>
      <w:r w:rsidR="00D05303">
        <w:rPr>
          <w:rFonts w:ascii="Times New Roman" w:hAnsi="Times New Roman" w:cs="Times New Roman"/>
          <w:szCs w:val="20"/>
        </w:rPr>
        <w:t>10</w:t>
      </w:r>
      <w:r w:rsidRPr="009B6F7F">
        <w:rPr>
          <w:rFonts w:ascii="Times New Roman" w:hAnsi="Times New Roman" w:cs="Times New Roman"/>
          <w:szCs w:val="20"/>
        </w:rPr>
        <w:t>.</w:t>
      </w:r>
      <w:r w:rsidR="00D05303">
        <w:rPr>
          <w:rFonts w:ascii="Times New Roman" w:hAnsi="Times New Roman" w:cs="Times New Roman"/>
          <w:szCs w:val="20"/>
        </w:rPr>
        <w:t>4.</w:t>
      </w:r>
      <w:r w:rsidRPr="009B6F7F">
        <w:rPr>
          <w:rFonts w:ascii="Times New Roman" w:hAnsi="Times New Roman" w:cs="Times New Roman"/>
          <w:szCs w:val="20"/>
        </w:rPr>
        <w:t xml:space="preserve"> tabula</w:t>
      </w:r>
    </w:p>
    <w:p w14:paraId="7D4CF993" w14:textId="65FE4E93" w:rsidR="00EA051D" w:rsidRPr="009B6F7F" w:rsidRDefault="00EA051D" w:rsidP="009B6F7F">
      <w:pPr>
        <w:pBdr>
          <w:top w:val="nil"/>
          <w:left w:val="nil"/>
          <w:bottom w:val="nil"/>
          <w:right w:val="nil"/>
          <w:between w:val="nil"/>
        </w:pBdr>
        <w:spacing w:after="0"/>
        <w:ind w:left="720"/>
        <w:jc w:val="center"/>
        <w:rPr>
          <w:rFonts w:ascii="Times New Roman" w:hAnsi="Times New Roman" w:cs="Times New Roman"/>
          <w:b/>
          <w:bCs/>
          <w:szCs w:val="20"/>
        </w:rPr>
      </w:pPr>
      <w:r w:rsidRPr="009B6F7F">
        <w:rPr>
          <w:rFonts w:ascii="Times New Roman" w:hAnsi="Times New Roman" w:cs="Times New Roman"/>
          <w:b/>
          <w:bCs/>
          <w:szCs w:val="20"/>
        </w:rPr>
        <w:t>D4 alternatīva: 5 dūņu pārstrādes centru izveides izmaksas ar fugāta ūdens attīrīšanu, dūņu mehānisku atūdeņošanu līdz 23% sausnei un utilizāciju lauksaimniecības zemēs</w:t>
      </w:r>
      <w:r w:rsidR="00BA0DC1" w:rsidRPr="009B6F7F">
        <w:rPr>
          <w:rFonts w:ascii="Times New Roman" w:hAnsi="Times New Roman" w:cs="Times New Roman"/>
          <w:b/>
          <w:bCs/>
          <w:szCs w:val="20"/>
        </w:rPr>
        <w:t>, EUR</w:t>
      </w:r>
    </w:p>
    <w:p w14:paraId="0D0F666E" w14:textId="77777777" w:rsidR="00EA051D" w:rsidRPr="00175DD0" w:rsidRDefault="00EA051D" w:rsidP="00BA0DC1">
      <w:pPr>
        <w:spacing w:after="0"/>
        <w:ind w:left="-709"/>
        <w:rPr>
          <w:rFonts w:cstheme="minorHAnsi"/>
        </w:rPr>
      </w:pPr>
      <w:r w:rsidRPr="00175DD0">
        <w:rPr>
          <w:noProof/>
          <w:lang w:eastAsia="lv-LV"/>
        </w:rPr>
        <w:drawing>
          <wp:inline distT="0" distB="0" distL="0" distR="0" wp14:anchorId="3EB207BD" wp14:editId="4EDFBCD2">
            <wp:extent cx="9622790" cy="2400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653039" cy="2407845"/>
                    </a:xfrm>
                    <a:prstGeom prst="rect">
                      <a:avLst/>
                    </a:prstGeom>
                    <a:noFill/>
                    <a:ln>
                      <a:noFill/>
                    </a:ln>
                  </pic:spPr>
                </pic:pic>
              </a:graphicData>
            </a:graphic>
          </wp:inline>
        </w:drawing>
      </w:r>
    </w:p>
    <w:p w14:paraId="576BA658" w14:textId="77777777" w:rsidR="00BA0DC1" w:rsidRPr="00175DD0" w:rsidRDefault="00BA0DC1" w:rsidP="009B6F7F">
      <w:pPr>
        <w:pBdr>
          <w:top w:val="nil"/>
          <w:left w:val="nil"/>
          <w:bottom w:val="nil"/>
          <w:right w:val="nil"/>
          <w:between w:val="nil"/>
        </w:pBdr>
        <w:spacing w:after="0"/>
        <w:rPr>
          <w:rFonts w:cstheme="minorHAnsi"/>
          <w:b/>
          <w:color w:val="000000"/>
          <w:sz w:val="20"/>
          <w:szCs w:val="20"/>
        </w:rPr>
      </w:pPr>
    </w:p>
    <w:p w14:paraId="57D96944" w14:textId="77777777" w:rsidR="00BA0DC1" w:rsidRPr="00175DD0" w:rsidRDefault="00BA0DC1" w:rsidP="00EA051D">
      <w:pPr>
        <w:pBdr>
          <w:top w:val="nil"/>
          <w:left w:val="nil"/>
          <w:bottom w:val="nil"/>
          <w:right w:val="nil"/>
          <w:between w:val="nil"/>
        </w:pBdr>
        <w:spacing w:after="0"/>
        <w:ind w:left="720"/>
        <w:rPr>
          <w:rFonts w:cstheme="minorHAnsi"/>
          <w:b/>
          <w:color w:val="000000"/>
          <w:sz w:val="20"/>
          <w:szCs w:val="20"/>
        </w:rPr>
      </w:pPr>
    </w:p>
    <w:p w14:paraId="4AA833BD" w14:textId="14F988E4" w:rsidR="00BA0DC1" w:rsidRDefault="00BA0DC1" w:rsidP="00EA051D">
      <w:pPr>
        <w:pBdr>
          <w:top w:val="nil"/>
          <w:left w:val="nil"/>
          <w:bottom w:val="nil"/>
          <w:right w:val="nil"/>
          <w:between w:val="nil"/>
        </w:pBdr>
        <w:spacing w:after="0"/>
        <w:ind w:left="720"/>
        <w:rPr>
          <w:rFonts w:cstheme="minorHAnsi"/>
          <w:b/>
          <w:color w:val="000000"/>
          <w:sz w:val="20"/>
          <w:szCs w:val="20"/>
        </w:rPr>
      </w:pPr>
    </w:p>
    <w:p w14:paraId="44055D88" w14:textId="1CE207EB" w:rsidR="009B6F7F" w:rsidRDefault="009B6F7F" w:rsidP="00EA051D">
      <w:pPr>
        <w:pBdr>
          <w:top w:val="nil"/>
          <w:left w:val="nil"/>
          <w:bottom w:val="nil"/>
          <w:right w:val="nil"/>
          <w:between w:val="nil"/>
        </w:pBdr>
        <w:spacing w:after="0"/>
        <w:ind w:left="720"/>
        <w:rPr>
          <w:rFonts w:cstheme="minorHAnsi"/>
          <w:b/>
          <w:color w:val="000000"/>
          <w:sz w:val="20"/>
          <w:szCs w:val="20"/>
        </w:rPr>
      </w:pPr>
    </w:p>
    <w:p w14:paraId="26569039" w14:textId="61E7A9FB" w:rsidR="009B6F7F" w:rsidRDefault="009B6F7F" w:rsidP="00EA051D">
      <w:pPr>
        <w:pBdr>
          <w:top w:val="nil"/>
          <w:left w:val="nil"/>
          <w:bottom w:val="nil"/>
          <w:right w:val="nil"/>
          <w:between w:val="nil"/>
        </w:pBdr>
        <w:spacing w:after="0"/>
        <w:ind w:left="720"/>
        <w:rPr>
          <w:rFonts w:cstheme="minorHAnsi"/>
          <w:b/>
          <w:color w:val="000000"/>
          <w:sz w:val="20"/>
          <w:szCs w:val="20"/>
        </w:rPr>
      </w:pPr>
    </w:p>
    <w:p w14:paraId="0F70E2C5" w14:textId="78B85836" w:rsidR="009B6F7F" w:rsidRDefault="009B6F7F" w:rsidP="00EA051D">
      <w:pPr>
        <w:pBdr>
          <w:top w:val="nil"/>
          <w:left w:val="nil"/>
          <w:bottom w:val="nil"/>
          <w:right w:val="nil"/>
          <w:between w:val="nil"/>
        </w:pBdr>
        <w:spacing w:after="0"/>
        <w:ind w:left="720"/>
        <w:rPr>
          <w:rFonts w:cstheme="minorHAnsi"/>
          <w:b/>
          <w:color w:val="000000"/>
          <w:sz w:val="20"/>
          <w:szCs w:val="20"/>
        </w:rPr>
      </w:pPr>
    </w:p>
    <w:p w14:paraId="531CF5BE" w14:textId="190C6A0B" w:rsidR="009B6F7F" w:rsidRDefault="009B6F7F" w:rsidP="00EA051D">
      <w:pPr>
        <w:pBdr>
          <w:top w:val="nil"/>
          <w:left w:val="nil"/>
          <w:bottom w:val="nil"/>
          <w:right w:val="nil"/>
          <w:between w:val="nil"/>
        </w:pBdr>
        <w:spacing w:after="0"/>
        <w:ind w:left="720"/>
        <w:rPr>
          <w:rFonts w:cstheme="minorHAnsi"/>
          <w:b/>
          <w:color w:val="000000"/>
          <w:sz w:val="20"/>
          <w:szCs w:val="20"/>
        </w:rPr>
      </w:pPr>
    </w:p>
    <w:p w14:paraId="0C4CF0AE" w14:textId="7EB9FE07" w:rsidR="009B6F7F" w:rsidRDefault="009B6F7F" w:rsidP="00EA051D">
      <w:pPr>
        <w:pBdr>
          <w:top w:val="nil"/>
          <w:left w:val="nil"/>
          <w:bottom w:val="nil"/>
          <w:right w:val="nil"/>
          <w:between w:val="nil"/>
        </w:pBdr>
        <w:spacing w:after="0"/>
        <w:ind w:left="720"/>
        <w:rPr>
          <w:rFonts w:cstheme="minorHAnsi"/>
          <w:b/>
          <w:color w:val="000000"/>
          <w:sz w:val="20"/>
          <w:szCs w:val="20"/>
        </w:rPr>
      </w:pPr>
    </w:p>
    <w:p w14:paraId="405342F0" w14:textId="553BB658" w:rsidR="009B6F7F" w:rsidRDefault="009B6F7F" w:rsidP="00EA051D">
      <w:pPr>
        <w:pBdr>
          <w:top w:val="nil"/>
          <w:left w:val="nil"/>
          <w:bottom w:val="nil"/>
          <w:right w:val="nil"/>
          <w:between w:val="nil"/>
        </w:pBdr>
        <w:spacing w:after="0"/>
        <w:ind w:left="720"/>
        <w:rPr>
          <w:rFonts w:cstheme="minorHAnsi"/>
          <w:b/>
          <w:color w:val="000000"/>
          <w:sz w:val="20"/>
          <w:szCs w:val="20"/>
        </w:rPr>
      </w:pPr>
    </w:p>
    <w:p w14:paraId="6ECF40E8" w14:textId="1FF9F68D" w:rsidR="009B6F7F" w:rsidRDefault="009B6F7F" w:rsidP="00EA051D">
      <w:pPr>
        <w:pBdr>
          <w:top w:val="nil"/>
          <w:left w:val="nil"/>
          <w:bottom w:val="nil"/>
          <w:right w:val="nil"/>
          <w:between w:val="nil"/>
        </w:pBdr>
        <w:spacing w:after="0"/>
        <w:ind w:left="720"/>
        <w:rPr>
          <w:rFonts w:cstheme="minorHAnsi"/>
          <w:b/>
          <w:color w:val="000000"/>
          <w:sz w:val="20"/>
          <w:szCs w:val="20"/>
        </w:rPr>
      </w:pPr>
    </w:p>
    <w:p w14:paraId="537432D9" w14:textId="2BCF8E71" w:rsidR="009B6F7F" w:rsidRDefault="009B6F7F" w:rsidP="00EA051D">
      <w:pPr>
        <w:pBdr>
          <w:top w:val="nil"/>
          <w:left w:val="nil"/>
          <w:bottom w:val="nil"/>
          <w:right w:val="nil"/>
          <w:between w:val="nil"/>
        </w:pBdr>
        <w:spacing w:after="0"/>
        <w:ind w:left="720"/>
        <w:rPr>
          <w:rFonts w:cstheme="minorHAnsi"/>
          <w:b/>
          <w:color w:val="000000"/>
          <w:sz w:val="20"/>
          <w:szCs w:val="20"/>
        </w:rPr>
      </w:pPr>
    </w:p>
    <w:p w14:paraId="54985632" w14:textId="732FB180" w:rsidR="009B6F7F" w:rsidRDefault="009B6F7F" w:rsidP="00EA051D">
      <w:pPr>
        <w:pBdr>
          <w:top w:val="nil"/>
          <w:left w:val="nil"/>
          <w:bottom w:val="nil"/>
          <w:right w:val="nil"/>
          <w:between w:val="nil"/>
        </w:pBdr>
        <w:spacing w:after="0"/>
        <w:ind w:left="720"/>
        <w:rPr>
          <w:rFonts w:cstheme="minorHAnsi"/>
          <w:b/>
          <w:color w:val="000000"/>
          <w:sz w:val="20"/>
          <w:szCs w:val="20"/>
        </w:rPr>
      </w:pPr>
    </w:p>
    <w:p w14:paraId="07B96694" w14:textId="6EA0DE9B" w:rsidR="009B6F7F" w:rsidRDefault="009B6F7F" w:rsidP="00EA051D">
      <w:pPr>
        <w:pBdr>
          <w:top w:val="nil"/>
          <w:left w:val="nil"/>
          <w:bottom w:val="nil"/>
          <w:right w:val="nil"/>
          <w:between w:val="nil"/>
        </w:pBdr>
        <w:spacing w:after="0"/>
        <w:ind w:left="720"/>
        <w:rPr>
          <w:rFonts w:cstheme="minorHAnsi"/>
          <w:b/>
          <w:color w:val="000000"/>
          <w:sz w:val="20"/>
          <w:szCs w:val="20"/>
        </w:rPr>
      </w:pPr>
    </w:p>
    <w:p w14:paraId="2C88CBE8" w14:textId="170356D4" w:rsidR="009B6F7F" w:rsidRDefault="009B6F7F" w:rsidP="00EA051D">
      <w:pPr>
        <w:pBdr>
          <w:top w:val="nil"/>
          <w:left w:val="nil"/>
          <w:bottom w:val="nil"/>
          <w:right w:val="nil"/>
          <w:between w:val="nil"/>
        </w:pBdr>
        <w:spacing w:after="0"/>
        <w:ind w:left="720"/>
        <w:rPr>
          <w:rFonts w:cstheme="minorHAnsi"/>
          <w:b/>
          <w:color w:val="000000"/>
          <w:sz w:val="20"/>
          <w:szCs w:val="20"/>
        </w:rPr>
      </w:pPr>
    </w:p>
    <w:p w14:paraId="7626CACB" w14:textId="493ECE66" w:rsidR="009B6F7F" w:rsidRDefault="009B6F7F" w:rsidP="00EA051D">
      <w:pPr>
        <w:pBdr>
          <w:top w:val="nil"/>
          <w:left w:val="nil"/>
          <w:bottom w:val="nil"/>
          <w:right w:val="nil"/>
          <w:between w:val="nil"/>
        </w:pBdr>
        <w:spacing w:after="0"/>
        <w:ind w:left="720"/>
        <w:rPr>
          <w:rFonts w:cstheme="minorHAnsi"/>
          <w:b/>
          <w:color w:val="000000"/>
          <w:sz w:val="20"/>
          <w:szCs w:val="20"/>
        </w:rPr>
      </w:pPr>
    </w:p>
    <w:p w14:paraId="0980F440" w14:textId="77777777" w:rsidR="009B6F7F" w:rsidRPr="00175DD0" w:rsidRDefault="009B6F7F" w:rsidP="00DD0E08">
      <w:pPr>
        <w:pBdr>
          <w:top w:val="nil"/>
          <w:left w:val="nil"/>
          <w:bottom w:val="nil"/>
          <w:right w:val="nil"/>
          <w:between w:val="nil"/>
        </w:pBdr>
        <w:spacing w:after="0"/>
        <w:ind w:left="720"/>
        <w:jc w:val="center"/>
        <w:rPr>
          <w:rFonts w:cstheme="minorHAnsi"/>
          <w:b/>
          <w:color w:val="000000"/>
          <w:sz w:val="20"/>
          <w:szCs w:val="20"/>
        </w:rPr>
      </w:pPr>
    </w:p>
    <w:p w14:paraId="4DD239A0" w14:textId="197F1F35" w:rsidR="009B6F7F" w:rsidRPr="009B6F7F" w:rsidRDefault="00EA051D" w:rsidP="009B6F7F">
      <w:pPr>
        <w:pBdr>
          <w:top w:val="nil"/>
          <w:left w:val="nil"/>
          <w:bottom w:val="nil"/>
          <w:right w:val="nil"/>
          <w:between w:val="nil"/>
        </w:pBdr>
        <w:spacing w:after="0"/>
        <w:ind w:left="720"/>
        <w:jc w:val="right"/>
        <w:rPr>
          <w:rFonts w:ascii="Times New Roman" w:hAnsi="Times New Roman" w:cs="Times New Roman"/>
          <w:szCs w:val="20"/>
        </w:rPr>
      </w:pPr>
      <w:r w:rsidRPr="009B6F7F">
        <w:rPr>
          <w:rFonts w:ascii="Times New Roman" w:hAnsi="Times New Roman" w:cs="Times New Roman"/>
          <w:szCs w:val="20"/>
        </w:rPr>
        <w:lastRenderedPageBreak/>
        <w:t>4.</w:t>
      </w:r>
      <w:r w:rsidR="00D05303">
        <w:rPr>
          <w:rFonts w:ascii="Times New Roman" w:hAnsi="Times New Roman" w:cs="Times New Roman"/>
          <w:szCs w:val="20"/>
        </w:rPr>
        <w:t>10.5</w:t>
      </w:r>
      <w:r w:rsidRPr="009B6F7F">
        <w:rPr>
          <w:rFonts w:ascii="Times New Roman" w:hAnsi="Times New Roman" w:cs="Times New Roman"/>
          <w:szCs w:val="20"/>
        </w:rPr>
        <w:t>. tabula</w:t>
      </w:r>
    </w:p>
    <w:p w14:paraId="31D5B1ED" w14:textId="2AEFD52F" w:rsidR="00EA051D" w:rsidRPr="009B6F7F" w:rsidRDefault="00EA051D" w:rsidP="009B6F7F">
      <w:pPr>
        <w:pBdr>
          <w:top w:val="nil"/>
          <w:left w:val="nil"/>
          <w:bottom w:val="nil"/>
          <w:right w:val="nil"/>
          <w:between w:val="nil"/>
        </w:pBdr>
        <w:spacing w:after="0"/>
        <w:ind w:left="720"/>
        <w:jc w:val="center"/>
        <w:rPr>
          <w:rFonts w:ascii="Times New Roman" w:hAnsi="Times New Roman" w:cs="Times New Roman"/>
          <w:b/>
          <w:bCs/>
          <w:szCs w:val="20"/>
        </w:rPr>
      </w:pPr>
      <w:r w:rsidRPr="009B6F7F">
        <w:rPr>
          <w:rFonts w:ascii="Times New Roman" w:hAnsi="Times New Roman" w:cs="Times New Roman"/>
          <w:b/>
          <w:bCs/>
          <w:szCs w:val="20"/>
        </w:rPr>
        <w:t>D4 alternatīva: 5 dūņu pārstrādes centru izveides izmaksas ar fugāta ūdens attīrīšanu, dūņu mehānisku atūdeņošanu un žāvēšanu līdz 50% sausnei un utilizāciju lauksaimniecības zemēs</w:t>
      </w:r>
      <w:r w:rsidR="008B1BA4" w:rsidRPr="009B6F7F">
        <w:rPr>
          <w:rFonts w:ascii="Times New Roman" w:hAnsi="Times New Roman" w:cs="Times New Roman"/>
          <w:b/>
          <w:bCs/>
          <w:szCs w:val="20"/>
        </w:rPr>
        <w:t>, EUR</w:t>
      </w:r>
    </w:p>
    <w:p w14:paraId="6E17A9E3" w14:textId="77777777" w:rsidR="00EA051D" w:rsidRPr="00175DD0" w:rsidRDefault="00EA051D" w:rsidP="00EA051D">
      <w:pPr>
        <w:spacing w:after="0"/>
        <w:rPr>
          <w:rFonts w:cstheme="minorHAnsi"/>
        </w:rPr>
      </w:pPr>
      <w:r w:rsidRPr="00175DD0">
        <w:rPr>
          <w:noProof/>
          <w:lang w:eastAsia="lv-LV"/>
        </w:rPr>
        <w:drawing>
          <wp:inline distT="0" distB="0" distL="0" distR="0" wp14:anchorId="785B91FD" wp14:editId="6BFC7E9C">
            <wp:extent cx="8878635" cy="21717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914628" cy="2180504"/>
                    </a:xfrm>
                    <a:prstGeom prst="rect">
                      <a:avLst/>
                    </a:prstGeom>
                    <a:noFill/>
                    <a:ln>
                      <a:noFill/>
                    </a:ln>
                  </pic:spPr>
                </pic:pic>
              </a:graphicData>
            </a:graphic>
          </wp:inline>
        </w:drawing>
      </w:r>
    </w:p>
    <w:p w14:paraId="1CDD4CAC" w14:textId="77777777" w:rsidR="00EA051D" w:rsidRPr="00175DD0" w:rsidRDefault="00EA051D" w:rsidP="00EA051D">
      <w:pPr>
        <w:spacing w:after="0"/>
        <w:rPr>
          <w:rFonts w:cstheme="minorHAnsi"/>
        </w:rPr>
      </w:pPr>
    </w:p>
    <w:p w14:paraId="70D328D7" w14:textId="77777777" w:rsidR="00EA051D" w:rsidRPr="00175DD0" w:rsidRDefault="00EA051D" w:rsidP="00EA051D">
      <w:pPr>
        <w:spacing w:after="0"/>
        <w:rPr>
          <w:rFonts w:cstheme="minorHAnsi"/>
        </w:rPr>
      </w:pPr>
    </w:p>
    <w:p w14:paraId="6FD2AF72" w14:textId="77777777" w:rsidR="008B1BA4" w:rsidRPr="00175DD0" w:rsidRDefault="008B1BA4" w:rsidP="00EA051D">
      <w:pPr>
        <w:spacing w:after="0"/>
        <w:rPr>
          <w:rFonts w:cstheme="minorHAnsi"/>
        </w:rPr>
      </w:pPr>
    </w:p>
    <w:p w14:paraId="00A1A5A0" w14:textId="77777777" w:rsidR="008B1BA4" w:rsidRPr="00175DD0" w:rsidRDefault="008B1BA4" w:rsidP="00EA051D">
      <w:pPr>
        <w:spacing w:after="0"/>
        <w:rPr>
          <w:rFonts w:cstheme="minorHAnsi"/>
        </w:rPr>
      </w:pPr>
    </w:p>
    <w:p w14:paraId="545B8C51" w14:textId="77777777" w:rsidR="008B1BA4" w:rsidRPr="00175DD0" w:rsidRDefault="008B1BA4" w:rsidP="00EA051D">
      <w:pPr>
        <w:spacing w:after="0"/>
        <w:rPr>
          <w:rFonts w:cstheme="minorHAnsi"/>
        </w:rPr>
      </w:pPr>
    </w:p>
    <w:p w14:paraId="5722EB2C" w14:textId="77777777" w:rsidR="008B1BA4" w:rsidRPr="00175DD0" w:rsidRDefault="008B1BA4" w:rsidP="00EA051D">
      <w:pPr>
        <w:spacing w:after="0"/>
        <w:rPr>
          <w:rFonts w:cstheme="minorHAnsi"/>
        </w:rPr>
      </w:pPr>
    </w:p>
    <w:p w14:paraId="71A4E3ED" w14:textId="77777777" w:rsidR="008B1BA4" w:rsidRPr="00175DD0" w:rsidRDefault="008B1BA4" w:rsidP="00EA051D">
      <w:pPr>
        <w:spacing w:after="0"/>
        <w:rPr>
          <w:rFonts w:cstheme="minorHAnsi"/>
        </w:rPr>
      </w:pPr>
    </w:p>
    <w:p w14:paraId="5DC8FF58" w14:textId="77777777" w:rsidR="008B1BA4" w:rsidRPr="00175DD0" w:rsidRDefault="008B1BA4" w:rsidP="00EA051D">
      <w:pPr>
        <w:spacing w:after="0"/>
        <w:rPr>
          <w:rFonts w:cstheme="minorHAnsi"/>
        </w:rPr>
      </w:pPr>
    </w:p>
    <w:p w14:paraId="02F8C3BD" w14:textId="77777777" w:rsidR="008B1BA4" w:rsidRPr="00175DD0" w:rsidRDefault="008B1BA4" w:rsidP="00EA051D">
      <w:pPr>
        <w:spacing w:after="0"/>
        <w:rPr>
          <w:rFonts w:cstheme="minorHAnsi"/>
        </w:rPr>
      </w:pPr>
    </w:p>
    <w:p w14:paraId="1C79EB4D" w14:textId="332702E2" w:rsidR="008B1BA4" w:rsidRDefault="008B1BA4" w:rsidP="00EA051D">
      <w:pPr>
        <w:spacing w:after="0"/>
        <w:rPr>
          <w:rFonts w:cstheme="minorHAnsi"/>
        </w:rPr>
      </w:pPr>
    </w:p>
    <w:p w14:paraId="7AA66473" w14:textId="5C689380" w:rsidR="009B6F7F" w:rsidRDefault="009B6F7F" w:rsidP="00EA051D">
      <w:pPr>
        <w:spacing w:after="0"/>
        <w:rPr>
          <w:rFonts w:cstheme="minorHAnsi"/>
        </w:rPr>
      </w:pPr>
    </w:p>
    <w:p w14:paraId="32EF7BEE" w14:textId="2872188D" w:rsidR="009B6F7F" w:rsidRDefault="009B6F7F" w:rsidP="00EA051D">
      <w:pPr>
        <w:spacing w:after="0"/>
        <w:rPr>
          <w:rFonts w:cstheme="minorHAnsi"/>
        </w:rPr>
      </w:pPr>
    </w:p>
    <w:p w14:paraId="23878BB8" w14:textId="77777777" w:rsidR="009B6F7F" w:rsidRPr="00175DD0" w:rsidRDefault="009B6F7F" w:rsidP="00EA051D">
      <w:pPr>
        <w:spacing w:after="0"/>
        <w:rPr>
          <w:rFonts w:cstheme="minorHAnsi"/>
        </w:rPr>
      </w:pPr>
    </w:p>
    <w:p w14:paraId="0C44A0F3" w14:textId="77777777" w:rsidR="008B1BA4" w:rsidRPr="00175DD0" w:rsidRDefault="008B1BA4" w:rsidP="00EA051D">
      <w:pPr>
        <w:spacing w:after="0"/>
        <w:rPr>
          <w:rFonts w:cstheme="minorHAnsi"/>
        </w:rPr>
      </w:pPr>
    </w:p>
    <w:p w14:paraId="3FDF48B1" w14:textId="77777777" w:rsidR="008B1BA4" w:rsidRPr="00175DD0" w:rsidRDefault="008B1BA4" w:rsidP="00EA051D">
      <w:pPr>
        <w:spacing w:after="0"/>
        <w:rPr>
          <w:rFonts w:cstheme="minorHAnsi"/>
        </w:rPr>
      </w:pPr>
    </w:p>
    <w:p w14:paraId="35837A1C" w14:textId="5179FF56" w:rsidR="009B6F7F" w:rsidRPr="009B6F7F" w:rsidRDefault="00EA051D" w:rsidP="009B6F7F">
      <w:pPr>
        <w:pBdr>
          <w:top w:val="nil"/>
          <w:left w:val="nil"/>
          <w:bottom w:val="nil"/>
          <w:right w:val="nil"/>
          <w:between w:val="nil"/>
        </w:pBdr>
        <w:spacing w:after="0"/>
        <w:ind w:left="720"/>
        <w:jc w:val="right"/>
        <w:rPr>
          <w:rFonts w:ascii="Times New Roman" w:hAnsi="Times New Roman" w:cs="Times New Roman"/>
          <w:szCs w:val="20"/>
        </w:rPr>
      </w:pPr>
      <w:r w:rsidRPr="009B6F7F">
        <w:rPr>
          <w:rFonts w:ascii="Times New Roman" w:hAnsi="Times New Roman" w:cs="Times New Roman"/>
          <w:szCs w:val="20"/>
        </w:rPr>
        <w:lastRenderedPageBreak/>
        <w:t>4.</w:t>
      </w:r>
      <w:r w:rsidR="00D05303">
        <w:rPr>
          <w:rFonts w:ascii="Times New Roman" w:hAnsi="Times New Roman" w:cs="Times New Roman"/>
          <w:szCs w:val="20"/>
        </w:rPr>
        <w:t>10.6</w:t>
      </w:r>
      <w:r w:rsidRPr="009B6F7F">
        <w:rPr>
          <w:rFonts w:ascii="Times New Roman" w:hAnsi="Times New Roman" w:cs="Times New Roman"/>
          <w:szCs w:val="20"/>
        </w:rPr>
        <w:t>. tabula</w:t>
      </w:r>
    </w:p>
    <w:p w14:paraId="73F493E7" w14:textId="26160325" w:rsidR="00EA051D" w:rsidRPr="009B6F7F" w:rsidRDefault="00EA051D" w:rsidP="009B6F7F">
      <w:pPr>
        <w:pBdr>
          <w:top w:val="nil"/>
          <w:left w:val="nil"/>
          <w:bottom w:val="nil"/>
          <w:right w:val="nil"/>
          <w:between w:val="nil"/>
        </w:pBdr>
        <w:spacing w:after="0"/>
        <w:ind w:left="720"/>
        <w:jc w:val="center"/>
        <w:rPr>
          <w:rFonts w:ascii="Times New Roman" w:hAnsi="Times New Roman" w:cs="Times New Roman"/>
          <w:b/>
          <w:bCs/>
          <w:szCs w:val="20"/>
        </w:rPr>
      </w:pPr>
      <w:r w:rsidRPr="009B6F7F">
        <w:rPr>
          <w:rFonts w:ascii="Times New Roman" w:hAnsi="Times New Roman" w:cs="Times New Roman"/>
          <w:b/>
          <w:bCs/>
          <w:szCs w:val="20"/>
        </w:rPr>
        <w:t>D4 alternatīva: 5 dūņu pārstrādes centru izveides izmaksas ar fugāta ūdens attīrīšanu, dūņu mehānisku atūdeņošanu un žāvēšanu līdz 90% sausnei un utilizāciju cementa rūpniecībā</w:t>
      </w:r>
    </w:p>
    <w:p w14:paraId="08DAEA73" w14:textId="77777777" w:rsidR="00EA051D" w:rsidRPr="00175DD0" w:rsidRDefault="00EA051D" w:rsidP="00EA051D">
      <w:pPr>
        <w:pBdr>
          <w:top w:val="nil"/>
          <w:left w:val="nil"/>
          <w:bottom w:val="nil"/>
          <w:right w:val="nil"/>
          <w:between w:val="nil"/>
        </w:pBdr>
        <w:spacing w:after="0"/>
        <w:rPr>
          <w:rFonts w:cstheme="minorHAnsi"/>
          <w:b/>
          <w:color w:val="000000"/>
          <w:sz w:val="20"/>
          <w:szCs w:val="20"/>
        </w:rPr>
      </w:pPr>
      <w:r w:rsidRPr="00175DD0">
        <w:rPr>
          <w:noProof/>
          <w:lang w:eastAsia="lv-LV"/>
        </w:rPr>
        <w:drawing>
          <wp:inline distT="0" distB="0" distL="0" distR="0" wp14:anchorId="50920F7F" wp14:editId="0E69597A">
            <wp:extent cx="8851334" cy="2962275"/>
            <wp:effectExtent l="0" t="0" r="698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867062" cy="2967539"/>
                    </a:xfrm>
                    <a:prstGeom prst="rect">
                      <a:avLst/>
                    </a:prstGeom>
                    <a:noFill/>
                    <a:ln>
                      <a:noFill/>
                    </a:ln>
                  </pic:spPr>
                </pic:pic>
              </a:graphicData>
            </a:graphic>
          </wp:inline>
        </w:drawing>
      </w:r>
    </w:p>
    <w:p w14:paraId="5160F60C" w14:textId="77777777" w:rsidR="00EA051D" w:rsidRPr="00175DD0" w:rsidRDefault="00EA051D" w:rsidP="00EA051D">
      <w:pPr>
        <w:spacing w:after="0"/>
        <w:rPr>
          <w:rFonts w:cstheme="minorHAnsi"/>
        </w:rPr>
      </w:pPr>
    </w:p>
    <w:p w14:paraId="0FCC1403" w14:textId="77777777" w:rsidR="00BA6995" w:rsidRPr="00175DD0" w:rsidRDefault="00BA6995" w:rsidP="00BA6995">
      <w:pPr>
        <w:rPr>
          <w:rFonts w:ascii="Bahnschrift Light Condensed" w:eastAsia="Calibri" w:hAnsi="Bahnschrift Light Condensed" w:cs="Times New Roman"/>
          <w:sz w:val="28"/>
          <w:lang w:eastAsia="lv-LV"/>
        </w:rPr>
      </w:pPr>
    </w:p>
    <w:p w14:paraId="23286EEA" w14:textId="77777777" w:rsidR="004E2B46" w:rsidRPr="00175DD0" w:rsidRDefault="004E2B46" w:rsidP="00657E1D">
      <w:pPr>
        <w:spacing w:after="160" w:line="259" w:lineRule="auto"/>
        <w:jc w:val="left"/>
        <w:rPr>
          <w:rFonts w:ascii="Bahnschrift Light Condensed" w:eastAsia="Calibri" w:hAnsi="Bahnschrift Light Condensed" w:cs="Times New Roman"/>
          <w:sz w:val="28"/>
          <w:lang w:eastAsia="lv-LV"/>
        </w:rPr>
      </w:pPr>
    </w:p>
    <w:p w14:paraId="4F3D9B28" w14:textId="77777777" w:rsidR="00D37BF9" w:rsidRDefault="00D37BF9" w:rsidP="00657E1D">
      <w:pPr>
        <w:spacing w:after="160" w:line="259" w:lineRule="auto"/>
        <w:jc w:val="left"/>
        <w:rPr>
          <w:rFonts w:ascii="Bahnschrift Light Condensed" w:eastAsia="Calibri" w:hAnsi="Bahnschrift Light Condensed" w:cs="Times New Roman"/>
          <w:sz w:val="28"/>
          <w:lang w:eastAsia="lv-LV"/>
        </w:rPr>
      </w:pPr>
    </w:p>
    <w:p w14:paraId="16B70355" w14:textId="77777777" w:rsidR="00D37BF9" w:rsidRDefault="00D37BF9" w:rsidP="00657E1D">
      <w:pPr>
        <w:spacing w:after="160" w:line="259" w:lineRule="auto"/>
        <w:jc w:val="left"/>
        <w:rPr>
          <w:rFonts w:ascii="Bahnschrift Light Condensed" w:eastAsia="Calibri" w:hAnsi="Bahnschrift Light Condensed" w:cs="Times New Roman"/>
          <w:sz w:val="28"/>
          <w:lang w:eastAsia="lv-LV"/>
        </w:rPr>
      </w:pPr>
    </w:p>
    <w:p w14:paraId="09EE9B02" w14:textId="77777777" w:rsidR="00EF7464" w:rsidRDefault="00EF7464" w:rsidP="00EF7464">
      <w:pPr>
        <w:rPr>
          <w:rFonts w:ascii="Bahnschrift Light Condensed" w:eastAsia="Calibri" w:hAnsi="Bahnschrift Light Condensed" w:cs="Times New Roman"/>
          <w:sz w:val="28"/>
          <w:lang w:eastAsia="lv-LV"/>
        </w:rPr>
      </w:pPr>
    </w:p>
    <w:p w14:paraId="6D6DC91F" w14:textId="77777777" w:rsidR="00266EF8" w:rsidRPr="00EF7464" w:rsidRDefault="00266EF8" w:rsidP="00EF7464">
      <w:pPr>
        <w:rPr>
          <w:rFonts w:ascii="Bahnschrift Light Condensed" w:eastAsia="Calibri" w:hAnsi="Bahnschrift Light Condensed" w:cs="Times New Roman"/>
          <w:sz w:val="28"/>
          <w:lang w:eastAsia="lv-LV"/>
        </w:rPr>
      </w:pPr>
    </w:p>
    <w:p w14:paraId="1A955B2F" w14:textId="77777777" w:rsidR="00D37BF9" w:rsidRDefault="00D37BF9" w:rsidP="00D37BF9">
      <w:pPr>
        <w:pBdr>
          <w:top w:val="nil"/>
          <w:left w:val="nil"/>
          <w:bottom w:val="nil"/>
          <w:right w:val="nil"/>
          <w:between w:val="nil"/>
        </w:pBdr>
        <w:spacing w:after="0"/>
        <w:ind w:left="48"/>
        <w:jc w:val="right"/>
        <w:rPr>
          <w:rFonts w:ascii="Times New Roman" w:hAnsi="Times New Roman" w:cs="Times New Roman"/>
          <w:szCs w:val="24"/>
        </w:rPr>
      </w:pPr>
      <w:r>
        <w:rPr>
          <w:rFonts w:ascii="Times New Roman" w:hAnsi="Times New Roman" w:cs="Times New Roman"/>
          <w:szCs w:val="24"/>
        </w:rPr>
        <w:lastRenderedPageBreak/>
        <w:t>4.11. pielikums</w:t>
      </w:r>
    </w:p>
    <w:p w14:paraId="472FD99E" w14:textId="08788636" w:rsidR="00D37BF9" w:rsidRPr="00AD5EE2" w:rsidRDefault="00A80F4B" w:rsidP="00AD5EE2">
      <w:pPr>
        <w:pStyle w:val="Heading2"/>
        <w:jc w:val="center"/>
        <w:rPr>
          <w:rFonts w:ascii="Times New Roman" w:hAnsi="Times New Roman" w:cs="Times New Roman"/>
          <w:b/>
          <w:bCs/>
          <w:color w:val="000000" w:themeColor="text1"/>
          <w:sz w:val="24"/>
          <w:szCs w:val="24"/>
        </w:rPr>
      </w:pPr>
      <w:bookmarkStart w:id="140" w:name="_Toc107916339"/>
      <w:r>
        <w:rPr>
          <w:rFonts w:ascii="Times New Roman" w:hAnsi="Times New Roman" w:cs="Times New Roman"/>
          <w:b/>
          <w:bCs/>
          <w:color w:val="000000" w:themeColor="text1"/>
          <w:sz w:val="24"/>
          <w:szCs w:val="24"/>
        </w:rPr>
        <w:t xml:space="preserve">4.11. </w:t>
      </w:r>
      <w:r w:rsidR="00D37BF9" w:rsidRPr="00AD5EE2">
        <w:rPr>
          <w:rFonts w:ascii="Times New Roman" w:hAnsi="Times New Roman" w:cs="Times New Roman"/>
          <w:b/>
          <w:bCs/>
          <w:color w:val="000000" w:themeColor="text1"/>
          <w:sz w:val="24"/>
          <w:szCs w:val="24"/>
        </w:rPr>
        <w:t>Stratēģijas ieviešanas plāna risku novērtējums</w:t>
      </w:r>
      <w:bookmarkEnd w:id="140"/>
    </w:p>
    <w:tbl>
      <w:tblPr>
        <w:tblW w:w="14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4253"/>
        <w:gridCol w:w="1276"/>
        <w:gridCol w:w="1275"/>
        <w:gridCol w:w="6237"/>
      </w:tblGrid>
      <w:tr w:rsidR="00C46D8A" w:rsidRPr="00C526F3" w14:paraId="19B5A746" w14:textId="77777777" w:rsidTr="00953546">
        <w:trPr>
          <w:trHeight w:val="255"/>
          <w:jc w:val="center"/>
        </w:trPr>
        <w:tc>
          <w:tcPr>
            <w:tcW w:w="1696" w:type="dxa"/>
            <w:shd w:val="clear" w:color="auto" w:fill="FFC000"/>
            <w:vAlign w:val="center"/>
          </w:tcPr>
          <w:p w14:paraId="296F467A" w14:textId="77777777" w:rsidR="00C46D8A" w:rsidRPr="00C526F3" w:rsidRDefault="00C46D8A" w:rsidP="00953546">
            <w:pPr>
              <w:keepNext/>
              <w:spacing w:before="60" w:after="6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Risks</w:t>
            </w:r>
          </w:p>
        </w:tc>
        <w:tc>
          <w:tcPr>
            <w:tcW w:w="4253" w:type="dxa"/>
            <w:shd w:val="clear" w:color="auto" w:fill="FFC000"/>
            <w:vAlign w:val="center"/>
          </w:tcPr>
          <w:p w14:paraId="2CEF909C" w14:textId="77777777" w:rsidR="00C46D8A" w:rsidRPr="00C526F3" w:rsidRDefault="00C46D8A" w:rsidP="00953546">
            <w:pPr>
              <w:keepNext/>
              <w:pBdr>
                <w:top w:val="nil"/>
                <w:left w:val="nil"/>
                <w:bottom w:val="nil"/>
                <w:right w:val="nil"/>
                <w:between w:val="nil"/>
              </w:pBdr>
              <w:spacing w:before="60" w:after="60" w:line="240" w:lineRule="auto"/>
              <w:jc w:val="center"/>
              <w:rPr>
                <w:rFonts w:ascii="Times New Roman" w:hAnsi="Times New Roman" w:cs="Times New Roman"/>
                <w:b/>
                <w:color w:val="000000"/>
                <w:sz w:val="20"/>
                <w:szCs w:val="20"/>
              </w:rPr>
            </w:pPr>
            <w:r w:rsidRPr="00C526F3">
              <w:rPr>
                <w:rFonts w:ascii="Times New Roman" w:hAnsi="Times New Roman" w:cs="Times New Roman"/>
                <w:b/>
                <w:color w:val="000000"/>
                <w:sz w:val="20"/>
                <w:szCs w:val="20"/>
              </w:rPr>
              <w:t>Riska apraksts</w:t>
            </w:r>
          </w:p>
        </w:tc>
        <w:tc>
          <w:tcPr>
            <w:tcW w:w="1276" w:type="dxa"/>
            <w:shd w:val="clear" w:color="auto" w:fill="FFC000"/>
            <w:vAlign w:val="center"/>
          </w:tcPr>
          <w:p w14:paraId="7D8B85C9" w14:textId="77777777" w:rsidR="00C46D8A" w:rsidRPr="00C526F3" w:rsidRDefault="00C46D8A" w:rsidP="00953546">
            <w:pPr>
              <w:keepNext/>
              <w:pBdr>
                <w:top w:val="nil"/>
                <w:left w:val="nil"/>
                <w:bottom w:val="nil"/>
                <w:right w:val="nil"/>
                <w:between w:val="nil"/>
              </w:pBdr>
              <w:spacing w:before="60" w:after="60" w:line="240" w:lineRule="auto"/>
              <w:ind w:left="-108"/>
              <w:jc w:val="center"/>
              <w:rPr>
                <w:rFonts w:ascii="Times New Roman" w:hAnsi="Times New Roman" w:cs="Times New Roman"/>
                <w:b/>
                <w:color w:val="000000"/>
                <w:sz w:val="20"/>
                <w:szCs w:val="20"/>
              </w:rPr>
            </w:pPr>
            <w:r w:rsidRPr="00C526F3">
              <w:rPr>
                <w:rFonts w:ascii="Times New Roman" w:hAnsi="Times New Roman" w:cs="Times New Roman"/>
                <w:b/>
                <w:color w:val="000000"/>
                <w:sz w:val="20"/>
                <w:szCs w:val="20"/>
              </w:rPr>
              <w:t xml:space="preserve">Riska ietekme </w:t>
            </w:r>
          </w:p>
          <w:p w14:paraId="6C987D68" w14:textId="77777777" w:rsidR="00C46D8A" w:rsidRPr="00C526F3" w:rsidRDefault="00C46D8A" w:rsidP="00953546">
            <w:pPr>
              <w:keepNext/>
              <w:pBdr>
                <w:top w:val="nil"/>
                <w:left w:val="nil"/>
                <w:bottom w:val="nil"/>
                <w:right w:val="nil"/>
                <w:between w:val="nil"/>
              </w:pBdr>
              <w:spacing w:before="60" w:after="60" w:line="240" w:lineRule="auto"/>
              <w:ind w:left="-108"/>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(augsta, vidēja, zema)</w:t>
            </w:r>
          </w:p>
        </w:tc>
        <w:tc>
          <w:tcPr>
            <w:tcW w:w="1275" w:type="dxa"/>
            <w:shd w:val="clear" w:color="auto" w:fill="FFC000"/>
            <w:vAlign w:val="center"/>
          </w:tcPr>
          <w:p w14:paraId="310FF5B2" w14:textId="77777777" w:rsidR="00C46D8A" w:rsidRPr="00C526F3" w:rsidRDefault="00C46D8A" w:rsidP="00953546">
            <w:pPr>
              <w:keepNext/>
              <w:pBdr>
                <w:top w:val="nil"/>
                <w:left w:val="nil"/>
                <w:bottom w:val="nil"/>
                <w:right w:val="nil"/>
                <w:between w:val="nil"/>
              </w:pBdr>
              <w:spacing w:before="60" w:after="60" w:line="240" w:lineRule="auto"/>
              <w:ind w:left="-108" w:right="-108"/>
              <w:jc w:val="center"/>
              <w:rPr>
                <w:rFonts w:ascii="Times New Roman" w:hAnsi="Times New Roman" w:cs="Times New Roman"/>
                <w:b/>
                <w:color w:val="000000"/>
                <w:sz w:val="20"/>
                <w:szCs w:val="20"/>
              </w:rPr>
            </w:pPr>
            <w:r w:rsidRPr="00C526F3">
              <w:rPr>
                <w:rFonts w:ascii="Times New Roman" w:hAnsi="Times New Roman" w:cs="Times New Roman"/>
                <w:b/>
                <w:color w:val="000000"/>
                <w:sz w:val="20"/>
                <w:szCs w:val="20"/>
              </w:rPr>
              <w:t>Iestāšanās varbūtība</w:t>
            </w:r>
          </w:p>
          <w:p w14:paraId="4C516B54" w14:textId="77777777" w:rsidR="00C46D8A" w:rsidRPr="00C526F3" w:rsidRDefault="00C46D8A" w:rsidP="00953546">
            <w:pPr>
              <w:keepNext/>
              <w:pBdr>
                <w:top w:val="nil"/>
                <w:left w:val="nil"/>
                <w:bottom w:val="nil"/>
                <w:right w:val="nil"/>
                <w:between w:val="nil"/>
              </w:pBdr>
              <w:spacing w:before="60" w:after="60" w:line="240" w:lineRule="auto"/>
              <w:ind w:left="-108" w:right="-108"/>
              <w:jc w:val="center"/>
              <w:rPr>
                <w:rFonts w:ascii="Times New Roman" w:hAnsi="Times New Roman" w:cs="Times New Roman"/>
                <w:b/>
                <w:color w:val="000000"/>
                <w:sz w:val="20"/>
                <w:szCs w:val="20"/>
              </w:rPr>
            </w:pPr>
            <w:r w:rsidRPr="00C526F3">
              <w:rPr>
                <w:rFonts w:ascii="Times New Roman" w:hAnsi="Times New Roman" w:cs="Times New Roman"/>
                <w:color w:val="000000"/>
                <w:sz w:val="20"/>
                <w:szCs w:val="20"/>
              </w:rPr>
              <w:t>(augsta, vidēja, zema)</w:t>
            </w:r>
          </w:p>
        </w:tc>
        <w:tc>
          <w:tcPr>
            <w:tcW w:w="6237" w:type="dxa"/>
            <w:shd w:val="clear" w:color="auto" w:fill="FFC000"/>
            <w:vAlign w:val="center"/>
          </w:tcPr>
          <w:p w14:paraId="6A8F6229" w14:textId="77777777" w:rsidR="00C46D8A" w:rsidRPr="00C526F3" w:rsidRDefault="00C46D8A" w:rsidP="00953546">
            <w:pPr>
              <w:keepNext/>
              <w:pBdr>
                <w:top w:val="nil"/>
                <w:left w:val="nil"/>
                <w:bottom w:val="nil"/>
                <w:right w:val="nil"/>
                <w:between w:val="nil"/>
              </w:pBdr>
              <w:spacing w:before="60" w:after="60" w:line="240" w:lineRule="auto"/>
              <w:jc w:val="center"/>
              <w:rPr>
                <w:rFonts w:ascii="Times New Roman" w:hAnsi="Times New Roman" w:cs="Times New Roman"/>
                <w:b/>
                <w:color w:val="000000"/>
                <w:sz w:val="20"/>
                <w:szCs w:val="20"/>
              </w:rPr>
            </w:pPr>
            <w:r w:rsidRPr="00C526F3">
              <w:rPr>
                <w:rFonts w:ascii="Times New Roman" w:hAnsi="Times New Roman" w:cs="Times New Roman"/>
                <w:b/>
                <w:color w:val="000000"/>
                <w:sz w:val="20"/>
                <w:szCs w:val="20"/>
              </w:rPr>
              <w:t>Pasākumi riska novēršanai/mazināšanai</w:t>
            </w:r>
          </w:p>
        </w:tc>
      </w:tr>
      <w:tr w:rsidR="00C46D8A" w:rsidRPr="00C526F3" w14:paraId="48CC8346" w14:textId="77777777" w:rsidTr="00953546">
        <w:trPr>
          <w:trHeight w:val="255"/>
          <w:jc w:val="center"/>
        </w:trPr>
        <w:tc>
          <w:tcPr>
            <w:tcW w:w="14737" w:type="dxa"/>
            <w:gridSpan w:val="5"/>
            <w:shd w:val="clear" w:color="auto" w:fill="FFC000"/>
          </w:tcPr>
          <w:p w14:paraId="68DEDCE1" w14:textId="77777777" w:rsidR="00C46D8A" w:rsidRPr="00C526F3" w:rsidRDefault="00C46D8A" w:rsidP="00953546">
            <w:pPr>
              <w:pBdr>
                <w:top w:val="nil"/>
                <w:left w:val="nil"/>
                <w:bottom w:val="nil"/>
                <w:right w:val="nil"/>
                <w:between w:val="nil"/>
              </w:pBdr>
              <w:spacing w:before="60" w:after="60" w:line="240" w:lineRule="auto"/>
              <w:ind w:right="72"/>
              <w:jc w:val="center"/>
              <w:rPr>
                <w:rFonts w:ascii="Times New Roman" w:hAnsi="Times New Roman" w:cs="Times New Roman"/>
                <w:b/>
                <w:color w:val="000000"/>
                <w:sz w:val="20"/>
                <w:szCs w:val="20"/>
              </w:rPr>
            </w:pPr>
            <w:r w:rsidRPr="00C526F3">
              <w:rPr>
                <w:rFonts w:ascii="Times New Roman" w:hAnsi="Times New Roman" w:cs="Times New Roman"/>
                <w:b/>
                <w:color w:val="000000"/>
                <w:sz w:val="20"/>
                <w:szCs w:val="20"/>
              </w:rPr>
              <w:t>Administratīvie, īstenošanas riski</w:t>
            </w:r>
          </w:p>
        </w:tc>
      </w:tr>
      <w:tr w:rsidR="00C46D8A" w:rsidRPr="00C526F3" w14:paraId="2264E698" w14:textId="77777777" w:rsidTr="00953546">
        <w:trPr>
          <w:trHeight w:val="255"/>
          <w:jc w:val="center"/>
        </w:trPr>
        <w:tc>
          <w:tcPr>
            <w:tcW w:w="1696" w:type="dxa"/>
            <w:shd w:val="clear" w:color="auto" w:fill="F2F2F2" w:themeFill="background1" w:themeFillShade="F2"/>
            <w:vAlign w:val="center"/>
          </w:tcPr>
          <w:p w14:paraId="68D4DE9B" w14:textId="77777777" w:rsidR="00C46D8A" w:rsidRPr="00C526F3" w:rsidRDefault="00C46D8A" w:rsidP="00953546">
            <w:pPr>
              <w:spacing w:after="0" w:line="240" w:lineRule="auto"/>
              <w:jc w:val="center"/>
              <w:rPr>
                <w:rFonts w:ascii="Times New Roman" w:hAnsi="Times New Roman" w:cs="Times New Roman"/>
                <w:b/>
                <w:sz w:val="20"/>
                <w:szCs w:val="20"/>
              </w:rPr>
            </w:pPr>
          </w:p>
          <w:p w14:paraId="496CD9C4"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 xml:space="preserve">Stratēģijas apstiprināšanas aizkavēšanās </w:t>
            </w:r>
          </w:p>
        </w:tc>
        <w:tc>
          <w:tcPr>
            <w:tcW w:w="4253" w:type="dxa"/>
            <w:vAlign w:val="center"/>
          </w:tcPr>
          <w:p w14:paraId="6FEB1EE6"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Stratēģijas apstiprināšana MK aizkavējas ilgāk par plānoto laiku, jo tiek saņemti iebildumi un ieteikumi par Stratēģiju un to saskaņošana aizkavējas.</w:t>
            </w:r>
          </w:p>
        </w:tc>
        <w:tc>
          <w:tcPr>
            <w:tcW w:w="1276" w:type="dxa"/>
            <w:vAlign w:val="center"/>
          </w:tcPr>
          <w:p w14:paraId="2A0D5092"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Vidēja </w:t>
            </w:r>
          </w:p>
        </w:tc>
        <w:tc>
          <w:tcPr>
            <w:tcW w:w="1275" w:type="dxa"/>
            <w:vAlign w:val="center"/>
          </w:tcPr>
          <w:p w14:paraId="5BD8C3FC"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Vidēja</w:t>
            </w:r>
          </w:p>
        </w:tc>
        <w:tc>
          <w:tcPr>
            <w:tcW w:w="6237" w:type="dxa"/>
            <w:vAlign w:val="center"/>
          </w:tcPr>
          <w:p w14:paraId="25E3774F"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Stratēģijas izstrādes laikā, kā arī pirms iesniegšanas MK jāiesaista arī citas ieinteresētas institūcijas, ar mērķi saņemt to viedokli un pēc iespējas agrīnā stadijā papildināt Stratēģiju, lai tās saskaņošanas laiku MK. Riska ietekmes mazināšanai stratēģijas laika grafikā Stratēģijas saskaņošanai un apstiprināšanai ir paredzēts būtisks laika periods (12 mēneši).</w:t>
            </w:r>
          </w:p>
        </w:tc>
      </w:tr>
      <w:tr w:rsidR="00C46D8A" w:rsidRPr="00C526F3" w14:paraId="22669E88" w14:textId="77777777" w:rsidTr="00953546">
        <w:trPr>
          <w:trHeight w:val="255"/>
          <w:jc w:val="center"/>
        </w:trPr>
        <w:tc>
          <w:tcPr>
            <w:tcW w:w="1696" w:type="dxa"/>
            <w:shd w:val="clear" w:color="auto" w:fill="F2F2F2" w:themeFill="background1" w:themeFillShade="F2"/>
            <w:vAlign w:val="center"/>
          </w:tcPr>
          <w:p w14:paraId="13EF2758"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Aizkavējas tiesiskā ietvara pilnveide Stratēģijas ieviešanai</w:t>
            </w:r>
          </w:p>
        </w:tc>
        <w:tc>
          <w:tcPr>
            <w:tcW w:w="4253" w:type="dxa"/>
            <w:vAlign w:val="center"/>
          </w:tcPr>
          <w:p w14:paraId="58C51171"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Atbildīgo institūciju kapacitātes trūkuma vai saņemto iebildumu, priekšlikumu daudzuma un pretrunu dēļ aizkavējas tiesiskā regulējuma pilnveidei (normatīvo aktu grozījumu un jaunu aktu izstrāde), kas kavē turpmāko stratēģijas posmu izpildi</w:t>
            </w:r>
          </w:p>
        </w:tc>
        <w:tc>
          <w:tcPr>
            <w:tcW w:w="1276" w:type="dxa"/>
            <w:vAlign w:val="center"/>
          </w:tcPr>
          <w:p w14:paraId="1B3AF7EA"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Augsta </w:t>
            </w:r>
          </w:p>
        </w:tc>
        <w:tc>
          <w:tcPr>
            <w:tcW w:w="1275" w:type="dxa"/>
            <w:vAlign w:val="center"/>
          </w:tcPr>
          <w:p w14:paraId="40459A02"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Vidēja </w:t>
            </w:r>
          </w:p>
        </w:tc>
        <w:tc>
          <w:tcPr>
            <w:tcW w:w="6237" w:type="dxa"/>
            <w:vAlign w:val="center"/>
          </w:tcPr>
          <w:p w14:paraId="49321BF0"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Stratēģijas izstrādes laikā, kā arī pirms tiesiskā regulējuma pilnveides uzsākšanas jāiesaista citas ieinteresētas institūcijas ar mērķi saņemt to viedokli un pēc iespējas agrīnā stadijā, lai mazinātu iebildumu un priekšlikumu skaitu turpmākā tiesiskā ietvara izstrādes laikā. Riska ietekmes mazināšanai Stratēģijas laika grafikā tiesiskā ietvara grozījumiem ir paredzēts būtisks laika periods (12 mēneši) un grozījumu izstrādi normatīvajos aktos var uzsākt arī pirms Stratēģijas apstiprināšanas MK.</w:t>
            </w:r>
          </w:p>
        </w:tc>
      </w:tr>
      <w:tr w:rsidR="00C46D8A" w:rsidRPr="00C526F3" w14:paraId="03E255D8" w14:textId="77777777" w:rsidTr="00953546">
        <w:trPr>
          <w:trHeight w:val="255"/>
          <w:jc w:val="center"/>
        </w:trPr>
        <w:tc>
          <w:tcPr>
            <w:tcW w:w="1696" w:type="dxa"/>
            <w:shd w:val="clear" w:color="auto" w:fill="F2F2F2" w:themeFill="background1" w:themeFillShade="F2"/>
            <w:vAlign w:val="center"/>
          </w:tcPr>
          <w:p w14:paraId="55DC80CD"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Nepietiekama atbilstoša personāla kapacitāte</w:t>
            </w:r>
          </w:p>
        </w:tc>
        <w:tc>
          <w:tcPr>
            <w:tcW w:w="4253" w:type="dxa"/>
            <w:vAlign w:val="center"/>
          </w:tcPr>
          <w:p w14:paraId="0746178F"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Jebkurā Stratēģijas ieviešanas posmā vai uzdevuma izpildē iespējama kavēšanās vai kvalitatīva uzdevuma izpildes traucējumi, jo atbildīgajās un iesaistītajās institūcijās nav pietiekama atbilstoša personāla kapacitāte</w:t>
            </w:r>
          </w:p>
        </w:tc>
        <w:tc>
          <w:tcPr>
            <w:tcW w:w="1276" w:type="dxa"/>
            <w:vAlign w:val="center"/>
          </w:tcPr>
          <w:p w14:paraId="27028FAF"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Augsta </w:t>
            </w:r>
          </w:p>
        </w:tc>
        <w:tc>
          <w:tcPr>
            <w:tcW w:w="1275" w:type="dxa"/>
            <w:vAlign w:val="center"/>
          </w:tcPr>
          <w:p w14:paraId="284EF209"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Vidēja</w:t>
            </w:r>
          </w:p>
        </w:tc>
        <w:tc>
          <w:tcPr>
            <w:tcW w:w="6237" w:type="dxa"/>
            <w:vAlign w:val="center"/>
          </w:tcPr>
          <w:p w14:paraId="77A8055A"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Lai mazinātu atbilstoša personāla kapacitātes riskus, ir paredzēti gan pietiekami gari uzdevumu izpildes laiki, kas ļauj piesaistīt papildu personālu, ja tas nepieciešams, kā arī daļu Stratēģijas uzdevumu ir iespējams veikt, izmantojot atbilstošu ārējo iepirkumu. </w:t>
            </w:r>
          </w:p>
        </w:tc>
      </w:tr>
      <w:tr w:rsidR="00C46D8A" w:rsidRPr="00C526F3" w14:paraId="6BB916B9" w14:textId="77777777" w:rsidTr="00953546">
        <w:trPr>
          <w:trHeight w:val="1783"/>
          <w:jc w:val="center"/>
        </w:trPr>
        <w:tc>
          <w:tcPr>
            <w:tcW w:w="1696" w:type="dxa"/>
            <w:shd w:val="clear" w:color="auto" w:fill="F2F2F2" w:themeFill="background1" w:themeFillShade="F2"/>
            <w:vAlign w:val="center"/>
          </w:tcPr>
          <w:p w14:paraId="1D03F498"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Faktiskā notekūdeņu dūņu apjoma neatbilstība prognozēm</w:t>
            </w:r>
          </w:p>
        </w:tc>
        <w:tc>
          <w:tcPr>
            <w:tcW w:w="4253" w:type="dxa"/>
            <w:vAlign w:val="center"/>
          </w:tcPr>
          <w:p w14:paraId="3BCB3CBE"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Faktiskais notekūdeņu dūņu apjoms pašvaldības robežās un arī dūņu centrā var izrādīties atšķirīgs nekā Stratēģijā izmantotie dati no valsts statistikas pārskatiem</w:t>
            </w:r>
          </w:p>
        </w:tc>
        <w:tc>
          <w:tcPr>
            <w:tcW w:w="1276" w:type="dxa"/>
            <w:vAlign w:val="center"/>
          </w:tcPr>
          <w:p w14:paraId="7EE61079"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Zema </w:t>
            </w:r>
          </w:p>
        </w:tc>
        <w:tc>
          <w:tcPr>
            <w:tcW w:w="1275" w:type="dxa"/>
            <w:vAlign w:val="center"/>
          </w:tcPr>
          <w:p w14:paraId="5B12EEC9"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Augsta </w:t>
            </w:r>
          </w:p>
        </w:tc>
        <w:tc>
          <w:tcPr>
            <w:tcW w:w="6237" w:type="dxa"/>
            <w:vAlign w:val="center"/>
          </w:tcPr>
          <w:p w14:paraId="005F868A"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Riska mazināšanai Stratēģijas laikā tika verificēti un novērsti gadījumi, kad statistikas pārskatos norādītais notekūdeņu dūņu apjoms būtiski atšķīrās no teorētiski iespējamā notekūdeņu dūņu apjoma, tādējādi mazinot būtisku neatbilstību iespējamību. Lai nodrošinātu, ka izbūvētā infrastruktūra atbilst faktiskajam notekūdeņu dūņu apjomam, pirms tās izbūves jāveic tehniski ekonomiskā analīze katras pašvaldības un notekūdeņu dūņu centra līmenī, izvēloties labāko pieejamo tehnoloģiju.</w:t>
            </w:r>
          </w:p>
        </w:tc>
      </w:tr>
      <w:tr w:rsidR="00C46D8A" w:rsidRPr="00C526F3" w14:paraId="282D546F" w14:textId="77777777" w:rsidTr="00953546">
        <w:trPr>
          <w:trHeight w:val="255"/>
          <w:jc w:val="center"/>
        </w:trPr>
        <w:tc>
          <w:tcPr>
            <w:tcW w:w="14737" w:type="dxa"/>
            <w:gridSpan w:val="5"/>
            <w:shd w:val="clear" w:color="auto" w:fill="FFC000"/>
          </w:tcPr>
          <w:p w14:paraId="36A9B90F"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highlight w:val="yellow"/>
              </w:rPr>
            </w:pPr>
            <w:r w:rsidRPr="00C526F3">
              <w:rPr>
                <w:rFonts w:ascii="Times New Roman" w:hAnsi="Times New Roman" w:cs="Times New Roman"/>
                <w:b/>
                <w:color w:val="000000"/>
                <w:sz w:val="20"/>
                <w:szCs w:val="20"/>
              </w:rPr>
              <w:t>Finanšu riski</w:t>
            </w:r>
          </w:p>
        </w:tc>
      </w:tr>
      <w:tr w:rsidR="00C46D8A" w:rsidRPr="00C526F3" w14:paraId="7FB222A2" w14:textId="77777777" w:rsidTr="00953546">
        <w:trPr>
          <w:trHeight w:val="255"/>
          <w:jc w:val="center"/>
        </w:trPr>
        <w:tc>
          <w:tcPr>
            <w:tcW w:w="1696" w:type="dxa"/>
            <w:shd w:val="clear" w:color="auto" w:fill="F2F2F2" w:themeFill="background1" w:themeFillShade="F2"/>
            <w:vAlign w:val="center"/>
          </w:tcPr>
          <w:p w14:paraId="6E0CF3F3"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Nepietiekams finansējums</w:t>
            </w:r>
          </w:p>
        </w:tc>
        <w:tc>
          <w:tcPr>
            <w:tcW w:w="4253" w:type="dxa"/>
            <w:vAlign w:val="center"/>
          </w:tcPr>
          <w:p w14:paraId="01F79204"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Stratēģijas uzdevumu īstenošanai nav pieejami pietiekami finanšu līdzekļi, tai skaitā ES fondu finansējums infrastruktūras īstenošanai nav pietiekams</w:t>
            </w:r>
          </w:p>
        </w:tc>
        <w:tc>
          <w:tcPr>
            <w:tcW w:w="1276" w:type="dxa"/>
            <w:vAlign w:val="center"/>
          </w:tcPr>
          <w:p w14:paraId="11A943C0"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Augsta</w:t>
            </w:r>
          </w:p>
        </w:tc>
        <w:tc>
          <w:tcPr>
            <w:tcW w:w="1275" w:type="dxa"/>
            <w:vAlign w:val="center"/>
          </w:tcPr>
          <w:p w14:paraId="2598DB3F" w14:textId="77777777" w:rsidR="00C46D8A" w:rsidRPr="00C526F3" w:rsidRDefault="00C46D8A" w:rsidP="00953546">
            <w:pPr>
              <w:pBdr>
                <w:top w:val="nil"/>
                <w:left w:val="nil"/>
                <w:bottom w:val="nil"/>
                <w:right w:val="nil"/>
                <w:between w:val="nil"/>
              </w:pBdr>
              <w:spacing w:after="6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Vidēja </w:t>
            </w:r>
          </w:p>
        </w:tc>
        <w:tc>
          <w:tcPr>
            <w:tcW w:w="6237" w:type="dxa"/>
            <w:vAlign w:val="center"/>
          </w:tcPr>
          <w:p w14:paraId="741FB6BB" w14:textId="77777777" w:rsidR="00C46D8A" w:rsidRPr="00C526F3" w:rsidRDefault="00C46D8A" w:rsidP="00953546">
            <w:pPr>
              <w:pBdr>
                <w:top w:val="nil"/>
                <w:left w:val="nil"/>
                <w:bottom w:val="nil"/>
                <w:right w:val="nil"/>
                <w:between w:val="nil"/>
              </w:pBdr>
              <w:spacing w:after="6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Efektīvai finansējuma izmantošanai ir paredzēts, ka pirms infrastruktūras izveides ir jāveic katra novada notekūdeņu dūņu apsaimniekošanas sistēmas un notekūdeņu dūņu centra infrastruktūras tehniski ekonomiskā analīze, lai infrastruktūras izveidē ieguldītu tikai nepieciešamo </w:t>
            </w:r>
            <w:r w:rsidRPr="00C526F3">
              <w:rPr>
                <w:rFonts w:ascii="Times New Roman" w:hAnsi="Times New Roman" w:cs="Times New Roman"/>
                <w:color w:val="000000"/>
                <w:sz w:val="20"/>
                <w:szCs w:val="20"/>
              </w:rPr>
              <w:lastRenderedPageBreak/>
              <w:t>finansējuma apjomu. Lai mazinātu finansējuma nepietiekamību no ES fondiem, jau pirms ES fondu finansējuma “iezīmēšanas” VARAM tiks informēta par aplēstajām infrastruktūras izmaksām, lai varētu paredzēt pietiekamu finansējumu atbalsta programmās.</w:t>
            </w:r>
          </w:p>
        </w:tc>
      </w:tr>
      <w:tr w:rsidR="00C46D8A" w:rsidRPr="00C526F3" w14:paraId="4078670E" w14:textId="77777777" w:rsidTr="00953546">
        <w:trPr>
          <w:trHeight w:val="255"/>
          <w:jc w:val="center"/>
        </w:trPr>
        <w:tc>
          <w:tcPr>
            <w:tcW w:w="1696" w:type="dxa"/>
            <w:shd w:val="clear" w:color="auto" w:fill="F2F2F2" w:themeFill="background1" w:themeFillShade="F2"/>
            <w:vAlign w:val="center"/>
          </w:tcPr>
          <w:p w14:paraId="6FE7A70C"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lastRenderedPageBreak/>
              <w:t>Tarifu risks</w:t>
            </w:r>
          </w:p>
        </w:tc>
        <w:tc>
          <w:tcPr>
            <w:tcW w:w="4253" w:type="dxa"/>
          </w:tcPr>
          <w:p w14:paraId="25005D7D"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Risks, ka ūdenssaimniecības pakalpojumu tarifi netiek apstiprināti laicīgi un iekļaujot visas ar notekūdeņu dūņu apsaimniekošanu saistītās izmaksas, tiklīdz tās veidojas, tādējādi negatīvi ietekmējot SPS finansiālo stāvokli </w:t>
            </w:r>
          </w:p>
        </w:tc>
        <w:tc>
          <w:tcPr>
            <w:tcW w:w="1276" w:type="dxa"/>
            <w:vAlign w:val="center"/>
          </w:tcPr>
          <w:p w14:paraId="1A0F4E11"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Zems </w:t>
            </w:r>
          </w:p>
        </w:tc>
        <w:tc>
          <w:tcPr>
            <w:tcW w:w="1275" w:type="dxa"/>
            <w:vAlign w:val="center"/>
          </w:tcPr>
          <w:p w14:paraId="5832AADB"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Zems </w:t>
            </w:r>
          </w:p>
        </w:tc>
        <w:tc>
          <w:tcPr>
            <w:tcW w:w="6237" w:type="dxa"/>
            <w:vAlign w:val="center"/>
          </w:tcPr>
          <w:p w14:paraId="2AD174BE"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SPS ir jāveic savlaicīga tarifu projekta izstrāde un jāizmanto iespējas saņemt SPRK konsultācijas par tarifa projekta sagatavošanu.</w:t>
            </w:r>
          </w:p>
        </w:tc>
      </w:tr>
      <w:tr w:rsidR="00C46D8A" w:rsidRPr="00C526F3" w14:paraId="44F49B50" w14:textId="77777777" w:rsidTr="00953546">
        <w:trPr>
          <w:trHeight w:val="255"/>
          <w:jc w:val="center"/>
        </w:trPr>
        <w:tc>
          <w:tcPr>
            <w:tcW w:w="1696" w:type="dxa"/>
            <w:shd w:val="clear" w:color="auto" w:fill="F2F2F2" w:themeFill="background1" w:themeFillShade="F2"/>
            <w:vAlign w:val="center"/>
          </w:tcPr>
          <w:p w14:paraId="6616493E"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Pieprasījuma risks</w:t>
            </w:r>
          </w:p>
        </w:tc>
        <w:tc>
          <w:tcPr>
            <w:tcW w:w="4253" w:type="dxa"/>
            <w:vAlign w:val="center"/>
          </w:tcPr>
          <w:p w14:paraId="0004C278"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Risks, ka pieprasījums pēc pārstrādātām notekūdeņu dūņām vai to komposta būs zemāks, nekā prognozēts Stratēģijas izstrādes gaitā, līdz ar to netiks nodrošināts plānotais notekūdeņu dūņu utilizācijas apjoms un tas uzkrāsies notekūdeņu dūņu centros</w:t>
            </w:r>
          </w:p>
        </w:tc>
        <w:tc>
          <w:tcPr>
            <w:tcW w:w="1276" w:type="dxa"/>
            <w:vAlign w:val="center"/>
          </w:tcPr>
          <w:p w14:paraId="51A51B22"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Augsta </w:t>
            </w:r>
          </w:p>
        </w:tc>
        <w:tc>
          <w:tcPr>
            <w:tcW w:w="1275" w:type="dxa"/>
            <w:vAlign w:val="center"/>
          </w:tcPr>
          <w:p w14:paraId="460EC144"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 xml:space="preserve">Vidēja </w:t>
            </w:r>
          </w:p>
        </w:tc>
        <w:tc>
          <w:tcPr>
            <w:tcW w:w="6237" w:type="dxa"/>
            <w:vAlign w:val="center"/>
          </w:tcPr>
          <w:p w14:paraId="3F193435"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Riska mazināšanai Stratēģijā paredzēts uzsākt un pastāvīgi īstenot sabiedrības informēšanas kampaņas reizē ar infrastruktūras izbūves uzsākšanu, lai jau laicīgi veicinātu pārstrādātu notekūdeņu dūņu kā augu barošanās elementu resursa atpazīstamību. Papildus SPS, pašvaldībām un VARAM aktīvi jākomunicē ar lauksaimniecības organizācijām, ZM padotības iestādēm, sniedzot informāciju par pārstrādātu notekūdeņu dūņu pieejamību notekūdeņu dūņu centrā, to apjomu un kvalitāti, veicinot lauksaimnieku informētību par šāda materiāla pieejamību.</w:t>
            </w:r>
          </w:p>
        </w:tc>
      </w:tr>
      <w:tr w:rsidR="00C46D8A" w:rsidRPr="00C526F3" w14:paraId="6E96BF50" w14:textId="77777777" w:rsidTr="00953546">
        <w:trPr>
          <w:trHeight w:val="255"/>
          <w:jc w:val="center"/>
        </w:trPr>
        <w:tc>
          <w:tcPr>
            <w:tcW w:w="1696" w:type="dxa"/>
            <w:shd w:val="clear" w:color="auto" w:fill="F2F2F2" w:themeFill="background1" w:themeFillShade="F2"/>
            <w:vAlign w:val="center"/>
          </w:tcPr>
          <w:p w14:paraId="76F71F88"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Iepirkumu sadārdzinājuma risks</w:t>
            </w:r>
          </w:p>
        </w:tc>
        <w:tc>
          <w:tcPr>
            <w:tcW w:w="4253" w:type="dxa"/>
            <w:vAlign w:val="center"/>
          </w:tcPr>
          <w:p w14:paraId="01818B96"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Risks, ka tirgus cenu spiediena vai konkurences trūkuma rezultātā infrastruktūras izbūve iepirkuma zemākā cena pārsniedz plānoto.</w:t>
            </w:r>
          </w:p>
        </w:tc>
        <w:tc>
          <w:tcPr>
            <w:tcW w:w="1276" w:type="dxa"/>
            <w:vAlign w:val="center"/>
          </w:tcPr>
          <w:p w14:paraId="61D4B19D"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Augsta</w:t>
            </w:r>
          </w:p>
        </w:tc>
        <w:tc>
          <w:tcPr>
            <w:tcW w:w="1275" w:type="dxa"/>
            <w:vAlign w:val="center"/>
          </w:tcPr>
          <w:p w14:paraId="37AEAFC0"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Vidēja</w:t>
            </w:r>
          </w:p>
        </w:tc>
        <w:tc>
          <w:tcPr>
            <w:tcW w:w="6237" w:type="dxa"/>
            <w:vAlign w:val="center"/>
          </w:tcPr>
          <w:p w14:paraId="43992447"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Jāapsver iespēja sadalīt iepirkumus, samazinot iepirkumā veicamo darbu apjomu, tādējādi paplašinot potenciālo kandidātu loku.</w:t>
            </w:r>
          </w:p>
          <w:p w14:paraId="6511953A"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Jāparedz rezerves izmaksu sadārdzinājuma gadījumā (rezerve no uzņēmuma iekšējiem līdzekļiem). Finanšu rezerve (rezerves virsizmaksas) ir iekļauta katra līguma tāmē.</w:t>
            </w:r>
          </w:p>
        </w:tc>
      </w:tr>
      <w:tr w:rsidR="00C46D8A" w:rsidRPr="00C526F3" w14:paraId="6CE36185" w14:textId="77777777" w:rsidTr="00953546">
        <w:trPr>
          <w:trHeight w:val="255"/>
          <w:jc w:val="center"/>
        </w:trPr>
        <w:tc>
          <w:tcPr>
            <w:tcW w:w="1696" w:type="dxa"/>
            <w:shd w:val="clear" w:color="auto" w:fill="F2F2F2" w:themeFill="background1" w:themeFillShade="F2"/>
            <w:vAlign w:val="center"/>
          </w:tcPr>
          <w:p w14:paraId="283659D3" w14:textId="77777777" w:rsidR="00C46D8A" w:rsidRPr="00C526F3" w:rsidRDefault="00C46D8A" w:rsidP="00953546">
            <w:pPr>
              <w:spacing w:after="0" w:line="240" w:lineRule="auto"/>
              <w:jc w:val="center"/>
              <w:rPr>
                <w:rFonts w:ascii="Times New Roman" w:hAnsi="Times New Roman" w:cs="Times New Roman"/>
                <w:b/>
                <w:sz w:val="20"/>
                <w:szCs w:val="20"/>
              </w:rPr>
            </w:pPr>
            <w:r w:rsidRPr="00C526F3">
              <w:rPr>
                <w:rFonts w:ascii="Times New Roman" w:hAnsi="Times New Roman" w:cs="Times New Roman"/>
                <w:b/>
                <w:sz w:val="20"/>
                <w:szCs w:val="20"/>
              </w:rPr>
              <w:t>Ekspluatācijas izmaksu risks</w:t>
            </w:r>
          </w:p>
        </w:tc>
        <w:tc>
          <w:tcPr>
            <w:tcW w:w="4253" w:type="dxa"/>
            <w:vAlign w:val="center"/>
          </w:tcPr>
          <w:p w14:paraId="4820AD92" w14:textId="77777777" w:rsidR="00C46D8A" w:rsidRPr="00C526F3" w:rsidRDefault="00C46D8A" w:rsidP="00953546">
            <w:pPr>
              <w:pBdr>
                <w:top w:val="nil"/>
                <w:left w:val="nil"/>
                <w:bottom w:val="nil"/>
                <w:right w:val="nil"/>
                <w:between w:val="nil"/>
              </w:pBdr>
              <w:spacing w:after="0" w:line="240" w:lineRule="auto"/>
              <w:ind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Risks, ka pēc Stratēģijas ieviešanas dažādu neparedzētu apstākļu dēļ pieaugs ekspluatācijas izmaksas, kas var negatīvi ietekmēt izvēlētā notekūdeņu dūņu apsaimniekošanas stratēģiskā risinājuma kopējo izmaksu efektivitāti un palielināt ūdenssaimniecības pakalpojumu tarifus</w:t>
            </w:r>
          </w:p>
        </w:tc>
        <w:tc>
          <w:tcPr>
            <w:tcW w:w="1276" w:type="dxa"/>
            <w:vAlign w:val="center"/>
          </w:tcPr>
          <w:p w14:paraId="28AFA38A"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Zema</w:t>
            </w:r>
          </w:p>
        </w:tc>
        <w:tc>
          <w:tcPr>
            <w:tcW w:w="1275" w:type="dxa"/>
            <w:vAlign w:val="center"/>
          </w:tcPr>
          <w:p w14:paraId="7521B561" w14:textId="77777777" w:rsidR="00C46D8A" w:rsidRPr="00C526F3" w:rsidRDefault="00C46D8A" w:rsidP="00953546">
            <w:pPr>
              <w:pBdr>
                <w:top w:val="nil"/>
                <w:left w:val="nil"/>
                <w:bottom w:val="nil"/>
                <w:right w:val="nil"/>
                <w:between w:val="nil"/>
              </w:pBdr>
              <w:spacing w:after="0" w:line="240" w:lineRule="auto"/>
              <w:ind w:right="72"/>
              <w:jc w:val="center"/>
              <w:rPr>
                <w:rFonts w:ascii="Times New Roman" w:hAnsi="Times New Roman" w:cs="Times New Roman"/>
                <w:color w:val="000000"/>
                <w:sz w:val="20"/>
                <w:szCs w:val="20"/>
              </w:rPr>
            </w:pPr>
            <w:r w:rsidRPr="00C526F3">
              <w:rPr>
                <w:rFonts w:ascii="Times New Roman" w:hAnsi="Times New Roman" w:cs="Times New Roman"/>
                <w:color w:val="000000"/>
                <w:sz w:val="20"/>
                <w:szCs w:val="20"/>
              </w:rPr>
              <w:t>Vidēja</w:t>
            </w:r>
          </w:p>
        </w:tc>
        <w:tc>
          <w:tcPr>
            <w:tcW w:w="6237" w:type="dxa"/>
            <w:vAlign w:val="center"/>
          </w:tcPr>
          <w:p w14:paraId="293838AF" w14:textId="77777777" w:rsidR="00C46D8A" w:rsidRPr="00C526F3" w:rsidRDefault="00C46D8A" w:rsidP="00953546">
            <w:pPr>
              <w:pBdr>
                <w:top w:val="nil"/>
                <w:left w:val="nil"/>
                <w:bottom w:val="nil"/>
                <w:right w:val="nil"/>
                <w:between w:val="nil"/>
              </w:pBdr>
              <w:spacing w:after="0" w:line="240" w:lineRule="auto"/>
              <w:ind w:left="32" w:right="72"/>
              <w:rPr>
                <w:rFonts w:ascii="Times New Roman" w:hAnsi="Times New Roman" w:cs="Times New Roman"/>
                <w:color w:val="000000"/>
                <w:sz w:val="20"/>
                <w:szCs w:val="20"/>
              </w:rPr>
            </w:pPr>
            <w:r w:rsidRPr="00C526F3">
              <w:rPr>
                <w:rFonts w:ascii="Times New Roman" w:hAnsi="Times New Roman" w:cs="Times New Roman"/>
                <w:color w:val="000000"/>
                <w:sz w:val="20"/>
                <w:szCs w:val="20"/>
              </w:rPr>
              <w:t>Nepieciešams veikt regulāru izmaksu kontroli, lai nodrošinātu izbūvētas infrastruktūras dzīvotspēju un savlaicīgi jāveic tarifu pārskatīšana. SPS jāveic efektīva infrastruktūras izmantošana, pastāvīgi izvērtējot iespējamos risinājumus tās noslodzes efektivizācijai.</w:t>
            </w:r>
          </w:p>
        </w:tc>
      </w:tr>
    </w:tbl>
    <w:p w14:paraId="4D370CC2" w14:textId="77777777" w:rsidR="00EF7464" w:rsidRDefault="00EF7464" w:rsidP="00EF7464">
      <w:pPr>
        <w:rPr>
          <w:rFonts w:ascii="Bahnschrift Light Condensed" w:eastAsia="Calibri" w:hAnsi="Bahnschrift Light Condensed" w:cs="Times New Roman"/>
          <w:sz w:val="28"/>
          <w:lang w:eastAsia="lv-LV"/>
        </w:rPr>
      </w:pPr>
    </w:p>
    <w:p w14:paraId="5FBCE167" w14:textId="77777777" w:rsidR="00C46D8A" w:rsidRDefault="00C46D8A" w:rsidP="00C46D8A">
      <w:pPr>
        <w:rPr>
          <w:rFonts w:ascii="Bahnschrift Light Condensed" w:eastAsia="Calibri" w:hAnsi="Bahnschrift Light Condensed" w:cs="Times New Roman"/>
          <w:sz w:val="28"/>
          <w:lang w:eastAsia="lv-LV"/>
        </w:rPr>
      </w:pPr>
    </w:p>
    <w:p w14:paraId="6133C6D8" w14:textId="52934C22" w:rsidR="00C46D8A" w:rsidRPr="00C46D8A" w:rsidRDefault="00266EF8" w:rsidP="00266EF8">
      <w:pPr>
        <w:spacing w:after="160" w:line="259" w:lineRule="auto"/>
        <w:jc w:val="left"/>
        <w:rPr>
          <w:rFonts w:ascii="Bahnschrift Light Condensed" w:eastAsia="Calibri" w:hAnsi="Bahnschrift Light Condensed" w:cs="Times New Roman"/>
          <w:sz w:val="28"/>
          <w:lang w:eastAsia="lv-LV"/>
        </w:rPr>
        <w:sectPr w:rsidR="00C46D8A" w:rsidRPr="00C46D8A" w:rsidSect="007E349D">
          <w:pgSz w:w="16838" w:h="11906" w:orient="landscape"/>
          <w:pgMar w:top="1134" w:right="1701" w:bottom="1134" w:left="1701" w:header="708" w:footer="708" w:gutter="0"/>
          <w:cols w:space="708"/>
          <w:docGrid w:linePitch="360"/>
        </w:sectPr>
      </w:pPr>
      <w:r>
        <w:rPr>
          <w:rFonts w:ascii="Bahnschrift Light Condensed" w:eastAsia="Calibri" w:hAnsi="Bahnschrift Light Condensed" w:cs="Times New Roman"/>
          <w:sz w:val="28"/>
          <w:lang w:eastAsia="lv-LV"/>
        </w:rPr>
        <w:t>*</w:t>
      </w:r>
      <w:r w:rsidR="00C46D8A">
        <w:rPr>
          <w:rFonts w:ascii="Bahnschrift Light Condensed" w:eastAsia="Calibri" w:hAnsi="Bahnschrift Light Condensed" w:cs="Times New Roman"/>
          <w:sz w:val="28"/>
          <w:lang w:eastAsia="lv-LV"/>
        </w:rPr>
        <w:tab/>
      </w:r>
    </w:p>
    <w:p w14:paraId="7F9F8050" w14:textId="77777777" w:rsidR="004D788B" w:rsidRPr="00175DD0" w:rsidRDefault="004D788B" w:rsidP="00797B3A">
      <w:pPr>
        <w:spacing w:before="120" w:after="120"/>
        <w:rPr>
          <w:szCs w:val="24"/>
        </w:rPr>
      </w:pPr>
    </w:p>
    <w:sectPr w:rsidR="004D788B" w:rsidRPr="00175DD0" w:rsidSect="007E349D">
      <w:pgSz w:w="11906" w:h="16838"/>
      <w:pgMar w:top="1134"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2B530" w14:textId="77777777" w:rsidR="00D91605" w:rsidRDefault="00D91605" w:rsidP="008461EF">
      <w:pPr>
        <w:spacing w:after="0" w:line="240" w:lineRule="auto"/>
      </w:pPr>
      <w:r>
        <w:separator/>
      </w:r>
    </w:p>
  </w:endnote>
  <w:endnote w:type="continuationSeparator" w:id="0">
    <w:p w14:paraId="31AA5DAE" w14:textId="77777777" w:rsidR="00D91605" w:rsidRDefault="00D91605" w:rsidP="008461EF">
      <w:pPr>
        <w:spacing w:after="0" w:line="240" w:lineRule="auto"/>
      </w:pPr>
      <w:r>
        <w:continuationSeparator/>
      </w:r>
    </w:p>
  </w:endnote>
  <w:endnote w:type="continuationNotice" w:id="1">
    <w:p w14:paraId="653AA002" w14:textId="77777777" w:rsidR="00D91605" w:rsidRDefault="00D916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hnschrift SemiLight Condensed">
    <w:panose1 w:val="020B0502040204020203"/>
    <w:charset w:val="BA"/>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Bahnschrift Light Condensed">
    <w:panose1 w:val="020B0502040204020203"/>
    <w:charset w:val="BA"/>
    <w:family w:val="swiss"/>
    <w:pitch w:val="variable"/>
    <w:sig w:usb0="A00002C7" w:usb1="00000002" w:usb2="00000000" w:usb3="00000000" w:csb0="0000019F" w:csb1="00000000"/>
  </w:font>
  <w:font w:name="Bahnschrift SemiCondensed">
    <w:panose1 w:val="020B0502040204020203"/>
    <w:charset w:val="BA"/>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679409"/>
      <w:docPartObj>
        <w:docPartGallery w:val="Page Numbers (Bottom of Page)"/>
        <w:docPartUnique/>
      </w:docPartObj>
    </w:sdtPr>
    <w:sdtEndPr>
      <w:rPr>
        <w:noProof/>
      </w:rPr>
    </w:sdtEndPr>
    <w:sdtContent>
      <w:p w14:paraId="69C2AE6D" w14:textId="77777777" w:rsidR="00603B7B" w:rsidRDefault="00603B7B">
        <w:pPr>
          <w:pStyle w:val="Footer"/>
          <w:jc w:val="center"/>
        </w:pPr>
        <w:r>
          <w:fldChar w:fldCharType="begin"/>
        </w:r>
        <w:r>
          <w:instrText xml:space="preserve"> PAGE   \* MERGEFORMAT </w:instrText>
        </w:r>
        <w:r>
          <w:fldChar w:fldCharType="separate"/>
        </w:r>
        <w:r w:rsidR="00D55002">
          <w:rPr>
            <w:noProof/>
          </w:rPr>
          <w:t>7</w:t>
        </w:r>
        <w:r>
          <w:rPr>
            <w:noProof/>
          </w:rPr>
          <w:fldChar w:fldCharType="end"/>
        </w:r>
      </w:p>
    </w:sdtContent>
  </w:sdt>
  <w:p w14:paraId="6CAA84C1" w14:textId="77777777" w:rsidR="00603B7B" w:rsidRDefault="00603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031221"/>
      <w:docPartObj>
        <w:docPartGallery w:val="Page Numbers (Bottom of Page)"/>
        <w:docPartUnique/>
      </w:docPartObj>
    </w:sdtPr>
    <w:sdtEndPr>
      <w:rPr>
        <w:rFonts w:ascii="Times New Roman" w:hAnsi="Times New Roman" w:cs="Times New Roman"/>
        <w:noProof/>
      </w:rPr>
    </w:sdtEndPr>
    <w:sdtContent>
      <w:p w14:paraId="1EE0D761" w14:textId="77777777" w:rsidR="00603B7B" w:rsidRPr="00DD0E08" w:rsidRDefault="00603B7B" w:rsidP="00A00782">
        <w:pPr>
          <w:pStyle w:val="Footer"/>
          <w:jc w:val="center"/>
          <w:rPr>
            <w:rFonts w:ascii="Times New Roman" w:hAnsi="Times New Roman" w:cs="Times New Roman"/>
          </w:rPr>
        </w:pPr>
        <w:r w:rsidRPr="00DD0E08">
          <w:rPr>
            <w:rFonts w:ascii="Times New Roman" w:hAnsi="Times New Roman" w:cs="Times New Roman"/>
          </w:rPr>
          <w:fldChar w:fldCharType="begin"/>
        </w:r>
        <w:r w:rsidRPr="00DD0E08">
          <w:rPr>
            <w:rFonts w:ascii="Times New Roman" w:hAnsi="Times New Roman" w:cs="Times New Roman"/>
          </w:rPr>
          <w:instrText xml:space="preserve"> PAGE   \* MERGEFORMAT </w:instrText>
        </w:r>
        <w:r w:rsidRPr="00DD0E08">
          <w:rPr>
            <w:rFonts w:ascii="Times New Roman" w:hAnsi="Times New Roman" w:cs="Times New Roman"/>
          </w:rPr>
          <w:fldChar w:fldCharType="separate"/>
        </w:r>
        <w:r w:rsidR="00D55002" w:rsidRPr="00DD0E08">
          <w:rPr>
            <w:rFonts w:ascii="Times New Roman" w:hAnsi="Times New Roman" w:cs="Times New Roman"/>
            <w:noProof/>
          </w:rPr>
          <w:t>172</w:t>
        </w:r>
        <w:r w:rsidRPr="00DD0E08">
          <w:rPr>
            <w:rFonts w:ascii="Times New Roman" w:hAnsi="Times New Roman" w:cs="Times New Roman"/>
            <w:noProof/>
          </w:rPr>
          <w:fldChar w:fldCharType="end"/>
        </w:r>
      </w:p>
    </w:sdtContent>
  </w:sdt>
  <w:p w14:paraId="32B35C96" w14:textId="77777777" w:rsidR="00603B7B" w:rsidRDefault="00603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C8AFB" w14:textId="77777777" w:rsidR="00D91605" w:rsidRDefault="00D91605" w:rsidP="008461EF">
      <w:pPr>
        <w:spacing w:after="0" w:line="240" w:lineRule="auto"/>
      </w:pPr>
      <w:r>
        <w:separator/>
      </w:r>
    </w:p>
  </w:footnote>
  <w:footnote w:type="continuationSeparator" w:id="0">
    <w:p w14:paraId="30A15B86" w14:textId="77777777" w:rsidR="00D91605" w:rsidRDefault="00D91605" w:rsidP="008461EF">
      <w:pPr>
        <w:spacing w:after="0" w:line="240" w:lineRule="auto"/>
      </w:pPr>
      <w:r>
        <w:continuationSeparator/>
      </w:r>
    </w:p>
  </w:footnote>
  <w:footnote w:type="continuationNotice" w:id="1">
    <w:p w14:paraId="0E110011" w14:textId="77777777" w:rsidR="00D91605" w:rsidRDefault="00D91605">
      <w:pPr>
        <w:spacing w:after="0" w:line="240" w:lineRule="auto"/>
      </w:pPr>
    </w:p>
  </w:footnote>
  <w:footnote w:id="2">
    <w:p w14:paraId="56403B15" w14:textId="77777777" w:rsidR="00603B7B" w:rsidRPr="00517447" w:rsidRDefault="00603B7B" w:rsidP="00DE4C5F">
      <w:pPr>
        <w:pBdr>
          <w:top w:val="nil"/>
          <w:left w:val="nil"/>
          <w:bottom w:val="nil"/>
          <w:right w:val="nil"/>
          <w:between w:val="nil"/>
        </w:pBdr>
        <w:spacing w:after="0" w:line="240" w:lineRule="auto"/>
        <w:rPr>
          <w:rFonts w:ascii="Times New Roman" w:hAnsi="Times New Roman" w:cs="Times New Roman"/>
          <w:color w:val="000000"/>
          <w:sz w:val="20"/>
          <w:szCs w:val="20"/>
        </w:rPr>
      </w:pPr>
      <w:r w:rsidRPr="00517447">
        <w:rPr>
          <w:rStyle w:val="FootnoteReference"/>
          <w:rFonts w:ascii="Times New Roman" w:hAnsi="Times New Roman" w:cs="Times New Roman"/>
          <w:sz w:val="20"/>
          <w:szCs w:val="20"/>
        </w:rPr>
        <w:footnoteRef/>
      </w:r>
      <w:r w:rsidRPr="00517447">
        <w:rPr>
          <w:rFonts w:ascii="Times New Roman" w:hAnsi="Times New Roman" w:cs="Times New Roman"/>
          <w:color w:val="000000"/>
          <w:sz w:val="20"/>
          <w:szCs w:val="20"/>
        </w:rPr>
        <w:t xml:space="preserve"> 1.Alternatīvas aprakstā izmantota informācija no “Atkritumu apsaimniekošanas valsts plāna 2021. – 2028.gadam” https://likumi.lv/ta/id/320476-par-atkritumu-apsaimniekosanas-valsts-planu-20212028-gadam.</w:t>
      </w:r>
    </w:p>
  </w:footnote>
  <w:footnote w:id="3">
    <w:p w14:paraId="79278A57" w14:textId="77777777" w:rsidR="00603B7B" w:rsidRPr="006F4545" w:rsidRDefault="00603B7B" w:rsidP="008F140E">
      <w:pPr>
        <w:pStyle w:val="FootnoteText"/>
        <w:rPr>
          <w:rFonts w:ascii="Times New Roman" w:hAnsi="Times New Roman" w:cs="Times New Roman"/>
        </w:rPr>
      </w:pPr>
      <w:r w:rsidRPr="006F4545">
        <w:rPr>
          <w:rStyle w:val="FootnoteReference"/>
          <w:rFonts w:ascii="Times New Roman" w:hAnsi="Times New Roman" w:cs="Times New Roman"/>
        </w:rPr>
        <w:footnoteRef/>
      </w:r>
      <w:r w:rsidRPr="006F4545">
        <w:rPr>
          <w:rFonts w:ascii="Times New Roman" w:hAnsi="Times New Roman" w:cs="Times New Roman"/>
        </w:rPr>
        <w:t xml:space="preserve"> </w:t>
      </w:r>
      <w:hyperlink r:id="rId1" w:history="1">
        <w:r w:rsidRPr="006F4545">
          <w:rPr>
            <w:rStyle w:val="Hyperlink"/>
            <w:rFonts w:ascii="Times New Roman" w:hAnsi="Times New Roman" w:cs="Times New Roman"/>
          </w:rPr>
          <w:t>https://likumi.lv/ta/id/229378-noteikumi-par-atkritumu-regeneracijas-un-apglabasanas-veidiem</w:t>
        </w:r>
      </w:hyperlink>
      <w:r w:rsidRPr="006F4545">
        <w:rPr>
          <w:rFonts w:ascii="Times New Roman" w:hAnsi="Times New Roman" w:cs="Times New Roman"/>
        </w:rPr>
        <w:t xml:space="preserve"> </w:t>
      </w:r>
    </w:p>
  </w:footnote>
  <w:footnote w:id="4">
    <w:p w14:paraId="7CF31327" w14:textId="77777777" w:rsidR="00603B7B" w:rsidRDefault="00603B7B" w:rsidP="008F140E">
      <w:pPr>
        <w:pStyle w:val="FootnoteText"/>
      </w:pPr>
      <w:r w:rsidRPr="006F4545">
        <w:rPr>
          <w:rStyle w:val="FootnoteReference"/>
          <w:rFonts w:ascii="Times New Roman" w:hAnsi="Times New Roman" w:cs="Times New Roman"/>
        </w:rPr>
        <w:footnoteRef/>
      </w:r>
      <w:r w:rsidRPr="006F4545">
        <w:rPr>
          <w:rFonts w:ascii="Times New Roman" w:hAnsi="Times New Roman" w:cs="Times New Roman"/>
        </w:rPr>
        <w:t xml:space="preserve"> Biedrības “Latvijas Biotehnoloģijas asociācija” (LBA) struktūrvienība CLEANTCH LATVIA “Apsekojums – sadzīves notekūdeņu dūņu kvalitāte Latvijas ūdenssaimniecībās, to apstrādes un izmantošanas plānošanas priekšlikumu izstrāde” (2014.g.)</w:t>
      </w:r>
    </w:p>
  </w:footnote>
  <w:footnote w:id="5">
    <w:p w14:paraId="1432C092" w14:textId="77777777" w:rsidR="00603B7B" w:rsidRPr="006F4545" w:rsidRDefault="00603B7B" w:rsidP="00C3306B">
      <w:pPr>
        <w:pStyle w:val="FootnoteText"/>
        <w:jc w:val="both"/>
        <w:rPr>
          <w:rFonts w:ascii="Times New Roman" w:hAnsi="Times New Roman" w:cs="Times New Roman"/>
        </w:rPr>
      </w:pPr>
      <w:r w:rsidRPr="006F4545">
        <w:rPr>
          <w:rStyle w:val="FootnoteReference"/>
          <w:rFonts w:ascii="Times New Roman" w:hAnsi="Times New Roman" w:cs="Times New Roman"/>
        </w:rPr>
        <w:footnoteRef/>
      </w:r>
      <w:r w:rsidRPr="006F4545">
        <w:rPr>
          <w:rFonts w:ascii="Times New Roman" w:hAnsi="Times New Roman" w:cs="Times New Roman"/>
        </w:rPr>
        <w:t xml:space="preserve"> Latvijas ūdensapgādes un kanalizācijas uzņēmumu asociācija. Projekta NR. LIFE IPE/LV/000014 “LIFE GOODWATER IP”ietvaros.</w:t>
      </w:r>
    </w:p>
  </w:footnote>
  <w:footnote w:id="6">
    <w:p w14:paraId="7A126F30" w14:textId="77777777" w:rsidR="00603B7B" w:rsidRPr="00596AB6" w:rsidRDefault="00603B7B" w:rsidP="00C3306B">
      <w:pPr>
        <w:pStyle w:val="FootnoteText"/>
        <w:jc w:val="both"/>
        <w:rPr>
          <w:rFonts w:ascii="Times New Roman" w:hAnsi="Times New Roman" w:cs="Times New Roman"/>
        </w:rPr>
      </w:pPr>
      <w:r w:rsidRPr="00596AB6">
        <w:rPr>
          <w:rStyle w:val="FootnoteReference"/>
          <w:rFonts w:ascii="Times New Roman" w:hAnsi="Times New Roman" w:cs="Times New Roman"/>
        </w:rPr>
        <w:footnoteRef/>
      </w:r>
      <w:r w:rsidRPr="00596AB6">
        <w:rPr>
          <w:rFonts w:ascii="Times New Roman" w:hAnsi="Times New Roman" w:cs="Times New Roman"/>
        </w:rPr>
        <w:t xml:space="preserve"> J.Eglīts “Atjaunojamās enerģijas ražošana un izmantošana Latvijas lauksaimniecības attīstībai un Eiropas vides mērķu sasniegšanai” 2021.g. https://www.zm.gov.lv/zemkopibas-ministrija/presei/atjaunojamas-energijas-razosana-un-izmantosana-latvijas-lauksaimniecib?id=12085</w:t>
      </w:r>
    </w:p>
  </w:footnote>
  <w:footnote w:id="7">
    <w:p w14:paraId="30406F96" w14:textId="77777777" w:rsidR="00603B7B" w:rsidRDefault="00603B7B" w:rsidP="00C3306B">
      <w:pPr>
        <w:pStyle w:val="FootnoteText"/>
        <w:jc w:val="both"/>
      </w:pPr>
      <w:r w:rsidRPr="00596AB6">
        <w:rPr>
          <w:rStyle w:val="FootnoteReference"/>
          <w:rFonts w:ascii="Times New Roman" w:hAnsi="Times New Roman" w:cs="Times New Roman"/>
        </w:rPr>
        <w:footnoteRef/>
      </w:r>
      <w:r w:rsidRPr="00596AB6">
        <w:rPr>
          <w:rFonts w:ascii="Times New Roman" w:hAnsi="Times New Roman" w:cs="Times New Roman"/>
        </w:rPr>
        <w:t xml:space="preserve"> J.Eglīts “Atjaunojamās enerģijas ražošana un izmantošana Latvijas lauksaimniecības attīstībai un Eiropas vides mērķu sasniegšanai” 2021.g. https://www.zm.gov.lv/zemkopibas-ministrija/presei/atjaunojamas-energijas-razosana-un-izmantosana-latvijas-lauksaimniecib?id=12085</w:t>
      </w:r>
    </w:p>
  </w:footnote>
  <w:footnote w:id="8">
    <w:p w14:paraId="33059DBE" w14:textId="77777777" w:rsidR="00603B7B" w:rsidRPr="00BA7AEF" w:rsidRDefault="00603B7B" w:rsidP="000B7734">
      <w:pPr>
        <w:pStyle w:val="FootnoteText"/>
        <w:rPr>
          <w:rFonts w:ascii="Times New Roman" w:hAnsi="Times New Roman" w:cs="Times New Roman"/>
        </w:rPr>
      </w:pPr>
      <w:r w:rsidRPr="00BA7AEF">
        <w:rPr>
          <w:rStyle w:val="FootnoteReference"/>
          <w:rFonts w:ascii="Times New Roman" w:hAnsi="Times New Roman" w:cs="Times New Roman"/>
        </w:rPr>
        <w:footnoteRef/>
      </w:r>
      <w:r w:rsidRPr="00BA7AEF">
        <w:rPr>
          <w:rFonts w:ascii="Times New Roman" w:hAnsi="Times New Roman" w:cs="Times New Roman"/>
        </w:rPr>
        <w:t xml:space="preserve"> Piemēram, </w:t>
      </w:r>
      <w:hyperlink r:id="rId2" w:history="1">
        <w:r w:rsidRPr="00BA7AEF">
          <w:rPr>
            <w:rStyle w:val="Hyperlink"/>
            <w:rFonts w:ascii="Times New Roman" w:hAnsi="Times New Roman" w:cs="Times New Roman"/>
          </w:rPr>
          <w:t>contic.lv</w:t>
        </w:r>
      </w:hyperlink>
      <w:r w:rsidRPr="00BA7AEF">
        <w:rPr>
          <w:rFonts w:ascii="Times New Roman" w:hAnsi="Times New Roman" w:cs="Times New Roman"/>
        </w:rPr>
        <w:t xml:space="preserve">.  </w:t>
      </w:r>
    </w:p>
  </w:footnote>
  <w:footnote w:id="9">
    <w:p w14:paraId="79814A1A" w14:textId="77777777" w:rsidR="00603B7B" w:rsidRDefault="00603B7B" w:rsidP="000B7734">
      <w:pPr>
        <w:pStyle w:val="FootnoteText"/>
      </w:pPr>
      <w:r w:rsidRPr="00BA7AEF">
        <w:rPr>
          <w:rStyle w:val="FootnoteReference"/>
          <w:rFonts w:ascii="Times New Roman" w:hAnsi="Times New Roman" w:cs="Times New Roman"/>
        </w:rPr>
        <w:footnoteRef/>
      </w:r>
      <w:r w:rsidRPr="00BA7AEF">
        <w:rPr>
          <w:rFonts w:ascii="Times New Roman" w:hAnsi="Times New Roman" w:cs="Times New Roman"/>
        </w:rPr>
        <w:t xml:space="preserve"> Piemēram, </w:t>
      </w:r>
      <w:hyperlink r:id="rId3" w:history="1">
        <w:r w:rsidRPr="00BA7AEF">
          <w:rPr>
            <w:rStyle w:val="Hyperlink"/>
            <w:rFonts w:ascii="Times New Roman" w:hAnsi="Times New Roman" w:cs="Times New Roman"/>
          </w:rPr>
          <w:t>luxverte.lu</w:t>
        </w:r>
      </w:hyperlink>
      <w:r w:rsidRPr="00BA7AEF">
        <w:rPr>
          <w:rFonts w:ascii="Times New Roman" w:hAnsi="Times New Roman" w:cs="Times New Roman"/>
        </w:rPr>
        <w:t xml:space="preserve">; </w:t>
      </w:r>
      <w:hyperlink r:id="rId4" w:history="1">
        <w:r w:rsidRPr="00BA7AEF">
          <w:rPr>
            <w:rStyle w:val="Hyperlink"/>
            <w:rFonts w:ascii="Times New Roman" w:hAnsi="Times New Roman" w:cs="Times New Roman"/>
          </w:rPr>
          <w:t>innowaste.eu</w:t>
        </w:r>
      </w:hyperlink>
      <w:r w:rsidRPr="00BA7AEF">
        <w:rPr>
          <w:rFonts w:ascii="Times New Roman" w:hAnsi="Times New Roman" w:cs="Times New Roman"/>
        </w:rPr>
        <w:t xml:space="preserve">; </w:t>
      </w:r>
      <w:hyperlink r:id="rId5" w:history="1">
        <w:r w:rsidRPr="00BA7AEF">
          <w:rPr>
            <w:rStyle w:val="Hyperlink"/>
            <w:rFonts w:ascii="Times New Roman" w:hAnsi="Times New Roman" w:cs="Times New Roman"/>
          </w:rPr>
          <w:t>terranova-energy.com</w:t>
        </w:r>
      </w:hyperlink>
    </w:p>
  </w:footnote>
  <w:footnote w:id="10">
    <w:p w14:paraId="7004BD9B" w14:textId="77777777" w:rsidR="00603B7B" w:rsidRPr="00BE5D9E" w:rsidRDefault="00603B7B" w:rsidP="000B7734">
      <w:pPr>
        <w:pStyle w:val="FootnoteText"/>
        <w:rPr>
          <w:rFonts w:ascii="Times New Roman" w:hAnsi="Times New Roman" w:cs="Times New Roman"/>
        </w:rPr>
      </w:pPr>
      <w:r w:rsidRPr="00BE5D9E">
        <w:rPr>
          <w:rStyle w:val="FootnoteReference"/>
          <w:rFonts w:ascii="Times New Roman" w:hAnsi="Times New Roman" w:cs="Times New Roman"/>
        </w:rPr>
        <w:footnoteRef/>
      </w:r>
      <w:r w:rsidRPr="00BE5D9E">
        <w:rPr>
          <w:rFonts w:ascii="Times New Roman" w:hAnsi="Times New Roman" w:cs="Times New Roman"/>
        </w:rPr>
        <w:t xml:space="preserve"> https://sdgs.un.org/2030agenda</w:t>
      </w:r>
    </w:p>
  </w:footnote>
  <w:footnote w:id="11">
    <w:p w14:paraId="00EACE63" w14:textId="77777777" w:rsidR="00603B7B" w:rsidRDefault="00603B7B" w:rsidP="000B7734">
      <w:pPr>
        <w:pStyle w:val="FootnoteText"/>
      </w:pPr>
      <w:r w:rsidRPr="00BE5D9E">
        <w:rPr>
          <w:rStyle w:val="FootnoteReference"/>
          <w:rFonts w:ascii="Times New Roman" w:hAnsi="Times New Roman" w:cs="Times New Roman"/>
        </w:rPr>
        <w:footnoteRef/>
      </w:r>
      <w:r w:rsidRPr="00BE5D9E">
        <w:rPr>
          <w:rFonts w:ascii="Times New Roman" w:hAnsi="Times New Roman" w:cs="Times New Roman"/>
        </w:rPr>
        <w:t xml:space="preserve">  </w:t>
      </w:r>
      <w:hyperlink r:id="rId6" w:history="1">
        <w:r w:rsidRPr="00BE5D9E">
          <w:rPr>
            <w:rStyle w:val="Hyperlink"/>
            <w:rFonts w:ascii="Times New Roman" w:hAnsi="Times New Roman" w:cs="Times New Roman"/>
          </w:rPr>
          <w:t>https://op.europa.eu/en/publication-detail/-/publication/b828d165-1c22-11ea-8c1f-01aa75ed71a1/language-lv</w:t>
        </w:r>
      </w:hyperlink>
      <w:r>
        <w:t xml:space="preserve"> </w:t>
      </w:r>
    </w:p>
  </w:footnote>
  <w:footnote w:id="12">
    <w:p w14:paraId="4AFC4ECE" w14:textId="77777777" w:rsidR="00603B7B" w:rsidRDefault="00603B7B" w:rsidP="000B7734">
      <w:pPr>
        <w:pStyle w:val="FootnoteText"/>
      </w:pPr>
      <w:r>
        <w:rPr>
          <w:rStyle w:val="FootnoteReference"/>
        </w:rPr>
        <w:footnoteRef/>
      </w:r>
      <w:r>
        <w:t xml:space="preserve"> </w:t>
      </w:r>
      <w:r w:rsidRPr="00F568F8">
        <w:t>https://eur-lex.europa.eu/legal-content/LV/TXT/?uri=CELEX:52015DC0614</w:t>
      </w:r>
    </w:p>
  </w:footnote>
  <w:footnote w:id="13">
    <w:p w14:paraId="4C68206F" w14:textId="77777777" w:rsidR="00603B7B" w:rsidRDefault="00603B7B" w:rsidP="000B7734">
      <w:pPr>
        <w:pStyle w:val="FootnoteText"/>
      </w:pPr>
      <w:r>
        <w:rPr>
          <w:rStyle w:val="FootnoteReference"/>
        </w:rPr>
        <w:footnoteRef/>
      </w:r>
      <w:r>
        <w:t xml:space="preserve"> </w:t>
      </w:r>
      <w:r w:rsidRPr="00806C88">
        <w:t>https://eur-lex.europa.eu/legal-content/LV/TXT/?uri=CELEX%3A52020DC0098</w:t>
      </w:r>
    </w:p>
  </w:footnote>
  <w:footnote w:id="14">
    <w:p w14:paraId="51B12155" w14:textId="77777777" w:rsidR="00603B7B" w:rsidRPr="000C2FEA" w:rsidRDefault="00603B7B" w:rsidP="00CB4E7C">
      <w:pPr>
        <w:pStyle w:val="FootnoteText"/>
        <w:rPr>
          <w:rFonts w:ascii="Times New Roman" w:hAnsi="Times New Roman" w:cs="Times New Roman"/>
        </w:rPr>
      </w:pPr>
      <w:r w:rsidRPr="000C2FEA">
        <w:rPr>
          <w:rStyle w:val="FootnoteReference"/>
          <w:rFonts w:ascii="Times New Roman" w:hAnsi="Times New Roman" w:cs="Times New Roman"/>
        </w:rPr>
        <w:footnoteRef/>
      </w:r>
      <w:r w:rsidRPr="000C2FEA">
        <w:rPr>
          <w:rFonts w:ascii="Times New Roman" w:hAnsi="Times New Roman" w:cs="Times New Roman"/>
        </w:rPr>
        <w:t xml:space="preserve"> https://www.water.ie/</w:t>
      </w:r>
    </w:p>
  </w:footnote>
  <w:footnote w:id="15">
    <w:p w14:paraId="1358A002" w14:textId="77777777" w:rsidR="00603B7B" w:rsidRPr="00C73E30" w:rsidRDefault="00603B7B" w:rsidP="006E0EDB">
      <w:pPr>
        <w:pStyle w:val="FootnoteText"/>
        <w:rPr>
          <w:rFonts w:ascii="Times New Roman" w:hAnsi="Times New Roman" w:cs="Times New Roman"/>
          <w:color w:val="0000FF"/>
          <w:u w:val="single"/>
        </w:rPr>
      </w:pPr>
      <w:r w:rsidRPr="00C73E30">
        <w:rPr>
          <w:rStyle w:val="FootnoteReference"/>
          <w:rFonts w:ascii="Times New Roman" w:hAnsi="Times New Roman" w:cs="Times New Roman"/>
        </w:rPr>
        <w:footnoteRef/>
      </w:r>
      <w:r w:rsidRPr="00C73E30">
        <w:rPr>
          <w:rFonts w:ascii="Times New Roman" w:hAnsi="Times New Roman" w:cs="Times New Roman"/>
        </w:rPr>
        <w:t xml:space="preserve"> </w:t>
      </w:r>
      <w:hyperlink r:id="rId7" w:history="1">
        <w:r w:rsidRPr="00C73E30">
          <w:rPr>
            <w:rStyle w:val="Hyperlink"/>
            <w:rFonts w:ascii="Times New Roman" w:hAnsi="Times New Roman" w:cs="Times New Roman"/>
          </w:rPr>
          <w:t>https://op.europa.eu/en/publication-detail/-/publication/b828d165-1c22-11ea-8c1f-01aa75ed71a1/language-lv</w:t>
        </w:r>
      </w:hyperlink>
    </w:p>
  </w:footnote>
  <w:footnote w:id="16">
    <w:p w14:paraId="49FF364E" w14:textId="77777777" w:rsidR="00603B7B" w:rsidRPr="00F67DCB" w:rsidRDefault="00603B7B" w:rsidP="006E0EDB">
      <w:pPr>
        <w:pStyle w:val="FootnoteText"/>
      </w:pPr>
      <w:r w:rsidRPr="00C73E30">
        <w:rPr>
          <w:rStyle w:val="FootnoteReference"/>
          <w:rFonts w:ascii="Times New Roman" w:hAnsi="Times New Roman" w:cs="Times New Roman"/>
        </w:rPr>
        <w:footnoteRef/>
      </w:r>
      <w:r w:rsidRPr="00C73E30">
        <w:rPr>
          <w:rFonts w:ascii="Times New Roman" w:hAnsi="Times New Roman" w:cs="Times New Roman"/>
        </w:rPr>
        <w:t xml:space="preserve"> </w:t>
      </w:r>
      <w:hyperlink r:id="rId8" w:history="1">
        <w:r w:rsidRPr="00C73E30">
          <w:rPr>
            <w:rStyle w:val="Hyperlink"/>
            <w:rFonts w:ascii="Times New Roman" w:hAnsi="Times New Roman" w:cs="Times New Roman"/>
          </w:rPr>
          <w:t>https://eur-lex.europa.eu/legal-content/LV/TXT/?uri=CELEX:52015DC0614</w:t>
        </w:r>
      </w:hyperlink>
      <w:r>
        <w:t xml:space="preserve"> </w:t>
      </w:r>
    </w:p>
  </w:footnote>
  <w:footnote w:id="17">
    <w:p w14:paraId="5ED33669" w14:textId="77777777" w:rsidR="00603B7B" w:rsidRPr="00C73E30" w:rsidRDefault="00603B7B" w:rsidP="006E0EDB">
      <w:pPr>
        <w:pStyle w:val="FootnoteText"/>
        <w:rPr>
          <w:rFonts w:ascii="Times New Roman" w:hAnsi="Times New Roman" w:cs="Times New Roman"/>
        </w:rPr>
      </w:pPr>
      <w:r w:rsidRPr="00C73E30">
        <w:rPr>
          <w:rStyle w:val="FootnoteReference"/>
          <w:rFonts w:ascii="Times New Roman" w:hAnsi="Times New Roman" w:cs="Times New Roman"/>
        </w:rPr>
        <w:footnoteRef/>
      </w:r>
      <w:r w:rsidRPr="00C73E30">
        <w:rPr>
          <w:rFonts w:ascii="Times New Roman" w:hAnsi="Times New Roman" w:cs="Times New Roman"/>
        </w:rPr>
        <w:t xml:space="preserve"> </w:t>
      </w:r>
      <w:hyperlink r:id="rId9" w:history="1">
        <w:r w:rsidRPr="00C73E30">
          <w:rPr>
            <w:rStyle w:val="Hyperlink"/>
            <w:rFonts w:ascii="Times New Roman" w:hAnsi="Times New Roman" w:cs="Times New Roman"/>
          </w:rPr>
          <w:t>https://likumi.lv/ta/id/281230-noteikumi-par-sabiedrisko-udenssaimniecibas-pakalpojumu-sniegsanu-un-lietosanu</w:t>
        </w:r>
      </w:hyperlink>
      <w:r w:rsidRPr="00C73E30">
        <w:rPr>
          <w:rFonts w:ascii="Times New Roman" w:hAnsi="Times New Roman" w:cs="Times New Roman"/>
        </w:rPr>
        <w:t xml:space="preserve"> </w:t>
      </w:r>
    </w:p>
  </w:footnote>
  <w:footnote w:id="18">
    <w:p w14:paraId="67DB3F72" w14:textId="77777777" w:rsidR="00603B7B" w:rsidRPr="00C73E30" w:rsidRDefault="00603B7B" w:rsidP="006E0EDB">
      <w:pPr>
        <w:pStyle w:val="FootnoteText"/>
        <w:rPr>
          <w:rFonts w:ascii="Times New Roman" w:hAnsi="Times New Roman" w:cs="Times New Roman"/>
        </w:rPr>
      </w:pPr>
      <w:r w:rsidRPr="00C73E30">
        <w:rPr>
          <w:rStyle w:val="FootnoteReference"/>
          <w:rFonts w:ascii="Times New Roman" w:hAnsi="Times New Roman" w:cs="Times New Roman"/>
        </w:rPr>
        <w:footnoteRef/>
      </w:r>
      <w:r w:rsidRPr="00C73E30">
        <w:rPr>
          <w:rFonts w:ascii="Times New Roman" w:hAnsi="Times New Roman" w:cs="Times New Roman"/>
        </w:rPr>
        <w:t xml:space="preserve"> </w:t>
      </w:r>
      <w:hyperlink r:id="rId10" w:history="1">
        <w:r w:rsidRPr="00C73E30">
          <w:rPr>
            <w:rStyle w:val="Hyperlink"/>
            <w:rFonts w:ascii="Times New Roman" w:hAnsi="Times New Roman" w:cs="Times New Roman"/>
          </w:rPr>
          <w:t>https://likumi.lv/ta/id/199830-noteikumi-par-regulejamiem-sabiedrisko-pakalpojumu-veidiem</w:t>
        </w:r>
      </w:hyperlink>
      <w:r w:rsidRPr="00C73E30">
        <w:rPr>
          <w:rFonts w:ascii="Times New Roman" w:hAnsi="Times New Roman" w:cs="Times New Roman"/>
        </w:rPr>
        <w:t xml:space="preserve"> </w:t>
      </w:r>
    </w:p>
  </w:footnote>
  <w:footnote w:id="19">
    <w:p w14:paraId="611DE86E" w14:textId="77777777" w:rsidR="00603B7B" w:rsidRPr="00815246" w:rsidRDefault="00603B7B" w:rsidP="006E0EDB">
      <w:pPr>
        <w:pStyle w:val="FootnoteText"/>
      </w:pPr>
      <w:r w:rsidRPr="00C73E30">
        <w:rPr>
          <w:rStyle w:val="FootnoteReference"/>
          <w:rFonts w:ascii="Times New Roman" w:hAnsi="Times New Roman" w:cs="Times New Roman"/>
        </w:rPr>
        <w:footnoteRef/>
      </w:r>
      <w:r w:rsidRPr="00C73E30">
        <w:rPr>
          <w:rFonts w:ascii="Times New Roman" w:hAnsi="Times New Roman" w:cs="Times New Roman"/>
        </w:rPr>
        <w:t xml:space="preserve"> </w:t>
      </w:r>
      <w:hyperlink r:id="rId11" w:history="1">
        <w:r w:rsidRPr="00C73E30">
          <w:rPr>
            <w:rStyle w:val="Hyperlink"/>
            <w:rFonts w:ascii="Times New Roman" w:hAnsi="Times New Roman" w:cs="Times New Roman"/>
          </w:rPr>
          <w:t>https://likumi.lv/ta/id/279283-udenssaimniecibas-pakalpojumu-tarifu-aprekinasanas-metodika</w:t>
        </w:r>
      </w:hyperlink>
      <w:r>
        <w:t xml:space="preserve"> </w:t>
      </w:r>
    </w:p>
  </w:footnote>
  <w:footnote w:id="20">
    <w:p w14:paraId="536AB301" w14:textId="77777777" w:rsidR="00603B7B" w:rsidRPr="008060AC" w:rsidRDefault="00603B7B" w:rsidP="00EA051D">
      <w:pPr>
        <w:pBdr>
          <w:top w:val="nil"/>
          <w:left w:val="nil"/>
          <w:bottom w:val="nil"/>
          <w:right w:val="nil"/>
          <w:between w:val="nil"/>
        </w:pBdr>
        <w:spacing w:after="0" w:line="240" w:lineRule="auto"/>
        <w:rPr>
          <w:rFonts w:ascii="Times New Roman" w:hAnsi="Times New Roman" w:cs="Times New Roman"/>
          <w:color w:val="000000"/>
          <w:sz w:val="20"/>
          <w:szCs w:val="20"/>
        </w:rPr>
      </w:pPr>
      <w:r w:rsidRPr="008060AC">
        <w:rPr>
          <w:rStyle w:val="FootnoteReference"/>
          <w:rFonts w:ascii="Times New Roman" w:hAnsi="Times New Roman" w:cs="Times New Roman"/>
          <w:sz w:val="20"/>
          <w:szCs w:val="20"/>
        </w:rPr>
        <w:footnoteRef/>
      </w:r>
      <w:r w:rsidRPr="008060AC">
        <w:rPr>
          <w:rFonts w:ascii="Times New Roman" w:hAnsi="Times New Roman" w:cs="Times New Roman"/>
          <w:color w:val="000000"/>
          <w:sz w:val="20"/>
          <w:szCs w:val="20"/>
        </w:rPr>
        <w:t xml:space="preserve"> 1.Alternatīvas aprakstā izmantota informācija no “Atkritumu apsaimniekošanas valsts plāna 2021. – 2028.gadam” https://likumi.lv/ta/id/320476-par-atkritumu-apsaimniekosanas-valsts-planu-20212028-gadam.</w:t>
      </w:r>
    </w:p>
  </w:footnote>
  <w:footnote w:id="21">
    <w:p w14:paraId="3F620E8C" w14:textId="77777777" w:rsidR="00603B7B" w:rsidRDefault="00603B7B" w:rsidP="00EA051D">
      <w:pPr>
        <w:pStyle w:val="FootnoteText"/>
      </w:pPr>
      <w:r w:rsidRPr="008060AC">
        <w:rPr>
          <w:rStyle w:val="FootnoteReference"/>
          <w:rFonts w:ascii="Times New Roman" w:hAnsi="Times New Roman" w:cs="Times New Roman"/>
        </w:rPr>
        <w:footnoteRef/>
      </w:r>
      <w:r w:rsidRPr="008060AC">
        <w:rPr>
          <w:rFonts w:ascii="Times New Roman" w:hAnsi="Times New Roman" w:cs="Times New Roman"/>
        </w:rPr>
        <w:t xml:space="preserve"> </w:t>
      </w:r>
      <w:hyperlink r:id="rId12" w:history="1">
        <w:r w:rsidRPr="008060AC">
          <w:rPr>
            <w:rStyle w:val="Hyperlink"/>
            <w:rFonts w:ascii="Times New Roman" w:hAnsi="Times New Roman" w:cs="Times New Roman"/>
          </w:rPr>
          <w:t>https://likumi.lv/ta/id/229378-noteikumi-par-atkritumu-regeneracijas-un-apglabasanas-veidiem</w:t>
        </w:r>
      </w:hyperlink>
      <w:r>
        <w:t xml:space="preserve"> </w:t>
      </w:r>
    </w:p>
  </w:footnote>
  <w:footnote w:id="22">
    <w:p w14:paraId="2FD4DAE4" w14:textId="77777777" w:rsidR="00603B7B" w:rsidRPr="008060AC" w:rsidRDefault="00603B7B" w:rsidP="00EA051D">
      <w:pPr>
        <w:pStyle w:val="FootnoteText"/>
        <w:rPr>
          <w:rFonts w:ascii="Times New Roman" w:hAnsi="Times New Roman" w:cs="Times New Roman"/>
        </w:rPr>
      </w:pPr>
      <w:r w:rsidRPr="008060AC">
        <w:rPr>
          <w:rStyle w:val="FootnoteReference"/>
          <w:rFonts w:ascii="Times New Roman" w:hAnsi="Times New Roman" w:cs="Times New Roman"/>
        </w:rPr>
        <w:footnoteRef/>
      </w:r>
      <w:r w:rsidRPr="008060AC">
        <w:rPr>
          <w:rFonts w:ascii="Times New Roman" w:hAnsi="Times New Roman" w:cs="Times New Roman"/>
        </w:rPr>
        <w:t xml:space="preserve"> Biedrības “Latvijas Biotehnoloģijas asociācija” (LBA) struktūrvienība CLEANTCH LATVIA “Apsekojums – sadzīves notekūdeņu dūņu kvalitāte Latvijas ūdenssaimniecībās, to apstrādes un izmantošanas plānošanas priekšlikumu izstrāde” (2014.g.)</w:t>
      </w:r>
    </w:p>
  </w:footnote>
  <w:footnote w:id="23">
    <w:p w14:paraId="13DE21FD" w14:textId="77777777" w:rsidR="00603B7B" w:rsidRPr="008060AC" w:rsidRDefault="00603B7B" w:rsidP="00EA051D">
      <w:pPr>
        <w:pStyle w:val="FootnoteText"/>
        <w:rPr>
          <w:rFonts w:ascii="Times New Roman" w:hAnsi="Times New Roman" w:cs="Times New Roman"/>
        </w:rPr>
      </w:pPr>
      <w:r w:rsidRPr="008060AC">
        <w:rPr>
          <w:rStyle w:val="FootnoteReference"/>
          <w:rFonts w:ascii="Times New Roman" w:hAnsi="Times New Roman" w:cs="Times New Roman"/>
        </w:rPr>
        <w:footnoteRef/>
      </w:r>
      <w:r w:rsidRPr="008060AC">
        <w:rPr>
          <w:rFonts w:ascii="Times New Roman" w:hAnsi="Times New Roman" w:cs="Times New Roman"/>
        </w:rPr>
        <w:t xml:space="preserve"> https://likumi.lv/ta/id/287396-noteikumi-par-atkritumu-savaksanas-un-skirosanas-vietam</w:t>
      </w:r>
    </w:p>
  </w:footnote>
  <w:footnote w:id="24">
    <w:p w14:paraId="4BCAB37D" w14:textId="77777777" w:rsidR="00603B7B" w:rsidRPr="008060AC" w:rsidRDefault="00603B7B" w:rsidP="00EA051D">
      <w:pPr>
        <w:pStyle w:val="FootnoteText"/>
        <w:rPr>
          <w:rFonts w:ascii="Times New Roman" w:hAnsi="Times New Roman" w:cs="Times New Roman"/>
        </w:rPr>
      </w:pPr>
      <w:r w:rsidRPr="008060AC">
        <w:rPr>
          <w:rStyle w:val="FootnoteReference"/>
          <w:rFonts w:ascii="Times New Roman" w:hAnsi="Times New Roman" w:cs="Times New Roman"/>
        </w:rPr>
        <w:footnoteRef/>
      </w:r>
      <w:r w:rsidRPr="008060AC">
        <w:rPr>
          <w:rFonts w:ascii="Times New Roman" w:hAnsi="Times New Roman" w:cs="Times New Roman"/>
        </w:rPr>
        <w:t xml:space="preserve">https://likumi.lv/ta/id/320476-par-atkritumu-apsaimniekosanas-valsts-planu-20212028-gadam </w:t>
      </w:r>
    </w:p>
  </w:footnote>
  <w:footnote w:id="25">
    <w:p w14:paraId="3A548E50" w14:textId="195A0832" w:rsidR="00603B7B" w:rsidRPr="008060AC" w:rsidRDefault="00603B7B" w:rsidP="00EA051D">
      <w:pPr>
        <w:pStyle w:val="FootnoteText"/>
        <w:rPr>
          <w:rFonts w:ascii="Times New Roman" w:hAnsi="Times New Roman" w:cs="Times New Roman"/>
        </w:rPr>
      </w:pPr>
      <w:r w:rsidRPr="008060AC">
        <w:rPr>
          <w:rStyle w:val="FootnoteReference"/>
          <w:rFonts w:ascii="Times New Roman" w:hAnsi="Times New Roman" w:cs="Times New Roman"/>
        </w:rPr>
        <w:footnoteRef/>
      </w:r>
      <w:r w:rsidRPr="008060AC">
        <w:rPr>
          <w:rFonts w:ascii="Times New Roman" w:hAnsi="Times New Roman" w:cs="Times New Roman"/>
        </w:rPr>
        <w:t xml:space="preserve"> Latvijas ūdensapgādes un kanalizācijas uzņēmumu asociācija. Projekta NR. LIFE IPE/LV/000014 “LIFE GOODWATER IP”</w:t>
      </w:r>
      <w:r w:rsidR="0029365F">
        <w:rPr>
          <w:rFonts w:ascii="Times New Roman" w:hAnsi="Times New Roman" w:cs="Times New Roman"/>
        </w:rPr>
        <w:t xml:space="preserve"> </w:t>
      </w:r>
      <w:r w:rsidRPr="008060AC">
        <w:rPr>
          <w:rFonts w:ascii="Times New Roman" w:hAnsi="Times New Roman" w:cs="Times New Roman"/>
        </w:rPr>
        <w:t>ietvaros.</w:t>
      </w:r>
    </w:p>
  </w:footnote>
  <w:footnote w:id="26">
    <w:p w14:paraId="58E46CFA" w14:textId="77777777" w:rsidR="00603B7B" w:rsidRPr="008060AC" w:rsidRDefault="00603B7B" w:rsidP="00EA051D">
      <w:pPr>
        <w:pStyle w:val="FootnoteText"/>
        <w:jc w:val="both"/>
        <w:rPr>
          <w:rFonts w:ascii="Times New Roman" w:hAnsi="Times New Roman" w:cs="Times New Roman"/>
        </w:rPr>
      </w:pPr>
      <w:r w:rsidRPr="008060AC">
        <w:rPr>
          <w:rStyle w:val="FootnoteReference"/>
          <w:rFonts w:ascii="Times New Roman" w:hAnsi="Times New Roman" w:cs="Times New Roman"/>
        </w:rPr>
        <w:footnoteRef/>
      </w:r>
      <w:r w:rsidRPr="008060AC">
        <w:rPr>
          <w:rFonts w:ascii="Times New Roman" w:hAnsi="Times New Roman" w:cs="Times New Roman"/>
        </w:rPr>
        <w:t xml:space="preserve"> J.Eglīts “Atjaunojamās enerģijas ražošana un izmantošana Latvijas lauksaimniecības attīstībai un Eiropas vides mērķu sasniegšanai” 2021.g. https://www.zm.gov.lv/zemkopibas-ministrija/presei/atjaunojamas-energijas-razosana-un-izmantosana-latvijas-lauksaimniecib?id=12085</w:t>
      </w:r>
    </w:p>
  </w:footnote>
  <w:footnote w:id="27">
    <w:p w14:paraId="4E358B76" w14:textId="77777777" w:rsidR="00603B7B" w:rsidRDefault="00603B7B" w:rsidP="00EA051D">
      <w:pPr>
        <w:pStyle w:val="FootnoteText"/>
        <w:jc w:val="both"/>
      </w:pPr>
      <w:r w:rsidRPr="008060AC">
        <w:rPr>
          <w:rStyle w:val="FootnoteReference"/>
          <w:rFonts w:ascii="Times New Roman" w:hAnsi="Times New Roman" w:cs="Times New Roman"/>
        </w:rPr>
        <w:footnoteRef/>
      </w:r>
      <w:r w:rsidRPr="008060AC">
        <w:rPr>
          <w:rFonts w:ascii="Times New Roman" w:hAnsi="Times New Roman" w:cs="Times New Roman"/>
        </w:rPr>
        <w:t xml:space="preserve"> J.Eglīts “Atjaunojamās enerģijas ražošana un izmantošana Latvijas lauksaimniecības attīstībai un Eiropas vides mērķu sasniegšanai” 2021.g. https://www.zm.gov.lv/zemkopibas-ministrija/presei/atjaunojamas-energijas-razosana-un-izmantosana-latvijas-lauksaimniecib?id=12085</w:t>
      </w:r>
    </w:p>
  </w:footnote>
  <w:footnote w:id="28">
    <w:p w14:paraId="77340322" w14:textId="77777777" w:rsidR="00603B7B" w:rsidRPr="00B72FB0" w:rsidRDefault="00603B7B" w:rsidP="00EA051D">
      <w:pPr>
        <w:pStyle w:val="FootnoteText"/>
        <w:rPr>
          <w:rFonts w:ascii="Times New Roman" w:hAnsi="Times New Roman" w:cs="Times New Roman"/>
        </w:rPr>
      </w:pPr>
      <w:r w:rsidRPr="00B72FB0">
        <w:rPr>
          <w:rStyle w:val="FootnoteReference"/>
          <w:rFonts w:ascii="Times New Roman" w:hAnsi="Times New Roman" w:cs="Times New Roman"/>
        </w:rPr>
        <w:footnoteRef/>
      </w:r>
      <w:r w:rsidRPr="00B72FB0">
        <w:rPr>
          <w:rFonts w:ascii="Times New Roman" w:hAnsi="Times New Roman" w:cs="Times New Roman"/>
        </w:rPr>
        <w:t xml:space="preserve"> Piemēram, </w:t>
      </w:r>
      <w:hyperlink r:id="rId13" w:history="1">
        <w:r w:rsidRPr="00B72FB0">
          <w:rPr>
            <w:rStyle w:val="Hyperlink"/>
            <w:rFonts w:ascii="Times New Roman" w:hAnsi="Times New Roman" w:cs="Times New Roman"/>
          </w:rPr>
          <w:t>contic.lv</w:t>
        </w:r>
      </w:hyperlink>
      <w:r w:rsidRPr="00B72FB0">
        <w:rPr>
          <w:rFonts w:ascii="Times New Roman" w:hAnsi="Times New Roman" w:cs="Times New Roman"/>
        </w:rPr>
        <w:t xml:space="preserve">.  </w:t>
      </w:r>
    </w:p>
  </w:footnote>
  <w:footnote w:id="29">
    <w:p w14:paraId="21692451" w14:textId="77777777" w:rsidR="00603B7B" w:rsidRDefault="00603B7B" w:rsidP="00EA051D">
      <w:pPr>
        <w:pStyle w:val="FootnoteText"/>
      </w:pPr>
      <w:r w:rsidRPr="00B72FB0">
        <w:rPr>
          <w:rStyle w:val="FootnoteReference"/>
          <w:rFonts w:ascii="Times New Roman" w:hAnsi="Times New Roman" w:cs="Times New Roman"/>
        </w:rPr>
        <w:footnoteRef/>
      </w:r>
      <w:r w:rsidRPr="00B72FB0">
        <w:rPr>
          <w:rFonts w:ascii="Times New Roman" w:hAnsi="Times New Roman" w:cs="Times New Roman"/>
        </w:rPr>
        <w:t xml:space="preserve"> Piemēram, </w:t>
      </w:r>
      <w:hyperlink r:id="rId14" w:history="1">
        <w:r w:rsidRPr="00B72FB0">
          <w:rPr>
            <w:rStyle w:val="Hyperlink"/>
            <w:rFonts w:ascii="Times New Roman" w:hAnsi="Times New Roman" w:cs="Times New Roman"/>
          </w:rPr>
          <w:t>luxverte.lu</w:t>
        </w:r>
      </w:hyperlink>
      <w:r w:rsidRPr="00B72FB0">
        <w:rPr>
          <w:rFonts w:ascii="Times New Roman" w:hAnsi="Times New Roman" w:cs="Times New Roman"/>
        </w:rPr>
        <w:t xml:space="preserve">; </w:t>
      </w:r>
      <w:hyperlink r:id="rId15" w:history="1">
        <w:r w:rsidRPr="00B72FB0">
          <w:rPr>
            <w:rStyle w:val="Hyperlink"/>
            <w:rFonts w:ascii="Times New Roman" w:hAnsi="Times New Roman" w:cs="Times New Roman"/>
          </w:rPr>
          <w:t>innowaste.eu</w:t>
        </w:r>
      </w:hyperlink>
      <w:r w:rsidRPr="00B72FB0">
        <w:rPr>
          <w:rFonts w:ascii="Times New Roman" w:hAnsi="Times New Roman" w:cs="Times New Roman"/>
        </w:rPr>
        <w:t xml:space="preserve">; </w:t>
      </w:r>
      <w:hyperlink r:id="rId16" w:history="1">
        <w:r w:rsidRPr="00B72FB0">
          <w:rPr>
            <w:rStyle w:val="Hyperlink"/>
            <w:rFonts w:ascii="Times New Roman" w:hAnsi="Times New Roman" w:cs="Times New Roman"/>
          </w:rPr>
          <w:t>terranova-energy.com</w:t>
        </w:r>
      </w:hyperlink>
    </w:p>
  </w:footnote>
  <w:footnote w:id="30">
    <w:p w14:paraId="59A2FFBB" w14:textId="77777777" w:rsidR="00603B7B" w:rsidRPr="00AB1F5A" w:rsidRDefault="00603B7B" w:rsidP="00EA051D">
      <w:pPr>
        <w:pStyle w:val="FootnoteText"/>
        <w:rPr>
          <w:rFonts w:ascii="Times New Roman" w:hAnsi="Times New Roman" w:cs="Times New Roman"/>
        </w:rPr>
      </w:pPr>
      <w:r w:rsidRPr="00AB1F5A">
        <w:rPr>
          <w:rStyle w:val="FootnoteReference"/>
          <w:rFonts w:ascii="Times New Roman" w:hAnsi="Times New Roman" w:cs="Times New Roman"/>
        </w:rPr>
        <w:footnoteRef/>
      </w:r>
      <w:r w:rsidRPr="00AB1F5A">
        <w:rPr>
          <w:rFonts w:ascii="Times New Roman" w:hAnsi="Times New Roman" w:cs="Times New Roman"/>
        </w:rPr>
        <w:t xml:space="preserve"> https://sdgs.un.org/2030agenda</w:t>
      </w:r>
    </w:p>
  </w:footnote>
  <w:footnote w:id="31">
    <w:p w14:paraId="5D398DA3" w14:textId="77777777" w:rsidR="00603B7B" w:rsidRPr="00AB1F5A" w:rsidRDefault="00603B7B" w:rsidP="00EA051D">
      <w:pPr>
        <w:pStyle w:val="FootnoteText"/>
        <w:rPr>
          <w:rFonts w:ascii="Times New Roman" w:hAnsi="Times New Roman" w:cs="Times New Roman"/>
        </w:rPr>
      </w:pPr>
      <w:r w:rsidRPr="00AB1F5A">
        <w:rPr>
          <w:rStyle w:val="FootnoteReference"/>
          <w:rFonts w:ascii="Times New Roman" w:hAnsi="Times New Roman" w:cs="Times New Roman"/>
        </w:rPr>
        <w:footnoteRef/>
      </w:r>
      <w:r w:rsidRPr="00AB1F5A">
        <w:rPr>
          <w:rFonts w:ascii="Times New Roman" w:hAnsi="Times New Roman" w:cs="Times New Roman"/>
        </w:rPr>
        <w:t xml:space="preserve">  </w:t>
      </w:r>
      <w:hyperlink r:id="rId17" w:history="1">
        <w:r w:rsidRPr="00AB1F5A">
          <w:rPr>
            <w:rStyle w:val="Hyperlink"/>
            <w:rFonts w:ascii="Times New Roman" w:hAnsi="Times New Roman" w:cs="Times New Roman"/>
          </w:rPr>
          <w:t>https://op.europa.eu/en/publication-detail/-/publication/b828d165-1c22-11ea-8c1f-01aa75ed71a1/language-lv</w:t>
        </w:r>
      </w:hyperlink>
      <w:r w:rsidRPr="00AB1F5A">
        <w:rPr>
          <w:rFonts w:ascii="Times New Roman" w:hAnsi="Times New Roman" w:cs="Times New Roman"/>
        </w:rPr>
        <w:t xml:space="preserve"> </w:t>
      </w:r>
    </w:p>
  </w:footnote>
  <w:footnote w:id="32">
    <w:p w14:paraId="03FB84DA" w14:textId="77777777" w:rsidR="00603B7B" w:rsidRPr="00AB1F5A" w:rsidRDefault="00603B7B" w:rsidP="00EA051D">
      <w:pPr>
        <w:pStyle w:val="FootnoteText"/>
        <w:rPr>
          <w:rFonts w:ascii="Times New Roman" w:hAnsi="Times New Roman" w:cs="Times New Roman"/>
        </w:rPr>
      </w:pPr>
      <w:r w:rsidRPr="00AB1F5A">
        <w:rPr>
          <w:rStyle w:val="FootnoteReference"/>
          <w:rFonts w:ascii="Times New Roman" w:hAnsi="Times New Roman" w:cs="Times New Roman"/>
        </w:rPr>
        <w:footnoteRef/>
      </w:r>
      <w:r w:rsidRPr="00AB1F5A">
        <w:rPr>
          <w:rFonts w:ascii="Times New Roman" w:hAnsi="Times New Roman" w:cs="Times New Roman"/>
        </w:rPr>
        <w:t xml:space="preserve"> https://eur-lex.europa.eu/legal-content/LV/TXT/?uri=CELEX:52015DC0614</w:t>
      </w:r>
    </w:p>
  </w:footnote>
  <w:footnote w:id="33">
    <w:p w14:paraId="6324627B" w14:textId="77777777" w:rsidR="00603B7B" w:rsidRDefault="00603B7B" w:rsidP="00EA051D">
      <w:pPr>
        <w:pStyle w:val="FootnoteText"/>
      </w:pPr>
      <w:r w:rsidRPr="00AB1F5A">
        <w:rPr>
          <w:rStyle w:val="FootnoteReference"/>
          <w:rFonts w:ascii="Times New Roman" w:hAnsi="Times New Roman" w:cs="Times New Roman"/>
        </w:rPr>
        <w:footnoteRef/>
      </w:r>
      <w:r w:rsidRPr="00AB1F5A">
        <w:rPr>
          <w:rFonts w:ascii="Times New Roman" w:hAnsi="Times New Roman" w:cs="Times New Roman"/>
        </w:rPr>
        <w:t xml:space="preserve"> https://eur-lex.europa.eu/legal-content/LV/TXT/?uri=CELEX%3A52020DC0098</w:t>
      </w:r>
    </w:p>
  </w:footnote>
  <w:footnote w:id="34">
    <w:p w14:paraId="05E2E6DF" w14:textId="77777777" w:rsidR="00603B7B" w:rsidRPr="000E44F6" w:rsidRDefault="00603B7B" w:rsidP="00EA051D">
      <w:pPr>
        <w:pStyle w:val="FootnoteText"/>
        <w:rPr>
          <w:rFonts w:ascii="Times New Roman" w:hAnsi="Times New Roman" w:cs="Times New Roman"/>
        </w:rPr>
      </w:pPr>
      <w:r w:rsidRPr="000E44F6">
        <w:rPr>
          <w:rStyle w:val="FootnoteReference"/>
          <w:rFonts w:ascii="Times New Roman" w:hAnsi="Times New Roman" w:cs="Times New Roman"/>
        </w:rPr>
        <w:footnoteRef/>
      </w:r>
      <w:r w:rsidRPr="000E44F6">
        <w:rPr>
          <w:rFonts w:ascii="Times New Roman" w:hAnsi="Times New Roman" w:cs="Times New Roman"/>
        </w:rPr>
        <w:t xml:space="preserve"> Latvijas ūdensapgādes un kanalizācijas uzņēmumu asociācija “Notekūdeņu dūņu paraugu analīze un rezultātu izvērtējums” (2020.gads). Projekta NR. LIFE IPE/LV/000014 “LIFE GOODWATER IP”ietvaros.</w:t>
      </w:r>
    </w:p>
  </w:footnote>
  <w:footnote w:id="35">
    <w:p w14:paraId="6CBFB8D9" w14:textId="282D5733" w:rsidR="00603B7B" w:rsidRPr="008D35DE" w:rsidRDefault="00603B7B" w:rsidP="00EA051D">
      <w:pPr>
        <w:pBdr>
          <w:top w:val="nil"/>
          <w:left w:val="nil"/>
          <w:bottom w:val="nil"/>
          <w:right w:val="nil"/>
          <w:between w:val="nil"/>
        </w:pBdr>
        <w:spacing w:after="0" w:line="240" w:lineRule="auto"/>
        <w:rPr>
          <w:rFonts w:ascii="Times New Roman" w:hAnsi="Times New Roman" w:cs="Times New Roman"/>
          <w:color w:val="000000"/>
          <w:sz w:val="20"/>
          <w:szCs w:val="20"/>
        </w:rPr>
      </w:pPr>
      <w:r w:rsidRPr="008D35DE">
        <w:rPr>
          <w:rStyle w:val="FootnoteReference"/>
          <w:rFonts w:ascii="Times New Roman" w:hAnsi="Times New Roman" w:cs="Times New Roman"/>
        </w:rPr>
        <w:footnoteRef/>
      </w:r>
      <w:r w:rsidRPr="008D35DE">
        <w:rPr>
          <w:rFonts w:ascii="Times New Roman" w:hAnsi="Times New Roman" w:cs="Times New Roman"/>
          <w:color w:val="000000"/>
          <w:sz w:val="20"/>
          <w:szCs w:val="20"/>
        </w:rPr>
        <w:t>https://saulkrasti.lv/wp-content/uploads/2019/08/I_Saulkrasti-Programma_2014-2020-Novada_situacijas_raksturojums_2019.pdf</w:t>
      </w:r>
    </w:p>
  </w:footnote>
  <w:footnote w:id="36">
    <w:p w14:paraId="122353BF" w14:textId="77777777" w:rsidR="00603B7B" w:rsidRPr="00E94B00" w:rsidRDefault="00603B7B" w:rsidP="00EA051D">
      <w:pPr>
        <w:pStyle w:val="FootnoteText"/>
        <w:rPr>
          <w:rFonts w:ascii="Times New Roman" w:hAnsi="Times New Roman" w:cs="Times New Roman"/>
        </w:rPr>
      </w:pPr>
      <w:r w:rsidRPr="00E94B00">
        <w:rPr>
          <w:rStyle w:val="FootnoteReference"/>
          <w:rFonts w:ascii="Times New Roman" w:hAnsi="Times New Roman" w:cs="Times New Roman"/>
        </w:rPr>
        <w:footnoteRef/>
      </w:r>
      <w:r w:rsidRPr="00E94B00">
        <w:rPr>
          <w:rFonts w:ascii="Times New Roman" w:hAnsi="Times New Roman" w:cs="Times New Roman"/>
        </w:rPr>
        <w:t xml:space="preserve"> https://www.water.ie/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1794B" w14:textId="1CE4944F" w:rsidR="00603B7B" w:rsidRPr="008461EF" w:rsidRDefault="00603B7B" w:rsidP="008461EF">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AC81B" w14:textId="4318FDF8" w:rsidR="00603B7B" w:rsidRPr="00F75B7B" w:rsidRDefault="00603B7B" w:rsidP="00F75B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1813"/>
    <w:multiLevelType w:val="multilevel"/>
    <w:tmpl w:val="77A431EE"/>
    <w:lvl w:ilvl="0">
      <w:start w:val="4"/>
      <w:numFmt w:val="decimal"/>
      <w:lvlText w:val="%1."/>
      <w:lvlJc w:val="left"/>
      <w:pPr>
        <w:ind w:left="360" w:hanging="360"/>
      </w:pPr>
      <w:rPr>
        <w:rFonts w:hint="default"/>
      </w:rPr>
    </w:lvl>
    <w:lvl w:ilvl="1">
      <w:start w:val="1"/>
      <w:numFmt w:val="decimal"/>
      <w:lvlText w:val="%1.%2."/>
      <w:lvlJc w:val="left"/>
      <w:pPr>
        <w:ind w:left="408" w:hanging="36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1" w15:restartNumberingAfterBreak="0">
    <w:nsid w:val="05374610"/>
    <w:multiLevelType w:val="hybridMultilevel"/>
    <w:tmpl w:val="2176361A"/>
    <w:lvl w:ilvl="0" w:tplc="04090001">
      <w:start w:val="1"/>
      <w:numFmt w:val="bullet"/>
      <w:lvlText w:val=""/>
      <w:lvlJc w:val="left"/>
      <w:pPr>
        <w:ind w:left="2127" w:hanging="360"/>
      </w:pPr>
      <w:rPr>
        <w:rFonts w:ascii="Symbol" w:hAnsi="Symbol" w:hint="default"/>
      </w:rPr>
    </w:lvl>
    <w:lvl w:ilvl="1" w:tplc="04090003" w:tentative="1">
      <w:start w:val="1"/>
      <w:numFmt w:val="bullet"/>
      <w:lvlText w:val="o"/>
      <w:lvlJc w:val="left"/>
      <w:pPr>
        <w:ind w:left="2847" w:hanging="360"/>
      </w:pPr>
      <w:rPr>
        <w:rFonts w:ascii="Courier New" w:hAnsi="Courier New" w:cs="Courier New" w:hint="default"/>
      </w:rPr>
    </w:lvl>
    <w:lvl w:ilvl="2" w:tplc="04090005" w:tentative="1">
      <w:start w:val="1"/>
      <w:numFmt w:val="bullet"/>
      <w:lvlText w:val=""/>
      <w:lvlJc w:val="left"/>
      <w:pPr>
        <w:ind w:left="3567" w:hanging="360"/>
      </w:pPr>
      <w:rPr>
        <w:rFonts w:ascii="Wingdings" w:hAnsi="Wingdings" w:hint="default"/>
      </w:rPr>
    </w:lvl>
    <w:lvl w:ilvl="3" w:tplc="04090001" w:tentative="1">
      <w:start w:val="1"/>
      <w:numFmt w:val="bullet"/>
      <w:lvlText w:val=""/>
      <w:lvlJc w:val="left"/>
      <w:pPr>
        <w:ind w:left="4287" w:hanging="360"/>
      </w:pPr>
      <w:rPr>
        <w:rFonts w:ascii="Symbol" w:hAnsi="Symbol" w:hint="default"/>
      </w:rPr>
    </w:lvl>
    <w:lvl w:ilvl="4" w:tplc="04090003" w:tentative="1">
      <w:start w:val="1"/>
      <w:numFmt w:val="bullet"/>
      <w:lvlText w:val="o"/>
      <w:lvlJc w:val="left"/>
      <w:pPr>
        <w:ind w:left="5007" w:hanging="360"/>
      </w:pPr>
      <w:rPr>
        <w:rFonts w:ascii="Courier New" w:hAnsi="Courier New" w:cs="Courier New" w:hint="default"/>
      </w:rPr>
    </w:lvl>
    <w:lvl w:ilvl="5" w:tplc="04090005" w:tentative="1">
      <w:start w:val="1"/>
      <w:numFmt w:val="bullet"/>
      <w:lvlText w:val=""/>
      <w:lvlJc w:val="left"/>
      <w:pPr>
        <w:ind w:left="5727" w:hanging="360"/>
      </w:pPr>
      <w:rPr>
        <w:rFonts w:ascii="Wingdings" w:hAnsi="Wingdings" w:hint="default"/>
      </w:rPr>
    </w:lvl>
    <w:lvl w:ilvl="6" w:tplc="04090001" w:tentative="1">
      <w:start w:val="1"/>
      <w:numFmt w:val="bullet"/>
      <w:lvlText w:val=""/>
      <w:lvlJc w:val="left"/>
      <w:pPr>
        <w:ind w:left="6447" w:hanging="360"/>
      </w:pPr>
      <w:rPr>
        <w:rFonts w:ascii="Symbol" w:hAnsi="Symbol" w:hint="default"/>
      </w:rPr>
    </w:lvl>
    <w:lvl w:ilvl="7" w:tplc="04090003" w:tentative="1">
      <w:start w:val="1"/>
      <w:numFmt w:val="bullet"/>
      <w:lvlText w:val="o"/>
      <w:lvlJc w:val="left"/>
      <w:pPr>
        <w:ind w:left="7167" w:hanging="360"/>
      </w:pPr>
      <w:rPr>
        <w:rFonts w:ascii="Courier New" w:hAnsi="Courier New" w:cs="Courier New" w:hint="default"/>
      </w:rPr>
    </w:lvl>
    <w:lvl w:ilvl="8" w:tplc="04090005" w:tentative="1">
      <w:start w:val="1"/>
      <w:numFmt w:val="bullet"/>
      <w:lvlText w:val=""/>
      <w:lvlJc w:val="left"/>
      <w:pPr>
        <w:ind w:left="7887" w:hanging="360"/>
      </w:pPr>
      <w:rPr>
        <w:rFonts w:ascii="Wingdings" w:hAnsi="Wingdings" w:hint="default"/>
      </w:rPr>
    </w:lvl>
  </w:abstractNum>
  <w:abstractNum w:abstractNumId="2" w15:restartNumberingAfterBreak="0">
    <w:nsid w:val="0A6A46AF"/>
    <w:multiLevelType w:val="multilevel"/>
    <w:tmpl w:val="EF4CBBF6"/>
    <w:lvl w:ilvl="0">
      <w:start w:val="1"/>
      <w:numFmt w:val="decimal"/>
      <w:lvlText w:val="%1."/>
      <w:lvlJc w:val="left"/>
      <w:pPr>
        <w:ind w:left="1778" w:hanging="360"/>
      </w:pPr>
    </w:lvl>
    <w:lvl w:ilvl="1">
      <w:start w:val="1"/>
      <w:numFmt w:val="decimal"/>
      <w:lvlText w:val="%1.%2."/>
      <w:lvlJc w:val="left"/>
      <w:pPr>
        <w:ind w:left="2138" w:hanging="720"/>
      </w:pPr>
    </w:lvl>
    <w:lvl w:ilvl="2">
      <w:start w:val="1"/>
      <w:numFmt w:val="decimal"/>
      <w:lvlText w:val="%1.%2.%3."/>
      <w:lvlJc w:val="left"/>
      <w:pPr>
        <w:ind w:left="3642" w:hanging="720"/>
      </w:pPr>
    </w:lvl>
    <w:lvl w:ilvl="3">
      <w:start w:val="1"/>
      <w:numFmt w:val="decimal"/>
      <w:lvlText w:val="%1.%2.%3.%4."/>
      <w:lvlJc w:val="left"/>
      <w:pPr>
        <w:ind w:left="4362" w:hanging="1080"/>
      </w:pPr>
    </w:lvl>
    <w:lvl w:ilvl="4">
      <w:start w:val="1"/>
      <w:numFmt w:val="decimal"/>
      <w:lvlText w:val="%1.%2.%3.%4.%5."/>
      <w:lvlJc w:val="left"/>
      <w:pPr>
        <w:ind w:left="4722" w:hanging="1080"/>
      </w:pPr>
    </w:lvl>
    <w:lvl w:ilvl="5">
      <w:start w:val="1"/>
      <w:numFmt w:val="decimal"/>
      <w:lvlText w:val="%1.%2.%3.%4.%5.%6."/>
      <w:lvlJc w:val="left"/>
      <w:pPr>
        <w:ind w:left="5442" w:hanging="1440"/>
      </w:pPr>
    </w:lvl>
    <w:lvl w:ilvl="6">
      <w:start w:val="1"/>
      <w:numFmt w:val="decimal"/>
      <w:lvlText w:val="%1.%2.%3.%4.%5.%6.%7."/>
      <w:lvlJc w:val="left"/>
      <w:pPr>
        <w:ind w:left="5802" w:hanging="1440"/>
      </w:pPr>
    </w:lvl>
    <w:lvl w:ilvl="7">
      <w:start w:val="1"/>
      <w:numFmt w:val="decimal"/>
      <w:lvlText w:val="%1.%2.%3.%4.%5.%6.%7.%8."/>
      <w:lvlJc w:val="left"/>
      <w:pPr>
        <w:ind w:left="6522" w:hanging="1800"/>
      </w:pPr>
    </w:lvl>
    <w:lvl w:ilvl="8">
      <w:start w:val="1"/>
      <w:numFmt w:val="decimal"/>
      <w:lvlText w:val="%1.%2.%3.%4.%5.%6.%7.%8.%9."/>
      <w:lvlJc w:val="left"/>
      <w:pPr>
        <w:ind w:left="6882" w:hanging="1800"/>
      </w:pPr>
    </w:lvl>
  </w:abstractNum>
  <w:abstractNum w:abstractNumId="3" w15:restartNumberingAfterBreak="0">
    <w:nsid w:val="0F031A50"/>
    <w:multiLevelType w:val="hybridMultilevel"/>
    <w:tmpl w:val="634A9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C4CA5"/>
    <w:multiLevelType w:val="multilevel"/>
    <w:tmpl w:val="421EC7B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20D4316"/>
    <w:multiLevelType w:val="hybridMultilevel"/>
    <w:tmpl w:val="DC9287F4"/>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90520"/>
    <w:multiLevelType w:val="multilevel"/>
    <w:tmpl w:val="95A8CBD4"/>
    <w:lvl w:ilvl="0">
      <w:start w:val="4"/>
      <w:numFmt w:val="decimal"/>
      <w:lvlText w:val="%1."/>
      <w:lvlJc w:val="left"/>
      <w:pPr>
        <w:ind w:left="480" w:hanging="480"/>
      </w:pPr>
      <w:rPr>
        <w:rFonts w:hint="default"/>
      </w:rPr>
    </w:lvl>
    <w:lvl w:ilvl="1">
      <w:start w:val="4"/>
      <w:numFmt w:val="decimal"/>
      <w:lvlText w:val="%1.%2."/>
      <w:lvlJc w:val="left"/>
      <w:pPr>
        <w:ind w:left="4263"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7112" w:hanging="144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2086" w:hanging="2160"/>
      </w:pPr>
      <w:rPr>
        <w:rFonts w:hint="default"/>
      </w:rPr>
    </w:lvl>
    <w:lvl w:ilvl="8">
      <w:start w:val="1"/>
      <w:numFmt w:val="decimal"/>
      <w:lvlText w:val="%1.%2.%3.%4.%5.%6.%7.%8.%9."/>
      <w:lvlJc w:val="left"/>
      <w:pPr>
        <w:ind w:left="13504" w:hanging="2160"/>
      </w:pPr>
      <w:rPr>
        <w:rFonts w:hint="default"/>
      </w:rPr>
    </w:lvl>
  </w:abstractNum>
  <w:abstractNum w:abstractNumId="7" w15:restartNumberingAfterBreak="0">
    <w:nsid w:val="22BA6392"/>
    <w:multiLevelType w:val="multilevel"/>
    <w:tmpl w:val="51D01382"/>
    <w:lvl w:ilvl="0">
      <w:start w:val="4"/>
      <w:numFmt w:val="decimal"/>
      <w:lvlText w:val="%1."/>
      <w:lvlJc w:val="left"/>
      <w:pPr>
        <w:ind w:left="400" w:hanging="400"/>
      </w:pPr>
      <w:rPr>
        <w:rFonts w:hint="default"/>
      </w:rPr>
    </w:lvl>
    <w:lvl w:ilvl="1">
      <w:start w:val="20"/>
      <w:numFmt w:val="decimal"/>
      <w:lvlText w:val="%1.%2."/>
      <w:lvlJc w:val="left"/>
      <w:pPr>
        <w:ind w:left="760" w:hanging="4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F83EC9"/>
    <w:multiLevelType w:val="multilevel"/>
    <w:tmpl w:val="E410C0B0"/>
    <w:lvl w:ilvl="0">
      <w:start w:val="7"/>
      <w:numFmt w:val="decimal"/>
      <w:pStyle w:val="E"/>
      <w:lvlText w:val="%1."/>
      <w:lvlJc w:val="left"/>
      <w:pPr>
        <w:ind w:left="384" w:hanging="384"/>
      </w:pPr>
    </w:lvl>
    <w:lvl w:ilvl="1">
      <w:start w:val="1"/>
      <w:numFmt w:val="decimal"/>
      <w:lvlText w:val="%1.%2."/>
      <w:lvlJc w:val="left"/>
      <w:pPr>
        <w:ind w:left="2160" w:hanging="720"/>
      </w:pPr>
    </w:lvl>
    <w:lvl w:ilvl="2">
      <w:start w:val="1"/>
      <w:numFmt w:val="decimal"/>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080" w:hanging="1440"/>
      </w:pPr>
    </w:lvl>
    <w:lvl w:ilvl="7">
      <w:start w:val="1"/>
      <w:numFmt w:val="decimal"/>
      <w:lvlText w:val="%1.%2.%3.%4.%5.%6.%7.%8."/>
      <w:lvlJc w:val="left"/>
      <w:pPr>
        <w:ind w:left="11880" w:hanging="1800"/>
      </w:pPr>
    </w:lvl>
    <w:lvl w:ilvl="8">
      <w:start w:val="1"/>
      <w:numFmt w:val="decimal"/>
      <w:lvlText w:val="%1.%2.%3.%4.%5.%6.%7.%8.%9."/>
      <w:lvlJc w:val="left"/>
      <w:pPr>
        <w:ind w:left="13320" w:hanging="1800"/>
      </w:pPr>
    </w:lvl>
  </w:abstractNum>
  <w:abstractNum w:abstractNumId="9" w15:restartNumberingAfterBreak="0">
    <w:nsid w:val="28CA094C"/>
    <w:multiLevelType w:val="hybridMultilevel"/>
    <w:tmpl w:val="BE88F958"/>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03A57"/>
    <w:multiLevelType w:val="hybridMultilevel"/>
    <w:tmpl w:val="C2F61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730063"/>
    <w:multiLevelType w:val="hybridMultilevel"/>
    <w:tmpl w:val="261C5970"/>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51B71"/>
    <w:multiLevelType w:val="multilevel"/>
    <w:tmpl w:val="0DEEE0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9AB0651"/>
    <w:multiLevelType w:val="multilevel"/>
    <w:tmpl w:val="EA4A965A"/>
    <w:lvl w:ilvl="0">
      <w:start w:val="1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EC13FFE"/>
    <w:multiLevelType w:val="multilevel"/>
    <w:tmpl w:val="702E1448"/>
    <w:lvl w:ilvl="0">
      <w:start w:val="4"/>
      <w:numFmt w:val="decimal"/>
      <w:lvlText w:val="%1."/>
      <w:lvlJc w:val="left"/>
      <w:pPr>
        <w:ind w:left="360" w:hanging="360"/>
      </w:pPr>
      <w:rPr>
        <w:rFonts w:hint="default"/>
      </w:rPr>
    </w:lvl>
    <w:lvl w:ilvl="1">
      <w:start w:val="1"/>
      <w:numFmt w:val="decimal"/>
      <w:lvlText w:val="%1.%2."/>
      <w:lvlJc w:val="left"/>
      <w:pPr>
        <w:ind w:left="408" w:hanging="36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15" w15:restartNumberingAfterBreak="0">
    <w:nsid w:val="414669AC"/>
    <w:multiLevelType w:val="multilevel"/>
    <w:tmpl w:val="709A44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6D53E1"/>
    <w:multiLevelType w:val="hybridMultilevel"/>
    <w:tmpl w:val="59F818F0"/>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E2627D"/>
    <w:multiLevelType w:val="hybridMultilevel"/>
    <w:tmpl w:val="433E0376"/>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2C1E12"/>
    <w:multiLevelType w:val="multilevel"/>
    <w:tmpl w:val="8AF2E20E"/>
    <w:lvl w:ilvl="0">
      <w:start w:val="137"/>
      <w:numFmt w:val="decimal"/>
      <w:lvlText w:val="%1"/>
      <w:lvlJc w:val="left"/>
      <w:pPr>
        <w:ind w:left="147" w:hanging="360"/>
      </w:pPr>
      <w:rPr>
        <w:rFonts w:ascii="Calibri" w:eastAsia="Calibri" w:hAnsi="Calibri" w:cs="Calibri"/>
        <w:color w:val="000000"/>
      </w:rPr>
    </w:lvl>
    <w:lvl w:ilvl="1">
      <w:start w:val="1"/>
      <w:numFmt w:val="lowerLetter"/>
      <w:lvlText w:val="%2."/>
      <w:lvlJc w:val="left"/>
      <w:pPr>
        <w:ind w:left="867" w:hanging="360"/>
      </w:pPr>
    </w:lvl>
    <w:lvl w:ilvl="2">
      <w:start w:val="1"/>
      <w:numFmt w:val="lowerRoman"/>
      <w:lvlText w:val="%3."/>
      <w:lvlJc w:val="right"/>
      <w:pPr>
        <w:ind w:left="1587" w:hanging="180"/>
      </w:pPr>
    </w:lvl>
    <w:lvl w:ilvl="3">
      <w:start w:val="1"/>
      <w:numFmt w:val="decimal"/>
      <w:lvlText w:val="%4."/>
      <w:lvlJc w:val="left"/>
      <w:pPr>
        <w:ind w:left="2307" w:hanging="360"/>
      </w:pPr>
    </w:lvl>
    <w:lvl w:ilvl="4">
      <w:start w:val="1"/>
      <w:numFmt w:val="lowerLetter"/>
      <w:lvlText w:val="%5."/>
      <w:lvlJc w:val="left"/>
      <w:pPr>
        <w:ind w:left="3027" w:hanging="360"/>
      </w:pPr>
    </w:lvl>
    <w:lvl w:ilvl="5">
      <w:start w:val="1"/>
      <w:numFmt w:val="lowerRoman"/>
      <w:lvlText w:val="%6."/>
      <w:lvlJc w:val="right"/>
      <w:pPr>
        <w:ind w:left="3747" w:hanging="180"/>
      </w:pPr>
    </w:lvl>
    <w:lvl w:ilvl="6">
      <w:start w:val="1"/>
      <w:numFmt w:val="decimal"/>
      <w:lvlText w:val="%7."/>
      <w:lvlJc w:val="left"/>
      <w:pPr>
        <w:ind w:left="4467" w:hanging="360"/>
      </w:pPr>
    </w:lvl>
    <w:lvl w:ilvl="7">
      <w:start w:val="1"/>
      <w:numFmt w:val="lowerLetter"/>
      <w:lvlText w:val="%8."/>
      <w:lvlJc w:val="left"/>
      <w:pPr>
        <w:ind w:left="5187" w:hanging="360"/>
      </w:pPr>
    </w:lvl>
    <w:lvl w:ilvl="8">
      <w:start w:val="1"/>
      <w:numFmt w:val="lowerRoman"/>
      <w:lvlText w:val="%9."/>
      <w:lvlJc w:val="right"/>
      <w:pPr>
        <w:ind w:left="5907" w:hanging="180"/>
      </w:pPr>
    </w:lvl>
  </w:abstractNum>
  <w:abstractNum w:abstractNumId="19" w15:restartNumberingAfterBreak="0">
    <w:nsid w:val="50E24459"/>
    <w:multiLevelType w:val="multilevel"/>
    <w:tmpl w:val="B20E7A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8B02C40"/>
    <w:multiLevelType w:val="multilevel"/>
    <w:tmpl w:val="A3962318"/>
    <w:lvl w:ilvl="0">
      <w:start w:val="2"/>
      <w:numFmt w:val="bullet"/>
      <w:pStyle w:val="List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5B0935BE"/>
    <w:multiLevelType w:val="multilevel"/>
    <w:tmpl w:val="FFC01E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BF635F7"/>
    <w:multiLevelType w:val="hybridMultilevel"/>
    <w:tmpl w:val="F1F83B58"/>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66074"/>
    <w:multiLevelType w:val="hybridMultilevel"/>
    <w:tmpl w:val="0EECC1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6AD3507"/>
    <w:multiLevelType w:val="multilevel"/>
    <w:tmpl w:val="128CC93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6EAF7DD9"/>
    <w:multiLevelType w:val="multilevel"/>
    <w:tmpl w:val="87DEC74C"/>
    <w:lvl w:ilvl="0">
      <w:start w:val="1"/>
      <w:numFmt w:val="decimal"/>
      <w:pStyle w:val="Point0number"/>
      <w:lvlText w:val="%1."/>
      <w:lvlJc w:val="left"/>
      <w:pPr>
        <w:ind w:left="720" w:hanging="360"/>
      </w:pPr>
    </w:lvl>
    <w:lvl w:ilvl="1">
      <w:start w:val="1"/>
      <w:numFmt w:val="lowerLetter"/>
      <w:pStyle w:val="Point0letter"/>
      <w:lvlText w:val="%2."/>
      <w:lvlJc w:val="left"/>
      <w:pPr>
        <w:ind w:left="1440" w:hanging="360"/>
      </w:pPr>
    </w:lvl>
    <w:lvl w:ilvl="2">
      <w:start w:val="1"/>
      <w:numFmt w:val="lowerRoman"/>
      <w:pStyle w:val="Point1number"/>
      <w:lvlText w:val="%3."/>
      <w:lvlJc w:val="right"/>
      <w:pPr>
        <w:ind w:left="2160" w:hanging="180"/>
      </w:pPr>
    </w:lvl>
    <w:lvl w:ilvl="3">
      <w:start w:val="1"/>
      <w:numFmt w:val="decimal"/>
      <w:pStyle w:val="Point1letter"/>
      <w:lvlText w:val="%4."/>
      <w:lvlJc w:val="left"/>
      <w:pPr>
        <w:ind w:left="2880" w:hanging="360"/>
      </w:pPr>
    </w:lvl>
    <w:lvl w:ilvl="4">
      <w:start w:val="1"/>
      <w:numFmt w:val="lowerLetter"/>
      <w:pStyle w:val="Point2number"/>
      <w:lvlText w:val="%5."/>
      <w:lvlJc w:val="left"/>
      <w:pPr>
        <w:ind w:left="3600" w:hanging="360"/>
      </w:pPr>
    </w:lvl>
    <w:lvl w:ilvl="5">
      <w:start w:val="1"/>
      <w:numFmt w:val="lowerRoman"/>
      <w:pStyle w:val="Point2letter"/>
      <w:lvlText w:val="%6."/>
      <w:lvlJc w:val="right"/>
      <w:pPr>
        <w:ind w:left="4320" w:hanging="180"/>
      </w:pPr>
    </w:lvl>
    <w:lvl w:ilvl="6">
      <w:start w:val="1"/>
      <w:numFmt w:val="decimal"/>
      <w:pStyle w:val="Point3number"/>
      <w:lvlText w:val="%7."/>
      <w:lvlJc w:val="left"/>
      <w:pPr>
        <w:ind w:left="5040" w:hanging="360"/>
      </w:pPr>
    </w:lvl>
    <w:lvl w:ilvl="7">
      <w:start w:val="1"/>
      <w:numFmt w:val="lowerLetter"/>
      <w:pStyle w:val="Point3letter"/>
      <w:lvlText w:val="%8."/>
      <w:lvlJc w:val="left"/>
      <w:pPr>
        <w:ind w:left="5760" w:hanging="360"/>
      </w:pPr>
    </w:lvl>
    <w:lvl w:ilvl="8">
      <w:start w:val="1"/>
      <w:numFmt w:val="lowerRoman"/>
      <w:pStyle w:val="Point4letter"/>
      <w:lvlText w:val="%9."/>
      <w:lvlJc w:val="right"/>
      <w:pPr>
        <w:ind w:left="6480" w:hanging="180"/>
      </w:pPr>
    </w:lvl>
  </w:abstractNum>
  <w:abstractNum w:abstractNumId="26" w15:restartNumberingAfterBreak="0">
    <w:nsid w:val="6FD62FB6"/>
    <w:multiLevelType w:val="multilevel"/>
    <w:tmpl w:val="BC70B6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146EC5"/>
    <w:multiLevelType w:val="hybridMultilevel"/>
    <w:tmpl w:val="820C7C70"/>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 w15:restartNumberingAfterBreak="0">
    <w:nsid w:val="7C3A1552"/>
    <w:multiLevelType w:val="hybridMultilevel"/>
    <w:tmpl w:val="513A7152"/>
    <w:lvl w:ilvl="0" w:tplc="E9FC00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D30466"/>
    <w:multiLevelType w:val="multilevel"/>
    <w:tmpl w:val="BC70B6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3488212">
    <w:abstractNumId w:val="2"/>
  </w:num>
  <w:num w:numId="2" w16cid:durableId="1944141842">
    <w:abstractNumId w:val="27"/>
  </w:num>
  <w:num w:numId="3" w16cid:durableId="1983535141">
    <w:abstractNumId w:val="26"/>
  </w:num>
  <w:num w:numId="4" w16cid:durableId="58359440">
    <w:abstractNumId w:val="24"/>
  </w:num>
  <w:num w:numId="5" w16cid:durableId="178937243">
    <w:abstractNumId w:val="20"/>
  </w:num>
  <w:num w:numId="6" w16cid:durableId="902252683">
    <w:abstractNumId w:val="4"/>
  </w:num>
  <w:num w:numId="7" w16cid:durableId="1009942443">
    <w:abstractNumId w:val="5"/>
  </w:num>
  <w:num w:numId="8" w16cid:durableId="1313678059">
    <w:abstractNumId w:val="22"/>
  </w:num>
  <w:num w:numId="9" w16cid:durableId="1261064999">
    <w:abstractNumId w:val="9"/>
  </w:num>
  <w:num w:numId="10" w16cid:durableId="72944241">
    <w:abstractNumId w:val="11"/>
  </w:num>
  <w:num w:numId="11" w16cid:durableId="81684313">
    <w:abstractNumId w:val="28"/>
  </w:num>
  <w:num w:numId="12" w16cid:durableId="717896562">
    <w:abstractNumId w:val="17"/>
  </w:num>
  <w:num w:numId="13" w16cid:durableId="86966406">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7827136">
    <w:abstractNumId w:val="25"/>
  </w:num>
  <w:num w:numId="15" w16cid:durableId="582644804">
    <w:abstractNumId w:val="8"/>
  </w:num>
  <w:num w:numId="16" w16cid:durableId="516697755">
    <w:abstractNumId w:val="15"/>
  </w:num>
  <w:num w:numId="17" w16cid:durableId="1785809472">
    <w:abstractNumId w:val="19"/>
  </w:num>
  <w:num w:numId="18" w16cid:durableId="2079745675">
    <w:abstractNumId w:val="29"/>
  </w:num>
  <w:num w:numId="19" w16cid:durableId="2040160566">
    <w:abstractNumId w:val="18"/>
  </w:num>
  <w:num w:numId="20" w16cid:durableId="661666004">
    <w:abstractNumId w:val="23"/>
  </w:num>
  <w:num w:numId="21" w16cid:durableId="1809127614">
    <w:abstractNumId w:val="1"/>
  </w:num>
  <w:num w:numId="22" w16cid:durableId="137304801">
    <w:abstractNumId w:val="10"/>
  </w:num>
  <w:num w:numId="23" w16cid:durableId="244607986">
    <w:abstractNumId w:val="3"/>
  </w:num>
  <w:num w:numId="24" w16cid:durableId="1098410720">
    <w:abstractNumId w:val="16"/>
  </w:num>
  <w:num w:numId="25" w16cid:durableId="484443568">
    <w:abstractNumId w:val="0"/>
  </w:num>
  <w:num w:numId="26" w16cid:durableId="139929146">
    <w:abstractNumId w:val="12"/>
  </w:num>
  <w:num w:numId="27" w16cid:durableId="1607692767">
    <w:abstractNumId w:val="6"/>
  </w:num>
  <w:num w:numId="28" w16cid:durableId="864054790">
    <w:abstractNumId w:val="7"/>
  </w:num>
  <w:num w:numId="29" w16cid:durableId="1921671440">
    <w:abstractNumId w:val="14"/>
  </w:num>
  <w:num w:numId="30" w16cid:durableId="1339305015">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E0"/>
    <w:rsid w:val="00000199"/>
    <w:rsid w:val="00000255"/>
    <w:rsid w:val="000036BD"/>
    <w:rsid w:val="00005BB2"/>
    <w:rsid w:val="00007A9A"/>
    <w:rsid w:val="00010402"/>
    <w:rsid w:val="00011C1A"/>
    <w:rsid w:val="00013DBE"/>
    <w:rsid w:val="0001486D"/>
    <w:rsid w:val="00015FC8"/>
    <w:rsid w:val="00016CD7"/>
    <w:rsid w:val="00023F3C"/>
    <w:rsid w:val="000247F7"/>
    <w:rsid w:val="00024DDB"/>
    <w:rsid w:val="000326A6"/>
    <w:rsid w:val="0003630B"/>
    <w:rsid w:val="00037F8F"/>
    <w:rsid w:val="0004431D"/>
    <w:rsid w:val="00045C5C"/>
    <w:rsid w:val="0004663F"/>
    <w:rsid w:val="000508A4"/>
    <w:rsid w:val="00055E00"/>
    <w:rsid w:val="00056F72"/>
    <w:rsid w:val="0006564A"/>
    <w:rsid w:val="00066809"/>
    <w:rsid w:val="00070AE0"/>
    <w:rsid w:val="00080F2B"/>
    <w:rsid w:val="000830FE"/>
    <w:rsid w:val="0008443B"/>
    <w:rsid w:val="00087C31"/>
    <w:rsid w:val="00093EF2"/>
    <w:rsid w:val="0009576F"/>
    <w:rsid w:val="000A2AB7"/>
    <w:rsid w:val="000A6C7E"/>
    <w:rsid w:val="000B37B3"/>
    <w:rsid w:val="000B399B"/>
    <w:rsid w:val="000B4155"/>
    <w:rsid w:val="000B4602"/>
    <w:rsid w:val="000B4C05"/>
    <w:rsid w:val="000B5B7B"/>
    <w:rsid w:val="000B7734"/>
    <w:rsid w:val="000C1FCD"/>
    <w:rsid w:val="000C2FEA"/>
    <w:rsid w:val="000C4C84"/>
    <w:rsid w:val="000C73AC"/>
    <w:rsid w:val="000D10A3"/>
    <w:rsid w:val="000D2593"/>
    <w:rsid w:val="000E16AB"/>
    <w:rsid w:val="000E2EFD"/>
    <w:rsid w:val="000E44F6"/>
    <w:rsid w:val="000E543C"/>
    <w:rsid w:val="000E5DF6"/>
    <w:rsid w:val="000E6171"/>
    <w:rsid w:val="000F2B9B"/>
    <w:rsid w:val="00103F80"/>
    <w:rsid w:val="001051E2"/>
    <w:rsid w:val="00110570"/>
    <w:rsid w:val="00110BAA"/>
    <w:rsid w:val="001138C2"/>
    <w:rsid w:val="00115E4A"/>
    <w:rsid w:val="00135F1B"/>
    <w:rsid w:val="001360BD"/>
    <w:rsid w:val="001436A0"/>
    <w:rsid w:val="00146EE2"/>
    <w:rsid w:val="00154DD6"/>
    <w:rsid w:val="00156901"/>
    <w:rsid w:val="00163C04"/>
    <w:rsid w:val="001648D3"/>
    <w:rsid w:val="001664FD"/>
    <w:rsid w:val="0016792C"/>
    <w:rsid w:val="00171A11"/>
    <w:rsid w:val="0017430E"/>
    <w:rsid w:val="001749A1"/>
    <w:rsid w:val="00175DD0"/>
    <w:rsid w:val="001765B1"/>
    <w:rsid w:val="00182E45"/>
    <w:rsid w:val="00182FE2"/>
    <w:rsid w:val="00186FF2"/>
    <w:rsid w:val="0019404E"/>
    <w:rsid w:val="001972CF"/>
    <w:rsid w:val="001A540B"/>
    <w:rsid w:val="001A726D"/>
    <w:rsid w:val="001B0F02"/>
    <w:rsid w:val="001C0E0C"/>
    <w:rsid w:val="001C6077"/>
    <w:rsid w:val="001D104F"/>
    <w:rsid w:val="001D1AC9"/>
    <w:rsid w:val="001D1E9D"/>
    <w:rsid w:val="001D3B45"/>
    <w:rsid w:val="001D7449"/>
    <w:rsid w:val="001E21ED"/>
    <w:rsid w:val="001E3C89"/>
    <w:rsid w:val="001E7EC3"/>
    <w:rsid w:val="001F1C47"/>
    <w:rsid w:val="001F52A3"/>
    <w:rsid w:val="001F7165"/>
    <w:rsid w:val="00200921"/>
    <w:rsid w:val="00207E30"/>
    <w:rsid w:val="00211265"/>
    <w:rsid w:val="002117B4"/>
    <w:rsid w:val="002128A1"/>
    <w:rsid w:val="002140A1"/>
    <w:rsid w:val="00220783"/>
    <w:rsid w:val="00224258"/>
    <w:rsid w:val="002254FD"/>
    <w:rsid w:val="00225B43"/>
    <w:rsid w:val="00234337"/>
    <w:rsid w:val="00236188"/>
    <w:rsid w:val="00240E9C"/>
    <w:rsid w:val="00244E68"/>
    <w:rsid w:val="0024587C"/>
    <w:rsid w:val="00247D83"/>
    <w:rsid w:val="002523AE"/>
    <w:rsid w:val="0025302D"/>
    <w:rsid w:val="0025304F"/>
    <w:rsid w:val="002536B3"/>
    <w:rsid w:val="00253D64"/>
    <w:rsid w:val="00256107"/>
    <w:rsid w:val="00257E42"/>
    <w:rsid w:val="002604DA"/>
    <w:rsid w:val="0026587F"/>
    <w:rsid w:val="00266EF8"/>
    <w:rsid w:val="002709F5"/>
    <w:rsid w:val="002805EA"/>
    <w:rsid w:val="00281486"/>
    <w:rsid w:val="00283E98"/>
    <w:rsid w:val="0028622B"/>
    <w:rsid w:val="00286590"/>
    <w:rsid w:val="00286685"/>
    <w:rsid w:val="00290634"/>
    <w:rsid w:val="00291970"/>
    <w:rsid w:val="0029365F"/>
    <w:rsid w:val="00293987"/>
    <w:rsid w:val="002944E4"/>
    <w:rsid w:val="002A3F79"/>
    <w:rsid w:val="002B026E"/>
    <w:rsid w:val="002B1367"/>
    <w:rsid w:val="002B18A2"/>
    <w:rsid w:val="002B3F0F"/>
    <w:rsid w:val="002B5459"/>
    <w:rsid w:val="002B5569"/>
    <w:rsid w:val="002C0705"/>
    <w:rsid w:val="002C5C8B"/>
    <w:rsid w:val="002D125E"/>
    <w:rsid w:val="002D47ED"/>
    <w:rsid w:val="002D4D06"/>
    <w:rsid w:val="002D6E7A"/>
    <w:rsid w:val="002E024E"/>
    <w:rsid w:val="002E02F6"/>
    <w:rsid w:val="002E539E"/>
    <w:rsid w:val="002E56EC"/>
    <w:rsid w:val="002E60F6"/>
    <w:rsid w:val="002F13E6"/>
    <w:rsid w:val="002F1F12"/>
    <w:rsid w:val="0030237D"/>
    <w:rsid w:val="00305705"/>
    <w:rsid w:val="00306481"/>
    <w:rsid w:val="003154F2"/>
    <w:rsid w:val="00321405"/>
    <w:rsid w:val="0032513A"/>
    <w:rsid w:val="00330F94"/>
    <w:rsid w:val="0033476A"/>
    <w:rsid w:val="0033498C"/>
    <w:rsid w:val="003359AB"/>
    <w:rsid w:val="00340D3D"/>
    <w:rsid w:val="0034227B"/>
    <w:rsid w:val="00344D87"/>
    <w:rsid w:val="00345B2E"/>
    <w:rsid w:val="0035178C"/>
    <w:rsid w:val="00353317"/>
    <w:rsid w:val="003557AD"/>
    <w:rsid w:val="00361A97"/>
    <w:rsid w:val="00365075"/>
    <w:rsid w:val="00372F89"/>
    <w:rsid w:val="00373E48"/>
    <w:rsid w:val="003814C1"/>
    <w:rsid w:val="00384A9C"/>
    <w:rsid w:val="00391187"/>
    <w:rsid w:val="00393897"/>
    <w:rsid w:val="003A4615"/>
    <w:rsid w:val="003B0795"/>
    <w:rsid w:val="003B1983"/>
    <w:rsid w:val="003B4161"/>
    <w:rsid w:val="003B4728"/>
    <w:rsid w:val="003B69EE"/>
    <w:rsid w:val="003C1C60"/>
    <w:rsid w:val="003C279E"/>
    <w:rsid w:val="003C2ECF"/>
    <w:rsid w:val="003C6105"/>
    <w:rsid w:val="003C7A94"/>
    <w:rsid w:val="003D01C1"/>
    <w:rsid w:val="003D1529"/>
    <w:rsid w:val="003D2939"/>
    <w:rsid w:val="003D3033"/>
    <w:rsid w:val="003D3578"/>
    <w:rsid w:val="003D61BD"/>
    <w:rsid w:val="003E178E"/>
    <w:rsid w:val="003E5BA2"/>
    <w:rsid w:val="003E67F9"/>
    <w:rsid w:val="003E6D44"/>
    <w:rsid w:val="003F0074"/>
    <w:rsid w:val="004002FC"/>
    <w:rsid w:val="00402C33"/>
    <w:rsid w:val="00411379"/>
    <w:rsid w:val="00415072"/>
    <w:rsid w:val="00420B24"/>
    <w:rsid w:val="00422001"/>
    <w:rsid w:val="004227EA"/>
    <w:rsid w:val="00423790"/>
    <w:rsid w:val="0042382E"/>
    <w:rsid w:val="00430F27"/>
    <w:rsid w:val="0043362C"/>
    <w:rsid w:val="004342DE"/>
    <w:rsid w:val="00435C2C"/>
    <w:rsid w:val="00443253"/>
    <w:rsid w:val="00456D13"/>
    <w:rsid w:val="004576FA"/>
    <w:rsid w:val="00457C61"/>
    <w:rsid w:val="00467866"/>
    <w:rsid w:val="00467956"/>
    <w:rsid w:val="00470275"/>
    <w:rsid w:val="00471CA2"/>
    <w:rsid w:val="004770D6"/>
    <w:rsid w:val="004809EB"/>
    <w:rsid w:val="00482256"/>
    <w:rsid w:val="004831C0"/>
    <w:rsid w:val="00484045"/>
    <w:rsid w:val="00485943"/>
    <w:rsid w:val="00486005"/>
    <w:rsid w:val="00490729"/>
    <w:rsid w:val="00492955"/>
    <w:rsid w:val="00492CD9"/>
    <w:rsid w:val="00496AAC"/>
    <w:rsid w:val="004A1E83"/>
    <w:rsid w:val="004A1F33"/>
    <w:rsid w:val="004A4B24"/>
    <w:rsid w:val="004A7BCB"/>
    <w:rsid w:val="004A7F19"/>
    <w:rsid w:val="004B281E"/>
    <w:rsid w:val="004B52B5"/>
    <w:rsid w:val="004B699C"/>
    <w:rsid w:val="004B7AEF"/>
    <w:rsid w:val="004C16A0"/>
    <w:rsid w:val="004C30E2"/>
    <w:rsid w:val="004C3B42"/>
    <w:rsid w:val="004C584C"/>
    <w:rsid w:val="004C71C8"/>
    <w:rsid w:val="004C7A94"/>
    <w:rsid w:val="004D1824"/>
    <w:rsid w:val="004D38D1"/>
    <w:rsid w:val="004D5390"/>
    <w:rsid w:val="004D788B"/>
    <w:rsid w:val="004E2B46"/>
    <w:rsid w:val="004E3C39"/>
    <w:rsid w:val="004E438F"/>
    <w:rsid w:val="004E5105"/>
    <w:rsid w:val="004E53E3"/>
    <w:rsid w:val="004F023B"/>
    <w:rsid w:val="004F7592"/>
    <w:rsid w:val="00501357"/>
    <w:rsid w:val="00502686"/>
    <w:rsid w:val="0050702A"/>
    <w:rsid w:val="00512910"/>
    <w:rsid w:val="0051394E"/>
    <w:rsid w:val="0051517D"/>
    <w:rsid w:val="00517447"/>
    <w:rsid w:val="00523E25"/>
    <w:rsid w:val="005240D3"/>
    <w:rsid w:val="00526F9B"/>
    <w:rsid w:val="005314BF"/>
    <w:rsid w:val="0053240E"/>
    <w:rsid w:val="00532A06"/>
    <w:rsid w:val="005336A7"/>
    <w:rsid w:val="00540275"/>
    <w:rsid w:val="005451D2"/>
    <w:rsid w:val="00562018"/>
    <w:rsid w:val="005632B6"/>
    <w:rsid w:val="00565EB9"/>
    <w:rsid w:val="00566AC4"/>
    <w:rsid w:val="005746F2"/>
    <w:rsid w:val="00580FE7"/>
    <w:rsid w:val="00582F75"/>
    <w:rsid w:val="005924DB"/>
    <w:rsid w:val="00595E97"/>
    <w:rsid w:val="0059687C"/>
    <w:rsid w:val="00596AB6"/>
    <w:rsid w:val="005A3E72"/>
    <w:rsid w:val="005A6004"/>
    <w:rsid w:val="005A7015"/>
    <w:rsid w:val="005B16C6"/>
    <w:rsid w:val="005B3879"/>
    <w:rsid w:val="005B47D0"/>
    <w:rsid w:val="005B5F9B"/>
    <w:rsid w:val="005B67F4"/>
    <w:rsid w:val="005C586E"/>
    <w:rsid w:val="005D02BF"/>
    <w:rsid w:val="005D24FC"/>
    <w:rsid w:val="005D2BC4"/>
    <w:rsid w:val="005D3AA1"/>
    <w:rsid w:val="005D445D"/>
    <w:rsid w:val="005D7F51"/>
    <w:rsid w:val="005F3A58"/>
    <w:rsid w:val="005F602B"/>
    <w:rsid w:val="0060263E"/>
    <w:rsid w:val="006035E7"/>
    <w:rsid w:val="00603B7B"/>
    <w:rsid w:val="006042FA"/>
    <w:rsid w:val="0060769F"/>
    <w:rsid w:val="006118F2"/>
    <w:rsid w:val="00613EC1"/>
    <w:rsid w:val="006203BE"/>
    <w:rsid w:val="006228D2"/>
    <w:rsid w:val="00633756"/>
    <w:rsid w:val="00634383"/>
    <w:rsid w:val="006371EC"/>
    <w:rsid w:val="006375BB"/>
    <w:rsid w:val="00640223"/>
    <w:rsid w:val="0064163B"/>
    <w:rsid w:val="00646F29"/>
    <w:rsid w:val="00651378"/>
    <w:rsid w:val="00653C33"/>
    <w:rsid w:val="006554A7"/>
    <w:rsid w:val="0065655B"/>
    <w:rsid w:val="0065738E"/>
    <w:rsid w:val="0065755D"/>
    <w:rsid w:val="00657754"/>
    <w:rsid w:val="00657E1D"/>
    <w:rsid w:val="0066043C"/>
    <w:rsid w:val="00662945"/>
    <w:rsid w:val="006629FF"/>
    <w:rsid w:val="00667086"/>
    <w:rsid w:val="00667EDB"/>
    <w:rsid w:val="00670164"/>
    <w:rsid w:val="00673858"/>
    <w:rsid w:val="00673BAB"/>
    <w:rsid w:val="00674740"/>
    <w:rsid w:val="00674A2E"/>
    <w:rsid w:val="00677F2B"/>
    <w:rsid w:val="006906BD"/>
    <w:rsid w:val="00692005"/>
    <w:rsid w:val="00692B4B"/>
    <w:rsid w:val="00696FE5"/>
    <w:rsid w:val="006A2828"/>
    <w:rsid w:val="006A300D"/>
    <w:rsid w:val="006A6AFB"/>
    <w:rsid w:val="006B3B3B"/>
    <w:rsid w:val="006B3DC0"/>
    <w:rsid w:val="006C65A9"/>
    <w:rsid w:val="006C7773"/>
    <w:rsid w:val="006D0B3A"/>
    <w:rsid w:val="006D1E47"/>
    <w:rsid w:val="006D4D61"/>
    <w:rsid w:val="006D500E"/>
    <w:rsid w:val="006E0EDB"/>
    <w:rsid w:val="006E129D"/>
    <w:rsid w:val="006E29BD"/>
    <w:rsid w:val="006E5CD8"/>
    <w:rsid w:val="006E5E65"/>
    <w:rsid w:val="006E6B15"/>
    <w:rsid w:val="006F4545"/>
    <w:rsid w:val="007041A9"/>
    <w:rsid w:val="00704D5C"/>
    <w:rsid w:val="00705645"/>
    <w:rsid w:val="007069AF"/>
    <w:rsid w:val="00706C98"/>
    <w:rsid w:val="00716E93"/>
    <w:rsid w:val="00717BF1"/>
    <w:rsid w:val="007215AC"/>
    <w:rsid w:val="00721F80"/>
    <w:rsid w:val="00722CEC"/>
    <w:rsid w:val="007258DC"/>
    <w:rsid w:val="00726055"/>
    <w:rsid w:val="00727281"/>
    <w:rsid w:val="00730109"/>
    <w:rsid w:val="0074034B"/>
    <w:rsid w:val="00744C5F"/>
    <w:rsid w:val="00746387"/>
    <w:rsid w:val="007503CB"/>
    <w:rsid w:val="00751374"/>
    <w:rsid w:val="0075606F"/>
    <w:rsid w:val="00760B14"/>
    <w:rsid w:val="00762A7F"/>
    <w:rsid w:val="0076515F"/>
    <w:rsid w:val="00765571"/>
    <w:rsid w:val="00765946"/>
    <w:rsid w:val="00767DD5"/>
    <w:rsid w:val="007754DC"/>
    <w:rsid w:val="0078125D"/>
    <w:rsid w:val="00783212"/>
    <w:rsid w:val="00797B3A"/>
    <w:rsid w:val="007A0BF6"/>
    <w:rsid w:val="007A0E8B"/>
    <w:rsid w:val="007A2F0C"/>
    <w:rsid w:val="007A5D2D"/>
    <w:rsid w:val="007B173C"/>
    <w:rsid w:val="007B23A5"/>
    <w:rsid w:val="007B35EC"/>
    <w:rsid w:val="007B5F13"/>
    <w:rsid w:val="007B6AC2"/>
    <w:rsid w:val="007C0A47"/>
    <w:rsid w:val="007C134F"/>
    <w:rsid w:val="007C29F8"/>
    <w:rsid w:val="007C40A6"/>
    <w:rsid w:val="007D282A"/>
    <w:rsid w:val="007D3C37"/>
    <w:rsid w:val="007D45B2"/>
    <w:rsid w:val="007D45CE"/>
    <w:rsid w:val="007D4FC8"/>
    <w:rsid w:val="007D6688"/>
    <w:rsid w:val="007D67FA"/>
    <w:rsid w:val="007D7339"/>
    <w:rsid w:val="007E349D"/>
    <w:rsid w:val="007E522A"/>
    <w:rsid w:val="007E5D05"/>
    <w:rsid w:val="007F04F1"/>
    <w:rsid w:val="007F0653"/>
    <w:rsid w:val="007F170A"/>
    <w:rsid w:val="007F57E1"/>
    <w:rsid w:val="0080404D"/>
    <w:rsid w:val="0080477B"/>
    <w:rsid w:val="00805EDB"/>
    <w:rsid w:val="008060AC"/>
    <w:rsid w:val="008105EA"/>
    <w:rsid w:val="008128A4"/>
    <w:rsid w:val="008166FE"/>
    <w:rsid w:val="00816F57"/>
    <w:rsid w:val="008202AA"/>
    <w:rsid w:val="0082427B"/>
    <w:rsid w:val="00825073"/>
    <w:rsid w:val="00831470"/>
    <w:rsid w:val="00833853"/>
    <w:rsid w:val="008363A1"/>
    <w:rsid w:val="00844698"/>
    <w:rsid w:val="008461EF"/>
    <w:rsid w:val="00847E8E"/>
    <w:rsid w:val="008521E8"/>
    <w:rsid w:val="00864B4D"/>
    <w:rsid w:val="00873DD3"/>
    <w:rsid w:val="00874575"/>
    <w:rsid w:val="008746F4"/>
    <w:rsid w:val="00874D76"/>
    <w:rsid w:val="008758D4"/>
    <w:rsid w:val="00881B76"/>
    <w:rsid w:val="00882EA4"/>
    <w:rsid w:val="008831A4"/>
    <w:rsid w:val="00885F18"/>
    <w:rsid w:val="00886169"/>
    <w:rsid w:val="00887AD6"/>
    <w:rsid w:val="00891E32"/>
    <w:rsid w:val="00892F5A"/>
    <w:rsid w:val="00893FF3"/>
    <w:rsid w:val="00896E4C"/>
    <w:rsid w:val="008A276E"/>
    <w:rsid w:val="008A6607"/>
    <w:rsid w:val="008A7772"/>
    <w:rsid w:val="008A7D07"/>
    <w:rsid w:val="008B195F"/>
    <w:rsid w:val="008B1A89"/>
    <w:rsid w:val="008B1B4B"/>
    <w:rsid w:val="008B1BA4"/>
    <w:rsid w:val="008B1FC8"/>
    <w:rsid w:val="008B70D5"/>
    <w:rsid w:val="008C3B65"/>
    <w:rsid w:val="008D34E0"/>
    <w:rsid w:val="008D35DE"/>
    <w:rsid w:val="008D5138"/>
    <w:rsid w:val="008D754D"/>
    <w:rsid w:val="008E17F7"/>
    <w:rsid w:val="008E330A"/>
    <w:rsid w:val="008E354D"/>
    <w:rsid w:val="008E5AFD"/>
    <w:rsid w:val="008E5D4A"/>
    <w:rsid w:val="008E64F6"/>
    <w:rsid w:val="008E6BAE"/>
    <w:rsid w:val="008F1239"/>
    <w:rsid w:val="008F140E"/>
    <w:rsid w:val="008F146E"/>
    <w:rsid w:val="008F279C"/>
    <w:rsid w:val="008F453C"/>
    <w:rsid w:val="008F5DDF"/>
    <w:rsid w:val="008F6B41"/>
    <w:rsid w:val="00900DBD"/>
    <w:rsid w:val="00907503"/>
    <w:rsid w:val="0091007D"/>
    <w:rsid w:val="00913BA4"/>
    <w:rsid w:val="00913BFA"/>
    <w:rsid w:val="00914DE2"/>
    <w:rsid w:val="009152D5"/>
    <w:rsid w:val="00916A5C"/>
    <w:rsid w:val="00920A3B"/>
    <w:rsid w:val="009231A0"/>
    <w:rsid w:val="009234A8"/>
    <w:rsid w:val="00923841"/>
    <w:rsid w:val="009241F2"/>
    <w:rsid w:val="0093337A"/>
    <w:rsid w:val="009334B1"/>
    <w:rsid w:val="009360C1"/>
    <w:rsid w:val="00937B53"/>
    <w:rsid w:val="00940030"/>
    <w:rsid w:val="00941414"/>
    <w:rsid w:val="00942C04"/>
    <w:rsid w:val="0094450D"/>
    <w:rsid w:val="00953546"/>
    <w:rsid w:val="00954DFF"/>
    <w:rsid w:val="00967450"/>
    <w:rsid w:val="00976413"/>
    <w:rsid w:val="00982590"/>
    <w:rsid w:val="00996138"/>
    <w:rsid w:val="009967E0"/>
    <w:rsid w:val="009A6636"/>
    <w:rsid w:val="009B0439"/>
    <w:rsid w:val="009B0573"/>
    <w:rsid w:val="009B5124"/>
    <w:rsid w:val="009B56C5"/>
    <w:rsid w:val="009B595E"/>
    <w:rsid w:val="009B6605"/>
    <w:rsid w:val="009B6F7F"/>
    <w:rsid w:val="009C3763"/>
    <w:rsid w:val="009C4B2A"/>
    <w:rsid w:val="009D6AD2"/>
    <w:rsid w:val="009E0607"/>
    <w:rsid w:val="009F0241"/>
    <w:rsid w:val="00A00782"/>
    <w:rsid w:val="00A0124B"/>
    <w:rsid w:val="00A02B9E"/>
    <w:rsid w:val="00A053D5"/>
    <w:rsid w:val="00A05988"/>
    <w:rsid w:val="00A12F42"/>
    <w:rsid w:val="00A14B28"/>
    <w:rsid w:val="00A162D4"/>
    <w:rsid w:val="00A16E67"/>
    <w:rsid w:val="00A24F18"/>
    <w:rsid w:val="00A2500D"/>
    <w:rsid w:val="00A33176"/>
    <w:rsid w:val="00A35A04"/>
    <w:rsid w:val="00A42F05"/>
    <w:rsid w:val="00A46C86"/>
    <w:rsid w:val="00A46F83"/>
    <w:rsid w:val="00A55F2A"/>
    <w:rsid w:val="00A55F61"/>
    <w:rsid w:val="00A56971"/>
    <w:rsid w:val="00A61F27"/>
    <w:rsid w:val="00A64E36"/>
    <w:rsid w:val="00A65A4B"/>
    <w:rsid w:val="00A670F6"/>
    <w:rsid w:val="00A756F0"/>
    <w:rsid w:val="00A777D2"/>
    <w:rsid w:val="00A80590"/>
    <w:rsid w:val="00A80F4B"/>
    <w:rsid w:val="00A8404E"/>
    <w:rsid w:val="00A850F6"/>
    <w:rsid w:val="00A85465"/>
    <w:rsid w:val="00A87BE4"/>
    <w:rsid w:val="00A90EB8"/>
    <w:rsid w:val="00A91FB7"/>
    <w:rsid w:val="00A94746"/>
    <w:rsid w:val="00A95679"/>
    <w:rsid w:val="00AA24E2"/>
    <w:rsid w:val="00AA3A5A"/>
    <w:rsid w:val="00AA40F3"/>
    <w:rsid w:val="00AA6E32"/>
    <w:rsid w:val="00AA7689"/>
    <w:rsid w:val="00AA7E9F"/>
    <w:rsid w:val="00AB1F5A"/>
    <w:rsid w:val="00AB2062"/>
    <w:rsid w:val="00AB4B65"/>
    <w:rsid w:val="00AB56DE"/>
    <w:rsid w:val="00AC0A07"/>
    <w:rsid w:val="00AC180A"/>
    <w:rsid w:val="00AC63C4"/>
    <w:rsid w:val="00AD19B4"/>
    <w:rsid w:val="00AD5EE2"/>
    <w:rsid w:val="00AD7F72"/>
    <w:rsid w:val="00AE400E"/>
    <w:rsid w:val="00AE5075"/>
    <w:rsid w:val="00AE60CF"/>
    <w:rsid w:val="00AE7817"/>
    <w:rsid w:val="00AF2B41"/>
    <w:rsid w:val="00AF2B58"/>
    <w:rsid w:val="00AF407E"/>
    <w:rsid w:val="00AF7FB1"/>
    <w:rsid w:val="00B00F89"/>
    <w:rsid w:val="00B03766"/>
    <w:rsid w:val="00B03B60"/>
    <w:rsid w:val="00B07E04"/>
    <w:rsid w:val="00B11E25"/>
    <w:rsid w:val="00B222D0"/>
    <w:rsid w:val="00B33126"/>
    <w:rsid w:val="00B3496D"/>
    <w:rsid w:val="00B3521E"/>
    <w:rsid w:val="00B37E2D"/>
    <w:rsid w:val="00B37FBD"/>
    <w:rsid w:val="00B41580"/>
    <w:rsid w:val="00B420F3"/>
    <w:rsid w:val="00B431B1"/>
    <w:rsid w:val="00B44570"/>
    <w:rsid w:val="00B450A0"/>
    <w:rsid w:val="00B45E99"/>
    <w:rsid w:val="00B475CF"/>
    <w:rsid w:val="00B53769"/>
    <w:rsid w:val="00B5391E"/>
    <w:rsid w:val="00B549D6"/>
    <w:rsid w:val="00B55DF9"/>
    <w:rsid w:val="00B57676"/>
    <w:rsid w:val="00B60F59"/>
    <w:rsid w:val="00B637F7"/>
    <w:rsid w:val="00B643AB"/>
    <w:rsid w:val="00B6449F"/>
    <w:rsid w:val="00B6571A"/>
    <w:rsid w:val="00B66F24"/>
    <w:rsid w:val="00B71C30"/>
    <w:rsid w:val="00B72FB0"/>
    <w:rsid w:val="00B7479D"/>
    <w:rsid w:val="00B8037C"/>
    <w:rsid w:val="00B8206A"/>
    <w:rsid w:val="00B84F9A"/>
    <w:rsid w:val="00B87791"/>
    <w:rsid w:val="00B951CD"/>
    <w:rsid w:val="00BA0DC1"/>
    <w:rsid w:val="00BA5214"/>
    <w:rsid w:val="00BA6995"/>
    <w:rsid w:val="00BA7AEF"/>
    <w:rsid w:val="00BB17A5"/>
    <w:rsid w:val="00BB58D7"/>
    <w:rsid w:val="00BC2BB0"/>
    <w:rsid w:val="00BC5756"/>
    <w:rsid w:val="00BC61B8"/>
    <w:rsid w:val="00BD04BA"/>
    <w:rsid w:val="00BD1D08"/>
    <w:rsid w:val="00BD7346"/>
    <w:rsid w:val="00BD7888"/>
    <w:rsid w:val="00BE0891"/>
    <w:rsid w:val="00BE17C1"/>
    <w:rsid w:val="00BE1BDE"/>
    <w:rsid w:val="00BE27BD"/>
    <w:rsid w:val="00BE5D9E"/>
    <w:rsid w:val="00BE74B7"/>
    <w:rsid w:val="00BE7BEE"/>
    <w:rsid w:val="00BF0219"/>
    <w:rsid w:val="00BF5E0C"/>
    <w:rsid w:val="00C00A91"/>
    <w:rsid w:val="00C02C2A"/>
    <w:rsid w:val="00C044AC"/>
    <w:rsid w:val="00C13122"/>
    <w:rsid w:val="00C1465C"/>
    <w:rsid w:val="00C16938"/>
    <w:rsid w:val="00C24951"/>
    <w:rsid w:val="00C2531E"/>
    <w:rsid w:val="00C25856"/>
    <w:rsid w:val="00C25ADD"/>
    <w:rsid w:val="00C27F28"/>
    <w:rsid w:val="00C3306B"/>
    <w:rsid w:val="00C33A9A"/>
    <w:rsid w:val="00C3685F"/>
    <w:rsid w:val="00C37641"/>
    <w:rsid w:val="00C37B12"/>
    <w:rsid w:val="00C415FB"/>
    <w:rsid w:val="00C46D8A"/>
    <w:rsid w:val="00C5249A"/>
    <w:rsid w:val="00C53DA4"/>
    <w:rsid w:val="00C552D8"/>
    <w:rsid w:val="00C642BF"/>
    <w:rsid w:val="00C677B4"/>
    <w:rsid w:val="00C71801"/>
    <w:rsid w:val="00C73789"/>
    <w:rsid w:val="00C73B0B"/>
    <w:rsid w:val="00C73E30"/>
    <w:rsid w:val="00C74540"/>
    <w:rsid w:val="00C756C7"/>
    <w:rsid w:val="00C76720"/>
    <w:rsid w:val="00C8389B"/>
    <w:rsid w:val="00C87C13"/>
    <w:rsid w:val="00C91397"/>
    <w:rsid w:val="00CB2C69"/>
    <w:rsid w:val="00CB30D2"/>
    <w:rsid w:val="00CB4572"/>
    <w:rsid w:val="00CB4E7C"/>
    <w:rsid w:val="00CC0AAA"/>
    <w:rsid w:val="00CC1E22"/>
    <w:rsid w:val="00CD3F91"/>
    <w:rsid w:val="00CD61AD"/>
    <w:rsid w:val="00CD6A4C"/>
    <w:rsid w:val="00CE1EF7"/>
    <w:rsid w:val="00CE2E19"/>
    <w:rsid w:val="00CE5E66"/>
    <w:rsid w:val="00CE620E"/>
    <w:rsid w:val="00CF137D"/>
    <w:rsid w:val="00CF16C6"/>
    <w:rsid w:val="00CF2BFB"/>
    <w:rsid w:val="00CF4AA9"/>
    <w:rsid w:val="00D0081F"/>
    <w:rsid w:val="00D011A2"/>
    <w:rsid w:val="00D05303"/>
    <w:rsid w:val="00D07E7A"/>
    <w:rsid w:val="00D120A6"/>
    <w:rsid w:val="00D1320C"/>
    <w:rsid w:val="00D172A4"/>
    <w:rsid w:val="00D2413C"/>
    <w:rsid w:val="00D305F6"/>
    <w:rsid w:val="00D34D42"/>
    <w:rsid w:val="00D37BF9"/>
    <w:rsid w:val="00D4202D"/>
    <w:rsid w:val="00D42EB8"/>
    <w:rsid w:val="00D47327"/>
    <w:rsid w:val="00D54DA6"/>
    <w:rsid w:val="00D55002"/>
    <w:rsid w:val="00D55024"/>
    <w:rsid w:val="00D55064"/>
    <w:rsid w:val="00D557B9"/>
    <w:rsid w:val="00D62ECF"/>
    <w:rsid w:val="00D650A3"/>
    <w:rsid w:val="00D65879"/>
    <w:rsid w:val="00D70884"/>
    <w:rsid w:val="00D730E0"/>
    <w:rsid w:val="00D74635"/>
    <w:rsid w:val="00D7567B"/>
    <w:rsid w:val="00D777EA"/>
    <w:rsid w:val="00D77CA8"/>
    <w:rsid w:val="00D824E1"/>
    <w:rsid w:val="00D901C1"/>
    <w:rsid w:val="00D91605"/>
    <w:rsid w:val="00D92EBA"/>
    <w:rsid w:val="00DA0DCD"/>
    <w:rsid w:val="00DC407B"/>
    <w:rsid w:val="00DC41D5"/>
    <w:rsid w:val="00DD0257"/>
    <w:rsid w:val="00DD0E08"/>
    <w:rsid w:val="00DE107B"/>
    <w:rsid w:val="00DE2BFE"/>
    <w:rsid w:val="00DE3EE3"/>
    <w:rsid w:val="00DE411E"/>
    <w:rsid w:val="00DE4C5F"/>
    <w:rsid w:val="00DF2640"/>
    <w:rsid w:val="00DF7D0F"/>
    <w:rsid w:val="00E07456"/>
    <w:rsid w:val="00E079BF"/>
    <w:rsid w:val="00E07BEC"/>
    <w:rsid w:val="00E10354"/>
    <w:rsid w:val="00E11DFC"/>
    <w:rsid w:val="00E12656"/>
    <w:rsid w:val="00E15837"/>
    <w:rsid w:val="00E17CAD"/>
    <w:rsid w:val="00E2018E"/>
    <w:rsid w:val="00E23849"/>
    <w:rsid w:val="00E319E3"/>
    <w:rsid w:val="00E32DB3"/>
    <w:rsid w:val="00E3300A"/>
    <w:rsid w:val="00E36786"/>
    <w:rsid w:val="00E42A27"/>
    <w:rsid w:val="00E4717D"/>
    <w:rsid w:val="00E563E0"/>
    <w:rsid w:val="00E56E6C"/>
    <w:rsid w:val="00E6063D"/>
    <w:rsid w:val="00E61341"/>
    <w:rsid w:val="00E61CE1"/>
    <w:rsid w:val="00E635A2"/>
    <w:rsid w:val="00E6603C"/>
    <w:rsid w:val="00E709EA"/>
    <w:rsid w:val="00E73B7B"/>
    <w:rsid w:val="00E7547A"/>
    <w:rsid w:val="00E87665"/>
    <w:rsid w:val="00E90E71"/>
    <w:rsid w:val="00E94B00"/>
    <w:rsid w:val="00EA051D"/>
    <w:rsid w:val="00EA14ED"/>
    <w:rsid w:val="00EA2524"/>
    <w:rsid w:val="00EA2589"/>
    <w:rsid w:val="00EA31DD"/>
    <w:rsid w:val="00EA3FAE"/>
    <w:rsid w:val="00EA4F75"/>
    <w:rsid w:val="00EA6FC7"/>
    <w:rsid w:val="00EA746C"/>
    <w:rsid w:val="00EB0AFA"/>
    <w:rsid w:val="00EB1EC9"/>
    <w:rsid w:val="00EB206C"/>
    <w:rsid w:val="00EB37D2"/>
    <w:rsid w:val="00EB70C9"/>
    <w:rsid w:val="00EC4628"/>
    <w:rsid w:val="00EC57E0"/>
    <w:rsid w:val="00EC79CB"/>
    <w:rsid w:val="00ED181F"/>
    <w:rsid w:val="00ED1878"/>
    <w:rsid w:val="00ED3708"/>
    <w:rsid w:val="00ED54D1"/>
    <w:rsid w:val="00ED5D6F"/>
    <w:rsid w:val="00EE0391"/>
    <w:rsid w:val="00EE566F"/>
    <w:rsid w:val="00EE6694"/>
    <w:rsid w:val="00EF283C"/>
    <w:rsid w:val="00EF43AA"/>
    <w:rsid w:val="00EF5D40"/>
    <w:rsid w:val="00EF6AF4"/>
    <w:rsid w:val="00EF7464"/>
    <w:rsid w:val="00F03E30"/>
    <w:rsid w:val="00F2007F"/>
    <w:rsid w:val="00F2058B"/>
    <w:rsid w:val="00F206FD"/>
    <w:rsid w:val="00F217FF"/>
    <w:rsid w:val="00F263D0"/>
    <w:rsid w:val="00F3088D"/>
    <w:rsid w:val="00F31FFC"/>
    <w:rsid w:val="00F36C1F"/>
    <w:rsid w:val="00F37BC3"/>
    <w:rsid w:val="00F478AF"/>
    <w:rsid w:val="00F54F9B"/>
    <w:rsid w:val="00F560F4"/>
    <w:rsid w:val="00F57301"/>
    <w:rsid w:val="00F64F0C"/>
    <w:rsid w:val="00F679BD"/>
    <w:rsid w:val="00F75B7B"/>
    <w:rsid w:val="00F77DE1"/>
    <w:rsid w:val="00F81EDB"/>
    <w:rsid w:val="00F920E5"/>
    <w:rsid w:val="00F94CAA"/>
    <w:rsid w:val="00FA39BF"/>
    <w:rsid w:val="00FA5D4B"/>
    <w:rsid w:val="00FA5DD9"/>
    <w:rsid w:val="00FB6622"/>
    <w:rsid w:val="00FC04DB"/>
    <w:rsid w:val="00FD22F5"/>
    <w:rsid w:val="00FD2C81"/>
    <w:rsid w:val="00FD31A6"/>
    <w:rsid w:val="00FD6FD8"/>
    <w:rsid w:val="00FE1A8D"/>
    <w:rsid w:val="00FE7FA7"/>
    <w:rsid w:val="00FF180F"/>
    <w:rsid w:val="00FF32B5"/>
    <w:rsid w:val="00FF5353"/>
    <w:rsid w:val="00FF587F"/>
    <w:rsid w:val="01EA58AF"/>
    <w:rsid w:val="0AC817A4"/>
    <w:rsid w:val="18DE259E"/>
    <w:rsid w:val="1BD1FE61"/>
    <w:rsid w:val="371999FB"/>
    <w:rsid w:val="3CBC995D"/>
    <w:rsid w:val="43500F95"/>
    <w:rsid w:val="4F312600"/>
    <w:rsid w:val="736817B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10C92"/>
  <w15:chartTrackingRefBased/>
  <w15:docId w15:val="{B01CD3F7-34EC-4C47-9FA9-B0D6ECE34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E0"/>
    <w:pPr>
      <w:spacing w:after="200" w:line="276" w:lineRule="auto"/>
      <w:jc w:val="both"/>
    </w:pPr>
    <w:rPr>
      <w:sz w:val="24"/>
    </w:rPr>
  </w:style>
  <w:style w:type="paragraph" w:styleId="Heading1">
    <w:name w:val="heading 1"/>
    <w:basedOn w:val="Normal"/>
    <w:next w:val="Normal"/>
    <w:link w:val="Heading1Char"/>
    <w:uiPriority w:val="9"/>
    <w:qFormat/>
    <w:rsid w:val="00E563E0"/>
    <w:pPr>
      <w:keepNext/>
      <w:keepLines/>
      <w:spacing w:before="240" w:after="0"/>
      <w:jc w:val="center"/>
      <w:outlineLvl w:val="0"/>
    </w:pPr>
    <w:rPr>
      <w:rFonts w:ascii="Bahnschrift SemiLight Condensed" w:eastAsiaTheme="majorEastAsia" w:hAnsi="Bahnschrift SemiLight Condensed"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066809"/>
    <w:pPr>
      <w:keepNext/>
      <w:keepLines/>
      <w:spacing w:before="40" w:after="0"/>
      <w:jc w:val="left"/>
      <w:outlineLvl w:val="1"/>
    </w:pPr>
    <w:rPr>
      <w:rFonts w:ascii="Bahnschrift SemiLight Condensed" w:eastAsiaTheme="majorEastAsia" w:hAnsi="Bahnschrift SemiLight Condensed"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BA6995"/>
    <w:pPr>
      <w:keepNext/>
      <w:keepLines/>
      <w:spacing w:before="40" w:after="0"/>
      <w:outlineLvl w:val="2"/>
    </w:pPr>
    <w:rPr>
      <w:rFonts w:ascii="Bahnschrift SemiLight Condensed" w:eastAsiaTheme="majorEastAsia" w:hAnsi="Bahnschrift SemiLight Condensed" w:cstheme="majorBidi"/>
      <w:color w:val="1F4D78" w:themeColor="accent1" w:themeShade="7F"/>
      <w:sz w:val="26"/>
      <w:szCs w:val="24"/>
    </w:rPr>
  </w:style>
  <w:style w:type="paragraph" w:styleId="Heading4">
    <w:name w:val="heading 4"/>
    <w:basedOn w:val="Normal"/>
    <w:next w:val="Normal"/>
    <w:link w:val="Heading4Char"/>
    <w:uiPriority w:val="9"/>
    <w:semiHidden/>
    <w:unhideWhenUsed/>
    <w:qFormat/>
    <w:rsid w:val="00EA051D"/>
    <w:pPr>
      <w:keepNext/>
      <w:keepLines/>
      <w:spacing w:before="40" w:after="0"/>
      <w:outlineLvl w:val="3"/>
    </w:pPr>
    <w:rPr>
      <w:rFonts w:asciiTheme="majorHAnsi" w:eastAsiaTheme="majorEastAsia" w:hAnsiTheme="majorHAnsi" w:cstheme="majorBidi"/>
      <w:i/>
      <w:iCs/>
      <w:color w:val="2E74B5" w:themeColor="accent1" w:themeShade="BF"/>
      <w:lang w:eastAsia="en-GB"/>
    </w:rPr>
  </w:style>
  <w:style w:type="paragraph" w:styleId="Heading5">
    <w:name w:val="heading 5"/>
    <w:basedOn w:val="Normal"/>
    <w:next w:val="Normal"/>
    <w:link w:val="Heading5Char"/>
    <w:uiPriority w:val="9"/>
    <w:semiHidden/>
    <w:unhideWhenUsed/>
    <w:qFormat/>
    <w:rsid w:val="00EA051D"/>
    <w:pPr>
      <w:keepNext/>
      <w:keepLines/>
      <w:spacing w:before="220" w:after="40"/>
      <w:jc w:val="left"/>
      <w:outlineLvl w:val="4"/>
    </w:pPr>
    <w:rPr>
      <w:rFonts w:ascii="Calibri" w:eastAsia="Calibri" w:hAnsi="Calibri" w:cs="Calibri"/>
      <w:b/>
      <w:sz w:val="22"/>
      <w:lang w:eastAsia="en-GB"/>
    </w:rPr>
  </w:style>
  <w:style w:type="paragraph" w:styleId="Heading6">
    <w:name w:val="heading 6"/>
    <w:basedOn w:val="Normal"/>
    <w:next w:val="Normal"/>
    <w:link w:val="Heading6Char"/>
    <w:uiPriority w:val="9"/>
    <w:semiHidden/>
    <w:unhideWhenUsed/>
    <w:qFormat/>
    <w:rsid w:val="00EA051D"/>
    <w:pPr>
      <w:keepNext/>
      <w:keepLines/>
      <w:spacing w:before="200" w:after="40"/>
      <w:jc w:val="left"/>
      <w:outlineLvl w:val="5"/>
    </w:pPr>
    <w:rPr>
      <w:rFonts w:ascii="Calibri" w:eastAsia="Calibri" w:hAnsi="Calibri" w:cs="Calibr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3E0"/>
    <w:rPr>
      <w:rFonts w:ascii="Bahnschrift SemiLight Condensed" w:eastAsiaTheme="majorEastAsia" w:hAnsi="Bahnschrift SemiLight Condensed" w:cstheme="majorBidi"/>
      <w:color w:val="1F4E79" w:themeColor="accent1" w:themeShade="80"/>
      <w:sz w:val="32"/>
      <w:szCs w:val="32"/>
    </w:rPr>
  </w:style>
  <w:style w:type="paragraph" w:styleId="Header">
    <w:name w:val="header"/>
    <w:basedOn w:val="Normal"/>
    <w:link w:val="HeaderChar"/>
    <w:uiPriority w:val="99"/>
    <w:unhideWhenUsed/>
    <w:rsid w:val="008461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61EF"/>
    <w:rPr>
      <w:sz w:val="24"/>
    </w:rPr>
  </w:style>
  <w:style w:type="paragraph" w:styleId="Footer">
    <w:name w:val="footer"/>
    <w:basedOn w:val="Normal"/>
    <w:link w:val="FooterChar"/>
    <w:uiPriority w:val="99"/>
    <w:unhideWhenUsed/>
    <w:rsid w:val="008461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61EF"/>
    <w:rPr>
      <w:sz w:val="24"/>
    </w:rPr>
  </w:style>
  <w:style w:type="table" w:customStyle="1" w:styleId="TableGrid1">
    <w:name w:val="Table Grid1"/>
    <w:basedOn w:val="TableNormal"/>
    <w:next w:val="TableGrid"/>
    <w:uiPriority w:val="39"/>
    <w:rsid w:val="00EB37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B3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B2C69"/>
    <w:rPr>
      <w:color w:val="0000FF"/>
      <w:u w:val="single"/>
    </w:rPr>
  </w:style>
  <w:style w:type="paragraph" w:styleId="FootnoteText">
    <w:name w:val="footnote text"/>
    <w:aliases w:val="Geneva 9,Font: Geneva 9,Boston 10,f,Footnote Text Char Char,Footnote Text Char Char Char Char,Footnote Text1,Footnote Text Char Char Char,93,single space,Footnote Text Rail EIS,ft,Char,footnote3,Footnotes,Footnote ak,fn cafc,fn Char Char,o"/>
    <w:basedOn w:val="Normal"/>
    <w:link w:val="FootnoteTextChar"/>
    <w:uiPriority w:val="99"/>
    <w:unhideWhenUsed/>
    <w:qFormat/>
    <w:rsid w:val="00CB2C69"/>
    <w:pPr>
      <w:spacing w:after="0" w:line="240" w:lineRule="auto"/>
      <w:jc w:val="left"/>
    </w:pPr>
    <w:rPr>
      <w:sz w:val="20"/>
      <w:szCs w:val="20"/>
    </w:rPr>
  </w:style>
  <w:style w:type="character" w:customStyle="1" w:styleId="FootnoteTextChar">
    <w:name w:val="Footnote Text Char"/>
    <w:aliases w:val="Geneva 9 Char,Font: Geneva 9 Char,Boston 10 Char,f Char,Footnote Text Char Char Char1,Footnote Text Char Char Char Char Char,Footnote Text1 Char,Footnote Text Char Char Char Char1,93 Char,single space Char,Footnote Text Rail EIS Char"/>
    <w:basedOn w:val="DefaultParagraphFont"/>
    <w:link w:val="FootnoteText"/>
    <w:uiPriority w:val="99"/>
    <w:qFormat/>
    <w:rsid w:val="00CB2C69"/>
    <w:rPr>
      <w:sz w:val="20"/>
      <w:szCs w:val="20"/>
    </w:rPr>
  </w:style>
  <w:style w:type="character" w:styleId="FootnoteReference">
    <w:name w:val="footnote reference"/>
    <w:aliases w:val="16 Point,Superscript 6 Point,number,SUPERS,Footnote Reference Superscript,ftref,(Ref. de nota al pie),Footnote symbol,Footnote Reference Number,fr,Footnote Refernece,Odwołanie przypisu,BVI fnr,Footnotes refss,Ref,de nota al pie"/>
    <w:basedOn w:val="DefaultParagraphFont"/>
    <w:link w:val="FootnotesymbolCarZchn"/>
    <w:uiPriority w:val="99"/>
    <w:unhideWhenUsed/>
    <w:qFormat/>
    <w:rsid w:val="00CB2C6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B2C69"/>
    <w:pPr>
      <w:spacing w:after="160" w:line="240" w:lineRule="exact"/>
    </w:pPr>
    <w:rPr>
      <w:sz w:val="22"/>
      <w:vertAlign w:val="superscript"/>
    </w:rPr>
  </w:style>
  <w:style w:type="character" w:styleId="Hyperlink">
    <w:name w:val="Hyperlink"/>
    <w:basedOn w:val="DefaultParagraphFont"/>
    <w:uiPriority w:val="99"/>
    <w:unhideWhenUsed/>
    <w:rsid w:val="00CB2C69"/>
    <w:rPr>
      <w:color w:val="0563C1" w:themeColor="hyperlink"/>
      <w:u w:val="single"/>
    </w:rPr>
  </w:style>
  <w:style w:type="paragraph" w:styleId="ListParagraph">
    <w:name w:val="List Paragraph"/>
    <w:aliases w:val="2,Strip,Akapit z listą BS,Bullet 1,Bullet Points,Dot pt,F5 List Paragraph,Heading 2_sj,IFCL - List Paragraph,Indicator Text,List Paragraph Char Char Char,List Paragraph1,List Paragraph12,MAIN CONTENT,No Spacing1,Numbered Para 1,OBC Bullet"/>
    <w:basedOn w:val="Normal"/>
    <w:uiPriority w:val="34"/>
    <w:qFormat/>
    <w:rsid w:val="008F279C"/>
    <w:pPr>
      <w:ind w:left="720"/>
      <w:contextualSpacing/>
      <w:jc w:val="left"/>
    </w:pPr>
    <w:rPr>
      <w:sz w:val="22"/>
    </w:rPr>
  </w:style>
  <w:style w:type="character" w:customStyle="1" w:styleId="Heading2Char">
    <w:name w:val="Heading 2 Char"/>
    <w:basedOn w:val="DefaultParagraphFont"/>
    <w:link w:val="Heading2"/>
    <w:uiPriority w:val="9"/>
    <w:rsid w:val="00066809"/>
    <w:rPr>
      <w:rFonts w:ascii="Bahnschrift SemiLight Condensed" w:eastAsiaTheme="majorEastAsia" w:hAnsi="Bahnschrift SemiLight Condensed" w:cstheme="majorBidi"/>
      <w:color w:val="2E74B5" w:themeColor="accent1" w:themeShade="BF"/>
      <w:sz w:val="28"/>
      <w:szCs w:val="26"/>
    </w:rPr>
  </w:style>
  <w:style w:type="table" w:customStyle="1" w:styleId="TableGrid2">
    <w:name w:val="Table Grid2"/>
    <w:basedOn w:val="TableNormal"/>
    <w:next w:val="TableGrid"/>
    <w:uiPriority w:val="59"/>
    <w:rsid w:val="00EF6AF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F6AF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8659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90E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420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420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70275"/>
    <w:pPr>
      <w:spacing w:line="259" w:lineRule="auto"/>
      <w:jc w:val="left"/>
      <w:outlineLvl w:val="9"/>
    </w:pPr>
    <w:rPr>
      <w:rFonts w:asciiTheme="majorHAnsi" w:hAnsiTheme="majorHAnsi"/>
      <w:color w:val="2E74B5" w:themeColor="accent1" w:themeShade="BF"/>
      <w:lang w:val="en-US"/>
    </w:rPr>
  </w:style>
  <w:style w:type="paragraph" w:styleId="TOC1">
    <w:name w:val="toc 1"/>
    <w:basedOn w:val="Normal"/>
    <w:next w:val="Normal"/>
    <w:autoRedefine/>
    <w:uiPriority w:val="39"/>
    <w:unhideWhenUsed/>
    <w:rsid w:val="00470275"/>
    <w:pPr>
      <w:spacing w:before="360" w:after="0"/>
      <w:jc w:val="left"/>
    </w:pPr>
    <w:rPr>
      <w:rFonts w:asciiTheme="majorHAnsi" w:hAnsiTheme="majorHAnsi" w:cstheme="majorHAnsi"/>
      <w:b/>
      <w:bCs/>
      <w:caps/>
      <w:szCs w:val="24"/>
    </w:rPr>
  </w:style>
  <w:style w:type="paragraph" w:styleId="TOC2">
    <w:name w:val="toc 2"/>
    <w:basedOn w:val="Normal"/>
    <w:next w:val="Normal"/>
    <w:autoRedefine/>
    <w:uiPriority w:val="39"/>
    <w:unhideWhenUsed/>
    <w:rsid w:val="004227EA"/>
    <w:pPr>
      <w:tabs>
        <w:tab w:val="right" w:leader="dot" w:pos="8494"/>
      </w:tabs>
      <w:spacing w:after="0"/>
      <w:jc w:val="left"/>
    </w:pPr>
    <w:rPr>
      <w:rFonts w:cstheme="minorHAnsi"/>
      <w:b/>
      <w:bCs/>
      <w:sz w:val="20"/>
      <w:szCs w:val="20"/>
    </w:rPr>
  </w:style>
  <w:style w:type="paragraph" w:styleId="NormalWeb">
    <w:name w:val="Normal (Web)"/>
    <w:basedOn w:val="Normal"/>
    <w:uiPriority w:val="99"/>
    <w:unhideWhenUsed/>
    <w:rsid w:val="0051394E"/>
    <w:pPr>
      <w:spacing w:before="100" w:beforeAutospacing="1" w:after="100" w:afterAutospacing="1" w:line="240" w:lineRule="auto"/>
      <w:jc w:val="left"/>
    </w:pPr>
    <w:rPr>
      <w:rFonts w:ascii="Times New Roman" w:eastAsia="Times New Roman" w:hAnsi="Times New Roman" w:cs="Times New Roman"/>
      <w:szCs w:val="24"/>
      <w:lang w:val="en-US"/>
    </w:rPr>
  </w:style>
  <w:style w:type="table" w:customStyle="1" w:styleId="TableGrid8">
    <w:name w:val="Table Grid8"/>
    <w:basedOn w:val="TableNormal"/>
    <w:next w:val="TableGrid"/>
    <w:uiPriority w:val="59"/>
    <w:rsid w:val="00526F9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92C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B37B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5697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A6995"/>
    <w:rPr>
      <w:rFonts w:ascii="Bahnschrift SemiLight Condensed" w:eastAsiaTheme="majorEastAsia" w:hAnsi="Bahnschrift SemiLight Condensed" w:cstheme="majorBidi"/>
      <w:color w:val="1F4D78" w:themeColor="accent1" w:themeShade="7F"/>
      <w:sz w:val="26"/>
      <w:szCs w:val="24"/>
    </w:rPr>
  </w:style>
  <w:style w:type="paragraph" w:styleId="ListBullet">
    <w:name w:val="List Bullet"/>
    <w:basedOn w:val="Normal"/>
    <w:uiPriority w:val="99"/>
    <w:unhideWhenUsed/>
    <w:rsid w:val="002E024E"/>
    <w:pPr>
      <w:numPr>
        <w:numId w:val="5"/>
      </w:numPr>
      <w:contextualSpacing/>
      <w:jc w:val="left"/>
    </w:pPr>
    <w:rPr>
      <w:rFonts w:ascii="Calibri" w:eastAsia="Calibri" w:hAnsi="Calibri" w:cs="Calibri"/>
      <w:sz w:val="22"/>
      <w:lang w:eastAsia="en-GB"/>
    </w:rPr>
  </w:style>
  <w:style w:type="table" w:customStyle="1" w:styleId="TableGrid12">
    <w:name w:val="Table Grid12"/>
    <w:basedOn w:val="TableNormal"/>
    <w:next w:val="TableGrid"/>
    <w:uiPriority w:val="39"/>
    <w:rsid w:val="006E0EDB"/>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74740"/>
    <w:pPr>
      <w:spacing w:after="0"/>
      <w:ind w:left="240"/>
      <w:jc w:val="left"/>
    </w:pPr>
    <w:rPr>
      <w:rFonts w:cstheme="minorHAnsi"/>
      <w:sz w:val="20"/>
      <w:szCs w:val="20"/>
    </w:rPr>
  </w:style>
  <w:style w:type="character" w:customStyle="1" w:styleId="Heading4Char">
    <w:name w:val="Heading 4 Char"/>
    <w:basedOn w:val="DefaultParagraphFont"/>
    <w:link w:val="Heading4"/>
    <w:uiPriority w:val="9"/>
    <w:semiHidden/>
    <w:rsid w:val="00EA051D"/>
    <w:rPr>
      <w:rFonts w:asciiTheme="majorHAnsi" w:eastAsiaTheme="majorEastAsia" w:hAnsiTheme="majorHAnsi" w:cstheme="majorBidi"/>
      <w:i/>
      <w:iCs/>
      <w:color w:val="2E74B5" w:themeColor="accent1" w:themeShade="BF"/>
      <w:sz w:val="24"/>
      <w:lang w:eastAsia="en-GB"/>
    </w:rPr>
  </w:style>
  <w:style w:type="character" w:customStyle="1" w:styleId="Heading5Char">
    <w:name w:val="Heading 5 Char"/>
    <w:basedOn w:val="DefaultParagraphFont"/>
    <w:link w:val="Heading5"/>
    <w:uiPriority w:val="9"/>
    <w:semiHidden/>
    <w:rsid w:val="00EA051D"/>
    <w:rPr>
      <w:rFonts w:ascii="Calibri" w:eastAsia="Calibri" w:hAnsi="Calibri" w:cs="Calibri"/>
      <w:b/>
      <w:lang w:eastAsia="en-GB"/>
    </w:rPr>
  </w:style>
  <w:style w:type="character" w:customStyle="1" w:styleId="Heading6Char">
    <w:name w:val="Heading 6 Char"/>
    <w:basedOn w:val="DefaultParagraphFont"/>
    <w:link w:val="Heading6"/>
    <w:uiPriority w:val="9"/>
    <w:semiHidden/>
    <w:rsid w:val="00EA051D"/>
    <w:rPr>
      <w:rFonts w:ascii="Calibri" w:eastAsia="Calibri" w:hAnsi="Calibri" w:cs="Calibri"/>
      <w:b/>
      <w:sz w:val="20"/>
      <w:szCs w:val="20"/>
      <w:lang w:eastAsia="en-GB"/>
    </w:rPr>
  </w:style>
  <w:style w:type="paragraph" w:styleId="Title">
    <w:name w:val="Title"/>
    <w:basedOn w:val="Normal"/>
    <w:link w:val="TitleChar"/>
    <w:qFormat/>
    <w:rsid w:val="00EA051D"/>
    <w:pPr>
      <w:autoSpaceDN w:val="0"/>
      <w:spacing w:after="0" w:line="240" w:lineRule="auto"/>
      <w:jc w:val="center"/>
    </w:pPr>
    <w:rPr>
      <w:rFonts w:ascii="Times New Roman" w:eastAsia="Times New Roman" w:hAnsi="Times New Roman" w:cs="Times New Roman"/>
      <w:b/>
      <w:bCs/>
      <w:caps/>
      <w:sz w:val="28"/>
      <w:szCs w:val="24"/>
      <w:lang w:eastAsia="lv-LV"/>
    </w:rPr>
  </w:style>
  <w:style w:type="character" w:customStyle="1" w:styleId="TitleChar">
    <w:name w:val="Title Char"/>
    <w:basedOn w:val="DefaultParagraphFont"/>
    <w:link w:val="Title"/>
    <w:rsid w:val="00EA051D"/>
    <w:rPr>
      <w:rFonts w:ascii="Times New Roman" w:eastAsia="Times New Roman" w:hAnsi="Times New Roman" w:cs="Times New Roman"/>
      <w:b/>
      <w:bCs/>
      <w:caps/>
      <w:sz w:val="28"/>
      <w:szCs w:val="24"/>
      <w:lang w:eastAsia="lv-LV"/>
    </w:rPr>
  </w:style>
  <w:style w:type="character" w:customStyle="1" w:styleId="UnresolvedMention1">
    <w:name w:val="Unresolved Mention1"/>
    <w:basedOn w:val="DefaultParagraphFont"/>
    <w:uiPriority w:val="99"/>
    <w:rsid w:val="00EA051D"/>
    <w:rPr>
      <w:color w:val="605E5C"/>
      <w:shd w:val="clear" w:color="auto" w:fill="E1DFDD"/>
    </w:rPr>
  </w:style>
  <w:style w:type="character" w:customStyle="1" w:styleId="ListParagraphChar">
    <w:name w:val="List Paragraph Char"/>
    <w:aliases w:val="2 Char,Strip Char,Akapit z listą BS Char,Bullet 1 Char,Bullet Points Char,Dot pt Char,F5 List Paragraph Char,Heading 2_sj Char,IFCL - List Paragraph Char,Indicator Text Char,List Paragraph Char Char Char Char,List Paragraph1 Char"/>
    <w:uiPriority w:val="34"/>
    <w:qFormat/>
    <w:rsid w:val="00EA051D"/>
    <w:rPr>
      <w:lang w:val="lv-LV"/>
    </w:rPr>
  </w:style>
  <w:style w:type="paragraph" w:styleId="BalloonText">
    <w:name w:val="Balloon Text"/>
    <w:basedOn w:val="Normal"/>
    <w:link w:val="BalloonTextChar1"/>
    <w:uiPriority w:val="99"/>
    <w:rsid w:val="00EA051D"/>
    <w:pPr>
      <w:suppressAutoHyphens/>
      <w:autoSpaceDN w:val="0"/>
      <w:spacing w:after="0" w:line="240" w:lineRule="auto"/>
      <w:jc w:val="left"/>
      <w:textAlignment w:val="baseline"/>
    </w:pPr>
    <w:rPr>
      <w:rFonts w:ascii="Segoe UI" w:eastAsia="Calibri" w:hAnsi="Segoe UI" w:cs="Segoe UI"/>
      <w:sz w:val="18"/>
      <w:szCs w:val="18"/>
      <w:lang w:eastAsia="en-GB"/>
    </w:rPr>
  </w:style>
  <w:style w:type="character" w:customStyle="1" w:styleId="BalloonTextChar">
    <w:name w:val="Balloon Text Char"/>
    <w:basedOn w:val="DefaultParagraphFont"/>
    <w:uiPriority w:val="99"/>
    <w:rsid w:val="00EA051D"/>
    <w:rPr>
      <w:rFonts w:ascii="Segoe UI" w:hAnsi="Segoe UI" w:cs="Segoe UI"/>
      <w:sz w:val="18"/>
      <w:szCs w:val="18"/>
    </w:rPr>
  </w:style>
  <w:style w:type="paragraph" w:styleId="Revision">
    <w:name w:val="Revision"/>
    <w:rsid w:val="00EA051D"/>
    <w:pPr>
      <w:autoSpaceDN w:val="0"/>
      <w:spacing w:after="0" w:line="240" w:lineRule="auto"/>
    </w:pPr>
    <w:rPr>
      <w:rFonts w:ascii="Calibri" w:eastAsia="Calibri" w:hAnsi="Calibri" w:cs="Times New Roman"/>
      <w:lang w:eastAsia="en-GB"/>
    </w:rPr>
  </w:style>
  <w:style w:type="character" w:styleId="CommentReference">
    <w:name w:val="annotation reference"/>
    <w:basedOn w:val="DefaultParagraphFont"/>
    <w:uiPriority w:val="99"/>
    <w:unhideWhenUsed/>
    <w:rsid w:val="00EA051D"/>
    <w:rPr>
      <w:sz w:val="16"/>
      <w:szCs w:val="16"/>
    </w:rPr>
  </w:style>
  <w:style w:type="paragraph" w:styleId="CommentText">
    <w:name w:val="annotation text"/>
    <w:basedOn w:val="Normal"/>
    <w:link w:val="CommentTextChar"/>
    <w:uiPriority w:val="99"/>
    <w:unhideWhenUsed/>
    <w:rsid w:val="00EA051D"/>
    <w:pPr>
      <w:spacing w:after="160" w:line="240" w:lineRule="auto"/>
      <w:jc w:val="left"/>
    </w:pPr>
    <w:rPr>
      <w:rFonts w:ascii="Calibri" w:eastAsia="Calibri" w:hAnsi="Calibri" w:cs="Calibri"/>
      <w:sz w:val="20"/>
      <w:szCs w:val="20"/>
      <w:lang w:eastAsia="en-GB"/>
    </w:rPr>
  </w:style>
  <w:style w:type="character" w:customStyle="1" w:styleId="CommentTextChar">
    <w:name w:val="Comment Text Char"/>
    <w:basedOn w:val="DefaultParagraphFont"/>
    <w:link w:val="CommentText"/>
    <w:uiPriority w:val="99"/>
    <w:rsid w:val="00EA051D"/>
    <w:rPr>
      <w:rFonts w:ascii="Calibri" w:eastAsia="Calibri" w:hAnsi="Calibri" w:cs="Calibri"/>
      <w:sz w:val="20"/>
      <w:szCs w:val="20"/>
      <w:lang w:eastAsia="en-GB"/>
    </w:rPr>
  </w:style>
  <w:style w:type="character" w:customStyle="1" w:styleId="a">
    <w:name w:val="_"/>
    <w:basedOn w:val="DefaultParagraphFont"/>
    <w:rsid w:val="00EA051D"/>
  </w:style>
  <w:style w:type="paragraph" w:styleId="NoSpacing">
    <w:name w:val="No Spacing"/>
    <w:link w:val="NoSpacingChar"/>
    <w:qFormat/>
    <w:rsid w:val="00EA051D"/>
    <w:pPr>
      <w:spacing w:after="0" w:line="240" w:lineRule="auto"/>
    </w:pPr>
    <w:rPr>
      <w:rFonts w:ascii="Calibri" w:eastAsiaTheme="minorEastAsia" w:hAnsi="Calibri" w:cs="Calibri"/>
      <w:lang w:eastAsia="en-GB"/>
    </w:rPr>
  </w:style>
  <w:style w:type="character" w:customStyle="1" w:styleId="NoSpacingChar">
    <w:name w:val="No Spacing Char"/>
    <w:basedOn w:val="DefaultParagraphFont"/>
    <w:link w:val="NoSpacing"/>
    <w:rsid w:val="00EA051D"/>
    <w:rPr>
      <w:rFonts w:ascii="Calibri" w:eastAsiaTheme="minorEastAsia" w:hAnsi="Calibri" w:cs="Calibri"/>
      <w:lang w:eastAsia="en-GB"/>
    </w:rPr>
  </w:style>
  <w:style w:type="character" w:customStyle="1" w:styleId="CommentTextChar1">
    <w:name w:val="Comment Text Char1"/>
    <w:basedOn w:val="DefaultParagraphFont"/>
    <w:rsid w:val="00EA051D"/>
    <w:rPr>
      <w:sz w:val="20"/>
      <w:szCs w:val="20"/>
    </w:rPr>
  </w:style>
  <w:style w:type="paragraph" w:styleId="CommentSubject">
    <w:name w:val="annotation subject"/>
    <w:basedOn w:val="CommentText"/>
    <w:next w:val="CommentText"/>
    <w:link w:val="CommentSubjectChar1"/>
    <w:uiPriority w:val="99"/>
    <w:unhideWhenUsed/>
    <w:rsid w:val="00EA051D"/>
    <w:pPr>
      <w:spacing w:after="200"/>
      <w:jc w:val="both"/>
    </w:pPr>
    <w:rPr>
      <w:b/>
      <w:bCs/>
    </w:rPr>
  </w:style>
  <w:style w:type="character" w:customStyle="1" w:styleId="CommentSubjectChar">
    <w:name w:val="Comment Subject Char"/>
    <w:basedOn w:val="CommentTextChar"/>
    <w:uiPriority w:val="99"/>
    <w:rsid w:val="00EA051D"/>
    <w:rPr>
      <w:rFonts w:ascii="Calibri" w:eastAsia="Calibri" w:hAnsi="Calibri" w:cs="Calibri"/>
      <w:b/>
      <w:bCs/>
      <w:sz w:val="20"/>
      <w:szCs w:val="20"/>
      <w:lang w:eastAsia="en-GB"/>
    </w:rPr>
  </w:style>
  <w:style w:type="character" w:customStyle="1" w:styleId="CommentSubjectChar1">
    <w:name w:val="Comment Subject Char1"/>
    <w:basedOn w:val="CommentTextChar1"/>
    <w:link w:val="CommentSubject"/>
    <w:uiPriority w:val="99"/>
    <w:rsid w:val="00EA051D"/>
    <w:rPr>
      <w:rFonts w:ascii="Calibri" w:eastAsia="Calibri" w:hAnsi="Calibri" w:cs="Calibri"/>
      <w:b/>
      <w:bCs/>
      <w:sz w:val="20"/>
      <w:szCs w:val="20"/>
      <w:lang w:eastAsia="en-GB"/>
    </w:rPr>
  </w:style>
  <w:style w:type="character" w:customStyle="1" w:styleId="BalloonTextChar1">
    <w:name w:val="Balloon Text Char1"/>
    <w:basedOn w:val="DefaultParagraphFont"/>
    <w:link w:val="BalloonText"/>
    <w:uiPriority w:val="99"/>
    <w:rsid w:val="00EA051D"/>
    <w:rPr>
      <w:rFonts w:ascii="Segoe UI" w:eastAsia="Calibri" w:hAnsi="Segoe UI" w:cs="Segoe UI"/>
      <w:sz w:val="18"/>
      <w:szCs w:val="18"/>
      <w:lang w:eastAsia="en-GB"/>
    </w:rPr>
  </w:style>
  <w:style w:type="paragraph" w:styleId="BodyText2">
    <w:name w:val="Body Text 2"/>
    <w:basedOn w:val="Normal"/>
    <w:link w:val="BodyText2Char"/>
    <w:rsid w:val="00EA051D"/>
    <w:pPr>
      <w:suppressAutoHyphens/>
      <w:autoSpaceDN w:val="0"/>
      <w:spacing w:after="0" w:line="240" w:lineRule="auto"/>
      <w:jc w:val="center"/>
      <w:textAlignment w:val="baseline"/>
    </w:pPr>
    <w:rPr>
      <w:rFonts w:ascii="Times New Roman" w:eastAsia="Times New Roman" w:hAnsi="Times New Roman" w:cs="Times New Roman"/>
      <w:b/>
      <w:sz w:val="28"/>
      <w:szCs w:val="24"/>
      <w:lang w:eastAsia="lv-LV"/>
    </w:rPr>
  </w:style>
  <w:style w:type="character" w:customStyle="1" w:styleId="BodyText2Char">
    <w:name w:val="Body Text 2 Char"/>
    <w:basedOn w:val="DefaultParagraphFont"/>
    <w:link w:val="BodyText2"/>
    <w:rsid w:val="00EA051D"/>
    <w:rPr>
      <w:rFonts w:ascii="Times New Roman" w:eastAsia="Times New Roman" w:hAnsi="Times New Roman" w:cs="Times New Roman"/>
      <w:b/>
      <w:sz w:val="28"/>
      <w:szCs w:val="24"/>
      <w:lang w:eastAsia="lv-LV"/>
    </w:rPr>
  </w:style>
  <w:style w:type="paragraph" w:styleId="BodyText">
    <w:name w:val="Body Text"/>
    <w:basedOn w:val="Normal"/>
    <w:link w:val="BodyTextChar"/>
    <w:rsid w:val="00EA051D"/>
    <w:pPr>
      <w:suppressAutoHyphens/>
      <w:autoSpaceDN w:val="0"/>
      <w:spacing w:after="0" w:line="240" w:lineRule="auto"/>
      <w:jc w:val="center"/>
      <w:textAlignment w:val="baseline"/>
    </w:pPr>
    <w:rPr>
      <w:rFonts w:ascii="Times New Roman" w:eastAsia="Times New Roman" w:hAnsi="Times New Roman" w:cs="Times New Roman"/>
      <w:b/>
      <w:sz w:val="52"/>
      <w:szCs w:val="44"/>
      <w:lang w:eastAsia="lv-LV"/>
    </w:rPr>
  </w:style>
  <w:style w:type="character" w:customStyle="1" w:styleId="BodyTextChar">
    <w:name w:val="Body Text Char"/>
    <w:basedOn w:val="DefaultParagraphFont"/>
    <w:link w:val="BodyText"/>
    <w:rsid w:val="00EA051D"/>
    <w:rPr>
      <w:rFonts w:ascii="Times New Roman" w:eastAsia="Times New Roman" w:hAnsi="Times New Roman" w:cs="Times New Roman"/>
      <w:b/>
      <w:sz w:val="52"/>
      <w:szCs w:val="44"/>
      <w:lang w:eastAsia="lv-LV"/>
    </w:rPr>
  </w:style>
  <w:style w:type="character" w:styleId="Emphasis">
    <w:name w:val="Emphasis"/>
    <w:basedOn w:val="DefaultParagraphFont"/>
    <w:uiPriority w:val="20"/>
    <w:qFormat/>
    <w:rsid w:val="00EA051D"/>
    <w:rPr>
      <w:i/>
      <w:iCs/>
    </w:rPr>
  </w:style>
  <w:style w:type="paragraph" w:customStyle="1" w:styleId="tv213">
    <w:name w:val="tv213"/>
    <w:basedOn w:val="Normal"/>
    <w:rsid w:val="00EA051D"/>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styleId="FollowedHyperlink">
    <w:name w:val="FollowedHyperlink"/>
    <w:basedOn w:val="DefaultParagraphFont"/>
    <w:uiPriority w:val="99"/>
    <w:unhideWhenUsed/>
    <w:rsid w:val="00EA051D"/>
    <w:rPr>
      <w:color w:val="954F72" w:themeColor="followedHyperlink"/>
      <w:u w:val="single"/>
    </w:rPr>
  </w:style>
  <w:style w:type="character" w:customStyle="1" w:styleId="CommentReference1">
    <w:name w:val="Comment Reference1"/>
    <w:basedOn w:val="DefaultParagraphFont"/>
    <w:rsid w:val="00EA051D"/>
    <w:rPr>
      <w:sz w:val="16"/>
      <w:szCs w:val="16"/>
    </w:rPr>
  </w:style>
  <w:style w:type="paragraph" w:customStyle="1" w:styleId="CommentText1">
    <w:name w:val="Comment Text1"/>
    <w:basedOn w:val="Normal"/>
    <w:rsid w:val="00EA051D"/>
    <w:pPr>
      <w:autoSpaceDN w:val="0"/>
      <w:spacing w:line="240" w:lineRule="auto"/>
      <w:textAlignment w:val="baseline"/>
    </w:pPr>
    <w:rPr>
      <w:rFonts w:ascii="Calibri" w:eastAsia="Calibri" w:hAnsi="Calibri" w:cs="Times New Roman"/>
      <w:sz w:val="20"/>
      <w:szCs w:val="20"/>
      <w:lang w:eastAsia="en-GB"/>
    </w:rPr>
  </w:style>
  <w:style w:type="paragraph" w:customStyle="1" w:styleId="CommentSubject1">
    <w:name w:val="Comment Subject1"/>
    <w:basedOn w:val="CommentText1"/>
    <w:next w:val="CommentText1"/>
    <w:rsid w:val="00EA051D"/>
    <w:rPr>
      <w:b/>
      <w:bCs/>
    </w:rPr>
  </w:style>
  <w:style w:type="paragraph" w:customStyle="1" w:styleId="msonormal0">
    <w:name w:val="msonormal"/>
    <w:basedOn w:val="Normal"/>
    <w:rsid w:val="00EA051D"/>
    <w:pPr>
      <w:spacing w:before="100" w:beforeAutospacing="1" w:after="100" w:afterAutospacing="1" w:line="240" w:lineRule="auto"/>
      <w:jc w:val="left"/>
    </w:pPr>
    <w:rPr>
      <w:rFonts w:ascii="Times New Roman" w:eastAsia="Times New Roman" w:hAnsi="Times New Roman" w:cs="Times New Roman"/>
      <w:szCs w:val="24"/>
      <w:lang w:eastAsia="lv-LV"/>
    </w:rPr>
  </w:style>
  <w:style w:type="paragraph" w:customStyle="1" w:styleId="Default">
    <w:name w:val="Default"/>
    <w:rsid w:val="00EA051D"/>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character" w:customStyle="1" w:styleId="Noklusjumarindkopasfonts1">
    <w:name w:val="Noklusējuma rindkopas fonts1"/>
    <w:basedOn w:val="DefaultParagraphFont"/>
    <w:rsid w:val="00EA051D"/>
  </w:style>
  <w:style w:type="paragraph" w:customStyle="1" w:styleId="xl85">
    <w:name w:val="xl85"/>
    <w:basedOn w:val="Normal"/>
    <w:rsid w:val="00EA051D"/>
    <w:pP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86">
    <w:name w:val="xl86"/>
    <w:basedOn w:val="Normal"/>
    <w:rsid w:val="00EA051D"/>
    <w:pPr>
      <w:pBdr>
        <w:top w:val="single" w:sz="4" w:space="0" w:color="000000"/>
        <w:left w:val="single" w:sz="8"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87">
    <w:name w:val="xl87"/>
    <w:basedOn w:val="Normal"/>
    <w:rsid w:val="00EA051D"/>
    <w:pPr>
      <w:pBdr>
        <w:top w:val="single" w:sz="4" w:space="0" w:color="000000"/>
        <w:left w:val="single" w:sz="4" w:space="0" w:color="000000"/>
        <w:bottom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88">
    <w:name w:val="xl88"/>
    <w:basedOn w:val="Normal"/>
    <w:rsid w:val="00EA051D"/>
    <w:pPr>
      <w:pBdr>
        <w:top w:val="single" w:sz="4" w:space="0" w:color="000000"/>
        <w:left w:val="single" w:sz="8"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89">
    <w:name w:val="xl89"/>
    <w:basedOn w:val="Normal"/>
    <w:rsid w:val="00EA051D"/>
    <w:pPr>
      <w:pBdr>
        <w:top w:val="single" w:sz="4" w:space="0" w:color="000000"/>
        <w:left w:val="single" w:sz="4"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90">
    <w:name w:val="xl90"/>
    <w:basedOn w:val="Normal"/>
    <w:rsid w:val="00EA051D"/>
    <w:pPr>
      <w:pBdr>
        <w:top w:val="single" w:sz="4" w:space="0" w:color="000000"/>
        <w:left w:val="single" w:sz="4" w:space="0" w:color="000000"/>
        <w:bottom w:val="single" w:sz="4" w:space="0" w:color="000000"/>
        <w:right w:val="single" w:sz="8"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91">
    <w:name w:val="xl91"/>
    <w:basedOn w:val="Normal"/>
    <w:rsid w:val="00EA051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92">
    <w:name w:val="xl92"/>
    <w:basedOn w:val="Normal"/>
    <w:rsid w:val="00EA051D"/>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left"/>
    </w:pPr>
    <w:rPr>
      <w:rFonts w:ascii="Times New Roman" w:eastAsia="Times New Roman" w:hAnsi="Times New Roman" w:cs="Times New Roman"/>
      <w:szCs w:val="24"/>
      <w:lang w:val="en-US" w:eastAsia="en-GB"/>
    </w:rPr>
  </w:style>
  <w:style w:type="paragraph" w:customStyle="1" w:styleId="xl93">
    <w:name w:val="xl93"/>
    <w:basedOn w:val="Normal"/>
    <w:rsid w:val="00EA051D"/>
    <w:pPr>
      <w:pBdr>
        <w:top w:val="single" w:sz="4" w:space="0" w:color="000000"/>
        <w:left w:val="single" w:sz="8" w:space="0" w:color="000000"/>
        <w:bottom w:val="single" w:sz="4" w:space="0" w:color="000000"/>
        <w:right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94">
    <w:name w:val="xl94"/>
    <w:basedOn w:val="Normal"/>
    <w:rsid w:val="00EA051D"/>
    <w:pPr>
      <w:pBdr>
        <w:top w:val="single" w:sz="4" w:space="0" w:color="000000"/>
        <w:left w:val="single" w:sz="4" w:space="0" w:color="000000"/>
        <w:bottom w:val="single" w:sz="4" w:space="0" w:color="000000"/>
      </w:pBdr>
      <w:shd w:val="clear" w:color="BFBFBF" w:fill="BFBFBF"/>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95">
    <w:name w:val="xl95"/>
    <w:basedOn w:val="Normal"/>
    <w:rsid w:val="00EA051D"/>
    <w:pPr>
      <w:pBdr>
        <w:top w:val="single" w:sz="4" w:space="0" w:color="000000"/>
        <w:left w:val="single" w:sz="8"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96">
    <w:name w:val="xl96"/>
    <w:basedOn w:val="Normal"/>
    <w:rsid w:val="00EA051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97">
    <w:name w:val="xl97"/>
    <w:basedOn w:val="Normal"/>
    <w:rsid w:val="00EA051D"/>
    <w:pPr>
      <w:pBdr>
        <w:top w:val="single" w:sz="4" w:space="0" w:color="000000"/>
        <w:left w:val="single" w:sz="4" w:space="0" w:color="000000"/>
        <w:bottom w:val="single" w:sz="4" w:space="0" w:color="000000"/>
        <w:right w:val="single" w:sz="8"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98">
    <w:name w:val="xl98"/>
    <w:basedOn w:val="Normal"/>
    <w:rsid w:val="00EA051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99">
    <w:name w:val="xl99"/>
    <w:basedOn w:val="Normal"/>
    <w:rsid w:val="00EA051D"/>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00">
    <w:name w:val="xl100"/>
    <w:basedOn w:val="Normal"/>
    <w:rsid w:val="00EA051D"/>
    <w:pPr>
      <w:pBdr>
        <w:left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01">
    <w:name w:val="xl101"/>
    <w:basedOn w:val="Normal"/>
    <w:rsid w:val="00EA051D"/>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02">
    <w:name w:val="xl102"/>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03">
    <w:name w:val="xl103"/>
    <w:basedOn w:val="Normal"/>
    <w:rsid w:val="00EA051D"/>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04">
    <w:name w:val="xl104"/>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05">
    <w:name w:val="xl105"/>
    <w:basedOn w:val="Normal"/>
    <w:rsid w:val="00EA051D"/>
    <w:pPr>
      <w:pBdr>
        <w:top w:val="single" w:sz="4" w:space="0" w:color="000000"/>
        <w:left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06">
    <w:name w:val="xl106"/>
    <w:basedOn w:val="Normal"/>
    <w:rsid w:val="00EA051D"/>
    <w:pPr>
      <w:pBdr>
        <w:left w:val="single" w:sz="4" w:space="0" w:color="000000"/>
      </w:pBdr>
      <w:shd w:val="clear" w:color="BFBFBF" w:fill="BFBFBF"/>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07">
    <w:name w:val="xl107"/>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08">
    <w:name w:val="xl108"/>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09">
    <w:name w:val="xl109"/>
    <w:basedOn w:val="Normal"/>
    <w:rsid w:val="00EA051D"/>
    <w:pPr>
      <w:pBdr>
        <w:top w:val="single" w:sz="4" w:space="0" w:color="000000"/>
        <w:left w:val="single" w:sz="4" w:space="0" w:color="000000"/>
        <w:bottom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10">
    <w:name w:val="xl110"/>
    <w:basedOn w:val="Normal"/>
    <w:rsid w:val="00EA051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11">
    <w:name w:val="xl111"/>
    <w:basedOn w:val="Normal"/>
    <w:rsid w:val="00EA051D"/>
    <w:pPr>
      <w:pBdr>
        <w:top w:val="single" w:sz="4" w:space="0" w:color="000000"/>
        <w:left w:val="single" w:sz="4" w:space="0" w:color="000000"/>
        <w:bottom w:val="single" w:sz="4" w:space="0" w:color="000000"/>
        <w:right w:val="single" w:sz="8"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12">
    <w:name w:val="xl112"/>
    <w:basedOn w:val="Normal"/>
    <w:rsid w:val="00EA051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13">
    <w:name w:val="xl113"/>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en-US" w:eastAsia="en-GB"/>
    </w:rPr>
  </w:style>
  <w:style w:type="paragraph" w:customStyle="1" w:styleId="xl114">
    <w:name w:val="xl114"/>
    <w:basedOn w:val="Normal"/>
    <w:rsid w:val="00EA051D"/>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15">
    <w:name w:val="xl115"/>
    <w:basedOn w:val="Normal"/>
    <w:rsid w:val="00EA051D"/>
    <w:pPr>
      <w:pBdr>
        <w:top w:val="single" w:sz="4" w:space="0" w:color="000000"/>
        <w:left w:val="single" w:sz="4" w:space="0" w:color="000000"/>
        <w:bottom w:val="single" w:sz="8"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16">
    <w:name w:val="xl116"/>
    <w:basedOn w:val="Normal"/>
    <w:rsid w:val="00EA051D"/>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17">
    <w:name w:val="xl117"/>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18">
    <w:name w:val="xl118"/>
    <w:basedOn w:val="Normal"/>
    <w:rsid w:val="00EA051D"/>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19">
    <w:name w:val="xl119"/>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20">
    <w:name w:val="xl120"/>
    <w:basedOn w:val="Normal"/>
    <w:rsid w:val="00EA051D"/>
    <w:pPr>
      <w:pBdr>
        <w:top w:val="single" w:sz="8" w:space="0" w:color="000000"/>
        <w:left w:val="single" w:sz="8"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1">
    <w:name w:val="xl121"/>
    <w:basedOn w:val="Normal"/>
    <w:rsid w:val="00EA051D"/>
    <w:pPr>
      <w:pBdr>
        <w:top w:val="single" w:sz="8" w:space="0" w:color="000000"/>
        <w:left w:val="single" w:sz="4" w:space="0" w:color="000000"/>
        <w:bottom w:val="single" w:sz="4" w:space="0" w:color="000000"/>
        <w:right w:val="single" w:sz="8"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2">
    <w:name w:val="xl122"/>
    <w:basedOn w:val="Normal"/>
    <w:rsid w:val="00EA051D"/>
    <w:pPr>
      <w:pBdr>
        <w:top w:val="single" w:sz="8" w:space="0" w:color="000000"/>
        <w:left w:val="single" w:sz="4"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3">
    <w:name w:val="xl123"/>
    <w:basedOn w:val="Normal"/>
    <w:rsid w:val="00EA051D"/>
    <w:pPr>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4">
    <w:name w:val="xl124"/>
    <w:basedOn w:val="Normal"/>
    <w:rsid w:val="00EA051D"/>
    <w:pPr>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5">
    <w:name w:val="xl125"/>
    <w:basedOn w:val="Normal"/>
    <w:rsid w:val="00EA051D"/>
    <w:pPr>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6">
    <w:name w:val="xl126"/>
    <w:basedOn w:val="Normal"/>
    <w:rsid w:val="00EA051D"/>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27">
    <w:name w:val="xl127"/>
    <w:basedOn w:val="Normal"/>
    <w:rsid w:val="00EA051D"/>
    <w:pPr>
      <w:pBdr>
        <w:top w:val="single" w:sz="4" w:space="0" w:color="000000"/>
        <w:left w:val="single" w:sz="8"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28">
    <w:name w:val="xl128"/>
    <w:basedOn w:val="Normal"/>
    <w:rsid w:val="00EA051D"/>
    <w:pPr>
      <w:pBdr>
        <w:top w:val="single" w:sz="4" w:space="0" w:color="000000"/>
        <w:left w:val="single" w:sz="8" w:space="0" w:color="000000"/>
        <w:bottom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29">
    <w:name w:val="xl129"/>
    <w:basedOn w:val="Normal"/>
    <w:rsid w:val="00EA051D"/>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30">
    <w:name w:val="xl130"/>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31">
    <w:name w:val="xl131"/>
    <w:basedOn w:val="Normal"/>
    <w:rsid w:val="00EA051D"/>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32">
    <w:name w:val="xl132"/>
    <w:basedOn w:val="Normal"/>
    <w:rsid w:val="00EA051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33">
    <w:name w:val="xl133"/>
    <w:basedOn w:val="Normal"/>
    <w:rsid w:val="00EA051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34">
    <w:name w:val="xl134"/>
    <w:basedOn w:val="Normal"/>
    <w:rsid w:val="00EA051D"/>
    <w:pPr>
      <w:pBdr>
        <w:top w:val="single" w:sz="4" w:space="0" w:color="000000"/>
        <w:left w:val="single" w:sz="8" w:space="0" w:color="000000"/>
        <w:bottom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35">
    <w:name w:val="xl135"/>
    <w:basedOn w:val="Normal"/>
    <w:rsid w:val="00EA051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GB"/>
    </w:rPr>
  </w:style>
  <w:style w:type="paragraph" w:customStyle="1" w:styleId="xl136">
    <w:name w:val="xl136"/>
    <w:basedOn w:val="Normal"/>
    <w:rsid w:val="00EA051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37">
    <w:name w:val="xl137"/>
    <w:basedOn w:val="Normal"/>
    <w:rsid w:val="00EA051D"/>
    <w:pPr>
      <w:pBdr>
        <w:top w:val="single" w:sz="4" w:space="0" w:color="000000"/>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38">
    <w:name w:val="xl138"/>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39">
    <w:name w:val="xl139"/>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40">
    <w:name w:val="xl140"/>
    <w:basedOn w:val="Normal"/>
    <w:rsid w:val="00EA051D"/>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left"/>
    </w:pPr>
    <w:rPr>
      <w:rFonts w:ascii="Times New Roman" w:eastAsia="Times New Roman" w:hAnsi="Times New Roman" w:cs="Times New Roman"/>
      <w:szCs w:val="24"/>
      <w:lang w:val="en-US" w:eastAsia="en-GB"/>
    </w:rPr>
  </w:style>
  <w:style w:type="paragraph" w:customStyle="1" w:styleId="xl141">
    <w:name w:val="xl141"/>
    <w:basedOn w:val="Normal"/>
    <w:rsid w:val="00EA051D"/>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42">
    <w:name w:val="xl142"/>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43">
    <w:name w:val="xl143"/>
    <w:basedOn w:val="Normal"/>
    <w:rsid w:val="00EA051D"/>
    <w:pPr>
      <w:pBdr>
        <w:top w:val="single" w:sz="8" w:space="0" w:color="000000"/>
        <w:left w:val="single" w:sz="8"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44">
    <w:name w:val="xl144"/>
    <w:basedOn w:val="Normal"/>
    <w:rsid w:val="00EA051D"/>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45">
    <w:name w:val="xl145"/>
    <w:basedOn w:val="Normal"/>
    <w:rsid w:val="00EA051D"/>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46">
    <w:name w:val="xl146"/>
    <w:basedOn w:val="Normal"/>
    <w:rsid w:val="00EA051D"/>
    <w:pPr>
      <w:pBdr>
        <w:top w:val="single" w:sz="4" w:space="0" w:color="000000"/>
        <w:left w:val="single" w:sz="8" w:space="0" w:color="000000"/>
        <w:bottom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47">
    <w:name w:val="xl147"/>
    <w:basedOn w:val="Normal"/>
    <w:rsid w:val="00EA051D"/>
    <w:pPr>
      <w:pBdr>
        <w:top w:val="single" w:sz="4" w:space="0" w:color="000000"/>
        <w:left w:val="single" w:sz="4" w:space="0" w:color="000000"/>
        <w:bottom w:val="single" w:sz="4" w:space="0" w:color="000000"/>
        <w:right w:val="single" w:sz="8"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48">
    <w:name w:val="xl148"/>
    <w:basedOn w:val="Normal"/>
    <w:rsid w:val="00EA051D"/>
    <w:pPr>
      <w:pBdr>
        <w:top w:val="single" w:sz="4" w:space="0" w:color="000000"/>
        <w:left w:val="single" w:sz="8"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eastAsia="en-GB"/>
    </w:rPr>
  </w:style>
  <w:style w:type="paragraph" w:customStyle="1" w:styleId="xl149">
    <w:name w:val="xl149"/>
    <w:basedOn w:val="Normal"/>
    <w:rsid w:val="00EA051D"/>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50">
    <w:name w:val="xl150"/>
    <w:basedOn w:val="Normal"/>
    <w:rsid w:val="00EA051D"/>
    <w:pPr>
      <w:pBdr>
        <w:top w:val="single" w:sz="4" w:space="0" w:color="000000"/>
        <w:left w:val="single" w:sz="8"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xl151">
    <w:name w:val="xl151"/>
    <w:basedOn w:val="Normal"/>
    <w:rsid w:val="00EA051D"/>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eastAsia="en-GB"/>
    </w:rPr>
  </w:style>
  <w:style w:type="paragraph" w:customStyle="1" w:styleId="font0">
    <w:name w:val="font0"/>
    <w:basedOn w:val="Normal"/>
    <w:rsid w:val="00EA051D"/>
    <w:pPr>
      <w:spacing w:before="100" w:beforeAutospacing="1" w:after="100" w:afterAutospacing="1" w:line="240" w:lineRule="auto"/>
      <w:jc w:val="left"/>
    </w:pPr>
    <w:rPr>
      <w:rFonts w:ascii="Calibri" w:eastAsia="Times New Roman" w:hAnsi="Calibri" w:cs="Calibri"/>
      <w:color w:val="000000"/>
      <w:sz w:val="22"/>
      <w:lang w:val="en-US" w:eastAsia="en-GB"/>
    </w:rPr>
  </w:style>
  <w:style w:type="paragraph" w:customStyle="1" w:styleId="font5">
    <w:name w:val="font5"/>
    <w:basedOn w:val="Normal"/>
    <w:rsid w:val="00EA051D"/>
    <w:pPr>
      <w:spacing w:before="100" w:beforeAutospacing="1" w:after="100" w:afterAutospacing="1" w:line="240" w:lineRule="auto"/>
      <w:jc w:val="left"/>
    </w:pPr>
    <w:rPr>
      <w:rFonts w:ascii="Calibri" w:eastAsia="Times New Roman" w:hAnsi="Calibri" w:cs="Calibri"/>
      <w:color w:val="000000"/>
      <w:sz w:val="16"/>
      <w:szCs w:val="16"/>
      <w:lang w:val="en-US" w:eastAsia="en-GB"/>
    </w:rPr>
  </w:style>
  <w:style w:type="paragraph" w:customStyle="1" w:styleId="font6">
    <w:name w:val="font6"/>
    <w:basedOn w:val="Normal"/>
    <w:rsid w:val="00EA051D"/>
    <w:pPr>
      <w:spacing w:before="100" w:beforeAutospacing="1" w:after="100" w:afterAutospacing="1" w:line="240" w:lineRule="auto"/>
      <w:jc w:val="left"/>
    </w:pPr>
    <w:rPr>
      <w:rFonts w:ascii="Tahoma" w:eastAsia="Times New Roman" w:hAnsi="Tahoma" w:cs="Tahoma"/>
      <w:b/>
      <w:bCs/>
      <w:color w:val="000000"/>
      <w:sz w:val="18"/>
      <w:szCs w:val="18"/>
      <w:lang w:val="en-US" w:eastAsia="en-GB"/>
    </w:rPr>
  </w:style>
  <w:style w:type="paragraph" w:customStyle="1" w:styleId="font7">
    <w:name w:val="font7"/>
    <w:basedOn w:val="Normal"/>
    <w:rsid w:val="00EA051D"/>
    <w:pPr>
      <w:spacing w:before="100" w:beforeAutospacing="1" w:after="100" w:afterAutospacing="1" w:line="240" w:lineRule="auto"/>
      <w:jc w:val="left"/>
    </w:pPr>
    <w:rPr>
      <w:rFonts w:ascii="Tahoma" w:eastAsia="Times New Roman" w:hAnsi="Tahoma" w:cs="Tahoma"/>
      <w:color w:val="000000"/>
      <w:sz w:val="18"/>
      <w:szCs w:val="18"/>
      <w:lang w:val="en-US" w:eastAsia="en-GB"/>
    </w:rPr>
  </w:style>
  <w:style w:type="paragraph" w:customStyle="1" w:styleId="font8">
    <w:name w:val="font8"/>
    <w:basedOn w:val="Normal"/>
    <w:rsid w:val="00EA051D"/>
    <w:pPr>
      <w:spacing w:before="100" w:beforeAutospacing="1" w:after="100" w:afterAutospacing="1" w:line="240" w:lineRule="auto"/>
      <w:jc w:val="left"/>
    </w:pPr>
    <w:rPr>
      <w:rFonts w:ascii="Calibri" w:eastAsia="Times New Roman" w:hAnsi="Calibri" w:cs="Calibri"/>
      <w:b/>
      <w:bCs/>
      <w:color w:val="000000"/>
      <w:sz w:val="20"/>
      <w:szCs w:val="20"/>
      <w:lang w:val="en-US" w:eastAsia="en-GB"/>
    </w:rPr>
  </w:style>
  <w:style w:type="paragraph" w:customStyle="1" w:styleId="xl152">
    <w:name w:val="xl152"/>
    <w:basedOn w:val="Normal"/>
    <w:rsid w:val="00EA051D"/>
    <w:pPr>
      <w:pBdr>
        <w:top w:val="single" w:sz="4" w:space="0" w:color="000000"/>
        <w:left w:val="single" w:sz="4" w:space="0" w:color="000000"/>
        <w:bottom w:val="single" w:sz="8" w:space="0" w:color="000000"/>
        <w:right w:val="single" w:sz="4" w:space="0" w:color="000000"/>
      </w:pBdr>
      <w:shd w:val="clear" w:color="FFFF00" w:fill="FFFF00"/>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53">
    <w:name w:val="xl153"/>
    <w:basedOn w:val="Normal"/>
    <w:rsid w:val="00EA051D"/>
    <w:pPr>
      <w:pBdr>
        <w:top w:val="single" w:sz="4" w:space="0" w:color="000000"/>
        <w:left w:val="single" w:sz="4" w:space="0" w:color="000000"/>
        <w:bottom w:val="single" w:sz="8" w:space="0" w:color="000000"/>
      </w:pBdr>
      <w:shd w:val="clear" w:color="FFFF00" w:fill="FFFF00"/>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54">
    <w:name w:val="xl154"/>
    <w:basedOn w:val="Normal"/>
    <w:rsid w:val="00EA051D"/>
    <w:pPr>
      <w:pBdr>
        <w:top w:val="single" w:sz="4" w:space="0" w:color="000000"/>
        <w:left w:val="single" w:sz="4" w:space="0" w:color="000000"/>
        <w:bottom w:val="single" w:sz="8" w:space="0" w:color="000000"/>
        <w:right w:val="single" w:sz="8" w:space="0" w:color="000000"/>
      </w:pBdr>
      <w:shd w:val="clear" w:color="FFFF00" w:fill="FFFF00"/>
      <w:spacing w:before="100" w:beforeAutospacing="1" w:after="100" w:afterAutospacing="1" w:line="240" w:lineRule="auto"/>
      <w:jc w:val="left"/>
    </w:pPr>
    <w:rPr>
      <w:rFonts w:ascii="Times New Roman" w:eastAsia="Times New Roman" w:hAnsi="Times New Roman" w:cs="Times New Roman"/>
      <w:sz w:val="16"/>
      <w:szCs w:val="16"/>
      <w:lang w:val="en-US" w:eastAsia="en-GB"/>
    </w:rPr>
  </w:style>
  <w:style w:type="paragraph" w:customStyle="1" w:styleId="xl155">
    <w:name w:val="xl155"/>
    <w:basedOn w:val="Normal"/>
    <w:rsid w:val="00EA051D"/>
    <w:pPr>
      <w:pBdr>
        <w:top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56">
    <w:name w:val="xl156"/>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57">
    <w:name w:val="xl157"/>
    <w:basedOn w:val="Normal"/>
    <w:rsid w:val="00EA051D"/>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58">
    <w:name w:val="xl158"/>
    <w:basedOn w:val="Normal"/>
    <w:rsid w:val="00EA051D"/>
    <w:pPr>
      <w:pBdr>
        <w:top w:val="single" w:sz="4" w:space="0" w:color="000000"/>
        <w:left w:val="single" w:sz="4" w:space="0" w:color="000000"/>
        <w:bottom w:val="single" w:sz="8"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59">
    <w:name w:val="xl159"/>
    <w:basedOn w:val="Normal"/>
    <w:rsid w:val="00EA051D"/>
    <w:pPr>
      <w:pBdr>
        <w:top w:val="single" w:sz="4" w:space="0" w:color="000000"/>
        <w:left w:val="single" w:sz="4" w:space="0" w:color="000000"/>
        <w:bottom w:val="single" w:sz="8" w:space="0" w:color="000000"/>
      </w:pBdr>
      <w:spacing w:before="100" w:beforeAutospacing="1" w:after="100" w:afterAutospacing="1" w:line="240" w:lineRule="auto"/>
      <w:jc w:val="left"/>
    </w:pPr>
    <w:rPr>
      <w:rFonts w:ascii="Times New Roman" w:eastAsia="Times New Roman" w:hAnsi="Times New Roman" w:cs="Times New Roman"/>
      <w:sz w:val="20"/>
      <w:szCs w:val="20"/>
      <w:lang w:val="en-US" w:eastAsia="en-GB"/>
    </w:rPr>
  </w:style>
  <w:style w:type="paragraph" w:customStyle="1" w:styleId="xl160">
    <w:name w:val="xl160"/>
    <w:basedOn w:val="Normal"/>
    <w:rsid w:val="00EA051D"/>
    <w:pPr>
      <w:pBdr>
        <w:top w:val="single" w:sz="8" w:space="0" w:color="000000"/>
        <w:left w:val="single" w:sz="8"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61">
    <w:name w:val="xl161"/>
    <w:basedOn w:val="Normal"/>
    <w:rsid w:val="00EA051D"/>
    <w:pPr>
      <w:pBdr>
        <w:top w:val="single" w:sz="8" w:space="0" w:color="000000"/>
        <w:left w:val="single" w:sz="4" w:space="0" w:color="000000"/>
        <w:bottom w:val="single" w:sz="4" w:space="0" w:color="000000"/>
        <w:right w:val="single" w:sz="8"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62">
    <w:name w:val="xl162"/>
    <w:basedOn w:val="Normal"/>
    <w:rsid w:val="00EA051D"/>
    <w:pPr>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63">
    <w:name w:val="xl163"/>
    <w:basedOn w:val="Normal"/>
    <w:rsid w:val="00EA051D"/>
    <w:pPr>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64">
    <w:name w:val="xl164"/>
    <w:basedOn w:val="Normal"/>
    <w:rsid w:val="00EA051D"/>
    <w:pPr>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xl165">
    <w:name w:val="xl165"/>
    <w:basedOn w:val="Normal"/>
    <w:rsid w:val="00EA051D"/>
    <w:pPr>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eastAsia="en-GB"/>
    </w:rPr>
  </w:style>
  <w:style w:type="paragraph" w:customStyle="1" w:styleId="Point0">
    <w:name w:val="Point 0"/>
    <w:basedOn w:val="Normal"/>
    <w:rsid w:val="00EA051D"/>
    <w:pPr>
      <w:spacing w:before="120" w:after="120" w:line="240" w:lineRule="auto"/>
      <w:ind w:left="850" w:hanging="850"/>
    </w:pPr>
    <w:rPr>
      <w:rFonts w:ascii="Times New Roman" w:eastAsia="Calibri" w:hAnsi="Times New Roman" w:cs="Times New Roman"/>
      <w:lang w:eastAsia="en-GB"/>
    </w:rPr>
  </w:style>
  <w:style w:type="paragraph" w:customStyle="1" w:styleId="Point1">
    <w:name w:val="Point 1"/>
    <w:basedOn w:val="Normal"/>
    <w:rsid w:val="00EA051D"/>
    <w:pPr>
      <w:spacing w:before="120" w:after="120" w:line="240" w:lineRule="auto"/>
      <w:ind w:left="1417" w:hanging="567"/>
    </w:pPr>
    <w:rPr>
      <w:rFonts w:ascii="Times New Roman" w:eastAsia="Calibri" w:hAnsi="Times New Roman" w:cs="Times New Roman"/>
      <w:lang w:eastAsia="en-GB"/>
    </w:rPr>
  </w:style>
  <w:style w:type="paragraph" w:customStyle="1" w:styleId="ManualNumPar1">
    <w:name w:val="Manual NumPar 1"/>
    <w:basedOn w:val="Normal"/>
    <w:next w:val="Normal"/>
    <w:rsid w:val="00EA051D"/>
    <w:pPr>
      <w:spacing w:before="120" w:after="120" w:line="240" w:lineRule="auto"/>
      <w:ind w:left="850" w:hanging="850"/>
    </w:pPr>
    <w:rPr>
      <w:rFonts w:ascii="Times New Roman" w:eastAsia="Calibri" w:hAnsi="Times New Roman" w:cs="Times New Roman"/>
      <w:lang w:eastAsia="en-GB"/>
    </w:rPr>
  </w:style>
  <w:style w:type="paragraph" w:customStyle="1" w:styleId="Point0number">
    <w:name w:val="Point 0 (number)"/>
    <w:basedOn w:val="Normal"/>
    <w:rsid w:val="00EA051D"/>
    <w:pPr>
      <w:numPr>
        <w:numId w:val="14"/>
      </w:numPr>
      <w:spacing w:before="120" w:after="120" w:line="240" w:lineRule="auto"/>
    </w:pPr>
    <w:rPr>
      <w:rFonts w:ascii="Times New Roman" w:eastAsia="Calibri" w:hAnsi="Times New Roman" w:cs="Times New Roman"/>
      <w:lang w:eastAsia="en-GB"/>
    </w:rPr>
  </w:style>
  <w:style w:type="paragraph" w:customStyle="1" w:styleId="Point1number">
    <w:name w:val="Point 1 (number)"/>
    <w:basedOn w:val="Normal"/>
    <w:rsid w:val="00EA051D"/>
    <w:pPr>
      <w:numPr>
        <w:ilvl w:val="2"/>
        <w:numId w:val="14"/>
      </w:numPr>
      <w:spacing w:before="120" w:after="120" w:line="240" w:lineRule="auto"/>
    </w:pPr>
    <w:rPr>
      <w:rFonts w:ascii="Times New Roman" w:eastAsia="Calibri" w:hAnsi="Times New Roman" w:cs="Times New Roman"/>
      <w:lang w:eastAsia="en-GB"/>
    </w:rPr>
  </w:style>
  <w:style w:type="paragraph" w:customStyle="1" w:styleId="Point2number">
    <w:name w:val="Point 2 (number)"/>
    <w:basedOn w:val="Normal"/>
    <w:rsid w:val="00EA051D"/>
    <w:pPr>
      <w:numPr>
        <w:ilvl w:val="4"/>
        <w:numId w:val="14"/>
      </w:numPr>
      <w:spacing w:before="120" w:after="120" w:line="240" w:lineRule="auto"/>
    </w:pPr>
    <w:rPr>
      <w:rFonts w:ascii="Times New Roman" w:eastAsia="Calibri" w:hAnsi="Times New Roman" w:cs="Times New Roman"/>
      <w:lang w:eastAsia="en-GB"/>
    </w:rPr>
  </w:style>
  <w:style w:type="paragraph" w:customStyle="1" w:styleId="Point3number">
    <w:name w:val="Point 3 (number)"/>
    <w:basedOn w:val="Normal"/>
    <w:rsid w:val="00EA051D"/>
    <w:pPr>
      <w:numPr>
        <w:ilvl w:val="6"/>
        <w:numId w:val="14"/>
      </w:numPr>
      <w:spacing w:before="120" w:after="120" w:line="240" w:lineRule="auto"/>
    </w:pPr>
    <w:rPr>
      <w:rFonts w:ascii="Times New Roman" w:eastAsia="Calibri" w:hAnsi="Times New Roman" w:cs="Times New Roman"/>
      <w:lang w:eastAsia="en-GB"/>
    </w:rPr>
  </w:style>
  <w:style w:type="paragraph" w:customStyle="1" w:styleId="Point0letter">
    <w:name w:val="Point 0 (letter)"/>
    <w:basedOn w:val="Normal"/>
    <w:rsid w:val="00EA051D"/>
    <w:pPr>
      <w:numPr>
        <w:ilvl w:val="1"/>
        <w:numId w:val="14"/>
      </w:numPr>
      <w:spacing w:before="120" w:after="120" w:line="240" w:lineRule="auto"/>
    </w:pPr>
    <w:rPr>
      <w:rFonts w:ascii="Times New Roman" w:eastAsia="Calibri" w:hAnsi="Times New Roman" w:cs="Times New Roman"/>
      <w:lang w:eastAsia="en-GB"/>
    </w:rPr>
  </w:style>
  <w:style w:type="paragraph" w:customStyle="1" w:styleId="Point1letter">
    <w:name w:val="Point 1 (letter)"/>
    <w:basedOn w:val="Normal"/>
    <w:rsid w:val="00EA051D"/>
    <w:pPr>
      <w:numPr>
        <w:ilvl w:val="3"/>
        <w:numId w:val="14"/>
      </w:numPr>
      <w:spacing w:before="120" w:after="120" w:line="240" w:lineRule="auto"/>
    </w:pPr>
    <w:rPr>
      <w:rFonts w:ascii="Times New Roman" w:eastAsia="Calibri" w:hAnsi="Times New Roman" w:cs="Times New Roman"/>
      <w:lang w:eastAsia="en-GB"/>
    </w:rPr>
  </w:style>
  <w:style w:type="paragraph" w:customStyle="1" w:styleId="Point2letter">
    <w:name w:val="Point 2 (letter)"/>
    <w:basedOn w:val="Normal"/>
    <w:rsid w:val="00EA051D"/>
    <w:pPr>
      <w:numPr>
        <w:ilvl w:val="5"/>
        <w:numId w:val="14"/>
      </w:numPr>
      <w:spacing w:before="120" w:after="120" w:line="240" w:lineRule="auto"/>
    </w:pPr>
    <w:rPr>
      <w:rFonts w:ascii="Times New Roman" w:eastAsia="Calibri" w:hAnsi="Times New Roman" w:cs="Times New Roman"/>
      <w:lang w:eastAsia="en-GB"/>
    </w:rPr>
  </w:style>
  <w:style w:type="paragraph" w:customStyle="1" w:styleId="Point3letter">
    <w:name w:val="Point 3 (letter)"/>
    <w:basedOn w:val="Normal"/>
    <w:rsid w:val="00EA051D"/>
    <w:pPr>
      <w:numPr>
        <w:ilvl w:val="7"/>
        <w:numId w:val="14"/>
      </w:numPr>
      <w:spacing w:before="120" w:after="120" w:line="240" w:lineRule="auto"/>
    </w:pPr>
    <w:rPr>
      <w:rFonts w:ascii="Times New Roman" w:eastAsia="Calibri" w:hAnsi="Times New Roman" w:cs="Times New Roman"/>
      <w:lang w:eastAsia="en-GB"/>
    </w:rPr>
  </w:style>
  <w:style w:type="paragraph" w:customStyle="1" w:styleId="Point4letter">
    <w:name w:val="Point 4 (letter)"/>
    <w:basedOn w:val="Normal"/>
    <w:rsid w:val="00EA051D"/>
    <w:pPr>
      <w:numPr>
        <w:ilvl w:val="8"/>
        <w:numId w:val="14"/>
      </w:numPr>
      <w:spacing w:before="120" w:after="120" w:line="240" w:lineRule="auto"/>
    </w:pPr>
    <w:rPr>
      <w:rFonts w:ascii="Times New Roman" w:eastAsia="Calibri" w:hAnsi="Times New Roman" w:cs="Times New Roman"/>
      <w:lang w:eastAsia="en-GB"/>
    </w:rPr>
  </w:style>
  <w:style w:type="paragraph" w:customStyle="1" w:styleId="Titrearticle">
    <w:name w:val="Titre article"/>
    <w:basedOn w:val="Normal"/>
    <w:next w:val="Normal"/>
    <w:rsid w:val="00EA051D"/>
    <w:pPr>
      <w:keepNext/>
      <w:spacing w:before="360" w:after="120" w:line="240" w:lineRule="auto"/>
      <w:jc w:val="center"/>
    </w:pPr>
    <w:rPr>
      <w:rFonts w:ascii="Times New Roman" w:eastAsia="Calibri" w:hAnsi="Times New Roman" w:cs="Times New Roman"/>
      <w:i/>
      <w:lang w:eastAsia="en-GB"/>
    </w:rPr>
  </w:style>
  <w:style w:type="paragraph" w:styleId="Caption">
    <w:name w:val="caption"/>
    <w:basedOn w:val="Normal"/>
    <w:next w:val="Normal"/>
    <w:rsid w:val="00EA051D"/>
    <w:pPr>
      <w:spacing w:before="160" w:after="240" w:line="240" w:lineRule="auto"/>
    </w:pPr>
    <w:rPr>
      <w:rFonts w:ascii="Times New Roman" w:eastAsia="Times New Roman" w:hAnsi="Times New Roman" w:cs="Times New Roman"/>
      <w:i/>
      <w:sz w:val="22"/>
      <w:szCs w:val="20"/>
      <w:lang w:eastAsia="en-GB"/>
    </w:rPr>
  </w:style>
  <w:style w:type="paragraph" w:customStyle="1" w:styleId="E">
    <w:name w:val="E"/>
    <w:aliases w:val="E FNZ"/>
    <w:basedOn w:val="Normal"/>
    <w:next w:val="Normal"/>
    <w:autoRedefine/>
    <w:uiPriority w:val="99"/>
    <w:rsid w:val="00EA051D"/>
    <w:pPr>
      <w:numPr>
        <w:numId w:val="15"/>
      </w:numPr>
      <w:spacing w:before="100" w:line="259" w:lineRule="auto"/>
      <w:contextualSpacing/>
      <w:jc w:val="left"/>
      <w:textAlignment w:val="baseline"/>
    </w:pPr>
    <w:rPr>
      <w:rFonts w:ascii="Calibri" w:eastAsia="Calibri" w:hAnsi="Calibri" w:cs="Calibri"/>
      <w:bCs/>
      <w:color w:val="7F7F7F" w:themeColor="text1" w:themeTint="80"/>
      <w:sz w:val="22"/>
      <w:lang w:eastAsia="en-GB"/>
    </w:rPr>
  </w:style>
  <w:style w:type="paragraph" w:customStyle="1" w:styleId="text-align-justify">
    <w:name w:val="text-align-justify"/>
    <w:basedOn w:val="Normal"/>
    <w:rsid w:val="00EA051D"/>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customStyle="1" w:styleId="bold">
    <w:name w:val="bold"/>
    <w:basedOn w:val="DefaultParagraphFont"/>
    <w:rsid w:val="00EA051D"/>
  </w:style>
  <w:style w:type="paragraph" w:customStyle="1" w:styleId="Normal1">
    <w:name w:val="Normal1"/>
    <w:basedOn w:val="Normal"/>
    <w:rsid w:val="00EA051D"/>
    <w:pPr>
      <w:spacing w:before="100" w:beforeAutospacing="1" w:after="100" w:afterAutospacing="1" w:line="240" w:lineRule="auto"/>
      <w:jc w:val="left"/>
    </w:pPr>
    <w:rPr>
      <w:rFonts w:ascii="Times New Roman" w:eastAsia="Times New Roman" w:hAnsi="Times New Roman" w:cs="Times New Roman"/>
      <w:szCs w:val="24"/>
      <w:lang w:val="en-US" w:eastAsia="en-GB"/>
    </w:rPr>
  </w:style>
  <w:style w:type="paragraph" w:customStyle="1" w:styleId="oj-normal">
    <w:name w:val="oj-normal"/>
    <w:basedOn w:val="Normal"/>
    <w:rsid w:val="00EA051D"/>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customStyle="1" w:styleId="oj-italic">
    <w:name w:val="oj-italic"/>
    <w:basedOn w:val="DefaultParagraphFont"/>
    <w:rsid w:val="00EA051D"/>
  </w:style>
  <w:style w:type="paragraph" w:customStyle="1" w:styleId="oj-sti-art">
    <w:name w:val="oj-sti-art"/>
    <w:basedOn w:val="Normal"/>
    <w:rsid w:val="00EA051D"/>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customStyle="1" w:styleId="oj-super">
    <w:name w:val="oj-super"/>
    <w:basedOn w:val="DefaultParagraphFont"/>
    <w:rsid w:val="00EA051D"/>
  </w:style>
  <w:style w:type="character" w:customStyle="1" w:styleId="oj-sub">
    <w:name w:val="oj-sub"/>
    <w:basedOn w:val="DefaultParagraphFont"/>
    <w:rsid w:val="00EA051D"/>
  </w:style>
  <w:style w:type="character" w:styleId="Strong">
    <w:name w:val="Strong"/>
    <w:basedOn w:val="DefaultParagraphFont"/>
    <w:uiPriority w:val="22"/>
    <w:qFormat/>
    <w:rsid w:val="00EA051D"/>
    <w:rPr>
      <w:b/>
      <w:bCs/>
    </w:rPr>
  </w:style>
  <w:style w:type="character" w:customStyle="1" w:styleId="Neatrisintapieminana1">
    <w:name w:val="Neatrisināta pieminēšana1"/>
    <w:basedOn w:val="DefaultParagraphFont"/>
    <w:uiPriority w:val="99"/>
    <w:semiHidden/>
    <w:unhideWhenUsed/>
    <w:rsid w:val="00EA051D"/>
    <w:rPr>
      <w:color w:val="605E5C"/>
      <w:shd w:val="clear" w:color="auto" w:fill="E1DFDD"/>
    </w:rPr>
  </w:style>
  <w:style w:type="character" w:customStyle="1" w:styleId="UnresolvedMention2">
    <w:name w:val="Unresolved Mention2"/>
    <w:basedOn w:val="DefaultParagraphFont"/>
    <w:uiPriority w:val="99"/>
    <w:semiHidden/>
    <w:unhideWhenUsed/>
    <w:rsid w:val="00EA051D"/>
    <w:rPr>
      <w:color w:val="605E5C"/>
      <w:shd w:val="clear" w:color="auto" w:fill="E1DFDD"/>
    </w:rPr>
  </w:style>
  <w:style w:type="paragraph" w:customStyle="1" w:styleId="footnote">
    <w:name w:val="footnote"/>
    <w:basedOn w:val="FootnoteText"/>
    <w:link w:val="footnoteChar"/>
    <w:qFormat/>
    <w:rsid w:val="00EA051D"/>
    <w:pPr>
      <w:ind w:left="284" w:hanging="284"/>
      <w:jc w:val="both"/>
    </w:pPr>
    <w:rPr>
      <w:rFonts w:ascii="Times New Roman" w:eastAsia="Times New Roman" w:hAnsi="Times New Roman" w:cs="Calibri Light"/>
      <w:color w:val="808080"/>
      <w:sz w:val="18"/>
      <w:szCs w:val="16"/>
      <w:lang w:eastAsia="en-GB"/>
    </w:rPr>
  </w:style>
  <w:style w:type="character" w:customStyle="1" w:styleId="footnoteChar">
    <w:name w:val="footnote Char"/>
    <w:link w:val="footnote"/>
    <w:rsid w:val="00EA051D"/>
    <w:rPr>
      <w:rFonts w:ascii="Times New Roman" w:eastAsia="Times New Roman" w:hAnsi="Times New Roman" w:cs="Calibri Light"/>
      <w:color w:val="808080"/>
      <w:sz w:val="18"/>
      <w:szCs w:val="16"/>
      <w:lang w:eastAsia="en-GB"/>
    </w:rPr>
  </w:style>
  <w:style w:type="paragraph" w:customStyle="1" w:styleId="CharCharCharChar">
    <w:name w:val="Char Char Char Char"/>
    <w:aliases w:val="Char2"/>
    <w:basedOn w:val="Normal"/>
    <w:next w:val="Normal"/>
    <w:uiPriority w:val="99"/>
    <w:rsid w:val="00EA051D"/>
    <w:pPr>
      <w:spacing w:after="160" w:line="240" w:lineRule="exact"/>
      <w:textAlignment w:val="baseline"/>
    </w:pPr>
    <w:rPr>
      <w:rFonts w:ascii="Times New Roman" w:eastAsia="Calibri" w:hAnsi="Times New Roman" w:cs="Times New Roman"/>
      <w:szCs w:val="20"/>
      <w:vertAlign w:val="superscript"/>
      <w:lang w:eastAsia="lv-LV"/>
    </w:rPr>
  </w:style>
  <w:style w:type="paragraph" w:styleId="Subtitle">
    <w:name w:val="Subtitle"/>
    <w:basedOn w:val="Normal"/>
    <w:next w:val="Normal"/>
    <w:link w:val="SubtitleChar"/>
    <w:uiPriority w:val="11"/>
    <w:qFormat/>
    <w:rsid w:val="00EA051D"/>
    <w:pPr>
      <w:keepNext/>
      <w:keepLines/>
      <w:spacing w:before="360" w:after="80"/>
      <w:jc w:val="left"/>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EA051D"/>
    <w:rPr>
      <w:rFonts w:ascii="Georgia" w:eastAsia="Georgia" w:hAnsi="Georgia" w:cs="Georgia"/>
      <w:i/>
      <w:color w:val="666666"/>
      <w:sz w:val="48"/>
      <w:szCs w:val="48"/>
      <w:lang w:eastAsia="en-GB"/>
    </w:rPr>
  </w:style>
  <w:style w:type="table" w:customStyle="1" w:styleId="139">
    <w:name w:val="139"/>
    <w:basedOn w:val="TableNormal"/>
    <w:rsid w:val="00EA051D"/>
    <w:pPr>
      <w:spacing w:after="200" w:line="276" w:lineRule="auto"/>
    </w:pPr>
    <w:rPr>
      <w:rFonts w:ascii="Calibri" w:eastAsia="Calibri" w:hAnsi="Calibri" w:cs="Calibri"/>
      <w:lang w:eastAsia="en-GB"/>
    </w:rPr>
    <w:tblPr>
      <w:tblStyleRowBandSize w:val="1"/>
      <w:tblStyleColBandSize w:val="1"/>
      <w:tblCellMar>
        <w:left w:w="10" w:type="dxa"/>
        <w:right w:w="10" w:type="dxa"/>
      </w:tblCellMar>
    </w:tblPr>
  </w:style>
  <w:style w:type="table" w:customStyle="1" w:styleId="138">
    <w:name w:val="13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7">
    <w:name w:val="13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6">
    <w:name w:val="136"/>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135">
    <w:name w:val="13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4">
    <w:name w:val="13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3">
    <w:name w:val="13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2">
    <w:name w:val="13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1">
    <w:name w:val="13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0">
    <w:name w:val="13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9">
    <w:name w:val="12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8">
    <w:name w:val="12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7">
    <w:name w:val="12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6">
    <w:name w:val="12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5">
    <w:name w:val="12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4">
    <w:name w:val="12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3">
    <w:name w:val="12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2">
    <w:name w:val="12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1">
    <w:name w:val="12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0">
    <w:name w:val="12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9">
    <w:name w:val="11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8">
    <w:name w:val="11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7">
    <w:name w:val="11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6">
    <w:name w:val="116"/>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115">
    <w:name w:val="115"/>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114">
    <w:name w:val="114"/>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113">
    <w:name w:val="11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2">
    <w:name w:val="11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1">
    <w:name w:val="11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0">
    <w:name w:val="11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9">
    <w:name w:val="109"/>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108">
    <w:name w:val="10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7">
    <w:name w:val="107"/>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106">
    <w:name w:val="10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5">
    <w:name w:val="10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4">
    <w:name w:val="10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3">
    <w:name w:val="10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2">
    <w:name w:val="10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1">
    <w:name w:val="10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0">
    <w:name w:val="10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9">
    <w:name w:val="9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8">
    <w:name w:val="9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7">
    <w:name w:val="9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6">
    <w:name w:val="96"/>
    <w:basedOn w:val="TableNormal"/>
    <w:rsid w:val="00EA051D"/>
    <w:pPr>
      <w:spacing w:after="200" w:line="276" w:lineRule="auto"/>
    </w:pPr>
    <w:rPr>
      <w:rFonts w:ascii="Calibri" w:eastAsia="Calibri" w:hAnsi="Calibri" w:cs="Calibri"/>
      <w:lang w:eastAsia="en-GB"/>
    </w:rPr>
    <w:tblPr>
      <w:tblStyleRowBandSize w:val="1"/>
      <w:tblStyleColBandSize w:val="1"/>
      <w:tblCellMar>
        <w:left w:w="115" w:type="dxa"/>
        <w:right w:w="115" w:type="dxa"/>
      </w:tblCellMar>
    </w:tblPr>
  </w:style>
  <w:style w:type="table" w:customStyle="1" w:styleId="95">
    <w:name w:val="9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4">
    <w:name w:val="9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2">
    <w:name w:val="9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1">
    <w:name w:val="9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0">
    <w:name w:val="9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9">
    <w:name w:val="8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8">
    <w:name w:val="8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7">
    <w:name w:val="8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6">
    <w:name w:val="8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5">
    <w:name w:val="8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4">
    <w:name w:val="8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3">
    <w:name w:val="8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2">
    <w:name w:val="8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1">
    <w:name w:val="8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0">
    <w:name w:val="8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9">
    <w:name w:val="7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8">
    <w:name w:val="7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7">
    <w:name w:val="7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6">
    <w:name w:val="7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5">
    <w:name w:val="7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4">
    <w:name w:val="7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3">
    <w:name w:val="7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2">
    <w:name w:val="7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1">
    <w:name w:val="7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0">
    <w:name w:val="7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9">
    <w:name w:val="6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8">
    <w:name w:val="6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7">
    <w:name w:val="6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6">
    <w:name w:val="6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5">
    <w:name w:val="6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4">
    <w:name w:val="6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3">
    <w:name w:val="6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2">
    <w:name w:val="6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1">
    <w:name w:val="6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0">
    <w:name w:val="6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9">
    <w:name w:val="5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8">
    <w:name w:val="5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7">
    <w:name w:val="5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6">
    <w:name w:val="5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5">
    <w:name w:val="5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4">
    <w:name w:val="5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3">
    <w:name w:val="5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2">
    <w:name w:val="5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1">
    <w:name w:val="5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0">
    <w:name w:val="5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9">
    <w:name w:val="4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8">
    <w:name w:val="4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7">
    <w:name w:val="4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6">
    <w:name w:val="4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5">
    <w:name w:val="4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4">
    <w:name w:val="4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3">
    <w:name w:val="4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2">
    <w:name w:val="4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1">
    <w:name w:val="4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0">
    <w:name w:val="4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9">
    <w:name w:val="3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8">
    <w:name w:val="3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7">
    <w:name w:val="3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6">
    <w:name w:val="3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5">
    <w:name w:val="3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4">
    <w:name w:val="3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3">
    <w:name w:val="3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2">
    <w:name w:val="3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1">
    <w:name w:val="3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0">
    <w:name w:val="3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9">
    <w:name w:val="2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8">
    <w:name w:val="2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7">
    <w:name w:val="2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6">
    <w:name w:val="2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5">
    <w:name w:val="2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4">
    <w:name w:val="2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3">
    <w:name w:val="2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2">
    <w:name w:val="2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1">
    <w:name w:val="2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20">
    <w:name w:val="2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9">
    <w:name w:val="1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8">
    <w:name w:val="1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7">
    <w:name w:val="1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6">
    <w:name w:val="1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5">
    <w:name w:val="1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4">
    <w:name w:val="1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3">
    <w:name w:val="1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2">
    <w:name w:val="12"/>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1">
    <w:name w:val="11"/>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0">
    <w:name w:val="10"/>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9">
    <w:name w:val="9"/>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8">
    <w:name w:val="8"/>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7">
    <w:name w:val="7"/>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6">
    <w:name w:val="6"/>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5">
    <w:name w:val="5"/>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4">
    <w:name w:val="4"/>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3">
    <w:name w:val="3"/>
    <w:basedOn w:val="TableNormal"/>
    <w:rsid w:val="00EA051D"/>
    <w:pPr>
      <w:spacing w:after="0" w:line="240" w:lineRule="auto"/>
    </w:pPr>
    <w:rPr>
      <w:rFonts w:ascii="Calibri" w:eastAsia="Calibri" w:hAnsi="Calibri" w:cs="Calibri"/>
      <w:lang w:eastAsia="en-GB"/>
    </w:rPr>
    <w:tblPr>
      <w:tblStyleRowBandSize w:val="1"/>
      <w:tblStyleColBandSize w:val="1"/>
    </w:tblPr>
  </w:style>
  <w:style w:type="table" w:customStyle="1" w:styleId="1">
    <w:name w:val="1"/>
    <w:basedOn w:val="TableNormal"/>
    <w:rsid w:val="00EA051D"/>
    <w:pPr>
      <w:spacing w:after="0" w:line="240" w:lineRule="auto"/>
    </w:pPr>
    <w:rPr>
      <w:rFonts w:ascii="Calibri" w:eastAsia="Calibri" w:hAnsi="Calibri" w:cs="Calibri"/>
      <w:lang w:eastAsia="en-GB"/>
    </w:rPr>
    <w:tblPr>
      <w:tblStyleRowBandSize w:val="1"/>
      <w:tblStyleColBandSize w:val="1"/>
    </w:tblPr>
  </w:style>
  <w:style w:type="character" w:customStyle="1" w:styleId="Noklusjumarindkopasfonts">
    <w:name w:val="Noklusējuma rindkopas fonts"/>
    <w:basedOn w:val="DefaultParagraphFont"/>
    <w:rsid w:val="00EA051D"/>
  </w:style>
  <w:style w:type="character" w:customStyle="1" w:styleId="UnresolvedMention3">
    <w:name w:val="Unresolved Mention3"/>
    <w:basedOn w:val="DefaultParagraphFont"/>
    <w:uiPriority w:val="99"/>
    <w:semiHidden/>
    <w:unhideWhenUsed/>
    <w:rsid w:val="00EA051D"/>
    <w:rPr>
      <w:color w:val="605E5C"/>
      <w:shd w:val="clear" w:color="auto" w:fill="E1DFDD"/>
    </w:rPr>
  </w:style>
  <w:style w:type="character" w:customStyle="1" w:styleId="UnresolvedMention30">
    <w:name w:val="Unresolved Mention30"/>
    <w:basedOn w:val="DefaultParagraphFont"/>
    <w:uiPriority w:val="99"/>
    <w:semiHidden/>
    <w:unhideWhenUsed/>
    <w:rsid w:val="00EA051D"/>
    <w:rPr>
      <w:color w:val="605E5C"/>
      <w:shd w:val="clear" w:color="auto" w:fill="E1DFDD"/>
    </w:rPr>
  </w:style>
  <w:style w:type="character" w:customStyle="1" w:styleId="Noklusjumarindkopasfonts2">
    <w:name w:val="Noklusējuma rindkopas fonts2"/>
    <w:basedOn w:val="DefaultParagraphFont"/>
    <w:rsid w:val="00EA051D"/>
  </w:style>
  <w:style w:type="paragraph" w:styleId="TOC4">
    <w:name w:val="toc 4"/>
    <w:basedOn w:val="Normal"/>
    <w:next w:val="Normal"/>
    <w:autoRedefine/>
    <w:uiPriority w:val="39"/>
    <w:unhideWhenUsed/>
    <w:rsid w:val="00EA051D"/>
    <w:pPr>
      <w:spacing w:after="0"/>
      <w:ind w:left="480"/>
      <w:jc w:val="left"/>
    </w:pPr>
    <w:rPr>
      <w:rFonts w:cstheme="minorHAnsi"/>
      <w:sz w:val="20"/>
      <w:szCs w:val="20"/>
    </w:rPr>
  </w:style>
  <w:style w:type="paragraph" w:styleId="TOC5">
    <w:name w:val="toc 5"/>
    <w:basedOn w:val="Normal"/>
    <w:next w:val="Normal"/>
    <w:autoRedefine/>
    <w:uiPriority w:val="39"/>
    <w:unhideWhenUsed/>
    <w:rsid w:val="00EA051D"/>
    <w:pPr>
      <w:spacing w:after="0"/>
      <w:ind w:left="720"/>
      <w:jc w:val="left"/>
    </w:pPr>
    <w:rPr>
      <w:rFonts w:cstheme="minorHAnsi"/>
      <w:sz w:val="20"/>
      <w:szCs w:val="20"/>
    </w:rPr>
  </w:style>
  <w:style w:type="paragraph" w:styleId="TOC6">
    <w:name w:val="toc 6"/>
    <w:basedOn w:val="Normal"/>
    <w:next w:val="Normal"/>
    <w:autoRedefine/>
    <w:uiPriority w:val="39"/>
    <w:unhideWhenUsed/>
    <w:rsid w:val="00EA051D"/>
    <w:pPr>
      <w:spacing w:after="0"/>
      <w:ind w:left="960"/>
      <w:jc w:val="left"/>
    </w:pPr>
    <w:rPr>
      <w:rFonts w:cstheme="minorHAnsi"/>
      <w:sz w:val="20"/>
      <w:szCs w:val="20"/>
    </w:rPr>
  </w:style>
  <w:style w:type="paragraph" w:styleId="TOC7">
    <w:name w:val="toc 7"/>
    <w:basedOn w:val="Normal"/>
    <w:next w:val="Normal"/>
    <w:autoRedefine/>
    <w:uiPriority w:val="39"/>
    <w:unhideWhenUsed/>
    <w:rsid w:val="00EA051D"/>
    <w:pPr>
      <w:spacing w:after="0"/>
      <w:ind w:left="1200"/>
      <w:jc w:val="left"/>
    </w:pPr>
    <w:rPr>
      <w:rFonts w:cstheme="minorHAnsi"/>
      <w:sz w:val="20"/>
      <w:szCs w:val="20"/>
    </w:rPr>
  </w:style>
  <w:style w:type="paragraph" w:styleId="TOC8">
    <w:name w:val="toc 8"/>
    <w:basedOn w:val="Normal"/>
    <w:next w:val="Normal"/>
    <w:autoRedefine/>
    <w:uiPriority w:val="39"/>
    <w:unhideWhenUsed/>
    <w:rsid w:val="00EA051D"/>
    <w:pPr>
      <w:spacing w:after="0"/>
      <w:ind w:left="1440"/>
      <w:jc w:val="left"/>
    </w:pPr>
    <w:rPr>
      <w:rFonts w:cstheme="minorHAnsi"/>
      <w:sz w:val="20"/>
      <w:szCs w:val="20"/>
    </w:rPr>
  </w:style>
  <w:style w:type="paragraph" w:styleId="TOC9">
    <w:name w:val="toc 9"/>
    <w:basedOn w:val="Normal"/>
    <w:next w:val="Normal"/>
    <w:autoRedefine/>
    <w:uiPriority w:val="39"/>
    <w:unhideWhenUsed/>
    <w:rsid w:val="00EA051D"/>
    <w:pPr>
      <w:spacing w:after="0"/>
      <w:ind w:left="1680"/>
      <w:jc w:val="left"/>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3.xml"/><Relationship Id="rId21" Type="http://schemas.openxmlformats.org/officeDocument/2006/relationships/diagramData" Target="diagrams/data2.xml"/><Relationship Id="rId34" Type="http://schemas.openxmlformats.org/officeDocument/2006/relationships/image" Target="media/image10.jpeg"/><Relationship Id="rId42" Type="http://schemas.openxmlformats.org/officeDocument/2006/relationships/footer" Target="footer2.xml"/><Relationship Id="rId47" Type="http://schemas.openxmlformats.org/officeDocument/2006/relationships/image" Target="media/image21.emf"/><Relationship Id="rId50" Type="http://schemas.openxmlformats.org/officeDocument/2006/relationships/image" Target="media/image24.emf"/><Relationship Id="rId55" Type="http://schemas.openxmlformats.org/officeDocument/2006/relationships/image" Target="media/image29.emf"/><Relationship Id="rId63" Type="http://schemas.openxmlformats.org/officeDocument/2006/relationships/image" Target="media/image37.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diagramColors" Target="diagrams/colors3.xml"/><Relationship Id="rId11" Type="http://schemas.openxmlformats.org/officeDocument/2006/relationships/image" Target="media/image2.png"/><Relationship Id="rId24" Type="http://schemas.openxmlformats.org/officeDocument/2006/relationships/diagramColors" Target="diagrams/colors2.xml"/><Relationship Id="rId32" Type="http://schemas.openxmlformats.org/officeDocument/2006/relationships/image" Target="media/image8.jpe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19.jpeg"/><Relationship Id="rId53" Type="http://schemas.openxmlformats.org/officeDocument/2006/relationships/image" Target="media/image27.emf"/><Relationship Id="rId58" Type="http://schemas.openxmlformats.org/officeDocument/2006/relationships/image" Target="media/image32.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5.emf"/><Relationship Id="rId19" Type="http://schemas.openxmlformats.org/officeDocument/2006/relationships/diagramColors" Target="diagrams/colors1.xml"/><Relationship Id="rId14" Type="http://schemas.openxmlformats.org/officeDocument/2006/relationships/image" Target="media/image5.png"/><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image" Target="media/image11.jpeg"/><Relationship Id="rId43" Type="http://schemas.openxmlformats.org/officeDocument/2006/relationships/image" Target="media/image17.jpeg"/><Relationship Id="rId48" Type="http://schemas.openxmlformats.org/officeDocument/2006/relationships/image" Target="media/image22.emf"/><Relationship Id="rId56" Type="http://schemas.openxmlformats.org/officeDocument/2006/relationships/image" Target="media/image30.emf"/><Relationship Id="rId64" Type="http://schemas.openxmlformats.org/officeDocument/2006/relationships/image" Target="media/image38.emf"/><Relationship Id="rId8" Type="http://schemas.openxmlformats.org/officeDocument/2006/relationships/header" Target="header1.xml"/><Relationship Id="rId51" Type="http://schemas.openxmlformats.org/officeDocument/2006/relationships/image" Target="media/image25.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image" Target="media/image9.jpeg"/><Relationship Id="rId38" Type="http://schemas.openxmlformats.org/officeDocument/2006/relationships/image" Target="media/image14.png"/><Relationship Id="rId46" Type="http://schemas.openxmlformats.org/officeDocument/2006/relationships/image" Target="media/image20.png"/><Relationship Id="rId59" Type="http://schemas.openxmlformats.org/officeDocument/2006/relationships/image" Target="media/image33.emf"/><Relationship Id="rId20" Type="http://schemas.microsoft.com/office/2007/relationships/diagramDrawing" Target="diagrams/drawing1.xml"/><Relationship Id="rId41" Type="http://schemas.openxmlformats.org/officeDocument/2006/relationships/header" Target="header2.xml"/><Relationship Id="rId54" Type="http://schemas.openxmlformats.org/officeDocument/2006/relationships/image" Target="media/image28.emf"/><Relationship Id="rId62"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image" Target="media/image12.jpeg"/><Relationship Id="rId49" Type="http://schemas.openxmlformats.org/officeDocument/2006/relationships/image" Target="media/image23.emf"/><Relationship Id="rId57" Type="http://schemas.openxmlformats.org/officeDocument/2006/relationships/image" Target="media/image31.emf"/><Relationship Id="rId10"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image" Target="media/image18.png"/><Relationship Id="rId52" Type="http://schemas.openxmlformats.org/officeDocument/2006/relationships/image" Target="media/image26.emf"/><Relationship Id="rId60" Type="http://schemas.openxmlformats.org/officeDocument/2006/relationships/image" Target="media/image34.emf"/><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diagramQuickStyle" Target="diagrams/quickStyle1.xml"/><Relationship Id="rId39" Type="http://schemas.openxmlformats.org/officeDocument/2006/relationships/image" Target="media/image15.png"/></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ELEX:52015DC0614" TargetMode="External"/><Relationship Id="rId13" Type="http://schemas.openxmlformats.org/officeDocument/2006/relationships/hyperlink" Target="https://www.contic.lv/lv/about_lv/" TargetMode="External"/><Relationship Id="rId3" Type="http://schemas.openxmlformats.org/officeDocument/2006/relationships/hyperlink" Target="https://luxverte.lu" TargetMode="External"/><Relationship Id="rId7" Type="http://schemas.openxmlformats.org/officeDocument/2006/relationships/hyperlink" Target="https://op.europa.eu/en/publication-detail/-/publication/b828d165-1c22-11ea-8c1f-01aa75ed71a1/language-lv" TargetMode="External"/><Relationship Id="rId12" Type="http://schemas.openxmlformats.org/officeDocument/2006/relationships/hyperlink" Target="https://likumi.lv/ta/id/229378-noteikumi-par-atkritumu-regeneracijas-un-apglabasanas-veidiem" TargetMode="External"/><Relationship Id="rId17" Type="http://schemas.openxmlformats.org/officeDocument/2006/relationships/hyperlink" Target="https://op.europa.eu/en/publication-detail/-/publication/b828d165-1c22-11ea-8c1f-01aa75ed71a1/language-lv" TargetMode="External"/><Relationship Id="rId2" Type="http://schemas.openxmlformats.org/officeDocument/2006/relationships/hyperlink" Target="https://www.contic.lv/lv/about_lv/" TargetMode="External"/><Relationship Id="rId16" Type="http://schemas.openxmlformats.org/officeDocument/2006/relationships/hyperlink" Target="https://terranova-energy.com/" TargetMode="External"/><Relationship Id="rId1" Type="http://schemas.openxmlformats.org/officeDocument/2006/relationships/hyperlink" Target="https://likumi.lv/ta/id/229378-noteikumi-par-atkritumu-regeneracijas-un-apglabasanas-veidiem" TargetMode="External"/><Relationship Id="rId6" Type="http://schemas.openxmlformats.org/officeDocument/2006/relationships/hyperlink" Target="https://op.europa.eu/en/publication-detail/-/publication/b828d165-1c22-11ea-8c1f-01aa75ed71a1/language-lv" TargetMode="External"/><Relationship Id="rId11" Type="http://schemas.openxmlformats.org/officeDocument/2006/relationships/hyperlink" Target="https://likumi.lv/ta/id/279283-udenssaimniecibas-pakalpojumu-tarifu-aprekinasanas-metodika" TargetMode="External"/><Relationship Id="rId5" Type="http://schemas.openxmlformats.org/officeDocument/2006/relationships/hyperlink" Target="https://terranova-energy.com/" TargetMode="External"/><Relationship Id="rId15" Type="http://schemas.openxmlformats.org/officeDocument/2006/relationships/hyperlink" Target="http://www.innowaste.eu" TargetMode="External"/><Relationship Id="rId10" Type="http://schemas.openxmlformats.org/officeDocument/2006/relationships/hyperlink" Target="https://likumi.lv/ta/id/199830-noteikumi-par-regulejamiem-sabiedrisko-pakalpojumu-veidiem" TargetMode="External"/><Relationship Id="rId4" Type="http://schemas.openxmlformats.org/officeDocument/2006/relationships/hyperlink" Target="http://www.innowaste.eu" TargetMode="External"/><Relationship Id="rId9" Type="http://schemas.openxmlformats.org/officeDocument/2006/relationships/hyperlink" Target="https://likumi.lv/ta/id/281230-noteikumi-par-sabiedrisko-udenssaimniecibas-pakalpojumu-sniegsanu-un-lietosanu" TargetMode="External"/><Relationship Id="rId14" Type="http://schemas.openxmlformats.org/officeDocument/2006/relationships/hyperlink" Target="https://luxverte.lu"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700ECC-3B32-4C17-9B4D-FFA14E72B585}" type="doc">
      <dgm:prSet loTypeId="urn:microsoft.com/office/officeart/2005/8/layout/vProcess5" loCatId="process" qsTypeId="urn:microsoft.com/office/officeart/2005/8/quickstyle/simple1" qsCatId="simple" csTypeId="urn:microsoft.com/office/officeart/2005/8/colors/colorful2" csCatId="colorful" phldr="1"/>
      <dgm:spPr/>
      <dgm:t>
        <a:bodyPr/>
        <a:lstStyle/>
        <a:p>
          <a:endParaRPr lang="en-US"/>
        </a:p>
      </dgm:t>
    </dgm:pt>
    <dgm:pt modelId="{7E850B30-9F30-4FA5-BFB9-04A32FAD7EE5}">
      <dgm:prSet phldrT="[Text]" custT="1"/>
      <dgm:spPr/>
      <dgm:t>
        <a:bodyPr/>
        <a:lstStyle/>
        <a:p>
          <a:pPr>
            <a:buFont typeface="Symbol" panose="05050102010706020507" pitchFamily="18" charset="2"/>
            <a:buChar char=""/>
          </a:pPr>
          <a:r>
            <a:rPr lang="lv-LV" sz="1200">
              <a:latin typeface="Times New Roman" panose="02020603050405020304" pitchFamily="18" charset="0"/>
              <a:ea typeface="Tahoma" panose="020B0604030504040204" pitchFamily="34" charset="0"/>
              <a:cs typeface="Times New Roman" panose="02020603050405020304" pitchFamily="18" charset="0"/>
            </a:rPr>
            <a:t>No NAI noņemtās slapjās notekūdeņu dūņas (1% sausna) tiek mehāniski atūdeņotas līdz 18% sausnai (notekūdeņu dūņu apstrādes process).</a:t>
          </a:r>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6583337A-A8D7-44DC-A92A-0C1A089C8158}" type="parTrans" cxnId="{A3386045-CB43-4C60-8432-FABAAADC7C63}">
      <dgm:prSet/>
      <dgm:spPr/>
      <dgm:t>
        <a:bodyPr/>
        <a:lstStyle/>
        <a:p>
          <a:endParaRPr lang="en-US"/>
        </a:p>
      </dgm:t>
    </dgm:pt>
    <dgm:pt modelId="{F4E64B5A-AC83-49EC-A712-27868DA1BE03}" type="sibTrans" cxnId="{A3386045-CB43-4C60-8432-FABAAADC7C63}">
      <dgm:prSet/>
      <dgm:spPr/>
      <dgm:t>
        <a:bodyPr/>
        <a:lstStyle/>
        <a:p>
          <a:endParaRPr lang="en-US"/>
        </a:p>
      </dgm:t>
    </dgm:pt>
    <dgm:pt modelId="{05EE9166-A768-44E6-9309-D5DDC75A5BEC}">
      <dgm:prSet phldrT="[Text]" custT="1"/>
      <dgm:spPr/>
      <dgm:t>
        <a:bodyPr/>
        <a:lstStyle/>
        <a:p>
          <a:pPr>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Pēc atūdeņošanas notekūdeņu dūņas tiek nogādātas betonētā (asfaltētā) izturēšanas laukumā ar sienām un jumtu, smaku novēršanas un drenāžas sistēmu.</a:t>
          </a:r>
          <a:endParaRPr lang="en-US" sz="1200">
            <a:latin typeface="Times New Roman" panose="02020603050405020304" pitchFamily="18" charset="0"/>
            <a:cs typeface="Times New Roman" panose="02020603050405020304" pitchFamily="18" charset="0"/>
          </a:endParaRPr>
        </a:p>
      </dgm:t>
    </dgm:pt>
    <dgm:pt modelId="{C3F665F9-3C30-4998-8E0C-EF3D154A2A88}" type="parTrans" cxnId="{823521AF-3525-4B3C-8F22-C67495CA657B}">
      <dgm:prSet/>
      <dgm:spPr/>
      <dgm:t>
        <a:bodyPr/>
        <a:lstStyle/>
        <a:p>
          <a:endParaRPr lang="en-US"/>
        </a:p>
      </dgm:t>
    </dgm:pt>
    <dgm:pt modelId="{DA8B8890-A156-43F7-89B5-74C894B01ADD}" type="sibTrans" cxnId="{823521AF-3525-4B3C-8F22-C67495CA657B}">
      <dgm:prSet/>
      <dgm:spPr/>
      <dgm:t>
        <a:bodyPr/>
        <a:lstStyle/>
        <a:p>
          <a:endParaRPr lang="en-US"/>
        </a:p>
      </dgm:t>
    </dgm:pt>
    <dgm:pt modelId="{F2DE5B94-82E2-46F4-97D2-6873C635162E}">
      <dgm:prSet phldrT="[Text]" custT="1"/>
      <dgm:spPr/>
      <dgm:t>
        <a:bodyPr/>
        <a:lstStyle/>
        <a:p>
          <a:pPr>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Notekūdēnu dūņas tiek izklātas 0,4 m biezumā un izturētas 12 mēnešus. Šādas notekūdeņu dūņas ir uzskatāmas par piemērotām iesteādei augsnē, tās mēslošanai un bagātināšanai.</a:t>
          </a:r>
          <a:endParaRPr lang="en-US" sz="1200">
            <a:latin typeface="Times New Roman" panose="02020603050405020304" pitchFamily="18" charset="0"/>
            <a:cs typeface="Times New Roman" panose="02020603050405020304" pitchFamily="18" charset="0"/>
          </a:endParaRPr>
        </a:p>
      </dgm:t>
    </dgm:pt>
    <dgm:pt modelId="{6BB60079-4082-4C91-AF02-9950CBA6A2F4}" type="parTrans" cxnId="{0D508C4C-F8AB-4612-BD42-712610BAADE4}">
      <dgm:prSet/>
      <dgm:spPr/>
      <dgm:t>
        <a:bodyPr/>
        <a:lstStyle/>
        <a:p>
          <a:endParaRPr lang="en-US"/>
        </a:p>
      </dgm:t>
    </dgm:pt>
    <dgm:pt modelId="{5B80973C-078E-46A2-9F4D-BF125A1A114B}" type="sibTrans" cxnId="{0D508C4C-F8AB-4612-BD42-712610BAADE4}">
      <dgm:prSet/>
      <dgm:spPr/>
      <dgm:t>
        <a:bodyPr/>
        <a:lstStyle/>
        <a:p>
          <a:endParaRPr lang="en-US"/>
        </a:p>
      </dgm:t>
    </dgm:pt>
    <dgm:pt modelId="{F06148F9-DB14-4724-A8FE-29F559942A64}">
      <dgm:prSet custT="1"/>
      <dgm:spPr/>
      <dgm:t>
        <a:bodyPr/>
        <a:lstStyle/>
        <a:p>
          <a:r>
            <a:rPr lang="lv-LV" sz="1000">
              <a:latin typeface="Times New Roman" panose="02020603050405020304" pitchFamily="18" charset="0"/>
              <a:cs typeface="Times New Roman" panose="02020603050405020304" pitchFamily="18" charset="0"/>
            </a:rPr>
            <a:t>Notekūdeņu dūņu izturēšanas lauks jāplāno par 30% lielāks par aprēķināto maksimāli nepieciešamo, lai būtu iespējams nodrošinātu pārstrādes tehnoloģiskos procesus, un pārstrādāto notekūdeņu dūņu izvešanu utilizācijai</a:t>
          </a:r>
          <a:endParaRPr lang="en-US" sz="1000">
            <a:latin typeface="Times New Roman" panose="02020603050405020304" pitchFamily="18" charset="0"/>
            <a:cs typeface="Times New Roman" panose="02020603050405020304" pitchFamily="18" charset="0"/>
          </a:endParaRPr>
        </a:p>
      </dgm:t>
    </dgm:pt>
    <dgm:pt modelId="{6EA47D49-1054-46FE-9FF3-73109C377E92}" type="parTrans" cxnId="{F05CECAB-2CDD-41AA-9470-4B693BDDAAB9}">
      <dgm:prSet/>
      <dgm:spPr/>
      <dgm:t>
        <a:bodyPr/>
        <a:lstStyle/>
        <a:p>
          <a:endParaRPr lang="en-US"/>
        </a:p>
      </dgm:t>
    </dgm:pt>
    <dgm:pt modelId="{AF58CEBB-8F1B-4BA1-A72A-2D6DBC058D48}" type="sibTrans" cxnId="{F05CECAB-2CDD-41AA-9470-4B693BDDAAB9}">
      <dgm:prSet/>
      <dgm:spPr/>
      <dgm:t>
        <a:bodyPr/>
        <a:lstStyle/>
        <a:p>
          <a:endParaRPr lang="en-US"/>
        </a:p>
      </dgm:t>
    </dgm:pt>
    <dgm:pt modelId="{BC643771-EF9C-4DD7-8023-69E2DF1E4AD9}">
      <dgm:prSet custT="1"/>
      <dgm:spPr/>
      <dgm:t>
        <a:bodyPr/>
        <a:lstStyle/>
        <a:p>
          <a:pPr>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Pēc 12 mēnešu izturēšanas, notekūdeņu dūņas izved gala utilizācijai un tās ir sasniegušas vidēji 25 - 30% sausnes saturu.</a:t>
          </a:r>
          <a:endParaRPr lang="en-US" sz="1200">
            <a:latin typeface="Times New Roman" panose="02020603050405020304" pitchFamily="18" charset="0"/>
            <a:cs typeface="Times New Roman" panose="02020603050405020304" pitchFamily="18" charset="0"/>
          </a:endParaRPr>
        </a:p>
      </dgm:t>
    </dgm:pt>
    <dgm:pt modelId="{EB00C67E-7B86-41D9-ADDF-8FFE14980ADD}" type="parTrans" cxnId="{DD505E28-1A81-46CB-9391-01A5FBB70028}">
      <dgm:prSet/>
      <dgm:spPr/>
      <dgm:t>
        <a:bodyPr/>
        <a:lstStyle/>
        <a:p>
          <a:endParaRPr lang="en-US"/>
        </a:p>
      </dgm:t>
    </dgm:pt>
    <dgm:pt modelId="{CCEEC71C-4ACE-47A7-A551-ACE730E039F1}" type="sibTrans" cxnId="{DD505E28-1A81-46CB-9391-01A5FBB70028}">
      <dgm:prSet/>
      <dgm:spPr/>
      <dgm:t>
        <a:bodyPr/>
        <a:lstStyle/>
        <a:p>
          <a:endParaRPr lang="en-US"/>
        </a:p>
      </dgm:t>
    </dgm:pt>
    <dgm:pt modelId="{BC70426F-E7E6-421D-AFAA-0838F4DB76F6}">
      <dgm:prSet/>
      <dgm:spPr/>
      <dgm:t>
        <a:bodyPr/>
        <a:lstStyle/>
        <a:p>
          <a:endParaRPr lang="en-US"/>
        </a:p>
      </dgm:t>
    </dgm:pt>
    <dgm:pt modelId="{1954A524-7CFF-44CF-BB1C-42795C913BF7}" type="parTrans" cxnId="{CED45AA8-A883-44AD-8936-0613B5845275}">
      <dgm:prSet/>
      <dgm:spPr/>
      <dgm:t>
        <a:bodyPr/>
        <a:lstStyle/>
        <a:p>
          <a:endParaRPr lang="en-US"/>
        </a:p>
      </dgm:t>
    </dgm:pt>
    <dgm:pt modelId="{9ECD5F7A-5696-4F04-BFDA-73448F25F65D}" type="sibTrans" cxnId="{CED45AA8-A883-44AD-8936-0613B5845275}">
      <dgm:prSet/>
      <dgm:spPr/>
      <dgm:t>
        <a:bodyPr/>
        <a:lstStyle/>
        <a:p>
          <a:endParaRPr lang="en-US"/>
        </a:p>
      </dgm:t>
    </dgm:pt>
    <dgm:pt modelId="{8E29116D-DF4A-4E9A-A7CD-40024F4445F7}" type="pres">
      <dgm:prSet presAssocID="{27700ECC-3B32-4C17-9B4D-FFA14E72B585}" presName="outerComposite" presStyleCnt="0">
        <dgm:presLayoutVars>
          <dgm:chMax val="5"/>
          <dgm:dir/>
          <dgm:resizeHandles val="exact"/>
        </dgm:presLayoutVars>
      </dgm:prSet>
      <dgm:spPr/>
    </dgm:pt>
    <dgm:pt modelId="{1289070D-80CB-4BA5-9D83-8FA7A0D448E8}" type="pres">
      <dgm:prSet presAssocID="{27700ECC-3B32-4C17-9B4D-FFA14E72B585}" presName="dummyMaxCanvas" presStyleCnt="0">
        <dgm:presLayoutVars/>
      </dgm:prSet>
      <dgm:spPr/>
    </dgm:pt>
    <dgm:pt modelId="{28D00246-D71D-4175-B963-CCEDF774112B}" type="pres">
      <dgm:prSet presAssocID="{27700ECC-3B32-4C17-9B4D-FFA14E72B585}" presName="FiveNodes_1" presStyleLbl="node1" presStyleIdx="0" presStyleCnt="5">
        <dgm:presLayoutVars>
          <dgm:bulletEnabled val="1"/>
        </dgm:presLayoutVars>
      </dgm:prSet>
      <dgm:spPr/>
    </dgm:pt>
    <dgm:pt modelId="{B1A8A2C4-7843-4A29-B064-89A6CBF39161}" type="pres">
      <dgm:prSet presAssocID="{27700ECC-3B32-4C17-9B4D-FFA14E72B585}" presName="FiveNodes_2" presStyleLbl="node1" presStyleIdx="1" presStyleCnt="5">
        <dgm:presLayoutVars>
          <dgm:bulletEnabled val="1"/>
        </dgm:presLayoutVars>
      </dgm:prSet>
      <dgm:spPr/>
    </dgm:pt>
    <dgm:pt modelId="{3A6A8A0E-ACD2-4915-A63E-0F54BAFE2BA0}" type="pres">
      <dgm:prSet presAssocID="{27700ECC-3B32-4C17-9B4D-FFA14E72B585}" presName="FiveNodes_3" presStyleLbl="node1" presStyleIdx="2" presStyleCnt="5">
        <dgm:presLayoutVars>
          <dgm:bulletEnabled val="1"/>
        </dgm:presLayoutVars>
      </dgm:prSet>
      <dgm:spPr/>
    </dgm:pt>
    <dgm:pt modelId="{9DDC3F8D-98B8-4BD8-9B77-A101FB1FEA7B}" type="pres">
      <dgm:prSet presAssocID="{27700ECC-3B32-4C17-9B4D-FFA14E72B585}" presName="FiveNodes_4" presStyleLbl="node1" presStyleIdx="3" presStyleCnt="5">
        <dgm:presLayoutVars>
          <dgm:bulletEnabled val="1"/>
        </dgm:presLayoutVars>
      </dgm:prSet>
      <dgm:spPr/>
    </dgm:pt>
    <dgm:pt modelId="{51D390E9-6F26-4BF5-9E75-4C2B05695F6E}" type="pres">
      <dgm:prSet presAssocID="{27700ECC-3B32-4C17-9B4D-FFA14E72B585}" presName="FiveNodes_5" presStyleLbl="node1" presStyleIdx="4" presStyleCnt="5">
        <dgm:presLayoutVars>
          <dgm:bulletEnabled val="1"/>
        </dgm:presLayoutVars>
      </dgm:prSet>
      <dgm:spPr/>
    </dgm:pt>
    <dgm:pt modelId="{AF14B8A7-9B28-4979-A594-BC1269500FAF}" type="pres">
      <dgm:prSet presAssocID="{27700ECC-3B32-4C17-9B4D-FFA14E72B585}" presName="FiveConn_1-2" presStyleLbl="fgAccFollowNode1" presStyleIdx="0" presStyleCnt="4">
        <dgm:presLayoutVars>
          <dgm:bulletEnabled val="1"/>
        </dgm:presLayoutVars>
      </dgm:prSet>
      <dgm:spPr/>
    </dgm:pt>
    <dgm:pt modelId="{21E55161-92D0-4A3C-839B-4B99E5F295DC}" type="pres">
      <dgm:prSet presAssocID="{27700ECC-3B32-4C17-9B4D-FFA14E72B585}" presName="FiveConn_2-3" presStyleLbl="fgAccFollowNode1" presStyleIdx="1" presStyleCnt="4">
        <dgm:presLayoutVars>
          <dgm:bulletEnabled val="1"/>
        </dgm:presLayoutVars>
      </dgm:prSet>
      <dgm:spPr/>
    </dgm:pt>
    <dgm:pt modelId="{49C6B3B7-304F-4D2F-8CE6-BE88B5895BFB}" type="pres">
      <dgm:prSet presAssocID="{27700ECC-3B32-4C17-9B4D-FFA14E72B585}" presName="FiveConn_3-4" presStyleLbl="fgAccFollowNode1" presStyleIdx="2" presStyleCnt="4">
        <dgm:presLayoutVars>
          <dgm:bulletEnabled val="1"/>
        </dgm:presLayoutVars>
      </dgm:prSet>
      <dgm:spPr/>
    </dgm:pt>
    <dgm:pt modelId="{54DEDFEF-751E-4B7F-8DE4-FA8F42AB775A}" type="pres">
      <dgm:prSet presAssocID="{27700ECC-3B32-4C17-9B4D-FFA14E72B585}" presName="FiveConn_4-5" presStyleLbl="fgAccFollowNode1" presStyleIdx="3" presStyleCnt="4">
        <dgm:presLayoutVars>
          <dgm:bulletEnabled val="1"/>
        </dgm:presLayoutVars>
      </dgm:prSet>
      <dgm:spPr/>
    </dgm:pt>
    <dgm:pt modelId="{4B112157-EA99-4C16-854B-E60FD750A367}" type="pres">
      <dgm:prSet presAssocID="{27700ECC-3B32-4C17-9B4D-FFA14E72B585}" presName="FiveNodes_1_text" presStyleLbl="node1" presStyleIdx="4" presStyleCnt="5">
        <dgm:presLayoutVars>
          <dgm:bulletEnabled val="1"/>
        </dgm:presLayoutVars>
      </dgm:prSet>
      <dgm:spPr/>
    </dgm:pt>
    <dgm:pt modelId="{CA19D8EF-ED17-4017-8BD6-2F3441D83D74}" type="pres">
      <dgm:prSet presAssocID="{27700ECC-3B32-4C17-9B4D-FFA14E72B585}" presName="FiveNodes_2_text" presStyleLbl="node1" presStyleIdx="4" presStyleCnt="5">
        <dgm:presLayoutVars>
          <dgm:bulletEnabled val="1"/>
        </dgm:presLayoutVars>
      </dgm:prSet>
      <dgm:spPr/>
    </dgm:pt>
    <dgm:pt modelId="{8275C56C-F68A-4857-A1FF-FFE2E529AB1C}" type="pres">
      <dgm:prSet presAssocID="{27700ECC-3B32-4C17-9B4D-FFA14E72B585}" presName="FiveNodes_3_text" presStyleLbl="node1" presStyleIdx="4" presStyleCnt="5">
        <dgm:presLayoutVars>
          <dgm:bulletEnabled val="1"/>
        </dgm:presLayoutVars>
      </dgm:prSet>
      <dgm:spPr/>
    </dgm:pt>
    <dgm:pt modelId="{8D594A32-59A3-43C1-98E7-8A1DA1A26C2C}" type="pres">
      <dgm:prSet presAssocID="{27700ECC-3B32-4C17-9B4D-FFA14E72B585}" presName="FiveNodes_4_text" presStyleLbl="node1" presStyleIdx="4" presStyleCnt="5">
        <dgm:presLayoutVars>
          <dgm:bulletEnabled val="1"/>
        </dgm:presLayoutVars>
      </dgm:prSet>
      <dgm:spPr/>
    </dgm:pt>
    <dgm:pt modelId="{FC78C584-BC19-422E-8E34-64DC3502D5F6}" type="pres">
      <dgm:prSet presAssocID="{27700ECC-3B32-4C17-9B4D-FFA14E72B585}" presName="FiveNodes_5_text" presStyleLbl="node1" presStyleIdx="4" presStyleCnt="5">
        <dgm:presLayoutVars>
          <dgm:bulletEnabled val="1"/>
        </dgm:presLayoutVars>
      </dgm:prSet>
      <dgm:spPr/>
    </dgm:pt>
  </dgm:ptLst>
  <dgm:cxnLst>
    <dgm:cxn modelId="{E7946B0A-1351-466D-953F-7B8453DD048E}" type="presOf" srcId="{AF58CEBB-8F1B-4BA1-A72A-2D6DBC058D48}" destId="{54DEDFEF-751E-4B7F-8DE4-FA8F42AB775A}" srcOrd="0" destOrd="0" presId="urn:microsoft.com/office/officeart/2005/8/layout/vProcess5"/>
    <dgm:cxn modelId="{FE98C20D-BB5F-47E1-B298-3D16A3D3D64C}" type="presOf" srcId="{F2DE5B94-82E2-46F4-97D2-6873C635162E}" destId="{3A6A8A0E-ACD2-4915-A63E-0F54BAFE2BA0}" srcOrd="0" destOrd="0" presId="urn:microsoft.com/office/officeart/2005/8/layout/vProcess5"/>
    <dgm:cxn modelId="{D4695F19-003D-42CF-A34A-362A450E79ED}" type="presOf" srcId="{F06148F9-DB14-4724-A8FE-29F559942A64}" destId="{9DDC3F8D-98B8-4BD8-9B77-A101FB1FEA7B}" srcOrd="0" destOrd="0" presId="urn:microsoft.com/office/officeart/2005/8/layout/vProcess5"/>
    <dgm:cxn modelId="{DD505E28-1A81-46CB-9391-01A5FBB70028}" srcId="{27700ECC-3B32-4C17-9B4D-FFA14E72B585}" destId="{BC643771-EF9C-4DD7-8023-69E2DF1E4AD9}" srcOrd="4" destOrd="0" parTransId="{EB00C67E-7B86-41D9-ADDF-8FFE14980ADD}" sibTransId="{CCEEC71C-4ACE-47A7-A551-ACE730E039F1}"/>
    <dgm:cxn modelId="{DAC7E036-4A7A-40E7-BB60-25433B993DFE}" type="presOf" srcId="{5B80973C-078E-46A2-9F4D-BF125A1A114B}" destId="{49C6B3B7-304F-4D2F-8CE6-BE88B5895BFB}" srcOrd="0" destOrd="0" presId="urn:microsoft.com/office/officeart/2005/8/layout/vProcess5"/>
    <dgm:cxn modelId="{AFBE4B3D-332C-400C-B952-38113A48B044}" type="presOf" srcId="{BC643771-EF9C-4DD7-8023-69E2DF1E4AD9}" destId="{51D390E9-6F26-4BF5-9E75-4C2B05695F6E}" srcOrd="0" destOrd="0" presId="urn:microsoft.com/office/officeart/2005/8/layout/vProcess5"/>
    <dgm:cxn modelId="{C902785E-7D75-4B31-BE06-31026B858F6C}" type="presOf" srcId="{DA8B8890-A156-43F7-89B5-74C894B01ADD}" destId="{21E55161-92D0-4A3C-839B-4B99E5F295DC}" srcOrd="0" destOrd="0" presId="urn:microsoft.com/office/officeart/2005/8/layout/vProcess5"/>
    <dgm:cxn modelId="{61B78562-0DAC-4C16-B1F2-DBCC503BC843}" type="presOf" srcId="{7E850B30-9F30-4FA5-BFB9-04A32FAD7EE5}" destId="{4B112157-EA99-4C16-854B-E60FD750A367}" srcOrd="1" destOrd="0" presId="urn:microsoft.com/office/officeart/2005/8/layout/vProcess5"/>
    <dgm:cxn modelId="{6B29AF42-F878-4AAE-A654-C99E11F2515C}" type="presOf" srcId="{05EE9166-A768-44E6-9309-D5DDC75A5BEC}" destId="{B1A8A2C4-7843-4A29-B064-89A6CBF39161}" srcOrd="0" destOrd="0" presId="urn:microsoft.com/office/officeart/2005/8/layout/vProcess5"/>
    <dgm:cxn modelId="{6785FB63-E42E-4BEC-8CA4-02DE323FAF3D}" type="presOf" srcId="{27700ECC-3B32-4C17-9B4D-FFA14E72B585}" destId="{8E29116D-DF4A-4E9A-A7CD-40024F4445F7}" srcOrd="0" destOrd="0" presId="urn:microsoft.com/office/officeart/2005/8/layout/vProcess5"/>
    <dgm:cxn modelId="{A3386045-CB43-4C60-8432-FABAAADC7C63}" srcId="{27700ECC-3B32-4C17-9B4D-FFA14E72B585}" destId="{7E850B30-9F30-4FA5-BFB9-04A32FAD7EE5}" srcOrd="0" destOrd="0" parTransId="{6583337A-A8D7-44DC-A92A-0C1A089C8158}" sibTransId="{F4E64B5A-AC83-49EC-A712-27868DA1BE03}"/>
    <dgm:cxn modelId="{A403F44B-06E8-4B91-87D5-58D10CB9BBFB}" type="presOf" srcId="{7E850B30-9F30-4FA5-BFB9-04A32FAD7EE5}" destId="{28D00246-D71D-4175-B963-CCEDF774112B}" srcOrd="0" destOrd="0" presId="urn:microsoft.com/office/officeart/2005/8/layout/vProcess5"/>
    <dgm:cxn modelId="{0D508C4C-F8AB-4612-BD42-712610BAADE4}" srcId="{27700ECC-3B32-4C17-9B4D-FFA14E72B585}" destId="{F2DE5B94-82E2-46F4-97D2-6873C635162E}" srcOrd="2" destOrd="0" parTransId="{6BB60079-4082-4C91-AF02-9950CBA6A2F4}" sibTransId="{5B80973C-078E-46A2-9F4D-BF125A1A114B}"/>
    <dgm:cxn modelId="{32184059-34E2-4A3F-B8CF-34191B66688A}" type="presOf" srcId="{05EE9166-A768-44E6-9309-D5DDC75A5BEC}" destId="{CA19D8EF-ED17-4017-8BD6-2F3441D83D74}" srcOrd="1" destOrd="0" presId="urn:microsoft.com/office/officeart/2005/8/layout/vProcess5"/>
    <dgm:cxn modelId="{7D8D4179-0544-4394-B2FC-A3994CD8B649}" type="presOf" srcId="{F4E64B5A-AC83-49EC-A712-27868DA1BE03}" destId="{AF14B8A7-9B28-4979-A594-BC1269500FAF}" srcOrd="0" destOrd="0" presId="urn:microsoft.com/office/officeart/2005/8/layout/vProcess5"/>
    <dgm:cxn modelId="{403E5686-1D13-4AF0-83F9-5F027C143320}" type="presOf" srcId="{F06148F9-DB14-4724-A8FE-29F559942A64}" destId="{8D594A32-59A3-43C1-98E7-8A1DA1A26C2C}" srcOrd="1" destOrd="0" presId="urn:microsoft.com/office/officeart/2005/8/layout/vProcess5"/>
    <dgm:cxn modelId="{CED45AA8-A883-44AD-8936-0613B5845275}" srcId="{27700ECC-3B32-4C17-9B4D-FFA14E72B585}" destId="{BC70426F-E7E6-421D-AFAA-0838F4DB76F6}" srcOrd="5" destOrd="0" parTransId="{1954A524-7CFF-44CF-BB1C-42795C913BF7}" sibTransId="{9ECD5F7A-5696-4F04-BFDA-73448F25F65D}"/>
    <dgm:cxn modelId="{F05CECAB-2CDD-41AA-9470-4B693BDDAAB9}" srcId="{27700ECC-3B32-4C17-9B4D-FFA14E72B585}" destId="{F06148F9-DB14-4724-A8FE-29F559942A64}" srcOrd="3" destOrd="0" parTransId="{6EA47D49-1054-46FE-9FF3-73109C377E92}" sibTransId="{AF58CEBB-8F1B-4BA1-A72A-2D6DBC058D48}"/>
    <dgm:cxn modelId="{823521AF-3525-4B3C-8F22-C67495CA657B}" srcId="{27700ECC-3B32-4C17-9B4D-FFA14E72B585}" destId="{05EE9166-A768-44E6-9309-D5DDC75A5BEC}" srcOrd="1" destOrd="0" parTransId="{C3F665F9-3C30-4998-8E0C-EF3D154A2A88}" sibTransId="{DA8B8890-A156-43F7-89B5-74C894B01ADD}"/>
    <dgm:cxn modelId="{838C84BF-BA8B-498D-9028-895863F5BEBB}" type="presOf" srcId="{BC643771-EF9C-4DD7-8023-69E2DF1E4AD9}" destId="{FC78C584-BC19-422E-8E34-64DC3502D5F6}" srcOrd="1" destOrd="0" presId="urn:microsoft.com/office/officeart/2005/8/layout/vProcess5"/>
    <dgm:cxn modelId="{599828CF-4E3D-42DC-836C-EB80507FF883}" type="presOf" srcId="{F2DE5B94-82E2-46F4-97D2-6873C635162E}" destId="{8275C56C-F68A-4857-A1FF-FFE2E529AB1C}" srcOrd="1" destOrd="0" presId="urn:microsoft.com/office/officeart/2005/8/layout/vProcess5"/>
    <dgm:cxn modelId="{A621EA1E-4608-4D7D-B72D-BC697D42473D}" type="presParOf" srcId="{8E29116D-DF4A-4E9A-A7CD-40024F4445F7}" destId="{1289070D-80CB-4BA5-9D83-8FA7A0D448E8}" srcOrd="0" destOrd="0" presId="urn:microsoft.com/office/officeart/2005/8/layout/vProcess5"/>
    <dgm:cxn modelId="{C361FE41-6890-478A-910E-14D487DB03BC}" type="presParOf" srcId="{8E29116D-DF4A-4E9A-A7CD-40024F4445F7}" destId="{28D00246-D71D-4175-B963-CCEDF774112B}" srcOrd="1" destOrd="0" presId="urn:microsoft.com/office/officeart/2005/8/layout/vProcess5"/>
    <dgm:cxn modelId="{A96561D7-0E32-4AE7-8493-2A9BF7FE90ED}" type="presParOf" srcId="{8E29116D-DF4A-4E9A-A7CD-40024F4445F7}" destId="{B1A8A2C4-7843-4A29-B064-89A6CBF39161}" srcOrd="2" destOrd="0" presId="urn:microsoft.com/office/officeart/2005/8/layout/vProcess5"/>
    <dgm:cxn modelId="{67264013-F5BE-4929-A152-79684C8167CE}" type="presParOf" srcId="{8E29116D-DF4A-4E9A-A7CD-40024F4445F7}" destId="{3A6A8A0E-ACD2-4915-A63E-0F54BAFE2BA0}" srcOrd="3" destOrd="0" presId="urn:microsoft.com/office/officeart/2005/8/layout/vProcess5"/>
    <dgm:cxn modelId="{9E15C507-82B9-4477-A647-39F212E1DAE7}" type="presParOf" srcId="{8E29116D-DF4A-4E9A-A7CD-40024F4445F7}" destId="{9DDC3F8D-98B8-4BD8-9B77-A101FB1FEA7B}" srcOrd="4" destOrd="0" presId="urn:microsoft.com/office/officeart/2005/8/layout/vProcess5"/>
    <dgm:cxn modelId="{38380C90-C2B1-4A16-8FBB-9081317DB1BA}" type="presParOf" srcId="{8E29116D-DF4A-4E9A-A7CD-40024F4445F7}" destId="{51D390E9-6F26-4BF5-9E75-4C2B05695F6E}" srcOrd="5" destOrd="0" presId="urn:microsoft.com/office/officeart/2005/8/layout/vProcess5"/>
    <dgm:cxn modelId="{53537EF2-80C2-42F8-8AD0-397A81C9D381}" type="presParOf" srcId="{8E29116D-DF4A-4E9A-A7CD-40024F4445F7}" destId="{AF14B8A7-9B28-4979-A594-BC1269500FAF}" srcOrd="6" destOrd="0" presId="urn:microsoft.com/office/officeart/2005/8/layout/vProcess5"/>
    <dgm:cxn modelId="{ED7585BF-BDD2-4FC4-89D2-3485645E1C7D}" type="presParOf" srcId="{8E29116D-DF4A-4E9A-A7CD-40024F4445F7}" destId="{21E55161-92D0-4A3C-839B-4B99E5F295DC}" srcOrd="7" destOrd="0" presId="urn:microsoft.com/office/officeart/2005/8/layout/vProcess5"/>
    <dgm:cxn modelId="{191F8AD2-A7C1-4A2B-B0E2-FDCFEED95BBF}" type="presParOf" srcId="{8E29116D-DF4A-4E9A-A7CD-40024F4445F7}" destId="{49C6B3B7-304F-4D2F-8CE6-BE88B5895BFB}" srcOrd="8" destOrd="0" presId="urn:microsoft.com/office/officeart/2005/8/layout/vProcess5"/>
    <dgm:cxn modelId="{C5B880EF-B636-4649-A951-FA2AD777D100}" type="presParOf" srcId="{8E29116D-DF4A-4E9A-A7CD-40024F4445F7}" destId="{54DEDFEF-751E-4B7F-8DE4-FA8F42AB775A}" srcOrd="9" destOrd="0" presId="urn:microsoft.com/office/officeart/2005/8/layout/vProcess5"/>
    <dgm:cxn modelId="{74021B89-6552-4EDC-A4C9-1378F9CBB7BE}" type="presParOf" srcId="{8E29116D-DF4A-4E9A-A7CD-40024F4445F7}" destId="{4B112157-EA99-4C16-854B-E60FD750A367}" srcOrd="10" destOrd="0" presId="urn:microsoft.com/office/officeart/2005/8/layout/vProcess5"/>
    <dgm:cxn modelId="{252D491B-19BC-4EAF-B36E-3C2BEA59C1B4}" type="presParOf" srcId="{8E29116D-DF4A-4E9A-A7CD-40024F4445F7}" destId="{CA19D8EF-ED17-4017-8BD6-2F3441D83D74}" srcOrd="11" destOrd="0" presId="urn:microsoft.com/office/officeart/2005/8/layout/vProcess5"/>
    <dgm:cxn modelId="{D6853D2A-5907-42B0-B9E5-7CA5C7F16AEB}" type="presParOf" srcId="{8E29116D-DF4A-4E9A-A7CD-40024F4445F7}" destId="{8275C56C-F68A-4857-A1FF-FFE2E529AB1C}" srcOrd="12" destOrd="0" presId="urn:microsoft.com/office/officeart/2005/8/layout/vProcess5"/>
    <dgm:cxn modelId="{DB6C0CD0-7DD7-4C3B-90F2-3DC242225115}" type="presParOf" srcId="{8E29116D-DF4A-4E9A-A7CD-40024F4445F7}" destId="{8D594A32-59A3-43C1-98E7-8A1DA1A26C2C}" srcOrd="13" destOrd="0" presId="urn:microsoft.com/office/officeart/2005/8/layout/vProcess5"/>
    <dgm:cxn modelId="{BA48A2B4-AF3B-4FB5-989E-D7E3F35486DA}" type="presParOf" srcId="{8E29116D-DF4A-4E9A-A7CD-40024F4445F7}" destId="{FC78C584-BC19-422E-8E34-64DC3502D5F6}" srcOrd="14" destOrd="0" presId="urn:microsoft.com/office/officeart/2005/8/layout/vProcess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55E4911-BEA5-49E7-A618-2CE99A342A11}" type="doc">
      <dgm:prSet loTypeId="urn:microsoft.com/office/officeart/2005/8/layout/vProcess5" loCatId="process" qsTypeId="urn:microsoft.com/office/officeart/2005/8/quickstyle/simple1" qsCatId="simple" csTypeId="urn:microsoft.com/office/officeart/2005/8/colors/colorful2" csCatId="colorful" phldr="1"/>
      <dgm:spPr/>
      <dgm:t>
        <a:bodyPr/>
        <a:lstStyle/>
        <a:p>
          <a:endParaRPr lang="en-US"/>
        </a:p>
      </dgm:t>
    </dgm:pt>
    <dgm:pt modelId="{DD33EE2A-9B6F-4486-83FB-F4A88852FD0D}">
      <dgm:prSet phldrT="[Text]" custT="1"/>
      <dgm:spPr/>
      <dgm:t>
        <a:bodyPr/>
        <a:lstStyle/>
        <a:p>
          <a:pPr>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No NAI tehnoloģiskā procesa noņemtās slapjās notekūdeņu dūņas (1% sausna) tiek mehāniski atūdeņotas līdz 18% sausnai (notekūdeņu dūņu apstrādes process). </a:t>
          </a:r>
          <a:endParaRPr lang="en-US" sz="1200">
            <a:latin typeface="Times New Roman" panose="02020603050405020304" pitchFamily="18" charset="0"/>
            <a:cs typeface="Times New Roman" panose="02020603050405020304" pitchFamily="18" charset="0"/>
          </a:endParaRPr>
        </a:p>
      </dgm:t>
    </dgm:pt>
    <dgm:pt modelId="{56FFB447-E82C-491A-8604-28487D156525}" type="parTrans" cxnId="{D4EAB1FD-C363-4A98-8FB5-6D9C84D5B7A8}">
      <dgm:prSet/>
      <dgm:spPr/>
      <dgm:t>
        <a:bodyPr/>
        <a:lstStyle/>
        <a:p>
          <a:endParaRPr lang="en-US"/>
        </a:p>
      </dgm:t>
    </dgm:pt>
    <dgm:pt modelId="{9F5C85F6-BFA2-4CE4-A119-D150EFAB58F0}" type="sibTrans" cxnId="{D4EAB1FD-C363-4A98-8FB5-6D9C84D5B7A8}">
      <dgm:prSet/>
      <dgm:spPr/>
      <dgm:t>
        <a:bodyPr/>
        <a:lstStyle/>
        <a:p>
          <a:endParaRPr lang="en-US"/>
        </a:p>
      </dgm:t>
    </dgm:pt>
    <dgm:pt modelId="{1FE3D70D-73C1-4DB9-B5B2-AA72D52AF773}">
      <dgm:prSet phldrT="[Text]" custT="1"/>
      <dgm:spPr/>
      <dgm:t>
        <a:bodyPr/>
        <a:lstStyle/>
        <a:p>
          <a:pPr>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Pēc atūdeņošanas notekūdeņu dūņas tiek nogādātas betonētā (asfaltētā) dūņu pārstrādes laukumā ar sienām un jumtu, smaku novēršanas un drenāžas sistēmu komposta veidošanai.</a:t>
          </a:r>
          <a:endParaRPr lang="en-US" sz="1200">
            <a:latin typeface="Times New Roman" panose="02020603050405020304" pitchFamily="18" charset="0"/>
            <a:cs typeface="Times New Roman" panose="02020603050405020304" pitchFamily="18" charset="0"/>
          </a:endParaRPr>
        </a:p>
      </dgm:t>
    </dgm:pt>
    <dgm:pt modelId="{67F8C814-934F-41FA-A896-EF5CB7525872}" type="parTrans" cxnId="{97409522-529B-4643-A73C-BFE2F180EA68}">
      <dgm:prSet/>
      <dgm:spPr/>
      <dgm:t>
        <a:bodyPr/>
        <a:lstStyle/>
        <a:p>
          <a:endParaRPr lang="en-US"/>
        </a:p>
      </dgm:t>
    </dgm:pt>
    <dgm:pt modelId="{2077261E-7885-40DC-8C52-39FFC40DCE2A}" type="sibTrans" cxnId="{97409522-529B-4643-A73C-BFE2F180EA68}">
      <dgm:prSet/>
      <dgm:spPr/>
      <dgm:t>
        <a:bodyPr/>
        <a:lstStyle/>
        <a:p>
          <a:endParaRPr lang="en-US"/>
        </a:p>
      </dgm:t>
    </dgm:pt>
    <dgm:pt modelId="{45ED3800-04FB-4A9D-9A26-0A14E79398D7}">
      <dgm:prSet phldrT="[Text]" custT="1"/>
      <dgm:spPr/>
      <dgm:t>
        <a:bodyPr/>
        <a:lstStyle/>
        <a:p>
          <a:pPr algn="l">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Notekūdeņu dūņas tiek izklātas stirpās un tām vienādā apjomā tiek pievienots pildmateriāls. Speciāla komposta veidošanas tehnika (aerators) vienmērīgi samaisa notekūdeņu dūņas ar pildmateriālu un operators kontrolē komposta veidošanos.</a:t>
          </a:r>
          <a:endParaRPr lang="en-US" sz="1200">
            <a:latin typeface="Times New Roman" panose="02020603050405020304" pitchFamily="18" charset="0"/>
            <a:cs typeface="Times New Roman" panose="02020603050405020304" pitchFamily="18" charset="0"/>
          </a:endParaRPr>
        </a:p>
      </dgm:t>
    </dgm:pt>
    <dgm:pt modelId="{F87433E1-BCDC-43DF-96BE-7D8A6EE69E24}" type="parTrans" cxnId="{5B6A4341-3D6B-48B1-8348-29B6D86825E9}">
      <dgm:prSet/>
      <dgm:spPr/>
      <dgm:t>
        <a:bodyPr/>
        <a:lstStyle/>
        <a:p>
          <a:endParaRPr lang="en-US"/>
        </a:p>
      </dgm:t>
    </dgm:pt>
    <dgm:pt modelId="{4427F9FB-4543-40DC-A8E7-44FF5A003696}" type="sibTrans" cxnId="{5B6A4341-3D6B-48B1-8348-29B6D86825E9}">
      <dgm:prSet/>
      <dgm:spPr/>
      <dgm:t>
        <a:bodyPr/>
        <a:lstStyle/>
        <a:p>
          <a:endParaRPr lang="en-US"/>
        </a:p>
      </dgm:t>
    </dgm:pt>
    <dgm:pt modelId="{97E72878-0BBC-47C7-9552-25FB5832FE9F}">
      <dgm:prSet custT="1"/>
      <dgm:spPr/>
      <dgm:t>
        <a:bodyPr/>
        <a:lstStyle/>
        <a:p>
          <a:pPr>
            <a:buFont typeface="Symbol" panose="05050102010706020507" pitchFamily="18" charset="2"/>
            <a:buChar char=""/>
          </a:pPr>
          <a:r>
            <a:rPr lang="lv-LV" sz="1200">
              <a:latin typeface="Times New Roman" panose="02020603050405020304" pitchFamily="18" charset="0"/>
              <a:cs typeface="Times New Roman" panose="02020603050405020304" pitchFamily="18" charset="0"/>
            </a:rPr>
            <a:t>Notekūdeņu dūņas kompostā pārvēršanas vidēji 30 dienu laikā, bet sagatavoto materiālu uzreiz pēc pārstrādes ir iespējams izvest uz gala utilizācijas vietu vai uzglabāt. </a:t>
          </a:r>
          <a:endParaRPr lang="en-US" sz="1200">
            <a:latin typeface="Times New Roman" panose="02020603050405020304" pitchFamily="18" charset="0"/>
            <a:cs typeface="Times New Roman" panose="02020603050405020304" pitchFamily="18" charset="0"/>
          </a:endParaRPr>
        </a:p>
      </dgm:t>
    </dgm:pt>
    <dgm:pt modelId="{E8466258-F806-41C7-8B22-7AC0ABA95DEC}" type="parTrans" cxnId="{BF8AB4EA-AEE0-44A3-9C82-CC8E1B014F6F}">
      <dgm:prSet/>
      <dgm:spPr/>
      <dgm:t>
        <a:bodyPr/>
        <a:lstStyle/>
        <a:p>
          <a:endParaRPr lang="en-US"/>
        </a:p>
      </dgm:t>
    </dgm:pt>
    <dgm:pt modelId="{67C676C1-7D99-4F61-A4E2-8771A599A28D}" type="sibTrans" cxnId="{BF8AB4EA-AEE0-44A3-9C82-CC8E1B014F6F}">
      <dgm:prSet/>
      <dgm:spPr/>
      <dgm:t>
        <a:bodyPr/>
        <a:lstStyle/>
        <a:p>
          <a:endParaRPr lang="en-US"/>
        </a:p>
      </dgm:t>
    </dgm:pt>
    <dgm:pt modelId="{07E4A3B5-C3BC-4953-88BE-F9BC70F0E683}" type="pres">
      <dgm:prSet presAssocID="{955E4911-BEA5-49E7-A618-2CE99A342A11}" presName="outerComposite" presStyleCnt="0">
        <dgm:presLayoutVars>
          <dgm:chMax val="5"/>
          <dgm:dir/>
          <dgm:resizeHandles val="exact"/>
        </dgm:presLayoutVars>
      </dgm:prSet>
      <dgm:spPr/>
    </dgm:pt>
    <dgm:pt modelId="{910BB515-07F8-4A94-9B78-8C1D1D572608}" type="pres">
      <dgm:prSet presAssocID="{955E4911-BEA5-49E7-A618-2CE99A342A11}" presName="dummyMaxCanvas" presStyleCnt="0">
        <dgm:presLayoutVars/>
      </dgm:prSet>
      <dgm:spPr/>
    </dgm:pt>
    <dgm:pt modelId="{1DDED871-790C-45F2-8167-60C1F94104DE}" type="pres">
      <dgm:prSet presAssocID="{955E4911-BEA5-49E7-A618-2CE99A342A11}" presName="FourNodes_1" presStyleLbl="node1" presStyleIdx="0" presStyleCnt="4" custScaleY="85467">
        <dgm:presLayoutVars>
          <dgm:bulletEnabled val="1"/>
        </dgm:presLayoutVars>
      </dgm:prSet>
      <dgm:spPr/>
    </dgm:pt>
    <dgm:pt modelId="{B1F27282-16EA-4D3E-B819-139B64B98C04}" type="pres">
      <dgm:prSet presAssocID="{955E4911-BEA5-49E7-A618-2CE99A342A11}" presName="FourNodes_2" presStyleLbl="node1" presStyleIdx="1" presStyleCnt="4" custScaleY="89218" custLinFactNeighborX="338" custLinFactNeighborY="-17387">
        <dgm:presLayoutVars>
          <dgm:bulletEnabled val="1"/>
        </dgm:presLayoutVars>
      </dgm:prSet>
      <dgm:spPr/>
    </dgm:pt>
    <dgm:pt modelId="{F6EAEF0C-FB7C-41D2-9212-1BF4867A5DB2}" type="pres">
      <dgm:prSet presAssocID="{955E4911-BEA5-49E7-A618-2CE99A342A11}" presName="FourNodes_3" presStyleLbl="node1" presStyleIdx="2" presStyleCnt="4" custScaleY="125245" custLinFactNeighborX="0" custLinFactNeighborY="-16624">
        <dgm:presLayoutVars>
          <dgm:bulletEnabled val="1"/>
        </dgm:presLayoutVars>
      </dgm:prSet>
      <dgm:spPr/>
    </dgm:pt>
    <dgm:pt modelId="{B0AB3894-4535-4B1E-B782-90E07F59EA1D}" type="pres">
      <dgm:prSet presAssocID="{955E4911-BEA5-49E7-A618-2CE99A342A11}" presName="FourNodes_4" presStyleLbl="node1" presStyleIdx="3" presStyleCnt="4" custScaleY="101419">
        <dgm:presLayoutVars>
          <dgm:bulletEnabled val="1"/>
        </dgm:presLayoutVars>
      </dgm:prSet>
      <dgm:spPr/>
    </dgm:pt>
    <dgm:pt modelId="{3D508ED8-6569-4CB3-98CE-B2D1A7852FB5}" type="pres">
      <dgm:prSet presAssocID="{955E4911-BEA5-49E7-A618-2CE99A342A11}" presName="FourConn_1-2" presStyleLbl="fgAccFollowNode1" presStyleIdx="0" presStyleCnt="3">
        <dgm:presLayoutVars>
          <dgm:bulletEnabled val="1"/>
        </dgm:presLayoutVars>
      </dgm:prSet>
      <dgm:spPr/>
    </dgm:pt>
    <dgm:pt modelId="{E5A567D1-24ED-48A7-BDEA-02056118D10C}" type="pres">
      <dgm:prSet presAssocID="{955E4911-BEA5-49E7-A618-2CE99A342A11}" presName="FourConn_2-3" presStyleLbl="fgAccFollowNode1" presStyleIdx="1" presStyleCnt="3">
        <dgm:presLayoutVars>
          <dgm:bulletEnabled val="1"/>
        </dgm:presLayoutVars>
      </dgm:prSet>
      <dgm:spPr/>
    </dgm:pt>
    <dgm:pt modelId="{CFCC6CCF-D77C-420C-86BB-9026F43F5ED2}" type="pres">
      <dgm:prSet presAssocID="{955E4911-BEA5-49E7-A618-2CE99A342A11}" presName="FourConn_3-4" presStyleLbl="fgAccFollowNode1" presStyleIdx="2" presStyleCnt="3">
        <dgm:presLayoutVars>
          <dgm:bulletEnabled val="1"/>
        </dgm:presLayoutVars>
      </dgm:prSet>
      <dgm:spPr/>
    </dgm:pt>
    <dgm:pt modelId="{D1A02840-5E19-4D70-93E6-7B6D343EA619}" type="pres">
      <dgm:prSet presAssocID="{955E4911-BEA5-49E7-A618-2CE99A342A11}" presName="FourNodes_1_text" presStyleLbl="node1" presStyleIdx="3" presStyleCnt="4">
        <dgm:presLayoutVars>
          <dgm:bulletEnabled val="1"/>
        </dgm:presLayoutVars>
      </dgm:prSet>
      <dgm:spPr/>
    </dgm:pt>
    <dgm:pt modelId="{FAD923AE-100C-4FB5-BFCF-BDBF133BFB81}" type="pres">
      <dgm:prSet presAssocID="{955E4911-BEA5-49E7-A618-2CE99A342A11}" presName="FourNodes_2_text" presStyleLbl="node1" presStyleIdx="3" presStyleCnt="4">
        <dgm:presLayoutVars>
          <dgm:bulletEnabled val="1"/>
        </dgm:presLayoutVars>
      </dgm:prSet>
      <dgm:spPr/>
    </dgm:pt>
    <dgm:pt modelId="{EF7A5E40-8116-4668-A38F-7614858ECCCF}" type="pres">
      <dgm:prSet presAssocID="{955E4911-BEA5-49E7-A618-2CE99A342A11}" presName="FourNodes_3_text" presStyleLbl="node1" presStyleIdx="3" presStyleCnt="4">
        <dgm:presLayoutVars>
          <dgm:bulletEnabled val="1"/>
        </dgm:presLayoutVars>
      </dgm:prSet>
      <dgm:spPr/>
    </dgm:pt>
    <dgm:pt modelId="{D503A965-EFA9-43D7-823F-6E2C8FF9D21E}" type="pres">
      <dgm:prSet presAssocID="{955E4911-BEA5-49E7-A618-2CE99A342A11}" presName="FourNodes_4_text" presStyleLbl="node1" presStyleIdx="3" presStyleCnt="4">
        <dgm:presLayoutVars>
          <dgm:bulletEnabled val="1"/>
        </dgm:presLayoutVars>
      </dgm:prSet>
      <dgm:spPr/>
    </dgm:pt>
  </dgm:ptLst>
  <dgm:cxnLst>
    <dgm:cxn modelId="{97409522-529B-4643-A73C-BFE2F180EA68}" srcId="{955E4911-BEA5-49E7-A618-2CE99A342A11}" destId="{1FE3D70D-73C1-4DB9-B5B2-AA72D52AF773}" srcOrd="1" destOrd="0" parTransId="{67F8C814-934F-41FA-A896-EF5CB7525872}" sibTransId="{2077261E-7885-40DC-8C52-39FFC40DCE2A}"/>
    <dgm:cxn modelId="{3476A030-9A18-4D1D-AF6F-7AD7A0A594F8}" type="presOf" srcId="{DD33EE2A-9B6F-4486-83FB-F4A88852FD0D}" destId="{D1A02840-5E19-4D70-93E6-7B6D343EA619}" srcOrd="1" destOrd="0" presId="urn:microsoft.com/office/officeart/2005/8/layout/vProcess5"/>
    <dgm:cxn modelId="{5B6A4341-3D6B-48B1-8348-29B6D86825E9}" srcId="{955E4911-BEA5-49E7-A618-2CE99A342A11}" destId="{45ED3800-04FB-4A9D-9A26-0A14E79398D7}" srcOrd="2" destOrd="0" parTransId="{F87433E1-BCDC-43DF-96BE-7D8A6EE69E24}" sibTransId="{4427F9FB-4543-40DC-A8E7-44FF5A003696}"/>
    <dgm:cxn modelId="{F7765850-081F-447B-A110-2A1711EB1F6B}" type="presOf" srcId="{97E72878-0BBC-47C7-9552-25FB5832FE9F}" destId="{D503A965-EFA9-43D7-823F-6E2C8FF9D21E}" srcOrd="1" destOrd="0" presId="urn:microsoft.com/office/officeart/2005/8/layout/vProcess5"/>
    <dgm:cxn modelId="{FA904B85-1306-4501-A519-6D5D92F1157C}" type="presOf" srcId="{DD33EE2A-9B6F-4486-83FB-F4A88852FD0D}" destId="{1DDED871-790C-45F2-8167-60C1F94104DE}" srcOrd="0" destOrd="0" presId="urn:microsoft.com/office/officeart/2005/8/layout/vProcess5"/>
    <dgm:cxn modelId="{97E8CE90-5663-4BEA-A8D6-A316EB2001A5}" type="presOf" srcId="{4427F9FB-4543-40DC-A8E7-44FF5A003696}" destId="{CFCC6CCF-D77C-420C-86BB-9026F43F5ED2}" srcOrd="0" destOrd="0" presId="urn:microsoft.com/office/officeart/2005/8/layout/vProcess5"/>
    <dgm:cxn modelId="{3AA35B97-290C-4FFB-B572-6D2C40E8186E}" type="presOf" srcId="{2077261E-7885-40DC-8C52-39FFC40DCE2A}" destId="{E5A567D1-24ED-48A7-BDEA-02056118D10C}" srcOrd="0" destOrd="0" presId="urn:microsoft.com/office/officeart/2005/8/layout/vProcess5"/>
    <dgm:cxn modelId="{361E2FAA-70FC-426C-8A3E-7AC2C7B51A6D}" type="presOf" srcId="{9F5C85F6-BFA2-4CE4-A119-D150EFAB58F0}" destId="{3D508ED8-6569-4CB3-98CE-B2D1A7852FB5}" srcOrd="0" destOrd="0" presId="urn:microsoft.com/office/officeart/2005/8/layout/vProcess5"/>
    <dgm:cxn modelId="{FA1B83CB-AB78-4F6B-AD84-F7D7D519DBF0}" type="presOf" srcId="{45ED3800-04FB-4A9D-9A26-0A14E79398D7}" destId="{F6EAEF0C-FB7C-41D2-9212-1BF4867A5DB2}" srcOrd="0" destOrd="0" presId="urn:microsoft.com/office/officeart/2005/8/layout/vProcess5"/>
    <dgm:cxn modelId="{B51C6DD8-37AF-47C6-B3BB-2E31032BD01E}" type="presOf" srcId="{1FE3D70D-73C1-4DB9-B5B2-AA72D52AF773}" destId="{B1F27282-16EA-4D3E-B819-139B64B98C04}" srcOrd="0" destOrd="0" presId="urn:microsoft.com/office/officeart/2005/8/layout/vProcess5"/>
    <dgm:cxn modelId="{D3E50EE2-7A89-411B-A972-5DF479010951}" type="presOf" srcId="{45ED3800-04FB-4A9D-9A26-0A14E79398D7}" destId="{EF7A5E40-8116-4668-A38F-7614858ECCCF}" srcOrd="1" destOrd="0" presId="urn:microsoft.com/office/officeart/2005/8/layout/vProcess5"/>
    <dgm:cxn modelId="{BF8AB4EA-AEE0-44A3-9C82-CC8E1B014F6F}" srcId="{955E4911-BEA5-49E7-A618-2CE99A342A11}" destId="{97E72878-0BBC-47C7-9552-25FB5832FE9F}" srcOrd="3" destOrd="0" parTransId="{E8466258-F806-41C7-8B22-7AC0ABA95DEC}" sibTransId="{67C676C1-7D99-4F61-A4E2-8771A599A28D}"/>
    <dgm:cxn modelId="{2E9F89F0-CABF-40DF-8813-BD6BC0060D8B}" type="presOf" srcId="{955E4911-BEA5-49E7-A618-2CE99A342A11}" destId="{07E4A3B5-C3BC-4953-88BE-F9BC70F0E683}" srcOrd="0" destOrd="0" presId="urn:microsoft.com/office/officeart/2005/8/layout/vProcess5"/>
    <dgm:cxn modelId="{0C3CD1F3-01C4-41FE-B103-F4D9C9863D98}" type="presOf" srcId="{97E72878-0BBC-47C7-9552-25FB5832FE9F}" destId="{B0AB3894-4535-4B1E-B782-90E07F59EA1D}" srcOrd="0" destOrd="0" presId="urn:microsoft.com/office/officeart/2005/8/layout/vProcess5"/>
    <dgm:cxn modelId="{D4EAB1FD-C363-4A98-8FB5-6D9C84D5B7A8}" srcId="{955E4911-BEA5-49E7-A618-2CE99A342A11}" destId="{DD33EE2A-9B6F-4486-83FB-F4A88852FD0D}" srcOrd="0" destOrd="0" parTransId="{56FFB447-E82C-491A-8604-28487D156525}" sibTransId="{9F5C85F6-BFA2-4CE4-A119-D150EFAB58F0}"/>
    <dgm:cxn modelId="{D2FBA8FF-21D2-4454-A06B-6DCE610C6007}" type="presOf" srcId="{1FE3D70D-73C1-4DB9-B5B2-AA72D52AF773}" destId="{FAD923AE-100C-4FB5-BFCF-BDBF133BFB81}" srcOrd="1" destOrd="0" presId="urn:microsoft.com/office/officeart/2005/8/layout/vProcess5"/>
    <dgm:cxn modelId="{F106D2F6-1593-4328-9AAD-BCE6B4939637}" type="presParOf" srcId="{07E4A3B5-C3BC-4953-88BE-F9BC70F0E683}" destId="{910BB515-07F8-4A94-9B78-8C1D1D572608}" srcOrd="0" destOrd="0" presId="urn:microsoft.com/office/officeart/2005/8/layout/vProcess5"/>
    <dgm:cxn modelId="{F22D604A-22B1-455A-A0E6-536DFBDF6A9F}" type="presParOf" srcId="{07E4A3B5-C3BC-4953-88BE-F9BC70F0E683}" destId="{1DDED871-790C-45F2-8167-60C1F94104DE}" srcOrd="1" destOrd="0" presId="urn:microsoft.com/office/officeart/2005/8/layout/vProcess5"/>
    <dgm:cxn modelId="{77F8F647-C411-4874-B068-6C2ED6EC85E5}" type="presParOf" srcId="{07E4A3B5-C3BC-4953-88BE-F9BC70F0E683}" destId="{B1F27282-16EA-4D3E-B819-139B64B98C04}" srcOrd="2" destOrd="0" presId="urn:microsoft.com/office/officeart/2005/8/layout/vProcess5"/>
    <dgm:cxn modelId="{D2BE4B4B-1809-4658-8B13-F792AEF01AA5}" type="presParOf" srcId="{07E4A3B5-C3BC-4953-88BE-F9BC70F0E683}" destId="{F6EAEF0C-FB7C-41D2-9212-1BF4867A5DB2}" srcOrd="3" destOrd="0" presId="urn:microsoft.com/office/officeart/2005/8/layout/vProcess5"/>
    <dgm:cxn modelId="{AEBB2666-57E4-4AC8-9446-71B88198610B}" type="presParOf" srcId="{07E4A3B5-C3BC-4953-88BE-F9BC70F0E683}" destId="{B0AB3894-4535-4B1E-B782-90E07F59EA1D}" srcOrd="4" destOrd="0" presId="urn:microsoft.com/office/officeart/2005/8/layout/vProcess5"/>
    <dgm:cxn modelId="{E73A0A32-A645-43EE-B1F9-B449D8654A54}" type="presParOf" srcId="{07E4A3B5-C3BC-4953-88BE-F9BC70F0E683}" destId="{3D508ED8-6569-4CB3-98CE-B2D1A7852FB5}" srcOrd="5" destOrd="0" presId="urn:microsoft.com/office/officeart/2005/8/layout/vProcess5"/>
    <dgm:cxn modelId="{3BC05EB5-D286-4F6D-9BBD-3126F6616319}" type="presParOf" srcId="{07E4A3B5-C3BC-4953-88BE-F9BC70F0E683}" destId="{E5A567D1-24ED-48A7-BDEA-02056118D10C}" srcOrd="6" destOrd="0" presId="urn:microsoft.com/office/officeart/2005/8/layout/vProcess5"/>
    <dgm:cxn modelId="{875A4A9D-42F2-4AEE-B3D7-BD6CB27904BF}" type="presParOf" srcId="{07E4A3B5-C3BC-4953-88BE-F9BC70F0E683}" destId="{CFCC6CCF-D77C-420C-86BB-9026F43F5ED2}" srcOrd="7" destOrd="0" presId="urn:microsoft.com/office/officeart/2005/8/layout/vProcess5"/>
    <dgm:cxn modelId="{C07F5BF9-0405-4793-BFC5-5E75FE1DDB5D}" type="presParOf" srcId="{07E4A3B5-C3BC-4953-88BE-F9BC70F0E683}" destId="{D1A02840-5E19-4D70-93E6-7B6D343EA619}" srcOrd="8" destOrd="0" presId="urn:microsoft.com/office/officeart/2005/8/layout/vProcess5"/>
    <dgm:cxn modelId="{5E97642A-1666-4530-9778-75A9C54638D9}" type="presParOf" srcId="{07E4A3B5-C3BC-4953-88BE-F9BC70F0E683}" destId="{FAD923AE-100C-4FB5-BFCF-BDBF133BFB81}" srcOrd="9" destOrd="0" presId="urn:microsoft.com/office/officeart/2005/8/layout/vProcess5"/>
    <dgm:cxn modelId="{DD46EE75-E0B6-40E9-B8BE-0B964A266DD5}" type="presParOf" srcId="{07E4A3B5-C3BC-4953-88BE-F9BC70F0E683}" destId="{EF7A5E40-8116-4668-A38F-7614858ECCCF}" srcOrd="10" destOrd="0" presId="urn:microsoft.com/office/officeart/2005/8/layout/vProcess5"/>
    <dgm:cxn modelId="{AF306BC4-9DB2-4D9D-AF49-123392771B23}" type="presParOf" srcId="{07E4A3B5-C3BC-4953-88BE-F9BC70F0E683}" destId="{D503A965-EFA9-43D7-823F-6E2C8FF9D21E}" srcOrd="11" destOrd="0" presId="urn:microsoft.com/office/officeart/2005/8/layout/vProcess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96D8683-37E8-49D4-BE8D-66D9390F7CE8}" type="doc">
      <dgm:prSet loTypeId="urn:microsoft.com/office/officeart/2005/8/layout/vProcess5" loCatId="process" qsTypeId="urn:microsoft.com/office/officeart/2005/8/quickstyle/simple1" qsCatId="simple" csTypeId="urn:microsoft.com/office/officeart/2005/8/colors/colorful2" csCatId="colorful" phldr="1"/>
      <dgm:spPr/>
      <dgm:t>
        <a:bodyPr/>
        <a:lstStyle/>
        <a:p>
          <a:endParaRPr lang="en-US"/>
        </a:p>
      </dgm:t>
    </dgm:pt>
    <dgm:pt modelId="{29A68872-2660-4D47-9D29-AFD7C168C674}">
      <dgm:prSet phldrT="[Text]" custT="1"/>
      <dgm:spPr/>
      <dgm:t>
        <a:bodyPr/>
        <a:lstStyle/>
        <a:p>
          <a:pPr>
            <a:buFont typeface="Symbol" panose="05050102010706020507" pitchFamily="18" charset="2"/>
            <a:buNone/>
          </a:pPr>
          <a:r>
            <a:rPr lang="lv-LV" sz="1200">
              <a:latin typeface="Times New Roman" panose="02020603050405020304" pitchFamily="18" charset="0"/>
              <a:cs typeface="Times New Roman" panose="02020603050405020304" pitchFamily="18" charset="0"/>
            </a:rPr>
            <a:t>No NAI tehnoloģiskā procesa noņemtas slapjās notekūdeņu dūņas (1% sausna) tiek iebiezinātas līdz vidēji 7% sausnai un tiek novirzītas notekūdeņu  dūņu raudzēšanai fermenterī.</a:t>
          </a:r>
          <a:endParaRPr lang="en-US" sz="1200">
            <a:latin typeface="Times New Roman" panose="02020603050405020304" pitchFamily="18" charset="0"/>
            <a:cs typeface="Times New Roman" panose="02020603050405020304" pitchFamily="18" charset="0"/>
          </a:endParaRPr>
        </a:p>
      </dgm:t>
    </dgm:pt>
    <dgm:pt modelId="{4ED48425-BAE3-4910-95D4-AE9ECF5D971F}" type="parTrans" cxnId="{BB3E7B84-355B-4967-8806-421FA8C8C47B}">
      <dgm:prSet/>
      <dgm:spPr/>
      <dgm:t>
        <a:bodyPr/>
        <a:lstStyle/>
        <a:p>
          <a:endParaRPr lang="en-US"/>
        </a:p>
      </dgm:t>
    </dgm:pt>
    <dgm:pt modelId="{2150816C-87F4-4B2A-8B71-0D528B916029}" type="sibTrans" cxnId="{BB3E7B84-355B-4967-8806-421FA8C8C47B}">
      <dgm:prSet/>
      <dgm:spPr/>
      <dgm:t>
        <a:bodyPr/>
        <a:lstStyle/>
        <a:p>
          <a:endParaRPr lang="en-US"/>
        </a:p>
      </dgm:t>
    </dgm:pt>
    <dgm:pt modelId="{C0D8AC05-7ADB-46C0-BF10-53FDFFF39863}">
      <dgm:prSet phldrT="[Text]" custT="1"/>
      <dgm:spPr/>
      <dgm:t>
        <a:bodyPr/>
        <a:lstStyle/>
        <a:p>
          <a:pPr>
            <a:buFont typeface="Symbol" panose="05050102010706020507" pitchFamily="18" charset="2"/>
            <a:buNone/>
          </a:pPr>
          <a:r>
            <a:rPr lang="lv-LV" sz="1200">
              <a:latin typeface="Times New Roman" panose="02020603050405020304" pitchFamily="18" charset="0"/>
              <a:cs typeface="Times New Roman" panose="02020603050405020304" pitchFamily="18" charset="0"/>
            </a:rPr>
            <a:t>Fermenterī notekūdeņu dūņas rūgst vidēji 25 – 30 dienas, veidojot biogāzi. Rūgšanas laikā fermenterī ievadītās notekūdeņu  dūņu masas organisko vielu saturs samazinās par vidēji 30%.</a:t>
          </a:r>
          <a:endParaRPr lang="en-US" sz="1200">
            <a:latin typeface="Times New Roman" panose="02020603050405020304" pitchFamily="18" charset="0"/>
            <a:cs typeface="Times New Roman" panose="02020603050405020304" pitchFamily="18" charset="0"/>
          </a:endParaRPr>
        </a:p>
      </dgm:t>
    </dgm:pt>
    <dgm:pt modelId="{457D3D15-9362-4AA0-AEA2-6FA830797731}" type="parTrans" cxnId="{CBDC4AC5-BD6C-464F-B35F-8232E7A93E08}">
      <dgm:prSet/>
      <dgm:spPr/>
      <dgm:t>
        <a:bodyPr/>
        <a:lstStyle/>
        <a:p>
          <a:endParaRPr lang="en-US"/>
        </a:p>
      </dgm:t>
    </dgm:pt>
    <dgm:pt modelId="{150F3EF5-980B-41B9-A509-FDEAEDD7F386}" type="sibTrans" cxnId="{CBDC4AC5-BD6C-464F-B35F-8232E7A93E08}">
      <dgm:prSet/>
      <dgm:spPr/>
      <dgm:t>
        <a:bodyPr/>
        <a:lstStyle/>
        <a:p>
          <a:endParaRPr lang="en-US"/>
        </a:p>
      </dgm:t>
    </dgm:pt>
    <dgm:pt modelId="{CD9D37E4-D831-4ADE-BD54-C719BCC0889A}">
      <dgm:prSet phldrT="[Text]" custT="1"/>
      <dgm:spPr/>
      <dgm:t>
        <a:bodyPr/>
        <a:lstStyle/>
        <a:p>
          <a:r>
            <a:rPr lang="lv-LV" sz="1200">
              <a:latin typeface="Times New Roman" panose="02020603050405020304" pitchFamily="18" charset="0"/>
              <a:cs typeface="Times New Roman" panose="02020603050405020304" pitchFamily="18" charset="0"/>
            </a:rPr>
            <a:t>Pēc rūgšanas procesa pabeigšanas no fermentera izplūst slapjas, izrūguša, un pārstrādātas notekūdeņu dūņas ar vidējo sausnes saturu 4% jeb digestāts. </a:t>
          </a:r>
          <a:endParaRPr lang="en-US" sz="1200">
            <a:latin typeface="Times New Roman" panose="02020603050405020304" pitchFamily="18" charset="0"/>
            <a:cs typeface="Times New Roman" panose="02020603050405020304" pitchFamily="18" charset="0"/>
          </a:endParaRPr>
        </a:p>
      </dgm:t>
    </dgm:pt>
    <dgm:pt modelId="{9224F5A7-4080-409E-9FB4-D25034615809}" type="parTrans" cxnId="{FCFAB84C-E7BC-41D2-B25B-D8BDC93C0AB1}">
      <dgm:prSet/>
      <dgm:spPr/>
      <dgm:t>
        <a:bodyPr/>
        <a:lstStyle/>
        <a:p>
          <a:endParaRPr lang="en-US"/>
        </a:p>
      </dgm:t>
    </dgm:pt>
    <dgm:pt modelId="{8E61BD22-43FD-4B94-845F-C4F2D4575867}" type="sibTrans" cxnId="{FCFAB84C-E7BC-41D2-B25B-D8BDC93C0AB1}">
      <dgm:prSet/>
      <dgm:spPr/>
      <dgm:t>
        <a:bodyPr/>
        <a:lstStyle/>
        <a:p>
          <a:endParaRPr lang="en-US"/>
        </a:p>
      </dgm:t>
    </dgm:pt>
    <dgm:pt modelId="{089C3AD1-F3B3-47F2-B092-711E94E7A49A}" type="pres">
      <dgm:prSet presAssocID="{096D8683-37E8-49D4-BE8D-66D9390F7CE8}" presName="outerComposite" presStyleCnt="0">
        <dgm:presLayoutVars>
          <dgm:chMax val="5"/>
          <dgm:dir/>
          <dgm:resizeHandles val="exact"/>
        </dgm:presLayoutVars>
      </dgm:prSet>
      <dgm:spPr/>
    </dgm:pt>
    <dgm:pt modelId="{8FE9CDCC-F9A3-4B9A-898B-CB757BB91C3F}" type="pres">
      <dgm:prSet presAssocID="{096D8683-37E8-49D4-BE8D-66D9390F7CE8}" presName="dummyMaxCanvas" presStyleCnt="0">
        <dgm:presLayoutVars/>
      </dgm:prSet>
      <dgm:spPr/>
    </dgm:pt>
    <dgm:pt modelId="{6E0D5972-E7D6-490B-8B61-8CE86E975898}" type="pres">
      <dgm:prSet presAssocID="{096D8683-37E8-49D4-BE8D-66D9390F7CE8}" presName="ThreeNodes_1" presStyleLbl="node1" presStyleIdx="0" presStyleCnt="3">
        <dgm:presLayoutVars>
          <dgm:bulletEnabled val="1"/>
        </dgm:presLayoutVars>
      </dgm:prSet>
      <dgm:spPr/>
    </dgm:pt>
    <dgm:pt modelId="{95F3E6CC-F0B1-4BAC-8E76-11D954F88C49}" type="pres">
      <dgm:prSet presAssocID="{096D8683-37E8-49D4-BE8D-66D9390F7CE8}" presName="ThreeNodes_2" presStyleLbl="node1" presStyleIdx="1" presStyleCnt="3">
        <dgm:presLayoutVars>
          <dgm:bulletEnabled val="1"/>
        </dgm:presLayoutVars>
      </dgm:prSet>
      <dgm:spPr/>
    </dgm:pt>
    <dgm:pt modelId="{3FA41360-3B17-46BE-80D3-3917F6DD9FC1}" type="pres">
      <dgm:prSet presAssocID="{096D8683-37E8-49D4-BE8D-66D9390F7CE8}" presName="ThreeNodes_3" presStyleLbl="node1" presStyleIdx="2" presStyleCnt="3">
        <dgm:presLayoutVars>
          <dgm:bulletEnabled val="1"/>
        </dgm:presLayoutVars>
      </dgm:prSet>
      <dgm:spPr/>
    </dgm:pt>
    <dgm:pt modelId="{E72B0E06-2D82-4A54-992F-82EA2A82AA6B}" type="pres">
      <dgm:prSet presAssocID="{096D8683-37E8-49D4-BE8D-66D9390F7CE8}" presName="ThreeConn_1-2" presStyleLbl="fgAccFollowNode1" presStyleIdx="0" presStyleCnt="2">
        <dgm:presLayoutVars>
          <dgm:bulletEnabled val="1"/>
        </dgm:presLayoutVars>
      </dgm:prSet>
      <dgm:spPr/>
    </dgm:pt>
    <dgm:pt modelId="{A1FD2682-7B23-49B8-906C-D5882353775D}" type="pres">
      <dgm:prSet presAssocID="{096D8683-37E8-49D4-BE8D-66D9390F7CE8}" presName="ThreeConn_2-3" presStyleLbl="fgAccFollowNode1" presStyleIdx="1" presStyleCnt="2">
        <dgm:presLayoutVars>
          <dgm:bulletEnabled val="1"/>
        </dgm:presLayoutVars>
      </dgm:prSet>
      <dgm:spPr/>
    </dgm:pt>
    <dgm:pt modelId="{B0AD5C1A-324B-4F4E-B197-6B3282B86D75}" type="pres">
      <dgm:prSet presAssocID="{096D8683-37E8-49D4-BE8D-66D9390F7CE8}" presName="ThreeNodes_1_text" presStyleLbl="node1" presStyleIdx="2" presStyleCnt="3">
        <dgm:presLayoutVars>
          <dgm:bulletEnabled val="1"/>
        </dgm:presLayoutVars>
      </dgm:prSet>
      <dgm:spPr/>
    </dgm:pt>
    <dgm:pt modelId="{867A3419-5DC4-4E73-A363-5F7CAB4C8661}" type="pres">
      <dgm:prSet presAssocID="{096D8683-37E8-49D4-BE8D-66D9390F7CE8}" presName="ThreeNodes_2_text" presStyleLbl="node1" presStyleIdx="2" presStyleCnt="3">
        <dgm:presLayoutVars>
          <dgm:bulletEnabled val="1"/>
        </dgm:presLayoutVars>
      </dgm:prSet>
      <dgm:spPr/>
    </dgm:pt>
    <dgm:pt modelId="{DF1F22CE-2D0E-4C64-804A-2F316EC3EB4B}" type="pres">
      <dgm:prSet presAssocID="{096D8683-37E8-49D4-BE8D-66D9390F7CE8}" presName="ThreeNodes_3_text" presStyleLbl="node1" presStyleIdx="2" presStyleCnt="3">
        <dgm:presLayoutVars>
          <dgm:bulletEnabled val="1"/>
        </dgm:presLayoutVars>
      </dgm:prSet>
      <dgm:spPr/>
    </dgm:pt>
  </dgm:ptLst>
  <dgm:cxnLst>
    <dgm:cxn modelId="{6C3E970A-6387-417B-A9BD-0592F4EE3C47}" type="presOf" srcId="{096D8683-37E8-49D4-BE8D-66D9390F7CE8}" destId="{089C3AD1-F3B3-47F2-B092-711E94E7A49A}" srcOrd="0" destOrd="0" presId="urn:microsoft.com/office/officeart/2005/8/layout/vProcess5"/>
    <dgm:cxn modelId="{2D68E53F-9905-44AF-B119-638B704EBA6A}" type="presOf" srcId="{29A68872-2660-4D47-9D29-AFD7C168C674}" destId="{B0AD5C1A-324B-4F4E-B197-6B3282B86D75}" srcOrd="1" destOrd="0" presId="urn:microsoft.com/office/officeart/2005/8/layout/vProcess5"/>
    <dgm:cxn modelId="{9B1EC742-9BB0-4FE5-9026-3A1AA51454FE}" type="presOf" srcId="{CD9D37E4-D831-4ADE-BD54-C719BCC0889A}" destId="{DF1F22CE-2D0E-4C64-804A-2F316EC3EB4B}" srcOrd="1" destOrd="0" presId="urn:microsoft.com/office/officeart/2005/8/layout/vProcess5"/>
    <dgm:cxn modelId="{FCFAB84C-E7BC-41D2-B25B-D8BDC93C0AB1}" srcId="{096D8683-37E8-49D4-BE8D-66D9390F7CE8}" destId="{CD9D37E4-D831-4ADE-BD54-C719BCC0889A}" srcOrd="2" destOrd="0" parTransId="{9224F5A7-4080-409E-9FB4-D25034615809}" sibTransId="{8E61BD22-43FD-4B94-845F-C4F2D4575867}"/>
    <dgm:cxn modelId="{C58A1571-0110-4BD0-BEA0-62218A2B0630}" type="presOf" srcId="{150F3EF5-980B-41B9-A509-FDEAEDD7F386}" destId="{A1FD2682-7B23-49B8-906C-D5882353775D}" srcOrd="0" destOrd="0" presId="urn:microsoft.com/office/officeart/2005/8/layout/vProcess5"/>
    <dgm:cxn modelId="{A38E8F72-CDC8-4D3C-A104-0DC5EC8BB569}" type="presOf" srcId="{C0D8AC05-7ADB-46C0-BF10-53FDFFF39863}" destId="{95F3E6CC-F0B1-4BAC-8E76-11D954F88C49}" srcOrd="0" destOrd="0" presId="urn:microsoft.com/office/officeart/2005/8/layout/vProcess5"/>
    <dgm:cxn modelId="{BB3E7B84-355B-4967-8806-421FA8C8C47B}" srcId="{096D8683-37E8-49D4-BE8D-66D9390F7CE8}" destId="{29A68872-2660-4D47-9D29-AFD7C168C674}" srcOrd="0" destOrd="0" parTransId="{4ED48425-BAE3-4910-95D4-AE9ECF5D971F}" sibTransId="{2150816C-87F4-4B2A-8B71-0D528B916029}"/>
    <dgm:cxn modelId="{51C65D9B-60F4-4629-A50C-1D30DAECDF62}" type="presOf" srcId="{CD9D37E4-D831-4ADE-BD54-C719BCC0889A}" destId="{3FA41360-3B17-46BE-80D3-3917F6DD9FC1}" srcOrd="0" destOrd="0" presId="urn:microsoft.com/office/officeart/2005/8/layout/vProcess5"/>
    <dgm:cxn modelId="{CBDC4AC5-BD6C-464F-B35F-8232E7A93E08}" srcId="{096D8683-37E8-49D4-BE8D-66D9390F7CE8}" destId="{C0D8AC05-7ADB-46C0-BF10-53FDFFF39863}" srcOrd="1" destOrd="0" parTransId="{457D3D15-9362-4AA0-AEA2-6FA830797731}" sibTransId="{150F3EF5-980B-41B9-A509-FDEAEDD7F386}"/>
    <dgm:cxn modelId="{9F0A5BD2-4C50-4D35-95C2-BEEB54A444FE}" type="presOf" srcId="{2150816C-87F4-4B2A-8B71-0D528B916029}" destId="{E72B0E06-2D82-4A54-992F-82EA2A82AA6B}" srcOrd="0" destOrd="0" presId="urn:microsoft.com/office/officeart/2005/8/layout/vProcess5"/>
    <dgm:cxn modelId="{3798D4F1-2534-4B0A-9718-B084FD8BE93A}" type="presOf" srcId="{29A68872-2660-4D47-9D29-AFD7C168C674}" destId="{6E0D5972-E7D6-490B-8B61-8CE86E975898}" srcOrd="0" destOrd="0" presId="urn:microsoft.com/office/officeart/2005/8/layout/vProcess5"/>
    <dgm:cxn modelId="{590A4CFA-E0A4-4480-BF86-8C139B1C6C5C}" type="presOf" srcId="{C0D8AC05-7ADB-46C0-BF10-53FDFFF39863}" destId="{867A3419-5DC4-4E73-A363-5F7CAB4C8661}" srcOrd="1" destOrd="0" presId="urn:microsoft.com/office/officeart/2005/8/layout/vProcess5"/>
    <dgm:cxn modelId="{223B3759-A648-4C0A-BC71-3378CE0B2375}" type="presParOf" srcId="{089C3AD1-F3B3-47F2-B092-711E94E7A49A}" destId="{8FE9CDCC-F9A3-4B9A-898B-CB757BB91C3F}" srcOrd="0" destOrd="0" presId="urn:microsoft.com/office/officeart/2005/8/layout/vProcess5"/>
    <dgm:cxn modelId="{D551F2C9-DF84-4D3B-BE62-1D53586AF342}" type="presParOf" srcId="{089C3AD1-F3B3-47F2-B092-711E94E7A49A}" destId="{6E0D5972-E7D6-490B-8B61-8CE86E975898}" srcOrd="1" destOrd="0" presId="urn:microsoft.com/office/officeart/2005/8/layout/vProcess5"/>
    <dgm:cxn modelId="{F053123B-EDDE-4651-AB2A-5F9EA1099594}" type="presParOf" srcId="{089C3AD1-F3B3-47F2-B092-711E94E7A49A}" destId="{95F3E6CC-F0B1-4BAC-8E76-11D954F88C49}" srcOrd="2" destOrd="0" presId="urn:microsoft.com/office/officeart/2005/8/layout/vProcess5"/>
    <dgm:cxn modelId="{EFE8BE32-ABD4-413A-8B1D-F5A6D4BA5483}" type="presParOf" srcId="{089C3AD1-F3B3-47F2-B092-711E94E7A49A}" destId="{3FA41360-3B17-46BE-80D3-3917F6DD9FC1}" srcOrd="3" destOrd="0" presId="urn:microsoft.com/office/officeart/2005/8/layout/vProcess5"/>
    <dgm:cxn modelId="{1DEB225F-B4AB-4415-B4C4-8EC3CF0D78C0}" type="presParOf" srcId="{089C3AD1-F3B3-47F2-B092-711E94E7A49A}" destId="{E72B0E06-2D82-4A54-992F-82EA2A82AA6B}" srcOrd="4" destOrd="0" presId="urn:microsoft.com/office/officeart/2005/8/layout/vProcess5"/>
    <dgm:cxn modelId="{C4480490-1F53-48DC-94CB-3DC39533CA9B}" type="presParOf" srcId="{089C3AD1-F3B3-47F2-B092-711E94E7A49A}" destId="{A1FD2682-7B23-49B8-906C-D5882353775D}" srcOrd="5" destOrd="0" presId="urn:microsoft.com/office/officeart/2005/8/layout/vProcess5"/>
    <dgm:cxn modelId="{E860C7D3-DE81-48C9-B1A6-232807D54D9A}" type="presParOf" srcId="{089C3AD1-F3B3-47F2-B092-711E94E7A49A}" destId="{B0AD5C1A-324B-4F4E-B197-6B3282B86D75}" srcOrd="6" destOrd="0" presId="urn:microsoft.com/office/officeart/2005/8/layout/vProcess5"/>
    <dgm:cxn modelId="{56292196-2140-425F-8206-6BA8D2AF2C5C}" type="presParOf" srcId="{089C3AD1-F3B3-47F2-B092-711E94E7A49A}" destId="{867A3419-5DC4-4E73-A363-5F7CAB4C8661}" srcOrd="7" destOrd="0" presId="urn:microsoft.com/office/officeart/2005/8/layout/vProcess5"/>
    <dgm:cxn modelId="{0A6C2AEF-CAB7-4CA4-9899-FF59087C5814}" type="presParOf" srcId="{089C3AD1-F3B3-47F2-B092-711E94E7A49A}" destId="{DF1F22CE-2D0E-4C64-804A-2F316EC3EB4B}" srcOrd="8" destOrd="0" presId="urn:microsoft.com/office/officeart/2005/8/layout/vProcess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D00246-D71D-4175-B963-CCEDF774112B}">
      <dsp:nvSpPr>
        <dsp:cNvPr id="0" name=""/>
        <dsp:cNvSpPr/>
      </dsp:nvSpPr>
      <dsp:spPr>
        <a:xfrm>
          <a:off x="0" y="0"/>
          <a:ext cx="4061218" cy="6728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ea typeface="Tahoma" panose="020B0604030504040204" pitchFamily="34" charset="0"/>
              <a:cs typeface="Times New Roman" panose="02020603050405020304" pitchFamily="18" charset="0"/>
            </a:rPr>
            <a:t>No NAI noņemtās slapjās notekūdeņu dūņas (1% sausna) tiek mehāniski atūdeņotas līdz 18% sausnai (notekūdeņu dūņu apstrādes process).</a:t>
          </a: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19708" y="19708"/>
        <a:ext cx="3256401" cy="633464"/>
      </dsp:txXfrm>
    </dsp:sp>
    <dsp:sp modelId="{B1A8A2C4-7843-4A29-B064-89A6CBF39161}">
      <dsp:nvSpPr>
        <dsp:cNvPr id="0" name=""/>
        <dsp:cNvSpPr/>
      </dsp:nvSpPr>
      <dsp:spPr>
        <a:xfrm>
          <a:off x="303272" y="766335"/>
          <a:ext cx="4061218" cy="672880"/>
        </a:xfrm>
        <a:prstGeom prst="roundRect">
          <a:avLst>
            <a:gd name="adj" fmla="val 10000"/>
          </a:avLst>
        </a:prstGeom>
        <a:solidFill>
          <a:schemeClr val="accent2">
            <a:hueOff val="-363841"/>
            <a:satOff val="-20982"/>
            <a:lumOff val="215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Pēc atūdeņošanas notekūdeņu dūņas tiek nogādātas betonētā (asfaltētā) izturēšanas laukumā ar sienām un jumtu, smaku novēršanas un drenāžas sistēmu.</a:t>
          </a:r>
          <a:endParaRPr lang="en-US" sz="1200" kern="1200">
            <a:latin typeface="Times New Roman" panose="02020603050405020304" pitchFamily="18" charset="0"/>
            <a:cs typeface="Times New Roman" panose="02020603050405020304" pitchFamily="18" charset="0"/>
          </a:endParaRPr>
        </a:p>
      </dsp:txBody>
      <dsp:txXfrm>
        <a:off x="322980" y="786043"/>
        <a:ext cx="3281157" cy="633464"/>
      </dsp:txXfrm>
    </dsp:sp>
    <dsp:sp modelId="{3A6A8A0E-ACD2-4915-A63E-0F54BAFE2BA0}">
      <dsp:nvSpPr>
        <dsp:cNvPr id="0" name=""/>
        <dsp:cNvSpPr/>
      </dsp:nvSpPr>
      <dsp:spPr>
        <a:xfrm>
          <a:off x="606545" y="1532671"/>
          <a:ext cx="4061218" cy="672880"/>
        </a:xfrm>
        <a:prstGeom prst="roundRect">
          <a:avLst>
            <a:gd name="adj" fmla="val 1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Notekūdēnu dūņas tiek izklātas 0,4 m biezumā un izturētas 12 mēnešus. Šādas notekūdeņu dūņas ir uzskatāmas par piemērotām iesteādei augsnē, tās mēslošanai un bagātināšanai.</a:t>
          </a:r>
          <a:endParaRPr lang="en-US" sz="1200" kern="1200">
            <a:latin typeface="Times New Roman" panose="02020603050405020304" pitchFamily="18" charset="0"/>
            <a:cs typeface="Times New Roman" panose="02020603050405020304" pitchFamily="18" charset="0"/>
          </a:endParaRPr>
        </a:p>
      </dsp:txBody>
      <dsp:txXfrm>
        <a:off x="626253" y="1552379"/>
        <a:ext cx="3281157" cy="633464"/>
      </dsp:txXfrm>
    </dsp:sp>
    <dsp:sp modelId="{9DDC3F8D-98B8-4BD8-9B77-A101FB1FEA7B}">
      <dsp:nvSpPr>
        <dsp:cNvPr id="0" name=""/>
        <dsp:cNvSpPr/>
      </dsp:nvSpPr>
      <dsp:spPr>
        <a:xfrm>
          <a:off x="909818" y="2299007"/>
          <a:ext cx="4061218" cy="672880"/>
        </a:xfrm>
        <a:prstGeom prst="roundRect">
          <a:avLst>
            <a:gd name="adj" fmla="val 10000"/>
          </a:avLst>
        </a:prstGeom>
        <a:solidFill>
          <a:schemeClr val="accent2">
            <a:hueOff val="-1091522"/>
            <a:satOff val="-62946"/>
            <a:lumOff val="64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latin typeface="Times New Roman" panose="02020603050405020304" pitchFamily="18" charset="0"/>
              <a:cs typeface="Times New Roman" panose="02020603050405020304" pitchFamily="18" charset="0"/>
            </a:rPr>
            <a:t>Notekūdeņu dūņu izturēšanas lauks jāplāno par 30% lielāks par aprēķināto maksimāli nepieciešamo, lai būtu iespējams nodrošinātu pārstrādes tehnoloģiskos procesus, un pārstrādāto notekūdeņu dūņu izvešanu utilizācijai</a:t>
          </a:r>
          <a:endParaRPr lang="en-US" sz="1000" kern="1200">
            <a:latin typeface="Times New Roman" panose="02020603050405020304" pitchFamily="18" charset="0"/>
            <a:cs typeface="Times New Roman" panose="02020603050405020304" pitchFamily="18" charset="0"/>
          </a:endParaRPr>
        </a:p>
      </dsp:txBody>
      <dsp:txXfrm>
        <a:off x="929526" y="2318715"/>
        <a:ext cx="3281157" cy="633464"/>
      </dsp:txXfrm>
    </dsp:sp>
    <dsp:sp modelId="{51D390E9-6F26-4BF5-9E75-4C2B05695F6E}">
      <dsp:nvSpPr>
        <dsp:cNvPr id="0" name=""/>
        <dsp:cNvSpPr/>
      </dsp:nvSpPr>
      <dsp:spPr>
        <a:xfrm>
          <a:off x="1213091" y="3065343"/>
          <a:ext cx="4061218" cy="672880"/>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Pēc 12 mēnešu izturēšanas, notekūdeņu dūņas izved gala utilizācijai un tās ir sasniegušas vidēji 25 - 30% sausnes saturu.</a:t>
          </a:r>
          <a:endParaRPr lang="en-US" sz="1200" kern="1200">
            <a:latin typeface="Times New Roman" panose="02020603050405020304" pitchFamily="18" charset="0"/>
            <a:cs typeface="Times New Roman" panose="02020603050405020304" pitchFamily="18" charset="0"/>
          </a:endParaRPr>
        </a:p>
      </dsp:txBody>
      <dsp:txXfrm>
        <a:off x="1232799" y="3085051"/>
        <a:ext cx="3281157" cy="633464"/>
      </dsp:txXfrm>
    </dsp:sp>
    <dsp:sp modelId="{AF14B8A7-9B28-4979-A594-BC1269500FAF}">
      <dsp:nvSpPr>
        <dsp:cNvPr id="0" name=""/>
        <dsp:cNvSpPr/>
      </dsp:nvSpPr>
      <dsp:spPr>
        <a:xfrm>
          <a:off x="3623846" y="491576"/>
          <a:ext cx="437372" cy="437372"/>
        </a:xfrm>
        <a:prstGeom prst="downArrow">
          <a:avLst>
            <a:gd name="adj1" fmla="val 55000"/>
            <a:gd name="adj2" fmla="val 45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3722255" y="491576"/>
        <a:ext cx="240554" cy="329122"/>
      </dsp:txXfrm>
    </dsp:sp>
    <dsp:sp modelId="{21E55161-92D0-4A3C-839B-4B99E5F295DC}">
      <dsp:nvSpPr>
        <dsp:cNvPr id="0" name=""/>
        <dsp:cNvSpPr/>
      </dsp:nvSpPr>
      <dsp:spPr>
        <a:xfrm>
          <a:off x="3927119" y="1257912"/>
          <a:ext cx="437372" cy="437372"/>
        </a:xfrm>
        <a:prstGeom prst="downArrow">
          <a:avLst>
            <a:gd name="adj1" fmla="val 55000"/>
            <a:gd name="adj2" fmla="val 45000"/>
          </a:avLst>
        </a:prstGeom>
        <a:solidFill>
          <a:schemeClr val="accent2">
            <a:tint val="40000"/>
            <a:alpha val="90000"/>
            <a:hueOff val="-283075"/>
            <a:satOff val="-25115"/>
            <a:lumOff val="-256"/>
            <a:alphaOff val="0"/>
          </a:schemeClr>
        </a:solidFill>
        <a:ln w="12700" cap="flat" cmpd="sng" algn="ctr">
          <a:solidFill>
            <a:schemeClr val="accent2">
              <a:tint val="40000"/>
              <a:alpha val="90000"/>
              <a:hueOff val="-283075"/>
              <a:satOff val="-25115"/>
              <a:lumOff val="-25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4025528" y="1257912"/>
        <a:ext cx="240554" cy="329122"/>
      </dsp:txXfrm>
    </dsp:sp>
    <dsp:sp modelId="{49C6B3B7-304F-4D2F-8CE6-BE88B5895BFB}">
      <dsp:nvSpPr>
        <dsp:cNvPr id="0" name=""/>
        <dsp:cNvSpPr/>
      </dsp:nvSpPr>
      <dsp:spPr>
        <a:xfrm>
          <a:off x="4230392" y="2013033"/>
          <a:ext cx="437372" cy="437372"/>
        </a:xfrm>
        <a:prstGeom prst="downArrow">
          <a:avLst>
            <a:gd name="adj1" fmla="val 55000"/>
            <a:gd name="adj2" fmla="val 45000"/>
          </a:avLst>
        </a:prstGeom>
        <a:solidFill>
          <a:schemeClr val="accent2">
            <a:tint val="40000"/>
            <a:alpha val="90000"/>
            <a:hueOff val="-566151"/>
            <a:satOff val="-50231"/>
            <a:lumOff val="-513"/>
            <a:alphaOff val="0"/>
          </a:schemeClr>
        </a:solidFill>
        <a:ln w="12700" cap="flat" cmpd="sng" algn="ctr">
          <a:solidFill>
            <a:schemeClr val="accent2">
              <a:tint val="40000"/>
              <a:alpha val="90000"/>
              <a:hueOff val="-566151"/>
              <a:satOff val="-50231"/>
              <a:lumOff val="-51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4328801" y="2013033"/>
        <a:ext cx="240554" cy="329122"/>
      </dsp:txXfrm>
    </dsp:sp>
    <dsp:sp modelId="{54DEDFEF-751E-4B7F-8DE4-FA8F42AB775A}">
      <dsp:nvSpPr>
        <dsp:cNvPr id="0" name=""/>
        <dsp:cNvSpPr/>
      </dsp:nvSpPr>
      <dsp:spPr>
        <a:xfrm>
          <a:off x="4533664" y="2786845"/>
          <a:ext cx="437372" cy="437372"/>
        </a:xfrm>
        <a:prstGeom prst="downArrow">
          <a:avLst>
            <a:gd name="adj1" fmla="val 55000"/>
            <a:gd name="adj2" fmla="val 45000"/>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4632073" y="2786845"/>
        <a:ext cx="240554" cy="32912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DED871-790C-45F2-8167-60C1F94104DE}">
      <dsp:nvSpPr>
        <dsp:cNvPr id="0" name=""/>
        <dsp:cNvSpPr/>
      </dsp:nvSpPr>
      <dsp:spPr>
        <a:xfrm>
          <a:off x="0" y="58402"/>
          <a:ext cx="4219448" cy="722171"/>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No NAI tehnoloģiskā procesa noņemtās slapjās notekūdeņu dūņas (1% sausna) tiek mehāniski atūdeņotas līdz 18% sausnai (notekūdeņu dūņu apstrādes process). </a:t>
          </a:r>
          <a:endParaRPr lang="en-US" sz="1200" kern="1200">
            <a:latin typeface="Times New Roman" panose="02020603050405020304" pitchFamily="18" charset="0"/>
            <a:cs typeface="Times New Roman" panose="02020603050405020304" pitchFamily="18" charset="0"/>
          </a:endParaRPr>
        </a:p>
      </dsp:txBody>
      <dsp:txXfrm>
        <a:off x="21152" y="79554"/>
        <a:ext cx="3243450" cy="679867"/>
      </dsp:txXfrm>
    </dsp:sp>
    <dsp:sp modelId="{B1F27282-16EA-4D3E-B819-139B64B98C04}">
      <dsp:nvSpPr>
        <dsp:cNvPr id="0" name=""/>
        <dsp:cNvSpPr/>
      </dsp:nvSpPr>
      <dsp:spPr>
        <a:xfrm>
          <a:off x="367640" y="894242"/>
          <a:ext cx="4219448" cy="753866"/>
        </a:xfrm>
        <a:prstGeom prst="roundRect">
          <a:avLst>
            <a:gd name="adj" fmla="val 10000"/>
          </a:avLst>
        </a:prstGeom>
        <a:solidFill>
          <a:schemeClr val="accent2">
            <a:hueOff val="-485121"/>
            <a:satOff val="-27976"/>
            <a:lumOff val="28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Pēc atūdeņošanas notekūdeņu dūņas tiek nogādātas betonētā (asfaltētā) dūņu pārstrādes laukumā ar sienām un jumtu, smaku novēršanas un drenāžas sistēmu komposta veidošanai.</a:t>
          </a:r>
          <a:endParaRPr lang="en-US" sz="1200" kern="1200">
            <a:latin typeface="Times New Roman" panose="02020603050405020304" pitchFamily="18" charset="0"/>
            <a:cs typeface="Times New Roman" panose="02020603050405020304" pitchFamily="18" charset="0"/>
          </a:endParaRPr>
        </a:p>
      </dsp:txBody>
      <dsp:txXfrm>
        <a:off x="389720" y="916322"/>
        <a:ext cx="3272677" cy="709706"/>
      </dsp:txXfrm>
    </dsp:sp>
    <dsp:sp modelId="{F6EAEF0C-FB7C-41D2-9212-1BF4867A5DB2}">
      <dsp:nvSpPr>
        <dsp:cNvPr id="0" name=""/>
        <dsp:cNvSpPr/>
      </dsp:nvSpPr>
      <dsp:spPr>
        <a:xfrm>
          <a:off x="701483" y="1747083"/>
          <a:ext cx="4219448" cy="1058284"/>
        </a:xfrm>
        <a:prstGeom prst="roundRect">
          <a:avLst>
            <a:gd name="adj" fmla="val 10000"/>
          </a:avLst>
        </a:prstGeom>
        <a:solidFill>
          <a:schemeClr val="accent2">
            <a:hueOff val="-970242"/>
            <a:satOff val="-55952"/>
            <a:lumOff val="575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Notekūdeņu dūņas tiek izklātas stirpās un tām vienādā apjomā tiek pievienots pildmateriāls. Speciāla komposta veidošanas tehnika (aerators) vienmērīgi samaisa notekūdeņu dūņas ar pildmateriālu un operators kontrolē komposta veidošanos.</a:t>
          </a:r>
          <a:endParaRPr lang="en-US" sz="1200" kern="1200">
            <a:latin typeface="Times New Roman" panose="02020603050405020304" pitchFamily="18" charset="0"/>
            <a:cs typeface="Times New Roman" panose="02020603050405020304" pitchFamily="18" charset="0"/>
          </a:endParaRPr>
        </a:p>
      </dsp:txBody>
      <dsp:txXfrm>
        <a:off x="732479" y="1778079"/>
        <a:ext cx="3260120" cy="996292"/>
      </dsp:txXfrm>
    </dsp:sp>
    <dsp:sp modelId="{B0AB3894-4535-4B1E-B782-90E07F59EA1D}">
      <dsp:nvSpPr>
        <dsp:cNvPr id="0" name=""/>
        <dsp:cNvSpPr/>
      </dsp:nvSpPr>
      <dsp:spPr>
        <a:xfrm>
          <a:off x="1054862" y="2986815"/>
          <a:ext cx="4219448" cy="856961"/>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Notekūdeņu dūņas kompostā pārvēršanas vidēji 30 dienu laikā, bet sagatavoto materiālu uzreiz pēc pārstrādes ir iespējams izvest uz gala utilizācijas vietu vai uzglabāt. </a:t>
          </a:r>
          <a:endParaRPr lang="en-US" sz="1200" kern="1200">
            <a:latin typeface="Times New Roman" panose="02020603050405020304" pitchFamily="18" charset="0"/>
            <a:cs typeface="Times New Roman" panose="02020603050405020304" pitchFamily="18" charset="0"/>
          </a:endParaRPr>
        </a:p>
      </dsp:txBody>
      <dsp:txXfrm>
        <a:off x="1079962" y="3011915"/>
        <a:ext cx="3266637" cy="806761"/>
      </dsp:txXfrm>
    </dsp:sp>
    <dsp:sp modelId="{3D508ED8-6569-4CB3-98CE-B2D1A7852FB5}">
      <dsp:nvSpPr>
        <dsp:cNvPr id="0" name=""/>
        <dsp:cNvSpPr/>
      </dsp:nvSpPr>
      <dsp:spPr>
        <a:xfrm>
          <a:off x="3670216" y="644173"/>
          <a:ext cx="549231" cy="549231"/>
        </a:xfrm>
        <a:prstGeom prst="downArrow">
          <a:avLst>
            <a:gd name="adj1" fmla="val 55000"/>
            <a:gd name="adj2" fmla="val 45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1750" tIns="31750" rIns="31750" bIns="31750" numCol="1" spcCol="1270" anchor="ctr" anchorCtr="0">
          <a:noAutofit/>
        </a:bodyPr>
        <a:lstStyle/>
        <a:p>
          <a:pPr marL="0" lvl="0" indent="0" algn="ctr" defTabSz="1111250">
            <a:lnSpc>
              <a:spcPct val="90000"/>
            </a:lnSpc>
            <a:spcBef>
              <a:spcPct val="0"/>
            </a:spcBef>
            <a:spcAft>
              <a:spcPct val="35000"/>
            </a:spcAft>
            <a:buNone/>
          </a:pPr>
          <a:endParaRPr lang="en-US" sz="2500" kern="1200"/>
        </a:p>
      </dsp:txBody>
      <dsp:txXfrm>
        <a:off x="3793793" y="644173"/>
        <a:ext cx="302077" cy="413296"/>
      </dsp:txXfrm>
    </dsp:sp>
    <dsp:sp modelId="{E5A567D1-24ED-48A7-BDEA-02056118D10C}">
      <dsp:nvSpPr>
        <dsp:cNvPr id="0" name=""/>
        <dsp:cNvSpPr/>
      </dsp:nvSpPr>
      <dsp:spPr>
        <a:xfrm>
          <a:off x="4023595" y="1642776"/>
          <a:ext cx="549231" cy="549231"/>
        </a:xfrm>
        <a:prstGeom prst="downArrow">
          <a:avLst>
            <a:gd name="adj1" fmla="val 55000"/>
            <a:gd name="adj2" fmla="val 45000"/>
          </a:avLst>
        </a:prstGeom>
        <a:solidFill>
          <a:schemeClr val="accent2">
            <a:tint val="40000"/>
            <a:alpha val="90000"/>
            <a:hueOff val="-424613"/>
            <a:satOff val="-37673"/>
            <a:lumOff val="-385"/>
            <a:alphaOff val="0"/>
          </a:schemeClr>
        </a:solidFill>
        <a:ln w="12700" cap="flat" cmpd="sng" algn="ctr">
          <a:solidFill>
            <a:schemeClr val="accent2">
              <a:tint val="40000"/>
              <a:alpha val="90000"/>
              <a:hueOff val="-424613"/>
              <a:satOff val="-37673"/>
              <a:lumOff val="-38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1750" tIns="31750" rIns="31750" bIns="31750" numCol="1" spcCol="1270" anchor="ctr" anchorCtr="0">
          <a:noAutofit/>
        </a:bodyPr>
        <a:lstStyle/>
        <a:p>
          <a:pPr marL="0" lvl="0" indent="0" algn="ctr" defTabSz="1111250">
            <a:lnSpc>
              <a:spcPct val="90000"/>
            </a:lnSpc>
            <a:spcBef>
              <a:spcPct val="0"/>
            </a:spcBef>
            <a:spcAft>
              <a:spcPct val="35000"/>
            </a:spcAft>
            <a:buNone/>
          </a:pPr>
          <a:endParaRPr lang="en-US" sz="2500" kern="1200"/>
        </a:p>
      </dsp:txBody>
      <dsp:txXfrm>
        <a:off x="4147172" y="1642776"/>
        <a:ext cx="302077" cy="413296"/>
      </dsp:txXfrm>
    </dsp:sp>
    <dsp:sp modelId="{CFCC6CCF-D77C-420C-86BB-9026F43F5ED2}">
      <dsp:nvSpPr>
        <dsp:cNvPr id="0" name=""/>
        <dsp:cNvSpPr/>
      </dsp:nvSpPr>
      <dsp:spPr>
        <a:xfrm>
          <a:off x="4371699" y="2641379"/>
          <a:ext cx="549231" cy="549231"/>
        </a:xfrm>
        <a:prstGeom prst="downArrow">
          <a:avLst>
            <a:gd name="adj1" fmla="val 55000"/>
            <a:gd name="adj2" fmla="val 45000"/>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1750" tIns="31750" rIns="31750" bIns="31750" numCol="1" spcCol="1270" anchor="ctr" anchorCtr="0">
          <a:noAutofit/>
        </a:bodyPr>
        <a:lstStyle/>
        <a:p>
          <a:pPr marL="0" lvl="0" indent="0" algn="ctr" defTabSz="1111250">
            <a:lnSpc>
              <a:spcPct val="90000"/>
            </a:lnSpc>
            <a:spcBef>
              <a:spcPct val="0"/>
            </a:spcBef>
            <a:spcAft>
              <a:spcPct val="35000"/>
            </a:spcAft>
            <a:buNone/>
          </a:pPr>
          <a:endParaRPr lang="en-US" sz="2500" kern="1200"/>
        </a:p>
      </dsp:txBody>
      <dsp:txXfrm>
        <a:off x="4495276" y="2641379"/>
        <a:ext cx="302077" cy="41329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0D5972-E7D6-490B-8B61-8CE86E975898}">
      <dsp:nvSpPr>
        <dsp:cNvPr id="0" name=""/>
        <dsp:cNvSpPr/>
      </dsp:nvSpPr>
      <dsp:spPr>
        <a:xfrm>
          <a:off x="0" y="0"/>
          <a:ext cx="4483163" cy="923004"/>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No NAI tehnoloģiskā procesa noņemtas slapjās notekūdeņu dūņas (1% sausna) tiek iebiezinātas līdz vidēji 7% sausnai un tiek novirzītas notekūdeņu  dūņu raudzēšanai fermenterī.</a:t>
          </a:r>
          <a:endParaRPr lang="en-US" sz="1200" kern="1200">
            <a:latin typeface="Times New Roman" panose="02020603050405020304" pitchFamily="18" charset="0"/>
            <a:cs typeface="Times New Roman" panose="02020603050405020304" pitchFamily="18" charset="0"/>
          </a:endParaRPr>
        </a:p>
      </dsp:txBody>
      <dsp:txXfrm>
        <a:off x="27034" y="27034"/>
        <a:ext cx="3487169" cy="868936"/>
      </dsp:txXfrm>
    </dsp:sp>
    <dsp:sp modelId="{95F3E6CC-F0B1-4BAC-8E76-11D954F88C49}">
      <dsp:nvSpPr>
        <dsp:cNvPr id="0" name=""/>
        <dsp:cNvSpPr/>
      </dsp:nvSpPr>
      <dsp:spPr>
        <a:xfrm>
          <a:off x="395573" y="1076838"/>
          <a:ext cx="4483163" cy="923004"/>
        </a:xfrm>
        <a:prstGeom prst="roundRect">
          <a:avLst>
            <a:gd name="adj" fmla="val 1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lv-LV" sz="1200" kern="1200">
              <a:latin typeface="Times New Roman" panose="02020603050405020304" pitchFamily="18" charset="0"/>
              <a:cs typeface="Times New Roman" panose="02020603050405020304" pitchFamily="18" charset="0"/>
            </a:rPr>
            <a:t>Fermenterī notekūdeņu dūņas rūgst vidēji 25 – 30 dienas, veidojot biogāzi. Rūgšanas laikā fermenterī ievadītās notekūdeņu  dūņu masas organisko vielu saturs samazinās par vidēji 30%.</a:t>
          </a:r>
          <a:endParaRPr lang="en-US" sz="1200" kern="1200">
            <a:latin typeface="Times New Roman" panose="02020603050405020304" pitchFamily="18" charset="0"/>
            <a:cs typeface="Times New Roman" panose="02020603050405020304" pitchFamily="18" charset="0"/>
          </a:endParaRPr>
        </a:p>
      </dsp:txBody>
      <dsp:txXfrm>
        <a:off x="422607" y="1103872"/>
        <a:ext cx="3433569" cy="868936"/>
      </dsp:txXfrm>
    </dsp:sp>
    <dsp:sp modelId="{3FA41360-3B17-46BE-80D3-3917F6DD9FC1}">
      <dsp:nvSpPr>
        <dsp:cNvPr id="0" name=""/>
        <dsp:cNvSpPr/>
      </dsp:nvSpPr>
      <dsp:spPr>
        <a:xfrm>
          <a:off x="791146" y="2153676"/>
          <a:ext cx="4483163" cy="923004"/>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lv-LV" sz="1200" kern="1200">
              <a:latin typeface="Times New Roman" panose="02020603050405020304" pitchFamily="18" charset="0"/>
              <a:cs typeface="Times New Roman" panose="02020603050405020304" pitchFamily="18" charset="0"/>
            </a:rPr>
            <a:t>Pēc rūgšanas procesa pabeigšanas no fermentera izplūst slapjas, izrūguša, un pārstrādātas notekūdeņu dūņas ar vidējo sausnes saturu 4% jeb digestāts. </a:t>
          </a:r>
          <a:endParaRPr lang="en-US" sz="1200" kern="1200">
            <a:latin typeface="Times New Roman" panose="02020603050405020304" pitchFamily="18" charset="0"/>
            <a:cs typeface="Times New Roman" panose="02020603050405020304" pitchFamily="18" charset="0"/>
          </a:endParaRPr>
        </a:p>
      </dsp:txBody>
      <dsp:txXfrm>
        <a:off x="818180" y="2180710"/>
        <a:ext cx="3433569" cy="868936"/>
      </dsp:txXfrm>
    </dsp:sp>
    <dsp:sp modelId="{E72B0E06-2D82-4A54-992F-82EA2A82AA6B}">
      <dsp:nvSpPr>
        <dsp:cNvPr id="0" name=""/>
        <dsp:cNvSpPr/>
      </dsp:nvSpPr>
      <dsp:spPr>
        <a:xfrm>
          <a:off x="3883210" y="699944"/>
          <a:ext cx="599952" cy="599952"/>
        </a:xfrm>
        <a:prstGeom prst="downArrow">
          <a:avLst>
            <a:gd name="adj1" fmla="val 55000"/>
            <a:gd name="adj2" fmla="val 45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endParaRPr lang="en-US" sz="2700" kern="1200"/>
        </a:p>
      </dsp:txBody>
      <dsp:txXfrm>
        <a:off x="4018199" y="699944"/>
        <a:ext cx="329974" cy="451464"/>
      </dsp:txXfrm>
    </dsp:sp>
    <dsp:sp modelId="{A1FD2682-7B23-49B8-906C-D5882353775D}">
      <dsp:nvSpPr>
        <dsp:cNvPr id="0" name=""/>
        <dsp:cNvSpPr/>
      </dsp:nvSpPr>
      <dsp:spPr>
        <a:xfrm>
          <a:off x="4278783" y="1770629"/>
          <a:ext cx="599952" cy="599952"/>
        </a:xfrm>
        <a:prstGeom prst="downArrow">
          <a:avLst>
            <a:gd name="adj1" fmla="val 55000"/>
            <a:gd name="adj2" fmla="val 45000"/>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endParaRPr lang="en-US" sz="2700" kern="1200"/>
        </a:p>
      </dsp:txBody>
      <dsp:txXfrm>
        <a:off x="4413772" y="1770629"/>
        <a:ext cx="329974" cy="451464"/>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8BBA3-1E02-4D90-B973-BA23050B1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180</Pages>
  <Words>224893</Words>
  <Characters>128190</Characters>
  <Application>Microsoft Office Word</Application>
  <DocSecurity>0</DocSecurity>
  <Lines>1068</Lines>
  <Paragraphs>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Inuta IS. Saroka</dc:creator>
  <cp:keywords/>
  <dc:description/>
  <cp:lastModifiedBy>Laura Jukāme-Ķerus</cp:lastModifiedBy>
  <cp:revision>14</cp:revision>
  <dcterms:created xsi:type="dcterms:W3CDTF">2022-10-11T13:13:00Z</dcterms:created>
  <dcterms:modified xsi:type="dcterms:W3CDTF">2022-10-12T09:28:00Z</dcterms:modified>
</cp:coreProperties>
</file>