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A13B32" w:rsidRDefault="00E920D4" w14:paraId="4CA8B660" w14:textId="61C341D8">
      <w:pPr>
        <w:jc w:val="center"/>
        <w:rPr>
          <w:b/>
          <w:bCs/>
        </w:rPr>
      </w:pPr>
      <w:bookmarkStart w:name="_Hlk46742949" w:id="0"/>
      <w:r w:rsidRPr="2B3E1191">
        <w:rPr>
          <w:b/>
          <w:bCs/>
        </w:rPr>
        <w:t>Latvijas Republikas nacionālā pozīcija Nr. 1 “</w:t>
      </w:r>
      <w:r w:rsidRPr="00EA49DF" w:rsidR="00EA49DF">
        <w:rPr>
          <w:b/>
          <w:bCs/>
        </w:rPr>
        <w:t>Baltā grāmata: Kā apgūt Eiropas digitālās infrastruktūras vajadzības?</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269B3D0B">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EA49DF" w:rsidR="00EA49DF">
        <w:rPr>
          <w:b/>
          <w:bCs/>
        </w:rPr>
        <w:t>Baltā grāmata: Kā apgūt Eiropas digitālās infrastruktūras vajadzības?</w:t>
      </w:r>
      <w:r w:rsidRPr="00AD53ED" w:rsidR="00AD53ED">
        <w:rPr>
          <w:b/>
          <w:bCs/>
        </w:rPr>
        <w:t>”</w:t>
      </w:r>
      <w:r w:rsidRPr="2B3E1191" w:rsidR="003B7F13">
        <w:rPr>
          <w:b/>
          <w:bCs/>
        </w:rPr>
        <w:t>.</w:t>
      </w:r>
    </w:p>
    <w:p w:rsidR="00650B65" w:rsidP="2B3E1191" w:rsidRDefault="0035318A" w14:paraId="03068A31" w14:textId="40899FD3">
      <w:pPr>
        <w:ind w:firstLine="720"/>
        <w:jc w:val="both"/>
        <w:rPr>
          <w:color w:val="000000" w:themeColor="text1"/>
        </w:rPr>
      </w:pPr>
      <w:r w:rsidRPr="36CAE6B0">
        <w:rPr>
          <w:color w:val="000000" w:themeColor="text1"/>
        </w:rPr>
        <w:t>P</w:t>
      </w:r>
      <w:r w:rsidRPr="36CAE6B0"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6CAE6B0" w:rsidR="00030A24">
        <w:rPr>
          <w:color w:val="000000" w:themeColor="text1"/>
        </w:rPr>
        <w:t xml:space="preserve"> </w:t>
      </w:r>
      <w:r w:rsidRPr="36CAE6B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36CAE6B0" w:rsidR="00650B65">
        <w:rPr>
          <w:color w:val="000000" w:themeColor="text1"/>
        </w:rPr>
        <w:t>Ārlietu ministriju, Aizsardzības ministriju, Izglītības un zinātnes ministriju, Vides aizsardzības un reģionālās attīstības ministriju (VAS “Elektroniskie sakari”), Zemkopības ministriju, Finanšu ministriju, Iekšlietu ministriju, Ekonomikas ministriju un Sabiedrisko pakalpojumu regulēšanas komisiju.</w:t>
      </w:r>
    </w:p>
    <w:p w:rsidRPr="00650B65" w:rsidR="00650B65" w:rsidP="36CAE6B0" w:rsidRDefault="70E84958" w14:paraId="42FD8810" w14:textId="699E2E9C">
      <w:pPr>
        <w:ind w:firstLine="720"/>
        <w:jc w:val="both"/>
        <w:rPr>
          <w:color w:val="000000" w:themeColor="text1"/>
        </w:rPr>
      </w:pPr>
      <w:r w:rsidRPr="36CAE6B0">
        <w:rPr>
          <w:color w:val="000000" w:themeColor="text1"/>
        </w:rPr>
        <w:t xml:space="preserve">Eiropas Komisija (turpmāk tekstā – Komisija) ir nākusi klajā ar digitālās savienojamības pakotni, t.s. “Baltā grāmata”, iepazīstinot ar nākotnes digitālās infrastruktūras iniciatīvām, tostarp iespējamo darbību kopumu, lai veicinātu inovācijas digitālajā infrastruktūrā, kā arī tās drošību un noturību. Ar Balto grāmatu Komisija izklāsta redzējumu par to, kā elektronisko sakaru nozare saskaras ar nepieredzētām pārmaiņām un izaicinājumiem. Komisija uzskata, ka pašreizējā savienojamības infrastruktūra nespēs uzturēt pieaugošo un uz datiem balstīto ekonomikas intensitāti. Tehnoloģiju attīstība veicina jaunu pakalpojumu strauju attīstību, attiecīgi būs nepieciešamas lielas investīcijas esošajā elektronisko sakaru infrastruktūrā un telesakaru pakalpojumu sniedzēju uzņēmējdarbības modeļa pārveidē. Vienlaikus Komisija uzskata, ka būtu nepieciešams koncentrēties uz pamattīklu un pārrobežu darbību un sadarbības noteikumiem, lai novērstu sadrumstalotību un šķēršļus ES vienotajā tirgū. </w:t>
      </w:r>
      <w:r w:rsidRPr="36CAE6B0" w:rsidR="00650B65">
        <w:rPr>
          <w:color w:val="000000" w:themeColor="text1"/>
        </w:rPr>
        <w:t>Attiecīgi Komisija Baltajā grāmatā iezīmē darbības virzienus trīs pīlāros:</w:t>
      </w:r>
    </w:p>
    <w:p w:rsidRPr="00650B65" w:rsidR="00650B65" w:rsidP="00650B65" w:rsidRDefault="00650B65" w14:paraId="1359A3AF" w14:textId="77777777">
      <w:pPr>
        <w:ind w:firstLine="720"/>
        <w:jc w:val="both"/>
        <w:rPr>
          <w:color w:val="000000" w:themeColor="text1"/>
        </w:rPr>
      </w:pPr>
      <w:r w:rsidRPr="00650B65">
        <w:rPr>
          <w:color w:val="000000" w:themeColor="text1"/>
        </w:rPr>
        <w:t>I.</w:t>
      </w:r>
      <w:r w:rsidRPr="00650B65">
        <w:rPr>
          <w:color w:val="000000" w:themeColor="text1"/>
        </w:rPr>
        <w:tab/>
        <w:t xml:space="preserve">Inovāciju un izpētes pīlārs; </w:t>
      </w:r>
    </w:p>
    <w:p w:rsidRPr="00650B65" w:rsidR="00650B65" w:rsidP="00650B65" w:rsidRDefault="00650B65" w14:paraId="70E92A31" w14:textId="77777777">
      <w:pPr>
        <w:ind w:firstLine="720"/>
        <w:jc w:val="both"/>
        <w:rPr>
          <w:color w:val="000000" w:themeColor="text1"/>
        </w:rPr>
      </w:pPr>
      <w:r w:rsidRPr="00650B65">
        <w:rPr>
          <w:color w:val="000000" w:themeColor="text1"/>
        </w:rPr>
        <w:t>II.</w:t>
      </w:r>
      <w:r w:rsidRPr="00650B65">
        <w:rPr>
          <w:color w:val="000000" w:themeColor="text1"/>
        </w:rPr>
        <w:tab/>
        <w:t xml:space="preserve">Digitālā vienotā tirgus izveides pabeigšana; </w:t>
      </w:r>
    </w:p>
    <w:p w:rsidR="00650B65" w:rsidP="00650B65" w:rsidRDefault="00650B65" w14:paraId="637A5C12" w14:textId="47E98BC7">
      <w:pPr>
        <w:ind w:firstLine="720"/>
        <w:jc w:val="both"/>
        <w:rPr>
          <w:color w:val="000000" w:themeColor="text1"/>
        </w:rPr>
      </w:pPr>
      <w:r w:rsidRPr="69580E77">
        <w:rPr>
          <w:color w:val="000000" w:themeColor="text1"/>
        </w:rPr>
        <w:t>III.</w:t>
      </w:r>
      <w:r>
        <w:tab/>
      </w:r>
      <w:r w:rsidRPr="69580E77">
        <w:rPr>
          <w:color w:val="000000" w:themeColor="text1"/>
        </w:rPr>
        <w:t>Drošas un elastīgas digitālās infrastruktūras izveide Eiropai.</w:t>
      </w:r>
    </w:p>
    <w:p w:rsidR="7355ED66" w:rsidP="69580E77" w:rsidRDefault="7355ED66" w14:paraId="0A64D885" w14:textId="1E27AEEA">
      <w:pPr>
        <w:ind w:firstLine="720"/>
        <w:jc w:val="both"/>
        <w:rPr>
          <w:color w:val="000000" w:themeColor="text1"/>
        </w:rPr>
      </w:pPr>
      <w:r w:rsidRPr="69580E77">
        <w:rPr>
          <w:color w:val="000000" w:themeColor="text1"/>
        </w:rPr>
        <w:t>Pirmais pīlārs “Inovāciju un izpētes p</w:t>
      </w:r>
      <w:r w:rsidR="002506C2">
        <w:rPr>
          <w:color w:val="000000" w:themeColor="text1"/>
        </w:rPr>
        <w:t>ī</w:t>
      </w:r>
      <w:r w:rsidRPr="69580E77">
        <w:rPr>
          <w:color w:val="000000" w:themeColor="text1"/>
        </w:rPr>
        <w:t>lārs” pamatā</w:t>
      </w:r>
      <w:r w:rsidRPr="69580E77" w:rsidR="6DE251CE">
        <w:rPr>
          <w:color w:val="000000" w:themeColor="text1"/>
        </w:rPr>
        <w:t xml:space="preserve"> </w:t>
      </w:r>
      <w:r w:rsidRPr="69580E77">
        <w:rPr>
          <w:color w:val="000000" w:themeColor="text1"/>
        </w:rPr>
        <w:t xml:space="preserve">balstīsies uz liela mēroga pilotprojektiem,  kas izveido visaptverošas integrētas infrastruktūras un platformas sakaru mākonim un perifēriem risinājumiem, kā arī paredz mikročipu industrijas iesaisti, t.sk. iesaistot arī telesakaru operatorus un pakalpojumu platformas, apvienojot visus spēlētājus vienotā diskusijā. Plānots diskutēt arī par jauniem ES kopējo interešu projektiem, kam būs nepieciešami arī ievērojami finansiāli resursi. Komisija plāno konsolidēt un vienkāršot patlaban pieejamos finanšu instrumentus, t.sk. sniedzot iespēju  piešķirt viedo tīklu un pakalpojumu kopuzņēmumam koordinatora lomu.  </w:t>
      </w:r>
    </w:p>
    <w:p w:rsidR="295B085B" w:rsidP="69580E77" w:rsidRDefault="295B085B" w14:paraId="60A42F0C" w14:textId="322A6F56">
      <w:pPr>
        <w:ind w:firstLine="720"/>
        <w:jc w:val="both"/>
        <w:rPr>
          <w:color w:val="000000" w:themeColor="text1"/>
        </w:rPr>
      </w:pPr>
      <w:r w:rsidRPr="69580E77">
        <w:rPr>
          <w:color w:val="000000" w:themeColor="text1"/>
        </w:rPr>
        <w:t xml:space="preserve">Otrais pīlārs “Digitālā un vienotā tirgus izveides pabeigšana” koncentrējas </w:t>
      </w:r>
      <w:r w:rsidRPr="69580E77" w:rsidR="3045548E">
        <w:rPr>
          <w:color w:val="000000" w:themeColor="text1"/>
        </w:rPr>
        <w:t xml:space="preserve">uz tiesiskā regulējuma pielāgošanu, t.i.,  pilnībā realizēt digitālā vienotā tirgus potenciālu, pārdomājot piemērošanas jomu un mērķus; nodrošinot līdzvērtīgus konkurences apstākļus. Paredzēta arī  ES pamattīkla centralizācijas šķēršļu novēršana, kur plānots pilnībā izmantot vienotā tirgus potenciālu  un paredzētas arī izmaiņas piekļuves politikā. </w:t>
      </w:r>
      <w:r w:rsidRPr="69580E77" w:rsidR="6E6683F0">
        <w:rPr>
          <w:color w:val="000000" w:themeColor="text1"/>
        </w:rPr>
        <w:t>Šajā pīlārā arī paredzēta integrētāka pārvaldība ES līmenī radiofrekvenču spektrā, kā arī pasākumi, lai paātrinātu vara kabeļu izslēgšanu/nomaiņu līdz 2030. gadam.</w:t>
      </w:r>
    </w:p>
    <w:p w:rsidR="6E6683F0" w:rsidP="69580E77" w:rsidRDefault="6E6683F0" w14:paraId="6E203053" w14:textId="19CFA5E3">
      <w:pPr>
        <w:ind w:firstLine="720"/>
        <w:jc w:val="both"/>
      </w:pPr>
      <w:r w:rsidRPr="69580E77">
        <w:rPr>
          <w:color w:val="000000" w:themeColor="text1"/>
        </w:rPr>
        <w:t>Trešais pīlārs “Drošas un elastīgas digitālās infrastruktūras izveide Eiropai” izklāsta ceļu uz drošu komunikāciju, izmantojot kvantu un postkvantu tehnoloģijas, kur norādīts uz nepieciešamību uzlabot un pastiprināt pētniecības un inovācijas darbību jaunām šķiedru un kabeļu tehnoloģijām, kā arī vēlākā posmā Komisija paredz izplatīt Ieteikumu par pēc-kvantu kriptogrāfiju.  Attiecībā uz zemūdens kabeļu infrastruktūras drošību un noturību Komisija iesaka izveidot kopīgu ES pārvaldības sistēmu, izdalot divus līmeņus, kuros būtu nepieciešams papildus darbs - valsts un ES mēroga.</w:t>
      </w:r>
    </w:p>
    <w:p w:rsidR="00650B65" w:rsidP="00650B65" w:rsidRDefault="00650B65" w14:paraId="3602BD3B" w14:textId="77777777">
      <w:pPr>
        <w:ind w:firstLine="720"/>
        <w:jc w:val="both"/>
      </w:pPr>
      <w:r w:rsidRPr="00693008">
        <w:lastRenderedPageBreak/>
        <w:t xml:space="preserve">Latvija ilgtermiņā </w:t>
      </w:r>
      <w:r w:rsidRPr="00693008">
        <w:rPr>
          <w:b/>
          <w:bCs/>
        </w:rPr>
        <w:t xml:space="preserve">atbalsta jaunu </w:t>
      </w:r>
      <w:r w:rsidRPr="00693008">
        <w:t xml:space="preserve">prioritāšu izvirzīšanu un pārskatīšanu jomās, kur </w:t>
      </w:r>
      <w:r>
        <w:t>ES</w:t>
      </w:r>
      <w:r w:rsidRPr="00693008">
        <w:t xml:space="preserve"> var pilnveidot savu konkurētspēju un pakāpeniski virzīties uz mērķiem. Latvija var atbalstīt infrastruktūras nomaiņas veicināšanas pasākumus Digitālās desmitgades termiņa ietvaros, ja tiek</w:t>
      </w:r>
      <w:r>
        <w:t xml:space="preserve"> atvēlēts ES finansējums un iespēju robežās</w:t>
      </w:r>
      <w:r w:rsidRPr="00693008">
        <w:t xml:space="preserve"> ievērots tehnoloģiskās neitralitātes princips un pasākumi ir vērsti</w:t>
      </w:r>
      <w:r>
        <w:t xml:space="preserve"> sākotnēji</w:t>
      </w:r>
      <w:r w:rsidRPr="00693008">
        <w:t xml:space="preserve"> uz infrastruktūru</w:t>
      </w:r>
      <w:r>
        <w:t xml:space="preserve"> ar vismazāko ātrdarbības kapacitāti</w:t>
      </w:r>
      <w:r w:rsidRPr="00693008">
        <w:t>. Latvija saskata nepieciešamību diskutēt par izņēmumiem no kopējā Digitālās desmitgades termiņa, ņemot vērā reālo situāciju,</w:t>
      </w:r>
      <w:r>
        <w:t xml:space="preserve"> lai</w:t>
      </w:r>
      <w:r w:rsidRPr="00693008">
        <w:t xml:space="preserve"> izvairī</w:t>
      </w:r>
      <w:r>
        <w:t>t</w:t>
      </w:r>
      <w:r w:rsidRPr="00693008">
        <w:t xml:space="preserve">os no jaunas digitālās plaisas izveidošanas. </w:t>
      </w:r>
    </w:p>
    <w:p w:rsidR="00650B65" w:rsidP="00650B65" w:rsidRDefault="00650B65" w14:paraId="1A434F5F" w14:textId="1060554A">
      <w:pPr>
        <w:spacing w:after="240"/>
        <w:ind w:firstLine="720"/>
        <w:jc w:val="both"/>
      </w:pPr>
      <w:r>
        <w:t xml:space="preserve">Vienlaikus Latvija </w:t>
      </w:r>
      <w:r w:rsidR="00C71175">
        <w:rPr>
          <w:b/>
          <w:bCs/>
        </w:rPr>
        <w:t xml:space="preserve">iebilst pret </w:t>
      </w:r>
      <w:r w:rsidRPr="69580E77">
        <w:rPr>
          <w:b/>
          <w:bCs/>
        </w:rPr>
        <w:t>sakaru tirgus konsolidāciju</w:t>
      </w:r>
      <w:r w:rsidR="00C71175">
        <w:rPr>
          <w:b/>
          <w:bCs/>
        </w:rPr>
        <w:t>.</w:t>
      </w:r>
      <w:r w:rsidR="00694781">
        <w:rPr>
          <w:b/>
          <w:bCs/>
        </w:rPr>
        <w:t xml:space="preserve"> </w:t>
      </w:r>
      <w:r>
        <w:t>Latvija, kā dalībvalsts ar vieniem no labākajiem sakaru pakalpojumiem un vienām no zemākajām cenām, nesaredz konsolidācijas scenāriju kā ieguvumu. Latvija neatbalsta visu Eiropu aptverošu radiofrekvenču spektra pārvaldību, jo esošā kārtība tiek saskatīta kā labi funkcionējoša, kas ņem vērā visus vietējos apstākļus un atšķirīgās ekonomiskās un sociālās situācijas valstīs, kā arī rada labvēlīgu augsni, lai Eiropas Savienības radiofrekvenču spektra politikas iniciatīvām veicinātu atbalstu arī valstīs, kuras nav ES vai Eiropas Ekonomikas Zon</w:t>
      </w:r>
      <w:r w:rsidR="00AF495F">
        <w:t>ā</w:t>
      </w:r>
      <w:r>
        <w:t>.</w:t>
      </w:r>
    </w:p>
    <w:p w:rsidR="69580E77" w:rsidP="69580E77" w:rsidRDefault="69580E77" w14:paraId="5E1CF7FE" w14:textId="57D6FB7C">
      <w:pPr>
        <w:ind w:left="720"/>
      </w:pPr>
    </w:p>
    <w:p w:rsidR="69580E77" w:rsidP="69580E77" w:rsidRDefault="69580E77" w14:paraId="2CF993EC" w14:textId="660CC2E1">
      <w:pPr>
        <w:ind w:left="720"/>
      </w:pPr>
    </w:p>
    <w:p w:rsidR="002A27D9" w:rsidP="2B3E1191" w:rsidRDefault="002A27D9" w14:paraId="3D691D8C" w14:textId="3CBABB09">
      <w:pPr>
        <w:ind w:left="720"/>
      </w:pPr>
      <w:r w:rsidRPr="2B3E1191">
        <w:t>Satiksmes ministrs</w:t>
      </w:r>
      <w:r>
        <w:tab/>
      </w:r>
      <w:r>
        <w:tab/>
      </w:r>
      <w:r>
        <w:tab/>
      </w:r>
      <w:r>
        <w:tab/>
      </w:r>
      <w:r>
        <w:tab/>
      </w:r>
      <w:r>
        <w:tab/>
      </w:r>
      <w:r>
        <w:tab/>
      </w:r>
      <w:r w:rsidR="005F03EC">
        <w:t>K. Briškens</w:t>
      </w:r>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3F634E" w:rsidP="00650B65" w:rsidRDefault="007162BE" w14:paraId="1ED871D6" w14:textId="231B4C9B">
      <w:r>
        <w:tab/>
        <w:t>Valsts sekretār</w:t>
      </w:r>
      <w:r w:rsidR="00EA49DF">
        <w:t>a p.i.</w:t>
      </w:r>
      <w:r w:rsidR="00371A98">
        <w:tab/>
      </w:r>
      <w:r w:rsidR="00371A98">
        <w:tab/>
      </w:r>
      <w:r>
        <w:tab/>
      </w:r>
      <w:r>
        <w:tab/>
      </w:r>
      <w:r>
        <w:tab/>
      </w:r>
      <w:r>
        <w:tab/>
      </w:r>
      <w:r>
        <w:tab/>
      </w:r>
      <w:r w:rsidR="00EA49DF">
        <w:t>L. Austrupe</w:t>
      </w:r>
    </w:p>
    <w:p w:rsidR="003F634E" w:rsidP="2B3E1191" w:rsidRDefault="003F634E" w14:paraId="74BA8012" w14:textId="77777777">
      <w:pPr>
        <w:ind w:firstLine="720"/>
      </w:pPr>
    </w:p>
    <w:p w:rsidRPr="00000F43" w:rsidR="00014887" w:rsidP="2B3E1191" w:rsidRDefault="00014887" w14:paraId="33F55606" w14:textId="621CF89C">
      <w:pPr>
        <w:ind w:firstLine="720"/>
      </w:pPr>
    </w:p>
    <w:p w:rsidRPr="00B81753" w:rsidR="00000F43" w:rsidP="2B3E1191" w:rsidRDefault="00000F43" w14:paraId="4695A0AD" w14:textId="44BA726C">
      <w:pPr>
        <w:ind w:firstLine="720"/>
        <w:rPr>
          <w:sz w:val="16"/>
          <w:szCs w:val="16"/>
        </w:rPr>
      </w:pPr>
      <w:r w:rsidRPr="00B81753">
        <w:rPr>
          <w:sz w:val="16"/>
          <w:szCs w:val="16"/>
        </w:rPr>
        <w:t>Evita Nagle</w:t>
      </w:r>
    </w:p>
    <w:p w:rsidRPr="00B81753" w:rsidR="00000F43" w:rsidP="00371A98" w:rsidRDefault="00000F43" w14:paraId="4ADA16C7" w14:textId="0BD2B04D">
      <w:pPr>
        <w:tabs>
          <w:tab w:val="right" w:pos="9638"/>
        </w:tabs>
        <w:ind w:left="720"/>
        <w:rPr>
          <w:sz w:val="16"/>
          <w:szCs w:val="16"/>
        </w:rPr>
      </w:pPr>
      <w:r w:rsidRPr="69580E77">
        <w:rPr>
          <w:sz w:val="16"/>
          <w:szCs w:val="16"/>
        </w:rPr>
        <w:t>Tel. 67028190</w:t>
      </w:r>
      <w:r>
        <w:br/>
      </w:r>
      <w:r w:rsidRPr="69580E77">
        <w:rPr>
          <w:sz w:val="16"/>
          <w:szCs w:val="16"/>
        </w:rPr>
        <w:t xml:space="preserve">Evita.nagle@sam.gov.lv </w:t>
      </w:r>
      <w:r>
        <w:tab/>
      </w:r>
    </w:p>
    <w:sectPr w:rsidRPr="00B81753" w:rsidR="00000F43" w:rsidSect="00F30E36">
      <w:headerReference w:type="default" r:id="rId8"/>
      <w:footerReference w:type="even" r:id="rId9"/>
      <w:footerReference w:type="default" r:id="rId10"/>
      <w:footerReference w:type="firs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8D055" w14:textId="77777777" w:rsidR="005B1561" w:rsidRDefault="005B1561" w:rsidP="002A27D9">
      <w:r>
        <w:separator/>
      </w:r>
    </w:p>
  </w:endnote>
  <w:endnote w:type="continuationSeparator" w:id="0">
    <w:p w14:paraId="7ECE823C" w14:textId="77777777" w:rsidR="005B1561" w:rsidRDefault="005B1561"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1C74A" w14:textId="41E228CD" w:rsidR="00E121F2"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E121F2" w:rsidRDefault="00E121F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8663436"/>
      <w:docPartObj>
        <w:docPartGallery w:val="Page Numbers (Bottom of Page)"/>
        <w:docPartUnique/>
      </w:docPartObj>
    </w:sdtPr>
    <w:sdtEndPr>
      <w:rPr>
        <w:noProof/>
      </w:rPr>
    </w:sdtEndPr>
    <w:sdtContent>
      <w:p w14:paraId="7154CFF4" w14:textId="77777777" w:rsidR="001601B7" w:rsidRDefault="001601B7">
        <w:pPr>
          <w:pStyle w:val="Footer"/>
          <w:jc w:val="right"/>
        </w:pPr>
      </w:p>
      <w:p w14:paraId="309994E5" w14:textId="6D298645" w:rsidR="006916A6" w:rsidRDefault="006916A6" w:rsidP="0F62AD5F">
        <w:pPr>
          <w:pStyle w:val="Footer"/>
          <w:jc w:val="right"/>
          <w:rPr>
            <w:noProof/>
          </w:rPr>
        </w:pPr>
        <w:r w:rsidRPr="0F62AD5F">
          <w:rPr>
            <w:noProof/>
          </w:rPr>
          <w:fldChar w:fldCharType="begin"/>
        </w:r>
        <w:r>
          <w:instrText xml:space="preserve"> PAGE   \* MERGEFORMAT </w:instrText>
        </w:r>
        <w:r w:rsidRPr="0F62AD5F">
          <w:fldChar w:fldCharType="separate"/>
        </w:r>
        <w:r w:rsidR="0F62AD5F" w:rsidRPr="0F62AD5F">
          <w:rPr>
            <w:noProof/>
          </w:rPr>
          <w:t>2</w:t>
        </w:r>
        <w:r w:rsidRPr="0F62AD5F">
          <w:rPr>
            <w:noProof/>
          </w:rPr>
          <w:fldChar w:fldCharType="end"/>
        </w:r>
        <w:r w:rsidR="0F62AD5F" w:rsidRPr="0F62AD5F">
          <w:rPr>
            <w:noProof/>
          </w:rPr>
          <w:t>-2</w:t>
        </w:r>
      </w:p>
    </w:sdtContent>
  </w:sdt>
  <w:p w14:paraId="48C510D4" w14:textId="03D80139" w:rsidR="006916A6" w:rsidRDefault="006916A6">
    <w:pPr>
      <w:pStyle w:val="Footer"/>
    </w:pPr>
    <w:r w:rsidRPr="00E40025">
      <w:t>SAMzino_</w:t>
    </w:r>
    <w:r w:rsidR="007F58ED">
      <w:t>20</w:t>
    </w:r>
    <w:r w:rsidR="00EA49DF">
      <w:t>05</w:t>
    </w:r>
    <w:r w:rsidR="00371A98" w:rsidRPr="00371A98">
      <w:t>24_</w:t>
    </w:r>
    <w:r w:rsidR="00EA49DF">
      <w:t>Balta_gramata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7C84304" w:rsidR="00B00CBB" w:rsidRDefault="00E40025" w:rsidP="00E40025">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9E0D4" w14:textId="77777777" w:rsidR="005B1561" w:rsidRDefault="005B1561" w:rsidP="002A27D9">
      <w:r>
        <w:separator/>
      </w:r>
    </w:p>
  </w:footnote>
  <w:footnote w:type="continuationSeparator" w:id="0">
    <w:p w14:paraId="594D7D76" w14:textId="77777777" w:rsidR="005B1561" w:rsidRDefault="005B1561" w:rsidP="002A2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F62AD5F" w14:paraId="1E47A758" w14:textId="77777777" w:rsidTr="0F62AD5F">
      <w:trPr>
        <w:trHeight w:val="300"/>
      </w:trPr>
      <w:tc>
        <w:tcPr>
          <w:tcW w:w="3210" w:type="dxa"/>
        </w:tcPr>
        <w:p w14:paraId="46165B72" w14:textId="351FA9DB" w:rsidR="0F62AD5F" w:rsidRDefault="0F62AD5F" w:rsidP="0F62AD5F">
          <w:pPr>
            <w:pStyle w:val="Header"/>
            <w:ind w:left="-115"/>
          </w:pPr>
        </w:p>
      </w:tc>
      <w:tc>
        <w:tcPr>
          <w:tcW w:w="3210" w:type="dxa"/>
        </w:tcPr>
        <w:p w14:paraId="0FAE72A7" w14:textId="7E615630" w:rsidR="0F62AD5F" w:rsidRDefault="0F62AD5F" w:rsidP="0F62AD5F">
          <w:pPr>
            <w:pStyle w:val="Header"/>
            <w:jc w:val="center"/>
          </w:pPr>
        </w:p>
      </w:tc>
      <w:tc>
        <w:tcPr>
          <w:tcW w:w="3210" w:type="dxa"/>
        </w:tcPr>
        <w:p w14:paraId="722AC942" w14:textId="537E2418" w:rsidR="0F62AD5F" w:rsidRDefault="0F62AD5F" w:rsidP="0F62AD5F">
          <w:pPr>
            <w:pStyle w:val="Header"/>
            <w:ind w:right="-115"/>
            <w:jc w:val="right"/>
          </w:pPr>
        </w:p>
      </w:tc>
    </w:tr>
  </w:tbl>
  <w:p w14:paraId="5057DB1E" w14:textId="02F8C8BE" w:rsidR="0F62AD5F" w:rsidRDefault="0F62AD5F" w:rsidP="0F62A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3"/>
  </w:num>
  <w:num w:numId="2" w16cid:durableId="121196698">
    <w:abstractNumId w:val="1"/>
  </w:num>
  <w:num w:numId="3" w16cid:durableId="785853288">
    <w:abstractNumId w:val="0"/>
  </w:num>
  <w:num w:numId="4" w16cid:durableId="930889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2AA8"/>
    <w:rsid w:val="000630CA"/>
    <w:rsid w:val="000719D1"/>
    <w:rsid w:val="00072644"/>
    <w:rsid w:val="00077B81"/>
    <w:rsid w:val="00090631"/>
    <w:rsid w:val="00093FD4"/>
    <w:rsid w:val="000C374C"/>
    <w:rsid w:val="000C58D3"/>
    <w:rsid w:val="000D41F4"/>
    <w:rsid w:val="000E23ED"/>
    <w:rsid w:val="0010296C"/>
    <w:rsid w:val="00105185"/>
    <w:rsid w:val="0013043D"/>
    <w:rsid w:val="00135589"/>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1FAD"/>
    <w:rsid w:val="001F7AEF"/>
    <w:rsid w:val="00221B62"/>
    <w:rsid w:val="002248BE"/>
    <w:rsid w:val="00233F8D"/>
    <w:rsid w:val="0023703C"/>
    <w:rsid w:val="00247815"/>
    <w:rsid w:val="002506C2"/>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1A98"/>
    <w:rsid w:val="00374148"/>
    <w:rsid w:val="00387525"/>
    <w:rsid w:val="003961BD"/>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244E7"/>
    <w:rsid w:val="00526531"/>
    <w:rsid w:val="00535444"/>
    <w:rsid w:val="0054499E"/>
    <w:rsid w:val="00556FFC"/>
    <w:rsid w:val="00573662"/>
    <w:rsid w:val="0059038D"/>
    <w:rsid w:val="005906C5"/>
    <w:rsid w:val="00592D43"/>
    <w:rsid w:val="00594F7C"/>
    <w:rsid w:val="005A490E"/>
    <w:rsid w:val="005B1561"/>
    <w:rsid w:val="005B1E12"/>
    <w:rsid w:val="005B3CA6"/>
    <w:rsid w:val="005B5E6D"/>
    <w:rsid w:val="005D5BF5"/>
    <w:rsid w:val="005D6A24"/>
    <w:rsid w:val="005E3B41"/>
    <w:rsid w:val="005F03EC"/>
    <w:rsid w:val="005F6D94"/>
    <w:rsid w:val="00601879"/>
    <w:rsid w:val="00620577"/>
    <w:rsid w:val="006205FE"/>
    <w:rsid w:val="006374FD"/>
    <w:rsid w:val="00641B46"/>
    <w:rsid w:val="00650B65"/>
    <w:rsid w:val="0065611A"/>
    <w:rsid w:val="006773A2"/>
    <w:rsid w:val="006916A6"/>
    <w:rsid w:val="00694781"/>
    <w:rsid w:val="006A60A1"/>
    <w:rsid w:val="006B4C17"/>
    <w:rsid w:val="006D1B0A"/>
    <w:rsid w:val="006D36BA"/>
    <w:rsid w:val="006D3A84"/>
    <w:rsid w:val="006E447B"/>
    <w:rsid w:val="006F462C"/>
    <w:rsid w:val="006F4F72"/>
    <w:rsid w:val="006F7DBA"/>
    <w:rsid w:val="00710C1B"/>
    <w:rsid w:val="007162BE"/>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7F58ED"/>
    <w:rsid w:val="00804EC5"/>
    <w:rsid w:val="008113C5"/>
    <w:rsid w:val="0081413D"/>
    <w:rsid w:val="008202EA"/>
    <w:rsid w:val="00826B84"/>
    <w:rsid w:val="00835E29"/>
    <w:rsid w:val="0084049C"/>
    <w:rsid w:val="008463AD"/>
    <w:rsid w:val="008612D6"/>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93C24"/>
    <w:rsid w:val="009A0646"/>
    <w:rsid w:val="009A313A"/>
    <w:rsid w:val="009A76C0"/>
    <w:rsid w:val="009B039F"/>
    <w:rsid w:val="009B2DA1"/>
    <w:rsid w:val="009C1C8F"/>
    <w:rsid w:val="009C4BC1"/>
    <w:rsid w:val="009F00CA"/>
    <w:rsid w:val="00A0190C"/>
    <w:rsid w:val="00A01C4C"/>
    <w:rsid w:val="00A1392C"/>
    <w:rsid w:val="00A13B32"/>
    <w:rsid w:val="00A23590"/>
    <w:rsid w:val="00A34AE6"/>
    <w:rsid w:val="00A425F3"/>
    <w:rsid w:val="00A61779"/>
    <w:rsid w:val="00A62D37"/>
    <w:rsid w:val="00A64237"/>
    <w:rsid w:val="00A74483"/>
    <w:rsid w:val="00A8023A"/>
    <w:rsid w:val="00A93A05"/>
    <w:rsid w:val="00AA53EF"/>
    <w:rsid w:val="00AA5FB9"/>
    <w:rsid w:val="00AB3A16"/>
    <w:rsid w:val="00AD04C0"/>
    <w:rsid w:val="00AD53ED"/>
    <w:rsid w:val="00AF495F"/>
    <w:rsid w:val="00B00CBB"/>
    <w:rsid w:val="00B039B2"/>
    <w:rsid w:val="00B05E50"/>
    <w:rsid w:val="00B06093"/>
    <w:rsid w:val="00B208F3"/>
    <w:rsid w:val="00B23F9C"/>
    <w:rsid w:val="00B26B14"/>
    <w:rsid w:val="00B346C8"/>
    <w:rsid w:val="00B43442"/>
    <w:rsid w:val="00B52C87"/>
    <w:rsid w:val="00B5341E"/>
    <w:rsid w:val="00B55071"/>
    <w:rsid w:val="00B75FB3"/>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175"/>
    <w:rsid w:val="00C71B77"/>
    <w:rsid w:val="00C810B6"/>
    <w:rsid w:val="00C81CEB"/>
    <w:rsid w:val="00C83490"/>
    <w:rsid w:val="00C8378E"/>
    <w:rsid w:val="00C8413E"/>
    <w:rsid w:val="00C87082"/>
    <w:rsid w:val="00CA3170"/>
    <w:rsid w:val="00CA4732"/>
    <w:rsid w:val="00CB0A65"/>
    <w:rsid w:val="00CB68B4"/>
    <w:rsid w:val="00CE102B"/>
    <w:rsid w:val="00CF1CA1"/>
    <w:rsid w:val="00D1700E"/>
    <w:rsid w:val="00D22421"/>
    <w:rsid w:val="00D23316"/>
    <w:rsid w:val="00D2357E"/>
    <w:rsid w:val="00D26793"/>
    <w:rsid w:val="00D268E9"/>
    <w:rsid w:val="00D5742D"/>
    <w:rsid w:val="00D70BB3"/>
    <w:rsid w:val="00D74646"/>
    <w:rsid w:val="00D74CED"/>
    <w:rsid w:val="00D754FF"/>
    <w:rsid w:val="00D874E5"/>
    <w:rsid w:val="00DB08AC"/>
    <w:rsid w:val="00DB24DA"/>
    <w:rsid w:val="00DC3B65"/>
    <w:rsid w:val="00DC655A"/>
    <w:rsid w:val="00DD77FB"/>
    <w:rsid w:val="00DE1D02"/>
    <w:rsid w:val="00DF1050"/>
    <w:rsid w:val="00E121F2"/>
    <w:rsid w:val="00E14001"/>
    <w:rsid w:val="00E27FD6"/>
    <w:rsid w:val="00E32AEC"/>
    <w:rsid w:val="00E32DB4"/>
    <w:rsid w:val="00E35D35"/>
    <w:rsid w:val="00E40025"/>
    <w:rsid w:val="00E40535"/>
    <w:rsid w:val="00E920D4"/>
    <w:rsid w:val="00E92A91"/>
    <w:rsid w:val="00EA49DF"/>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E36"/>
    <w:rsid w:val="00F30F22"/>
    <w:rsid w:val="00F34613"/>
    <w:rsid w:val="00F3725B"/>
    <w:rsid w:val="00F42C3A"/>
    <w:rsid w:val="00F43B76"/>
    <w:rsid w:val="00F66290"/>
    <w:rsid w:val="00F73E3F"/>
    <w:rsid w:val="00F76A94"/>
    <w:rsid w:val="00F82F7C"/>
    <w:rsid w:val="00F90958"/>
    <w:rsid w:val="00F90DD6"/>
    <w:rsid w:val="00F92E0C"/>
    <w:rsid w:val="00F93EC2"/>
    <w:rsid w:val="00FA3CD5"/>
    <w:rsid w:val="00FB424F"/>
    <w:rsid w:val="00FB5AB8"/>
    <w:rsid w:val="00FC7C02"/>
    <w:rsid w:val="00FD7886"/>
    <w:rsid w:val="00FF2B8D"/>
    <w:rsid w:val="069F870E"/>
    <w:rsid w:val="0D846643"/>
    <w:rsid w:val="0F62AD5F"/>
    <w:rsid w:val="0FFFB2FB"/>
    <w:rsid w:val="133753BD"/>
    <w:rsid w:val="1BE1AB23"/>
    <w:rsid w:val="24BEF5FC"/>
    <w:rsid w:val="2574702C"/>
    <w:rsid w:val="260D21CF"/>
    <w:rsid w:val="28D632DE"/>
    <w:rsid w:val="295B085B"/>
    <w:rsid w:val="2B3E1191"/>
    <w:rsid w:val="3045548E"/>
    <w:rsid w:val="30DDD5DA"/>
    <w:rsid w:val="31069525"/>
    <w:rsid w:val="327B19B1"/>
    <w:rsid w:val="336A7F23"/>
    <w:rsid w:val="35C4B24F"/>
    <w:rsid w:val="36CAE6B0"/>
    <w:rsid w:val="39D902ED"/>
    <w:rsid w:val="3C247B4D"/>
    <w:rsid w:val="3C53CDBE"/>
    <w:rsid w:val="3D136AAC"/>
    <w:rsid w:val="4023C2EC"/>
    <w:rsid w:val="41A261F7"/>
    <w:rsid w:val="4675D31A"/>
    <w:rsid w:val="4C0461D5"/>
    <w:rsid w:val="4E67BCA2"/>
    <w:rsid w:val="54F04C83"/>
    <w:rsid w:val="5884A659"/>
    <w:rsid w:val="610D73C0"/>
    <w:rsid w:val="66E5D165"/>
    <w:rsid w:val="6795CC59"/>
    <w:rsid w:val="6881A1C6"/>
    <w:rsid w:val="69580E77"/>
    <w:rsid w:val="6DE251CE"/>
    <w:rsid w:val="6E6683F0"/>
    <w:rsid w:val="6FC1A964"/>
    <w:rsid w:val="70E84958"/>
    <w:rsid w:val="7355ED66"/>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 w:type="paragraph" w:customStyle="1" w:styleId="Bullet1">
    <w:name w:val="Bullet 1"/>
    <w:basedOn w:val="Normal"/>
    <w:rsid w:val="00CE102B"/>
    <w:pPr>
      <w:numPr>
        <w:numId w:val="4"/>
      </w:numPr>
      <w:spacing w:before="120" w:after="120"/>
      <w:jc w:val="both"/>
    </w:pPr>
    <w:rPr>
      <w:rFonts w:eastAsiaTheme="minorHAnsi"/>
      <w:szCs w:val="22"/>
      <w:lang w:eastAsia="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3.xml" Type="http://schemas.openxmlformats.org/officeDocument/2006/relationships/footer"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3594</Words>
  <Characters>2049</Characters>
  <Application>Microsoft Office Word</Application>
  <DocSecurity>0</DocSecurity>
  <Lines>17</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“Baltā grāmata: Kā apgūt Eiropas digitālās infrastruktūras vajadzības?”</dc:title>
  <dc:subject>Informatīvais ziņojums</dc:subject>
  <dc:creator>Satiksmes ministrija</dc:creator>
  <cp:keywords>Satiksmes ministrija</cp:keywords>
  <dc:description>Evita Nagle _x000d_
67028190_x000d_
evita.nagle@sam.gov.lv</dc:description>
  <cp:lastModifiedBy>Evita Nagle</cp:lastModifiedBy>
  <cp:revision>75</cp:revision>
  <cp:lastPrinted>2017-05-18T08:16:00Z</cp:lastPrinted>
  <dcterms:created xsi:type="dcterms:W3CDTF">2022-03-16T13:19:00Z</dcterms:created>
  <dcterms:modified xsi:type="dcterms:W3CDTF">2024-05-14T06:29:00Z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L479491</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https://lim.esvis.gov.lv/cs/idcplg?ClientControlled=DocMan&amp;coreContentOnly=1&amp;WebdavRequest=1&amp;IdcService=DOC_INFO&amp;dID=558393</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“Baltā grāmata: Kā apgūt Eiropas digitālās infrastruktūras vajadzības?”"
</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558393</vt:lpwstr>
  </property>
  <property fmtid="{D5CDD505-2E9C-101B-9397-08002B2CF9AE}" pid="19" name="DISCesvisMainMakerOrgUnitTitle">
    <vt:lpwstr>Eiropas Savienības lietu koordinācijas departaments</vt:lpwstr>
  </property>
  <property fmtid="{D5CDD505-2E9C-101B-9397-08002B2CF9AE}" pid="20" name="DISCesvisAdditionalTutors">
    <vt:lpwstr>sm_madamsons Mārtiņš Adamsons, Vecākā referente Evita Nagle,  Direktore Elīna Šimiņa-Neverovska</vt:lpwstr>
  </property>
  <property fmtid="{D5CDD505-2E9C-101B-9397-08002B2CF9AE}" pid="21" name="DISCesvisAdditionalTutorsMail">
    <vt:lpwstr>martins.adamsons@sam.gov.lv, evita.nagle@sam.gov.lv, Elina.Simina-Neverovska@sam.gov.lv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Aizsardzības ministrija, Iekšlietu ministrija, Izglītības un zinātnes ministrija, Vides aizsardzības un reģionālās attīstības ministrija, Zemkopības ministrija, Finanšu ministrija, Ekonomikas ministrija</vt:lpwstr>
  </property>
</Properties>
</file>