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DCF18" w14:textId="59C4E671" w:rsidR="00D030BF" w:rsidRPr="00685259" w:rsidRDefault="00DF6BF5" w:rsidP="00685259">
      <w:pPr>
        <w:rPr>
          <w:rFonts w:ascii="Cambria" w:hAnsi="Cambria" w:cs="Times New Roman"/>
          <w:b/>
          <w:bCs/>
          <w:sz w:val="28"/>
          <w:szCs w:val="28"/>
        </w:rPr>
      </w:pPr>
      <w:r w:rsidRPr="004D243E">
        <w:rPr>
          <w:rFonts w:ascii="Cambria" w:hAnsi="Cambria"/>
          <w:b/>
          <w:bCs/>
          <w:noProof/>
          <w:szCs w:val="24"/>
        </w:rPr>
        <w:drawing>
          <wp:anchor distT="0" distB="0" distL="114300" distR="114300" simplePos="0" relativeHeight="251632639" behindDoc="0" locked="0" layoutInCell="1" allowOverlap="1" wp14:anchorId="62F2FCF3" wp14:editId="748C2DBD">
            <wp:simplePos x="0" y="0"/>
            <wp:positionH relativeFrom="margin">
              <wp:align>center</wp:align>
            </wp:positionH>
            <wp:positionV relativeFrom="paragraph">
              <wp:posOffset>1542415</wp:posOffset>
            </wp:positionV>
            <wp:extent cx="5734050" cy="3838575"/>
            <wp:effectExtent l="0" t="0" r="0" b="9525"/>
            <wp:wrapNone/>
            <wp:docPr id="1893012540" name="Picture 1893012540"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12540" name="Picture 1893012540" descr="Leaves in front of a blurred forest backgroun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4050" cy="3838575"/>
                    </a:xfrm>
                    <a:prstGeom prst="rect">
                      <a:avLst/>
                    </a:prstGeom>
                  </pic:spPr>
                </pic:pic>
              </a:graphicData>
            </a:graphic>
            <wp14:sizeRelH relativeFrom="page">
              <wp14:pctWidth>0</wp14:pctWidth>
            </wp14:sizeRelH>
            <wp14:sizeRelV relativeFrom="page">
              <wp14:pctHeight>0</wp14:pctHeight>
            </wp14:sizeRelV>
          </wp:anchor>
        </w:drawing>
      </w:r>
      <w:r w:rsidR="00184A42">
        <w:rPr>
          <w:noProof/>
        </w:rPr>
        <mc:AlternateContent>
          <mc:Choice Requires="wps">
            <w:drawing>
              <wp:anchor distT="0" distB="0" distL="114300" distR="114300" simplePos="0" relativeHeight="251659264" behindDoc="0" locked="0" layoutInCell="1" allowOverlap="1" wp14:anchorId="5CDB6751" wp14:editId="052E2E17">
                <wp:simplePos x="0" y="0"/>
                <wp:positionH relativeFrom="margin">
                  <wp:align>center</wp:align>
                </wp:positionH>
                <wp:positionV relativeFrom="paragraph">
                  <wp:posOffset>2275840</wp:posOffset>
                </wp:positionV>
                <wp:extent cx="4251325" cy="254127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035EA" w14:textId="77777777" w:rsidR="00867A14" w:rsidRPr="004C6B75" w:rsidRDefault="00867A14" w:rsidP="00867A14">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CDB6751" id="Rectangle 27" o:spid="_x0000_s1026" style="position:absolute;margin-left:0;margin-top:179.2pt;width:334.75pt;height:200.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WCwIAAGwEAAAOAAAAZHJzL2Uyb0RvYy54bWysVE2P0zAQvSPxHyzf2XywBRQ1XaFdLZcV&#10;rNjlB7iO3Vg4HmO7TfrvGdtJugLEAdGDFXvevHnz7O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Gip&#10;w2tK7rHTgw9RAGsWSFIGWnX3Suu0iU9D3GpHTgwvdX+o4iVihn+J0iZiDcSsHI4nqbHcS+oqnLWI&#10;OG2+CklUh+rrJCS9v0sRxrkwocqhnnUi196U+FuqL7KSlkQYmSXWX7lnggWZSRburHLGx1SRnu+a&#10;XP5NWE5eM1JlMGFNHpQB9ycCjV3NlTN+MSlbE10K035CSPzcQ3d+dGTEeWmp/3FkTlDigr6FPF7M&#10;8B5wunjIxQx8PAaQKt3phWCugU86mTWPX5yZl/uEuvxJ7H4CAAD//wMAUEsDBBQABgAIAAAAIQDi&#10;DYf43wAAAAgBAAAPAAAAZHJzL2Rvd25yZXYueG1sTI9BS8QwFITvgv8hPMGLuKnG1lr7uqggePHg&#10;uojHbBObsM1LabJt119vPOlxmGHmm3q9uJ5NegzWE8LVKgOmqfXKUoewfX++LIGFKEnJ3pNGOOoA&#10;6+b0pJaV8jO96WkTO5ZKKFQSwcQ4VJyH1mgnw8oPmpL35UcnY5Jjx9Uo51Tuen6dZQV30lJaMHLQ&#10;T0a3+83BIbwehXiZLsR+3lrR2W/++fhhPOL52fJwDyzqJf6F4Rc/oUOTmHb+QCqwHiEdiQgiL2+A&#10;Jbso7nJgO4TbvCyANzX/f6D5AQAA//8DAFBLAQItABQABgAIAAAAIQC2gziS/gAAAOEBAAATAAAA&#10;AAAAAAAAAAAAAAAAAABbQ29udGVudF9UeXBlc10ueG1sUEsBAi0AFAAGAAgAAAAhADj9If/WAAAA&#10;lAEAAAsAAAAAAAAAAAAAAAAALwEAAF9yZWxzLy5yZWxzUEsBAi0AFAAGAAgAAAAhAEsNb5YLAgAA&#10;bAQAAA4AAAAAAAAAAAAAAAAALgIAAGRycy9lMm9Eb2MueG1sUEsBAi0AFAAGAAgAAAAhAOINh/jf&#10;AAAACAEAAA8AAAAAAAAAAAAAAAAAZQQAAGRycy9kb3ducmV2LnhtbFBLBQYAAAAABAAEAPMAAABx&#10;BQAAAAA=&#10;" fillcolor="white [3212]" stroked="f" strokeweight="1pt">
                <v:textbox>
                  <w:txbxContent>
                    <w:p w14:paraId="746035EA" w14:textId="77777777" w:rsidR="00867A14" w:rsidRPr="004C6B75" w:rsidRDefault="00867A14" w:rsidP="00867A14">
                      <w:pPr>
                        <w:jc w:val="center"/>
                        <w:rPr>
                          <w:color w:val="000000" w:themeColor="text1"/>
                        </w:rPr>
                      </w:pPr>
                    </w:p>
                  </w:txbxContent>
                </v:textbox>
                <w10:wrap anchorx="margin"/>
              </v:rect>
            </w:pict>
          </mc:Fallback>
        </mc:AlternateContent>
      </w:r>
      <w:r w:rsidR="00BF25B1">
        <w:rPr>
          <w:noProof/>
        </w:rPr>
        <mc:AlternateContent>
          <mc:Choice Requires="wps">
            <w:drawing>
              <wp:anchor distT="0" distB="0" distL="114300" distR="114300" simplePos="0" relativeHeight="251680768" behindDoc="0" locked="0" layoutInCell="1" allowOverlap="1" wp14:anchorId="5C8C0039" wp14:editId="2A1ED84B">
                <wp:simplePos x="0" y="0"/>
                <wp:positionH relativeFrom="page">
                  <wp:align>center</wp:align>
                </wp:positionH>
                <wp:positionV relativeFrom="paragraph">
                  <wp:posOffset>2481580</wp:posOffset>
                </wp:positionV>
                <wp:extent cx="3883025" cy="20777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3025" cy="2077720"/>
                        </a:xfrm>
                        <a:prstGeom prst="rect">
                          <a:avLst/>
                        </a:prstGeom>
                        <a:noFill/>
                        <a:ln w="6350">
                          <a:noFill/>
                        </a:ln>
                      </wps:spPr>
                      <wps:txbx>
                        <w:txbxContent>
                          <w:p w14:paraId="262F600F" w14:textId="620140E0" w:rsidR="00867A14" w:rsidRPr="003D53DF" w:rsidRDefault="00B4537E" w:rsidP="00867A14">
                            <w:pPr>
                              <w:spacing w:after="0"/>
                              <w:jc w:val="center"/>
                              <w:rPr>
                                <w:rFonts w:ascii="Cambria" w:hAnsi="Cambria" w:cs="Times New Roman"/>
                                <w:b/>
                                <w:bCs/>
                                <w:caps/>
                                <w:color w:val="767171" w:themeColor="background2" w:themeShade="80"/>
                                <w:sz w:val="44"/>
                                <w:szCs w:val="44"/>
                              </w:rPr>
                            </w:pPr>
                            <w:r>
                              <w:rPr>
                                <w:rFonts w:ascii="Cambria" w:hAnsi="Cambria" w:cs="Times New Roman"/>
                                <w:b/>
                                <w:bCs/>
                                <w:caps/>
                                <w:color w:val="767171" w:themeColor="background2" w:themeShade="80"/>
                                <w:sz w:val="44"/>
                                <w:szCs w:val="44"/>
                              </w:rPr>
                              <w:t>Informatīvais</w:t>
                            </w:r>
                            <w:r w:rsidRPr="003D53DF">
                              <w:rPr>
                                <w:rFonts w:ascii="Cambria" w:hAnsi="Cambria" w:cs="Times New Roman"/>
                                <w:b/>
                                <w:bCs/>
                                <w:caps/>
                                <w:color w:val="767171" w:themeColor="background2" w:themeShade="80"/>
                                <w:sz w:val="44"/>
                                <w:szCs w:val="44"/>
                              </w:rPr>
                              <w:t xml:space="preserve"> </w:t>
                            </w:r>
                            <w:r w:rsidR="00867A14" w:rsidRPr="003D53DF">
                              <w:rPr>
                                <w:rFonts w:ascii="Cambria" w:hAnsi="Cambria" w:cs="Times New Roman"/>
                                <w:b/>
                                <w:bCs/>
                                <w:caps/>
                                <w:color w:val="767171" w:themeColor="background2" w:themeShade="80"/>
                                <w:sz w:val="44"/>
                                <w:szCs w:val="44"/>
                              </w:rPr>
                              <w:t>ziņojums</w:t>
                            </w:r>
                          </w:p>
                          <w:p w14:paraId="0284F313" w14:textId="77777777" w:rsidR="00867A14" w:rsidRPr="003D53DF" w:rsidRDefault="00867A14" w:rsidP="00867A14">
                            <w:pPr>
                              <w:spacing w:after="0"/>
                              <w:jc w:val="center"/>
                              <w:rPr>
                                <w:rFonts w:ascii="Cambria" w:hAnsi="Cambria" w:cs="Times New Roman"/>
                                <w:b/>
                                <w:bCs/>
                                <w:caps/>
                                <w:color w:val="767171" w:themeColor="background2" w:themeShade="80"/>
                                <w:sz w:val="12"/>
                                <w:szCs w:val="12"/>
                              </w:rPr>
                            </w:pPr>
                            <w:r w:rsidRPr="003D53DF">
                              <w:rPr>
                                <w:rFonts w:ascii="Cambria" w:hAnsi="Cambria" w:cs="Times New Roman"/>
                                <w:b/>
                                <w:bCs/>
                                <w:caps/>
                                <w:color w:val="767171" w:themeColor="background2" w:themeShade="80"/>
                                <w:sz w:val="40"/>
                                <w:szCs w:val="40"/>
                              </w:rPr>
                              <w:t xml:space="preserve"> </w:t>
                            </w:r>
                          </w:p>
                          <w:p w14:paraId="4ABD3EC8" w14:textId="006664B1" w:rsidR="00867A14" w:rsidRPr="008B1E91" w:rsidRDefault="00E619E6" w:rsidP="00E27FB8">
                            <w:pPr>
                              <w:spacing w:after="0"/>
                              <w:jc w:val="center"/>
                              <w:rPr>
                                <w:rFonts w:ascii="Cambria" w:hAnsi="Cambria" w:cs="Times New Roman"/>
                                <w:b/>
                                <w:bCs/>
                                <w:caps/>
                                <w:color w:val="155452"/>
                                <w:sz w:val="36"/>
                                <w:szCs w:val="36"/>
                              </w:rPr>
                            </w:pPr>
                            <w:r>
                              <w:rPr>
                                <w:rFonts w:ascii="Cambria" w:hAnsi="Cambria" w:cs="Times New Roman"/>
                                <w:b/>
                                <w:bCs/>
                                <w:color w:val="000000" w:themeColor="text1"/>
                                <w:sz w:val="32"/>
                                <w:szCs w:val="32"/>
                              </w:rPr>
                              <w:t>P</w:t>
                            </w:r>
                            <w:r w:rsidR="00E27FB8" w:rsidRPr="00E27FB8">
                              <w:rPr>
                                <w:rFonts w:ascii="Cambria" w:hAnsi="Cambria" w:cs="Times New Roman"/>
                                <w:b/>
                                <w:bCs/>
                                <w:color w:val="000000" w:themeColor="text1"/>
                                <w:sz w:val="32"/>
                                <w:szCs w:val="32"/>
                              </w:rPr>
                              <w:t>ar</w:t>
                            </w:r>
                            <w:r>
                              <w:rPr>
                                <w:rFonts w:ascii="Cambria" w:hAnsi="Cambria" w:cs="Times New Roman"/>
                                <w:b/>
                                <w:bCs/>
                                <w:color w:val="000000" w:themeColor="text1"/>
                                <w:sz w:val="32"/>
                                <w:szCs w:val="32"/>
                              </w:rPr>
                              <w:t xml:space="preserve"> risinājumiem elektroenerģijas sistēmas tarifu </w:t>
                            </w:r>
                            <w:r w:rsidR="00E50ABA">
                              <w:rPr>
                                <w:rFonts w:ascii="Cambria" w:hAnsi="Cambria" w:cs="Times New Roman"/>
                                <w:b/>
                                <w:bCs/>
                                <w:color w:val="000000" w:themeColor="text1"/>
                                <w:sz w:val="32"/>
                                <w:szCs w:val="32"/>
                              </w:rPr>
                              <w:t xml:space="preserve">pieauguma </w:t>
                            </w:r>
                            <w:r>
                              <w:rPr>
                                <w:rFonts w:ascii="Cambria" w:hAnsi="Cambria" w:cs="Times New Roman"/>
                                <w:b/>
                                <w:bCs/>
                                <w:color w:val="000000" w:themeColor="text1"/>
                                <w:sz w:val="32"/>
                                <w:szCs w:val="32"/>
                              </w:rPr>
                              <w:t>prognozējamībai, izmaksu pieauguma mazināšanai un elektroenerģijas apakšlietotāju problemātikas risināšanai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039" id="_x0000_t202" coordsize="21600,21600" o:spt="202" path="m,l,21600r21600,l21600,xe">
                <v:stroke joinstyle="miter"/>
                <v:path gradientshapeok="t" o:connecttype="rect"/>
              </v:shapetype>
              <v:shape id="Text Box 23" o:spid="_x0000_s1027" type="#_x0000_t202" style="position:absolute;margin-left:0;margin-top:195.4pt;width:305.75pt;height:163.6pt;z-index:2516807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ytKQIAAE8EAAAOAAAAZHJzL2Uyb0RvYy54bWysVMuO2yAU3VfqPyD2jZ3XJLXijNIZpaoU&#10;zYyUqWZNMMRWMZcCiZ1+fS/YeWjaVdUNBu77nIMX922tyFFYV4HO6XCQUiI0h6LS+5x+f11/mlPi&#10;PNMFU6BFTk/C0fvlxw+LxmRiBCWoQliCSbTLGpPT0nuTJYnjpaiZG4ARGo0SbM08Hu0+KSxrMHut&#10;klGa3iUN2MJY4MI5vH3sjHQZ80spuH+W0glPVE6xNx9XG9ddWJPlgmV7y0xZ8b4N9g9d1KzSWPSS&#10;6pF5Rg62+iNVXXELDqQfcKgTkLLiIs6A0wzTd9NsS2ZEnAXBceYCk/t/afnTcWteLPHtF2iRwDiE&#10;MxvgPxxikzTGZb1PwNRlDr3DoK20dfjiCAQDEdvTBU/ResLxcjyfj9PRlBKOtlE6m81GEfHkGm6s&#10;818F1CRscmqRsNgCO26cDw2w7OwSqmlYV0pF0pQmTU7vxtM0BlwsGKF033nXbGjbt7uWVEWYEKPD&#10;zQ6KEw5uodOEM3xdYQ8b5vwLsygCHAmF7Z9xkQqwFvQ7Skqwv/52H/yRG7RS0qCocup+HpgVlKhv&#10;Gln7PJxMggrjYTINcBB7a9ndWvShfgDU7RCfkOFxG/y9Om+lhfoN9b8KVdHENMfaOeXeng8PvhM7&#10;viAuVqvohsozzG/01vAz4wHj1/aNWdMT4ZHDJzgLkGXv+Oh8O0ZWBw+yimRdce0JQNVGDvsXFp7F&#10;7Tl6Xf8Dy98AAAD//wMAUEsDBBQABgAIAAAAIQCxvVlE4AAAAAgBAAAPAAAAZHJzL2Rvd25yZXYu&#10;eG1sTI/LTsMwEEX3SPyDNUhsUGuHR1tCnApVQsoimxZUiZ0bD3HUeBxsNw1/j1mV5eiO7j2nWE+2&#10;ZyP60DmSkM0FMKTG6Y5aCR/vb7MVsBAVadU7Qgk/GGBdXl8VKtfuTFscd7FlqYRCriSYGIec89AY&#10;tCrM3YCUsi/nrYrp9C3XXp1Tue35vRALblVHacGoATcGm+PuZCWM++pRb0cT/d2mrkR1rL+Xn7WU&#10;tzfT6wuwiFO8PMMffkKHMjEd3Il0YL2EJBIlPDyLJJDiRZY9ATtIWGYrAbws+H+B8hcAAP//AwBQ&#10;SwECLQAUAAYACAAAACEAtoM4kv4AAADhAQAAEwAAAAAAAAAAAAAAAAAAAAAAW0NvbnRlbnRfVHlw&#10;ZXNdLnhtbFBLAQItABQABgAIAAAAIQA4/SH/1gAAAJQBAAALAAAAAAAAAAAAAAAAAC8BAABfcmVs&#10;cy8ucmVsc1BLAQItABQABgAIAAAAIQCudjytKQIAAE8EAAAOAAAAAAAAAAAAAAAAAC4CAABkcnMv&#10;ZTJvRG9jLnhtbFBLAQItABQABgAIAAAAIQCxvVlE4AAAAAgBAAAPAAAAAAAAAAAAAAAAAIMEAABk&#10;cnMvZG93bnJldi54bWxQSwUGAAAAAAQABADzAAAAkAUAAAAA&#10;" filled="f" stroked="f" strokeweight=".5pt">
                <v:textbox>
                  <w:txbxContent>
                    <w:p w14:paraId="262F600F" w14:textId="620140E0" w:rsidR="00867A14" w:rsidRPr="003D53DF" w:rsidRDefault="00B4537E" w:rsidP="00867A14">
                      <w:pPr>
                        <w:spacing w:after="0"/>
                        <w:jc w:val="center"/>
                        <w:rPr>
                          <w:rFonts w:ascii="Cambria" w:hAnsi="Cambria" w:cs="Times New Roman"/>
                          <w:b/>
                          <w:bCs/>
                          <w:caps/>
                          <w:color w:val="767171" w:themeColor="background2" w:themeShade="80"/>
                          <w:sz w:val="44"/>
                          <w:szCs w:val="44"/>
                        </w:rPr>
                      </w:pPr>
                      <w:r>
                        <w:rPr>
                          <w:rFonts w:ascii="Cambria" w:hAnsi="Cambria" w:cs="Times New Roman"/>
                          <w:b/>
                          <w:bCs/>
                          <w:caps/>
                          <w:color w:val="767171" w:themeColor="background2" w:themeShade="80"/>
                          <w:sz w:val="44"/>
                          <w:szCs w:val="44"/>
                        </w:rPr>
                        <w:t>Informatīvais</w:t>
                      </w:r>
                      <w:r w:rsidRPr="003D53DF">
                        <w:rPr>
                          <w:rFonts w:ascii="Cambria" w:hAnsi="Cambria" w:cs="Times New Roman"/>
                          <w:b/>
                          <w:bCs/>
                          <w:caps/>
                          <w:color w:val="767171" w:themeColor="background2" w:themeShade="80"/>
                          <w:sz w:val="44"/>
                          <w:szCs w:val="44"/>
                        </w:rPr>
                        <w:t xml:space="preserve"> </w:t>
                      </w:r>
                      <w:r w:rsidR="00867A14" w:rsidRPr="003D53DF">
                        <w:rPr>
                          <w:rFonts w:ascii="Cambria" w:hAnsi="Cambria" w:cs="Times New Roman"/>
                          <w:b/>
                          <w:bCs/>
                          <w:caps/>
                          <w:color w:val="767171" w:themeColor="background2" w:themeShade="80"/>
                          <w:sz w:val="44"/>
                          <w:szCs w:val="44"/>
                        </w:rPr>
                        <w:t>ziņojums</w:t>
                      </w:r>
                    </w:p>
                    <w:p w14:paraId="0284F313" w14:textId="77777777" w:rsidR="00867A14" w:rsidRPr="003D53DF" w:rsidRDefault="00867A14" w:rsidP="00867A14">
                      <w:pPr>
                        <w:spacing w:after="0"/>
                        <w:jc w:val="center"/>
                        <w:rPr>
                          <w:rFonts w:ascii="Cambria" w:hAnsi="Cambria" w:cs="Times New Roman"/>
                          <w:b/>
                          <w:bCs/>
                          <w:caps/>
                          <w:color w:val="767171" w:themeColor="background2" w:themeShade="80"/>
                          <w:sz w:val="12"/>
                          <w:szCs w:val="12"/>
                        </w:rPr>
                      </w:pPr>
                      <w:r w:rsidRPr="003D53DF">
                        <w:rPr>
                          <w:rFonts w:ascii="Cambria" w:hAnsi="Cambria" w:cs="Times New Roman"/>
                          <w:b/>
                          <w:bCs/>
                          <w:caps/>
                          <w:color w:val="767171" w:themeColor="background2" w:themeShade="80"/>
                          <w:sz w:val="40"/>
                          <w:szCs w:val="40"/>
                        </w:rPr>
                        <w:t xml:space="preserve"> </w:t>
                      </w:r>
                    </w:p>
                    <w:p w14:paraId="4ABD3EC8" w14:textId="006664B1" w:rsidR="00867A14" w:rsidRPr="008B1E91" w:rsidRDefault="00E619E6" w:rsidP="00E27FB8">
                      <w:pPr>
                        <w:spacing w:after="0"/>
                        <w:jc w:val="center"/>
                        <w:rPr>
                          <w:rFonts w:ascii="Cambria" w:hAnsi="Cambria" w:cs="Times New Roman"/>
                          <w:b/>
                          <w:bCs/>
                          <w:caps/>
                          <w:color w:val="155452"/>
                          <w:sz w:val="36"/>
                          <w:szCs w:val="36"/>
                        </w:rPr>
                      </w:pPr>
                      <w:r>
                        <w:rPr>
                          <w:rFonts w:ascii="Cambria" w:hAnsi="Cambria" w:cs="Times New Roman"/>
                          <w:b/>
                          <w:bCs/>
                          <w:color w:val="000000" w:themeColor="text1"/>
                          <w:sz w:val="32"/>
                          <w:szCs w:val="32"/>
                        </w:rPr>
                        <w:t>P</w:t>
                      </w:r>
                      <w:r w:rsidR="00E27FB8" w:rsidRPr="00E27FB8">
                        <w:rPr>
                          <w:rFonts w:ascii="Cambria" w:hAnsi="Cambria" w:cs="Times New Roman"/>
                          <w:b/>
                          <w:bCs/>
                          <w:color w:val="000000" w:themeColor="text1"/>
                          <w:sz w:val="32"/>
                          <w:szCs w:val="32"/>
                        </w:rPr>
                        <w:t>ar</w:t>
                      </w:r>
                      <w:r>
                        <w:rPr>
                          <w:rFonts w:ascii="Cambria" w:hAnsi="Cambria" w:cs="Times New Roman"/>
                          <w:b/>
                          <w:bCs/>
                          <w:color w:val="000000" w:themeColor="text1"/>
                          <w:sz w:val="32"/>
                          <w:szCs w:val="32"/>
                        </w:rPr>
                        <w:t xml:space="preserve"> risinājumiem elektroenerģijas sistēmas tarifu </w:t>
                      </w:r>
                      <w:r w:rsidR="00E50ABA">
                        <w:rPr>
                          <w:rFonts w:ascii="Cambria" w:hAnsi="Cambria" w:cs="Times New Roman"/>
                          <w:b/>
                          <w:bCs/>
                          <w:color w:val="000000" w:themeColor="text1"/>
                          <w:sz w:val="32"/>
                          <w:szCs w:val="32"/>
                        </w:rPr>
                        <w:t xml:space="preserve">pieauguma </w:t>
                      </w:r>
                      <w:r>
                        <w:rPr>
                          <w:rFonts w:ascii="Cambria" w:hAnsi="Cambria" w:cs="Times New Roman"/>
                          <w:b/>
                          <w:bCs/>
                          <w:color w:val="000000" w:themeColor="text1"/>
                          <w:sz w:val="32"/>
                          <w:szCs w:val="32"/>
                        </w:rPr>
                        <w:t>prognozējamībai, izmaksu pieauguma mazināšanai un elektroenerģijas apakšlietotāju problemātikas risināšanai</w:t>
                      </w:r>
                    </w:p>
                  </w:txbxContent>
                </v:textbox>
                <w10:wrap anchorx="page"/>
              </v:shape>
            </w:pict>
          </mc:Fallback>
        </mc:AlternateContent>
      </w:r>
      <w:r w:rsidR="00BF25B1">
        <w:rPr>
          <w:noProof/>
        </w:rPr>
        <mc:AlternateContent>
          <mc:Choice Requires="wps">
            <w:drawing>
              <wp:anchor distT="0" distB="0" distL="114300" distR="114300" simplePos="0" relativeHeight="251633664" behindDoc="0" locked="0" layoutInCell="1" allowOverlap="1" wp14:anchorId="6E4EF177" wp14:editId="1958E191">
                <wp:simplePos x="0" y="0"/>
                <wp:positionH relativeFrom="page">
                  <wp:align>center</wp:align>
                </wp:positionH>
                <wp:positionV relativeFrom="paragraph">
                  <wp:posOffset>2444115</wp:posOffset>
                </wp:positionV>
                <wp:extent cx="5034915" cy="2220595"/>
                <wp:effectExtent l="0" t="0" r="0" b="8255"/>
                <wp:wrapNone/>
                <wp:docPr id="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4915" cy="222059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B5BB8A1" id="Rectangle 15" o:spid="_x0000_s1026" style="position:absolute;margin-left:0;margin-top:192.45pt;width:396.45pt;height:174.85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y66gEAALgDAAAOAAAAZHJzL2Uyb0RvYy54bWysU9uO0zAQfUfiHyy/01xogEZNV6uuFiEt&#10;LNLCB7iOk1g4HjN2m5avZ+x0uxW8IV6sjGfmzJzjk/XNcTTsoNBrsA0vFjlnykpote0b/v3b/ZsP&#10;nPkgbCsMWNXwk/L8ZvP61XpytSphANMqZARifT25hg8huDrLvBzUKPwCnLKU7ABHESjEPmtRTIQ+&#10;mqzM83fZBNg6BKm8p9u7Ock3Cb/rlAyPXedVYKbhtFtIJ6ZzF89ssxZ1j8INWp7XEP+wxSi0paEX&#10;qDsRBNuj/gtq1BLBQxcWEsYMuk5LlTgQmyL/g83TIJxKXEgc7y4y+f8HK78cntxXjKt79wDyh2cW&#10;toOwvbpFhGlQoqVxRRQqm5yvLw0x8NTKdtNnaOlpxT5A0uDY4RgBiR07JqlPF6nVMTBJl1X+drkq&#10;Ks4k5cqyzKtVlWaI+rndoQ8fFYwsfjQc6S0TvDg8+BDXEfVzSVofjG7vtTEpwH63NcgOgt69qKpl&#10;VZ7R/XWZsbHYQmybEeNN4hmpRRf5egftiWgizOYhs9PHAPiLs4mM03D/cy9QcWY+WZJqVSyX0Wkp&#10;WFbvSwrwOrO7zggrCarhMiBnc7ANsz/3DnU/0Kwi0bZwSwJ3OlF/2eu8LtkjKXK2cvTfdZyqXn64&#10;zW8AAAD//wMAUEsDBBQABgAIAAAAIQCHXk0R3wAAAAgBAAAPAAAAZHJzL2Rvd25yZXYueG1sTI/B&#10;TsMwEETvSPyDtUhcEHVoo5KGOBUBQZEQKhQ+wI2XJCJeR7bThr9nOcFtVjOafVOsJ9uLA/rQOVJw&#10;NUtAINXOdNQo+Hh/uMxAhKjJ6N4RKvjGAOvy9KTQuXFHesPDLjaCSyjkWkEb45BLGeoWrQ4zNyCx&#10;9+m81ZFP30jj9ZHLbS/nSbKUVnfEH1o94F2L9ddutAqeH1+3F34b+pfNmA0Oq+o+faqUOj+bbm9A&#10;RJziXxh+8RkdSmbau5FMEL0CHhIVLLJ0BYLt69WcxZ7FIl2CLAv5f0D5AwAA//8DAFBLAQItABQA&#10;BgAIAAAAIQC2gziS/gAAAOEBAAATAAAAAAAAAAAAAAAAAAAAAABbQ29udGVudF9UeXBlc10ueG1s&#10;UEsBAi0AFAAGAAgAAAAhADj9If/WAAAAlAEAAAsAAAAAAAAAAAAAAAAALwEAAF9yZWxzLy5yZWxz&#10;UEsBAi0AFAAGAAgAAAAhACBW3LrqAQAAuAMAAA4AAAAAAAAAAAAAAAAALgIAAGRycy9lMm9Eb2Mu&#10;eG1sUEsBAi0AFAAGAAgAAAAhAIdeTRHfAAAACAEAAA8AAAAAAAAAAAAAAAAARAQAAGRycy9kb3du&#10;cmV2LnhtbFBLBQYAAAAABAAEAPMAAABQBQAAAAA=&#10;" fillcolor="#155452" stroked="f" strokeweight="1pt">
                <w10:wrap anchorx="page"/>
              </v:rect>
            </w:pict>
          </mc:Fallback>
        </mc:AlternateContent>
      </w:r>
      <w:r w:rsidR="00BF25B1" w:rsidRPr="00CF2671">
        <w:rPr>
          <w:rFonts w:ascii="Cambria" w:hAnsi="Cambria" w:cs="Times New Roman"/>
          <w:b/>
          <w:bCs/>
          <w:noProof/>
          <w:sz w:val="28"/>
          <w:szCs w:val="28"/>
        </w:rPr>
        <w:drawing>
          <wp:anchor distT="0" distB="0" distL="114300" distR="114300" simplePos="0" relativeHeight="251738112" behindDoc="0" locked="0" layoutInCell="1" allowOverlap="1" wp14:anchorId="3393AC24" wp14:editId="10132880">
            <wp:simplePos x="0" y="0"/>
            <wp:positionH relativeFrom="page">
              <wp:align>center</wp:align>
            </wp:positionH>
            <wp:positionV relativeFrom="paragraph">
              <wp:posOffset>-377825</wp:posOffset>
            </wp:positionV>
            <wp:extent cx="1631950" cy="797560"/>
            <wp:effectExtent l="0" t="0" r="6350" b="2540"/>
            <wp:wrapNone/>
            <wp:docPr id="24" name="Picture 5">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6CC3084-B76A-4741-A3D0-08B2B5C0F8A9}"/>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7399" r="17796"/>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6EDF">
        <w:rPr>
          <w:noProof/>
        </w:rPr>
        <mc:AlternateContent>
          <mc:Choice Requires="wps">
            <w:drawing>
              <wp:anchor distT="0" distB="0" distL="114300" distR="114300" simplePos="0" relativeHeight="251702272" behindDoc="0" locked="0" layoutInCell="1" allowOverlap="1" wp14:anchorId="190058DC" wp14:editId="74AA60C3">
                <wp:simplePos x="0" y="0"/>
                <wp:positionH relativeFrom="page">
                  <wp:align>center</wp:align>
                </wp:positionH>
                <wp:positionV relativeFrom="paragraph">
                  <wp:posOffset>8814435</wp:posOffset>
                </wp:positionV>
                <wp:extent cx="1460500" cy="427355"/>
                <wp:effectExtent l="0" t="0" r="635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427355"/>
                        </a:xfrm>
                        <a:prstGeom prst="rect">
                          <a:avLst/>
                        </a:prstGeom>
                        <a:solidFill>
                          <a:schemeClr val="lt1"/>
                        </a:solidFill>
                        <a:ln w="6350">
                          <a:noFill/>
                        </a:ln>
                      </wps:spPr>
                      <wps:txbx>
                        <w:txbxContent>
                          <w:p w14:paraId="0D62EE79" w14:textId="0741109B" w:rsidR="00867A14" w:rsidRPr="003D53DF" w:rsidRDefault="007A556B" w:rsidP="00867A14">
                            <w:pPr>
                              <w:jc w:val="center"/>
                              <w:rPr>
                                <w:rFonts w:ascii="Cambria" w:hAnsi="Cambria"/>
                                <w:b/>
                                <w:bCs/>
                                <w:sz w:val="32"/>
                                <w:szCs w:val="32"/>
                              </w:rPr>
                            </w:pPr>
                            <w:r>
                              <w:rPr>
                                <w:rFonts w:ascii="Cambria" w:hAnsi="Cambria"/>
                                <w:b/>
                                <w:bCs/>
                                <w:sz w:val="32"/>
                                <w:szCs w:val="32"/>
                              </w:rPr>
                              <w:t>0</w:t>
                            </w:r>
                            <w:r w:rsidR="00093A9C">
                              <w:rPr>
                                <w:rFonts w:ascii="Cambria" w:hAnsi="Cambria"/>
                                <w:b/>
                                <w:bCs/>
                                <w:sz w:val="32"/>
                                <w:szCs w:val="32"/>
                              </w:rPr>
                              <w:t>5</w:t>
                            </w:r>
                            <w:r w:rsidR="00867A14" w:rsidRPr="003D53DF">
                              <w:rPr>
                                <w:rFonts w:ascii="Cambria" w:hAnsi="Cambria"/>
                                <w:b/>
                                <w:bCs/>
                                <w:sz w:val="32"/>
                                <w:szCs w:val="32"/>
                              </w:rPr>
                              <w:t>.202</w:t>
                            </w:r>
                            <w:r>
                              <w:rPr>
                                <w:rFonts w:ascii="Cambria" w:hAnsi="Cambria"/>
                                <w:b/>
                                <w:bCs/>
                                <w:sz w:val="32"/>
                                <w:szCs w:val="32"/>
                              </w:rPr>
                              <w:t>4</w:t>
                            </w:r>
                            <w:r w:rsidR="00867A14" w:rsidRPr="003D53DF">
                              <w:rPr>
                                <w:rFonts w:ascii="Cambria" w:hAnsi="Cambria"/>
                                <w:b/>
                                <w:bCs/>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90058DC" id="_x0000_t202" coordsize="21600,21600" o:spt="202" path="m,l,21600r21600,l21600,xe">
                <v:stroke joinstyle="miter"/>
                <v:path gradientshapeok="t" o:connecttype="rect"/>
              </v:shapetype>
              <v:shape id="Text Box 26" o:spid="_x0000_s1028" type="#_x0000_t202" style="position:absolute;margin-left:0;margin-top:694.05pt;width:115pt;height:33.65pt;z-index:2517022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tGOgIAAHQEAAAOAAAAZHJzL2Uyb0RvYy54bWysVN1v2yAQf5+0/wHxvthJk3Sz4lRZqkyT&#10;orZSOvWZYEjQMMeAxO7++h3Y+Vi3p2kvGLjj4Pdxnt21tSZH4bwCU9LhIKdEGA6VMruSfnteffhI&#10;iQ/MVEyDESV9FZ7ezd+/mzW2ECPYg66EI1jE+KKxJd2HYIss83wvauYHYIXBoARXs4BLt8sqxxqs&#10;XutslOfTrAFXWQdceI+7912QzlN9KQUPj1J6EYguKb4tpNGlcRvHbD5jxc4xu1e8fwb7h1fUTBm8&#10;9FzqngVGDk79UapW3IEHGQYc6gykVFwkDIhmmL9Bs9kzKxIWJMfbM03+/5XlD8eNfXIktJ+hRQET&#10;CG/XwL975CZrrC/6nMipLzxmR6CtdHX8IgSCB5Hb1zOfog2Ex2rjaT7JMcQxNh7d3kwmkfDscto6&#10;H74IqEmclNShXukF7Lj2oUs9pcTLPGhVrZTWaRE9IpbakSNDdXUY9sV/y9KGNCWd3kzyVNhAPN5V&#10;1qYH2GGK6EK7bYmqSjqKteLOFqpX5MdBZx1v+UrhW9fMhyfm0CsID/0fHnGQGvAu6GeU7MH9/Nt+&#10;zEcJMUpJg94rqf9xYE5Qor8aFPfTcDyOZk2L8eR2hAt3HdleR8yhXgISMMROszxNY37Qp6l0UL9g&#10;myzirRhihuPdJQ2n6TJ0HYFtxsVikZLQnpaFtdlYfrJFVOK5fWHO9nIFFPoBTi5lxRvVutwolYHF&#10;IYBUSdILqz39aO1kir4NY+9cr1PW5Wcx/wUAAP//AwBQSwMEFAAGAAgAAAAhAKs+T5PgAAAACgEA&#10;AA8AAABkcnMvZG93bnJldi54bWxMj81OwzAQhO9IvIO1SFxQ67RpIApxKoT4kXqjKSBubrwkEfE6&#10;it0kvD3LCY77zWh2Jt/OthMjDr51pGC1jEAgVc60VCs4lI+LFIQPmozuHKGCb/SwLc7Pcp0ZN9EL&#10;jvtQCw4hn2kFTQh9JqWvGrTaL12PxNqnG6wOfA61NIOeONx2ch1F19LqlvhDo3u8b7D62p+sgo+r&#10;+n3n56fXKU7i/uF5LG/eTKnU5cV8dwsi4Bz+zPBbn6tDwZ2O7kTGi04BDwlM4zRdgWB9HUeMjow2&#10;SbIBWeTy/4TiBwAA//8DAFBLAQItABQABgAIAAAAIQC2gziS/gAAAOEBAAATAAAAAAAAAAAAAAAA&#10;AAAAAABbQ29udGVudF9UeXBlc10ueG1sUEsBAi0AFAAGAAgAAAAhADj9If/WAAAAlAEAAAsAAAAA&#10;AAAAAAAAAAAALwEAAF9yZWxzLy5yZWxzUEsBAi0AFAAGAAgAAAAhACkO60Y6AgAAdAQAAA4AAAAA&#10;AAAAAAAAAAAALgIAAGRycy9lMm9Eb2MueG1sUEsBAi0AFAAGAAgAAAAhAKs+T5PgAAAACgEAAA8A&#10;AAAAAAAAAAAAAAAAlAQAAGRycy9kb3ducmV2LnhtbFBLBQYAAAAABAAEAPMAAAChBQAAAAA=&#10;" fillcolor="white [3201]" stroked="f" strokeweight=".5pt">
                <v:textbox>
                  <w:txbxContent>
                    <w:p w14:paraId="0D62EE79" w14:textId="0741109B" w:rsidR="00867A14" w:rsidRPr="003D53DF" w:rsidRDefault="007A556B" w:rsidP="00867A14">
                      <w:pPr>
                        <w:jc w:val="center"/>
                        <w:rPr>
                          <w:rFonts w:ascii="Cambria" w:hAnsi="Cambria"/>
                          <w:b/>
                          <w:bCs/>
                          <w:sz w:val="32"/>
                          <w:szCs w:val="32"/>
                        </w:rPr>
                      </w:pPr>
                      <w:r>
                        <w:rPr>
                          <w:rFonts w:ascii="Cambria" w:hAnsi="Cambria"/>
                          <w:b/>
                          <w:bCs/>
                          <w:sz w:val="32"/>
                          <w:szCs w:val="32"/>
                        </w:rPr>
                        <w:t>0</w:t>
                      </w:r>
                      <w:r w:rsidR="00093A9C">
                        <w:rPr>
                          <w:rFonts w:ascii="Cambria" w:hAnsi="Cambria"/>
                          <w:b/>
                          <w:bCs/>
                          <w:sz w:val="32"/>
                          <w:szCs w:val="32"/>
                        </w:rPr>
                        <w:t>5</w:t>
                      </w:r>
                      <w:r w:rsidR="00867A14" w:rsidRPr="003D53DF">
                        <w:rPr>
                          <w:rFonts w:ascii="Cambria" w:hAnsi="Cambria"/>
                          <w:b/>
                          <w:bCs/>
                          <w:sz w:val="32"/>
                          <w:szCs w:val="32"/>
                        </w:rPr>
                        <w:t>.202</w:t>
                      </w:r>
                      <w:r>
                        <w:rPr>
                          <w:rFonts w:ascii="Cambria" w:hAnsi="Cambria"/>
                          <w:b/>
                          <w:bCs/>
                          <w:sz w:val="32"/>
                          <w:szCs w:val="32"/>
                        </w:rPr>
                        <w:t>4</w:t>
                      </w:r>
                      <w:r w:rsidR="00867A14" w:rsidRPr="003D53DF">
                        <w:rPr>
                          <w:rFonts w:ascii="Cambria" w:hAnsi="Cambria"/>
                          <w:b/>
                          <w:bCs/>
                          <w:sz w:val="32"/>
                          <w:szCs w:val="32"/>
                        </w:rPr>
                        <w:t>.</w:t>
                      </w:r>
                    </w:p>
                  </w:txbxContent>
                </v:textbox>
                <w10:wrap anchorx="page"/>
              </v:shape>
            </w:pict>
          </mc:Fallback>
        </mc:AlternateContent>
      </w:r>
      <w:r w:rsidR="00867A14" w:rsidRPr="00112ED4">
        <w:rPr>
          <w:rFonts w:ascii="Cambria" w:hAnsi="Cambria" w:cs="Times New Roman"/>
          <w:b/>
          <w:bCs/>
          <w:sz w:val="28"/>
          <w:szCs w:val="28"/>
        </w:rPr>
        <w:br w:type="page"/>
      </w:r>
    </w:p>
    <w:p w14:paraId="674148FA" w14:textId="4535F6C5" w:rsidR="00DC2FD9" w:rsidRPr="00674FDC" w:rsidRDefault="00525F5F" w:rsidP="001F5F77">
      <w:pPr>
        <w:pStyle w:val="Heading1"/>
      </w:pPr>
      <w:bookmarkStart w:id="0" w:name="_Toc132893646"/>
      <w:r w:rsidRPr="00674FDC">
        <w:lastRenderedPageBreak/>
        <w:t>Kopsavilkums</w:t>
      </w:r>
      <w:bookmarkEnd w:id="0"/>
    </w:p>
    <w:p w14:paraId="29F7DFDB" w14:textId="02A380FD" w:rsidR="000A0031" w:rsidRPr="00674FDC" w:rsidRDefault="000A0031" w:rsidP="00384FBF">
      <w:pPr>
        <w:spacing w:after="120"/>
        <w:jc w:val="both"/>
        <w:rPr>
          <w:rFonts w:ascii="Cambria" w:hAnsi="Cambria" w:cs="Times New Roman"/>
        </w:rPr>
      </w:pPr>
      <w:r w:rsidRPr="00674FDC">
        <w:rPr>
          <w:rFonts w:ascii="Cambria" w:hAnsi="Cambria" w:cs="Times New Roman"/>
        </w:rPr>
        <w:t>S</w:t>
      </w:r>
      <w:r w:rsidR="007A556B">
        <w:rPr>
          <w:rFonts w:ascii="Cambria" w:hAnsi="Cambria" w:cs="Times New Roman"/>
        </w:rPr>
        <w:t>ā</w:t>
      </w:r>
      <w:r w:rsidRPr="00674FDC">
        <w:rPr>
          <w:rFonts w:ascii="Cambria" w:hAnsi="Cambria" w:cs="Times New Roman"/>
        </w:rPr>
        <w:t>kot no 2023.gada 1.jūlija spēkā ir stājušies jaunie</w:t>
      </w:r>
      <w:r w:rsidR="00F56064" w:rsidRPr="00674FDC">
        <w:rPr>
          <w:rFonts w:ascii="Cambria" w:hAnsi="Cambria" w:cs="Times New Roman"/>
        </w:rPr>
        <w:t xml:space="preserve"> elektroenerģijas sadales sistēmas operatora AS “Sadales tīkls”</w:t>
      </w:r>
      <w:r w:rsidR="00C62EF6" w:rsidRPr="00674FDC">
        <w:rPr>
          <w:rFonts w:ascii="Cambria" w:hAnsi="Cambria" w:cs="Times New Roman"/>
        </w:rPr>
        <w:t xml:space="preserve"> sistēmas pakalpojumu tarifi un to struktūra</w:t>
      </w:r>
      <w:r w:rsidR="007F0017" w:rsidRPr="00674FDC">
        <w:rPr>
          <w:rFonts w:ascii="Cambria" w:hAnsi="Cambria" w:cs="Times New Roman"/>
        </w:rPr>
        <w:t>, kā rezultātā AS “Sadales tīkls” piemēro vienlīdzīgu elektroenerģijas sistēmas pakalpojumu gan juridiskām personām, gan mājsaimniecībām. Proti, AS “Sadales tīkls” piedāvātie pakalpojumi vairs neietver īpašu, samazinātu elektroenerģijas sistēmas pakalpojumu tarifu mājsaimniecībām, lai nodrošinātu vienlīdzīgu pieeju sistēmas pakalpojumu izmaksu segšanai visiem elektro</w:t>
      </w:r>
      <w:r w:rsidR="0063239B" w:rsidRPr="00674FDC">
        <w:rPr>
          <w:rFonts w:ascii="Cambria" w:hAnsi="Cambria" w:cs="Times New Roman"/>
        </w:rPr>
        <w:t>enerģijas sistēmas lietotājiem, un novērstu situāciju, kad daļu mājsaimniecību ra</w:t>
      </w:r>
      <w:r w:rsidR="00E44627" w:rsidRPr="00674FDC">
        <w:rPr>
          <w:rFonts w:ascii="Cambria" w:hAnsi="Cambria" w:cs="Times New Roman"/>
        </w:rPr>
        <w:t>dīto elektroenerģijas sistēmas pakalpojumu izmaksu ir jāsedz juridiskajiem lietotājiem.</w:t>
      </w:r>
    </w:p>
    <w:p w14:paraId="60B583A0" w14:textId="54A62AE5" w:rsidR="00E44627" w:rsidRPr="00674FDC" w:rsidRDefault="009F4665" w:rsidP="00384FBF">
      <w:pPr>
        <w:spacing w:after="120"/>
        <w:jc w:val="both"/>
        <w:rPr>
          <w:rFonts w:ascii="Cambria" w:hAnsi="Cambria" w:cs="Times New Roman"/>
        </w:rPr>
      </w:pPr>
      <w:r w:rsidRPr="00674FDC">
        <w:rPr>
          <w:rFonts w:ascii="Cambria" w:hAnsi="Cambria" w:cs="Times New Roman"/>
        </w:rPr>
        <w:t>Lai ierobežotu enerģētiskās nabadzības risku un saprotot, ka elektroenerģijas sistēmas pakalpojumu tarifu pieaugums daudzām mājsaimniecībām rada finansiālas grūtības, Klimata un enerģētikas ministrija</w:t>
      </w:r>
      <w:r w:rsidR="00C6397E" w:rsidRPr="00674FDC">
        <w:rPr>
          <w:rFonts w:ascii="Cambria" w:hAnsi="Cambria" w:cs="Times New Roman"/>
        </w:rPr>
        <w:t xml:space="preserve"> (turpmāk – Ministrija)</w:t>
      </w:r>
      <w:r w:rsidRPr="00674FDC">
        <w:rPr>
          <w:rFonts w:ascii="Cambria" w:hAnsi="Cambria" w:cs="Times New Roman"/>
        </w:rPr>
        <w:t xml:space="preserve"> izstr</w:t>
      </w:r>
      <w:r w:rsidR="00C6397E" w:rsidRPr="00674FDC">
        <w:rPr>
          <w:rFonts w:ascii="Cambria" w:hAnsi="Cambria" w:cs="Times New Roman"/>
        </w:rPr>
        <w:t>ā</w:t>
      </w:r>
      <w:r w:rsidRPr="00674FDC">
        <w:rPr>
          <w:rFonts w:ascii="Cambria" w:hAnsi="Cambria" w:cs="Times New Roman"/>
        </w:rPr>
        <w:t>dāja</w:t>
      </w:r>
      <w:r w:rsidR="00C6397E" w:rsidRPr="00674FDC">
        <w:rPr>
          <w:rFonts w:ascii="Cambria" w:hAnsi="Cambria" w:cs="Times New Roman"/>
        </w:rPr>
        <w:t xml:space="preserve"> un steidzamības kārtā virzīja apstiprināšanai Ministru kabinetā grozījumus Energoresursu cenu ārkārtēja pieauguma samazinājuma pasākumu likumā</w:t>
      </w:r>
      <w:r w:rsidR="008C6135" w:rsidRPr="00674FDC">
        <w:rPr>
          <w:rFonts w:ascii="Cambria" w:hAnsi="Cambria" w:cs="Times New Roman"/>
        </w:rPr>
        <w:t>, kas</w:t>
      </w:r>
      <w:r w:rsidRPr="00674FDC">
        <w:rPr>
          <w:rFonts w:ascii="Cambria" w:hAnsi="Cambria" w:cs="Times New Roman"/>
        </w:rPr>
        <w:t xml:space="preserve"> paredz sistēmas pakalpojumu maksas fiksētās komponentes maksas samazinājumu 60% apmērā</w:t>
      </w:r>
      <w:r w:rsidR="008C6135" w:rsidRPr="00674FDC">
        <w:rPr>
          <w:rFonts w:ascii="Cambria" w:hAnsi="Cambria" w:cs="Times New Roman"/>
        </w:rPr>
        <w:t xml:space="preserve"> mājsaimniecībā</w:t>
      </w:r>
      <w:r w:rsidR="008F1E26">
        <w:rPr>
          <w:rFonts w:ascii="Cambria" w:hAnsi="Cambria" w:cs="Times New Roman"/>
        </w:rPr>
        <w:t>m</w:t>
      </w:r>
      <w:r w:rsidR="008C6135" w:rsidRPr="00674FDC">
        <w:rPr>
          <w:rFonts w:ascii="Cambria" w:hAnsi="Cambria" w:cs="Times New Roman"/>
        </w:rPr>
        <w:t xml:space="preserve"> laikposmā no 2023.gada 1.septembra līdz 2023.gada 31.decembrim.</w:t>
      </w:r>
      <w:r w:rsidR="00110A9F" w:rsidRPr="00674FDC">
        <w:rPr>
          <w:rFonts w:ascii="Cambria" w:hAnsi="Cambria" w:cs="Times New Roman"/>
        </w:rPr>
        <w:t xml:space="preserve"> Pēc likumprojekta pieņemšanas Ministru kabinetā, tas steidzamības kārtā virzīts izskatīšanai Saeimā, kas attiecīgos grozījumus pieņēma 2023.gada 21.septembrī.</w:t>
      </w:r>
    </w:p>
    <w:p w14:paraId="3E08ADDD" w14:textId="55EBD59B" w:rsidR="00110A9F" w:rsidRDefault="00110A9F" w:rsidP="00384FBF">
      <w:pPr>
        <w:spacing w:after="120"/>
        <w:jc w:val="both"/>
        <w:rPr>
          <w:rFonts w:ascii="Cambria" w:hAnsi="Cambria" w:cs="Times New Roman"/>
        </w:rPr>
      </w:pPr>
      <w:r w:rsidRPr="00674FDC">
        <w:rPr>
          <w:rFonts w:ascii="Cambria" w:hAnsi="Cambria" w:cs="Times New Roman"/>
        </w:rPr>
        <w:t>Vienlaikus līdz ar grozījumu</w:t>
      </w:r>
      <w:r w:rsidR="00513DCD" w:rsidRPr="00674FDC">
        <w:rPr>
          <w:rFonts w:ascii="Cambria" w:hAnsi="Cambria" w:cs="Times New Roman"/>
        </w:rPr>
        <w:t xml:space="preserve"> pieņemšanu, saskaņā ar Ministru kabineta 2023.gada 19.septembra sēdes protokol</w:t>
      </w:r>
      <w:r w:rsidR="009C22BE" w:rsidRPr="00674FDC">
        <w:rPr>
          <w:rFonts w:ascii="Cambria" w:hAnsi="Cambria" w:cs="Times New Roman"/>
        </w:rPr>
        <w:t xml:space="preserve">a Nr.46 </w:t>
      </w:r>
      <w:r w:rsidR="00561276" w:rsidRPr="00674FDC">
        <w:rPr>
          <w:rFonts w:ascii="Cambria" w:hAnsi="Cambria" w:cs="Times New Roman"/>
        </w:rPr>
        <w:t xml:space="preserve">16. § noteikto, Ministrijai tika uzdots </w:t>
      </w:r>
      <w:r w:rsidR="00192748" w:rsidRPr="00674FDC">
        <w:rPr>
          <w:rFonts w:ascii="Cambria" w:hAnsi="Cambria" w:cs="Times New Roman"/>
        </w:rPr>
        <w:t>sadarbībā ar iesaistītajām institūcijām izstrādāt un klimata un enerģētikas ministram līdz 2023. gada 1. novembrim iesniegt izskatīšanai Ministru kabinetā informatīvo ziņojumu ar izvērtējumu par to, kādā apmērā un veidā sistēmas pakalpojumu maksas samazinājuma piemērošana būtu turpināma 2024. gadā, kāds ir nepieciešamais finansējums un tā avots.</w:t>
      </w:r>
    </w:p>
    <w:p w14:paraId="43118558" w14:textId="583B3219" w:rsidR="00240EAB" w:rsidRDefault="00240EAB" w:rsidP="00384FBF">
      <w:pPr>
        <w:spacing w:after="120"/>
        <w:jc w:val="both"/>
        <w:rPr>
          <w:rFonts w:ascii="Cambria" w:hAnsi="Cambria" w:cs="Times New Roman"/>
        </w:rPr>
      </w:pPr>
      <w:r>
        <w:rPr>
          <w:rFonts w:ascii="Cambria" w:hAnsi="Cambria" w:cs="Times New Roman"/>
        </w:rPr>
        <w:t xml:space="preserve">Tāpat </w:t>
      </w:r>
      <w:r w:rsidR="00596163">
        <w:rPr>
          <w:rFonts w:ascii="Cambria" w:hAnsi="Cambria" w:cs="Times New Roman"/>
        </w:rPr>
        <w:t>Ministrijai</w:t>
      </w:r>
      <w:r w:rsidR="00F31A9F">
        <w:rPr>
          <w:rFonts w:ascii="Cambria" w:hAnsi="Cambria" w:cs="Times New Roman"/>
        </w:rPr>
        <w:t>,</w:t>
      </w:r>
      <w:r w:rsidR="00C40A8D">
        <w:rPr>
          <w:rFonts w:ascii="Cambria" w:hAnsi="Cambria" w:cs="Times New Roman"/>
        </w:rPr>
        <w:t xml:space="preserve"> saskaņā ar Saeimas Tautsaimniecības</w:t>
      </w:r>
      <w:r w:rsidR="00251ECA">
        <w:rPr>
          <w:rFonts w:ascii="Cambria" w:hAnsi="Cambria" w:cs="Times New Roman"/>
        </w:rPr>
        <w:t xml:space="preserve">, agrārās, vides un reģionālās attīstības komisijas 2023.gada </w:t>
      </w:r>
      <w:r w:rsidR="00276040">
        <w:rPr>
          <w:rFonts w:ascii="Cambria" w:hAnsi="Cambria" w:cs="Times New Roman"/>
        </w:rPr>
        <w:t>21.septembra lēmumā Nr.</w:t>
      </w:r>
      <w:r w:rsidR="00F31A9F" w:rsidRPr="00F31A9F">
        <w:t xml:space="preserve"> </w:t>
      </w:r>
      <w:r w:rsidR="00F31A9F" w:rsidRPr="00F31A9F">
        <w:rPr>
          <w:rFonts w:ascii="Cambria" w:hAnsi="Cambria" w:cs="Times New Roman"/>
        </w:rPr>
        <w:t>142.1.9/8-26-14/23</w:t>
      </w:r>
      <w:r w:rsidR="00F31A9F">
        <w:rPr>
          <w:rFonts w:ascii="Cambria" w:hAnsi="Cambria" w:cs="Times New Roman"/>
        </w:rPr>
        <w:t xml:space="preserve"> noteikto, ir dots uzdevums </w:t>
      </w:r>
      <w:r w:rsidR="00813F37">
        <w:rPr>
          <w:rFonts w:ascii="Cambria" w:hAnsi="Cambria" w:cs="Times New Roman"/>
        </w:rPr>
        <w:t>v</w:t>
      </w:r>
      <w:r w:rsidR="00813F37" w:rsidRPr="00813F37">
        <w:rPr>
          <w:rFonts w:ascii="Cambria" w:hAnsi="Cambria" w:cs="Times New Roman"/>
        </w:rPr>
        <w:t xml:space="preserve">eikt visaptverošu analīzi par AS </w:t>
      </w:r>
      <w:r w:rsidR="00813F37">
        <w:rPr>
          <w:rFonts w:ascii="Cambria" w:hAnsi="Cambria" w:cs="Times New Roman"/>
        </w:rPr>
        <w:t>“</w:t>
      </w:r>
      <w:r w:rsidR="00813F37" w:rsidRPr="00813F37">
        <w:rPr>
          <w:rFonts w:ascii="Cambria" w:hAnsi="Cambria" w:cs="Times New Roman"/>
        </w:rPr>
        <w:t>Augstsprieguma tīkls</w:t>
      </w:r>
      <w:r w:rsidR="00813F37">
        <w:rPr>
          <w:rFonts w:ascii="Cambria" w:hAnsi="Cambria" w:cs="Times New Roman"/>
        </w:rPr>
        <w:t>”</w:t>
      </w:r>
      <w:r w:rsidR="00813F37" w:rsidRPr="00813F37">
        <w:rPr>
          <w:rFonts w:ascii="Cambria" w:hAnsi="Cambria" w:cs="Times New Roman"/>
        </w:rPr>
        <w:t xml:space="preserve"> un AS </w:t>
      </w:r>
      <w:r w:rsidR="00813F37">
        <w:rPr>
          <w:rFonts w:ascii="Cambria" w:hAnsi="Cambria" w:cs="Times New Roman"/>
        </w:rPr>
        <w:t>“</w:t>
      </w:r>
      <w:r w:rsidR="00813F37" w:rsidRPr="00813F37">
        <w:rPr>
          <w:rFonts w:ascii="Cambria" w:hAnsi="Cambria" w:cs="Times New Roman"/>
        </w:rPr>
        <w:t>Sadales tīkls</w:t>
      </w:r>
      <w:r w:rsidR="00813F37">
        <w:rPr>
          <w:rFonts w:ascii="Cambria" w:hAnsi="Cambria" w:cs="Times New Roman"/>
        </w:rPr>
        <w:t>”</w:t>
      </w:r>
      <w:r w:rsidR="00813F37" w:rsidRPr="00813F37">
        <w:rPr>
          <w:rFonts w:ascii="Cambria" w:hAnsi="Cambria" w:cs="Times New Roman"/>
        </w:rPr>
        <w:t xml:space="preserve"> apvienošanu vienā uzņēmumā, kas varētu dot būtiskus ietaupījumus izmaksās un ļautu ilgtermiņā efektīvāk izmantot resursus tīkla attīstībai</w:t>
      </w:r>
      <w:r w:rsidR="00F24A9E">
        <w:rPr>
          <w:rFonts w:ascii="Cambria" w:hAnsi="Cambria" w:cs="Times New Roman"/>
        </w:rPr>
        <w:t>.</w:t>
      </w:r>
    </w:p>
    <w:p w14:paraId="6E5A6CD0" w14:textId="00205235" w:rsidR="00297187" w:rsidRPr="00674FDC" w:rsidRDefault="00297187" w:rsidP="00384FBF">
      <w:pPr>
        <w:spacing w:after="120"/>
        <w:jc w:val="both"/>
        <w:rPr>
          <w:rFonts w:ascii="Cambria" w:hAnsi="Cambria" w:cs="Times New Roman"/>
        </w:rPr>
      </w:pPr>
      <w:r>
        <w:rPr>
          <w:rFonts w:ascii="Cambria" w:hAnsi="Cambria" w:cs="Times New Roman"/>
        </w:rPr>
        <w:t>Papildus attiecīgajiem uzde</w:t>
      </w:r>
      <w:r w:rsidR="00D17EC0">
        <w:rPr>
          <w:rFonts w:ascii="Cambria" w:hAnsi="Cambria" w:cs="Times New Roman"/>
        </w:rPr>
        <w:t>vumiem Ministrija ir identificējusi būtisku normatīvā regulējuma un faktiskās situācija trūkumu</w:t>
      </w:r>
      <w:r w:rsidR="008A1ABF">
        <w:rPr>
          <w:rFonts w:ascii="Cambria" w:hAnsi="Cambria" w:cs="Times New Roman"/>
        </w:rPr>
        <w:t xml:space="preserve"> attiecībā uz elektroenerģijas apakšlietotājiem kas ir mājsaimniecības, kam elektroenerģija tiek piegādāta, balstoties uz juridiskas personas noslēgtu elektroenerģijas tirdzniecības līgumu</w:t>
      </w:r>
      <w:r w:rsidR="004A47F9">
        <w:rPr>
          <w:rFonts w:ascii="Cambria" w:hAnsi="Cambria" w:cs="Times New Roman"/>
        </w:rPr>
        <w:t xml:space="preserve">. Tādējādi apakšlietotājiem nav iespējams </w:t>
      </w:r>
      <w:r w:rsidR="00E53885">
        <w:rPr>
          <w:rFonts w:ascii="Cambria" w:hAnsi="Cambria" w:cs="Times New Roman"/>
        </w:rPr>
        <w:t>izmantot</w:t>
      </w:r>
      <w:r w:rsidR="004A47F9">
        <w:rPr>
          <w:rFonts w:ascii="Cambria" w:hAnsi="Cambria" w:cs="Times New Roman"/>
        </w:rPr>
        <w:t xml:space="preserve"> Eiropas Savienības līme</w:t>
      </w:r>
      <w:r w:rsidR="00E53885">
        <w:rPr>
          <w:rFonts w:ascii="Cambria" w:hAnsi="Cambria" w:cs="Times New Roman"/>
        </w:rPr>
        <w:t>ņa  normatīvajā regulējumā un nacionāla līmeņa tiesību aktos notei</w:t>
      </w:r>
      <w:r w:rsidR="00F81F2C">
        <w:rPr>
          <w:rFonts w:ascii="Cambria" w:hAnsi="Cambria" w:cs="Times New Roman"/>
        </w:rPr>
        <w:t>ktās tiesības brīvi izvēlēties elektroenerģijas tirgotāju un tā piedāvātos līgumus, kā ari brīvi veikt elektroenerģijas tirgotāja vai izvēlētā elektroenerģijas tirdzniecības līguma veidu. Vienlaikus ir identificētas situācijas, kurās atbalsta piešķiršana ap</w:t>
      </w:r>
      <w:r w:rsidR="009A583B">
        <w:rPr>
          <w:rFonts w:ascii="Cambria" w:hAnsi="Cambria" w:cs="Times New Roman"/>
        </w:rPr>
        <w:t xml:space="preserve">akšlietotājiem ir apgrūtināta </w:t>
      </w:r>
      <w:r w:rsidR="008E5763">
        <w:rPr>
          <w:rFonts w:ascii="Cambria" w:hAnsi="Cambria" w:cs="Times New Roman"/>
        </w:rPr>
        <w:t>līgumslēdzēja juridiskās formas dēļ.</w:t>
      </w:r>
    </w:p>
    <w:p w14:paraId="525CC446" w14:textId="3EC1279E" w:rsidR="00192748" w:rsidRPr="00674FDC" w:rsidRDefault="00192748" w:rsidP="00384FBF">
      <w:pPr>
        <w:spacing w:after="120"/>
        <w:jc w:val="both"/>
        <w:rPr>
          <w:rFonts w:ascii="Cambria" w:hAnsi="Cambria" w:cs="Times New Roman"/>
        </w:rPr>
      </w:pPr>
      <w:r w:rsidRPr="00674FDC">
        <w:rPr>
          <w:rFonts w:ascii="Cambria" w:hAnsi="Cambria" w:cs="Times New Roman"/>
        </w:rPr>
        <w:t>Ņemot vērā doto</w:t>
      </w:r>
      <w:r w:rsidR="00F24A9E">
        <w:rPr>
          <w:rFonts w:ascii="Cambria" w:hAnsi="Cambria" w:cs="Times New Roman"/>
        </w:rPr>
        <w:t>s</w:t>
      </w:r>
      <w:r w:rsidRPr="00674FDC">
        <w:rPr>
          <w:rFonts w:ascii="Cambria" w:hAnsi="Cambria" w:cs="Times New Roman"/>
        </w:rPr>
        <w:t xml:space="preserve"> uzdevumu</w:t>
      </w:r>
      <w:r w:rsidR="00F24A9E">
        <w:rPr>
          <w:rFonts w:ascii="Cambria" w:hAnsi="Cambria" w:cs="Times New Roman"/>
        </w:rPr>
        <w:t>s un augstāk minēto informāciju</w:t>
      </w:r>
      <w:r w:rsidRPr="00674FDC">
        <w:rPr>
          <w:rFonts w:ascii="Cambria" w:hAnsi="Cambria" w:cs="Times New Roman"/>
        </w:rPr>
        <w:t xml:space="preserve">, Ministrija ir izstrādājusi informatīvo ziņojumu “Par </w:t>
      </w:r>
      <w:r w:rsidR="00F24A9E" w:rsidRPr="00F24A9E">
        <w:rPr>
          <w:rFonts w:ascii="Cambria" w:hAnsi="Cambria" w:cs="Times New Roman"/>
        </w:rPr>
        <w:t>risinājumiem elektroenerģijas sistēmas tarifu pieauguma prognozējamībai, izmaksu pieauguma mazināšanai un elektroenerģijas apakšlietotāju problemātikas risināšanai</w:t>
      </w:r>
      <w:r w:rsidR="005D49B4" w:rsidRPr="00674FDC">
        <w:rPr>
          <w:rFonts w:ascii="Cambria" w:hAnsi="Cambria" w:cs="Times New Roman"/>
        </w:rPr>
        <w:t>”</w:t>
      </w:r>
      <w:r w:rsidR="008D0EC7">
        <w:rPr>
          <w:rFonts w:ascii="Cambria" w:hAnsi="Cambria" w:cs="Times New Roman"/>
        </w:rPr>
        <w:t>.</w:t>
      </w:r>
    </w:p>
    <w:p w14:paraId="022ECB3E" w14:textId="053E66EC" w:rsidR="00E16165" w:rsidRDefault="00E16165" w:rsidP="00384FBF">
      <w:pPr>
        <w:spacing w:after="120"/>
        <w:jc w:val="both"/>
        <w:rPr>
          <w:rFonts w:ascii="Cambria" w:hAnsi="Cambria" w:cs="Times New Roman"/>
          <w:b/>
          <w:sz w:val="20"/>
          <w:szCs w:val="20"/>
        </w:rPr>
      </w:pPr>
      <w:r>
        <w:rPr>
          <w:rFonts w:ascii="Cambria" w:hAnsi="Cambria" w:cs="Times New Roman"/>
          <w:b/>
          <w:sz w:val="20"/>
          <w:szCs w:val="20"/>
        </w:rPr>
        <w:br w:type="page"/>
      </w:r>
    </w:p>
    <w:p w14:paraId="4B077C12" w14:textId="15DD431A" w:rsidR="002D18AC" w:rsidRPr="00F64B46" w:rsidRDefault="00CD4B4A" w:rsidP="001F5F77">
      <w:pPr>
        <w:pStyle w:val="Heading1"/>
      </w:pPr>
      <w:r w:rsidRPr="00F64B46">
        <w:t xml:space="preserve">1. </w:t>
      </w:r>
      <w:r w:rsidR="00674FDC" w:rsidRPr="00F64B46">
        <w:t>Esošās situācijas raksturojums</w:t>
      </w:r>
    </w:p>
    <w:p w14:paraId="01865353" w14:textId="70D8B963" w:rsidR="00DF7C99" w:rsidRPr="00CD4B4A" w:rsidRDefault="00ED222A" w:rsidP="001F5F77">
      <w:pPr>
        <w:pStyle w:val="Heading1"/>
      </w:pPr>
      <w:r>
        <w:t>1.</w:t>
      </w:r>
      <w:r w:rsidR="00941D1C">
        <w:t>1</w:t>
      </w:r>
      <w:r>
        <w:t xml:space="preserve">. </w:t>
      </w:r>
      <w:r w:rsidR="00DF7C99" w:rsidRPr="00CD4B4A">
        <w:t xml:space="preserve">Elektroenerģijas sistēmas pakalpojumu izmaksu </w:t>
      </w:r>
      <w:r w:rsidR="00941D1C">
        <w:t xml:space="preserve">prognozējamība un </w:t>
      </w:r>
      <w:r w:rsidR="00DF7C99" w:rsidRPr="00CD4B4A">
        <w:t>pieaugums mājsaimniecību lietotājiem</w:t>
      </w:r>
    </w:p>
    <w:p w14:paraId="69464238" w14:textId="0F0F1E05" w:rsidR="005C713A" w:rsidRDefault="00941D1C" w:rsidP="00956FCB">
      <w:pPr>
        <w:spacing w:after="120"/>
        <w:jc w:val="both"/>
        <w:rPr>
          <w:rFonts w:ascii="Cambria" w:hAnsi="Cambria" w:cs="Times New Roman"/>
        </w:rPr>
      </w:pPr>
      <w:bookmarkStart w:id="1" w:name="_Toc132893648"/>
      <w:r w:rsidRPr="00956FCB">
        <w:rPr>
          <w:rFonts w:ascii="Cambria" w:hAnsi="Cambria" w:cs="Times New Roman"/>
        </w:rPr>
        <w:t>No 2023. gada 1. jūlija spēkā stājušies sadales sistēmas operatora AS “Sadales tīkls” (turpmāk - sistēmas operators) sistēmas pakalpojumu tarifi.</w:t>
      </w:r>
      <w:r>
        <w:rPr>
          <w:rFonts w:ascii="Cambria" w:hAnsi="Cambria" w:cs="Times New Roman"/>
        </w:rPr>
        <w:t xml:space="preserve"> </w:t>
      </w:r>
      <w:r w:rsidR="00671047">
        <w:rPr>
          <w:rFonts w:ascii="Cambria" w:hAnsi="Cambria" w:cs="Times New Roman"/>
        </w:rPr>
        <w:t xml:space="preserve">Atbilstoši jaunajam elektroenerģijas sistēmas tarifiem un to struktūrai, sistēmas lietotāju </w:t>
      </w:r>
      <w:r w:rsidR="00BC5EF1" w:rsidRPr="00956FCB">
        <w:rPr>
          <w:rFonts w:ascii="Cambria" w:hAnsi="Cambria" w:cs="Times New Roman"/>
        </w:rPr>
        <w:t xml:space="preserve">tarifs vidēji </w:t>
      </w:r>
      <w:r w:rsidR="00671047">
        <w:rPr>
          <w:rFonts w:ascii="Cambria" w:hAnsi="Cambria" w:cs="Times New Roman"/>
        </w:rPr>
        <w:t xml:space="preserve">ir </w:t>
      </w:r>
      <w:r w:rsidR="00BC5EF1" w:rsidRPr="00956FCB">
        <w:rPr>
          <w:rFonts w:ascii="Cambria" w:hAnsi="Cambria" w:cs="Times New Roman"/>
        </w:rPr>
        <w:t xml:space="preserve">pieaudzis par trešdaļu. Vienlaikus, mājsaimniecību lietotājiem atsevišķos gadījumos pieaugums ir lielāks. 92% mājsaimniecību lietotāju pieaugums ir 5-7 </w:t>
      </w:r>
      <w:r w:rsidR="00195EA4">
        <w:rPr>
          <w:rFonts w:ascii="Cambria" w:hAnsi="Cambria" w:cs="Times New Roman"/>
        </w:rPr>
        <w:t>euro</w:t>
      </w:r>
      <w:r w:rsidR="00BC5EF1" w:rsidRPr="00956FCB">
        <w:rPr>
          <w:rFonts w:ascii="Cambria" w:hAnsi="Cambria" w:cs="Times New Roman"/>
        </w:rPr>
        <w:t xml:space="preserve"> + PVN (t.i. ~10 </w:t>
      </w:r>
      <w:r w:rsidR="00195EA4">
        <w:rPr>
          <w:rFonts w:ascii="Cambria" w:hAnsi="Cambria" w:cs="Times New Roman"/>
        </w:rPr>
        <w:t>euro</w:t>
      </w:r>
      <w:r w:rsidR="00BC5EF1" w:rsidRPr="00956FCB">
        <w:rPr>
          <w:rFonts w:ascii="Cambria" w:hAnsi="Cambria" w:cs="Times New Roman"/>
        </w:rPr>
        <w:t>). Gadījumos, kur patēriņš ir bijis mazs un pieslēguma jauda ir liela, sadales izmaksas pieaugušas būtiski. To nosaka izmaiņas tarifa struktūrā. Izmaiņas tarifu struktūrā veido</w:t>
      </w:r>
    </w:p>
    <w:p w14:paraId="2B73F0CB" w14:textId="77777777" w:rsidR="005C713A" w:rsidRDefault="005C713A" w:rsidP="005C713A">
      <w:pPr>
        <w:pStyle w:val="ListParagraph"/>
        <w:numPr>
          <w:ilvl w:val="0"/>
          <w:numId w:val="32"/>
        </w:numPr>
        <w:spacing w:after="120"/>
        <w:jc w:val="both"/>
        <w:rPr>
          <w:rFonts w:ascii="Cambria" w:hAnsi="Cambria" w:cs="Times New Roman"/>
        </w:rPr>
      </w:pPr>
      <w:r>
        <w:rPr>
          <w:rFonts w:ascii="Cambria" w:hAnsi="Cambria" w:cs="Times New Roman"/>
        </w:rPr>
        <w:t>a</w:t>
      </w:r>
      <w:r w:rsidR="00BC5EF1" w:rsidRPr="005C713A">
        <w:rPr>
          <w:rFonts w:ascii="Cambria" w:hAnsi="Cambria" w:cs="Times New Roman"/>
        </w:rPr>
        <w:t xml:space="preserve">tteikšanās no atšķirīgas pieejas juridisko lietotāju (uzņēmumu) un mājsaimniecības lietotāju tarifu noteikšanā, kas vēsturiski lielāku izmaksu slogu </w:t>
      </w:r>
      <w:r>
        <w:rPr>
          <w:rFonts w:ascii="Cambria" w:hAnsi="Cambria" w:cs="Times New Roman"/>
        </w:rPr>
        <w:t>veidoja</w:t>
      </w:r>
      <w:r w:rsidR="00BC5EF1" w:rsidRPr="005C713A">
        <w:rPr>
          <w:rFonts w:ascii="Cambria" w:hAnsi="Cambria" w:cs="Times New Roman"/>
        </w:rPr>
        <w:t xml:space="preserve"> juridiskajiem lietotājiem</w:t>
      </w:r>
      <w:r>
        <w:rPr>
          <w:rFonts w:ascii="Cambria" w:hAnsi="Cambria" w:cs="Times New Roman"/>
        </w:rPr>
        <w:t>;</w:t>
      </w:r>
    </w:p>
    <w:p w14:paraId="0E3FB71A" w14:textId="3ED934E3" w:rsidR="00956FCB" w:rsidRPr="005C713A" w:rsidRDefault="005C713A" w:rsidP="005C713A">
      <w:pPr>
        <w:pStyle w:val="ListParagraph"/>
        <w:numPr>
          <w:ilvl w:val="0"/>
          <w:numId w:val="32"/>
        </w:numPr>
        <w:spacing w:after="120"/>
        <w:jc w:val="both"/>
        <w:rPr>
          <w:rFonts w:ascii="Cambria" w:hAnsi="Cambria" w:cs="Times New Roman"/>
        </w:rPr>
      </w:pPr>
      <w:r>
        <w:rPr>
          <w:rFonts w:ascii="Cambria" w:hAnsi="Cambria" w:cs="Times New Roman"/>
        </w:rPr>
        <w:t>f</w:t>
      </w:r>
      <w:r w:rsidR="00BC5EF1" w:rsidRPr="005C713A">
        <w:rPr>
          <w:rFonts w:ascii="Cambria" w:hAnsi="Cambria" w:cs="Times New Roman"/>
        </w:rPr>
        <w:t>iksēto un mainīgo izmaksu precīzāka nošķiršana lietotājiem piemērotajos tarifos (ievērojot, ka lielākā daļa sadales sistēmas pakalpojumu veidojo</w:t>
      </w:r>
      <w:r w:rsidR="00176D32">
        <w:rPr>
          <w:rFonts w:ascii="Cambria" w:hAnsi="Cambria" w:cs="Times New Roman"/>
        </w:rPr>
        <w:t>šo</w:t>
      </w:r>
      <w:r w:rsidR="00BC5EF1" w:rsidRPr="005C713A">
        <w:rPr>
          <w:rFonts w:ascii="Cambria" w:hAnsi="Cambria" w:cs="Times New Roman"/>
        </w:rPr>
        <w:t xml:space="preserve"> izmaksu ir fiksētas, tuvinot tarifu struktūru izmaksu struktūrai, pieaug fiksētā maksājuma īpatsvars)</w:t>
      </w:r>
      <w:r w:rsidR="00956FCB" w:rsidRPr="005C713A">
        <w:rPr>
          <w:rFonts w:ascii="Cambria" w:hAnsi="Cambria" w:cs="Times New Roman"/>
        </w:rPr>
        <w:t>.</w:t>
      </w:r>
    </w:p>
    <w:p w14:paraId="5D07D3D7" w14:textId="77777777" w:rsidR="00E23118" w:rsidRDefault="00BC5EF1" w:rsidP="00E23118">
      <w:pPr>
        <w:spacing w:after="120"/>
        <w:jc w:val="both"/>
        <w:rPr>
          <w:rFonts w:ascii="Cambria" w:hAnsi="Cambria" w:cs="Times New Roman"/>
        </w:rPr>
      </w:pPr>
      <w:r w:rsidRPr="00956FCB">
        <w:rPr>
          <w:rFonts w:ascii="Cambria" w:hAnsi="Cambria" w:cs="Times New Roman"/>
        </w:rPr>
        <w:t>Abas minētās tarifa struktūras pārmaiņas atbilst Eiropas Savienības regulējumam un Energoregulatoru sadarbības aģentūras vadlīnijām (t.i. – tarifu diferencēšana pēc tehniskiem rādītājiem, nevis pēc lietotāja juridiskā statusa un pakāpeniska tarifa fiksētās maksas apmēra saskaņošana ar pakalpojuma sniegšanas fiksēto izmaksu apmēru).</w:t>
      </w:r>
    </w:p>
    <w:p w14:paraId="6C7DF5B4" w14:textId="77777777" w:rsidR="00131F42" w:rsidRDefault="00BC5EF1" w:rsidP="00E23118">
      <w:pPr>
        <w:spacing w:after="120"/>
        <w:jc w:val="both"/>
        <w:rPr>
          <w:rFonts w:ascii="Cambria" w:hAnsi="Cambria" w:cs="Times New Roman"/>
        </w:rPr>
      </w:pPr>
      <w:r w:rsidRPr="00E23118">
        <w:rPr>
          <w:rFonts w:ascii="Cambria" w:hAnsi="Cambria" w:cs="Times New Roman"/>
        </w:rPr>
        <w:t>Fiksētās maksājuma daļas īpatsvara pieaugums vairāk ietekmē lietotājus, kuri salīdzinoši lielas jaudas pieslēgumu izmanto mazam patēriņam (skat</w:t>
      </w:r>
      <w:r w:rsidR="004E56BE">
        <w:rPr>
          <w:rFonts w:ascii="Cambria" w:hAnsi="Cambria" w:cs="Times New Roman"/>
        </w:rPr>
        <w:t>īt</w:t>
      </w:r>
      <w:r w:rsidRPr="00E23118">
        <w:rPr>
          <w:rFonts w:ascii="Cambria" w:hAnsi="Cambria" w:cs="Times New Roman"/>
        </w:rPr>
        <w:t xml:space="preserve"> </w:t>
      </w:r>
      <w:r w:rsidR="004E56BE">
        <w:rPr>
          <w:rFonts w:ascii="Cambria" w:hAnsi="Cambria" w:cs="Times New Roman"/>
        </w:rPr>
        <w:t>tabulu Nr.1</w:t>
      </w:r>
      <w:r w:rsidR="00E23118">
        <w:rPr>
          <w:rFonts w:ascii="Cambria" w:hAnsi="Cambria" w:cs="Times New Roman"/>
        </w:rPr>
        <w:t xml:space="preserve">). </w:t>
      </w:r>
      <w:r w:rsidRPr="00E23118">
        <w:rPr>
          <w:rFonts w:ascii="Cambria" w:hAnsi="Cambria" w:cs="Times New Roman"/>
        </w:rPr>
        <w:t>Ievērojot, ka iepriekš lietotājiem nebija ekonomiska stimula rūpīgi izvēlēties sev piemērotākos pieslēguma tehniskos parametrus, bieži jaudas apmēra un patēriņa nesakritība ir nevis lietotāja apzināta izvēle (piemēram, zems patēriņš un augsta jauda var būt vasarnīcā, kur lielāko daļu laika nedzīvo, taču mēnesī, kad tur uzturas, darbina plašu skaitu augstas jaudas ietai</w:t>
      </w:r>
      <w:r w:rsidR="004E56BE">
        <w:rPr>
          <w:rFonts w:ascii="Cambria" w:hAnsi="Cambria" w:cs="Times New Roman"/>
        </w:rPr>
        <w:t>šu</w:t>
      </w:r>
      <w:r w:rsidRPr="00E23118">
        <w:rPr>
          <w:rFonts w:ascii="Cambria" w:hAnsi="Cambria" w:cs="Times New Roman"/>
        </w:rPr>
        <w:t>), bet, gan vēsturiski izveidojusies situācija, kuru līdz jaunā tarifa iestāšanās brīdim, nav bijis ekonomiska pamata pārskatīt.</w:t>
      </w:r>
    </w:p>
    <w:p w14:paraId="4516CB54" w14:textId="77777777" w:rsidR="00131F42" w:rsidRPr="00097891" w:rsidRDefault="00BC5EF1" w:rsidP="00131F42">
      <w:pPr>
        <w:spacing w:after="0"/>
        <w:jc w:val="right"/>
        <w:rPr>
          <w:rFonts w:ascii="Cambria" w:hAnsi="Cambria" w:cs="Times New Roman"/>
          <w:b/>
          <w:bCs/>
        </w:rPr>
      </w:pPr>
      <w:r w:rsidRPr="00E23118">
        <w:rPr>
          <w:rFonts w:ascii="Cambria" w:hAnsi="Cambria" w:cs="Times New Roman"/>
        </w:rPr>
        <w:br/>
      </w:r>
      <w:r w:rsidR="00131F42" w:rsidRPr="00097891">
        <w:rPr>
          <w:rFonts w:ascii="Cambria" w:hAnsi="Cambria" w:cs="Times New Roman"/>
          <w:b/>
          <w:bCs/>
        </w:rPr>
        <w:t>Tabula Nr.1</w:t>
      </w:r>
    </w:p>
    <w:p w14:paraId="726763B7" w14:textId="544B6932" w:rsidR="00BC5EF1" w:rsidRDefault="00BC5EF1" w:rsidP="00131F42">
      <w:pPr>
        <w:spacing w:after="120"/>
        <w:jc w:val="right"/>
        <w:rPr>
          <w:rFonts w:ascii="Cambria" w:hAnsi="Cambria" w:cs="Times New Roman"/>
          <w:i/>
          <w:iCs/>
        </w:rPr>
      </w:pPr>
      <w:r w:rsidRPr="00131F42">
        <w:rPr>
          <w:rFonts w:ascii="Cambria" w:hAnsi="Cambria" w:cs="Times New Roman"/>
          <w:i/>
          <w:iCs/>
        </w:rPr>
        <w:t>Piemērs: Mājsaimniecība ar 100 kWh patēriņu, 3 fāžu un 40 ampēru pieslēgumu</w:t>
      </w:r>
      <w:r w:rsidR="00395705">
        <w:rPr>
          <w:rFonts w:ascii="Cambria" w:hAnsi="Cambria" w:cs="Times New Roman"/>
          <w:i/>
          <w:iCs/>
        </w:rPr>
        <w:t xml:space="preserve">, neieskaitot 60% atbalstu </w:t>
      </w:r>
      <w:r w:rsidR="00DC5323">
        <w:rPr>
          <w:rFonts w:ascii="Cambria" w:hAnsi="Cambria" w:cs="Times New Roman"/>
          <w:i/>
          <w:iCs/>
        </w:rPr>
        <w:t>elektroenerģijas sistēmas tarifa fiksētajai komponentei</w:t>
      </w:r>
    </w:p>
    <w:tbl>
      <w:tblPr>
        <w:tblStyle w:val="TableGrid"/>
        <w:tblW w:w="0" w:type="auto"/>
        <w:tblLook w:val="04A0" w:firstRow="1" w:lastRow="0" w:firstColumn="1" w:lastColumn="0" w:noHBand="0" w:noVBand="1"/>
      </w:tblPr>
      <w:tblGrid>
        <w:gridCol w:w="4106"/>
        <w:gridCol w:w="1559"/>
        <w:gridCol w:w="1560"/>
        <w:gridCol w:w="2403"/>
      </w:tblGrid>
      <w:tr w:rsidR="00E97818" w14:paraId="49964585" w14:textId="77777777" w:rsidTr="00AE5132">
        <w:tc>
          <w:tcPr>
            <w:tcW w:w="4106" w:type="dxa"/>
          </w:tcPr>
          <w:p w14:paraId="6E8C7BC2" w14:textId="77777777" w:rsidR="00E97818" w:rsidRDefault="00E97818" w:rsidP="00131F42">
            <w:pPr>
              <w:spacing w:after="120"/>
              <w:jc w:val="right"/>
              <w:rPr>
                <w:rFonts w:ascii="Cambria" w:hAnsi="Cambria"/>
              </w:rPr>
            </w:pPr>
          </w:p>
        </w:tc>
        <w:tc>
          <w:tcPr>
            <w:tcW w:w="1559" w:type="dxa"/>
          </w:tcPr>
          <w:p w14:paraId="1E74ACDA" w14:textId="01EF0021" w:rsidR="00E97818" w:rsidRDefault="00E97818" w:rsidP="00131F42">
            <w:pPr>
              <w:spacing w:after="120"/>
              <w:jc w:val="right"/>
              <w:rPr>
                <w:rFonts w:ascii="Cambria" w:hAnsi="Cambria"/>
              </w:rPr>
            </w:pPr>
            <w:r w:rsidRPr="00BC5EF1">
              <w:rPr>
                <w:rFonts w:ascii="Cambria" w:hAnsi="Cambria"/>
                <w:lang w:eastAsia="lv-LV"/>
              </w:rPr>
              <w:t>Jaudas maksa (</w:t>
            </w:r>
            <w:r w:rsidR="00195EA4">
              <w:rPr>
                <w:rFonts w:ascii="Cambria" w:hAnsi="Cambria"/>
                <w:lang w:eastAsia="lv-LV"/>
              </w:rPr>
              <w:t>euro</w:t>
            </w:r>
            <w:r w:rsidRPr="00BC5EF1">
              <w:rPr>
                <w:rFonts w:ascii="Cambria" w:hAnsi="Cambria"/>
                <w:lang w:eastAsia="lv-LV"/>
              </w:rPr>
              <w:t>)</w:t>
            </w:r>
          </w:p>
        </w:tc>
        <w:tc>
          <w:tcPr>
            <w:tcW w:w="1560" w:type="dxa"/>
          </w:tcPr>
          <w:p w14:paraId="7D17E5E8" w14:textId="1D66BFAD" w:rsidR="00E97818" w:rsidRDefault="00E97818" w:rsidP="00131F42">
            <w:pPr>
              <w:spacing w:after="120"/>
              <w:jc w:val="right"/>
              <w:rPr>
                <w:rFonts w:ascii="Cambria" w:hAnsi="Cambria"/>
              </w:rPr>
            </w:pPr>
            <w:r w:rsidRPr="00BC5EF1">
              <w:rPr>
                <w:rFonts w:ascii="Cambria" w:hAnsi="Cambria"/>
                <w:lang w:eastAsia="lv-LV"/>
              </w:rPr>
              <w:t>Enerģijas maksa (</w:t>
            </w:r>
            <w:r w:rsidR="00195EA4">
              <w:rPr>
                <w:rFonts w:ascii="Cambria" w:hAnsi="Cambria"/>
                <w:lang w:eastAsia="lv-LV"/>
              </w:rPr>
              <w:t>euro</w:t>
            </w:r>
            <w:r w:rsidRPr="00BC5EF1">
              <w:rPr>
                <w:rFonts w:ascii="Cambria" w:hAnsi="Cambria"/>
                <w:lang w:eastAsia="lv-LV"/>
              </w:rPr>
              <w:t>)</w:t>
            </w:r>
          </w:p>
        </w:tc>
        <w:tc>
          <w:tcPr>
            <w:tcW w:w="2403" w:type="dxa"/>
          </w:tcPr>
          <w:p w14:paraId="18DBF6C3" w14:textId="125A9F8E" w:rsidR="00E97818" w:rsidRDefault="00E97818" w:rsidP="00131F42">
            <w:pPr>
              <w:spacing w:after="120"/>
              <w:jc w:val="right"/>
              <w:rPr>
                <w:rFonts w:ascii="Cambria" w:hAnsi="Cambria"/>
              </w:rPr>
            </w:pPr>
            <w:r w:rsidRPr="00BC5EF1">
              <w:rPr>
                <w:rFonts w:ascii="Cambria" w:hAnsi="Cambria"/>
                <w:lang w:eastAsia="lv-LV"/>
              </w:rPr>
              <w:t>Kopā ar PVN</w:t>
            </w:r>
            <w:r>
              <w:rPr>
                <w:rFonts w:ascii="Cambria" w:hAnsi="Cambria"/>
                <w:lang w:eastAsia="lv-LV"/>
              </w:rPr>
              <w:t xml:space="preserve"> </w:t>
            </w:r>
            <w:r w:rsidRPr="00BC5EF1">
              <w:rPr>
                <w:rFonts w:ascii="Cambria" w:hAnsi="Cambria"/>
                <w:lang w:eastAsia="lv-LV"/>
              </w:rPr>
              <w:t>(</w:t>
            </w:r>
            <w:r w:rsidR="00195EA4">
              <w:rPr>
                <w:rFonts w:ascii="Cambria" w:hAnsi="Cambria"/>
                <w:lang w:eastAsia="lv-LV"/>
              </w:rPr>
              <w:t>euro</w:t>
            </w:r>
            <w:r w:rsidRPr="00BC5EF1">
              <w:rPr>
                <w:rFonts w:ascii="Cambria" w:hAnsi="Cambria"/>
                <w:lang w:eastAsia="lv-LV"/>
              </w:rPr>
              <w:t>)</w:t>
            </w:r>
          </w:p>
        </w:tc>
      </w:tr>
      <w:tr w:rsidR="00E97818" w14:paraId="568F83FB" w14:textId="77777777" w:rsidTr="00AE5132">
        <w:tc>
          <w:tcPr>
            <w:tcW w:w="4106" w:type="dxa"/>
          </w:tcPr>
          <w:p w14:paraId="24F5DF60" w14:textId="2A01B81D" w:rsidR="00E97818" w:rsidRDefault="00E97818" w:rsidP="00131F42">
            <w:pPr>
              <w:spacing w:after="120"/>
              <w:jc w:val="right"/>
              <w:rPr>
                <w:rFonts w:ascii="Cambria" w:hAnsi="Cambria"/>
              </w:rPr>
            </w:pPr>
            <w:r w:rsidRPr="00BC5EF1">
              <w:rPr>
                <w:rFonts w:ascii="Cambria" w:hAnsi="Cambria"/>
                <w:lang w:eastAsia="lv-LV"/>
              </w:rPr>
              <w:t>Ar iepriekšējo tarifu (S2)</w:t>
            </w:r>
            <w:r w:rsidR="00DC5323">
              <w:rPr>
                <w:rStyle w:val="FootnoteReference"/>
                <w:rFonts w:ascii="Cambria" w:hAnsi="Cambria"/>
                <w:lang w:eastAsia="lv-LV"/>
              </w:rPr>
              <w:footnoteReference w:id="1"/>
            </w:r>
          </w:p>
        </w:tc>
        <w:tc>
          <w:tcPr>
            <w:tcW w:w="1559" w:type="dxa"/>
          </w:tcPr>
          <w:p w14:paraId="07873A79" w14:textId="220E9D26" w:rsidR="00E97818" w:rsidRDefault="004F75D3" w:rsidP="00131F42">
            <w:pPr>
              <w:spacing w:after="120"/>
              <w:jc w:val="right"/>
              <w:rPr>
                <w:rFonts w:ascii="Cambria" w:hAnsi="Cambria"/>
              </w:rPr>
            </w:pPr>
            <w:r w:rsidRPr="00BC5EF1">
              <w:rPr>
                <w:rFonts w:ascii="Cambria" w:hAnsi="Cambria"/>
                <w:lang w:eastAsia="lv-LV"/>
              </w:rPr>
              <w:t>8,00</w:t>
            </w:r>
          </w:p>
        </w:tc>
        <w:tc>
          <w:tcPr>
            <w:tcW w:w="1560" w:type="dxa"/>
          </w:tcPr>
          <w:p w14:paraId="69DAEA34" w14:textId="59816BE1" w:rsidR="00E97818" w:rsidRDefault="004F75D3" w:rsidP="00131F42">
            <w:pPr>
              <w:spacing w:after="120"/>
              <w:jc w:val="right"/>
              <w:rPr>
                <w:rFonts w:ascii="Cambria" w:hAnsi="Cambria"/>
              </w:rPr>
            </w:pPr>
            <w:r w:rsidRPr="00BC5EF1">
              <w:rPr>
                <w:rFonts w:ascii="Cambria" w:hAnsi="Cambria"/>
                <w:lang w:eastAsia="lv-LV"/>
              </w:rPr>
              <w:t>4,08</w:t>
            </w:r>
          </w:p>
        </w:tc>
        <w:tc>
          <w:tcPr>
            <w:tcW w:w="2403" w:type="dxa"/>
          </w:tcPr>
          <w:p w14:paraId="0E57BA37" w14:textId="3891EE84" w:rsidR="00E97818" w:rsidRDefault="00AE5132" w:rsidP="00131F42">
            <w:pPr>
              <w:spacing w:after="120"/>
              <w:jc w:val="right"/>
              <w:rPr>
                <w:rFonts w:ascii="Cambria" w:hAnsi="Cambria"/>
              </w:rPr>
            </w:pPr>
            <w:r w:rsidRPr="00BC5EF1">
              <w:rPr>
                <w:rFonts w:ascii="Cambria" w:hAnsi="Cambria"/>
                <w:lang w:eastAsia="lv-LV"/>
              </w:rPr>
              <w:t>12,08 + 2,53 = 14,61</w:t>
            </w:r>
          </w:p>
        </w:tc>
      </w:tr>
      <w:tr w:rsidR="004F75D3" w14:paraId="6E1468AA" w14:textId="77777777" w:rsidTr="00AE5132">
        <w:tc>
          <w:tcPr>
            <w:tcW w:w="4106" w:type="dxa"/>
            <w:vAlign w:val="center"/>
          </w:tcPr>
          <w:p w14:paraId="5AC71045" w14:textId="28DABA0F" w:rsidR="004F75D3" w:rsidRDefault="004F75D3" w:rsidP="004F75D3">
            <w:pPr>
              <w:spacing w:after="120"/>
              <w:jc w:val="right"/>
              <w:rPr>
                <w:rFonts w:ascii="Cambria" w:hAnsi="Cambria"/>
              </w:rPr>
            </w:pPr>
            <w:r w:rsidRPr="00BC5EF1">
              <w:rPr>
                <w:rFonts w:ascii="Cambria" w:hAnsi="Cambria"/>
                <w:lang w:eastAsia="lv-LV"/>
              </w:rPr>
              <w:t>Ar spēkā esošo tarifu (Speciālais - 1)</w:t>
            </w:r>
            <w:r w:rsidR="00DC5323">
              <w:rPr>
                <w:rStyle w:val="FootnoteReference"/>
                <w:rFonts w:ascii="Cambria" w:hAnsi="Cambria"/>
                <w:lang w:eastAsia="lv-LV"/>
              </w:rPr>
              <w:footnoteReference w:id="2"/>
            </w:r>
          </w:p>
        </w:tc>
        <w:tc>
          <w:tcPr>
            <w:tcW w:w="1559" w:type="dxa"/>
          </w:tcPr>
          <w:p w14:paraId="21C809F9" w14:textId="37EE13B1" w:rsidR="004F75D3" w:rsidRDefault="00914CF3" w:rsidP="004F75D3">
            <w:pPr>
              <w:spacing w:after="120"/>
              <w:jc w:val="right"/>
              <w:rPr>
                <w:rFonts w:ascii="Cambria" w:hAnsi="Cambria"/>
              </w:rPr>
            </w:pPr>
            <w:r>
              <w:rPr>
                <w:rFonts w:ascii="Cambria" w:hAnsi="Cambria"/>
                <w:lang w:eastAsia="lv-LV"/>
              </w:rPr>
              <w:t>13,20</w:t>
            </w:r>
          </w:p>
        </w:tc>
        <w:tc>
          <w:tcPr>
            <w:tcW w:w="1560" w:type="dxa"/>
          </w:tcPr>
          <w:p w14:paraId="1233664F" w14:textId="78E7F080" w:rsidR="004F75D3" w:rsidRDefault="004F75D3" w:rsidP="004F75D3">
            <w:pPr>
              <w:spacing w:after="120"/>
              <w:jc w:val="right"/>
              <w:rPr>
                <w:rFonts w:ascii="Cambria" w:hAnsi="Cambria"/>
              </w:rPr>
            </w:pPr>
            <w:r w:rsidRPr="00BC5EF1">
              <w:rPr>
                <w:rFonts w:ascii="Cambria" w:hAnsi="Cambria"/>
                <w:lang w:eastAsia="lv-LV"/>
              </w:rPr>
              <w:t>15,94</w:t>
            </w:r>
          </w:p>
        </w:tc>
        <w:tc>
          <w:tcPr>
            <w:tcW w:w="2403" w:type="dxa"/>
          </w:tcPr>
          <w:p w14:paraId="58E897CD" w14:textId="421DB1AE" w:rsidR="004F75D3" w:rsidRDefault="00914CF3" w:rsidP="004F75D3">
            <w:pPr>
              <w:spacing w:after="120"/>
              <w:jc w:val="right"/>
              <w:rPr>
                <w:rFonts w:ascii="Cambria" w:hAnsi="Cambria"/>
              </w:rPr>
            </w:pPr>
            <w:r>
              <w:rPr>
                <w:rFonts w:ascii="Cambria" w:hAnsi="Cambria"/>
                <w:lang w:eastAsia="lv-LV"/>
              </w:rPr>
              <w:t>29,14</w:t>
            </w:r>
            <w:r w:rsidR="00AE5132" w:rsidRPr="00BC5EF1">
              <w:rPr>
                <w:rFonts w:ascii="Cambria" w:hAnsi="Cambria"/>
                <w:lang w:eastAsia="lv-LV"/>
              </w:rPr>
              <w:t xml:space="preserve"> + 6,</w:t>
            </w:r>
            <w:r>
              <w:rPr>
                <w:rFonts w:ascii="Cambria" w:hAnsi="Cambria"/>
                <w:lang w:eastAsia="lv-LV"/>
              </w:rPr>
              <w:t>12</w:t>
            </w:r>
            <w:r w:rsidR="00AE5132" w:rsidRPr="00BC5EF1">
              <w:rPr>
                <w:rFonts w:ascii="Cambria" w:hAnsi="Cambria"/>
                <w:lang w:eastAsia="lv-LV"/>
              </w:rPr>
              <w:t xml:space="preserve"> = 3</w:t>
            </w:r>
            <w:r>
              <w:rPr>
                <w:rFonts w:ascii="Cambria" w:hAnsi="Cambria"/>
                <w:lang w:eastAsia="lv-LV"/>
              </w:rPr>
              <w:t>5,26</w:t>
            </w:r>
          </w:p>
        </w:tc>
      </w:tr>
      <w:tr w:rsidR="004F75D3" w14:paraId="5A27B3F1" w14:textId="77777777" w:rsidTr="00AE5132">
        <w:tc>
          <w:tcPr>
            <w:tcW w:w="4106" w:type="dxa"/>
          </w:tcPr>
          <w:p w14:paraId="20002FC1" w14:textId="37B2895E" w:rsidR="004F75D3" w:rsidRDefault="004F75D3" w:rsidP="004F75D3">
            <w:pPr>
              <w:spacing w:after="120"/>
              <w:jc w:val="right"/>
              <w:rPr>
                <w:rFonts w:ascii="Cambria" w:hAnsi="Cambria"/>
              </w:rPr>
            </w:pPr>
            <w:r w:rsidRPr="00BC5EF1">
              <w:rPr>
                <w:rFonts w:ascii="Cambria" w:hAnsi="Cambria"/>
                <w:lang w:eastAsia="lv-LV"/>
              </w:rPr>
              <w:t>Ar spēkā esošo tarifu pēc jaudas samazināšanas uz 1 fāzi un 16 ampēriem </w:t>
            </w:r>
            <w:r w:rsidRPr="00BC5EF1">
              <w:rPr>
                <w:rFonts w:ascii="Cambria" w:hAnsi="Cambria"/>
                <w:lang w:eastAsia="lv-LV"/>
              </w:rPr>
              <w:br/>
              <w:t>(Pamata - 1)</w:t>
            </w:r>
            <w:r w:rsidR="00DC5323">
              <w:rPr>
                <w:rStyle w:val="FootnoteReference"/>
                <w:rFonts w:ascii="Cambria" w:hAnsi="Cambria"/>
                <w:lang w:eastAsia="lv-LV"/>
              </w:rPr>
              <w:footnoteReference w:id="3"/>
            </w:r>
          </w:p>
        </w:tc>
        <w:tc>
          <w:tcPr>
            <w:tcW w:w="1559" w:type="dxa"/>
          </w:tcPr>
          <w:p w14:paraId="4234CB77" w14:textId="3D35E598" w:rsidR="004F75D3" w:rsidRDefault="00914CF3" w:rsidP="004F75D3">
            <w:pPr>
              <w:spacing w:after="120"/>
              <w:jc w:val="right"/>
              <w:rPr>
                <w:rFonts w:ascii="Cambria" w:hAnsi="Cambria"/>
              </w:rPr>
            </w:pPr>
            <w:r>
              <w:rPr>
                <w:rFonts w:ascii="Cambria" w:hAnsi="Cambria"/>
                <w:lang w:eastAsia="lv-LV"/>
              </w:rPr>
              <w:t>5,44</w:t>
            </w:r>
          </w:p>
        </w:tc>
        <w:tc>
          <w:tcPr>
            <w:tcW w:w="1560" w:type="dxa"/>
          </w:tcPr>
          <w:p w14:paraId="7E6E7196" w14:textId="24B87447" w:rsidR="004F75D3" w:rsidRDefault="004F75D3" w:rsidP="004F75D3">
            <w:pPr>
              <w:spacing w:after="120"/>
              <w:jc w:val="right"/>
              <w:rPr>
                <w:rFonts w:ascii="Cambria" w:hAnsi="Cambria"/>
              </w:rPr>
            </w:pPr>
            <w:r w:rsidRPr="00BC5EF1">
              <w:rPr>
                <w:rFonts w:ascii="Cambria" w:hAnsi="Cambria"/>
                <w:lang w:eastAsia="lv-LV"/>
              </w:rPr>
              <w:t>3,99</w:t>
            </w:r>
          </w:p>
        </w:tc>
        <w:tc>
          <w:tcPr>
            <w:tcW w:w="2403" w:type="dxa"/>
          </w:tcPr>
          <w:p w14:paraId="6E089421" w14:textId="3AD9A342" w:rsidR="004F75D3" w:rsidRDefault="00914CF3" w:rsidP="004F75D3">
            <w:pPr>
              <w:spacing w:after="120"/>
              <w:jc w:val="right"/>
              <w:rPr>
                <w:rFonts w:ascii="Cambria" w:hAnsi="Cambria"/>
              </w:rPr>
            </w:pPr>
            <w:r>
              <w:rPr>
                <w:rFonts w:ascii="Cambria" w:hAnsi="Cambria"/>
                <w:lang w:eastAsia="lv-LV"/>
              </w:rPr>
              <w:t>9,43</w:t>
            </w:r>
            <w:r w:rsidR="00AE5132" w:rsidRPr="00BC5EF1">
              <w:rPr>
                <w:rFonts w:ascii="Cambria" w:hAnsi="Cambria"/>
                <w:lang w:eastAsia="lv-LV"/>
              </w:rPr>
              <w:t xml:space="preserve"> + </w:t>
            </w:r>
            <w:r>
              <w:rPr>
                <w:rFonts w:ascii="Cambria" w:hAnsi="Cambria"/>
                <w:lang w:eastAsia="lv-LV"/>
              </w:rPr>
              <w:t>1,98</w:t>
            </w:r>
            <w:r w:rsidR="00AE5132" w:rsidRPr="00BC5EF1">
              <w:rPr>
                <w:rFonts w:ascii="Cambria" w:hAnsi="Cambria"/>
                <w:lang w:eastAsia="lv-LV"/>
              </w:rPr>
              <w:t xml:space="preserve"> = 1</w:t>
            </w:r>
            <w:r>
              <w:rPr>
                <w:rFonts w:ascii="Cambria" w:hAnsi="Cambria"/>
                <w:lang w:eastAsia="lv-LV"/>
              </w:rPr>
              <w:t>1,41</w:t>
            </w:r>
          </w:p>
        </w:tc>
      </w:tr>
    </w:tbl>
    <w:p w14:paraId="6611256F" w14:textId="2B33ED36" w:rsidR="00517BE8" w:rsidRPr="00B21988" w:rsidRDefault="00BC5EF1" w:rsidP="008F1E26">
      <w:pPr>
        <w:spacing w:after="120"/>
        <w:jc w:val="both"/>
      </w:pPr>
      <w:r w:rsidRPr="00956FCB">
        <w:rPr>
          <w:rFonts w:ascii="Cambria" w:eastAsia="Times New Roman" w:hAnsi="Cambria" w:cs="Times New Roman"/>
          <w:color w:val="525252"/>
          <w:lang w:eastAsia="lv-LV"/>
        </w:rPr>
        <w:br/>
      </w:r>
      <w:r w:rsidRPr="00176695">
        <w:rPr>
          <w:rFonts w:ascii="Cambria" w:eastAsia="Times New Roman" w:hAnsi="Cambria" w:cs="Times New Roman"/>
          <w:lang w:eastAsia="lv-LV"/>
        </w:rPr>
        <w:t>Saskaņā ar sistēmas operatora izvērtējumu, jaudu samazināšanas gadījumu skaits pieaudzis 20-30 reižu sasniedzot vairāk nekā 6000 gadījumu jūlijā (vidēji mēnesī 200-300 gadījumi). Vienlaikus</w:t>
      </w:r>
      <w:r w:rsidR="002F613B" w:rsidRPr="00176695">
        <w:rPr>
          <w:rFonts w:ascii="Cambria" w:eastAsia="Times New Roman" w:hAnsi="Cambria" w:cs="Times New Roman"/>
          <w:lang w:eastAsia="lv-LV"/>
        </w:rPr>
        <w:t>,</w:t>
      </w:r>
      <w:r w:rsidRPr="00176695">
        <w:rPr>
          <w:rFonts w:ascii="Cambria" w:eastAsia="Times New Roman" w:hAnsi="Cambria" w:cs="Times New Roman"/>
          <w:lang w:eastAsia="lv-LV"/>
        </w:rPr>
        <w:t xml:space="preserve"> vērtējot matemātiski</w:t>
      </w:r>
      <w:r w:rsidR="002F613B" w:rsidRPr="00176695">
        <w:rPr>
          <w:rFonts w:ascii="Cambria" w:eastAsia="Times New Roman" w:hAnsi="Cambria" w:cs="Times New Roman"/>
          <w:lang w:eastAsia="lv-LV"/>
        </w:rPr>
        <w:t>,</w:t>
      </w:r>
      <w:r w:rsidRPr="00176695">
        <w:rPr>
          <w:rFonts w:ascii="Cambria" w:eastAsia="Times New Roman" w:hAnsi="Cambria" w:cs="Times New Roman"/>
          <w:lang w:eastAsia="lv-LV"/>
        </w:rPr>
        <w:t xml:space="preserve"> lietotāju skaits, kuriem būtu </w:t>
      </w:r>
      <w:r w:rsidR="00176695" w:rsidRPr="00176695">
        <w:rPr>
          <w:rFonts w:ascii="Cambria" w:eastAsia="Times New Roman" w:hAnsi="Cambria" w:cs="Times New Roman"/>
          <w:lang w:eastAsia="lv-LV"/>
        </w:rPr>
        <w:t>nepieciešams</w:t>
      </w:r>
      <w:r w:rsidRPr="00176695">
        <w:rPr>
          <w:rFonts w:ascii="Cambria" w:eastAsia="Times New Roman" w:hAnsi="Cambria" w:cs="Times New Roman"/>
          <w:lang w:eastAsia="lv-LV"/>
        </w:rPr>
        <w:t xml:space="preserve"> pārliecināties, vai izvēlētais jaudas apmērs ir optimāls, ir daudz augstāks (ap 570 tūkst. no 990 tūkst. mājsaimniecību lietotāju pieslēgumu)</w:t>
      </w:r>
      <w:r w:rsidR="00176695">
        <w:rPr>
          <w:rFonts w:ascii="Cambria" w:eastAsia="Times New Roman" w:hAnsi="Cambria" w:cs="Times New Roman"/>
          <w:lang w:eastAsia="lv-LV"/>
        </w:rPr>
        <w:t xml:space="preserve">. </w:t>
      </w:r>
      <w:r w:rsidR="00176695">
        <w:rPr>
          <w:rFonts w:ascii="Cambria" w:hAnsi="Cambria" w:cs="Times New Roman"/>
        </w:rPr>
        <w:t>S</w:t>
      </w:r>
      <w:r w:rsidR="00176695" w:rsidRPr="00674FDC">
        <w:rPr>
          <w:rFonts w:ascii="Cambria" w:hAnsi="Cambria" w:cs="Times New Roman"/>
        </w:rPr>
        <w:t xml:space="preserve">aprotot, ka elektroenerģijas sistēmas pakalpojumu tarifu pieaugums daudzām mājsaimniecībām rada finansiālas grūtības, </w:t>
      </w:r>
      <w:r w:rsidR="00176695">
        <w:rPr>
          <w:rFonts w:ascii="Cambria" w:hAnsi="Cambria" w:cs="Times New Roman"/>
        </w:rPr>
        <w:t xml:space="preserve">kā arī lai dotu mājsaimniecību lietotājiem iespēju izvērtēt pieslēguma lielumu un nepieciešamības gadījumā to mazinātu, </w:t>
      </w:r>
      <w:r w:rsidR="00176695" w:rsidRPr="00674FDC">
        <w:rPr>
          <w:rFonts w:ascii="Cambria" w:hAnsi="Cambria" w:cs="Times New Roman"/>
        </w:rPr>
        <w:t>2023.gada 21.septembrī</w:t>
      </w:r>
      <w:r w:rsidR="00176695">
        <w:rPr>
          <w:rFonts w:ascii="Cambria" w:hAnsi="Cambria" w:cs="Times New Roman"/>
        </w:rPr>
        <w:t xml:space="preserve"> tika pieņemti grozījumi Energoresursu cenu ārkārtēja samazinājuma pasākumu likumā, kas paredz </w:t>
      </w:r>
      <w:r w:rsidR="008F1E26" w:rsidRPr="00674FDC">
        <w:rPr>
          <w:rFonts w:ascii="Cambria" w:hAnsi="Cambria" w:cs="Times New Roman"/>
        </w:rPr>
        <w:t>sistēmas pakalpojumu maksas fiksētās komponentes maksas samazinājumu 60% apmērā mājsaimniecībā</w:t>
      </w:r>
      <w:r w:rsidR="008F1E26">
        <w:rPr>
          <w:rFonts w:ascii="Cambria" w:hAnsi="Cambria" w:cs="Times New Roman"/>
        </w:rPr>
        <w:t>m</w:t>
      </w:r>
      <w:r w:rsidR="008F1E26" w:rsidRPr="00674FDC">
        <w:rPr>
          <w:rFonts w:ascii="Cambria" w:hAnsi="Cambria" w:cs="Times New Roman"/>
        </w:rPr>
        <w:t xml:space="preserve"> laikposmā no 2023.gada 1.septembra līdz 2023.gada 31.decembrim</w:t>
      </w:r>
      <w:r w:rsidR="008F1E26">
        <w:rPr>
          <w:rFonts w:ascii="Cambria" w:hAnsi="Cambria" w:cs="Times New Roman"/>
        </w:rPr>
        <w:t>.</w:t>
      </w:r>
      <w:r w:rsidR="005009DB">
        <w:rPr>
          <w:rFonts w:ascii="Cambria" w:hAnsi="Cambria" w:cs="Times New Roman"/>
        </w:rPr>
        <w:t xml:space="preserve"> Ņemot vērā minēto,</w:t>
      </w:r>
      <w:r w:rsidR="00B21988">
        <w:rPr>
          <w:rFonts w:ascii="Cambria" w:hAnsi="Cambria" w:cs="Times New Roman"/>
        </w:rPr>
        <w:t xml:space="preserve"> kā arī lai </w:t>
      </w:r>
      <w:r w:rsidR="00B21988" w:rsidRPr="00D76B37">
        <w:rPr>
          <w:rFonts w:ascii="Cambria" w:hAnsi="Cambria" w:cs="Times New Roman"/>
        </w:rPr>
        <w:t>nodrošinātu</w:t>
      </w:r>
      <w:r w:rsidR="00B21988">
        <w:rPr>
          <w:rFonts w:ascii="Cambria" w:hAnsi="Cambria" w:cs="Times New Roman"/>
        </w:rPr>
        <w:t xml:space="preserve"> pieņemto lēmumu un procesu</w:t>
      </w:r>
      <w:r w:rsidR="00B21988" w:rsidRPr="00D76B37">
        <w:rPr>
          <w:rFonts w:ascii="Cambria" w:hAnsi="Cambria" w:cs="Times New Roman"/>
        </w:rPr>
        <w:t xml:space="preserve"> caurspīdī</w:t>
      </w:r>
      <w:r w:rsidR="00B21988">
        <w:rPr>
          <w:rFonts w:ascii="Cambria" w:hAnsi="Cambria" w:cs="Times New Roman"/>
        </w:rPr>
        <w:t>gumu</w:t>
      </w:r>
      <w:r w:rsidR="00B21988" w:rsidRPr="00D76B37">
        <w:rPr>
          <w:rFonts w:ascii="Cambria" w:hAnsi="Cambria" w:cs="Times New Roman"/>
        </w:rPr>
        <w:t xml:space="preserve"> un paredzamību attiecībā uz sistēmas pakalpojumu tarif</w:t>
      </w:r>
      <w:r w:rsidR="00B21988">
        <w:rPr>
          <w:rFonts w:ascii="Cambria" w:hAnsi="Cambria" w:cs="Times New Roman"/>
        </w:rPr>
        <w:t>u izmaiņām, kā arī</w:t>
      </w:r>
      <w:r w:rsidR="00B21988" w:rsidRPr="00D76B37">
        <w:rPr>
          <w:rFonts w:ascii="Cambria" w:hAnsi="Cambria" w:cs="Times New Roman"/>
        </w:rPr>
        <w:t xml:space="preserve"> sistēmas operatoru investīcijām</w:t>
      </w:r>
      <w:r w:rsidR="00B21988">
        <w:rPr>
          <w:rFonts w:ascii="Cambria" w:hAnsi="Cambria" w:cs="Times New Roman"/>
        </w:rPr>
        <w:t xml:space="preserve">, </w:t>
      </w:r>
      <w:r w:rsidR="007A556B">
        <w:rPr>
          <w:rFonts w:ascii="Cambria" w:hAnsi="Cambria" w:cs="Times New Roman"/>
        </w:rPr>
        <w:t>tika</w:t>
      </w:r>
      <w:r w:rsidR="00B21988">
        <w:rPr>
          <w:rFonts w:ascii="Cambria" w:hAnsi="Cambria" w:cs="Times New Roman"/>
        </w:rPr>
        <w:t xml:space="preserve"> identificēta virkne grozījumu, kas veicami tiesību aktos, kas nosaka elektroenerģijas sistēmas tarifu projektu izvērtēšanas un apstiprināšanas kārtību, proti, </w:t>
      </w:r>
      <w:r w:rsidR="007A556B">
        <w:rPr>
          <w:rFonts w:ascii="Cambria" w:hAnsi="Cambria" w:cs="Times New Roman"/>
        </w:rPr>
        <w:t>tika identificēta nepieciešamība veikt grozījumus</w:t>
      </w:r>
      <w:r w:rsidR="00B21988">
        <w:rPr>
          <w:rFonts w:ascii="Cambria" w:hAnsi="Cambria" w:cs="Times New Roman"/>
        </w:rPr>
        <w:t xml:space="preserve"> spēkā esošajā Elektroenerģijas tirgus likumā, Enerģētikas likumā un Likumā par sabiedrisko pakalpojumu regulatoriem, kas skaidrotas informatīvā ziņojuma 2.nodaļā.</w:t>
      </w:r>
    </w:p>
    <w:p w14:paraId="1764843A" w14:textId="6434BCE9" w:rsidR="00517BE8" w:rsidRPr="00F64B46" w:rsidRDefault="0028587A" w:rsidP="001F5F77">
      <w:pPr>
        <w:pStyle w:val="Heading1"/>
      </w:pPr>
      <w:r>
        <w:t>1</w:t>
      </w:r>
      <w:r w:rsidR="00F64B46" w:rsidRPr="00F64B46">
        <w:t>.</w:t>
      </w:r>
      <w:r w:rsidR="00B21988">
        <w:t>2</w:t>
      </w:r>
      <w:r w:rsidR="00F64B46" w:rsidRPr="00F64B46">
        <w:t>. Atbalsts elektroenerģijas sistēmas pakalpojumu izmaksu pieauguma mazināšanai elektroenerģijas apakšlietotājiem</w:t>
      </w:r>
    </w:p>
    <w:p w14:paraId="62E3465A" w14:textId="6586EBE0" w:rsidR="003815E0" w:rsidRPr="003815E0" w:rsidRDefault="003815E0" w:rsidP="003815E0">
      <w:pPr>
        <w:spacing w:after="120"/>
        <w:jc w:val="both"/>
        <w:rPr>
          <w:rFonts w:ascii="Cambria" w:hAnsi="Cambria" w:cs="Times New Roman"/>
        </w:rPr>
      </w:pPr>
      <w:r>
        <w:rPr>
          <w:rFonts w:ascii="Cambria" w:hAnsi="Cambria" w:cs="Times New Roman"/>
        </w:rPr>
        <w:t>Saskaņā ar 2023.gada 21.septembrī pieņemtajiem grozījumiem energoresursu cenu ārkārtēja pieauguma samazinājuma pasākumu likumā</w:t>
      </w:r>
      <w:r w:rsidR="003C7C18">
        <w:rPr>
          <w:rFonts w:ascii="Cambria" w:hAnsi="Cambria" w:cs="Times New Roman"/>
        </w:rPr>
        <w:t xml:space="preserve"> noteikto </w:t>
      </w:r>
      <w:r w:rsidRPr="003815E0">
        <w:rPr>
          <w:rFonts w:ascii="Cambria" w:hAnsi="Cambria" w:cs="Times New Roman"/>
        </w:rPr>
        <w:t xml:space="preserve">elektroenerģijas sadales sistēmas operators, kura sistēmai ir pieslēgti vairāk par simt tūkstošiem lietotāju, laikposmā no 2023. gada 1. septembra līdz 2023. gada 31. decembrim fizisko personu elektroenerģijas sadales sistēmas pieslēgumiem ar spriegumu līdz 0,4 kilovoltiem piemēro elektroenerģijas sistēmas pakalpojuma maksas samazinājumu par jaudas uzturēšanu 60 procentu apmērā, ieskaitot pievienotās vērtības nodokli (turpmāk – atbalsts). Elektroenerģijas sadales sistēmas operatora negūtie sistēmas pakalpojuma maksas ieņēmumi ar pievienotās vērtības nodokli tiek kompensēti pilnā apmērā no valsts budžeta līdzekļiem. </w:t>
      </w:r>
      <w:r w:rsidR="00622824">
        <w:rPr>
          <w:rFonts w:ascii="Cambria" w:hAnsi="Cambria" w:cs="Times New Roman"/>
        </w:rPr>
        <w:t>Attiecīg</w:t>
      </w:r>
      <w:r w:rsidR="005A55DD">
        <w:rPr>
          <w:rFonts w:ascii="Cambria" w:hAnsi="Cambria" w:cs="Times New Roman"/>
        </w:rPr>
        <w:t>ais atbalsts tiek piemērots automātiski, un tas</w:t>
      </w:r>
      <w:r w:rsidRPr="003815E0">
        <w:rPr>
          <w:rFonts w:ascii="Cambria" w:hAnsi="Cambria" w:cs="Times New Roman"/>
        </w:rPr>
        <w:t xml:space="preserve"> ietekmē gandrīz 1 000 000 sadales sistēmai pieslēgto objektu, un tā sekmīgai nodrošināšanai ir būtiska sistēmas operatora un elektroenerģijas tirgotāju cieša sadarbība.</w:t>
      </w:r>
    </w:p>
    <w:p w14:paraId="061DA75E" w14:textId="48AC7039" w:rsidR="003815E0" w:rsidRDefault="003815E0" w:rsidP="003815E0">
      <w:pPr>
        <w:spacing w:after="120"/>
        <w:jc w:val="both"/>
        <w:rPr>
          <w:rFonts w:ascii="Cambria" w:hAnsi="Cambria" w:cs="Times New Roman"/>
        </w:rPr>
      </w:pPr>
      <w:r w:rsidRPr="003815E0">
        <w:rPr>
          <w:rFonts w:ascii="Cambria" w:hAnsi="Cambria" w:cs="Times New Roman"/>
        </w:rPr>
        <w:t xml:space="preserve">Enerģētikas normatīvajos aktos tiek lietoti dažādi jēdzieni - fiziskas personas, mājsaimniecības, iedzīvotāji, enerģijas lietotāji, galalietotāji, apakšlietotāji. Šiem jēdzieniem enerģētikas normatīvajos aktos ir specifisks konteksts, kas palīdz raksturot katra no šiem jēdzieniem izmantošanu juridiska rakstura jautājumu risināšanā. Tomēr vienlaikus dažādo jēdzienu izmantošana, vienkopus ar šo latviešu valodā pastāvošo vārdu nozīmes līdzību rada pārpratumus likumu praktiskā piemērošanā. </w:t>
      </w:r>
      <w:r w:rsidR="003D2E99">
        <w:rPr>
          <w:rFonts w:ascii="Cambria" w:hAnsi="Cambria" w:cs="Times New Roman"/>
        </w:rPr>
        <w:t xml:space="preserve">Energoresursu </w:t>
      </w:r>
      <w:r w:rsidR="00AC1274">
        <w:rPr>
          <w:rFonts w:ascii="Cambria" w:hAnsi="Cambria" w:cs="Times New Roman"/>
        </w:rPr>
        <w:t>cenu ārkārtēja pieauguma samazinājuma pasākumu likumā</w:t>
      </w:r>
      <w:r w:rsidRPr="003815E0">
        <w:rPr>
          <w:rFonts w:ascii="Cambria" w:hAnsi="Cambria" w:cs="Times New Roman"/>
        </w:rPr>
        <w:t xml:space="preserve"> </w:t>
      </w:r>
      <w:r w:rsidR="00AC1274">
        <w:rPr>
          <w:rFonts w:ascii="Cambria" w:hAnsi="Cambria" w:cs="Times New Roman"/>
        </w:rPr>
        <w:t>noteiktais atbalsts</w:t>
      </w:r>
      <w:r w:rsidR="001E1546">
        <w:rPr>
          <w:rFonts w:ascii="Cambria" w:hAnsi="Cambria" w:cs="Times New Roman"/>
        </w:rPr>
        <w:t xml:space="preserve">, balstoties uz teleoloģisko likuma normas skaidrojumu, būtu </w:t>
      </w:r>
      <w:r w:rsidRPr="003815E0">
        <w:rPr>
          <w:rFonts w:ascii="Cambria" w:hAnsi="Cambria" w:cs="Times New Roman"/>
        </w:rPr>
        <w:t>piemērojams plašam elektroenerģijas galalietotāju lokam, tas ir, visām Latvijas mājsaimniecībām</w:t>
      </w:r>
      <w:r w:rsidR="00941AAE">
        <w:rPr>
          <w:rFonts w:ascii="Cambria" w:hAnsi="Cambria" w:cs="Times New Roman"/>
        </w:rPr>
        <w:t>, proti, atbalsts būtu</w:t>
      </w:r>
      <w:r w:rsidRPr="003815E0">
        <w:rPr>
          <w:rFonts w:ascii="Cambria" w:hAnsi="Cambria" w:cs="Times New Roman"/>
        </w:rPr>
        <w:t xml:space="preserve"> piemēro</w:t>
      </w:r>
      <w:r w:rsidR="00941AAE">
        <w:rPr>
          <w:rFonts w:ascii="Cambria" w:hAnsi="Cambria" w:cs="Times New Roman"/>
        </w:rPr>
        <w:t>jams</w:t>
      </w:r>
      <w:r w:rsidRPr="003815E0">
        <w:rPr>
          <w:rFonts w:ascii="Cambria" w:hAnsi="Cambria" w:cs="Times New Roman"/>
        </w:rPr>
        <w:t xml:space="preserve"> ne tikai fizisko personu tiešajiem elektroenerģijas sadales sistēmas pieslēgumiem, bet arī lietotāju grupai – juridiskām personām, kuru pieslēgums tiek izmantots fizisko personu (mājsaimniecību) elektroapgādes nodrošināšanai</w:t>
      </w:r>
      <w:r w:rsidR="001743DF">
        <w:rPr>
          <w:rFonts w:ascii="Cambria" w:hAnsi="Cambria" w:cs="Times New Roman"/>
        </w:rPr>
        <w:t xml:space="preserve">. </w:t>
      </w:r>
      <w:r w:rsidRPr="003815E0">
        <w:rPr>
          <w:rFonts w:ascii="Cambria" w:hAnsi="Cambria" w:cs="Times New Roman"/>
        </w:rPr>
        <w:t>Atbilstoši AS “Sadales tīkls” rīcībā esošajai informācijai uz 2023. gada 30. jūniju, aptuveni 37 tūkstošiem juridisko personu objektiem tika piemērots mājsaimniecības tarifs, pamatojoties uz to, ka atbilstoši sistēmas lietotāja sniegtajai informācijai, faktiskie sistēmas pakalpojuma saņēmēji (elektroenerģijas galalietotāji) attiecīgajos objektos bija mājsaimniecības lietotāji, tostarp kā daudzdzīvokļu ēku koplietošanas elektroenerģijas patērētāji (liftu, cirkulācijas sūkņu, iekšējā apgaismojuma u.c. vajadzībām). Šādi objekti, piemēram, ir daudzdzīvokļu ēkas, sociālās ēkas, kopmītnes un līdzīgi objekti, kurus pārvalda juridiskas personas, piemēram, daudzdzīvokļu namu pārvaldnieki, bet pakalpojumu saņem fiziskas personas (mājsaimniecības lietotāji).</w:t>
      </w:r>
    </w:p>
    <w:p w14:paraId="0AF4F2E9" w14:textId="2008F9F2" w:rsidR="008B1E20" w:rsidRDefault="008B1E20" w:rsidP="003815E0">
      <w:pPr>
        <w:spacing w:after="120"/>
        <w:jc w:val="both"/>
        <w:rPr>
          <w:rFonts w:ascii="Cambria" w:hAnsi="Cambria" w:cs="Times New Roman"/>
        </w:rPr>
      </w:pPr>
      <w:r>
        <w:rPr>
          <w:rFonts w:ascii="Cambria" w:hAnsi="Cambria" w:cs="Times New Roman"/>
        </w:rPr>
        <w:t xml:space="preserve">Ņemot vērā minēto, kā arī, lai nodrošinātu Energoresursu cenu ārkārtēja pieauguma samazinājumu pasākumu likumā noteikto atbalstu visām mājsaimniecībām, t.sk., mājsaimniecībām, </w:t>
      </w:r>
      <w:r w:rsidR="005B411C">
        <w:rPr>
          <w:rFonts w:ascii="Cambria" w:hAnsi="Cambria" w:cs="Times New Roman"/>
        </w:rPr>
        <w:t>kurām</w:t>
      </w:r>
      <w:r w:rsidR="00D1029F">
        <w:rPr>
          <w:rFonts w:ascii="Cambria" w:hAnsi="Cambria" w:cs="Times New Roman"/>
        </w:rPr>
        <w:t xml:space="preserve"> elektroenerģija tiek piegādāta, balstoties uz juridiskas personas noslēgtu elektroenerģijas tirdzniecības līgumu</w:t>
      </w:r>
      <w:r w:rsidR="005B411C">
        <w:rPr>
          <w:rFonts w:ascii="Cambria" w:hAnsi="Cambria" w:cs="Times New Roman"/>
        </w:rPr>
        <w:t xml:space="preserve">, Ministrija sniedza AS “Sadales tīkls” skaidrojumu, ka atbalstu </w:t>
      </w:r>
      <w:r w:rsidR="007F6D16">
        <w:rPr>
          <w:rFonts w:ascii="Cambria" w:hAnsi="Cambria" w:cs="Times New Roman"/>
        </w:rPr>
        <w:t xml:space="preserve">attiecīgajām mājsaimniecībām AS “Sadales tīkls var sniegt, balstoties uz tās rīcībā esošajiem vēsturiskajiem datiem. Proti, atbalsts būtu piešķirams </w:t>
      </w:r>
      <w:r w:rsidR="007F6D16" w:rsidRPr="003815E0">
        <w:rPr>
          <w:rFonts w:ascii="Cambria" w:hAnsi="Cambria" w:cs="Times New Roman"/>
        </w:rPr>
        <w:t xml:space="preserve">visiem sistēmas pieslēgumiem, kuriem </w:t>
      </w:r>
      <w:r w:rsidR="007F6D16">
        <w:rPr>
          <w:rFonts w:ascii="Cambria" w:hAnsi="Cambria" w:cs="Times New Roman"/>
        </w:rPr>
        <w:t>līdz</w:t>
      </w:r>
      <w:r w:rsidR="007F6D16" w:rsidRPr="003815E0">
        <w:rPr>
          <w:rFonts w:ascii="Cambria" w:hAnsi="Cambria" w:cs="Times New Roman"/>
        </w:rPr>
        <w:t xml:space="preserve"> 2023. gada 30. jūnij</w:t>
      </w:r>
      <w:r w:rsidR="007F6D16">
        <w:rPr>
          <w:rFonts w:ascii="Cambria" w:hAnsi="Cambria" w:cs="Times New Roman"/>
        </w:rPr>
        <w:t>am</w:t>
      </w:r>
      <w:r w:rsidR="007F6D16" w:rsidRPr="003815E0">
        <w:rPr>
          <w:rFonts w:ascii="Cambria" w:hAnsi="Cambria" w:cs="Times New Roman"/>
        </w:rPr>
        <w:t xml:space="preserve"> tika piemērots mājsaimniecības lietotāja tarifs</w:t>
      </w:r>
      <w:r w:rsidR="007F6D16">
        <w:rPr>
          <w:rFonts w:ascii="Cambria" w:hAnsi="Cambria" w:cs="Times New Roman"/>
        </w:rPr>
        <w:t>.</w:t>
      </w:r>
      <w:r w:rsidR="00D60300">
        <w:rPr>
          <w:rFonts w:ascii="Cambria" w:hAnsi="Cambria" w:cs="Times New Roman"/>
        </w:rPr>
        <w:t xml:space="preserve"> Ņemot vērā, ka šāda pieeja joprojām no atbalsta saņēmēju loka var izslēgt daļu mājsaimniecību, kas, piemēram, atrodas </w:t>
      </w:r>
      <w:r w:rsidR="00FC5AB8">
        <w:rPr>
          <w:rFonts w:ascii="Cambria" w:hAnsi="Cambria" w:cs="Times New Roman"/>
        </w:rPr>
        <w:t>ēkās, kas ekspluatācijā nodotas, sākot no 2023.gada 1.jūnija, nepieciešams strādāt pie ilgtermiņa risinājuma atbalsta piemērošanai šādām mājsaimniecībām.</w:t>
      </w:r>
    </w:p>
    <w:p w14:paraId="74B3A079" w14:textId="134466E7" w:rsidR="009C5289" w:rsidRPr="003815E0" w:rsidRDefault="009C5289" w:rsidP="001F5F77">
      <w:pPr>
        <w:pStyle w:val="Heading1"/>
      </w:pPr>
      <w:r>
        <w:t>1.3. Elektroenerģijas apakšlietotāja</w:t>
      </w:r>
      <w:r w:rsidR="00357049">
        <w:t xml:space="preserve"> problemātika</w:t>
      </w:r>
    </w:p>
    <w:p w14:paraId="44A764C8" w14:textId="5A1B164E" w:rsidR="00540902" w:rsidRPr="00D05F81" w:rsidRDefault="003D5915" w:rsidP="00540902">
      <w:pPr>
        <w:spacing w:after="120"/>
        <w:jc w:val="both"/>
        <w:rPr>
          <w:rFonts w:ascii="Cambria" w:hAnsi="Cambria" w:cs="Times New Roman"/>
        </w:rPr>
      </w:pPr>
      <w:r w:rsidRPr="00D05F81">
        <w:rPr>
          <w:rFonts w:ascii="Cambria" w:hAnsi="Cambria" w:cs="Times New Roman"/>
        </w:rPr>
        <w:t>Elektroenerģijas apakšlietotājs sas</w:t>
      </w:r>
      <w:r w:rsidR="00405F4A" w:rsidRPr="00D05F81">
        <w:rPr>
          <w:rFonts w:ascii="Cambria" w:hAnsi="Cambria" w:cs="Times New Roman"/>
        </w:rPr>
        <w:t xml:space="preserve">kaņā ar </w:t>
      </w:r>
      <w:r w:rsidR="00D05F81" w:rsidRPr="00D05F81">
        <w:rPr>
          <w:rFonts w:ascii="Cambria" w:hAnsi="Cambria" w:cs="Times New Roman"/>
        </w:rPr>
        <w:t>noteikumos par elektroenerģijas tirdzniecību un lietošanu ir persona, kas pēc vienošanās ar lietotāju izmanto tā īpašumā vai valdījumā esošus elektrotīklus elektroenerģijas saņemšanai un nepērk elektroenerģiju no tirgotāja vai sistēmas operatora</w:t>
      </w:r>
      <w:r w:rsidR="00D05F81">
        <w:rPr>
          <w:rFonts w:ascii="Cambria" w:hAnsi="Cambria" w:cs="Times New Roman"/>
        </w:rPr>
        <w:t xml:space="preserve">. Apakšlietotāji </w:t>
      </w:r>
      <w:r w:rsidR="00B239E7">
        <w:rPr>
          <w:rFonts w:ascii="Cambria" w:hAnsi="Cambria" w:cs="Times New Roman"/>
        </w:rPr>
        <w:t xml:space="preserve">faktiski var būt, piemēram, gan daudzdzīvokļu mājās esošās mājsaimniecības, gan ciematos esošās mājsaimniecības. Vienlaikus </w:t>
      </w:r>
      <w:r w:rsidR="00807C6F">
        <w:rPr>
          <w:rFonts w:ascii="Cambria" w:hAnsi="Cambria" w:cs="Times New Roman"/>
        </w:rPr>
        <w:t xml:space="preserve">noteikumi par elektroenerģijas tirdzniecību un lietošanu nosaka, ka </w:t>
      </w:r>
      <w:r w:rsidR="00540902" w:rsidRPr="00D05F81">
        <w:rPr>
          <w:rFonts w:ascii="Cambria" w:hAnsi="Cambria" w:cs="Times New Roman"/>
        </w:rPr>
        <w:t>sistēmas pieslēgums ir sistēmas operatora elektrotīkla daļa, kas ierīkota elektroapgādes nodrošināšanai lietotājam līdz elektroietaišu piederības robežai (t.i. robežai starp sistēmas operatora un lietotāja elektroietaisēm</w:t>
      </w:r>
      <w:r w:rsidR="000212E9">
        <w:rPr>
          <w:rFonts w:ascii="Cambria" w:hAnsi="Cambria" w:cs="Times New Roman"/>
        </w:rPr>
        <w:t>), kā arī nosaka, ka uz</w:t>
      </w:r>
      <w:r w:rsidR="00540902" w:rsidRPr="00D05F81">
        <w:rPr>
          <w:rFonts w:ascii="Cambria" w:hAnsi="Cambria" w:cs="Times New Roman"/>
        </w:rPr>
        <w:t xml:space="preserve"> šīs pašas elektroietaišu piederības robežas sistēmas operatora uzstāda reģistrētu elektroenerģijas komercuzskaites mēraparātu, kas pieder sistēmas operatoram. </w:t>
      </w:r>
    </w:p>
    <w:p w14:paraId="64D2254B" w14:textId="045A2E92" w:rsidR="00540902" w:rsidRPr="00D05F81" w:rsidRDefault="00540902" w:rsidP="00540902">
      <w:pPr>
        <w:spacing w:after="120"/>
        <w:jc w:val="both"/>
        <w:rPr>
          <w:rFonts w:ascii="Cambria" w:hAnsi="Cambria" w:cs="Times New Roman"/>
        </w:rPr>
      </w:pPr>
      <w:r w:rsidRPr="00D05F81">
        <w:rPr>
          <w:rFonts w:ascii="Cambria" w:hAnsi="Cambria" w:cs="Times New Roman"/>
        </w:rPr>
        <w:t>Atbilstoši Enerģētikas likuma pirmās daļas 12.punktam, enerģijas lietotājs ir fiziskā vai juridiskā persona, kas no energoapgādes komersantiem pērk un savām vajadzībām patērē konkrētā veida enerģiju vai kurināmo vai lieto to energoapgādē vai cita veida komercdarbībā. Gadījumos, kad projekta attīstītājs ir izvēlējies risinājumu, kur sistēmas pieslēgums ir viens uz visu māju vai pat vairākām mājām, mājsaimniecības lietotājs, iegādājoties vai izīrējot mājokli, šādos projektos nonāk apakšlietotāja lomā</w:t>
      </w:r>
      <w:r w:rsidR="007F1B73">
        <w:rPr>
          <w:rFonts w:ascii="Cambria" w:hAnsi="Cambria" w:cs="Times New Roman"/>
        </w:rPr>
        <w:t>.</w:t>
      </w:r>
    </w:p>
    <w:p w14:paraId="60212EE4" w14:textId="77777777" w:rsidR="007D797C" w:rsidRDefault="00540902" w:rsidP="00540902">
      <w:pPr>
        <w:spacing w:after="120"/>
        <w:jc w:val="both"/>
        <w:rPr>
          <w:rFonts w:ascii="Cambria" w:hAnsi="Cambria" w:cs="Times New Roman"/>
        </w:rPr>
      </w:pPr>
      <w:r w:rsidRPr="00D05F81">
        <w:rPr>
          <w:rFonts w:ascii="Cambria" w:hAnsi="Cambria" w:cs="Times New Roman"/>
        </w:rPr>
        <w:t xml:space="preserve">Iepriekš minētajā situācijā enerģijas lietotājs ir kopējā nekustamā īpašuma valdītājs (īpašnieks, apsaimniekotājs v.tml.), kurš slēdz elektroenerģijas tirdzniecības līgumu ar elektroenerģijas tirgotāju un sistēmas pakalpojuma līgumu ar sistēmas operatoru. Šādos gadījumos </w:t>
      </w:r>
      <w:r w:rsidR="007D797C">
        <w:rPr>
          <w:rFonts w:ascii="Cambria" w:hAnsi="Cambria" w:cs="Times New Roman"/>
        </w:rPr>
        <w:t>identificētas</w:t>
      </w:r>
      <w:r w:rsidRPr="00D05F81">
        <w:rPr>
          <w:rFonts w:ascii="Cambria" w:hAnsi="Cambria" w:cs="Times New Roman"/>
        </w:rPr>
        <w:t xml:space="preserve"> trīs veidu probl</w:t>
      </w:r>
      <w:r w:rsidR="007D797C">
        <w:rPr>
          <w:rFonts w:ascii="Cambria" w:hAnsi="Cambria" w:cs="Times New Roman"/>
        </w:rPr>
        <w:t>ē</w:t>
      </w:r>
      <w:r w:rsidRPr="00D05F81">
        <w:rPr>
          <w:rFonts w:ascii="Cambria" w:hAnsi="Cambria" w:cs="Times New Roman"/>
        </w:rPr>
        <w:t>m</w:t>
      </w:r>
      <w:r w:rsidR="007D797C">
        <w:rPr>
          <w:rFonts w:ascii="Cambria" w:hAnsi="Cambria" w:cs="Times New Roman"/>
        </w:rPr>
        <w:t>situācijas</w:t>
      </w:r>
      <w:r w:rsidRPr="00D05F81">
        <w:rPr>
          <w:rFonts w:ascii="Cambria" w:hAnsi="Cambria" w:cs="Times New Roman"/>
        </w:rPr>
        <w:t>:</w:t>
      </w:r>
    </w:p>
    <w:p w14:paraId="1BCE6394" w14:textId="57CEE05F" w:rsidR="007D797C" w:rsidRPr="007D797C" w:rsidRDefault="00540902" w:rsidP="007D797C">
      <w:pPr>
        <w:pStyle w:val="ListParagraph"/>
        <w:numPr>
          <w:ilvl w:val="0"/>
          <w:numId w:val="34"/>
        </w:numPr>
        <w:spacing w:after="120"/>
        <w:jc w:val="both"/>
        <w:rPr>
          <w:rFonts w:ascii="Cambria" w:hAnsi="Cambria" w:cs="Times New Roman"/>
        </w:rPr>
      </w:pPr>
      <w:r w:rsidRPr="007D797C">
        <w:rPr>
          <w:rFonts w:ascii="Cambria" w:hAnsi="Cambria" w:cs="Times New Roman"/>
        </w:rPr>
        <w:t xml:space="preserve">apakšlietotāji nevar brīvi izvēlēties savu elektroenerģijas tirgotāju, kas konceptuāli ir pretrunā ne vien ar Elektroenerģijas tirgus likumu un noteikumiem </w:t>
      </w:r>
      <w:r w:rsidR="007D797C" w:rsidRPr="007D797C">
        <w:rPr>
          <w:rFonts w:ascii="Cambria" w:hAnsi="Cambria" w:cs="Times New Roman"/>
        </w:rPr>
        <w:t>par elektroenerģijas tirdzniecību un lietošanu</w:t>
      </w:r>
      <w:r w:rsidRPr="007D797C">
        <w:rPr>
          <w:rFonts w:ascii="Cambria" w:hAnsi="Cambria" w:cs="Times New Roman"/>
        </w:rPr>
        <w:t>, bet arī Elektroenerģijas tirgus direktīvu, kura paredz, ka Eiropas Savienības dalībvalstīm ir jānodrošina, ka visi lietotāji var iegādāties elektroenerģiju no pašu izvēlētā piegādātāja</w:t>
      </w:r>
      <w:r w:rsidR="007D797C" w:rsidRPr="007D797C">
        <w:rPr>
          <w:rFonts w:ascii="Cambria" w:hAnsi="Cambria" w:cs="Times New Roman"/>
        </w:rPr>
        <w:t>;</w:t>
      </w:r>
    </w:p>
    <w:p w14:paraId="77E6561E" w14:textId="77777777" w:rsidR="00796A7A" w:rsidRDefault="00540902" w:rsidP="00540902">
      <w:pPr>
        <w:pStyle w:val="ListParagraph"/>
        <w:numPr>
          <w:ilvl w:val="0"/>
          <w:numId w:val="34"/>
        </w:numPr>
        <w:spacing w:after="120"/>
        <w:jc w:val="both"/>
        <w:rPr>
          <w:rFonts w:ascii="Cambria" w:hAnsi="Cambria" w:cs="Times New Roman"/>
        </w:rPr>
      </w:pPr>
      <w:r w:rsidRPr="007D797C">
        <w:rPr>
          <w:rFonts w:ascii="Cambria" w:hAnsi="Cambria" w:cs="Times New Roman"/>
        </w:rPr>
        <w:t xml:space="preserve">apakšlietotāji nepērk elektroenerģiju no elektroenerģijas tirgotāja vai sistēmas operatora, līdz ar to apakšlietotājiem nepastāv sabiedrisko pakalpojumu sniegšanas tiesiskās attiecības likuma </w:t>
      </w:r>
      <w:r w:rsidR="00796A7A">
        <w:rPr>
          <w:rFonts w:ascii="Cambria" w:hAnsi="Cambria" w:cs="Times New Roman"/>
        </w:rPr>
        <w:t>“</w:t>
      </w:r>
      <w:r w:rsidRPr="007D797C">
        <w:rPr>
          <w:rFonts w:ascii="Cambria" w:hAnsi="Cambria" w:cs="Times New Roman"/>
        </w:rPr>
        <w:t>Par sabiedrisko pakalpojumu regulatoriem</w:t>
      </w:r>
      <w:r w:rsidR="00796A7A">
        <w:rPr>
          <w:rFonts w:ascii="Cambria" w:hAnsi="Cambria" w:cs="Times New Roman"/>
        </w:rPr>
        <w:t>”</w:t>
      </w:r>
      <w:r w:rsidRPr="007D797C">
        <w:rPr>
          <w:rFonts w:ascii="Cambria" w:hAnsi="Cambria" w:cs="Times New Roman"/>
        </w:rPr>
        <w:t xml:space="preserve"> izpratnē, jo ēku īpašnieks vai apsaimniekotājs nav sabiedrisko pakalpojumu sniedzējs, bet apakšlietotāji nav sabiedrisko pakalpojumu lietotāji minētā likuma un Elektroenerģijas tirgus likuma izpratnē. Līdz ar to Sabiedrisko pakalpojumu regulēšanas komisijai nav tiesiska pamata izskatīt strīdus starp elektroenerģijas lietotāju un apakšlietotājiem, ja tādi pastāv, kā arī pieņemt minētajiem subjektiem saistošus lēmumus;</w:t>
      </w:r>
    </w:p>
    <w:p w14:paraId="1C7C750F" w14:textId="45DDD34D" w:rsidR="00540902" w:rsidRDefault="00540902" w:rsidP="00E06A50">
      <w:pPr>
        <w:pStyle w:val="ListParagraph"/>
        <w:numPr>
          <w:ilvl w:val="0"/>
          <w:numId w:val="34"/>
        </w:numPr>
        <w:spacing w:after="120"/>
        <w:jc w:val="both"/>
        <w:rPr>
          <w:rFonts w:ascii="Cambria" w:hAnsi="Cambria" w:cs="Times New Roman"/>
        </w:rPr>
      </w:pPr>
      <w:r w:rsidRPr="00796A7A">
        <w:rPr>
          <w:rFonts w:ascii="Cambria" w:hAnsi="Cambria" w:cs="Times New Roman"/>
        </w:rPr>
        <w:t xml:space="preserve">apakšlietotāji netiek identificēti kā mājsaimniecības lietotāji sistēmas operatora uzskaitē – sistēmas operators saņem datus tikai par enerģijas lietotāju, kas šādos gadījumos parasti ir juridiska persona (īpašnieks, apsaimniekotājs v.tml.), kā rezultātā apakšlietotāji nevar automātiski kvalificēties valsts atbalsta mehānismiem, kas tiek paredzēti mājsaimniecību lietotājiem. </w:t>
      </w:r>
    </w:p>
    <w:p w14:paraId="71057743" w14:textId="77777777" w:rsidR="00052E38" w:rsidRDefault="00052E38" w:rsidP="00052E38">
      <w:pPr>
        <w:spacing w:after="120"/>
        <w:jc w:val="both"/>
        <w:rPr>
          <w:rFonts w:ascii="Cambria" w:hAnsi="Cambria" w:cs="Times New Roman"/>
        </w:rPr>
      </w:pPr>
    </w:p>
    <w:p w14:paraId="1EFD1947" w14:textId="77777777" w:rsidR="00052E38" w:rsidRPr="00052E38" w:rsidRDefault="00052E38" w:rsidP="00052E38">
      <w:pPr>
        <w:spacing w:after="120"/>
        <w:jc w:val="both"/>
        <w:rPr>
          <w:rFonts w:ascii="Cambria" w:hAnsi="Cambria" w:cs="Times New Roman"/>
        </w:rPr>
      </w:pPr>
    </w:p>
    <w:p w14:paraId="16A55F95" w14:textId="69395735" w:rsidR="000F7655" w:rsidRPr="00D20203" w:rsidRDefault="0028587A" w:rsidP="001F5F77">
      <w:pPr>
        <w:pStyle w:val="Heading1"/>
      </w:pPr>
      <w:bookmarkStart w:id="2" w:name="_Toc132893651"/>
      <w:bookmarkEnd w:id="1"/>
      <w:r>
        <w:t xml:space="preserve">2. </w:t>
      </w:r>
      <w:r w:rsidR="009E347D" w:rsidRPr="00D20203">
        <w:t>Risinājuma detalizēts apraksts</w:t>
      </w:r>
      <w:bookmarkEnd w:id="2"/>
      <w:r w:rsidR="00D20203" w:rsidRPr="00D20203">
        <w:t xml:space="preserve"> un nepieciešamais finansējums</w:t>
      </w:r>
    </w:p>
    <w:p w14:paraId="4904CAF2" w14:textId="4F043C9B" w:rsidR="004B53EB" w:rsidRDefault="00FC5AB8" w:rsidP="001F5F77">
      <w:pPr>
        <w:pStyle w:val="Heading1"/>
      </w:pPr>
      <w:r>
        <w:t>2</w:t>
      </w:r>
      <w:r w:rsidRPr="00CD4B4A">
        <w:t xml:space="preserve">.1. </w:t>
      </w:r>
      <w:r w:rsidR="004735BB">
        <w:t>Elektroenerģijas sistēmas tarifu pieauguma prognozējamība</w:t>
      </w:r>
      <w:r w:rsidR="00B21988">
        <w:t xml:space="preserve"> un atbalsts e</w:t>
      </w:r>
      <w:r w:rsidR="00B21988" w:rsidRPr="00CD4B4A">
        <w:t>lektroenerģijas sistēmas pakalpojumu izmaksu pieaugum</w:t>
      </w:r>
      <w:r w:rsidR="00B21988">
        <w:t>a mazināšanai</w:t>
      </w:r>
      <w:r w:rsidR="00B21988" w:rsidRPr="00CD4B4A">
        <w:t xml:space="preserve"> mājsaimniecību</w:t>
      </w:r>
      <w:r w:rsidR="00B21988">
        <w:t xml:space="preserve"> lietotājiem</w:t>
      </w:r>
    </w:p>
    <w:p w14:paraId="2FB6F816" w14:textId="5EF45834" w:rsidR="00A9530C" w:rsidRPr="00B82DCC" w:rsidRDefault="00A9530C" w:rsidP="00956C33">
      <w:pPr>
        <w:spacing w:after="120"/>
        <w:jc w:val="both"/>
        <w:rPr>
          <w:rFonts w:ascii="Cambria" w:hAnsi="Cambria" w:cs="Times New Roman"/>
          <w:i/>
          <w:iCs/>
          <w:color w:val="155452"/>
        </w:rPr>
      </w:pPr>
      <w:r w:rsidRPr="00B82DCC">
        <w:rPr>
          <w:rFonts w:ascii="Cambria" w:hAnsi="Cambria" w:cs="Times New Roman"/>
          <w:i/>
          <w:iCs/>
          <w:color w:val="155452"/>
        </w:rPr>
        <w:t>2.1.1. Grozījumi Elektroenerģijas tirgus likumā</w:t>
      </w:r>
    </w:p>
    <w:p w14:paraId="42AED58C" w14:textId="5C0BA6D9" w:rsidR="00956C33" w:rsidRPr="004248A8" w:rsidRDefault="00956C33" w:rsidP="00956C33">
      <w:pPr>
        <w:spacing w:after="120"/>
        <w:jc w:val="both"/>
        <w:rPr>
          <w:rFonts w:ascii="Cambria" w:hAnsi="Cambria" w:cs="Times New Roman"/>
        </w:rPr>
      </w:pPr>
      <w:r w:rsidRPr="00956C33">
        <w:rPr>
          <w:rFonts w:ascii="Cambria" w:hAnsi="Cambria" w:cs="Times New Roman"/>
        </w:rPr>
        <w:t xml:space="preserve">Lai nodrošinātu caurspīdību un paredzamību attiecībā uz sistēmas pakalpojumu tarifiem un sistēmas operatoru investīcijām, </w:t>
      </w:r>
      <w:r w:rsidR="00EE013D">
        <w:rPr>
          <w:rFonts w:ascii="Cambria" w:hAnsi="Cambria" w:cs="Times New Roman"/>
        </w:rPr>
        <w:t>Saeim</w:t>
      </w:r>
      <w:r w:rsidR="00052E38">
        <w:rPr>
          <w:rFonts w:ascii="Cambria" w:hAnsi="Cambria" w:cs="Times New Roman"/>
        </w:rPr>
        <w:t xml:space="preserve">a </w:t>
      </w:r>
      <w:r w:rsidR="00EE013D">
        <w:rPr>
          <w:rFonts w:ascii="Cambria" w:hAnsi="Cambria" w:cs="Times New Roman"/>
        </w:rPr>
        <w:t xml:space="preserve">ir </w:t>
      </w:r>
      <w:r w:rsidR="00052E38">
        <w:rPr>
          <w:rFonts w:ascii="Cambria" w:hAnsi="Cambria" w:cs="Times New Roman"/>
        </w:rPr>
        <w:t>pieņēmusi</w:t>
      </w:r>
      <w:r w:rsidR="00720FFC">
        <w:rPr>
          <w:rFonts w:ascii="Cambria" w:hAnsi="Cambria" w:cs="Times New Roman"/>
        </w:rPr>
        <w:t xml:space="preserve"> </w:t>
      </w:r>
      <w:r w:rsidR="003B4B21" w:rsidRPr="004248A8">
        <w:rPr>
          <w:rFonts w:ascii="Cambria" w:hAnsi="Cambria" w:cs="Times New Roman"/>
        </w:rPr>
        <w:t xml:space="preserve">grozījumus </w:t>
      </w:r>
      <w:r w:rsidR="00720FFC" w:rsidRPr="004248A8">
        <w:rPr>
          <w:rFonts w:ascii="Cambria" w:hAnsi="Cambria" w:cs="Times New Roman"/>
        </w:rPr>
        <w:t>Elektroenerģijas tirgus likumā</w:t>
      </w:r>
      <w:r w:rsidR="00052E38">
        <w:rPr>
          <w:rFonts w:ascii="Cambria" w:hAnsi="Cambria" w:cs="Times New Roman"/>
        </w:rPr>
        <w:t>, kas stājās spēkā 2024.gada 1.janvārī</w:t>
      </w:r>
      <w:r w:rsidRPr="004248A8">
        <w:rPr>
          <w:rFonts w:ascii="Cambria" w:hAnsi="Cambria" w:cs="Times New Roman"/>
        </w:rPr>
        <w:t>,</w:t>
      </w:r>
      <w:r w:rsidR="003B4B21" w:rsidRPr="004248A8">
        <w:rPr>
          <w:rFonts w:ascii="Cambria" w:hAnsi="Cambria" w:cs="Times New Roman"/>
        </w:rPr>
        <w:t xml:space="preserve"> kas,</w:t>
      </w:r>
      <w:r w:rsidRPr="004248A8">
        <w:rPr>
          <w:rFonts w:ascii="Cambria" w:hAnsi="Cambria" w:cs="Times New Roman"/>
        </w:rPr>
        <w:t xml:space="preserve"> pirmkārt, </w:t>
      </w:r>
      <w:r w:rsidR="00C34878" w:rsidRPr="004248A8">
        <w:rPr>
          <w:rFonts w:ascii="Cambria" w:hAnsi="Cambria" w:cs="Times New Roman"/>
        </w:rPr>
        <w:t xml:space="preserve">paredz gan </w:t>
      </w:r>
      <w:r w:rsidRPr="004248A8">
        <w:rPr>
          <w:rFonts w:ascii="Cambria" w:hAnsi="Cambria" w:cs="Times New Roman"/>
        </w:rPr>
        <w:t>elektroenerģijas pārvades sistēmas operatoram (AS “Augstsprieguma tīkls”), gan sadales sistēmas operatoram, kuram ir vairāk par 100 000 lietotāju (AS “Sadales tīkls”)</w:t>
      </w:r>
      <w:r w:rsidR="00052E38">
        <w:rPr>
          <w:rFonts w:ascii="Cambria" w:hAnsi="Cambria" w:cs="Times New Roman"/>
        </w:rPr>
        <w:t>,</w:t>
      </w:r>
      <w:r w:rsidRPr="004248A8">
        <w:rPr>
          <w:rFonts w:ascii="Cambria" w:hAnsi="Cambria" w:cs="Times New Roman"/>
        </w:rPr>
        <w:t xml:space="preserve"> izstrādājot jau šobrīd noteiktos 10 gadu sistēmas attīstības plānus, tajos cita</w:t>
      </w:r>
      <w:r w:rsidR="007406D9" w:rsidRPr="004248A8">
        <w:rPr>
          <w:rFonts w:ascii="Cambria" w:hAnsi="Cambria" w:cs="Times New Roman"/>
        </w:rPr>
        <w:t xml:space="preserve"> </w:t>
      </w:r>
      <w:r w:rsidRPr="004248A8">
        <w:rPr>
          <w:rFonts w:ascii="Cambria" w:hAnsi="Cambria" w:cs="Times New Roman"/>
        </w:rPr>
        <w:t>starpā ietver</w:t>
      </w:r>
      <w:r w:rsidR="00B870F1" w:rsidRPr="004248A8">
        <w:rPr>
          <w:rFonts w:ascii="Cambria" w:hAnsi="Cambria" w:cs="Times New Roman"/>
        </w:rPr>
        <w:t>t</w:t>
      </w:r>
      <w:r w:rsidRPr="004248A8">
        <w:rPr>
          <w:rFonts w:ascii="Cambria" w:hAnsi="Cambria" w:cs="Times New Roman"/>
        </w:rPr>
        <w:t xml:space="preserve"> arī elektroenerģijas sistēmas pakalpojumu tarifu prognozes.</w:t>
      </w:r>
    </w:p>
    <w:p w14:paraId="4843400A" w14:textId="54E588BA" w:rsidR="00956C33" w:rsidRPr="004248A8" w:rsidRDefault="00956C33" w:rsidP="007406D9">
      <w:pPr>
        <w:spacing w:after="120"/>
        <w:jc w:val="both"/>
        <w:rPr>
          <w:rFonts w:ascii="Cambria" w:hAnsi="Cambria" w:cs="Times New Roman"/>
        </w:rPr>
      </w:pPr>
      <w:r w:rsidRPr="004248A8">
        <w:rPr>
          <w:rFonts w:ascii="Cambria" w:hAnsi="Cambria" w:cs="Times New Roman"/>
        </w:rPr>
        <w:t>Lai veicinātu tarifu apmēra pieauguma izlīdzināšanu un lietotāju tarifu izm</w:t>
      </w:r>
      <w:r w:rsidR="007406D9" w:rsidRPr="004248A8">
        <w:rPr>
          <w:rFonts w:ascii="Cambria" w:hAnsi="Cambria" w:cs="Times New Roman"/>
        </w:rPr>
        <w:t>ak</w:t>
      </w:r>
      <w:r w:rsidRPr="004248A8">
        <w:rPr>
          <w:rFonts w:ascii="Cambria" w:hAnsi="Cambria" w:cs="Times New Roman"/>
        </w:rPr>
        <w:t xml:space="preserve">su paredzamību, </w:t>
      </w:r>
      <w:r w:rsidR="00F80C71" w:rsidRPr="004248A8">
        <w:rPr>
          <w:rFonts w:ascii="Cambria" w:hAnsi="Cambria" w:cs="Times New Roman"/>
        </w:rPr>
        <w:t>grozījumi elektroenerģijas tirgus likumā</w:t>
      </w:r>
      <w:r w:rsidRPr="004248A8">
        <w:rPr>
          <w:rFonts w:ascii="Cambria" w:hAnsi="Cambria" w:cs="Times New Roman"/>
        </w:rPr>
        <w:t xml:space="preserve">, otrkārt, paredz, ka abiem iepriekš minētajiem sistēmas operatoriem ir pienākums iesniegt Sabiedrisko pakalpojumu  regulēšanas komisijai (turpmāk – Regulators) jaunu sistēmas pakalpojumu tarifu projektu esošā regulatīvā perioda ietvaros, ja kopējās sistēmas pakalpojumu sniegšanas prognozētās izmaksas </w:t>
      </w:r>
      <w:r w:rsidR="00914CF3">
        <w:rPr>
          <w:rFonts w:ascii="Cambria" w:hAnsi="Cambria" w:cs="Times New Roman"/>
        </w:rPr>
        <w:t xml:space="preserve">mājsaimniecības lietotāju pieslēgumiem </w:t>
      </w:r>
      <w:r w:rsidRPr="004248A8">
        <w:rPr>
          <w:rFonts w:ascii="Cambria" w:hAnsi="Cambria" w:cs="Times New Roman"/>
        </w:rPr>
        <w:t xml:space="preserve">nākamajam tarifu periodam pārsniedz tarifu aprēķināšanas metodikā noteikto maksimālo tarifu vērtību novirzes līmeni. </w:t>
      </w:r>
      <w:r w:rsidR="00EA0128" w:rsidRPr="004248A8">
        <w:rPr>
          <w:rFonts w:ascii="Cambria" w:hAnsi="Cambria" w:cs="Times New Roman"/>
        </w:rPr>
        <w:t>Grozījumi Elektroenerģijas tirgus likumā</w:t>
      </w:r>
      <w:r w:rsidRPr="004248A8">
        <w:rPr>
          <w:rFonts w:ascii="Cambria" w:hAnsi="Cambria" w:cs="Times New Roman"/>
        </w:rPr>
        <w:t xml:space="preserve"> tostarp paredz, ka Regulatoram tarifu aprēķināšanas metodikā šis maksimālais tarifu vērtību novirzes līmenis ir jānosaka līdz 2025.gada 1.jūlijam, lai tas stātos spēkā ne vēlāk kā 2026.gada 1.janvārī.</w:t>
      </w:r>
    </w:p>
    <w:p w14:paraId="56FC93DA" w14:textId="1B614317" w:rsidR="00956C33" w:rsidRPr="00956C33" w:rsidRDefault="00956C33" w:rsidP="00F62834">
      <w:pPr>
        <w:spacing w:after="120"/>
        <w:jc w:val="both"/>
        <w:rPr>
          <w:rFonts w:ascii="Cambria" w:hAnsi="Cambria" w:cs="Times New Roman"/>
        </w:rPr>
      </w:pPr>
      <w:r w:rsidRPr="004248A8">
        <w:rPr>
          <w:rFonts w:ascii="Cambria" w:hAnsi="Cambria" w:cs="Times New Roman"/>
        </w:rPr>
        <w:t xml:space="preserve">Treškārt, </w:t>
      </w:r>
      <w:r w:rsidR="00F62834" w:rsidRPr="004248A8">
        <w:rPr>
          <w:rFonts w:ascii="Cambria" w:hAnsi="Cambria" w:cs="Times New Roman"/>
        </w:rPr>
        <w:t>grozījum</w:t>
      </w:r>
      <w:r w:rsidR="00052E38">
        <w:rPr>
          <w:rFonts w:ascii="Cambria" w:hAnsi="Cambria" w:cs="Times New Roman"/>
        </w:rPr>
        <w:t xml:space="preserve">i </w:t>
      </w:r>
      <w:r w:rsidR="00F62834" w:rsidRPr="004248A8">
        <w:rPr>
          <w:rFonts w:ascii="Cambria" w:hAnsi="Cambria" w:cs="Times New Roman"/>
        </w:rPr>
        <w:t>Elektroenerģijas tirgus likumā</w:t>
      </w:r>
      <w:r w:rsidRPr="004248A8">
        <w:rPr>
          <w:rFonts w:ascii="Cambria" w:hAnsi="Cambria" w:cs="Times New Roman"/>
        </w:rPr>
        <w:t xml:space="preserve"> paredz pārejas noteikumus laika periodam līdz stājas spēkā augstāk minētā Regulatora tarifu aprēķina metodika, nosakot, ka līdz 2025.gada 31.decembrim mājsaimniecību lietotājiem tiks noteikti elektroenerģijas sadales tarifa fiksētās daļas pieauguma griesti divpadsmit mēnešu periodā mājsaimniecību lietotājiem ar vienfāzes (1F) un trīsfāžu (3F) pieslēgumiem un strāvas lielumu 16, 20 un 25 ampēri (amp). Minētās mājsaimniecības ietver vairāk nekā 95% no mājsaimniecībām. Vadoties no pieejamās informācijas par pieslēguma raksturlielumiem un lietotāju patēriņiem secināms, ka mājsaimniecības ar lielāku apmēru skaitu vai</w:t>
      </w:r>
      <w:r w:rsidRPr="00956C33">
        <w:rPr>
          <w:rFonts w:ascii="Cambria" w:hAnsi="Cambria" w:cs="Times New Roman"/>
        </w:rPr>
        <w:t xml:space="preserve"> nu izvēlējušie</w:t>
      </w:r>
      <w:r w:rsidR="0094110C">
        <w:rPr>
          <w:rFonts w:ascii="Cambria" w:hAnsi="Cambria" w:cs="Times New Roman"/>
        </w:rPr>
        <w:t>s</w:t>
      </w:r>
      <w:r w:rsidRPr="00956C33">
        <w:rPr>
          <w:rFonts w:ascii="Cambria" w:hAnsi="Cambria" w:cs="Times New Roman"/>
        </w:rPr>
        <w:t xml:space="preserve"> savam patēriņa profilam neatbilstošu pieslēgumu vai arī jaudas maksas izmaiņas nerada būtisku ietekmi uz kopējo elektroenerģijas rēķina dinamiku.</w:t>
      </w:r>
    </w:p>
    <w:p w14:paraId="32C0F254" w14:textId="401B684C" w:rsidR="00956C33" w:rsidRDefault="00956C33" w:rsidP="0094110C">
      <w:pPr>
        <w:spacing w:after="120"/>
        <w:jc w:val="both"/>
        <w:rPr>
          <w:rFonts w:ascii="Cambria" w:hAnsi="Cambria" w:cs="Times New Roman"/>
        </w:rPr>
      </w:pPr>
      <w:r w:rsidRPr="00956C33">
        <w:rPr>
          <w:rFonts w:ascii="Cambria" w:hAnsi="Cambria" w:cs="Times New Roman"/>
        </w:rPr>
        <w:t xml:space="preserve">Maksimālā vērtība, par kuru var pieaugt ikmēneša maksa (tarifs) par jaudas uzturēšanu salīdzinājumā ar iepriekšējo gadu, norādīta </w:t>
      </w:r>
      <w:r w:rsidR="0094110C">
        <w:rPr>
          <w:rFonts w:ascii="Cambria" w:hAnsi="Cambria" w:cs="Times New Roman"/>
        </w:rPr>
        <w:t>tabulā Nr.2</w:t>
      </w:r>
      <w:r w:rsidRPr="00956C33">
        <w:rPr>
          <w:rFonts w:ascii="Cambria" w:hAnsi="Cambria" w:cs="Times New Roman"/>
        </w:rPr>
        <w:t>.</w:t>
      </w:r>
    </w:p>
    <w:p w14:paraId="37382814" w14:textId="1BDE6A9D" w:rsidR="0094110C" w:rsidRPr="00097891" w:rsidRDefault="0094110C" w:rsidP="00097891">
      <w:pPr>
        <w:spacing w:after="0"/>
        <w:jc w:val="right"/>
        <w:rPr>
          <w:rFonts w:ascii="Cambria" w:hAnsi="Cambria" w:cs="Times New Roman"/>
          <w:b/>
          <w:bCs/>
        </w:rPr>
      </w:pPr>
      <w:r w:rsidRPr="00097891">
        <w:rPr>
          <w:rFonts w:ascii="Cambria" w:hAnsi="Cambria" w:cs="Times New Roman"/>
          <w:b/>
          <w:bCs/>
        </w:rPr>
        <w:t>Tabula Nr.2.</w:t>
      </w:r>
    </w:p>
    <w:p w14:paraId="044459B4" w14:textId="04BB1DE4" w:rsidR="0094110C" w:rsidRPr="00097891" w:rsidRDefault="00097891" w:rsidP="00097891">
      <w:pPr>
        <w:spacing w:after="120"/>
        <w:jc w:val="right"/>
        <w:rPr>
          <w:rFonts w:ascii="Cambria" w:hAnsi="Cambria" w:cs="Times New Roman"/>
          <w:i/>
          <w:iCs/>
        </w:rPr>
      </w:pPr>
      <w:r w:rsidRPr="00097891">
        <w:rPr>
          <w:rFonts w:ascii="Cambria" w:hAnsi="Cambria" w:cs="Times New Roman"/>
          <w:i/>
          <w:iCs/>
        </w:rPr>
        <w:t>Maksimālā vērtība, par kuru var pieaug ikmēneša maks</w:t>
      </w:r>
      <w:r w:rsidR="00914CF3">
        <w:rPr>
          <w:rFonts w:ascii="Cambria" w:hAnsi="Cambria" w:cs="Times New Roman"/>
          <w:i/>
          <w:iCs/>
        </w:rPr>
        <w:t>a</w:t>
      </w:r>
      <w:r w:rsidRPr="00097891">
        <w:rPr>
          <w:rFonts w:ascii="Cambria" w:hAnsi="Cambria" w:cs="Times New Roman"/>
          <w:i/>
          <w:iCs/>
        </w:rPr>
        <w:t xml:space="preserve"> par jaudas uzturēšanu salīdzinājumā ar iepriekšējo gadu.</w:t>
      </w:r>
    </w:p>
    <w:tbl>
      <w:tblPr>
        <w:tblStyle w:val="TableGrid"/>
        <w:tblW w:w="0" w:type="auto"/>
        <w:tblInd w:w="1555" w:type="dxa"/>
        <w:tblLook w:val="04A0" w:firstRow="1" w:lastRow="0" w:firstColumn="1" w:lastColumn="0" w:noHBand="0" w:noVBand="1"/>
      </w:tblPr>
      <w:tblGrid>
        <w:gridCol w:w="2976"/>
        <w:gridCol w:w="3402"/>
      </w:tblGrid>
      <w:tr w:rsidR="00956C33" w:rsidRPr="00956C33" w14:paraId="18CE30D0" w14:textId="77777777" w:rsidTr="00097891">
        <w:trPr>
          <w:trHeight w:val="525"/>
        </w:trPr>
        <w:tc>
          <w:tcPr>
            <w:tcW w:w="2976" w:type="dxa"/>
          </w:tcPr>
          <w:p w14:paraId="2F1D5C14" w14:textId="77777777" w:rsidR="00956C33" w:rsidRPr="00956C33" w:rsidRDefault="00956C33" w:rsidP="00564C76">
            <w:pPr>
              <w:jc w:val="both"/>
              <w:rPr>
                <w:rFonts w:ascii="Cambria" w:hAnsi="Cambria"/>
                <w:b/>
                <w:bCs/>
              </w:rPr>
            </w:pPr>
            <w:r w:rsidRPr="00956C33">
              <w:rPr>
                <w:rFonts w:ascii="Cambria" w:hAnsi="Cambria"/>
                <w:b/>
                <w:bCs/>
              </w:rPr>
              <w:t>Pieslēguma veids</w:t>
            </w:r>
          </w:p>
        </w:tc>
        <w:tc>
          <w:tcPr>
            <w:tcW w:w="3402" w:type="dxa"/>
          </w:tcPr>
          <w:p w14:paraId="146243C2" w14:textId="77777777" w:rsidR="00956C33" w:rsidRPr="00956C33" w:rsidRDefault="00956C33" w:rsidP="00564C76">
            <w:pPr>
              <w:jc w:val="both"/>
              <w:rPr>
                <w:rFonts w:ascii="Cambria" w:hAnsi="Cambria"/>
                <w:b/>
                <w:bCs/>
              </w:rPr>
            </w:pPr>
            <w:r w:rsidRPr="00956C33">
              <w:rPr>
                <w:rFonts w:ascii="Cambria" w:hAnsi="Cambria"/>
                <w:b/>
                <w:bCs/>
              </w:rPr>
              <w:t>Jaudas maksas maksimālā pieauguma līmenis</w:t>
            </w:r>
          </w:p>
        </w:tc>
      </w:tr>
      <w:tr w:rsidR="00956C33" w:rsidRPr="00956C33" w14:paraId="0FED721A" w14:textId="77777777" w:rsidTr="00097891">
        <w:trPr>
          <w:trHeight w:val="262"/>
        </w:trPr>
        <w:tc>
          <w:tcPr>
            <w:tcW w:w="2976" w:type="dxa"/>
          </w:tcPr>
          <w:p w14:paraId="39334C0B" w14:textId="77777777" w:rsidR="00956C33" w:rsidRPr="00956C33" w:rsidRDefault="00956C33" w:rsidP="00564C76">
            <w:pPr>
              <w:jc w:val="both"/>
              <w:rPr>
                <w:rFonts w:ascii="Cambria" w:hAnsi="Cambria"/>
              </w:rPr>
            </w:pPr>
            <w:r w:rsidRPr="00956C33">
              <w:rPr>
                <w:rFonts w:ascii="Cambria" w:hAnsi="Cambria"/>
              </w:rPr>
              <w:t>1F 16 amp</w:t>
            </w:r>
          </w:p>
        </w:tc>
        <w:tc>
          <w:tcPr>
            <w:tcW w:w="3402" w:type="dxa"/>
          </w:tcPr>
          <w:p w14:paraId="7FF90979" w14:textId="77777777" w:rsidR="00956C33" w:rsidRPr="00956C33" w:rsidRDefault="00956C33" w:rsidP="00564C76">
            <w:pPr>
              <w:jc w:val="both"/>
              <w:rPr>
                <w:rFonts w:ascii="Cambria" w:hAnsi="Cambria"/>
              </w:rPr>
            </w:pPr>
            <w:r w:rsidRPr="00956C33">
              <w:rPr>
                <w:rFonts w:ascii="Cambria" w:hAnsi="Cambria"/>
              </w:rPr>
              <w:t>2,00 euro</w:t>
            </w:r>
          </w:p>
        </w:tc>
      </w:tr>
      <w:tr w:rsidR="00956C33" w:rsidRPr="00956C33" w14:paraId="60FF6EE5" w14:textId="77777777" w:rsidTr="00097891">
        <w:trPr>
          <w:trHeight w:val="252"/>
        </w:trPr>
        <w:tc>
          <w:tcPr>
            <w:tcW w:w="2976" w:type="dxa"/>
          </w:tcPr>
          <w:p w14:paraId="233F0EC3" w14:textId="77777777" w:rsidR="00956C33" w:rsidRPr="00956C33" w:rsidRDefault="00956C33" w:rsidP="00564C76">
            <w:pPr>
              <w:jc w:val="both"/>
              <w:rPr>
                <w:rFonts w:ascii="Cambria" w:hAnsi="Cambria"/>
              </w:rPr>
            </w:pPr>
            <w:r w:rsidRPr="00956C33">
              <w:rPr>
                <w:rFonts w:ascii="Cambria" w:hAnsi="Cambria"/>
              </w:rPr>
              <w:t>1F 20 amp</w:t>
            </w:r>
          </w:p>
        </w:tc>
        <w:tc>
          <w:tcPr>
            <w:tcW w:w="3402" w:type="dxa"/>
          </w:tcPr>
          <w:p w14:paraId="452614F9" w14:textId="77777777" w:rsidR="00956C33" w:rsidRPr="00956C33" w:rsidRDefault="00956C33" w:rsidP="00564C76">
            <w:pPr>
              <w:jc w:val="both"/>
              <w:rPr>
                <w:rFonts w:ascii="Cambria" w:hAnsi="Cambria"/>
              </w:rPr>
            </w:pPr>
            <w:r w:rsidRPr="00956C33">
              <w:rPr>
                <w:rFonts w:ascii="Cambria" w:hAnsi="Cambria"/>
              </w:rPr>
              <w:t>2,50 euro</w:t>
            </w:r>
          </w:p>
        </w:tc>
      </w:tr>
      <w:tr w:rsidR="00956C33" w:rsidRPr="00956C33" w14:paraId="5C5C44B5" w14:textId="77777777" w:rsidTr="00097891">
        <w:trPr>
          <w:trHeight w:val="262"/>
        </w:trPr>
        <w:tc>
          <w:tcPr>
            <w:tcW w:w="2976" w:type="dxa"/>
          </w:tcPr>
          <w:p w14:paraId="424E2A3F" w14:textId="77777777" w:rsidR="00956C33" w:rsidRPr="00956C33" w:rsidRDefault="00956C33" w:rsidP="00564C76">
            <w:pPr>
              <w:jc w:val="both"/>
              <w:rPr>
                <w:rFonts w:ascii="Cambria" w:hAnsi="Cambria"/>
              </w:rPr>
            </w:pPr>
            <w:r w:rsidRPr="00956C33">
              <w:rPr>
                <w:rFonts w:ascii="Cambria" w:hAnsi="Cambria"/>
              </w:rPr>
              <w:t>1F 25 amp</w:t>
            </w:r>
          </w:p>
        </w:tc>
        <w:tc>
          <w:tcPr>
            <w:tcW w:w="3402" w:type="dxa"/>
          </w:tcPr>
          <w:p w14:paraId="4BB791AC" w14:textId="77777777" w:rsidR="00956C33" w:rsidRPr="00956C33" w:rsidRDefault="00956C33" w:rsidP="00564C76">
            <w:pPr>
              <w:jc w:val="both"/>
              <w:rPr>
                <w:rFonts w:ascii="Cambria" w:hAnsi="Cambria"/>
              </w:rPr>
            </w:pPr>
            <w:r w:rsidRPr="00956C33">
              <w:rPr>
                <w:rFonts w:ascii="Cambria" w:hAnsi="Cambria"/>
              </w:rPr>
              <w:t>3,00 euro</w:t>
            </w:r>
          </w:p>
        </w:tc>
      </w:tr>
      <w:tr w:rsidR="00956C33" w:rsidRPr="00956C33" w14:paraId="64848EE7" w14:textId="77777777" w:rsidTr="00097891">
        <w:trPr>
          <w:trHeight w:val="262"/>
        </w:trPr>
        <w:tc>
          <w:tcPr>
            <w:tcW w:w="2976" w:type="dxa"/>
          </w:tcPr>
          <w:p w14:paraId="5AC4A9B2" w14:textId="77777777" w:rsidR="00956C33" w:rsidRPr="00956C33" w:rsidRDefault="00956C33" w:rsidP="00564C76">
            <w:pPr>
              <w:jc w:val="both"/>
              <w:rPr>
                <w:rFonts w:ascii="Cambria" w:hAnsi="Cambria"/>
              </w:rPr>
            </w:pPr>
            <w:r w:rsidRPr="00956C33">
              <w:rPr>
                <w:rFonts w:ascii="Cambria" w:hAnsi="Cambria"/>
              </w:rPr>
              <w:t>3F 16 amp</w:t>
            </w:r>
          </w:p>
        </w:tc>
        <w:tc>
          <w:tcPr>
            <w:tcW w:w="3402" w:type="dxa"/>
          </w:tcPr>
          <w:p w14:paraId="45AEF89E" w14:textId="77777777" w:rsidR="00956C33" w:rsidRPr="00956C33" w:rsidRDefault="00956C33" w:rsidP="00564C76">
            <w:pPr>
              <w:jc w:val="both"/>
              <w:rPr>
                <w:rFonts w:ascii="Cambria" w:hAnsi="Cambria"/>
              </w:rPr>
            </w:pPr>
            <w:r w:rsidRPr="00956C33">
              <w:rPr>
                <w:rFonts w:ascii="Cambria" w:hAnsi="Cambria"/>
              </w:rPr>
              <w:t>4,00 euro</w:t>
            </w:r>
          </w:p>
        </w:tc>
      </w:tr>
      <w:tr w:rsidR="00956C33" w:rsidRPr="00956C33" w14:paraId="3576B397" w14:textId="77777777" w:rsidTr="00097891">
        <w:trPr>
          <w:trHeight w:val="262"/>
        </w:trPr>
        <w:tc>
          <w:tcPr>
            <w:tcW w:w="2976" w:type="dxa"/>
          </w:tcPr>
          <w:p w14:paraId="4C6B1506" w14:textId="77777777" w:rsidR="00956C33" w:rsidRPr="00956C33" w:rsidRDefault="00956C33" w:rsidP="00564C76">
            <w:pPr>
              <w:jc w:val="both"/>
              <w:rPr>
                <w:rFonts w:ascii="Cambria" w:hAnsi="Cambria"/>
              </w:rPr>
            </w:pPr>
            <w:r w:rsidRPr="00956C33">
              <w:rPr>
                <w:rFonts w:ascii="Cambria" w:hAnsi="Cambria"/>
              </w:rPr>
              <w:t>3F 20 amp</w:t>
            </w:r>
          </w:p>
        </w:tc>
        <w:tc>
          <w:tcPr>
            <w:tcW w:w="3402" w:type="dxa"/>
          </w:tcPr>
          <w:p w14:paraId="4312709B" w14:textId="77777777" w:rsidR="00956C33" w:rsidRPr="00956C33" w:rsidRDefault="00956C33" w:rsidP="00564C76">
            <w:pPr>
              <w:jc w:val="both"/>
              <w:rPr>
                <w:rFonts w:ascii="Cambria" w:hAnsi="Cambria"/>
              </w:rPr>
            </w:pPr>
            <w:r w:rsidRPr="00956C33">
              <w:rPr>
                <w:rFonts w:ascii="Cambria" w:hAnsi="Cambria"/>
              </w:rPr>
              <w:t>4,50 euro</w:t>
            </w:r>
          </w:p>
        </w:tc>
      </w:tr>
      <w:tr w:rsidR="00956C33" w:rsidRPr="00956C33" w14:paraId="452D8388" w14:textId="77777777" w:rsidTr="00097891">
        <w:trPr>
          <w:trHeight w:val="262"/>
        </w:trPr>
        <w:tc>
          <w:tcPr>
            <w:tcW w:w="2976" w:type="dxa"/>
          </w:tcPr>
          <w:p w14:paraId="25D4740F" w14:textId="77777777" w:rsidR="00956C33" w:rsidRPr="00956C33" w:rsidRDefault="00956C33" w:rsidP="00564C76">
            <w:pPr>
              <w:jc w:val="both"/>
              <w:rPr>
                <w:rFonts w:ascii="Cambria" w:hAnsi="Cambria"/>
              </w:rPr>
            </w:pPr>
            <w:r w:rsidRPr="00956C33">
              <w:rPr>
                <w:rFonts w:ascii="Cambria" w:hAnsi="Cambria"/>
              </w:rPr>
              <w:t>3F 25 amp</w:t>
            </w:r>
          </w:p>
        </w:tc>
        <w:tc>
          <w:tcPr>
            <w:tcW w:w="3402" w:type="dxa"/>
          </w:tcPr>
          <w:p w14:paraId="627532DF" w14:textId="77777777" w:rsidR="00956C33" w:rsidRPr="00956C33" w:rsidRDefault="00956C33" w:rsidP="00564C76">
            <w:pPr>
              <w:jc w:val="both"/>
              <w:rPr>
                <w:rFonts w:ascii="Cambria" w:hAnsi="Cambria"/>
              </w:rPr>
            </w:pPr>
            <w:r w:rsidRPr="00956C33">
              <w:rPr>
                <w:rFonts w:ascii="Cambria" w:hAnsi="Cambria"/>
              </w:rPr>
              <w:t>6,00 euro</w:t>
            </w:r>
          </w:p>
        </w:tc>
      </w:tr>
    </w:tbl>
    <w:p w14:paraId="7E1BCF2B" w14:textId="77777777" w:rsidR="00956C33" w:rsidRPr="00956C33" w:rsidRDefault="00956C33" w:rsidP="00956C33">
      <w:pPr>
        <w:ind w:firstLine="720"/>
        <w:jc w:val="both"/>
        <w:rPr>
          <w:rFonts w:ascii="Cambria" w:hAnsi="Cambria" w:cs="Times New Roman"/>
        </w:rPr>
      </w:pPr>
    </w:p>
    <w:p w14:paraId="0BE7B1DD" w14:textId="1A25BC88" w:rsidR="00956C33" w:rsidRPr="00956C33" w:rsidRDefault="00956C33" w:rsidP="00097891">
      <w:pPr>
        <w:spacing w:after="120"/>
        <w:jc w:val="both"/>
        <w:rPr>
          <w:rFonts w:ascii="Cambria" w:hAnsi="Cambria" w:cs="Times New Roman"/>
        </w:rPr>
      </w:pPr>
      <w:r w:rsidRPr="00956C33">
        <w:rPr>
          <w:rFonts w:ascii="Cambria" w:hAnsi="Cambria" w:cs="Times New Roman"/>
        </w:rPr>
        <w:t xml:space="preserve">Pārejas noteikumu kontekstā ar mājsaimniecībām saprot tādas privātpersonas, kuras izmantoja mājsaimniecībām noteikto </w:t>
      </w:r>
      <w:r w:rsidR="00A70572">
        <w:rPr>
          <w:rFonts w:ascii="Cambria" w:hAnsi="Cambria" w:cs="Times New Roman"/>
        </w:rPr>
        <w:t xml:space="preserve">elektroenerģijas sistēmas pakalpojumu </w:t>
      </w:r>
      <w:r w:rsidRPr="00956C33">
        <w:rPr>
          <w:rFonts w:ascii="Cambria" w:hAnsi="Cambria" w:cs="Times New Roman"/>
        </w:rPr>
        <w:t xml:space="preserve">tarifu </w:t>
      </w:r>
      <w:r w:rsidR="00A70572">
        <w:rPr>
          <w:rFonts w:ascii="Cambria" w:hAnsi="Cambria" w:cs="Times New Roman"/>
        </w:rPr>
        <w:t>līdz 2023.gada 31.jūnijam.</w:t>
      </w:r>
    </w:p>
    <w:p w14:paraId="3FB09663" w14:textId="099D7855" w:rsidR="00956C33" w:rsidRPr="00956C33" w:rsidRDefault="00DF7D1E" w:rsidP="00684665">
      <w:pPr>
        <w:spacing w:after="120"/>
        <w:jc w:val="both"/>
        <w:rPr>
          <w:rFonts w:ascii="Cambria" w:hAnsi="Cambria" w:cs="Times New Roman"/>
        </w:rPr>
      </w:pPr>
      <w:r w:rsidRPr="00DF7D1E">
        <w:rPr>
          <w:rFonts w:ascii="Cambria" w:hAnsi="Cambria" w:cs="Times New Roman"/>
        </w:rPr>
        <w:t xml:space="preserve">Elektroenerģijas sadales sistēmas operatora grozījumu Elektroenerģijas tirgus likumā pārejas noteikumos paredzēto normu izpildes rezultātā negūto ieņēmumu kompensēšanai nepieciešamais valsts budžeta finansējums </w:t>
      </w:r>
      <w:r w:rsidR="00A61B2F">
        <w:rPr>
          <w:rFonts w:ascii="Cambria" w:hAnsi="Cambria" w:cs="Times New Roman"/>
        </w:rPr>
        <w:t xml:space="preserve">sākotnēji tika </w:t>
      </w:r>
      <w:r w:rsidRPr="00DF7D1E">
        <w:rPr>
          <w:rFonts w:ascii="Cambria" w:hAnsi="Cambria" w:cs="Times New Roman"/>
        </w:rPr>
        <w:t>novērtēts līdz 50 milj. euro apmērā. Ministru kabineta 2023. gada 26. septembra sēdē (protokols Nr. 47, 43. §), pieņemot informatīvajā ziņojumā “Par priekšlikumiem valsts budžeta prioritārajiem pasākumiem 2024. gadam un budžeta ietvaram 2024.-2026. gadam”  (turpmāk - Prioritāro pasākumu informatīvais ziņojums), pieņēma lēmumu no 2024. gada akciju sabiedrības “Latvenergo” dividenžu maksājumiem 74. resorā “Gadskārtējā valsts budžeta izpildes procesā pārdalāmais finansējums” rezervēt papildu finansējumu prioritārajam pasākumam “Atbalsts elektroenerģijas tarifu pieauguma kompensēšanai” 2024. gadā 50 milj. euro apmērā.  Ņemot vērā</w:t>
      </w:r>
      <w:r w:rsidR="007351A7">
        <w:rPr>
          <w:rFonts w:ascii="Cambria" w:hAnsi="Cambria" w:cs="Times New Roman"/>
        </w:rPr>
        <w:t xml:space="preserve"> AS “Sadales tīkls” sniegto informāciju par tās negūto ieņēmumu daļu, kas radusies, piemērojot mājsaimniecību lietotājiem Elektroenerģijas tirgus likumā noteikto sistēmas pakalpojumu fiksētās komponentes izmaksu samazinājumu,</w:t>
      </w:r>
      <w:r w:rsidRPr="00DF7D1E">
        <w:rPr>
          <w:rFonts w:ascii="Cambria" w:hAnsi="Cambria" w:cs="Times New Roman"/>
        </w:rPr>
        <w:t xml:space="preserve"> Ministrijas aplēses par elektroenerģijas sistēmas tarifu pieauguma griestu noteikšanai nepieciešamo finansējuma apjomu</w:t>
      </w:r>
      <w:r w:rsidR="007351A7">
        <w:rPr>
          <w:rFonts w:ascii="Cambria" w:hAnsi="Cambria" w:cs="Times New Roman"/>
        </w:rPr>
        <w:t xml:space="preserve"> liecina, ka tas varētu nebūt pietiekams visu AS “Sadales tīkls” 2024.gadā negūto ieņēmumu segšanai.</w:t>
      </w:r>
      <w:r w:rsidRPr="00DF7D1E">
        <w:rPr>
          <w:rFonts w:ascii="Cambria" w:hAnsi="Cambria" w:cs="Times New Roman"/>
        </w:rPr>
        <w:t xml:space="preserve"> </w:t>
      </w:r>
      <w:r w:rsidR="001932BB">
        <w:rPr>
          <w:rFonts w:ascii="Cambria" w:hAnsi="Cambria" w:cs="Times New Roman"/>
        </w:rPr>
        <w:t xml:space="preserve">Provizoriskā AS “Sadales tīkls” nesegto ieņēmumu daļa varētu vedot 52-53 milj. euro. </w:t>
      </w:r>
      <w:r w:rsidR="007351A7">
        <w:rPr>
          <w:rFonts w:ascii="Cambria" w:hAnsi="Cambria" w:cs="Times New Roman"/>
        </w:rPr>
        <w:t>Ministrija nepieciešamības gadījumā izradīsi fiskāli neitrālu risinājumu AS “Sadales tīkls” negūto ieņēmumu segšanai</w:t>
      </w:r>
      <w:r w:rsidRPr="00DF7D1E">
        <w:rPr>
          <w:rFonts w:ascii="Cambria" w:hAnsi="Cambria" w:cs="Times New Roman"/>
        </w:rPr>
        <w:t>.</w:t>
      </w:r>
    </w:p>
    <w:p w14:paraId="748638E4" w14:textId="25163CE0" w:rsidR="00956C33" w:rsidRPr="00684665" w:rsidRDefault="00684665" w:rsidP="00684665">
      <w:pPr>
        <w:spacing w:after="120"/>
        <w:jc w:val="both"/>
        <w:rPr>
          <w:rFonts w:ascii="Cambria" w:hAnsi="Cambria" w:cs="Times New Roman"/>
          <w:i/>
          <w:iCs/>
          <w:color w:val="155452"/>
        </w:rPr>
      </w:pPr>
      <w:r>
        <w:rPr>
          <w:rFonts w:ascii="Cambria" w:hAnsi="Cambria" w:cs="Times New Roman"/>
          <w:i/>
          <w:iCs/>
          <w:color w:val="155452"/>
        </w:rPr>
        <w:t xml:space="preserve">2.1.2. </w:t>
      </w:r>
      <w:r w:rsidR="00956C33" w:rsidRPr="00684665">
        <w:rPr>
          <w:rFonts w:ascii="Cambria" w:hAnsi="Cambria" w:cs="Times New Roman"/>
          <w:i/>
          <w:iCs/>
          <w:color w:val="155452"/>
        </w:rPr>
        <w:t xml:space="preserve">Grozījumi likumā </w:t>
      </w:r>
      <w:r>
        <w:rPr>
          <w:rFonts w:ascii="Cambria" w:hAnsi="Cambria" w:cs="Times New Roman"/>
          <w:i/>
          <w:iCs/>
          <w:color w:val="155452"/>
        </w:rPr>
        <w:t>“</w:t>
      </w:r>
      <w:r w:rsidR="00956C33" w:rsidRPr="00684665">
        <w:rPr>
          <w:rFonts w:ascii="Cambria" w:hAnsi="Cambria" w:cs="Times New Roman"/>
          <w:i/>
          <w:iCs/>
          <w:color w:val="155452"/>
        </w:rPr>
        <w:t>Par sabiedrisko pakalpojumu regulatoriem</w:t>
      </w:r>
      <w:r>
        <w:rPr>
          <w:rFonts w:ascii="Cambria" w:hAnsi="Cambria" w:cs="Times New Roman"/>
          <w:i/>
          <w:iCs/>
          <w:color w:val="155452"/>
        </w:rPr>
        <w:t>”</w:t>
      </w:r>
    </w:p>
    <w:p w14:paraId="5C41765E" w14:textId="66243746" w:rsidR="00956C33" w:rsidRPr="00956C33" w:rsidRDefault="00684665" w:rsidP="00684665">
      <w:pPr>
        <w:spacing w:after="120"/>
        <w:jc w:val="both"/>
        <w:rPr>
          <w:rFonts w:ascii="Cambria" w:hAnsi="Cambria" w:cs="Times New Roman"/>
        </w:rPr>
      </w:pPr>
      <w:r>
        <w:rPr>
          <w:rFonts w:ascii="Cambria" w:hAnsi="Cambria" w:cs="Times New Roman"/>
        </w:rPr>
        <w:t>Grozījumi likumā “Par sabiedrisko pakalpojumu regulatoriem</w:t>
      </w:r>
      <w:r w:rsidR="00125E18">
        <w:rPr>
          <w:rFonts w:ascii="Cambria" w:hAnsi="Cambria" w:cs="Times New Roman"/>
        </w:rPr>
        <w:t xml:space="preserve">”, kas </w:t>
      </w:r>
      <w:r w:rsidR="00052E38">
        <w:rPr>
          <w:rFonts w:ascii="Cambria" w:hAnsi="Cambria" w:cs="Times New Roman"/>
        </w:rPr>
        <w:t>stājās spēkā 2024.gada 1.janvārī</w:t>
      </w:r>
      <w:r w:rsidR="00956C33" w:rsidRPr="00956C33">
        <w:rPr>
          <w:rFonts w:ascii="Cambria" w:hAnsi="Cambria" w:cs="Times New Roman"/>
        </w:rPr>
        <w:t xml:space="preserve">, pirmkārt, </w:t>
      </w:r>
      <w:r w:rsidR="00676257">
        <w:rPr>
          <w:rFonts w:ascii="Cambria" w:hAnsi="Cambria" w:cs="Times New Roman"/>
        </w:rPr>
        <w:t>paredz</w:t>
      </w:r>
      <w:r w:rsidR="00956C33" w:rsidRPr="00956C33">
        <w:rPr>
          <w:rFonts w:ascii="Cambria" w:hAnsi="Cambria" w:cs="Times New Roman"/>
        </w:rPr>
        <w:t xml:space="preserve"> pievienot jaun</w:t>
      </w:r>
      <w:r w:rsidR="00676257">
        <w:rPr>
          <w:rFonts w:ascii="Cambria" w:hAnsi="Cambria" w:cs="Times New Roman"/>
        </w:rPr>
        <w:t>u</w:t>
      </w:r>
      <w:r w:rsidR="00956C33" w:rsidRPr="00956C33">
        <w:rPr>
          <w:rFonts w:ascii="Cambria" w:hAnsi="Cambria" w:cs="Times New Roman"/>
        </w:rPr>
        <w:t xml:space="preserve"> </w:t>
      </w:r>
      <w:r w:rsidR="00956C33" w:rsidRPr="00684665">
        <w:rPr>
          <w:rFonts w:ascii="Cambria" w:hAnsi="Cambria" w:cs="Times New Roman"/>
        </w:rPr>
        <w:t>Regulatora funkcij</w:t>
      </w:r>
      <w:r w:rsidR="00676257">
        <w:rPr>
          <w:rFonts w:ascii="Cambria" w:hAnsi="Cambria" w:cs="Times New Roman"/>
        </w:rPr>
        <w:t>u</w:t>
      </w:r>
      <w:r w:rsidR="00956C33" w:rsidRPr="00684665">
        <w:rPr>
          <w:rFonts w:ascii="Cambria" w:hAnsi="Cambria" w:cs="Times New Roman"/>
        </w:rPr>
        <w:t xml:space="preserve"> noteikt nosacījumus tarifu vērtību pārskatīšanai</w:t>
      </w:r>
      <w:r w:rsidR="00956C33" w:rsidRPr="00956C33">
        <w:rPr>
          <w:rFonts w:ascii="Cambria" w:hAnsi="Cambria" w:cs="Times New Roman"/>
        </w:rPr>
        <w:t xml:space="preserve">, kas jāskata kontekstā ar </w:t>
      </w:r>
      <w:r w:rsidR="0092777D">
        <w:rPr>
          <w:rFonts w:ascii="Cambria" w:hAnsi="Cambria" w:cs="Times New Roman"/>
        </w:rPr>
        <w:t xml:space="preserve">iepriekš aprakstītajiem grozījumiem </w:t>
      </w:r>
      <w:r w:rsidR="00956C33" w:rsidRPr="00956C33">
        <w:rPr>
          <w:rFonts w:ascii="Cambria" w:hAnsi="Cambria" w:cs="Times New Roman"/>
        </w:rPr>
        <w:t xml:space="preserve">Elektroenerģijas tirgus likumā un </w:t>
      </w:r>
      <w:r w:rsidR="0092777D">
        <w:rPr>
          <w:rFonts w:ascii="Cambria" w:hAnsi="Cambria" w:cs="Times New Roman"/>
        </w:rPr>
        <w:t xml:space="preserve">grozījumiem </w:t>
      </w:r>
      <w:r w:rsidR="00956C33" w:rsidRPr="00956C33">
        <w:rPr>
          <w:rFonts w:ascii="Cambria" w:hAnsi="Cambria" w:cs="Times New Roman"/>
        </w:rPr>
        <w:t>Enerģētikas likumā</w:t>
      </w:r>
      <w:r w:rsidR="0092777D">
        <w:rPr>
          <w:rFonts w:ascii="Cambria" w:hAnsi="Cambria" w:cs="Times New Roman"/>
        </w:rPr>
        <w:t>, par ko informācija tiks sniegt</w:t>
      </w:r>
      <w:r w:rsidR="00676B0D">
        <w:rPr>
          <w:rFonts w:ascii="Cambria" w:hAnsi="Cambria" w:cs="Times New Roman"/>
        </w:rPr>
        <w:t>a turpmāk, n</w:t>
      </w:r>
      <w:r w:rsidR="00956C33" w:rsidRPr="00956C33">
        <w:rPr>
          <w:rFonts w:ascii="Cambria" w:hAnsi="Cambria" w:cs="Times New Roman"/>
        </w:rPr>
        <w:t>oteikto uzdevumu sistēmas operatoriem iesniegt Regulatoram jaunu sistēmas pakalpojumu tarifu projektu esošā regulatīvā perioda ietvaros, ja kopējās sistēmas pakalpojumu sniegšanas prognozētās izmaksas nākamajam tarifu periodam pārsniedz tarifu aprēķināšanas metodikā noteikto maksimāl</w:t>
      </w:r>
      <w:r w:rsidR="00D0162A">
        <w:rPr>
          <w:rFonts w:ascii="Cambria" w:hAnsi="Cambria" w:cs="Times New Roman"/>
        </w:rPr>
        <w:t>o</w:t>
      </w:r>
      <w:r w:rsidR="00956C33" w:rsidRPr="00956C33">
        <w:rPr>
          <w:rFonts w:ascii="Cambria" w:hAnsi="Cambria" w:cs="Times New Roman"/>
        </w:rPr>
        <w:t xml:space="preserve"> tarifu vērtību novirzes līmeni.</w:t>
      </w:r>
    </w:p>
    <w:p w14:paraId="5666D195" w14:textId="78A218B7" w:rsidR="00956C33" w:rsidRPr="00956C33" w:rsidRDefault="00956C33" w:rsidP="00684665">
      <w:pPr>
        <w:spacing w:after="120"/>
        <w:jc w:val="both"/>
        <w:rPr>
          <w:rFonts w:ascii="Cambria" w:hAnsi="Cambria" w:cs="Times New Roman"/>
        </w:rPr>
      </w:pPr>
      <w:r w:rsidRPr="00956C33">
        <w:rPr>
          <w:rFonts w:ascii="Cambria" w:hAnsi="Cambria" w:cs="Times New Roman"/>
        </w:rPr>
        <w:t xml:space="preserve">Otrkārt, </w:t>
      </w:r>
      <w:r w:rsidR="00D0162A">
        <w:rPr>
          <w:rFonts w:ascii="Cambria" w:hAnsi="Cambria" w:cs="Times New Roman"/>
        </w:rPr>
        <w:t>grozījumi likumā “Par sabiedrisko pakalpojumu regulatoriem”</w:t>
      </w:r>
      <w:r w:rsidRPr="00956C33">
        <w:rPr>
          <w:rFonts w:ascii="Cambria" w:hAnsi="Cambria" w:cs="Times New Roman"/>
        </w:rPr>
        <w:t xml:space="preserve"> precizē informāciju, kuru Regulatoram ir jāietver </w:t>
      </w:r>
      <w:r w:rsidRPr="00684665">
        <w:rPr>
          <w:rFonts w:ascii="Cambria" w:hAnsi="Cambria" w:cs="Times New Roman"/>
        </w:rPr>
        <w:t>ikgadējā pārskata ziņojumā Saeimai</w:t>
      </w:r>
      <w:r w:rsidRPr="00956C33">
        <w:rPr>
          <w:rFonts w:ascii="Cambria" w:hAnsi="Cambria" w:cs="Times New Roman"/>
        </w:rPr>
        <w:t xml:space="preserve">. Līdz šim likums nedetalizēja iesniedzamās informācijas apjomu attiecībā uz Regulatora darbību iepriekšējā gadā, bet </w:t>
      </w:r>
      <w:r w:rsidR="00125E18">
        <w:rPr>
          <w:rFonts w:ascii="Cambria" w:hAnsi="Cambria" w:cs="Times New Roman"/>
        </w:rPr>
        <w:t>grozījum</w:t>
      </w:r>
      <w:r w:rsidR="00052E38">
        <w:rPr>
          <w:rFonts w:ascii="Cambria" w:hAnsi="Cambria" w:cs="Times New Roman"/>
        </w:rPr>
        <w:t xml:space="preserve">os </w:t>
      </w:r>
      <w:r w:rsidRPr="00956C33">
        <w:rPr>
          <w:rFonts w:ascii="Cambria" w:hAnsi="Cambria" w:cs="Times New Roman"/>
        </w:rPr>
        <w:t xml:space="preserve">tiek noteikts, ka pārskata ziņojumā jāietver informācija gan attiecībā uz lielākajiem sabiedrisko pakalpojumu sniedzējiem apstiprinātajiem </w:t>
      </w:r>
      <w:r w:rsidRPr="00684665">
        <w:rPr>
          <w:rFonts w:ascii="Cambria" w:hAnsi="Cambria" w:cs="Times New Roman"/>
        </w:rPr>
        <w:t>tarifiem</w:t>
      </w:r>
      <w:r w:rsidRPr="00956C33">
        <w:rPr>
          <w:rFonts w:ascii="Cambria" w:hAnsi="Cambria" w:cs="Times New Roman"/>
        </w:rPr>
        <w:t xml:space="preserve">, gan attiecībā uz šo regulēto pakalpojumu sniedzēju iepriekšējā perioda tarifu </w:t>
      </w:r>
      <w:r w:rsidRPr="00684665">
        <w:rPr>
          <w:rFonts w:ascii="Cambria" w:hAnsi="Cambria" w:cs="Times New Roman"/>
        </w:rPr>
        <w:t>ieņēmumu un izdevumu novirzēm</w:t>
      </w:r>
      <w:r w:rsidRPr="00956C33">
        <w:rPr>
          <w:rFonts w:ascii="Cambria" w:hAnsi="Cambria" w:cs="Times New Roman"/>
        </w:rPr>
        <w:t xml:space="preserve"> no spēkā esošā tarifu projekta.</w:t>
      </w:r>
    </w:p>
    <w:p w14:paraId="41832E60" w14:textId="40E972BE" w:rsidR="00956C33" w:rsidRPr="00956C33" w:rsidRDefault="002A67C9" w:rsidP="00684665">
      <w:pPr>
        <w:spacing w:after="120"/>
        <w:jc w:val="both"/>
        <w:rPr>
          <w:rFonts w:ascii="Cambria" w:hAnsi="Cambria" w:cs="Times New Roman"/>
        </w:rPr>
      </w:pPr>
      <w:r>
        <w:rPr>
          <w:rFonts w:ascii="Cambria" w:hAnsi="Cambria" w:cs="Times New Roman"/>
        </w:rPr>
        <w:t>Grozījumiem likumā “Par sabiedrisko pakalpojumu regulatoriem”</w:t>
      </w:r>
      <w:r w:rsidR="00956C33" w:rsidRPr="00956C33">
        <w:rPr>
          <w:rFonts w:ascii="Cambria" w:hAnsi="Cambria" w:cs="Times New Roman"/>
        </w:rPr>
        <w:t xml:space="preserve"> nav ietekmes uz valsts budžetu.</w:t>
      </w:r>
    </w:p>
    <w:p w14:paraId="18F2F347" w14:textId="07CACA93" w:rsidR="00956C33" w:rsidRPr="002A67C9" w:rsidRDefault="002A67C9" w:rsidP="002A67C9">
      <w:pPr>
        <w:spacing w:after="120"/>
        <w:jc w:val="both"/>
        <w:rPr>
          <w:rFonts w:ascii="Cambria" w:hAnsi="Cambria" w:cs="Times New Roman"/>
          <w:i/>
          <w:iCs/>
          <w:color w:val="155452"/>
        </w:rPr>
      </w:pPr>
      <w:r>
        <w:rPr>
          <w:rFonts w:ascii="Cambria" w:hAnsi="Cambria" w:cs="Times New Roman"/>
          <w:i/>
          <w:iCs/>
          <w:color w:val="155452"/>
        </w:rPr>
        <w:t xml:space="preserve">2.1.3. </w:t>
      </w:r>
      <w:r w:rsidR="00956C33" w:rsidRPr="002A67C9">
        <w:rPr>
          <w:rFonts w:ascii="Cambria" w:hAnsi="Cambria" w:cs="Times New Roman"/>
          <w:i/>
          <w:iCs/>
          <w:color w:val="155452"/>
        </w:rPr>
        <w:t>Grozījumi Enerģētikas likumā</w:t>
      </w:r>
    </w:p>
    <w:p w14:paraId="3B6BA6F6" w14:textId="09D150C6" w:rsidR="00956C33" w:rsidRPr="00956C33" w:rsidRDefault="00956C33" w:rsidP="002A67C9">
      <w:pPr>
        <w:spacing w:after="120"/>
        <w:jc w:val="both"/>
        <w:rPr>
          <w:rFonts w:ascii="Cambria" w:hAnsi="Cambria" w:cs="Times New Roman"/>
        </w:rPr>
      </w:pPr>
      <w:r w:rsidRPr="00956C33">
        <w:rPr>
          <w:rFonts w:ascii="Cambria" w:hAnsi="Cambria" w:cs="Times New Roman"/>
        </w:rPr>
        <w:t xml:space="preserve">Analogi </w:t>
      </w:r>
      <w:r w:rsidR="00052E38">
        <w:rPr>
          <w:rFonts w:ascii="Cambria" w:hAnsi="Cambria" w:cs="Times New Roman"/>
        </w:rPr>
        <w:t>pieņemtajiem</w:t>
      </w:r>
      <w:r w:rsidR="006711D6">
        <w:rPr>
          <w:rFonts w:ascii="Cambria" w:hAnsi="Cambria" w:cs="Times New Roman"/>
        </w:rPr>
        <w:t xml:space="preserve"> groz</w:t>
      </w:r>
      <w:r w:rsidR="00E64A04">
        <w:rPr>
          <w:rFonts w:ascii="Cambria" w:hAnsi="Cambria" w:cs="Times New Roman"/>
        </w:rPr>
        <w:t>ī</w:t>
      </w:r>
      <w:r w:rsidR="006711D6">
        <w:rPr>
          <w:rFonts w:ascii="Cambria" w:hAnsi="Cambria" w:cs="Times New Roman"/>
        </w:rPr>
        <w:t xml:space="preserve">jumiem </w:t>
      </w:r>
      <w:r w:rsidRPr="00956C33">
        <w:rPr>
          <w:rFonts w:ascii="Cambria" w:hAnsi="Cambria" w:cs="Times New Roman"/>
        </w:rPr>
        <w:t xml:space="preserve">Elektroenerģijas tirgus likumā, kas skar elektroenerģijas nozari, </w:t>
      </w:r>
      <w:r w:rsidR="00052E38">
        <w:rPr>
          <w:rFonts w:ascii="Cambria" w:hAnsi="Cambria" w:cs="Times New Roman"/>
        </w:rPr>
        <w:t xml:space="preserve">Saeima ir pieņēmusi </w:t>
      </w:r>
      <w:r w:rsidR="00E64A04">
        <w:rPr>
          <w:rFonts w:ascii="Cambria" w:hAnsi="Cambria" w:cs="Times New Roman"/>
        </w:rPr>
        <w:t>grozījum</w:t>
      </w:r>
      <w:r w:rsidR="00052E38">
        <w:rPr>
          <w:rFonts w:ascii="Cambria" w:hAnsi="Cambria" w:cs="Times New Roman"/>
        </w:rPr>
        <w:t>us</w:t>
      </w:r>
      <w:r w:rsidR="00E64A04">
        <w:rPr>
          <w:rFonts w:ascii="Cambria" w:hAnsi="Cambria" w:cs="Times New Roman"/>
        </w:rPr>
        <w:t xml:space="preserve"> Enerģētikas likumā</w:t>
      </w:r>
      <w:r w:rsidR="00052E38">
        <w:rPr>
          <w:rFonts w:ascii="Cambria" w:hAnsi="Cambria" w:cs="Times New Roman"/>
        </w:rPr>
        <w:t>, kas stājās spēkā 2024.gada 1.janvārī,</w:t>
      </w:r>
      <w:r w:rsidRPr="00956C33">
        <w:rPr>
          <w:rFonts w:ascii="Cambria" w:hAnsi="Cambria" w:cs="Times New Roman"/>
        </w:rPr>
        <w:t xml:space="preserve"> paredz </w:t>
      </w:r>
      <w:r w:rsidRPr="002A67C9">
        <w:rPr>
          <w:rFonts w:ascii="Cambria" w:hAnsi="Cambria" w:cs="Times New Roman"/>
        </w:rPr>
        <w:t>gāzes sadales un pārvades sistēmas operatora</w:t>
      </w:r>
      <w:r w:rsidRPr="00956C33">
        <w:rPr>
          <w:rFonts w:ascii="Cambria" w:hAnsi="Cambria" w:cs="Times New Roman"/>
        </w:rPr>
        <w:t xml:space="preserve"> pienākumu iesniegt Regulator</w:t>
      </w:r>
      <w:r w:rsidR="00E64A04">
        <w:rPr>
          <w:rFonts w:ascii="Cambria" w:hAnsi="Cambria" w:cs="Times New Roman"/>
        </w:rPr>
        <w:t>am</w:t>
      </w:r>
      <w:r w:rsidRPr="00956C33">
        <w:rPr>
          <w:rFonts w:ascii="Cambria" w:hAnsi="Cambria" w:cs="Times New Roman"/>
        </w:rPr>
        <w:t xml:space="preserve"> jaunu sistēmas pakalpojumu tarifu projektu esošā regulatīvā perioda ietvaros, ja kopējās sistēmas pakalpojumu sniegšanas prognozētās izmaksas nākamajam tarifu periodam pārsniedz tarifu aprēķināšanas metodikā noteikto </w:t>
      </w:r>
      <w:r w:rsidRPr="002A67C9">
        <w:rPr>
          <w:rFonts w:ascii="Cambria" w:hAnsi="Cambria" w:cs="Times New Roman"/>
        </w:rPr>
        <w:t>maksimālo tarifu vērtību novirzes līmeni</w:t>
      </w:r>
      <w:r w:rsidRPr="00956C33">
        <w:rPr>
          <w:rFonts w:ascii="Cambria" w:hAnsi="Cambria" w:cs="Times New Roman"/>
        </w:rPr>
        <w:t xml:space="preserve">. </w:t>
      </w:r>
      <w:r w:rsidR="00052E38">
        <w:rPr>
          <w:rFonts w:ascii="Cambria" w:hAnsi="Cambria" w:cs="Times New Roman"/>
        </w:rPr>
        <w:t>Grozījumi</w:t>
      </w:r>
      <w:r w:rsidRPr="00956C33">
        <w:rPr>
          <w:rFonts w:ascii="Cambria" w:hAnsi="Cambria" w:cs="Times New Roman"/>
        </w:rPr>
        <w:t xml:space="preserve"> tostarp paredz, ka Regulatoram tarifu aprēķināšanas metodikā šis maksimālais tarifu vērtību novirzes līmenis ir jānosaka līdz 2025.gada 1.jūlijam, lai tas stātos spēkā ne vēlāk</w:t>
      </w:r>
      <w:r w:rsidR="007B5578">
        <w:rPr>
          <w:rFonts w:ascii="Cambria" w:hAnsi="Cambria" w:cs="Times New Roman"/>
        </w:rPr>
        <w:t>,</w:t>
      </w:r>
      <w:r w:rsidRPr="00956C33">
        <w:rPr>
          <w:rFonts w:ascii="Cambria" w:hAnsi="Cambria" w:cs="Times New Roman"/>
        </w:rPr>
        <w:t xml:space="preserve"> kā 2026.gada 1.janvārī.</w:t>
      </w:r>
    </w:p>
    <w:p w14:paraId="2BF0FFBD" w14:textId="250D7F86" w:rsidR="00956C33" w:rsidRPr="00956C33" w:rsidRDefault="00956C33" w:rsidP="002A67C9">
      <w:pPr>
        <w:spacing w:after="120"/>
        <w:jc w:val="both"/>
        <w:rPr>
          <w:rFonts w:ascii="Cambria" w:hAnsi="Cambria" w:cs="Times New Roman"/>
        </w:rPr>
      </w:pPr>
      <w:r w:rsidRPr="00956C33">
        <w:rPr>
          <w:rFonts w:ascii="Cambria" w:hAnsi="Cambria" w:cs="Times New Roman"/>
        </w:rPr>
        <w:t xml:space="preserve">Tāpat līdzvērtīgi </w:t>
      </w:r>
      <w:r w:rsidR="007B5578">
        <w:rPr>
          <w:rFonts w:ascii="Cambria" w:hAnsi="Cambria" w:cs="Times New Roman"/>
        </w:rPr>
        <w:t>grozījumiem E</w:t>
      </w:r>
      <w:r w:rsidRPr="00956C33">
        <w:rPr>
          <w:rFonts w:ascii="Cambria" w:hAnsi="Cambria" w:cs="Times New Roman"/>
        </w:rPr>
        <w:t xml:space="preserve">lektroenerģijas tirgus likumā, arī </w:t>
      </w:r>
      <w:r w:rsidR="007B5578">
        <w:rPr>
          <w:rFonts w:ascii="Cambria" w:hAnsi="Cambria" w:cs="Times New Roman"/>
        </w:rPr>
        <w:t xml:space="preserve">grozījumi </w:t>
      </w:r>
      <w:r w:rsidR="00052E38">
        <w:rPr>
          <w:rFonts w:ascii="Cambria" w:hAnsi="Cambria" w:cs="Times New Roman"/>
        </w:rPr>
        <w:t>E</w:t>
      </w:r>
      <w:r w:rsidR="007B5578">
        <w:rPr>
          <w:rFonts w:ascii="Cambria" w:hAnsi="Cambria" w:cs="Times New Roman"/>
        </w:rPr>
        <w:t>nerģētikas likumā</w:t>
      </w:r>
      <w:r w:rsidRPr="00956C33">
        <w:rPr>
          <w:rFonts w:ascii="Cambria" w:hAnsi="Cambria" w:cs="Times New Roman"/>
        </w:rPr>
        <w:t xml:space="preserve"> paredz pienākumu gāzes sadales un pārvades sistēmas operatoriem</w:t>
      </w:r>
      <w:r w:rsidR="00E5003B">
        <w:rPr>
          <w:rFonts w:ascii="Cambria" w:hAnsi="Cambria" w:cs="Times New Roman"/>
        </w:rPr>
        <w:t>,</w:t>
      </w:r>
      <w:r w:rsidRPr="00956C33">
        <w:rPr>
          <w:rFonts w:ascii="Cambria" w:hAnsi="Cambria" w:cs="Times New Roman"/>
        </w:rPr>
        <w:t xml:space="preserve"> izstrādājot jau šobrīd noteiktos </w:t>
      </w:r>
      <w:r w:rsidRPr="002A67C9">
        <w:rPr>
          <w:rFonts w:ascii="Cambria" w:hAnsi="Cambria" w:cs="Times New Roman"/>
        </w:rPr>
        <w:t>10 gadu sistēmas attīstības plānus</w:t>
      </w:r>
      <w:r w:rsidRPr="00956C33">
        <w:rPr>
          <w:rFonts w:ascii="Cambria" w:hAnsi="Cambria" w:cs="Times New Roman"/>
        </w:rPr>
        <w:t>, tajos cita</w:t>
      </w:r>
      <w:r w:rsidR="005D6524">
        <w:rPr>
          <w:rFonts w:ascii="Cambria" w:hAnsi="Cambria" w:cs="Times New Roman"/>
        </w:rPr>
        <w:t xml:space="preserve"> </w:t>
      </w:r>
      <w:r w:rsidRPr="00956C33">
        <w:rPr>
          <w:rFonts w:ascii="Cambria" w:hAnsi="Cambria" w:cs="Times New Roman"/>
        </w:rPr>
        <w:t xml:space="preserve">starpā ietvert arī </w:t>
      </w:r>
      <w:r w:rsidRPr="002A67C9">
        <w:rPr>
          <w:rFonts w:ascii="Cambria" w:hAnsi="Cambria" w:cs="Times New Roman"/>
        </w:rPr>
        <w:t>dabasgāzes sadales un pārvades sistēmas pakalpojumu tarifu prognozes</w:t>
      </w:r>
      <w:r w:rsidRPr="00956C33">
        <w:rPr>
          <w:rFonts w:ascii="Cambria" w:hAnsi="Cambria" w:cs="Times New Roman"/>
        </w:rPr>
        <w:t>.</w:t>
      </w:r>
    </w:p>
    <w:p w14:paraId="11A18BE9" w14:textId="09BD5F7B" w:rsidR="00FC5AB8" w:rsidRDefault="00E5003B" w:rsidP="002A67C9">
      <w:pPr>
        <w:spacing w:after="120"/>
        <w:jc w:val="both"/>
        <w:rPr>
          <w:rFonts w:ascii="Cambria" w:hAnsi="Cambria" w:cs="Times New Roman"/>
        </w:rPr>
      </w:pPr>
      <w:r>
        <w:rPr>
          <w:rFonts w:ascii="Cambria" w:hAnsi="Cambria" w:cs="Times New Roman"/>
        </w:rPr>
        <w:t>Grozījumiem Enerģētikas likumā</w:t>
      </w:r>
      <w:r w:rsidR="00956C33" w:rsidRPr="00956C33">
        <w:rPr>
          <w:rFonts w:ascii="Cambria" w:hAnsi="Cambria" w:cs="Times New Roman"/>
        </w:rPr>
        <w:t xml:space="preserve"> nav ietekmes uz valsts budžetu.</w:t>
      </w:r>
    </w:p>
    <w:p w14:paraId="665D3A1B" w14:textId="7832FB43" w:rsidR="00FC5AB8" w:rsidRPr="00F64B46" w:rsidRDefault="00FC5AB8" w:rsidP="001F5F77">
      <w:pPr>
        <w:pStyle w:val="Heading1"/>
      </w:pPr>
      <w:r>
        <w:t>2</w:t>
      </w:r>
      <w:r w:rsidRPr="00F64B46">
        <w:t>.</w:t>
      </w:r>
      <w:r>
        <w:t>2</w:t>
      </w:r>
      <w:r w:rsidRPr="00F64B46">
        <w:t>. Atbalsts elektroenerģijas sistēmas pakalpojumu izmaksu pieauguma mazināšanai elektroenerģijas apakšlietotājiem</w:t>
      </w:r>
    </w:p>
    <w:p w14:paraId="37012C72" w14:textId="6EB8B874" w:rsidR="00A85E2B" w:rsidRPr="00A85E2B" w:rsidRDefault="000C10D9" w:rsidP="00A85E2B">
      <w:pPr>
        <w:spacing w:after="120"/>
        <w:jc w:val="both"/>
        <w:rPr>
          <w:rFonts w:ascii="Cambria" w:hAnsi="Cambria" w:cs="Times New Roman"/>
        </w:rPr>
      </w:pPr>
      <w:r>
        <w:rPr>
          <w:rFonts w:ascii="Cambria" w:hAnsi="Cambria" w:cs="Times New Roman"/>
        </w:rPr>
        <w:t>E</w:t>
      </w:r>
      <w:r w:rsidR="00A85E2B" w:rsidRPr="00A85E2B">
        <w:rPr>
          <w:rFonts w:ascii="Cambria" w:hAnsi="Cambria" w:cs="Times New Roman"/>
        </w:rPr>
        <w:t xml:space="preserve">lektroenerģijas sektors </w:t>
      </w:r>
      <w:r w:rsidR="00F835DE">
        <w:rPr>
          <w:rFonts w:ascii="Cambria" w:hAnsi="Cambria" w:cs="Times New Roman"/>
        </w:rPr>
        <w:t xml:space="preserve">normatīvais regulējums un faktiskā rīcība tiek balstīta </w:t>
      </w:r>
      <w:r w:rsidR="00A85E2B" w:rsidRPr="00A85E2B">
        <w:rPr>
          <w:rFonts w:ascii="Cambria" w:hAnsi="Cambria" w:cs="Times New Roman"/>
        </w:rPr>
        <w:t>uz  Enerģētikas likumā noteikto mājsaimniecības lietotāja definīciju, kas nosaka</w:t>
      </w:r>
      <w:r w:rsidR="00F835DE">
        <w:rPr>
          <w:rFonts w:ascii="Cambria" w:hAnsi="Cambria" w:cs="Times New Roman"/>
        </w:rPr>
        <w:t xml:space="preserve">, ka </w:t>
      </w:r>
      <w:r w:rsidR="00A85E2B" w:rsidRPr="00A85E2B">
        <w:rPr>
          <w:rFonts w:ascii="Cambria" w:hAnsi="Cambria" w:cs="Times New Roman"/>
        </w:rPr>
        <w:t xml:space="preserve">mājsaimniecības lietotājs </w:t>
      </w:r>
      <w:r w:rsidR="00F835DE">
        <w:rPr>
          <w:rFonts w:ascii="Cambria" w:hAnsi="Cambria" w:cs="Times New Roman"/>
        </w:rPr>
        <w:t>ir</w:t>
      </w:r>
      <w:r w:rsidR="00A85E2B" w:rsidRPr="00A85E2B">
        <w:rPr>
          <w:rFonts w:ascii="Cambria" w:hAnsi="Cambria" w:cs="Times New Roman"/>
        </w:rPr>
        <w:t xml:space="preserve"> galalietotājs, kurš pērk un izlieto enerģiju savā mājsaimniecībā paša vajadzībām (galapatēriņam), izņemot komercdarbības vai cita veida profesionālās darbības vajadzības. Esošā definīcija neļauj elektroenerģijas sistēmas operatoram, elektroenerģijas tirgotājam precīzi un nepārprotami identificēt mājsaimniecības lietotājus, jo nav iespējams noskaidrot, kādiem nolūkiem piegādātā elektroenerģija tiek izmantota. To vēl vairāk apgrūtina lietotāja-apakšlietotāja attiecību pastāvēšana elektroapgādes sektorā. Turklāt vienā adresē (lietotāja objektā) piegādātā elektroenerģija var tikt izmantota gan  galalietotāja paša privātajām vajadzībām, kā arī vienlaikus var tikt izmantota komercdarbības vai cita veida profesionālās darbības nodrošināšanai, piemēram, elektroauto uzlādei, kas tiek izmantots taksometra pakalpojumu sniegšanai. </w:t>
      </w:r>
      <w:r w:rsidR="00A63EEC">
        <w:rPr>
          <w:rFonts w:ascii="Cambria" w:hAnsi="Cambria" w:cs="Times New Roman"/>
        </w:rPr>
        <w:t>Ņe</w:t>
      </w:r>
      <w:r w:rsidR="00345BED">
        <w:rPr>
          <w:rFonts w:ascii="Cambria" w:hAnsi="Cambria" w:cs="Times New Roman"/>
        </w:rPr>
        <w:t xml:space="preserve">mot vērā minēto, būtu nepieciešams izvērtēt, vai </w:t>
      </w:r>
      <w:r w:rsidR="00A85E2B" w:rsidRPr="00A85E2B">
        <w:rPr>
          <w:rFonts w:ascii="Cambria" w:hAnsi="Cambria" w:cs="Times New Roman"/>
        </w:rPr>
        <w:t xml:space="preserve">elektroapgādes jomā ir nepieciešams konceptuāli pārskatīt mājsaimniecības lietotāja definīciju un uz elektroenerģijas sistēmas un tirgus dalībniekiem skaidri novērtējamu kritēriju bāzes noteikt, kuri sistēmas lietotāji (neņemot vērā apakšlietotājus) Elektroenerģijas tirgus likuma izpratnē ir uzskatāmi par mājsaimniecības lietotājiem. </w:t>
      </w:r>
      <w:r w:rsidR="00345BED">
        <w:rPr>
          <w:rFonts w:ascii="Cambria" w:hAnsi="Cambria" w:cs="Times New Roman"/>
        </w:rPr>
        <w:t xml:space="preserve">Pirmsšķietami </w:t>
      </w:r>
      <w:r w:rsidR="00A85E2B" w:rsidRPr="00A85E2B">
        <w:rPr>
          <w:rFonts w:ascii="Cambria" w:hAnsi="Cambria" w:cs="Times New Roman"/>
        </w:rPr>
        <w:t xml:space="preserve"> Elektroenerģijas tirgus likum</w:t>
      </w:r>
      <w:r w:rsidR="005829DC">
        <w:rPr>
          <w:rFonts w:ascii="Cambria" w:hAnsi="Cambria" w:cs="Times New Roman"/>
        </w:rPr>
        <w:t>ā</w:t>
      </w:r>
      <w:r w:rsidR="00A85E2B" w:rsidRPr="00A85E2B">
        <w:rPr>
          <w:rFonts w:ascii="Cambria" w:hAnsi="Cambria" w:cs="Times New Roman"/>
        </w:rPr>
        <w:t xml:space="preserve"> būtu nosakāms, ka par mājsaimniecības lietotājiem šī likuma izpratnē tiek uzskatīti elektroenerģijas lietotāji, kas atbilst noteiktiem un precīzi identificējamiem nosacījumiem – pakalpojuma saņēmējs ir fiziska persona un pakalpojuma saņemšanai tiek izmantots elektroenerģijas sistēmas pieslēgums ar spriegumu līdz 0,4 kV un ievadaizsardzības aparāta lielumu līdz 100A. </w:t>
      </w:r>
      <w:r w:rsidR="00EC0A31">
        <w:rPr>
          <w:rFonts w:ascii="Cambria" w:hAnsi="Cambria" w:cs="Times New Roman"/>
        </w:rPr>
        <w:t xml:space="preserve">Šādas definīcijas ietveršana Elektroenerģijas tirgus likumā ilgtermiņā ļautu vienkāršāk identificēt mājsaimniecību lietotāju pieslēgumus, kas </w:t>
      </w:r>
      <w:r w:rsidR="006D378F">
        <w:rPr>
          <w:rFonts w:ascii="Cambria" w:hAnsi="Cambria" w:cs="Times New Roman"/>
        </w:rPr>
        <w:t>mazinātu administratīvo slogu situācijās, kad šādu pieslēgumu identificēšana ir nepieciešama.</w:t>
      </w:r>
    </w:p>
    <w:p w14:paraId="5BC8B122" w14:textId="5AD3E121" w:rsidR="00FC5AB8" w:rsidRDefault="005D6524" w:rsidP="00A85E2B">
      <w:pPr>
        <w:spacing w:after="120"/>
        <w:jc w:val="both"/>
        <w:rPr>
          <w:rFonts w:ascii="Cambria" w:hAnsi="Cambria" w:cs="Times New Roman"/>
        </w:rPr>
      </w:pPr>
      <w:r>
        <w:rPr>
          <w:rFonts w:ascii="Cambria" w:hAnsi="Cambria" w:cs="Times New Roman"/>
        </w:rPr>
        <w:t>L</w:t>
      </w:r>
      <w:r w:rsidR="00EC0A31">
        <w:rPr>
          <w:rFonts w:ascii="Cambria" w:hAnsi="Cambria" w:cs="Times New Roman"/>
        </w:rPr>
        <w:t xml:space="preserve">ai </w:t>
      </w:r>
      <w:r>
        <w:rPr>
          <w:rFonts w:ascii="Cambria" w:hAnsi="Cambria" w:cs="Times New Roman"/>
        </w:rPr>
        <w:t>vidējā termiņā</w:t>
      </w:r>
      <w:r w:rsidR="00FD16A4">
        <w:rPr>
          <w:rFonts w:ascii="Cambria" w:hAnsi="Cambria" w:cs="Times New Roman"/>
        </w:rPr>
        <w:t xml:space="preserve"> no atbalsta elektroenerģijas sistēmas pakalpojumu  izmaksu mazināšanai saņēmēju loka neizslēgtu mājsaimniecības, k</w:t>
      </w:r>
      <w:r w:rsidR="005066F7">
        <w:rPr>
          <w:rFonts w:ascii="Cambria" w:hAnsi="Cambria" w:cs="Times New Roman"/>
        </w:rPr>
        <w:t>urām elektroenerģija tiek piegādāta, balstoties uz juridiskas personas noslēgtu elektroenerģijas tirdzniecības līgumu, Ministrijai būtu nepieciešams noteikumos par elektroenerģijas tirdzniecību un lietošanu paredzēt</w:t>
      </w:r>
      <w:r w:rsidR="005066F7" w:rsidRPr="005066F7">
        <w:rPr>
          <w:rFonts w:ascii="Cambria" w:hAnsi="Cambria" w:cs="Times New Roman"/>
        </w:rPr>
        <w:t xml:space="preserve"> kārtību, kādā tiek identificēti fiziskās personas elektroenerģijas sadales sistēmas pieslēgumi ar spriegumu līdz 0,4 kilovoltiem.</w:t>
      </w:r>
    </w:p>
    <w:p w14:paraId="1634B6E2" w14:textId="7EE1CDE9" w:rsidR="00386392" w:rsidRDefault="00C87C0D" w:rsidP="00A85E2B">
      <w:pPr>
        <w:spacing w:after="120"/>
        <w:jc w:val="both"/>
        <w:rPr>
          <w:rFonts w:ascii="Cambria" w:hAnsi="Cambria" w:cs="Times New Roman"/>
        </w:rPr>
      </w:pPr>
      <w:r>
        <w:rPr>
          <w:rFonts w:ascii="Cambria" w:hAnsi="Cambria" w:cs="Times New Roman"/>
        </w:rPr>
        <w:t xml:space="preserve">Augstāk minētajiem provizoriskajiem grozījumiem tiesību aktos </w:t>
      </w:r>
      <w:r w:rsidRPr="00956C33">
        <w:rPr>
          <w:rFonts w:ascii="Cambria" w:hAnsi="Cambria" w:cs="Times New Roman"/>
        </w:rPr>
        <w:t>nav ietekmes uz valsts budžetu.</w:t>
      </w:r>
    </w:p>
    <w:p w14:paraId="672071CF" w14:textId="0E64762C" w:rsidR="00E06A50" w:rsidRPr="003815E0" w:rsidRDefault="00E06A50" w:rsidP="001F5F77">
      <w:pPr>
        <w:pStyle w:val="Heading1"/>
      </w:pPr>
      <w:r>
        <w:t xml:space="preserve">2.3. </w:t>
      </w:r>
      <w:r w:rsidR="00271D6A">
        <w:t>Risinājums identificētajai e</w:t>
      </w:r>
      <w:r>
        <w:t>lektroenerģijas apakšlietotāja problemātika</w:t>
      </w:r>
      <w:r w:rsidR="00271D6A">
        <w:t>i</w:t>
      </w:r>
    </w:p>
    <w:p w14:paraId="626EACCF" w14:textId="7C6C5867" w:rsidR="00E06A50" w:rsidRDefault="00AD2F96" w:rsidP="00A85E2B">
      <w:pPr>
        <w:spacing w:after="120"/>
        <w:jc w:val="both"/>
        <w:rPr>
          <w:rFonts w:ascii="Cambria" w:hAnsi="Cambria" w:cs="Times New Roman"/>
        </w:rPr>
      </w:pPr>
      <w:r>
        <w:rPr>
          <w:rFonts w:ascii="Cambria" w:hAnsi="Cambria" w:cs="Times New Roman"/>
        </w:rPr>
        <w:t xml:space="preserve">Lai ilgtermiņā risinātu augstāk identificēto elektroenerģijas apakšlietotāju problemātiku, kā arī nepieļautu </w:t>
      </w:r>
      <w:r w:rsidR="004B3DB8">
        <w:rPr>
          <w:rFonts w:ascii="Cambria" w:hAnsi="Cambria" w:cs="Times New Roman"/>
        </w:rPr>
        <w:t xml:space="preserve">elektroenerģijas apakšlietotāju skaita palielināšanos, </w:t>
      </w:r>
      <w:r w:rsidRPr="00AD2F96">
        <w:rPr>
          <w:rFonts w:ascii="Cambria" w:hAnsi="Cambria" w:cs="Times New Roman"/>
        </w:rPr>
        <w:t>ilgtermiņā projektu attīstītājiem jau būvprojekta saskaņošanas stadijā ir jāliedz iespēja īstenot tādus risinājums, kuros uz visu dau</w:t>
      </w:r>
      <w:r w:rsidR="00CA43A1">
        <w:rPr>
          <w:rFonts w:ascii="Cambria" w:hAnsi="Cambria" w:cs="Times New Roman"/>
        </w:rPr>
        <w:t>dz</w:t>
      </w:r>
      <w:r w:rsidRPr="00AD2F96">
        <w:rPr>
          <w:rFonts w:ascii="Cambria" w:hAnsi="Cambria" w:cs="Times New Roman"/>
        </w:rPr>
        <w:t xml:space="preserve">dzīvokļu ēku vai ēku kopumu tiek nodrošināts tikai viens elektroenerģijas sistēmas pieslēgums. </w:t>
      </w:r>
      <w:r w:rsidR="00311520">
        <w:rPr>
          <w:rFonts w:ascii="Cambria" w:hAnsi="Cambria" w:cs="Times New Roman"/>
        </w:rPr>
        <w:t xml:space="preserve">Lai nodrošinātu šāda aizlieguma ieviešanu, būtu veicami grozījumi </w:t>
      </w:r>
      <w:r w:rsidRPr="00AD2F96">
        <w:rPr>
          <w:rFonts w:ascii="Cambria" w:hAnsi="Cambria" w:cs="Times New Roman"/>
        </w:rPr>
        <w:t>būvniecību regulējošaj</w:t>
      </w:r>
      <w:r w:rsidR="00311520">
        <w:rPr>
          <w:rFonts w:ascii="Cambria" w:hAnsi="Cambria" w:cs="Times New Roman"/>
        </w:rPr>
        <w:t>os</w:t>
      </w:r>
      <w:r w:rsidRPr="00AD2F96">
        <w:rPr>
          <w:rFonts w:ascii="Cambria" w:hAnsi="Cambria" w:cs="Times New Roman"/>
        </w:rPr>
        <w:t xml:space="preserve"> normatīvaj</w:t>
      </w:r>
      <w:r w:rsidR="00311520">
        <w:rPr>
          <w:rFonts w:ascii="Cambria" w:hAnsi="Cambria" w:cs="Times New Roman"/>
        </w:rPr>
        <w:t>os</w:t>
      </w:r>
      <w:r w:rsidRPr="00AD2F96">
        <w:rPr>
          <w:rFonts w:ascii="Cambria" w:hAnsi="Cambria" w:cs="Times New Roman"/>
        </w:rPr>
        <w:t xml:space="preserve"> akt</w:t>
      </w:r>
      <w:r w:rsidR="00311520">
        <w:rPr>
          <w:rFonts w:ascii="Cambria" w:hAnsi="Cambria" w:cs="Times New Roman"/>
        </w:rPr>
        <w:t>os</w:t>
      </w:r>
      <w:r w:rsidR="00C612BD">
        <w:rPr>
          <w:rFonts w:ascii="Cambria" w:hAnsi="Cambria" w:cs="Times New Roman"/>
        </w:rPr>
        <w:t>.</w:t>
      </w:r>
    </w:p>
    <w:p w14:paraId="60FCD246" w14:textId="4D34DFAC" w:rsidR="00C87C0D" w:rsidRDefault="00C87C0D" w:rsidP="00A85E2B">
      <w:pPr>
        <w:spacing w:after="120"/>
        <w:jc w:val="both"/>
        <w:rPr>
          <w:rFonts w:ascii="Cambria" w:hAnsi="Cambria" w:cs="Times New Roman"/>
        </w:rPr>
      </w:pPr>
      <w:r>
        <w:rPr>
          <w:rFonts w:ascii="Cambria" w:hAnsi="Cambria" w:cs="Times New Roman"/>
        </w:rPr>
        <w:t xml:space="preserve">Augstāk minētajiem provizoriskajiem grozījumiem tiesību aktos </w:t>
      </w:r>
      <w:r w:rsidRPr="00956C33">
        <w:rPr>
          <w:rFonts w:ascii="Cambria" w:hAnsi="Cambria" w:cs="Times New Roman"/>
        </w:rPr>
        <w:t>nav ietekmes uz valsts budžetu.</w:t>
      </w:r>
    </w:p>
    <w:p w14:paraId="0D64F15F" w14:textId="650F6894" w:rsidR="005A65D8" w:rsidRDefault="005A65D8" w:rsidP="005A65D8">
      <w:pPr>
        <w:pStyle w:val="Heading1"/>
      </w:pPr>
      <w:r w:rsidRPr="005A65D8">
        <w:t xml:space="preserve">2.4. </w:t>
      </w:r>
      <w:r>
        <w:t xml:space="preserve">Izvērtējums par </w:t>
      </w:r>
      <w:r w:rsidRPr="001F5F77">
        <w:rPr>
          <w:rFonts w:cs="Times New Roman"/>
        </w:rPr>
        <w:t>AS “Augstsprieguma tīkls” un AS “Sadales tīkls” apvienošan</w:t>
      </w:r>
      <w:r>
        <w:rPr>
          <w:rFonts w:cs="Times New Roman"/>
        </w:rPr>
        <w:t>u</w:t>
      </w:r>
    </w:p>
    <w:p w14:paraId="30507CC3" w14:textId="57C9B0B9" w:rsidR="00C612BD" w:rsidRDefault="005A65D8" w:rsidP="00A85E2B">
      <w:pPr>
        <w:spacing w:after="120"/>
        <w:jc w:val="both"/>
        <w:rPr>
          <w:rFonts w:ascii="Cambria" w:hAnsi="Cambria" w:cs="Times New Roman"/>
        </w:rPr>
      </w:pPr>
      <w:r>
        <w:rPr>
          <w:rFonts w:ascii="Cambria" w:hAnsi="Cambria" w:cs="Times New Roman"/>
        </w:rPr>
        <w:t xml:space="preserve">Attiecībā uz Saeimas </w:t>
      </w:r>
      <w:r w:rsidRPr="001F5F77">
        <w:rPr>
          <w:rFonts w:ascii="Cambria" w:hAnsi="Cambria" w:cs="Times New Roman"/>
        </w:rPr>
        <w:t xml:space="preserve">Tautsaimniecības, agrārās, vides un reģionālās attīstības komisijas </w:t>
      </w:r>
      <w:r>
        <w:rPr>
          <w:rFonts w:ascii="Cambria" w:hAnsi="Cambria" w:cs="Times New Roman"/>
        </w:rPr>
        <w:t>doto</w:t>
      </w:r>
      <w:r w:rsidRPr="001F5F77">
        <w:rPr>
          <w:rFonts w:ascii="Cambria" w:hAnsi="Cambria" w:cs="Times New Roman"/>
        </w:rPr>
        <w:t xml:space="preserve"> uzdevum</w:t>
      </w:r>
      <w:r>
        <w:rPr>
          <w:rFonts w:ascii="Cambria" w:hAnsi="Cambria" w:cs="Times New Roman"/>
        </w:rPr>
        <w:t>u Ministrijai</w:t>
      </w:r>
      <w:r w:rsidRPr="001F5F77">
        <w:rPr>
          <w:rFonts w:ascii="Cambria" w:hAnsi="Cambria" w:cs="Times New Roman"/>
        </w:rPr>
        <w:t xml:space="preserve"> veikt visaptverošu analīzi par AS “Augstsprieguma tīkls” un AS “Sadales tīkls” apvienošanu vienā uzņēmumā, kas varētu dot būtiskus ietaupījumus izmaksās un ļautu ilgtermiņā efektīvāk izmantot resursus tīkla attīstībai</w:t>
      </w:r>
      <w:r>
        <w:rPr>
          <w:rFonts w:ascii="Cambria" w:hAnsi="Cambria" w:cs="Times New Roman"/>
        </w:rPr>
        <w:t xml:space="preserve">, kā arī varētu mazināt izmaksu ietekmi uz elektroenerģijas sistēmas pakalpojumu izmaksu pieaugumu, Ministrijas ieskatā </w:t>
      </w:r>
      <w:r w:rsidRPr="00EE0E3E">
        <w:rPr>
          <w:rFonts w:ascii="Cambria" w:hAnsi="Cambria" w:cs="Times New Roman"/>
        </w:rPr>
        <w:t xml:space="preserve">šāds izvērtējums ir jānodrošina. </w:t>
      </w:r>
      <w:r>
        <w:rPr>
          <w:rFonts w:ascii="Cambria" w:hAnsi="Cambria" w:cs="Times New Roman"/>
        </w:rPr>
        <w:t xml:space="preserve">Ņemot vērā, ka uzņēmumu apvienošana ir jāvērtē kopsakarā ar uzņēmumu finanšu rādītājiem, </w:t>
      </w:r>
      <w:r w:rsidRPr="00AE432E">
        <w:rPr>
          <w:rFonts w:ascii="Cambria" w:hAnsi="Cambria" w:cs="Times New Roman"/>
        </w:rPr>
        <w:t xml:space="preserve">likviditāti, kredītreitingiem, </w:t>
      </w:r>
      <w:r>
        <w:rPr>
          <w:rFonts w:ascii="Cambria" w:hAnsi="Cambria" w:cs="Times New Roman"/>
        </w:rPr>
        <w:t>u.c. rādītājiem, kas būtiski</w:t>
      </w:r>
      <w:r w:rsidRPr="00AE432E">
        <w:rPr>
          <w:rFonts w:ascii="Cambria" w:hAnsi="Cambria" w:cs="Times New Roman"/>
        </w:rPr>
        <w:t xml:space="preserve"> ietekmē uzņēmumu ilgtermiņa finansējuma piesaistes un attīstības iespējas</w:t>
      </w:r>
      <w:r>
        <w:rPr>
          <w:rFonts w:ascii="Cambria" w:hAnsi="Cambria" w:cs="Times New Roman"/>
        </w:rPr>
        <w:t>, šāda izvērtējuma veikšanai ir nepieciešams piesaistīt papildu resursu, un tas būtu veicam ilgtermiņā.</w:t>
      </w:r>
    </w:p>
    <w:p w14:paraId="5EE1A69D" w14:textId="2FFA4B93" w:rsidR="005A65D8" w:rsidRDefault="00C66008" w:rsidP="00A85E2B">
      <w:pPr>
        <w:spacing w:after="120"/>
        <w:jc w:val="both"/>
        <w:rPr>
          <w:rFonts w:ascii="Cambria" w:hAnsi="Cambria" w:cs="Times New Roman"/>
        </w:rPr>
      </w:pPr>
      <w:r>
        <w:rPr>
          <w:rFonts w:ascii="Cambria" w:hAnsi="Cambria" w:cs="Times New Roman"/>
        </w:rPr>
        <w:t>Saskaņā ar Ministru kabineta 2024.gada 9.aprīlī pieņemtā informatīvā ziņojuma “</w:t>
      </w:r>
      <w:r w:rsidRPr="00C66008">
        <w:rPr>
          <w:rFonts w:ascii="Cambria" w:hAnsi="Cambria" w:cs="Times New Roman"/>
        </w:rPr>
        <w:t>Par valsts un pašvaldību kapitālsabiedrībām, kas virzāmas sākotnējam publiskam piedāvājumam</w:t>
      </w:r>
      <w:r>
        <w:rPr>
          <w:rFonts w:ascii="Cambria" w:hAnsi="Cambria" w:cs="Times New Roman"/>
        </w:rPr>
        <w:t>” (</w:t>
      </w:r>
      <w:r w:rsidRPr="00C66008">
        <w:rPr>
          <w:rFonts w:ascii="Cambria" w:hAnsi="Cambria" w:cs="Times New Roman"/>
        </w:rPr>
        <w:t>prot. Nr.15 70.§</w:t>
      </w:r>
      <w:r>
        <w:rPr>
          <w:rFonts w:ascii="Cambria" w:hAnsi="Cambria" w:cs="Times New Roman"/>
        </w:rPr>
        <w:t xml:space="preserve">) protokollēmuma 3.4.punktā noteikto </w:t>
      </w:r>
      <w:r w:rsidRPr="00C66008">
        <w:rPr>
          <w:rFonts w:ascii="Cambria" w:hAnsi="Cambria" w:cs="Times New Roman"/>
        </w:rPr>
        <w:t xml:space="preserve">AS </w:t>
      </w:r>
      <w:r>
        <w:rPr>
          <w:rFonts w:ascii="Cambria" w:hAnsi="Cambria" w:cs="Times New Roman"/>
        </w:rPr>
        <w:t>“</w:t>
      </w:r>
      <w:r w:rsidRPr="00C66008">
        <w:rPr>
          <w:rFonts w:ascii="Cambria" w:hAnsi="Cambria" w:cs="Times New Roman"/>
        </w:rPr>
        <w:t>Latvenergo</w:t>
      </w:r>
      <w:r>
        <w:rPr>
          <w:rFonts w:ascii="Cambria" w:hAnsi="Cambria" w:cs="Times New Roman"/>
        </w:rPr>
        <w:t>”</w:t>
      </w:r>
      <w:r w:rsidRPr="00C66008">
        <w:rPr>
          <w:rFonts w:ascii="Cambria" w:hAnsi="Cambria" w:cs="Times New Roman"/>
        </w:rPr>
        <w:t xml:space="preserve"> ir jāsaglabā līdzdalība AS </w:t>
      </w:r>
      <w:r>
        <w:rPr>
          <w:rFonts w:ascii="Cambria" w:hAnsi="Cambria" w:cs="Times New Roman"/>
        </w:rPr>
        <w:t>“</w:t>
      </w:r>
      <w:r w:rsidRPr="00C66008">
        <w:rPr>
          <w:rFonts w:ascii="Cambria" w:hAnsi="Cambria" w:cs="Times New Roman"/>
        </w:rPr>
        <w:t>Sadales tīkls</w:t>
      </w:r>
      <w:r>
        <w:rPr>
          <w:rFonts w:ascii="Cambria" w:hAnsi="Cambria" w:cs="Times New Roman"/>
        </w:rPr>
        <w:t>”</w:t>
      </w:r>
      <w:r w:rsidRPr="00C66008">
        <w:rPr>
          <w:rFonts w:ascii="Cambria" w:hAnsi="Cambria" w:cs="Times New Roman"/>
        </w:rPr>
        <w:t xml:space="preserve"> vismaz līdz AS </w:t>
      </w:r>
      <w:r>
        <w:rPr>
          <w:rFonts w:ascii="Cambria" w:hAnsi="Cambria" w:cs="Times New Roman"/>
        </w:rPr>
        <w:t>“</w:t>
      </w:r>
      <w:r w:rsidRPr="00C66008">
        <w:rPr>
          <w:rFonts w:ascii="Cambria" w:hAnsi="Cambria" w:cs="Times New Roman"/>
        </w:rPr>
        <w:t>Latvenergo</w:t>
      </w:r>
      <w:r>
        <w:rPr>
          <w:rFonts w:ascii="Cambria" w:hAnsi="Cambria" w:cs="Times New Roman"/>
        </w:rPr>
        <w:t>”</w:t>
      </w:r>
      <w:r w:rsidRPr="00C66008">
        <w:rPr>
          <w:rFonts w:ascii="Cambria" w:hAnsi="Cambria" w:cs="Times New Roman"/>
        </w:rPr>
        <w:t xml:space="preserve"> koncerna stratēģijā paredzēto kopējo jauno 2 300 </w:t>
      </w:r>
      <w:r w:rsidR="000E597A">
        <w:rPr>
          <w:rFonts w:ascii="Cambria" w:hAnsi="Cambria" w:cs="Times New Roman"/>
        </w:rPr>
        <w:t>megavatu (turpmāk – MW)</w:t>
      </w:r>
      <w:r w:rsidRPr="00C66008">
        <w:rPr>
          <w:rFonts w:ascii="Cambria" w:hAnsi="Cambria" w:cs="Times New Roman"/>
        </w:rPr>
        <w:t xml:space="preserve"> </w:t>
      </w:r>
      <w:r>
        <w:rPr>
          <w:rFonts w:ascii="Cambria" w:hAnsi="Cambria" w:cs="Times New Roman"/>
        </w:rPr>
        <w:t>atjaunojamo energoresursu</w:t>
      </w:r>
      <w:r w:rsidRPr="00C66008">
        <w:rPr>
          <w:rFonts w:ascii="Cambria" w:hAnsi="Cambria" w:cs="Times New Roman"/>
        </w:rPr>
        <w:t xml:space="preserve"> jaudu sasniegšanai, lai netiktu ietekmēta </w:t>
      </w:r>
      <w:r>
        <w:rPr>
          <w:rFonts w:ascii="Cambria" w:hAnsi="Cambria" w:cs="Times New Roman"/>
        </w:rPr>
        <w:t>AS “</w:t>
      </w:r>
      <w:r w:rsidRPr="00C66008">
        <w:rPr>
          <w:rFonts w:ascii="Cambria" w:hAnsi="Cambria" w:cs="Times New Roman"/>
        </w:rPr>
        <w:t>Latvenergo</w:t>
      </w:r>
      <w:r>
        <w:rPr>
          <w:rFonts w:ascii="Cambria" w:hAnsi="Cambria" w:cs="Times New Roman"/>
        </w:rPr>
        <w:t>”</w:t>
      </w:r>
      <w:r w:rsidRPr="00C66008">
        <w:rPr>
          <w:rFonts w:ascii="Cambria" w:hAnsi="Cambria" w:cs="Times New Roman"/>
        </w:rPr>
        <w:t xml:space="preserve"> koncerna ilgtermiņa finansējuma piesaiste un attīstības iespējas. Pēc jauno 2 300 MW </w:t>
      </w:r>
      <w:r>
        <w:rPr>
          <w:rFonts w:ascii="Cambria" w:hAnsi="Cambria" w:cs="Times New Roman"/>
        </w:rPr>
        <w:t>atjaunojamo energoresursu</w:t>
      </w:r>
      <w:r w:rsidRPr="00C66008">
        <w:rPr>
          <w:rFonts w:ascii="Cambria" w:hAnsi="Cambria" w:cs="Times New Roman"/>
        </w:rPr>
        <w:t xml:space="preserve"> jaud</w:t>
      </w:r>
      <w:r w:rsidR="000C43C4">
        <w:rPr>
          <w:rFonts w:ascii="Cambria" w:hAnsi="Cambria" w:cs="Times New Roman"/>
        </w:rPr>
        <w:t>as</w:t>
      </w:r>
      <w:r w:rsidRPr="00C66008">
        <w:rPr>
          <w:rFonts w:ascii="Cambria" w:hAnsi="Cambria" w:cs="Times New Roman"/>
        </w:rPr>
        <w:t xml:space="preserve"> uzstādīšanas Ekonomikas ministrija</w:t>
      </w:r>
      <w:r>
        <w:rPr>
          <w:rFonts w:ascii="Cambria" w:hAnsi="Cambria" w:cs="Times New Roman"/>
        </w:rPr>
        <w:t>, iesaistot A</w:t>
      </w:r>
      <w:r w:rsidRPr="00C66008">
        <w:rPr>
          <w:rFonts w:ascii="Cambria" w:hAnsi="Cambria" w:cs="Times New Roman"/>
        </w:rPr>
        <w:t xml:space="preserve">S </w:t>
      </w:r>
      <w:r>
        <w:rPr>
          <w:rFonts w:ascii="Cambria" w:hAnsi="Cambria" w:cs="Times New Roman"/>
        </w:rPr>
        <w:t>“</w:t>
      </w:r>
      <w:r w:rsidRPr="00C66008">
        <w:rPr>
          <w:rFonts w:ascii="Cambria" w:hAnsi="Cambria" w:cs="Times New Roman"/>
        </w:rPr>
        <w:t>Latvenergo</w:t>
      </w:r>
      <w:r>
        <w:rPr>
          <w:rFonts w:ascii="Cambria" w:hAnsi="Cambria" w:cs="Times New Roman"/>
        </w:rPr>
        <w:t>”</w:t>
      </w:r>
      <w:r w:rsidRPr="00C66008">
        <w:rPr>
          <w:rFonts w:ascii="Cambria" w:hAnsi="Cambria" w:cs="Times New Roman"/>
        </w:rPr>
        <w:t xml:space="preserve"> veik</w:t>
      </w:r>
      <w:r>
        <w:rPr>
          <w:rFonts w:ascii="Cambria" w:hAnsi="Cambria" w:cs="Times New Roman"/>
        </w:rPr>
        <w:t>s</w:t>
      </w:r>
      <w:r w:rsidRPr="00C66008">
        <w:rPr>
          <w:rFonts w:ascii="Cambria" w:hAnsi="Cambria" w:cs="Times New Roman"/>
        </w:rPr>
        <w:t xml:space="preserve"> izvērtējumu par AS </w:t>
      </w:r>
      <w:r>
        <w:rPr>
          <w:rFonts w:ascii="Cambria" w:hAnsi="Cambria" w:cs="Times New Roman"/>
        </w:rPr>
        <w:t>“</w:t>
      </w:r>
      <w:r w:rsidRPr="00C66008">
        <w:rPr>
          <w:rFonts w:ascii="Cambria" w:hAnsi="Cambria" w:cs="Times New Roman"/>
        </w:rPr>
        <w:t>Latvenergo</w:t>
      </w:r>
      <w:r>
        <w:rPr>
          <w:rFonts w:ascii="Cambria" w:hAnsi="Cambria" w:cs="Times New Roman"/>
        </w:rPr>
        <w:t>”</w:t>
      </w:r>
      <w:r w:rsidRPr="00C66008">
        <w:rPr>
          <w:rFonts w:ascii="Cambria" w:hAnsi="Cambria" w:cs="Times New Roman"/>
        </w:rPr>
        <w:t xml:space="preserve"> līdzdalības saglabāšanu AS </w:t>
      </w:r>
      <w:r>
        <w:rPr>
          <w:rFonts w:ascii="Cambria" w:hAnsi="Cambria" w:cs="Times New Roman"/>
        </w:rPr>
        <w:t>“</w:t>
      </w:r>
      <w:r w:rsidRPr="00C66008">
        <w:rPr>
          <w:rFonts w:ascii="Cambria" w:hAnsi="Cambria" w:cs="Times New Roman"/>
        </w:rPr>
        <w:t>Sadales tīkls</w:t>
      </w:r>
      <w:r>
        <w:rPr>
          <w:rFonts w:ascii="Cambria" w:hAnsi="Cambria" w:cs="Times New Roman"/>
        </w:rPr>
        <w:t>”.</w:t>
      </w:r>
    </w:p>
    <w:p w14:paraId="13243590" w14:textId="214E9F4A" w:rsidR="00C612BD" w:rsidRPr="00C612BD" w:rsidRDefault="00C612BD" w:rsidP="001F5F77">
      <w:pPr>
        <w:pStyle w:val="Heading1"/>
      </w:pPr>
      <w:r w:rsidRPr="00C612BD">
        <w:t>Turpmākā rīcība</w:t>
      </w:r>
    </w:p>
    <w:p w14:paraId="038F2AEB" w14:textId="691080C6" w:rsidR="005A65D8" w:rsidRDefault="004E0732" w:rsidP="00C612BD">
      <w:pPr>
        <w:pStyle w:val="ListParagraph"/>
        <w:numPr>
          <w:ilvl w:val="0"/>
          <w:numId w:val="35"/>
        </w:numPr>
        <w:spacing w:after="120"/>
        <w:jc w:val="both"/>
        <w:rPr>
          <w:rFonts w:ascii="Cambria" w:hAnsi="Cambria" w:cs="Times New Roman"/>
        </w:rPr>
      </w:pPr>
      <w:r>
        <w:rPr>
          <w:rFonts w:ascii="Cambria" w:hAnsi="Cambria" w:cs="Times New Roman"/>
        </w:rPr>
        <w:t>M</w:t>
      </w:r>
      <w:r w:rsidRPr="004E0732">
        <w:rPr>
          <w:rFonts w:ascii="Cambria" w:hAnsi="Cambria" w:cs="Times New Roman"/>
        </w:rPr>
        <w:t xml:space="preserve">inistrijai </w:t>
      </w:r>
      <w:r w:rsidRPr="007F7443">
        <w:rPr>
          <w:rFonts w:ascii="Cambria" w:hAnsi="Cambria" w:cs="Times New Roman"/>
        </w:rPr>
        <w:t>līdz 202</w:t>
      </w:r>
      <w:r w:rsidR="00052E38" w:rsidRPr="007F7443">
        <w:rPr>
          <w:rFonts w:ascii="Cambria" w:hAnsi="Cambria" w:cs="Times New Roman"/>
        </w:rPr>
        <w:t>4</w:t>
      </w:r>
      <w:r w:rsidRPr="007F7443">
        <w:rPr>
          <w:rFonts w:ascii="Cambria" w:hAnsi="Cambria" w:cs="Times New Roman"/>
        </w:rPr>
        <w:t xml:space="preserve">.gada </w:t>
      </w:r>
      <w:r w:rsidR="006C482E" w:rsidRPr="007F7443">
        <w:rPr>
          <w:rFonts w:ascii="Cambria" w:hAnsi="Cambria" w:cs="Times New Roman"/>
        </w:rPr>
        <w:t>30. jūnijam</w:t>
      </w:r>
      <w:r w:rsidRPr="004E0732">
        <w:rPr>
          <w:rFonts w:ascii="Cambria" w:hAnsi="Cambria" w:cs="Times New Roman"/>
        </w:rPr>
        <w:t xml:space="preserve"> izvērtēt nepieciešamību Elektroenerģijas tirgus likumā ietvert mājsaimniecības lietotāja definīciju, un iesniegt izskatīšanai Ministru kabinetā attiecīgu tiesību aktu projektu</w:t>
      </w:r>
      <w:r w:rsidR="00C0090B">
        <w:rPr>
          <w:rFonts w:ascii="Cambria" w:hAnsi="Cambria" w:cs="Times New Roman"/>
        </w:rPr>
        <w:t>;</w:t>
      </w:r>
    </w:p>
    <w:p w14:paraId="5777C40B" w14:textId="60FB3AF0" w:rsidR="00C0090B" w:rsidRDefault="00F47B70" w:rsidP="00C612BD">
      <w:pPr>
        <w:pStyle w:val="ListParagraph"/>
        <w:numPr>
          <w:ilvl w:val="0"/>
          <w:numId w:val="35"/>
        </w:numPr>
        <w:spacing w:after="120"/>
        <w:jc w:val="both"/>
        <w:rPr>
          <w:rFonts w:ascii="Cambria" w:hAnsi="Cambria" w:cs="Times New Roman"/>
        </w:rPr>
      </w:pPr>
      <w:r>
        <w:rPr>
          <w:rFonts w:ascii="Cambria" w:hAnsi="Cambria" w:cs="Times New Roman"/>
        </w:rPr>
        <w:t>M</w:t>
      </w:r>
      <w:r w:rsidRPr="00F47B70">
        <w:rPr>
          <w:rFonts w:ascii="Cambria" w:hAnsi="Cambria" w:cs="Times New Roman"/>
        </w:rPr>
        <w:t xml:space="preserve">inistrijai </w:t>
      </w:r>
      <w:r w:rsidRPr="007F7443">
        <w:rPr>
          <w:rFonts w:ascii="Cambria" w:hAnsi="Cambria" w:cs="Times New Roman"/>
        </w:rPr>
        <w:t xml:space="preserve">līdz </w:t>
      </w:r>
      <w:r w:rsidR="006C482E" w:rsidRPr="007F7443">
        <w:rPr>
          <w:rFonts w:ascii="Cambria" w:hAnsi="Cambria" w:cs="Times New Roman"/>
        </w:rPr>
        <w:t>2024.gada 3</w:t>
      </w:r>
      <w:r w:rsidR="007F7443" w:rsidRPr="007F7443">
        <w:rPr>
          <w:rFonts w:ascii="Cambria" w:hAnsi="Cambria" w:cs="Times New Roman"/>
        </w:rPr>
        <w:t>1</w:t>
      </w:r>
      <w:r w:rsidR="004939BB">
        <w:rPr>
          <w:rFonts w:ascii="Cambria" w:hAnsi="Cambria" w:cs="Times New Roman"/>
        </w:rPr>
        <w:t>.</w:t>
      </w:r>
      <w:r w:rsidR="007F7443" w:rsidRPr="007F7443">
        <w:rPr>
          <w:rFonts w:ascii="Cambria" w:hAnsi="Cambria" w:cs="Times New Roman"/>
        </w:rPr>
        <w:t xml:space="preserve"> augustam</w:t>
      </w:r>
      <w:r w:rsidR="006C482E" w:rsidRPr="007F7443">
        <w:rPr>
          <w:rFonts w:ascii="Cambria" w:hAnsi="Cambria" w:cs="Times New Roman"/>
        </w:rPr>
        <w:t xml:space="preserve"> </w:t>
      </w:r>
      <w:r w:rsidRPr="007F7443">
        <w:rPr>
          <w:rFonts w:ascii="Cambria" w:hAnsi="Cambria" w:cs="Times New Roman"/>
        </w:rPr>
        <w:t>paredzēt</w:t>
      </w:r>
      <w:r w:rsidRPr="00F47B70">
        <w:rPr>
          <w:rFonts w:ascii="Cambria" w:hAnsi="Cambria" w:cs="Times New Roman"/>
        </w:rPr>
        <w:t xml:space="preserve"> Ministru kabineta 2023.gada 7.novembra noteikumos Nr. 635 </w:t>
      </w:r>
      <w:r>
        <w:rPr>
          <w:rFonts w:ascii="Cambria" w:hAnsi="Cambria" w:cs="Times New Roman"/>
        </w:rPr>
        <w:t>“</w:t>
      </w:r>
      <w:r w:rsidRPr="00F47B70">
        <w:rPr>
          <w:rFonts w:ascii="Cambria" w:hAnsi="Cambria" w:cs="Times New Roman"/>
        </w:rPr>
        <w:t>Elektroenerģijas tirdzniecības un lietošanas noteikumi</w:t>
      </w:r>
      <w:r>
        <w:rPr>
          <w:rFonts w:ascii="Cambria" w:hAnsi="Cambria" w:cs="Times New Roman"/>
        </w:rPr>
        <w:t>”</w:t>
      </w:r>
      <w:r w:rsidRPr="00F47B70">
        <w:rPr>
          <w:rFonts w:ascii="Cambria" w:hAnsi="Cambria" w:cs="Times New Roman"/>
        </w:rPr>
        <w:t xml:space="preserve"> kārtību, kādā tiek identificēti fiziskās personas elektroenerģijas sadales sistēmas pieslēgumi ar spriegumu līdz 0,4 kilovoltiem</w:t>
      </w:r>
      <w:r w:rsidR="00C76682">
        <w:rPr>
          <w:rFonts w:ascii="Cambria" w:hAnsi="Cambria" w:cs="Times New Roman"/>
        </w:rPr>
        <w:t>;</w:t>
      </w:r>
    </w:p>
    <w:p w14:paraId="1175113C" w14:textId="56AF3AC6" w:rsidR="000E597A" w:rsidRDefault="000E597A" w:rsidP="003051CB">
      <w:pPr>
        <w:pStyle w:val="ListParagraph"/>
        <w:numPr>
          <w:ilvl w:val="0"/>
          <w:numId w:val="35"/>
        </w:numPr>
        <w:spacing w:after="120"/>
        <w:jc w:val="both"/>
        <w:rPr>
          <w:rFonts w:ascii="Cambria" w:hAnsi="Cambria" w:cs="Times New Roman"/>
        </w:rPr>
      </w:pPr>
      <w:r w:rsidRPr="000E597A">
        <w:rPr>
          <w:rFonts w:ascii="Cambria" w:hAnsi="Cambria" w:cs="Times New Roman"/>
        </w:rPr>
        <w:t xml:space="preserve">Pieņemt zināšanai, ka saskaņā ar Ministru kabineta 2024.gada 9.aprīļa sēdes (prot. Nr.15 70.§) </w:t>
      </w:r>
      <w:r>
        <w:rPr>
          <w:rFonts w:ascii="Cambria" w:hAnsi="Cambria" w:cs="Times New Roman"/>
        </w:rPr>
        <w:t>“</w:t>
      </w:r>
      <w:r w:rsidRPr="000E597A">
        <w:rPr>
          <w:rFonts w:ascii="Cambria" w:hAnsi="Cambria" w:cs="Times New Roman"/>
        </w:rPr>
        <w:t xml:space="preserve">Informatīvais ziņojums </w:t>
      </w:r>
      <w:r>
        <w:rPr>
          <w:rFonts w:ascii="Cambria" w:hAnsi="Cambria" w:cs="Times New Roman"/>
        </w:rPr>
        <w:t>“</w:t>
      </w:r>
      <w:r w:rsidRPr="000E597A">
        <w:rPr>
          <w:rFonts w:ascii="Cambria" w:hAnsi="Cambria" w:cs="Times New Roman"/>
        </w:rPr>
        <w:t>Par valsts un pašvaldību kapitālsabiedrībām, kas virzāmas sākotnējam publiskam piedāvājumam</w:t>
      </w:r>
      <w:r>
        <w:rPr>
          <w:rFonts w:ascii="Cambria" w:hAnsi="Cambria" w:cs="Times New Roman"/>
        </w:rPr>
        <w:t>””</w:t>
      </w:r>
      <w:r w:rsidRPr="000E597A">
        <w:rPr>
          <w:rFonts w:ascii="Cambria" w:hAnsi="Cambria" w:cs="Times New Roman"/>
        </w:rPr>
        <w:t xml:space="preserve"> protokollēmuma 3.4.apakšpunktu, Ekonomikas ministrija (</w:t>
      </w:r>
      <w:r>
        <w:rPr>
          <w:rFonts w:ascii="Cambria" w:hAnsi="Cambria" w:cs="Times New Roman"/>
        </w:rPr>
        <w:t xml:space="preserve">iesaistot </w:t>
      </w:r>
      <w:r w:rsidRPr="000E597A">
        <w:rPr>
          <w:rFonts w:ascii="Cambria" w:hAnsi="Cambria" w:cs="Times New Roman"/>
        </w:rPr>
        <w:t xml:space="preserve">AS </w:t>
      </w:r>
      <w:r>
        <w:rPr>
          <w:rFonts w:ascii="Cambria" w:hAnsi="Cambria" w:cs="Times New Roman"/>
        </w:rPr>
        <w:t>“</w:t>
      </w:r>
      <w:r w:rsidRPr="000E597A">
        <w:rPr>
          <w:rFonts w:ascii="Cambria" w:hAnsi="Cambria" w:cs="Times New Roman"/>
        </w:rPr>
        <w:t>Latvenergo</w:t>
      </w:r>
      <w:r>
        <w:rPr>
          <w:rFonts w:ascii="Cambria" w:hAnsi="Cambria" w:cs="Times New Roman"/>
        </w:rPr>
        <w:t>”</w:t>
      </w:r>
      <w:r w:rsidRPr="000E597A">
        <w:rPr>
          <w:rFonts w:ascii="Cambria" w:hAnsi="Cambria" w:cs="Times New Roman"/>
        </w:rPr>
        <w:t xml:space="preserve">) veiks izvērtējumu par AS </w:t>
      </w:r>
      <w:r>
        <w:rPr>
          <w:rFonts w:ascii="Cambria" w:hAnsi="Cambria" w:cs="Times New Roman"/>
        </w:rPr>
        <w:t>“</w:t>
      </w:r>
      <w:r w:rsidRPr="000E597A">
        <w:rPr>
          <w:rFonts w:ascii="Cambria" w:hAnsi="Cambria" w:cs="Times New Roman"/>
        </w:rPr>
        <w:t>Latvenergo</w:t>
      </w:r>
      <w:r>
        <w:rPr>
          <w:rFonts w:ascii="Cambria" w:hAnsi="Cambria" w:cs="Times New Roman"/>
        </w:rPr>
        <w:t>”</w:t>
      </w:r>
      <w:r w:rsidRPr="000E597A">
        <w:rPr>
          <w:rFonts w:ascii="Cambria" w:hAnsi="Cambria" w:cs="Times New Roman"/>
        </w:rPr>
        <w:t xml:space="preserve"> līdzdalības saglabāšanu AS </w:t>
      </w:r>
      <w:r>
        <w:rPr>
          <w:rFonts w:ascii="Cambria" w:hAnsi="Cambria" w:cs="Times New Roman"/>
        </w:rPr>
        <w:t>“</w:t>
      </w:r>
      <w:r w:rsidRPr="000E597A">
        <w:rPr>
          <w:rFonts w:ascii="Cambria" w:hAnsi="Cambria" w:cs="Times New Roman"/>
        </w:rPr>
        <w:t>Sadales tīkls</w:t>
      </w:r>
      <w:r>
        <w:rPr>
          <w:rFonts w:ascii="Cambria" w:hAnsi="Cambria" w:cs="Times New Roman"/>
        </w:rPr>
        <w:t>”</w:t>
      </w:r>
      <w:r w:rsidRPr="000E597A">
        <w:rPr>
          <w:rFonts w:ascii="Cambria" w:hAnsi="Cambria" w:cs="Times New Roman"/>
        </w:rPr>
        <w:t xml:space="preserve"> pēc jauno 2 300 MW </w:t>
      </w:r>
      <w:r>
        <w:rPr>
          <w:rFonts w:ascii="Cambria" w:hAnsi="Cambria" w:cs="Times New Roman"/>
        </w:rPr>
        <w:t>atjaunojamo energoresursu</w:t>
      </w:r>
      <w:r w:rsidRPr="000E597A">
        <w:rPr>
          <w:rFonts w:ascii="Cambria" w:hAnsi="Cambria" w:cs="Times New Roman"/>
        </w:rPr>
        <w:t xml:space="preserve"> jaud</w:t>
      </w:r>
      <w:r w:rsidR="000C43C4">
        <w:rPr>
          <w:rFonts w:ascii="Cambria" w:hAnsi="Cambria" w:cs="Times New Roman"/>
        </w:rPr>
        <w:t>as</w:t>
      </w:r>
      <w:r w:rsidRPr="000E597A">
        <w:rPr>
          <w:rFonts w:ascii="Cambria" w:hAnsi="Cambria" w:cs="Times New Roman"/>
        </w:rPr>
        <w:t xml:space="preserve"> uzstādīšanas</w:t>
      </w:r>
      <w:r>
        <w:rPr>
          <w:rFonts w:ascii="Cambria" w:hAnsi="Cambria" w:cs="Times New Roman"/>
        </w:rPr>
        <w:t>;</w:t>
      </w:r>
    </w:p>
    <w:p w14:paraId="7501978F" w14:textId="0E4BEAA2" w:rsidR="00211D8D" w:rsidRDefault="003051CB" w:rsidP="003051CB">
      <w:pPr>
        <w:pStyle w:val="ListParagraph"/>
        <w:numPr>
          <w:ilvl w:val="0"/>
          <w:numId w:val="35"/>
        </w:numPr>
        <w:spacing w:after="120"/>
        <w:jc w:val="both"/>
        <w:rPr>
          <w:rFonts w:ascii="Cambria" w:hAnsi="Cambria" w:cs="Times New Roman"/>
        </w:rPr>
      </w:pPr>
      <w:r w:rsidRPr="003051CB">
        <w:rPr>
          <w:rFonts w:ascii="Cambria" w:hAnsi="Cambria" w:cs="Times New Roman"/>
        </w:rPr>
        <w:t xml:space="preserve">Ekonomikas ministrijai </w:t>
      </w:r>
      <w:r w:rsidRPr="007F7443">
        <w:rPr>
          <w:rFonts w:ascii="Cambria" w:hAnsi="Cambria" w:cs="Times New Roman"/>
        </w:rPr>
        <w:t xml:space="preserve">līdz 2024.gada </w:t>
      </w:r>
      <w:r w:rsidR="006C482E" w:rsidRPr="007F7443">
        <w:rPr>
          <w:rFonts w:ascii="Cambria" w:hAnsi="Cambria" w:cs="Times New Roman"/>
        </w:rPr>
        <w:t>31</w:t>
      </w:r>
      <w:r w:rsidRPr="007F7443">
        <w:rPr>
          <w:rFonts w:ascii="Cambria" w:hAnsi="Cambria" w:cs="Times New Roman"/>
        </w:rPr>
        <w:t>.</w:t>
      </w:r>
      <w:r w:rsidR="006C482E" w:rsidRPr="007F7443">
        <w:rPr>
          <w:rFonts w:ascii="Cambria" w:hAnsi="Cambria" w:cs="Times New Roman"/>
        </w:rPr>
        <w:t xml:space="preserve">decembrim </w:t>
      </w:r>
      <w:r w:rsidRPr="007F7443">
        <w:rPr>
          <w:rFonts w:ascii="Cambria" w:hAnsi="Cambria" w:cs="Times New Roman"/>
        </w:rPr>
        <w:t>veikt</w:t>
      </w:r>
      <w:r w:rsidRPr="003051CB">
        <w:rPr>
          <w:rFonts w:ascii="Cambria" w:hAnsi="Cambria" w:cs="Times New Roman"/>
        </w:rPr>
        <w:t xml:space="preserve"> grozījumus būvniecību regulējošajos normatīvajos aktos, kas paredz aizliegt īstenot tādus inženiertehniskos risinājums elektroinstalācijā, kuros uz visu daudzdzīvokļu ēku vai ēku kopumu tiek nodrošināts tikai viens elektroenerģijas sistēmas pieslēgums.</w:t>
      </w:r>
    </w:p>
    <w:p w14:paraId="1FF9E6E5" w14:textId="77777777" w:rsidR="00DC691C" w:rsidRDefault="00DC691C" w:rsidP="00DC691C">
      <w:pPr>
        <w:spacing w:after="120"/>
        <w:jc w:val="both"/>
        <w:rPr>
          <w:rFonts w:ascii="Cambria" w:hAnsi="Cambria" w:cs="Times New Roman"/>
        </w:rPr>
      </w:pPr>
    </w:p>
    <w:p w14:paraId="2318C3C4" w14:textId="77777777" w:rsidR="00DC691C" w:rsidRDefault="00DC691C" w:rsidP="00DC691C">
      <w:pPr>
        <w:spacing w:after="120"/>
        <w:jc w:val="both"/>
        <w:rPr>
          <w:rFonts w:ascii="Cambria" w:hAnsi="Cambria" w:cs="Times New Roman"/>
        </w:rPr>
      </w:pPr>
    </w:p>
    <w:p w14:paraId="05EEF7CF" w14:textId="77777777" w:rsidR="00DC691C" w:rsidRDefault="00DC691C" w:rsidP="00DC691C">
      <w:pPr>
        <w:spacing w:after="120"/>
        <w:jc w:val="both"/>
        <w:rPr>
          <w:rFonts w:ascii="Cambria" w:hAnsi="Cambria" w:cs="Times New Roman"/>
        </w:rPr>
      </w:pPr>
    </w:p>
    <w:p w14:paraId="536DBB60" w14:textId="77777777" w:rsidR="00DC691C" w:rsidRDefault="00DC691C" w:rsidP="00DC691C">
      <w:pPr>
        <w:spacing w:after="120"/>
        <w:jc w:val="both"/>
        <w:rPr>
          <w:rFonts w:ascii="Cambria" w:hAnsi="Cambria" w:cs="Times New Roman"/>
        </w:rPr>
      </w:pPr>
    </w:p>
    <w:p w14:paraId="0E6368C7" w14:textId="3BA56703" w:rsidR="00DC691C" w:rsidRDefault="00DC691C" w:rsidP="00DC691C">
      <w:pPr>
        <w:spacing w:after="120"/>
        <w:jc w:val="both"/>
        <w:rPr>
          <w:rFonts w:ascii="Cambria" w:hAnsi="Cambria" w:cs="Times New Roman"/>
        </w:rPr>
      </w:pPr>
      <w:r>
        <w:rPr>
          <w:rFonts w:ascii="Cambria" w:hAnsi="Cambria" w:cs="Times New Roman"/>
        </w:rPr>
        <w:t>Klimata un enerģētikas ministrs</w:t>
      </w:r>
      <w:r>
        <w:rPr>
          <w:rFonts w:ascii="Cambria" w:hAnsi="Cambria" w:cs="Times New Roman"/>
        </w:rPr>
        <w:tab/>
      </w:r>
      <w:r>
        <w:rPr>
          <w:rFonts w:ascii="Cambria" w:hAnsi="Cambria" w:cs="Times New Roman"/>
        </w:rPr>
        <w:tab/>
      </w:r>
      <w:r>
        <w:rPr>
          <w:rFonts w:ascii="Cambria" w:hAnsi="Cambria" w:cs="Times New Roman"/>
        </w:rPr>
        <w:tab/>
      </w:r>
      <w:r>
        <w:rPr>
          <w:rFonts w:ascii="Cambria" w:hAnsi="Cambria" w:cs="Times New Roman"/>
        </w:rPr>
        <w:tab/>
      </w:r>
      <w:r>
        <w:rPr>
          <w:rFonts w:ascii="Cambria" w:hAnsi="Cambria" w:cs="Times New Roman"/>
        </w:rPr>
        <w:tab/>
      </w:r>
      <w:r>
        <w:rPr>
          <w:rFonts w:ascii="Cambria" w:hAnsi="Cambria" w:cs="Times New Roman"/>
        </w:rPr>
        <w:tab/>
      </w:r>
      <w:r>
        <w:rPr>
          <w:rFonts w:ascii="Cambria" w:hAnsi="Cambria" w:cs="Times New Roman"/>
        </w:rPr>
        <w:tab/>
        <w:t>Kaspars Melnis</w:t>
      </w:r>
    </w:p>
    <w:p w14:paraId="08FDB3B7" w14:textId="77777777" w:rsidR="00DC691C" w:rsidRDefault="00DC691C" w:rsidP="00DC691C">
      <w:pPr>
        <w:spacing w:after="120"/>
        <w:jc w:val="both"/>
        <w:rPr>
          <w:rFonts w:ascii="Cambria" w:hAnsi="Cambria" w:cs="Times New Roman"/>
        </w:rPr>
      </w:pPr>
    </w:p>
    <w:p w14:paraId="578EECFA" w14:textId="77777777" w:rsidR="00DC691C" w:rsidRDefault="00DC691C" w:rsidP="00DC691C">
      <w:pPr>
        <w:spacing w:after="120"/>
        <w:jc w:val="both"/>
        <w:rPr>
          <w:rFonts w:ascii="Cambria" w:hAnsi="Cambria" w:cs="Times New Roman"/>
        </w:rPr>
      </w:pPr>
    </w:p>
    <w:p w14:paraId="4B5BE598" w14:textId="77777777" w:rsidR="00DC691C" w:rsidRDefault="00DC691C" w:rsidP="00DC691C">
      <w:pPr>
        <w:spacing w:after="120"/>
        <w:jc w:val="both"/>
        <w:rPr>
          <w:rFonts w:ascii="Cambria" w:hAnsi="Cambria" w:cs="Times New Roman"/>
        </w:rPr>
      </w:pPr>
    </w:p>
    <w:p w14:paraId="1DAB8BCE" w14:textId="77777777" w:rsidR="00DC691C" w:rsidRDefault="00DC691C" w:rsidP="00DC691C">
      <w:pPr>
        <w:spacing w:after="120"/>
        <w:jc w:val="both"/>
        <w:rPr>
          <w:rFonts w:ascii="Cambria" w:hAnsi="Cambria" w:cs="Times New Roman"/>
        </w:rPr>
      </w:pPr>
    </w:p>
    <w:p w14:paraId="1CC4A3BD" w14:textId="5FFBE3CF" w:rsidR="00DC691C" w:rsidRPr="00DC691C" w:rsidRDefault="00DC691C" w:rsidP="00DC691C">
      <w:pPr>
        <w:spacing w:after="0"/>
        <w:jc w:val="both"/>
        <w:rPr>
          <w:rFonts w:ascii="Cambria" w:hAnsi="Cambria" w:cs="Times New Roman"/>
          <w:sz w:val="18"/>
          <w:szCs w:val="18"/>
        </w:rPr>
      </w:pPr>
      <w:r w:rsidRPr="00DC691C">
        <w:rPr>
          <w:rFonts w:ascii="Cambria" w:hAnsi="Cambria" w:cs="Times New Roman"/>
          <w:sz w:val="18"/>
          <w:szCs w:val="18"/>
        </w:rPr>
        <w:t>Līva Šnitko, 63007334</w:t>
      </w:r>
    </w:p>
    <w:p w14:paraId="3188005C" w14:textId="3E97597D" w:rsidR="00DC691C" w:rsidRPr="00DC691C" w:rsidRDefault="00093A9C" w:rsidP="00DC691C">
      <w:pPr>
        <w:spacing w:after="0"/>
        <w:jc w:val="both"/>
        <w:rPr>
          <w:rFonts w:ascii="Cambria" w:hAnsi="Cambria" w:cs="Times New Roman"/>
        </w:rPr>
      </w:pPr>
      <w:hyperlink r:id="rId10" w:history="1">
        <w:r w:rsidR="00DC691C" w:rsidRPr="00DC691C">
          <w:rPr>
            <w:rStyle w:val="Hyperlink"/>
            <w:rFonts w:ascii="Cambria" w:hAnsi="Cambria"/>
            <w:sz w:val="18"/>
            <w:szCs w:val="18"/>
          </w:rPr>
          <w:t>Liva.Snitko@kem.gov.lv</w:t>
        </w:r>
      </w:hyperlink>
      <w:r w:rsidR="00DC691C">
        <w:rPr>
          <w:rFonts w:ascii="Cambria" w:hAnsi="Cambria" w:cs="Times New Roman"/>
        </w:rPr>
        <w:t xml:space="preserve"> </w:t>
      </w:r>
    </w:p>
    <w:sectPr w:rsidR="00DC691C" w:rsidRPr="00DC691C" w:rsidSect="00C40F9C">
      <w:footerReference w:type="defaul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1F0D6" w14:textId="77777777" w:rsidR="00C40F9C" w:rsidRDefault="00C40F9C" w:rsidP="007067FC">
      <w:pPr>
        <w:spacing w:after="0" w:line="240" w:lineRule="auto"/>
      </w:pPr>
      <w:r>
        <w:separator/>
      </w:r>
    </w:p>
  </w:endnote>
  <w:endnote w:type="continuationSeparator" w:id="0">
    <w:p w14:paraId="053F8D7E" w14:textId="77777777" w:rsidR="00C40F9C" w:rsidRDefault="00C40F9C" w:rsidP="00706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0480709"/>
      <w:docPartObj>
        <w:docPartGallery w:val="Page Numbers (Bottom of Page)"/>
        <w:docPartUnique/>
      </w:docPartObj>
    </w:sdtPr>
    <w:sdtEndPr>
      <w:rPr>
        <w:noProof/>
      </w:rPr>
    </w:sdtEndPr>
    <w:sdtContent>
      <w:p w14:paraId="3CE78FF1" w14:textId="553159B2" w:rsidR="00D16EDF" w:rsidRDefault="00D16E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5DD9EB" w14:textId="77777777" w:rsidR="00E45DAB" w:rsidRDefault="00E45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6D44E" w14:textId="77777777" w:rsidR="00C40F9C" w:rsidRDefault="00C40F9C" w:rsidP="007067FC">
      <w:pPr>
        <w:spacing w:after="0" w:line="240" w:lineRule="auto"/>
      </w:pPr>
      <w:r>
        <w:separator/>
      </w:r>
    </w:p>
  </w:footnote>
  <w:footnote w:type="continuationSeparator" w:id="0">
    <w:p w14:paraId="48D08966" w14:textId="77777777" w:rsidR="00C40F9C" w:rsidRDefault="00C40F9C" w:rsidP="007067FC">
      <w:pPr>
        <w:spacing w:after="0" w:line="240" w:lineRule="auto"/>
      </w:pPr>
      <w:r>
        <w:continuationSeparator/>
      </w:r>
    </w:p>
  </w:footnote>
  <w:footnote w:id="1">
    <w:p w14:paraId="1F00FA31" w14:textId="3754464A" w:rsidR="00DC5323" w:rsidRPr="00DC5323" w:rsidRDefault="00DC5323" w:rsidP="00DC5323">
      <w:pPr>
        <w:pStyle w:val="FootnoteText"/>
        <w:jc w:val="both"/>
        <w:rPr>
          <w:rFonts w:ascii="Cambria" w:hAnsi="Cambria"/>
          <w:lang w:val="lv-LV"/>
        </w:rPr>
      </w:pPr>
      <w:r w:rsidRPr="00DC5323">
        <w:rPr>
          <w:rStyle w:val="FootnoteReference"/>
          <w:rFonts w:ascii="Cambria" w:hAnsi="Cambria"/>
          <w:lang w:val="lv-LV"/>
        </w:rPr>
        <w:footnoteRef/>
      </w:r>
      <w:r w:rsidRPr="00DC5323">
        <w:rPr>
          <w:rFonts w:ascii="Cambria" w:hAnsi="Cambria"/>
          <w:lang w:val="lv-LV"/>
        </w:rPr>
        <w:t xml:space="preserve"> </w:t>
      </w:r>
      <w:r w:rsidRPr="00DC5323">
        <w:rPr>
          <w:rFonts w:ascii="Cambria" w:hAnsi="Cambria"/>
          <w:lang w:val="lv-LV" w:eastAsia="lv-LV"/>
        </w:rPr>
        <w:t>Elektroenerģijas sadales sistēmas pakalpojumu diferencētie tarifi līdz 2023.gada 30. jūnijam: https://sadalestikls.lv/storage/app/media/uploaded-files/ST%20tarifu%20vertibas-lidz%2030.06.2023.pdf</w:t>
      </w:r>
    </w:p>
  </w:footnote>
  <w:footnote w:id="2">
    <w:p w14:paraId="6A20A584" w14:textId="047E1679" w:rsidR="00DC5323" w:rsidRPr="00DC5323" w:rsidRDefault="00DC5323" w:rsidP="00914CF3">
      <w:pPr>
        <w:pStyle w:val="FootnoteText"/>
        <w:jc w:val="both"/>
        <w:rPr>
          <w:rFonts w:ascii="Cambria" w:hAnsi="Cambria"/>
          <w:lang w:val="lv-LV"/>
        </w:rPr>
      </w:pPr>
      <w:r w:rsidRPr="00DC5323">
        <w:rPr>
          <w:rStyle w:val="FootnoteReference"/>
          <w:rFonts w:ascii="Cambria" w:hAnsi="Cambria"/>
          <w:lang w:val="lv-LV"/>
        </w:rPr>
        <w:footnoteRef/>
      </w:r>
      <w:r w:rsidRPr="00DC5323">
        <w:rPr>
          <w:rFonts w:ascii="Cambria" w:hAnsi="Cambria"/>
          <w:lang w:val="lv-LV"/>
        </w:rPr>
        <w:t xml:space="preserve"> </w:t>
      </w:r>
      <w:r w:rsidR="00914CF3" w:rsidRPr="00914CF3">
        <w:rPr>
          <w:rFonts w:ascii="Cambria" w:hAnsi="Cambria"/>
          <w:lang w:val="lv-LV" w:eastAsia="lv-LV"/>
        </w:rPr>
        <w:t xml:space="preserve">AS </w:t>
      </w:r>
      <w:r w:rsidR="00914CF3">
        <w:rPr>
          <w:rFonts w:ascii="Cambria" w:hAnsi="Cambria"/>
          <w:lang w:val="lv-LV" w:eastAsia="lv-LV"/>
        </w:rPr>
        <w:t>“</w:t>
      </w:r>
      <w:r w:rsidR="00914CF3" w:rsidRPr="00914CF3">
        <w:rPr>
          <w:rFonts w:ascii="Cambria" w:hAnsi="Cambria"/>
          <w:lang w:val="lv-LV" w:eastAsia="lv-LV"/>
        </w:rPr>
        <w:t>Sadales tīkls</w:t>
      </w:r>
      <w:r w:rsidR="00914CF3">
        <w:rPr>
          <w:rFonts w:ascii="Cambria" w:hAnsi="Cambria"/>
          <w:lang w:val="lv-LV" w:eastAsia="lv-LV"/>
        </w:rPr>
        <w:t xml:space="preserve">” </w:t>
      </w:r>
      <w:r w:rsidR="00914CF3" w:rsidRPr="00914CF3">
        <w:rPr>
          <w:rFonts w:ascii="Cambria" w:hAnsi="Cambria"/>
          <w:lang w:val="lv-LV" w:eastAsia="lv-LV"/>
        </w:rPr>
        <w:t>noteiktie</w:t>
      </w:r>
      <w:r w:rsidR="00914CF3">
        <w:rPr>
          <w:rFonts w:ascii="Cambria" w:hAnsi="Cambria"/>
          <w:lang w:val="lv-LV" w:eastAsia="lv-LV"/>
        </w:rPr>
        <w:t xml:space="preserve"> </w:t>
      </w:r>
      <w:r w:rsidR="00914CF3" w:rsidRPr="00914CF3">
        <w:rPr>
          <w:rFonts w:ascii="Cambria" w:hAnsi="Cambria"/>
          <w:lang w:val="lv-LV" w:eastAsia="lv-LV"/>
        </w:rPr>
        <w:t>elektroenerģijas sadales sistēmas</w:t>
      </w:r>
      <w:r w:rsidR="00914CF3">
        <w:rPr>
          <w:rFonts w:ascii="Cambria" w:hAnsi="Cambria"/>
          <w:lang w:val="lv-LV" w:eastAsia="lv-LV"/>
        </w:rPr>
        <w:t xml:space="preserve"> </w:t>
      </w:r>
      <w:r w:rsidR="00914CF3" w:rsidRPr="00914CF3">
        <w:rPr>
          <w:rFonts w:ascii="Cambria" w:hAnsi="Cambria"/>
          <w:lang w:val="lv-LV" w:eastAsia="lv-LV"/>
        </w:rPr>
        <w:t>pakalpojumu tarifi</w:t>
      </w:r>
      <w:r w:rsidR="00914CF3">
        <w:rPr>
          <w:rFonts w:ascii="Cambria" w:hAnsi="Cambria"/>
          <w:lang w:val="lv-LV" w:eastAsia="lv-LV"/>
        </w:rPr>
        <w:t xml:space="preserve"> </w:t>
      </w:r>
      <w:r w:rsidR="00914CF3" w:rsidRPr="00914CF3">
        <w:rPr>
          <w:rFonts w:ascii="Cambria" w:hAnsi="Cambria"/>
          <w:lang w:val="lv-LV" w:eastAsia="lv-LV"/>
        </w:rPr>
        <w:t>no 2024.gada 1.janvāra</w:t>
      </w:r>
      <w:r w:rsidRPr="00DC5323">
        <w:rPr>
          <w:rFonts w:ascii="Cambria" w:hAnsi="Cambria"/>
          <w:lang w:val="lv-LV" w:eastAsia="lv-LV"/>
        </w:rPr>
        <w:t>: </w:t>
      </w:r>
      <w:r w:rsidR="00EE041D" w:rsidRPr="00EE041D">
        <w:rPr>
          <w:rFonts w:ascii="Cambria" w:hAnsi="Cambria"/>
          <w:lang w:val="lv-LV" w:eastAsia="lv-LV"/>
        </w:rPr>
        <w:t>https://sadalestikls.lv/storage/app/media/uploaded-files/ST%20noteiktie%20tarifi%2001.01.2024_Publiskojam%C4%81%20da%C4%BCa.pdf</w:t>
      </w:r>
    </w:p>
  </w:footnote>
  <w:footnote w:id="3">
    <w:p w14:paraId="574CA7F3" w14:textId="2447B98C" w:rsidR="00DC5323" w:rsidRPr="00DC5323" w:rsidRDefault="00DC5323" w:rsidP="00DC5323">
      <w:pPr>
        <w:pStyle w:val="FootnoteText"/>
        <w:jc w:val="both"/>
        <w:rPr>
          <w:lang w:val="lv-LV"/>
        </w:rPr>
      </w:pPr>
      <w:r w:rsidRPr="00DC5323">
        <w:rPr>
          <w:rStyle w:val="FootnoteReference"/>
          <w:rFonts w:ascii="Cambria" w:hAnsi="Cambria"/>
          <w:lang w:val="lv-LV"/>
        </w:rPr>
        <w:footnoteRef/>
      </w:r>
      <w:r w:rsidRPr="00DC5323">
        <w:rPr>
          <w:rFonts w:ascii="Cambria" w:hAnsi="Cambria"/>
          <w:lang w:val="lv-LV"/>
        </w:rPr>
        <w:t xml:space="preserve"> </w:t>
      </w:r>
      <w:r w:rsidRPr="00DC5323">
        <w:rPr>
          <w:rFonts w:ascii="Cambria" w:hAnsi="Cambria"/>
          <w:lang w:val="lv-LV" w:eastAsia="lv-LV"/>
        </w:rPr>
        <w:t>Šāds pieslēgums nodrošina 3,4 kW patstāvīgu jaudu. Maksimālais enerģijas apjoms mēnesī, ko iespējams ar šādu pieslēguma jaudu nodrošināt ir teju 2,5 MWh. 100 kWh / mēnesī sastāda 4% šāda pieslēguma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31321"/>
    <w:multiLevelType w:val="hybridMultilevel"/>
    <w:tmpl w:val="E3EEDD70"/>
    <w:lvl w:ilvl="0" w:tplc="85D6CF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3363192"/>
    <w:multiLevelType w:val="multilevel"/>
    <w:tmpl w:val="07D2884C"/>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13EC71DE"/>
    <w:multiLevelType w:val="hybridMultilevel"/>
    <w:tmpl w:val="27565F5E"/>
    <w:lvl w:ilvl="0" w:tplc="04260011">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15673CD8"/>
    <w:multiLevelType w:val="hybridMultilevel"/>
    <w:tmpl w:val="C4E2C1B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172C2E34"/>
    <w:multiLevelType w:val="hybridMultilevel"/>
    <w:tmpl w:val="7640DED4"/>
    <w:lvl w:ilvl="0" w:tplc="FF8ADFE2">
      <w:start w:val="1"/>
      <w:numFmt w:val="decimal"/>
      <w:lvlText w:val="%1)"/>
      <w:lvlJc w:val="left"/>
      <w:pPr>
        <w:ind w:left="284" w:hanging="360"/>
      </w:pPr>
      <w:rPr>
        <w:rFonts w:ascii="Times New Roman" w:eastAsiaTheme="minorHAnsi" w:hAnsi="Times New Roman" w:cs="Times New Roman"/>
      </w:rPr>
    </w:lvl>
    <w:lvl w:ilvl="1" w:tplc="04260003">
      <w:start w:val="1"/>
      <w:numFmt w:val="bullet"/>
      <w:lvlText w:val="o"/>
      <w:lvlJc w:val="left"/>
      <w:pPr>
        <w:ind w:left="1004" w:hanging="360"/>
      </w:pPr>
      <w:rPr>
        <w:rFonts w:ascii="Courier New" w:hAnsi="Courier New" w:cs="Courier New" w:hint="default"/>
      </w:rPr>
    </w:lvl>
    <w:lvl w:ilvl="2" w:tplc="04260005">
      <w:start w:val="1"/>
      <w:numFmt w:val="bullet"/>
      <w:lvlText w:val=""/>
      <w:lvlJc w:val="left"/>
      <w:pPr>
        <w:ind w:left="1724" w:hanging="360"/>
      </w:pPr>
      <w:rPr>
        <w:rFonts w:ascii="Wingdings" w:hAnsi="Wingdings" w:hint="default"/>
      </w:rPr>
    </w:lvl>
    <w:lvl w:ilvl="3" w:tplc="04260001" w:tentative="1">
      <w:start w:val="1"/>
      <w:numFmt w:val="bullet"/>
      <w:lvlText w:val=""/>
      <w:lvlJc w:val="left"/>
      <w:pPr>
        <w:ind w:left="2444" w:hanging="360"/>
      </w:pPr>
      <w:rPr>
        <w:rFonts w:ascii="Symbol" w:hAnsi="Symbol" w:hint="default"/>
      </w:rPr>
    </w:lvl>
    <w:lvl w:ilvl="4" w:tplc="04260003" w:tentative="1">
      <w:start w:val="1"/>
      <w:numFmt w:val="bullet"/>
      <w:lvlText w:val="o"/>
      <w:lvlJc w:val="left"/>
      <w:pPr>
        <w:ind w:left="3164" w:hanging="360"/>
      </w:pPr>
      <w:rPr>
        <w:rFonts w:ascii="Courier New" w:hAnsi="Courier New" w:cs="Courier New" w:hint="default"/>
      </w:rPr>
    </w:lvl>
    <w:lvl w:ilvl="5" w:tplc="04260005" w:tentative="1">
      <w:start w:val="1"/>
      <w:numFmt w:val="bullet"/>
      <w:lvlText w:val=""/>
      <w:lvlJc w:val="left"/>
      <w:pPr>
        <w:ind w:left="3884" w:hanging="360"/>
      </w:pPr>
      <w:rPr>
        <w:rFonts w:ascii="Wingdings" w:hAnsi="Wingdings" w:hint="default"/>
      </w:rPr>
    </w:lvl>
    <w:lvl w:ilvl="6" w:tplc="04260001" w:tentative="1">
      <w:start w:val="1"/>
      <w:numFmt w:val="bullet"/>
      <w:lvlText w:val=""/>
      <w:lvlJc w:val="left"/>
      <w:pPr>
        <w:ind w:left="4604" w:hanging="360"/>
      </w:pPr>
      <w:rPr>
        <w:rFonts w:ascii="Symbol" w:hAnsi="Symbol" w:hint="default"/>
      </w:rPr>
    </w:lvl>
    <w:lvl w:ilvl="7" w:tplc="04260003" w:tentative="1">
      <w:start w:val="1"/>
      <w:numFmt w:val="bullet"/>
      <w:lvlText w:val="o"/>
      <w:lvlJc w:val="left"/>
      <w:pPr>
        <w:ind w:left="5324" w:hanging="360"/>
      </w:pPr>
      <w:rPr>
        <w:rFonts w:ascii="Courier New" w:hAnsi="Courier New" w:cs="Courier New" w:hint="default"/>
      </w:rPr>
    </w:lvl>
    <w:lvl w:ilvl="8" w:tplc="04260005" w:tentative="1">
      <w:start w:val="1"/>
      <w:numFmt w:val="bullet"/>
      <w:lvlText w:val=""/>
      <w:lvlJc w:val="left"/>
      <w:pPr>
        <w:ind w:left="6044" w:hanging="360"/>
      </w:pPr>
      <w:rPr>
        <w:rFonts w:ascii="Wingdings" w:hAnsi="Wingdings" w:hint="default"/>
      </w:rPr>
    </w:lvl>
  </w:abstractNum>
  <w:abstractNum w:abstractNumId="5" w15:restartNumberingAfterBreak="0">
    <w:nsid w:val="180416A1"/>
    <w:multiLevelType w:val="hybridMultilevel"/>
    <w:tmpl w:val="87F08288"/>
    <w:lvl w:ilvl="0" w:tplc="A96E4A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8FB1003"/>
    <w:multiLevelType w:val="hybridMultilevel"/>
    <w:tmpl w:val="D110EC84"/>
    <w:lvl w:ilvl="0" w:tplc="791CB616">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CDB3FBF"/>
    <w:multiLevelType w:val="hybridMultilevel"/>
    <w:tmpl w:val="A92ED27E"/>
    <w:lvl w:ilvl="0" w:tplc="B63232BC">
      <w:start w:val="1"/>
      <w:numFmt w:val="decimal"/>
      <w:lvlText w:val="%1)"/>
      <w:lvlJc w:val="left"/>
      <w:pPr>
        <w:ind w:left="644" w:hanging="360"/>
      </w:pPr>
      <w:rPr>
        <w:rFonts w:ascii="Times New Roman" w:eastAsiaTheme="minorHAnsi" w:hAnsi="Times New Roman" w:cs="Times New Roman"/>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8" w15:restartNumberingAfterBreak="0">
    <w:nsid w:val="1F5F396D"/>
    <w:multiLevelType w:val="hybridMultilevel"/>
    <w:tmpl w:val="E034AB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9D01EA"/>
    <w:multiLevelType w:val="hybridMultilevel"/>
    <w:tmpl w:val="C87831CA"/>
    <w:lvl w:ilvl="0" w:tplc="9BB4E1A6">
      <w:start w:val="1"/>
      <w:numFmt w:val="decimal"/>
      <w:lvlText w:val="%1)"/>
      <w:lvlJc w:val="left"/>
      <w:pPr>
        <w:ind w:left="1440" w:hanging="360"/>
      </w:pPr>
      <w:rPr>
        <w:rFonts w:ascii="Cambria" w:eastAsiaTheme="minorHAnsi" w:hAnsi="Cambria"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71037D0"/>
    <w:multiLevelType w:val="multilevel"/>
    <w:tmpl w:val="FF5ABF38"/>
    <w:lvl w:ilvl="0">
      <w:start w:val="1"/>
      <w:numFmt w:val="decimal"/>
      <w:lvlText w:val="%1."/>
      <w:lvlJc w:val="left"/>
      <w:pPr>
        <w:ind w:left="720" w:hanging="360"/>
      </w:pPr>
      <w:rPr>
        <w:rFonts w:hint="default"/>
      </w:rPr>
    </w:lvl>
    <w:lvl w:ilvl="1">
      <w:start w:val="1"/>
      <w:numFmt w:val="decimal"/>
      <w:pStyle w:val="Heading2"/>
      <w:isLgl/>
      <w:lvlText w:val="%1.%2."/>
      <w:lvlJc w:val="left"/>
      <w:pPr>
        <w:ind w:left="1777"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7814752"/>
    <w:multiLevelType w:val="hybridMultilevel"/>
    <w:tmpl w:val="F078BB84"/>
    <w:lvl w:ilvl="0" w:tplc="34D8AC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2C5639E"/>
    <w:multiLevelType w:val="multilevel"/>
    <w:tmpl w:val="49C098FE"/>
    <w:lvl w:ilvl="0">
      <w:start w:val="1"/>
      <w:numFmt w:val="decimal"/>
      <w:lvlText w:val="%1."/>
      <w:lvlJc w:val="left"/>
      <w:pPr>
        <w:ind w:left="360" w:hanging="360"/>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13" w15:restartNumberingAfterBreak="0">
    <w:nsid w:val="35DB4A75"/>
    <w:multiLevelType w:val="hybridMultilevel"/>
    <w:tmpl w:val="85FA2B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E81B04"/>
    <w:multiLevelType w:val="hybridMultilevel"/>
    <w:tmpl w:val="59C8D61C"/>
    <w:lvl w:ilvl="0" w:tplc="6AA25AE0">
      <w:start w:val="1"/>
      <w:numFmt w:val="decimal"/>
      <w:lvlText w:val="%1)"/>
      <w:lvlJc w:val="left"/>
      <w:pPr>
        <w:ind w:left="219" w:hanging="360"/>
      </w:pPr>
      <w:rPr>
        <w:rFonts w:ascii="Times New Roman" w:eastAsiaTheme="minorHAnsi" w:hAnsi="Times New Roman" w:cs="Times New Roman"/>
      </w:rPr>
    </w:lvl>
    <w:lvl w:ilvl="1" w:tplc="04260003" w:tentative="1">
      <w:start w:val="1"/>
      <w:numFmt w:val="bullet"/>
      <w:lvlText w:val="o"/>
      <w:lvlJc w:val="left"/>
      <w:pPr>
        <w:ind w:left="939" w:hanging="360"/>
      </w:pPr>
      <w:rPr>
        <w:rFonts w:ascii="Courier New" w:hAnsi="Courier New" w:cs="Courier New" w:hint="default"/>
      </w:rPr>
    </w:lvl>
    <w:lvl w:ilvl="2" w:tplc="04260005" w:tentative="1">
      <w:start w:val="1"/>
      <w:numFmt w:val="bullet"/>
      <w:lvlText w:val=""/>
      <w:lvlJc w:val="left"/>
      <w:pPr>
        <w:ind w:left="1659" w:hanging="360"/>
      </w:pPr>
      <w:rPr>
        <w:rFonts w:ascii="Wingdings" w:hAnsi="Wingdings" w:hint="default"/>
      </w:rPr>
    </w:lvl>
    <w:lvl w:ilvl="3" w:tplc="04260001" w:tentative="1">
      <w:start w:val="1"/>
      <w:numFmt w:val="bullet"/>
      <w:lvlText w:val=""/>
      <w:lvlJc w:val="left"/>
      <w:pPr>
        <w:ind w:left="2379" w:hanging="360"/>
      </w:pPr>
      <w:rPr>
        <w:rFonts w:ascii="Symbol" w:hAnsi="Symbol" w:hint="default"/>
      </w:rPr>
    </w:lvl>
    <w:lvl w:ilvl="4" w:tplc="04260003" w:tentative="1">
      <w:start w:val="1"/>
      <w:numFmt w:val="bullet"/>
      <w:lvlText w:val="o"/>
      <w:lvlJc w:val="left"/>
      <w:pPr>
        <w:ind w:left="3099" w:hanging="360"/>
      </w:pPr>
      <w:rPr>
        <w:rFonts w:ascii="Courier New" w:hAnsi="Courier New" w:cs="Courier New" w:hint="default"/>
      </w:rPr>
    </w:lvl>
    <w:lvl w:ilvl="5" w:tplc="04260005" w:tentative="1">
      <w:start w:val="1"/>
      <w:numFmt w:val="bullet"/>
      <w:lvlText w:val=""/>
      <w:lvlJc w:val="left"/>
      <w:pPr>
        <w:ind w:left="3819" w:hanging="360"/>
      </w:pPr>
      <w:rPr>
        <w:rFonts w:ascii="Wingdings" w:hAnsi="Wingdings" w:hint="default"/>
      </w:rPr>
    </w:lvl>
    <w:lvl w:ilvl="6" w:tplc="04260001" w:tentative="1">
      <w:start w:val="1"/>
      <w:numFmt w:val="bullet"/>
      <w:lvlText w:val=""/>
      <w:lvlJc w:val="left"/>
      <w:pPr>
        <w:ind w:left="4539" w:hanging="360"/>
      </w:pPr>
      <w:rPr>
        <w:rFonts w:ascii="Symbol" w:hAnsi="Symbol" w:hint="default"/>
      </w:rPr>
    </w:lvl>
    <w:lvl w:ilvl="7" w:tplc="04260003" w:tentative="1">
      <w:start w:val="1"/>
      <w:numFmt w:val="bullet"/>
      <w:lvlText w:val="o"/>
      <w:lvlJc w:val="left"/>
      <w:pPr>
        <w:ind w:left="5259" w:hanging="360"/>
      </w:pPr>
      <w:rPr>
        <w:rFonts w:ascii="Courier New" w:hAnsi="Courier New" w:cs="Courier New" w:hint="default"/>
      </w:rPr>
    </w:lvl>
    <w:lvl w:ilvl="8" w:tplc="04260005" w:tentative="1">
      <w:start w:val="1"/>
      <w:numFmt w:val="bullet"/>
      <w:lvlText w:val=""/>
      <w:lvlJc w:val="left"/>
      <w:pPr>
        <w:ind w:left="5979" w:hanging="360"/>
      </w:pPr>
      <w:rPr>
        <w:rFonts w:ascii="Wingdings" w:hAnsi="Wingdings" w:hint="default"/>
      </w:rPr>
    </w:lvl>
  </w:abstractNum>
  <w:abstractNum w:abstractNumId="15" w15:restartNumberingAfterBreak="0">
    <w:nsid w:val="3CC515AE"/>
    <w:multiLevelType w:val="hybridMultilevel"/>
    <w:tmpl w:val="D124D1E4"/>
    <w:lvl w:ilvl="0" w:tplc="2B942D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D7905DE"/>
    <w:multiLevelType w:val="hybridMultilevel"/>
    <w:tmpl w:val="DF36AC7A"/>
    <w:lvl w:ilvl="0" w:tplc="6AC20F58">
      <w:start w:val="1"/>
      <w:numFmt w:val="decimal"/>
      <w:lvlText w:val="%1)"/>
      <w:lvlJc w:val="left"/>
      <w:pPr>
        <w:ind w:left="646" w:hanging="360"/>
      </w:pPr>
      <w:rPr>
        <w:rFonts w:ascii="Times New Roman" w:eastAsiaTheme="minorHAnsi" w:hAnsi="Times New Roman" w:cs="Times New Roman"/>
      </w:rPr>
    </w:lvl>
    <w:lvl w:ilvl="1" w:tplc="04260003" w:tentative="1">
      <w:start w:val="1"/>
      <w:numFmt w:val="bullet"/>
      <w:lvlText w:val="o"/>
      <w:lvlJc w:val="left"/>
      <w:pPr>
        <w:ind w:left="1366" w:hanging="360"/>
      </w:pPr>
      <w:rPr>
        <w:rFonts w:ascii="Courier New" w:hAnsi="Courier New" w:cs="Courier New" w:hint="default"/>
      </w:rPr>
    </w:lvl>
    <w:lvl w:ilvl="2" w:tplc="04260005" w:tentative="1">
      <w:start w:val="1"/>
      <w:numFmt w:val="bullet"/>
      <w:lvlText w:val=""/>
      <w:lvlJc w:val="left"/>
      <w:pPr>
        <w:ind w:left="2086" w:hanging="360"/>
      </w:pPr>
      <w:rPr>
        <w:rFonts w:ascii="Wingdings" w:hAnsi="Wingdings" w:hint="default"/>
      </w:rPr>
    </w:lvl>
    <w:lvl w:ilvl="3" w:tplc="04260001" w:tentative="1">
      <w:start w:val="1"/>
      <w:numFmt w:val="bullet"/>
      <w:lvlText w:val=""/>
      <w:lvlJc w:val="left"/>
      <w:pPr>
        <w:ind w:left="2806" w:hanging="360"/>
      </w:pPr>
      <w:rPr>
        <w:rFonts w:ascii="Symbol" w:hAnsi="Symbol" w:hint="default"/>
      </w:rPr>
    </w:lvl>
    <w:lvl w:ilvl="4" w:tplc="04260003" w:tentative="1">
      <w:start w:val="1"/>
      <w:numFmt w:val="bullet"/>
      <w:lvlText w:val="o"/>
      <w:lvlJc w:val="left"/>
      <w:pPr>
        <w:ind w:left="3526" w:hanging="360"/>
      </w:pPr>
      <w:rPr>
        <w:rFonts w:ascii="Courier New" w:hAnsi="Courier New" w:cs="Courier New" w:hint="default"/>
      </w:rPr>
    </w:lvl>
    <w:lvl w:ilvl="5" w:tplc="04260005" w:tentative="1">
      <w:start w:val="1"/>
      <w:numFmt w:val="bullet"/>
      <w:lvlText w:val=""/>
      <w:lvlJc w:val="left"/>
      <w:pPr>
        <w:ind w:left="4246" w:hanging="360"/>
      </w:pPr>
      <w:rPr>
        <w:rFonts w:ascii="Wingdings" w:hAnsi="Wingdings" w:hint="default"/>
      </w:rPr>
    </w:lvl>
    <w:lvl w:ilvl="6" w:tplc="04260001" w:tentative="1">
      <w:start w:val="1"/>
      <w:numFmt w:val="bullet"/>
      <w:lvlText w:val=""/>
      <w:lvlJc w:val="left"/>
      <w:pPr>
        <w:ind w:left="4966" w:hanging="360"/>
      </w:pPr>
      <w:rPr>
        <w:rFonts w:ascii="Symbol" w:hAnsi="Symbol" w:hint="default"/>
      </w:rPr>
    </w:lvl>
    <w:lvl w:ilvl="7" w:tplc="04260003" w:tentative="1">
      <w:start w:val="1"/>
      <w:numFmt w:val="bullet"/>
      <w:lvlText w:val="o"/>
      <w:lvlJc w:val="left"/>
      <w:pPr>
        <w:ind w:left="5686" w:hanging="360"/>
      </w:pPr>
      <w:rPr>
        <w:rFonts w:ascii="Courier New" w:hAnsi="Courier New" w:cs="Courier New" w:hint="default"/>
      </w:rPr>
    </w:lvl>
    <w:lvl w:ilvl="8" w:tplc="04260005" w:tentative="1">
      <w:start w:val="1"/>
      <w:numFmt w:val="bullet"/>
      <w:lvlText w:val=""/>
      <w:lvlJc w:val="left"/>
      <w:pPr>
        <w:ind w:left="6406" w:hanging="360"/>
      </w:pPr>
      <w:rPr>
        <w:rFonts w:ascii="Wingdings" w:hAnsi="Wingdings" w:hint="default"/>
      </w:rPr>
    </w:lvl>
  </w:abstractNum>
  <w:abstractNum w:abstractNumId="17" w15:restartNumberingAfterBreak="0">
    <w:nsid w:val="3FEB6649"/>
    <w:multiLevelType w:val="hybridMultilevel"/>
    <w:tmpl w:val="B670646C"/>
    <w:lvl w:ilvl="0" w:tplc="8818A7D6">
      <w:start w:val="1"/>
      <w:numFmt w:val="decimal"/>
      <w:lvlText w:val="2.1.%1."/>
      <w:lvlJc w:val="left"/>
      <w:pPr>
        <w:ind w:left="100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322AB2"/>
    <w:multiLevelType w:val="hybridMultilevel"/>
    <w:tmpl w:val="19F06FC2"/>
    <w:lvl w:ilvl="0" w:tplc="06E24EF8">
      <w:start w:val="1"/>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abstractNum w:abstractNumId="19" w15:restartNumberingAfterBreak="0">
    <w:nsid w:val="46060975"/>
    <w:multiLevelType w:val="hybridMultilevel"/>
    <w:tmpl w:val="A64AF43E"/>
    <w:lvl w:ilvl="0" w:tplc="97E80E6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67E1019"/>
    <w:multiLevelType w:val="hybridMultilevel"/>
    <w:tmpl w:val="406E2FFA"/>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B41D0B"/>
    <w:multiLevelType w:val="hybridMultilevel"/>
    <w:tmpl w:val="62BEA4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874A7A"/>
    <w:multiLevelType w:val="hybridMultilevel"/>
    <w:tmpl w:val="B4D6EB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3E7FF8"/>
    <w:multiLevelType w:val="hybridMultilevel"/>
    <w:tmpl w:val="346454B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6E9784B"/>
    <w:multiLevelType w:val="hybridMultilevel"/>
    <w:tmpl w:val="AB22E342"/>
    <w:lvl w:ilvl="0" w:tplc="10EA3242">
      <w:start w:val="1"/>
      <w:numFmt w:val="decimal"/>
      <w:lvlText w:val="%1)"/>
      <w:lvlJc w:val="left"/>
      <w:pPr>
        <w:ind w:left="1080" w:hanging="360"/>
      </w:pPr>
      <w:rPr>
        <w:rFonts w:hint="default"/>
        <w:b w:val="0"/>
        <w:i w:val="0"/>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86E2EAC"/>
    <w:multiLevelType w:val="multilevel"/>
    <w:tmpl w:val="AD1ECD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8C776D"/>
    <w:multiLevelType w:val="hybridMultilevel"/>
    <w:tmpl w:val="B6AEC38E"/>
    <w:lvl w:ilvl="0" w:tplc="3B185302">
      <w:start w:val="1"/>
      <w:numFmt w:val="bullet"/>
      <w:lvlText w:val="‒"/>
      <w:lvlJc w:val="left"/>
      <w:pPr>
        <w:ind w:left="707" w:hanging="360"/>
      </w:pPr>
      <w:rPr>
        <w:rFonts w:ascii="Times New Roman" w:hAnsi="Times New Roman" w:cs="Times New Roman" w:hint="default"/>
      </w:rPr>
    </w:lvl>
    <w:lvl w:ilvl="1" w:tplc="04260003" w:tentative="1">
      <w:start w:val="1"/>
      <w:numFmt w:val="bullet"/>
      <w:lvlText w:val="o"/>
      <w:lvlJc w:val="left"/>
      <w:pPr>
        <w:ind w:left="1427" w:hanging="360"/>
      </w:pPr>
      <w:rPr>
        <w:rFonts w:ascii="Courier New" w:hAnsi="Courier New" w:cs="Courier New" w:hint="default"/>
      </w:rPr>
    </w:lvl>
    <w:lvl w:ilvl="2" w:tplc="04260005" w:tentative="1">
      <w:start w:val="1"/>
      <w:numFmt w:val="bullet"/>
      <w:lvlText w:val=""/>
      <w:lvlJc w:val="left"/>
      <w:pPr>
        <w:ind w:left="2147" w:hanging="360"/>
      </w:pPr>
      <w:rPr>
        <w:rFonts w:ascii="Wingdings" w:hAnsi="Wingdings" w:hint="default"/>
      </w:rPr>
    </w:lvl>
    <w:lvl w:ilvl="3" w:tplc="04260001" w:tentative="1">
      <w:start w:val="1"/>
      <w:numFmt w:val="bullet"/>
      <w:lvlText w:val=""/>
      <w:lvlJc w:val="left"/>
      <w:pPr>
        <w:ind w:left="2867" w:hanging="360"/>
      </w:pPr>
      <w:rPr>
        <w:rFonts w:ascii="Symbol" w:hAnsi="Symbol" w:hint="default"/>
      </w:rPr>
    </w:lvl>
    <w:lvl w:ilvl="4" w:tplc="04260003" w:tentative="1">
      <w:start w:val="1"/>
      <w:numFmt w:val="bullet"/>
      <w:lvlText w:val="o"/>
      <w:lvlJc w:val="left"/>
      <w:pPr>
        <w:ind w:left="3587" w:hanging="360"/>
      </w:pPr>
      <w:rPr>
        <w:rFonts w:ascii="Courier New" w:hAnsi="Courier New" w:cs="Courier New" w:hint="default"/>
      </w:rPr>
    </w:lvl>
    <w:lvl w:ilvl="5" w:tplc="04260005" w:tentative="1">
      <w:start w:val="1"/>
      <w:numFmt w:val="bullet"/>
      <w:lvlText w:val=""/>
      <w:lvlJc w:val="left"/>
      <w:pPr>
        <w:ind w:left="4307" w:hanging="360"/>
      </w:pPr>
      <w:rPr>
        <w:rFonts w:ascii="Wingdings" w:hAnsi="Wingdings" w:hint="default"/>
      </w:rPr>
    </w:lvl>
    <w:lvl w:ilvl="6" w:tplc="04260001" w:tentative="1">
      <w:start w:val="1"/>
      <w:numFmt w:val="bullet"/>
      <w:lvlText w:val=""/>
      <w:lvlJc w:val="left"/>
      <w:pPr>
        <w:ind w:left="5027" w:hanging="360"/>
      </w:pPr>
      <w:rPr>
        <w:rFonts w:ascii="Symbol" w:hAnsi="Symbol" w:hint="default"/>
      </w:rPr>
    </w:lvl>
    <w:lvl w:ilvl="7" w:tplc="04260003" w:tentative="1">
      <w:start w:val="1"/>
      <w:numFmt w:val="bullet"/>
      <w:lvlText w:val="o"/>
      <w:lvlJc w:val="left"/>
      <w:pPr>
        <w:ind w:left="5747" w:hanging="360"/>
      </w:pPr>
      <w:rPr>
        <w:rFonts w:ascii="Courier New" w:hAnsi="Courier New" w:cs="Courier New" w:hint="default"/>
      </w:rPr>
    </w:lvl>
    <w:lvl w:ilvl="8" w:tplc="04260005" w:tentative="1">
      <w:start w:val="1"/>
      <w:numFmt w:val="bullet"/>
      <w:lvlText w:val=""/>
      <w:lvlJc w:val="left"/>
      <w:pPr>
        <w:ind w:left="6467" w:hanging="360"/>
      </w:pPr>
      <w:rPr>
        <w:rFonts w:ascii="Wingdings" w:hAnsi="Wingdings" w:hint="default"/>
      </w:rPr>
    </w:lvl>
  </w:abstractNum>
  <w:abstractNum w:abstractNumId="27" w15:restartNumberingAfterBreak="0">
    <w:nsid w:val="674C186E"/>
    <w:multiLevelType w:val="hybridMultilevel"/>
    <w:tmpl w:val="DF7898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9FD52FF"/>
    <w:multiLevelType w:val="hybridMultilevel"/>
    <w:tmpl w:val="B4D6EB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445F9E"/>
    <w:multiLevelType w:val="hybridMultilevel"/>
    <w:tmpl w:val="FF90E11A"/>
    <w:lvl w:ilvl="0" w:tplc="5D9EDFFA">
      <w:start w:val="1"/>
      <w:numFmt w:val="decimal"/>
      <w:lvlText w:val="%1)"/>
      <w:lvlJc w:val="left"/>
      <w:pPr>
        <w:ind w:left="1080" w:hanging="360"/>
      </w:pPr>
      <w:rPr>
        <w:rFonts w:hint="default"/>
        <w:b w:val="0"/>
        <w:i w:val="0"/>
        <w:u w:val="singl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14354CC"/>
    <w:multiLevelType w:val="multilevel"/>
    <w:tmpl w:val="2B884FB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1" w15:restartNumberingAfterBreak="0">
    <w:nsid w:val="7B664C57"/>
    <w:multiLevelType w:val="hybridMultilevel"/>
    <w:tmpl w:val="E018993A"/>
    <w:lvl w:ilvl="0" w:tplc="5E6606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84456447">
    <w:abstractNumId w:val="10"/>
  </w:num>
  <w:num w:numId="2" w16cid:durableId="787553341">
    <w:abstractNumId w:val="7"/>
  </w:num>
  <w:num w:numId="3" w16cid:durableId="2135516158">
    <w:abstractNumId w:val="2"/>
  </w:num>
  <w:num w:numId="4" w16cid:durableId="1763523261">
    <w:abstractNumId w:val="26"/>
  </w:num>
  <w:num w:numId="5" w16cid:durableId="2047483860">
    <w:abstractNumId w:val="4"/>
  </w:num>
  <w:num w:numId="6" w16cid:durableId="567497294">
    <w:abstractNumId w:val="8"/>
  </w:num>
  <w:num w:numId="7" w16cid:durableId="1948080187">
    <w:abstractNumId w:val="3"/>
  </w:num>
  <w:num w:numId="8" w16cid:durableId="327177144">
    <w:abstractNumId w:val="6"/>
  </w:num>
  <w:num w:numId="9" w16cid:durableId="1717393853">
    <w:abstractNumId w:val="16"/>
  </w:num>
  <w:num w:numId="10" w16cid:durableId="694423857">
    <w:abstractNumId w:val="5"/>
  </w:num>
  <w:num w:numId="11" w16cid:durableId="1571816999">
    <w:abstractNumId w:val="18"/>
  </w:num>
  <w:num w:numId="12" w16cid:durableId="1105730640">
    <w:abstractNumId w:val="28"/>
  </w:num>
  <w:num w:numId="13" w16cid:durableId="1957134047">
    <w:abstractNumId w:val="22"/>
  </w:num>
  <w:num w:numId="14" w16cid:durableId="1540238522">
    <w:abstractNumId w:val="14"/>
  </w:num>
  <w:num w:numId="15" w16cid:durableId="412090969">
    <w:abstractNumId w:val="27"/>
  </w:num>
  <w:num w:numId="16" w16cid:durableId="256524864">
    <w:abstractNumId w:val="23"/>
  </w:num>
  <w:num w:numId="17" w16cid:durableId="340426117">
    <w:abstractNumId w:val="9"/>
  </w:num>
  <w:num w:numId="18" w16cid:durableId="902444444">
    <w:abstractNumId w:val="31"/>
  </w:num>
  <w:num w:numId="19" w16cid:durableId="1271820888">
    <w:abstractNumId w:val="15"/>
  </w:num>
  <w:num w:numId="20" w16cid:durableId="1020200933">
    <w:abstractNumId w:val="11"/>
  </w:num>
  <w:num w:numId="21" w16cid:durableId="1006908196">
    <w:abstractNumId w:val="10"/>
  </w:num>
  <w:num w:numId="22" w16cid:durableId="883833770">
    <w:abstractNumId w:val="29"/>
  </w:num>
  <w:num w:numId="23" w16cid:durableId="324743118">
    <w:abstractNumId w:val="30"/>
  </w:num>
  <w:num w:numId="24" w16cid:durableId="89399630">
    <w:abstractNumId w:val="30"/>
  </w:num>
  <w:num w:numId="25" w16cid:durableId="1206023024">
    <w:abstractNumId w:val="12"/>
  </w:num>
  <w:num w:numId="26" w16cid:durableId="1712875197">
    <w:abstractNumId w:val="1"/>
  </w:num>
  <w:num w:numId="27" w16cid:durableId="758793642">
    <w:abstractNumId w:val="1"/>
  </w:num>
  <w:num w:numId="28" w16cid:durableId="771437927">
    <w:abstractNumId w:val="17"/>
  </w:num>
  <w:num w:numId="29" w16cid:durableId="1530679353">
    <w:abstractNumId w:val="20"/>
  </w:num>
  <w:num w:numId="30" w16cid:durableId="830096202">
    <w:abstractNumId w:val="24"/>
  </w:num>
  <w:num w:numId="31" w16cid:durableId="865413541">
    <w:abstractNumId w:val="25"/>
  </w:num>
  <w:num w:numId="32" w16cid:durableId="760955025">
    <w:abstractNumId w:val="13"/>
  </w:num>
  <w:num w:numId="33" w16cid:durableId="507251096">
    <w:abstractNumId w:val="0"/>
  </w:num>
  <w:num w:numId="34" w16cid:durableId="965430508">
    <w:abstractNumId w:val="19"/>
  </w:num>
  <w:num w:numId="35" w16cid:durableId="1476068229">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F5F"/>
    <w:rsid w:val="000004E2"/>
    <w:rsid w:val="000030D4"/>
    <w:rsid w:val="00003731"/>
    <w:rsid w:val="0000380F"/>
    <w:rsid w:val="00004640"/>
    <w:rsid w:val="000053F2"/>
    <w:rsid w:val="00007095"/>
    <w:rsid w:val="00010CF9"/>
    <w:rsid w:val="0001153B"/>
    <w:rsid w:val="00011C21"/>
    <w:rsid w:val="00011DD6"/>
    <w:rsid w:val="00014305"/>
    <w:rsid w:val="0001571C"/>
    <w:rsid w:val="000161F5"/>
    <w:rsid w:val="000174F4"/>
    <w:rsid w:val="000179D6"/>
    <w:rsid w:val="00017A0E"/>
    <w:rsid w:val="00020C8D"/>
    <w:rsid w:val="000212E9"/>
    <w:rsid w:val="00023174"/>
    <w:rsid w:val="00023557"/>
    <w:rsid w:val="0002506A"/>
    <w:rsid w:val="00025C00"/>
    <w:rsid w:val="000278DA"/>
    <w:rsid w:val="0003052A"/>
    <w:rsid w:val="00030AF2"/>
    <w:rsid w:val="0003284E"/>
    <w:rsid w:val="00034E8F"/>
    <w:rsid w:val="00035B64"/>
    <w:rsid w:val="00037D1D"/>
    <w:rsid w:val="00041457"/>
    <w:rsid w:val="00041696"/>
    <w:rsid w:val="000446C3"/>
    <w:rsid w:val="00044F3A"/>
    <w:rsid w:val="0004576B"/>
    <w:rsid w:val="00052526"/>
    <w:rsid w:val="00052E38"/>
    <w:rsid w:val="00052F88"/>
    <w:rsid w:val="00053165"/>
    <w:rsid w:val="0005370B"/>
    <w:rsid w:val="00053F97"/>
    <w:rsid w:val="00055227"/>
    <w:rsid w:val="000562FC"/>
    <w:rsid w:val="000566BE"/>
    <w:rsid w:val="000570CB"/>
    <w:rsid w:val="00062538"/>
    <w:rsid w:val="000655A8"/>
    <w:rsid w:val="00066266"/>
    <w:rsid w:val="00067331"/>
    <w:rsid w:val="000677F9"/>
    <w:rsid w:val="00067B18"/>
    <w:rsid w:val="000706DD"/>
    <w:rsid w:val="000709D0"/>
    <w:rsid w:val="00070C71"/>
    <w:rsid w:val="000712AB"/>
    <w:rsid w:val="000716A0"/>
    <w:rsid w:val="00073E6B"/>
    <w:rsid w:val="0007571A"/>
    <w:rsid w:val="0007586A"/>
    <w:rsid w:val="000808DD"/>
    <w:rsid w:val="0008154C"/>
    <w:rsid w:val="00083597"/>
    <w:rsid w:val="000845A5"/>
    <w:rsid w:val="00084603"/>
    <w:rsid w:val="00084729"/>
    <w:rsid w:val="0008498A"/>
    <w:rsid w:val="0008498C"/>
    <w:rsid w:val="00084A46"/>
    <w:rsid w:val="00084DB9"/>
    <w:rsid w:val="000854EC"/>
    <w:rsid w:val="0008797C"/>
    <w:rsid w:val="00087F7F"/>
    <w:rsid w:val="000902B0"/>
    <w:rsid w:val="000906D5"/>
    <w:rsid w:val="00092229"/>
    <w:rsid w:val="00092641"/>
    <w:rsid w:val="00092E2E"/>
    <w:rsid w:val="00093A9C"/>
    <w:rsid w:val="00094729"/>
    <w:rsid w:val="00094D7A"/>
    <w:rsid w:val="00096729"/>
    <w:rsid w:val="00096903"/>
    <w:rsid w:val="00096B20"/>
    <w:rsid w:val="00097891"/>
    <w:rsid w:val="00097DD9"/>
    <w:rsid w:val="000A0031"/>
    <w:rsid w:val="000A13AD"/>
    <w:rsid w:val="000A3643"/>
    <w:rsid w:val="000A37A8"/>
    <w:rsid w:val="000A3FE5"/>
    <w:rsid w:val="000A58B3"/>
    <w:rsid w:val="000A71AF"/>
    <w:rsid w:val="000A7750"/>
    <w:rsid w:val="000A7FD7"/>
    <w:rsid w:val="000B1A07"/>
    <w:rsid w:val="000B46BF"/>
    <w:rsid w:val="000B4B4B"/>
    <w:rsid w:val="000B55E9"/>
    <w:rsid w:val="000B7D4F"/>
    <w:rsid w:val="000C10D9"/>
    <w:rsid w:val="000C1DA3"/>
    <w:rsid w:val="000C3B2F"/>
    <w:rsid w:val="000C43C4"/>
    <w:rsid w:val="000C5E35"/>
    <w:rsid w:val="000C6213"/>
    <w:rsid w:val="000C7171"/>
    <w:rsid w:val="000D004A"/>
    <w:rsid w:val="000D019F"/>
    <w:rsid w:val="000D1907"/>
    <w:rsid w:val="000D1C52"/>
    <w:rsid w:val="000D3405"/>
    <w:rsid w:val="000D45F4"/>
    <w:rsid w:val="000D4959"/>
    <w:rsid w:val="000E07A4"/>
    <w:rsid w:val="000E085A"/>
    <w:rsid w:val="000E3724"/>
    <w:rsid w:val="000E3CE6"/>
    <w:rsid w:val="000E4511"/>
    <w:rsid w:val="000E5975"/>
    <w:rsid w:val="000E597A"/>
    <w:rsid w:val="000E6818"/>
    <w:rsid w:val="000E6F52"/>
    <w:rsid w:val="000E761F"/>
    <w:rsid w:val="000E7CBC"/>
    <w:rsid w:val="000F021B"/>
    <w:rsid w:val="000F1781"/>
    <w:rsid w:val="000F17CC"/>
    <w:rsid w:val="000F2019"/>
    <w:rsid w:val="000F2073"/>
    <w:rsid w:val="000F3CBF"/>
    <w:rsid w:val="000F5AAB"/>
    <w:rsid w:val="000F5DC1"/>
    <w:rsid w:val="000F6EB7"/>
    <w:rsid w:val="000F7655"/>
    <w:rsid w:val="000F7CFA"/>
    <w:rsid w:val="000F7F82"/>
    <w:rsid w:val="001001E0"/>
    <w:rsid w:val="00100520"/>
    <w:rsid w:val="00101040"/>
    <w:rsid w:val="0010106B"/>
    <w:rsid w:val="00101DC4"/>
    <w:rsid w:val="001023C8"/>
    <w:rsid w:val="00103D7D"/>
    <w:rsid w:val="00107F5F"/>
    <w:rsid w:val="001104D1"/>
    <w:rsid w:val="00110A9F"/>
    <w:rsid w:val="00111207"/>
    <w:rsid w:val="00111A25"/>
    <w:rsid w:val="00111E7F"/>
    <w:rsid w:val="00114009"/>
    <w:rsid w:val="00115BAD"/>
    <w:rsid w:val="00117586"/>
    <w:rsid w:val="001206B0"/>
    <w:rsid w:val="00120DCB"/>
    <w:rsid w:val="00121CE3"/>
    <w:rsid w:val="00122216"/>
    <w:rsid w:val="0012222A"/>
    <w:rsid w:val="00122F8D"/>
    <w:rsid w:val="00123E06"/>
    <w:rsid w:val="0012488C"/>
    <w:rsid w:val="00125E18"/>
    <w:rsid w:val="0012681B"/>
    <w:rsid w:val="0012732D"/>
    <w:rsid w:val="00130EA6"/>
    <w:rsid w:val="001311DC"/>
    <w:rsid w:val="00131255"/>
    <w:rsid w:val="00131F42"/>
    <w:rsid w:val="0013204E"/>
    <w:rsid w:val="00133DF7"/>
    <w:rsid w:val="001343F9"/>
    <w:rsid w:val="00135C15"/>
    <w:rsid w:val="00135F52"/>
    <w:rsid w:val="0013660C"/>
    <w:rsid w:val="00136744"/>
    <w:rsid w:val="001369D8"/>
    <w:rsid w:val="00136D3E"/>
    <w:rsid w:val="00137C8F"/>
    <w:rsid w:val="00141720"/>
    <w:rsid w:val="00141FD0"/>
    <w:rsid w:val="0014252C"/>
    <w:rsid w:val="00143B15"/>
    <w:rsid w:val="00146594"/>
    <w:rsid w:val="00150FF4"/>
    <w:rsid w:val="00151B68"/>
    <w:rsid w:val="00152574"/>
    <w:rsid w:val="00152CF5"/>
    <w:rsid w:val="00152E3D"/>
    <w:rsid w:val="00153D5F"/>
    <w:rsid w:val="00154ADA"/>
    <w:rsid w:val="0015785D"/>
    <w:rsid w:val="00162588"/>
    <w:rsid w:val="0016302E"/>
    <w:rsid w:val="00166637"/>
    <w:rsid w:val="00167AEF"/>
    <w:rsid w:val="00170494"/>
    <w:rsid w:val="001710C5"/>
    <w:rsid w:val="001718FC"/>
    <w:rsid w:val="00173AFE"/>
    <w:rsid w:val="00173B66"/>
    <w:rsid w:val="001743DF"/>
    <w:rsid w:val="00174854"/>
    <w:rsid w:val="00174F31"/>
    <w:rsid w:val="001750AE"/>
    <w:rsid w:val="00175126"/>
    <w:rsid w:val="00176695"/>
    <w:rsid w:val="00176D32"/>
    <w:rsid w:val="00177B2D"/>
    <w:rsid w:val="00180969"/>
    <w:rsid w:val="00181C13"/>
    <w:rsid w:val="00181E6C"/>
    <w:rsid w:val="0018205A"/>
    <w:rsid w:val="001847CB"/>
    <w:rsid w:val="00184A42"/>
    <w:rsid w:val="00185353"/>
    <w:rsid w:val="00187178"/>
    <w:rsid w:val="00187EF9"/>
    <w:rsid w:val="00190248"/>
    <w:rsid w:val="00191706"/>
    <w:rsid w:val="00192174"/>
    <w:rsid w:val="00192748"/>
    <w:rsid w:val="001932BB"/>
    <w:rsid w:val="001944BD"/>
    <w:rsid w:val="001946D4"/>
    <w:rsid w:val="001950F7"/>
    <w:rsid w:val="00195809"/>
    <w:rsid w:val="00195E92"/>
    <w:rsid w:val="00195EA4"/>
    <w:rsid w:val="001A0219"/>
    <w:rsid w:val="001A04C6"/>
    <w:rsid w:val="001A2979"/>
    <w:rsid w:val="001A397E"/>
    <w:rsid w:val="001A419C"/>
    <w:rsid w:val="001A4E3A"/>
    <w:rsid w:val="001A729C"/>
    <w:rsid w:val="001B26C5"/>
    <w:rsid w:val="001B2BC3"/>
    <w:rsid w:val="001B2D0C"/>
    <w:rsid w:val="001B3BE1"/>
    <w:rsid w:val="001B4905"/>
    <w:rsid w:val="001B686B"/>
    <w:rsid w:val="001C0BF4"/>
    <w:rsid w:val="001C177D"/>
    <w:rsid w:val="001C2486"/>
    <w:rsid w:val="001C2CE5"/>
    <w:rsid w:val="001C52A2"/>
    <w:rsid w:val="001C6C46"/>
    <w:rsid w:val="001C7152"/>
    <w:rsid w:val="001D03FC"/>
    <w:rsid w:val="001D0860"/>
    <w:rsid w:val="001D2198"/>
    <w:rsid w:val="001D2398"/>
    <w:rsid w:val="001D403D"/>
    <w:rsid w:val="001D4EFC"/>
    <w:rsid w:val="001D514F"/>
    <w:rsid w:val="001D6AF8"/>
    <w:rsid w:val="001D6FE2"/>
    <w:rsid w:val="001D7B2E"/>
    <w:rsid w:val="001E085C"/>
    <w:rsid w:val="001E1546"/>
    <w:rsid w:val="001E3F45"/>
    <w:rsid w:val="001F00E3"/>
    <w:rsid w:val="001F1149"/>
    <w:rsid w:val="001F1610"/>
    <w:rsid w:val="001F5B58"/>
    <w:rsid w:val="001F5F77"/>
    <w:rsid w:val="001F6051"/>
    <w:rsid w:val="001F7FB7"/>
    <w:rsid w:val="00200B82"/>
    <w:rsid w:val="00200EA8"/>
    <w:rsid w:val="0020174E"/>
    <w:rsid w:val="00202422"/>
    <w:rsid w:val="00204D10"/>
    <w:rsid w:val="00206385"/>
    <w:rsid w:val="0020656F"/>
    <w:rsid w:val="002068F3"/>
    <w:rsid w:val="00206ED0"/>
    <w:rsid w:val="002072E7"/>
    <w:rsid w:val="002078F7"/>
    <w:rsid w:val="0021028F"/>
    <w:rsid w:val="00210DF3"/>
    <w:rsid w:val="002115A0"/>
    <w:rsid w:val="002116DF"/>
    <w:rsid w:val="002117C0"/>
    <w:rsid w:val="002117F9"/>
    <w:rsid w:val="00211D8D"/>
    <w:rsid w:val="0021237B"/>
    <w:rsid w:val="0021275E"/>
    <w:rsid w:val="00217E6E"/>
    <w:rsid w:val="00220501"/>
    <w:rsid w:val="0022267C"/>
    <w:rsid w:val="00223088"/>
    <w:rsid w:val="0022313C"/>
    <w:rsid w:val="002270D9"/>
    <w:rsid w:val="00230EAB"/>
    <w:rsid w:val="00233A4F"/>
    <w:rsid w:val="002345A7"/>
    <w:rsid w:val="0023621F"/>
    <w:rsid w:val="00236591"/>
    <w:rsid w:val="00237D9B"/>
    <w:rsid w:val="00237EC6"/>
    <w:rsid w:val="00240319"/>
    <w:rsid w:val="00240EAB"/>
    <w:rsid w:val="00241E77"/>
    <w:rsid w:val="00242FEA"/>
    <w:rsid w:val="00243089"/>
    <w:rsid w:val="00244248"/>
    <w:rsid w:val="002444CA"/>
    <w:rsid w:val="00244646"/>
    <w:rsid w:val="002476AD"/>
    <w:rsid w:val="00247836"/>
    <w:rsid w:val="00251DD3"/>
    <w:rsid w:val="00251ECA"/>
    <w:rsid w:val="0025467C"/>
    <w:rsid w:val="00255456"/>
    <w:rsid w:val="00255A7D"/>
    <w:rsid w:val="00257459"/>
    <w:rsid w:val="00261892"/>
    <w:rsid w:val="00262BAC"/>
    <w:rsid w:val="002638E8"/>
    <w:rsid w:val="0026444B"/>
    <w:rsid w:val="00264B0E"/>
    <w:rsid w:val="0026512B"/>
    <w:rsid w:val="00265522"/>
    <w:rsid w:val="00266B63"/>
    <w:rsid w:val="002674BD"/>
    <w:rsid w:val="002679D1"/>
    <w:rsid w:val="00270398"/>
    <w:rsid w:val="002710DE"/>
    <w:rsid w:val="0027182A"/>
    <w:rsid w:val="00271C8B"/>
    <w:rsid w:val="00271D6A"/>
    <w:rsid w:val="00272F3D"/>
    <w:rsid w:val="00273397"/>
    <w:rsid w:val="00273704"/>
    <w:rsid w:val="00273C09"/>
    <w:rsid w:val="00274079"/>
    <w:rsid w:val="00274301"/>
    <w:rsid w:val="00274F5E"/>
    <w:rsid w:val="002752A2"/>
    <w:rsid w:val="00276040"/>
    <w:rsid w:val="00280268"/>
    <w:rsid w:val="002809B5"/>
    <w:rsid w:val="00282153"/>
    <w:rsid w:val="0028462A"/>
    <w:rsid w:val="002848AD"/>
    <w:rsid w:val="0028587A"/>
    <w:rsid w:val="002864A7"/>
    <w:rsid w:val="00286B06"/>
    <w:rsid w:val="0029092F"/>
    <w:rsid w:val="0029117F"/>
    <w:rsid w:val="0029167D"/>
    <w:rsid w:val="00292633"/>
    <w:rsid w:val="0029356A"/>
    <w:rsid w:val="002943EA"/>
    <w:rsid w:val="002958B0"/>
    <w:rsid w:val="002959D4"/>
    <w:rsid w:val="00296235"/>
    <w:rsid w:val="002965F4"/>
    <w:rsid w:val="00296B8B"/>
    <w:rsid w:val="00297187"/>
    <w:rsid w:val="002971D9"/>
    <w:rsid w:val="002978AF"/>
    <w:rsid w:val="002979FF"/>
    <w:rsid w:val="00297DC4"/>
    <w:rsid w:val="002A22B3"/>
    <w:rsid w:val="002A37A5"/>
    <w:rsid w:val="002A38A0"/>
    <w:rsid w:val="002A4E82"/>
    <w:rsid w:val="002A4E9F"/>
    <w:rsid w:val="002A6582"/>
    <w:rsid w:val="002A67C9"/>
    <w:rsid w:val="002A6B3C"/>
    <w:rsid w:val="002A6ED6"/>
    <w:rsid w:val="002B1127"/>
    <w:rsid w:val="002B128C"/>
    <w:rsid w:val="002B1FFD"/>
    <w:rsid w:val="002B2D7E"/>
    <w:rsid w:val="002B3246"/>
    <w:rsid w:val="002B56B7"/>
    <w:rsid w:val="002B5FE2"/>
    <w:rsid w:val="002B64FF"/>
    <w:rsid w:val="002C1FAA"/>
    <w:rsid w:val="002C2AE2"/>
    <w:rsid w:val="002C38BC"/>
    <w:rsid w:val="002C4DA4"/>
    <w:rsid w:val="002C5E84"/>
    <w:rsid w:val="002C61B2"/>
    <w:rsid w:val="002C6DC6"/>
    <w:rsid w:val="002C739B"/>
    <w:rsid w:val="002C78D4"/>
    <w:rsid w:val="002D1148"/>
    <w:rsid w:val="002D18AC"/>
    <w:rsid w:val="002D271E"/>
    <w:rsid w:val="002D2C97"/>
    <w:rsid w:val="002D33A8"/>
    <w:rsid w:val="002D35A5"/>
    <w:rsid w:val="002D4C42"/>
    <w:rsid w:val="002D6F3E"/>
    <w:rsid w:val="002D73F6"/>
    <w:rsid w:val="002D78EB"/>
    <w:rsid w:val="002E049C"/>
    <w:rsid w:val="002E237C"/>
    <w:rsid w:val="002E3F94"/>
    <w:rsid w:val="002E4BEA"/>
    <w:rsid w:val="002E5516"/>
    <w:rsid w:val="002E5EA0"/>
    <w:rsid w:val="002E738B"/>
    <w:rsid w:val="002E7533"/>
    <w:rsid w:val="002E7891"/>
    <w:rsid w:val="002E7F76"/>
    <w:rsid w:val="002F0CA3"/>
    <w:rsid w:val="002F1019"/>
    <w:rsid w:val="002F129C"/>
    <w:rsid w:val="002F1BC4"/>
    <w:rsid w:val="002F2AF4"/>
    <w:rsid w:val="002F424B"/>
    <w:rsid w:val="002F613B"/>
    <w:rsid w:val="002F6216"/>
    <w:rsid w:val="002F7DB2"/>
    <w:rsid w:val="003003F1"/>
    <w:rsid w:val="0030139D"/>
    <w:rsid w:val="003020EC"/>
    <w:rsid w:val="003051CB"/>
    <w:rsid w:val="003054CA"/>
    <w:rsid w:val="00305BDF"/>
    <w:rsid w:val="0030640C"/>
    <w:rsid w:val="003076CA"/>
    <w:rsid w:val="00307D97"/>
    <w:rsid w:val="00310127"/>
    <w:rsid w:val="00311520"/>
    <w:rsid w:val="00311FD8"/>
    <w:rsid w:val="003120D0"/>
    <w:rsid w:val="003122E2"/>
    <w:rsid w:val="00314A15"/>
    <w:rsid w:val="00315AC7"/>
    <w:rsid w:val="003169BD"/>
    <w:rsid w:val="00316FEC"/>
    <w:rsid w:val="00317BBC"/>
    <w:rsid w:val="00320822"/>
    <w:rsid w:val="003208A1"/>
    <w:rsid w:val="00320C20"/>
    <w:rsid w:val="003212A1"/>
    <w:rsid w:val="003216DC"/>
    <w:rsid w:val="0032211D"/>
    <w:rsid w:val="0032292C"/>
    <w:rsid w:val="003236C3"/>
    <w:rsid w:val="00326B78"/>
    <w:rsid w:val="00331830"/>
    <w:rsid w:val="0033263D"/>
    <w:rsid w:val="00333612"/>
    <w:rsid w:val="00334716"/>
    <w:rsid w:val="00334838"/>
    <w:rsid w:val="00334F45"/>
    <w:rsid w:val="003362E6"/>
    <w:rsid w:val="003364B7"/>
    <w:rsid w:val="003403DB"/>
    <w:rsid w:val="00340E3F"/>
    <w:rsid w:val="00343588"/>
    <w:rsid w:val="00345464"/>
    <w:rsid w:val="00345BED"/>
    <w:rsid w:val="00350075"/>
    <w:rsid w:val="00350F55"/>
    <w:rsid w:val="0035193C"/>
    <w:rsid w:val="003523EF"/>
    <w:rsid w:val="00354324"/>
    <w:rsid w:val="003559B9"/>
    <w:rsid w:val="00357049"/>
    <w:rsid w:val="003570D3"/>
    <w:rsid w:val="00357B9D"/>
    <w:rsid w:val="00360537"/>
    <w:rsid w:val="00361021"/>
    <w:rsid w:val="00361FBB"/>
    <w:rsid w:val="00362A2B"/>
    <w:rsid w:val="00364042"/>
    <w:rsid w:val="003642F7"/>
    <w:rsid w:val="0036469C"/>
    <w:rsid w:val="003650F8"/>
    <w:rsid w:val="00365151"/>
    <w:rsid w:val="00365688"/>
    <w:rsid w:val="0036697E"/>
    <w:rsid w:val="00367FDD"/>
    <w:rsid w:val="003731D4"/>
    <w:rsid w:val="0037336B"/>
    <w:rsid w:val="003734E1"/>
    <w:rsid w:val="00374245"/>
    <w:rsid w:val="003743B7"/>
    <w:rsid w:val="0037465A"/>
    <w:rsid w:val="003775B8"/>
    <w:rsid w:val="003776F1"/>
    <w:rsid w:val="00377FDE"/>
    <w:rsid w:val="003800B6"/>
    <w:rsid w:val="003807CF"/>
    <w:rsid w:val="00380C13"/>
    <w:rsid w:val="0038139C"/>
    <w:rsid w:val="003815E0"/>
    <w:rsid w:val="003822A0"/>
    <w:rsid w:val="00382CD1"/>
    <w:rsid w:val="00384FBF"/>
    <w:rsid w:val="00385312"/>
    <w:rsid w:val="00386392"/>
    <w:rsid w:val="00386EA5"/>
    <w:rsid w:val="003914D2"/>
    <w:rsid w:val="00391717"/>
    <w:rsid w:val="00393AE9"/>
    <w:rsid w:val="00395705"/>
    <w:rsid w:val="00395786"/>
    <w:rsid w:val="00397894"/>
    <w:rsid w:val="003A0AEB"/>
    <w:rsid w:val="003A1E12"/>
    <w:rsid w:val="003A217F"/>
    <w:rsid w:val="003A2440"/>
    <w:rsid w:val="003A28AF"/>
    <w:rsid w:val="003A2D03"/>
    <w:rsid w:val="003A47D3"/>
    <w:rsid w:val="003A51DB"/>
    <w:rsid w:val="003A5C6D"/>
    <w:rsid w:val="003A5D55"/>
    <w:rsid w:val="003A65C4"/>
    <w:rsid w:val="003A666B"/>
    <w:rsid w:val="003A6F10"/>
    <w:rsid w:val="003B00D3"/>
    <w:rsid w:val="003B11F9"/>
    <w:rsid w:val="003B183C"/>
    <w:rsid w:val="003B281F"/>
    <w:rsid w:val="003B2CC4"/>
    <w:rsid w:val="003B3B92"/>
    <w:rsid w:val="003B425A"/>
    <w:rsid w:val="003B4B21"/>
    <w:rsid w:val="003B53D6"/>
    <w:rsid w:val="003B5A86"/>
    <w:rsid w:val="003B6207"/>
    <w:rsid w:val="003B6BC4"/>
    <w:rsid w:val="003B77A4"/>
    <w:rsid w:val="003B7B3A"/>
    <w:rsid w:val="003C13D6"/>
    <w:rsid w:val="003C3506"/>
    <w:rsid w:val="003C4792"/>
    <w:rsid w:val="003C5134"/>
    <w:rsid w:val="003C6571"/>
    <w:rsid w:val="003C672B"/>
    <w:rsid w:val="003C675B"/>
    <w:rsid w:val="003C71CA"/>
    <w:rsid w:val="003C7C18"/>
    <w:rsid w:val="003C7DAB"/>
    <w:rsid w:val="003C7ED1"/>
    <w:rsid w:val="003D0041"/>
    <w:rsid w:val="003D0C6E"/>
    <w:rsid w:val="003D0EB3"/>
    <w:rsid w:val="003D2667"/>
    <w:rsid w:val="003D27A5"/>
    <w:rsid w:val="003D2E99"/>
    <w:rsid w:val="003D407A"/>
    <w:rsid w:val="003D4D70"/>
    <w:rsid w:val="003D4E97"/>
    <w:rsid w:val="003D5915"/>
    <w:rsid w:val="003D62A1"/>
    <w:rsid w:val="003D7F26"/>
    <w:rsid w:val="003E0AF3"/>
    <w:rsid w:val="003E1845"/>
    <w:rsid w:val="003E23A6"/>
    <w:rsid w:val="003E2553"/>
    <w:rsid w:val="003E2745"/>
    <w:rsid w:val="003E3776"/>
    <w:rsid w:val="003E3859"/>
    <w:rsid w:val="003E3CAE"/>
    <w:rsid w:val="003E4DF8"/>
    <w:rsid w:val="003E5112"/>
    <w:rsid w:val="003E6068"/>
    <w:rsid w:val="003F013A"/>
    <w:rsid w:val="003F235F"/>
    <w:rsid w:val="003F3168"/>
    <w:rsid w:val="003F349B"/>
    <w:rsid w:val="003F356E"/>
    <w:rsid w:val="003F4F05"/>
    <w:rsid w:val="003F5772"/>
    <w:rsid w:val="004008A3"/>
    <w:rsid w:val="0040105D"/>
    <w:rsid w:val="0040297B"/>
    <w:rsid w:val="004036BC"/>
    <w:rsid w:val="004045F4"/>
    <w:rsid w:val="0040512B"/>
    <w:rsid w:val="004052F8"/>
    <w:rsid w:val="00405F4A"/>
    <w:rsid w:val="00411871"/>
    <w:rsid w:val="0041266C"/>
    <w:rsid w:val="00412AE7"/>
    <w:rsid w:val="00412C33"/>
    <w:rsid w:val="00412F3A"/>
    <w:rsid w:val="00413540"/>
    <w:rsid w:val="00416EA0"/>
    <w:rsid w:val="00421430"/>
    <w:rsid w:val="0042176E"/>
    <w:rsid w:val="00421813"/>
    <w:rsid w:val="00423055"/>
    <w:rsid w:val="004248A8"/>
    <w:rsid w:val="0042532B"/>
    <w:rsid w:val="004255BC"/>
    <w:rsid w:val="00426111"/>
    <w:rsid w:val="00426B7C"/>
    <w:rsid w:val="00427C84"/>
    <w:rsid w:val="0043022A"/>
    <w:rsid w:val="004329CD"/>
    <w:rsid w:val="0043537C"/>
    <w:rsid w:val="0043551A"/>
    <w:rsid w:val="00435A7A"/>
    <w:rsid w:val="0043633E"/>
    <w:rsid w:val="00436B03"/>
    <w:rsid w:val="00437377"/>
    <w:rsid w:val="00440D30"/>
    <w:rsid w:val="00440E44"/>
    <w:rsid w:val="004438AB"/>
    <w:rsid w:val="004441D6"/>
    <w:rsid w:val="004451BE"/>
    <w:rsid w:val="0044601E"/>
    <w:rsid w:val="00446443"/>
    <w:rsid w:val="004466BF"/>
    <w:rsid w:val="00447129"/>
    <w:rsid w:val="00447434"/>
    <w:rsid w:val="00447484"/>
    <w:rsid w:val="0045054F"/>
    <w:rsid w:val="00451092"/>
    <w:rsid w:val="00451C4D"/>
    <w:rsid w:val="00452990"/>
    <w:rsid w:val="004529AD"/>
    <w:rsid w:val="00452F8E"/>
    <w:rsid w:val="004539EA"/>
    <w:rsid w:val="00454417"/>
    <w:rsid w:val="00455EA1"/>
    <w:rsid w:val="00455F7A"/>
    <w:rsid w:val="004570D5"/>
    <w:rsid w:val="004572A0"/>
    <w:rsid w:val="0045751E"/>
    <w:rsid w:val="004577F1"/>
    <w:rsid w:val="004614CD"/>
    <w:rsid w:val="0046157E"/>
    <w:rsid w:val="0046338E"/>
    <w:rsid w:val="004636D0"/>
    <w:rsid w:val="00464148"/>
    <w:rsid w:val="00464B12"/>
    <w:rsid w:val="00465AF1"/>
    <w:rsid w:val="00467DB3"/>
    <w:rsid w:val="00471CFE"/>
    <w:rsid w:val="004734E3"/>
    <w:rsid w:val="004735BB"/>
    <w:rsid w:val="004738C0"/>
    <w:rsid w:val="00473F34"/>
    <w:rsid w:val="00473FC4"/>
    <w:rsid w:val="0047474F"/>
    <w:rsid w:val="00474A82"/>
    <w:rsid w:val="004770A8"/>
    <w:rsid w:val="00477A73"/>
    <w:rsid w:val="00477C2E"/>
    <w:rsid w:val="0048130E"/>
    <w:rsid w:val="00481553"/>
    <w:rsid w:val="0048235E"/>
    <w:rsid w:val="004830BA"/>
    <w:rsid w:val="00483A53"/>
    <w:rsid w:val="00484906"/>
    <w:rsid w:val="00484F6A"/>
    <w:rsid w:val="00485A83"/>
    <w:rsid w:val="00486470"/>
    <w:rsid w:val="00486BC4"/>
    <w:rsid w:val="00486DA0"/>
    <w:rsid w:val="004878E3"/>
    <w:rsid w:val="00487991"/>
    <w:rsid w:val="00490E84"/>
    <w:rsid w:val="00490FD6"/>
    <w:rsid w:val="00491AB7"/>
    <w:rsid w:val="00492508"/>
    <w:rsid w:val="004939BB"/>
    <w:rsid w:val="004942B5"/>
    <w:rsid w:val="00494A32"/>
    <w:rsid w:val="00495257"/>
    <w:rsid w:val="004954B8"/>
    <w:rsid w:val="00496630"/>
    <w:rsid w:val="0049789C"/>
    <w:rsid w:val="004A0D48"/>
    <w:rsid w:val="004A0D6A"/>
    <w:rsid w:val="004A2DCC"/>
    <w:rsid w:val="004A3C52"/>
    <w:rsid w:val="004A3E47"/>
    <w:rsid w:val="004A47F9"/>
    <w:rsid w:val="004A5767"/>
    <w:rsid w:val="004A5826"/>
    <w:rsid w:val="004A5BC2"/>
    <w:rsid w:val="004A6C9D"/>
    <w:rsid w:val="004A7184"/>
    <w:rsid w:val="004A7D51"/>
    <w:rsid w:val="004B17EE"/>
    <w:rsid w:val="004B23E4"/>
    <w:rsid w:val="004B260A"/>
    <w:rsid w:val="004B2E38"/>
    <w:rsid w:val="004B3DB8"/>
    <w:rsid w:val="004B4110"/>
    <w:rsid w:val="004B4F02"/>
    <w:rsid w:val="004B53EB"/>
    <w:rsid w:val="004B6AC4"/>
    <w:rsid w:val="004C09C1"/>
    <w:rsid w:val="004C0C29"/>
    <w:rsid w:val="004C2490"/>
    <w:rsid w:val="004C2D45"/>
    <w:rsid w:val="004C4FD2"/>
    <w:rsid w:val="004C6391"/>
    <w:rsid w:val="004C6777"/>
    <w:rsid w:val="004C69AA"/>
    <w:rsid w:val="004C71CA"/>
    <w:rsid w:val="004C7FED"/>
    <w:rsid w:val="004D07C1"/>
    <w:rsid w:val="004D147E"/>
    <w:rsid w:val="004D1DD4"/>
    <w:rsid w:val="004D2116"/>
    <w:rsid w:val="004D291B"/>
    <w:rsid w:val="004D41CA"/>
    <w:rsid w:val="004D6747"/>
    <w:rsid w:val="004D7009"/>
    <w:rsid w:val="004D7268"/>
    <w:rsid w:val="004E0732"/>
    <w:rsid w:val="004E0FD4"/>
    <w:rsid w:val="004E16C0"/>
    <w:rsid w:val="004E36F8"/>
    <w:rsid w:val="004E443F"/>
    <w:rsid w:val="004E5110"/>
    <w:rsid w:val="004E56BE"/>
    <w:rsid w:val="004E5C61"/>
    <w:rsid w:val="004E5D50"/>
    <w:rsid w:val="004E6B2D"/>
    <w:rsid w:val="004F015E"/>
    <w:rsid w:val="004F0668"/>
    <w:rsid w:val="004F0A03"/>
    <w:rsid w:val="004F28CF"/>
    <w:rsid w:val="004F2F9E"/>
    <w:rsid w:val="004F325E"/>
    <w:rsid w:val="004F6FD9"/>
    <w:rsid w:val="004F7316"/>
    <w:rsid w:val="004F75D3"/>
    <w:rsid w:val="005009DB"/>
    <w:rsid w:val="00501CE3"/>
    <w:rsid w:val="0050377B"/>
    <w:rsid w:val="0050459B"/>
    <w:rsid w:val="005047E0"/>
    <w:rsid w:val="005066F7"/>
    <w:rsid w:val="00510C1B"/>
    <w:rsid w:val="00510D2C"/>
    <w:rsid w:val="005112EA"/>
    <w:rsid w:val="005115D7"/>
    <w:rsid w:val="00512CCD"/>
    <w:rsid w:val="005137FF"/>
    <w:rsid w:val="00513A5A"/>
    <w:rsid w:val="00513DCD"/>
    <w:rsid w:val="00514212"/>
    <w:rsid w:val="00514CF3"/>
    <w:rsid w:val="00515A91"/>
    <w:rsid w:val="00515DA5"/>
    <w:rsid w:val="00515F69"/>
    <w:rsid w:val="005168A7"/>
    <w:rsid w:val="00517BE8"/>
    <w:rsid w:val="00520264"/>
    <w:rsid w:val="0052048F"/>
    <w:rsid w:val="00520705"/>
    <w:rsid w:val="00520817"/>
    <w:rsid w:val="00520FB7"/>
    <w:rsid w:val="00521087"/>
    <w:rsid w:val="0052223F"/>
    <w:rsid w:val="00522566"/>
    <w:rsid w:val="005244A5"/>
    <w:rsid w:val="00525F5F"/>
    <w:rsid w:val="00526B1C"/>
    <w:rsid w:val="00527B8F"/>
    <w:rsid w:val="005307B0"/>
    <w:rsid w:val="00530C2B"/>
    <w:rsid w:val="00535EFD"/>
    <w:rsid w:val="00536070"/>
    <w:rsid w:val="00536285"/>
    <w:rsid w:val="005370A2"/>
    <w:rsid w:val="0053767F"/>
    <w:rsid w:val="00537A77"/>
    <w:rsid w:val="0054039B"/>
    <w:rsid w:val="00540902"/>
    <w:rsid w:val="00541DE6"/>
    <w:rsid w:val="00541EB3"/>
    <w:rsid w:val="00543A67"/>
    <w:rsid w:val="005454FC"/>
    <w:rsid w:val="00545A02"/>
    <w:rsid w:val="005463B8"/>
    <w:rsid w:val="00546A43"/>
    <w:rsid w:val="005479C5"/>
    <w:rsid w:val="00547DF3"/>
    <w:rsid w:val="005505AB"/>
    <w:rsid w:val="00550B59"/>
    <w:rsid w:val="00551AE1"/>
    <w:rsid w:val="005540C0"/>
    <w:rsid w:val="005556C6"/>
    <w:rsid w:val="005601B5"/>
    <w:rsid w:val="00560377"/>
    <w:rsid w:val="00560B81"/>
    <w:rsid w:val="00561276"/>
    <w:rsid w:val="00562C35"/>
    <w:rsid w:val="00565F00"/>
    <w:rsid w:val="0056614B"/>
    <w:rsid w:val="005671CE"/>
    <w:rsid w:val="00567C27"/>
    <w:rsid w:val="00570560"/>
    <w:rsid w:val="00571C4B"/>
    <w:rsid w:val="0057218D"/>
    <w:rsid w:val="00572C10"/>
    <w:rsid w:val="00573B90"/>
    <w:rsid w:val="00573D03"/>
    <w:rsid w:val="00574C32"/>
    <w:rsid w:val="005751B6"/>
    <w:rsid w:val="005756EC"/>
    <w:rsid w:val="00576E5C"/>
    <w:rsid w:val="005803A7"/>
    <w:rsid w:val="005817AF"/>
    <w:rsid w:val="005829DC"/>
    <w:rsid w:val="00583744"/>
    <w:rsid w:val="00583BEF"/>
    <w:rsid w:val="00585297"/>
    <w:rsid w:val="00585476"/>
    <w:rsid w:val="00585808"/>
    <w:rsid w:val="00585AAE"/>
    <w:rsid w:val="00585FE3"/>
    <w:rsid w:val="005908B2"/>
    <w:rsid w:val="0059117C"/>
    <w:rsid w:val="00592206"/>
    <w:rsid w:val="00593A76"/>
    <w:rsid w:val="00593A90"/>
    <w:rsid w:val="00593E8E"/>
    <w:rsid w:val="00595540"/>
    <w:rsid w:val="00596163"/>
    <w:rsid w:val="00596334"/>
    <w:rsid w:val="0059687F"/>
    <w:rsid w:val="005A0F1D"/>
    <w:rsid w:val="005A11EF"/>
    <w:rsid w:val="005A1250"/>
    <w:rsid w:val="005A2569"/>
    <w:rsid w:val="005A31C3"/>
    <w:rsid w:val="005A38FB"/>
    <w:rsid w:val="005A3E3A"/>
    <w:rsid w:val="005A559E"/>
    <w:rsid w:val="005A55DD"/>
    <w:rsid w:val="005A64D8"/>
    <w:rsid w:val="005A653E"/>
    <w:rsid w:val="005A65D8"/>
    <w:rsid w:val="005A6C9A"/>
    <w:rsid w:val="005A77AE"/>
    <w:rsid w:val="005B3B68"/>
    <w:rsid w:val="005B3D1E"/>
    <w:rsid w:val="005B411C"/>
    <w:rsid w:val="005B54A2"/>
    <w:rsid w:val="005B6579"/>
    <w:rsid w:val="005C3D04"/>
    <w:rsid w:val="005C51C6"/>
    <w:rsid w:val="005C6141"/>
    <w:rsid w:val="005C631E"/>
    <w:rsid w:val="005C6536"/>
    <w:rsid w:val="005C713A"/>
    <w:rsid w:val="005C71D4"/>
    <w:rsid w:val="005C7DB1"/>
    <w:rsid w:val="005C7DD0"/>
    <w:rsid w:val="005D1759"/>
    <w:rsid w:val="005D2477"/>
    <w:rsid w:val="005D28AF"/>
    <w:rsid w:val="005D4362"/>
    <w:rsid w:val="005D4476"/>
    <w:rsid w:val="005D49B4"/>
    <w:rsid w:val="005D4B70"/>
    <w:rsid w:val="005D6524"/>
    <w:rsid w:val="005D7635"/>
    <w:rsid w:val="005E1A46"/>
    <w:rsid w:val="005E2299"/>
    <w:rsid w:val="005E2378"/>
    <w:rsid w:val="005E2759"/>
    <w:rsid w:val="005E3422"/>
    <w:rsid w:val="005E4167"/>
    <w:rsid w:val="005E5D22"/>
    <w:rsid w:val="005E5EDA"/>
    <w:rsid w:val="005E6053"/>
    <w:rsid w:val="005E633C"/>
    <w:rsid w:val="005E66B8"/>
    <w:rsid w:val="005E6EDF"/>
    <w:rsid w:val="005F0258"/>
    <w:rsid w:val="005F0F2B"/>
    <w:rsid w:val="005F31F4"/>
    <w:rsid w:val="005F41A9"/>
    <w:rsid w:val="005F43A8"/>
    <w:rsid w:val="005F4F12"/>
    <w:rsid w:val="005F51FF"/>
    <w:rsid w:val="005F6922"/>
    <w:rsid w:val="005F69AE"/>
    <w:rsid w:val="0060012D"/>
    <w:rsid w:val="006030AC"/>
    <w:rsid w:val="00604E30"/>
    <w:rsid w:val="006059A3"/>
    <w:rsid w:val="00606AA3"/>
    <w:rsid w:val="00606BB0"/>
    <w:rsid w:val="006073B1"/>
    <w:rsid w:val="00610666"/>
    <w:rsid w:val="006107A8"/>
    <w:rsid w:val="0061154A"/>
    <w:rsid w:val="006115D5"/>
    <w:rsid w:val="00611CB7"/>
    <w:rsid w:val="00612D40"/>
    <w:rsid w:val="006137EC"/>
    <w:rsid w:val="0061422A"/>
    <w:rsid w:val="00614C26"/>
    <w:rsid w:val="006164DA"/>
    <w:rsid w:val="006178A3"/>
    <w:rsid w:val="00617F69"/>
    <w:rsid w:val="00620132"/>
    <w:rsid w:val="00622824"/>
    <w:rsid w:val="006238C5"/>
    <w:rsid w:val="00626292"/>
    <w:rsid w:val="00626E1C"/>
    <w:rsid w:val="006274A0"/>
    <w:rsid w:val="006279E9"/>
    <w:rsid w:val="00627E6F"/>
    <w:rsid w:val="00627FF9"/>
    <w:rsid w:val="00630111"/>
    <w:rsid w:val="00630399"/>
    <w:rsid w:val="00631B3B"/>
    <w:rsid w:val="0063239B"/>
    <w:rsid w:val="006331C7"/>
    <w:rsid w:val="00633851"/>
    <w:rsid w:val="00633F57"/>
    <w:rsid w:val="00636022"/>
    <w:rsid w:val="00636C46"/>
    <w:rsid w:val="00640239"/>
    <w:rsid w:val="00640529"/>
    <w:rsid w:val="00641DDF"/>
    <w:rsid w:val="006425DA"/>
    <w:rsid w:val="00642A08"/>
    <w:rsid w:val="0064338C"/>
    <w:rsid w:val="00644C88"/>
    <w:rsid w:val="00645991"/>
    <w:rsid w:val="00646027"/>
    <w:rsid w:val="0064662C"/>
    <w:rsid w:val="0064710D"/>
    <w:rsid w:val="00650F6D"/>
    <w:rsid w:val="006510C7"/>
    <w:rsid w:val="0065196F"/>
    <w:rsid w:val="00651F56"/>
    <w:rsid w:val="00653A3D"/>
    <w:rsid w:val="00653ADB"/>
    <w:rsid w:val="0065428D"/>
    <w:rsid w:val="00655CB9"/>
    <w:rsid w:val="00657A6B"/>
    <w:rsid w:val="00660BE3"/>
    <w:rsid w:val="00660D2D"/>
    <w:rsid w:val="006628F2"/>
    <w:rsid w:val="00662D46"/>
    <w:rsid w:val="00664193"/>
    <w:rsid w:val="006646EE"/>
    <w:rsid w:val="006650DC"/>
    <w:rsid w:val="00665AE7"/>
    <w:rsid w:val="006662D5"/>
    <w:rsid w:val="00666423"/>
    <w:rsid w:val="00667978"/>
    <w:rsid w:val="00667B98"/>
    <w:rsid w:val="0067101B"/>
    <w:rsid w:val="00671047"/>
    <w:rsid w:val="006711D6"/>
    <w:rsid w:val="00672804"/>
    <w:rsid w:val="006731AA"/>
    <w:rsid w:val="00673C4E"/>
    <w:rsid w:val="00674697"/>
    <w:rsid w:val="006748C9"/>
    <w:rsid w:val="00674D81"/>
    <w:rsid w:val="00674FDC"/>
    <w:rsid w:val="006759C9"/>
    <w:rsid w:val="00676257"/>
    <w:rsid w:val="00676B0D"/>
    <w:rsid w:val="00677700"/>
    <w:rsid w:val="00681224"/>
    <w:rsid w:val="0068158A"/>
    <w:rsid w:val="006839C9"/>
    <w:rsid w:val="00683ACA"/>
    <w:rsid w:val="00684665"/>
    <w:rsid w:val="00684CC7"/>
    <w:rsid w:val="00685259"/>
    <w:rsid w:val="0068582B"/>
    <w:rsid w:val="00686ED8"/>
    <w:rsid w:val="00687496"/>
    <w:rsid w:val="006915AA"/>
    <w:rsid w:val="00692772"/>
    <w:rsid w:val="006932F3"/>
    <w:rsid w:val="00693E3B"/>
    <w:rsid w:val="00694742"/>
    <w:rsid w:val="00694A57"/>
    <w:rsid w:val="00696D2F"/>
    <w:rsid w:val="00697911"/>
    <w:rsid w:val="00697CD5"/>
    <w:rsid w:val="006A0012"/>
    <w:rsid w:val="006A1AD3"/>
    <w:rsid w:val="006A2B05"/>
    <w:rsid w:val="006A3D21"/>
    <w:rsid w:val="006A4266"/>
    <w:rsid w:val="006A49D9"/>
    <w:rsid w:val="006A4EB4"/>
    <w:rsid w:val="006A508B"/>
    <w:rsid w:val="006A5ABF"/>
    <w:rsid w:val="006A6E0A"/>
    <w:rsid w:val="006B13D5"/>
    <w:rsid w:val="006B15D6"/>
    <w:rsid w:val="006B1EB8"/>
    <w:rsid w:val="006B2434"/>
    <w:rsid w:val="006B3FAB"/>
    <w:rsid w:val="006B46FA"/>
    <w:rsid w:val="006B7392"/>
    <w:rsid w:val="006C1278"/>
    <w:rsid w:val="006C251E"/>
    <w:rsid w:val="006C31D6"/>
    <w:rsid w:val="006C4219"/>
    <w:rsid w:val="006C482E"/>
    <w:rsid w:val="006C695E"/>
    <w:rsid w:val="006C6B59"/>
    <w:rsid w:val="006C79A4"/>
    <w:rsid w:val="006C7B1C"/>
    <w:rsid w:val="006C7CB2"/>
    <w:rsid w:val="006D3057"/>
    <w:rsid w:val="006D378F"/>
    <w:rsid w:val="006D3F2D"/>
    <w:rsid w:val="006D5985"/>
    <w:rsid w:val="006D7A5C"/>
    <w:rsid w:val="006E0BAB"/>
    <w:rsid w:val="006E170E"/>
    <w:rsid w:val="006E2372"/>
    <w:rsid w:val="006E2FAF"/>
    <w:rsid w:val="006E2FE1"/>
    <w:rsid w:val="006E314B"/>
    <w:rsid w:val="006E4178"/>
    <w:rsid w:val="006E460A"/>
    <w:rsid w:val="006E47EB"/>
    <w:rsid w:val="006E53D0"/>
    <w:rsid w:val="006E6303"/>
    <w:rsid w:val="006E63AB"/>
    <w:rsid w:val="006E77CA"/>
    <w:rsid w:val="006E7F1C"/>
    <w:rsid w:val="006F00CE"/>
    <w:rsid w:val="006F07E9"/>
    <w:rsid w:val="006F1FD3"/>
    <w:rsid w:val="006F3B90"/>
    <w:rsid w:val="006F4D18"/>
    <w:rsid w:val="006F59D1"/>
    <w:rsid w:val="006F5AA0"/>
    <w:rsid w:val="006F77DB"/>
    <w:rsid w:val="00700A11"/>
    <w:rsid w:val="00700CA8"/>
    <w:rsid w:val="00701898"/>
    <w:rsid w:val="0070200C"/>
    <w:rsid w:val="007030EA"/>
    <w:rsid w:val="00703335"/>
    <w:rsid w:val="00703571"/>
    <w:rsid w:val="00703DC2"/>
    <w:rsid w:val="00704536"/>
    <w:rsid w:val="00706730"/>
    <w:rsid w:val="007067FC"/>
    <w:rsid w:val="007113C7"/>
    <w:rsid w:val="007119C8"/>
    <w:rsid w:val="007160FF"/>
    <w:rsid w:val="00717632"/>
    <w:rsid w:val="00720610"/>
    <w:rsid w:val="00720CAF"/>
    <w:rsid w:val="00720F31"/>
    <w:rsid w:val="00720FFC"/>
    <w:rsid w:val="007226CC"/>
    <w:rsid w:val="007246C6"/>
    <w:rsid w:val="007252A6"/>
    <w:rsid w:val="00725698"/>
    <w:rsid w:val="0072616A"/>
    <w:rsid w:val="007262D3"/>
    <w:rsid w:val="0072649E"/>
    <w:rsid w:val="007266F9"/>
    <w:rsid w:val="00726EEF"/>
    <w:rsid w:val="00727544"/>
    <w:rsid w:val="0073004F"/>
    <w:rsid w:val="00730AF3"/>
    <w:rsid w:val="00730D57"/>
    <w:rsid w:val="00731DEC"/>
    <w:rsid w:val="00732A03"/>
    <w:rsid w:val="00732FEA"/>
    <w:rsid w:val="007335F7"/>
    <w:rsid w:val="00733ACB"/>
    <w:rsid w:val="007348D6"/>
    <w:rsid w:val="007351A7"/>
    <w:rsid w:val="00735515"/>
    <w:rsid w:val="00735866"/>
    <w:rsid w:val="00735D96"/>
    <w:rsid w:val="00736989"/>
    <w:rsid w:val="00736A04"/>
    <w:rsid w:val="00736A53"/>
    <w:rsid w:val="007406D9"/>
    <w:rsid w:val="00740945"/>
    <w:rsid w:val="00740D06"/>
    <w:rsid w:val="00741330"/>
    <w:rsid w:val="007429CB"/>
    <w:rsid w:val="007438C3"/>
    <w:rsid w:val="00755590"/>
    <w:rsid w:val="00755FE3"/>
    <w:rsid w:val="007560E4"/>
    <w:rsid w:val="0075662F"/>
    <w:rsid w:val="00756A9F"/>
    <w:rsid w:val="00757782"/>
    <w:rsid w:val="00757EFE"/>
    <w:rsid w:val="00761568"/>
    <w:rsid w:val="0076185B"/>
    <w:rsid w:val="00761CA7"/>
    <w:rsid w:val="00761F8F"/>
    <w:rsid w:val="00763144"/>
    <w:rsid w:val="00763D65"/>
    <w:rsid w:val="00764663"/>
    <w:rsid w:val="00765C16"/>
    <w:rsid w:val="00765F40"/>
    <w:rsid w:val="007663FB"/>
    <w:rsid w:val="007672BB"/>
    <w:rsid w:val="007678E8"/>
    <w:rsid w:val="00771A89"/>
    <w:rsid w:val="00772A36"/>
    <w:rsid w:val="0077507E"/>
    <w:rsid w:val="00776D82"/>
    <w:rsid w:val="00777EA8"/>
    <w:rsid w:val="007800E6"/>
    <w:rsid w:val="00780561"/>
    <w:rsid w:val="00780A6B"/>
    <w:rsid w:val="00781ED1"/>
    <w:rsid w:val="00782F96"/>
    <w:rsid w:val="007834A9"/>
    <w:rsid w:val="00784DAB"/>
    <w:rsid w:val="00785A72"/>
    <w:rsid w:val="00785E73"/>
    <w:rsid w:val="00787468"/>
    <w:rsid w:val="00790756"/>
    <w:rsid w:val="0079134D"/>
    <w:rsid w:val="00791888"/>
    <w:rsid w:val="007918EB"/>
    <w:rsid w:val="00791BEC"/>
    <w:rsid w:val="00792313"/>
    <w:rsid w:val="007929AD"/>
    <w:rsid w:val="00795407"/>
    <w:rsid w:val="00795A70"/>
    <w:rsid w:val="00796A7A"/>
    <w:rsid w:val="00797663"/>
    <w:rsid w:val="00797F2D"/>
    <w:rsid w:val="00797FCF"/>
    <w:rsid w:val="007A0739"/>
    <w:rsid w:val="007A1B62"/>
    <w:rsid w:val="007A38A5"/>
    <w:rsid w:val="007A556B"/>
    <w:rsid w:val="007A5976"/>
    <w:rsid w:val="007A65F4"/>
    <w:rsid w:val="007A76CB"/>
    <w:rsid w:val="007A7E64"/>
    <w:rsid w:val="007B0163"/>
    <w:rsid w:val="007B0DBF"/>
    <w:rsid w:val="007B2754"/>
    <w:rsid w:val="007B2F16"/>
    <w:rsid w:val="007B3022"/>
    <w:rsid w:val="007B30F7"/>
    <w:rsid w:val="007B33BB"/>
    <w:rsid w:val="007B4FBC"/>
    <w:rsid w:val="007B5578"/>
    <w:rsid w:val="007B6450"/>
    <w:rsid w:val="007B65FA"/>
    <w:rsid w:val="007B731B"/>
    <w:rsid w:val="007B7E58"/>
    <w:rsid w:val="007C24E5"/>
    <w:rsid w:val="007C2FA5"/>
    <w:rsid w:val="007C481B"/>
    <w:rsid w:val="007C51E5"/>
    <w:rsid w:val="007C522B"/>
    <w:rsid w:val="007C7131"/>
    <w:rsid w:val="007D0B45"/>
    <w:rsid w:val="007D11FF"/>
    <w:rsid w:val="007D1280"/>
    <w:rsid w:val="007D1828"/>
    <w:rsid w:val="007D1869"/>
    <w:rsid w:val="007D232D"/>
    <w:rsid w:val="007D26BE"/>
    <w:rsid w:val="007D293E"/>
    <w:rsid w:val="007D3CAC"/>
    <w:rsid w:val="007D6078"/>
    <w:rsid w:val="007D70AE"/>
    <w:rsid w:val="007D76CC"/>
    <w:rsid w:val="007D797C"/>
    <w:rsid w:val="007D7B98"/>
    <w:rsid w:val="007E100D"/>
    <w:rsid w:val="007E125B"/>
    <w:rsid w:val="007E1889"/>
    <w:rsid w:val="007E52A3"/>
    <w:rsid w:val="007E6276"/>
    <w:rsid w:val="007F0017"/>
    <w:rsid w:val="007F1B73"/>
    <w:rsid w:val="007F28D2"/>
    <w:rsid w:val="007F2BF7"/>
    <w:rsid w:val="007F2DCC"/>
    <w:rsid w:val="007F54DF"/>
    <w:rsid w:val="007F6D16"/>
    <w:rsid w:val="007F7043"/>
    <w:rsid w:val="007F7443"/>
    <w:rsid w:val="007F7B79"/>
    <w:rsid w:val="00802128"/>
    <w:rsid w:val="00803F20"/>
    <w:rsid w:val="00804EC7"/>
    <w:rsid w:val="0080500C"/>
    <w:rsid w:val="008051CF"/>
    <w:rsid w:val="00805A8E"/>
    <w:rsid w:val="00807C6F"/>
    <w:rsid w:val="00807C97"/>
    <w:rsid w:val="00810350"/>
    <w:rsid w:val="008108EA"/>
    <w:rsid w:val="00811C8D"/>
    <w:rsid w:val="00812B2D"/>
    <w:rsid w:val="008133FC"/>
    <w:rsid w:val="00813B40"/>
    <w:rsid w:val="00813F37"/>
    <w:rsid w:val="00815AE9"/>
    <w:rsid w:val="008164AD"/>
    <w:rsid w:val="00816AB1"/>
    <w:rsid w:val="00820AAA"/>
    <w:rsid w:val="00821512"/>
    <w:rsid w:val="00821E3F"/>
    <w:rsid w:val="00821E76"/>
    <w:rsid w:val="00822203"/>
    <w:rsid w:val="0082300C"/>
    <w:rsid w:val="00823822"/>
    <w:rsid w:val="00823FD9"/>
    <w:rsid w:val="008243A7"/>
    <w:rsid w:val="0082573C"/>
    <w:rsid w:val="0082591E"/>
    <w:rsid w:val="008259A0"/>
    <w:rsid w:val="008274F1"/>
    <w:rsid w:val="00832241"/>
    <w:rsid w:val="0083267B"/>
    <w:rsid w:val="00833EA4"/>
    <w:rsid w:val="00834C56"/>
    <w:rsid w:val="00835414"/>
    <w:rsid w:val="008358EF"/>
    <w:rsid w:val="00842868"/>
    <w:rsid w:val="00842A62"/>
    <w:rsid w:val="00845743"/>
    <w:rsid w:val="008466F8"/>
    <w:rsid w:val="008470B8"/>
    <w:rsid w:val="00847103"/>
    <w:rsid w:val="00847F65"/>
    <w:rsid w:val="00851650"/>
    <w:rsid w:val="00854CE3"/>
    <w:rsid w:val="008555B5"/>
    <w:rsid w:val="008556ED"/>
    <w:rsid w:val="00856991"/>
    <w:rsid w:val="008577FD"/>
    <w:rsid w:val="008614A2"/>
    <w:rsid w:val="008623AC"/>
    <w:rsid w:val="0086400D"/>
    <w:rsid w:val="008641CC"/>
    <w:rsid w:val="00865735"/>
    <w:rsid w:val="00867A14"/>
    <w:rsid w:val="00870EA7"/>
    <w:rsid w:val="00871950"/>
    <w:rsid w:val="0087275E"/>
    <w:rsid w:val="0087396E"/>
    <w:rsid w:val="00874471"/>
    <w:rsid w:val="00875374"/>
    <w:rsid w:val="0088014E"/>
    <w:rsid w:val="0088119E"/>
    <w:rsid w:val="00881A71"/>
    <w:rsid w:val="008843C7"/>
    <w:rsid w:val="00884533"/>
    <w:rsid w:val="008849D4"/>
    <w:rsid w:val="00884EBA"/>
    <w:rsid w:val="0088598F"/>
    <w:rsid w:val="00887F0E"/>
    <w:rsid w:val="008901DF"/>
    <w:rsid w:val="00890D62"/>
    <w:rsid w:val="008913D4"/>
    <w:rsid w:val="00891850"/>
    <w:rsid w:val="008936C1"/>
    <w:rsid w:val="00896F98"/>
    <w:rsid w:val="00897796"/>
    <w:rsid w:val="00897BCF"/>
    <w:rsid w:val="00897EFB"/>
    <w:rsid w:val="008A12F4"/>
    <w:rsid w:val="008A1A3B"/>
    <w:rsid w:val="008A1ABF"/>
    <w:rsid w:val="008A213D"/>
    <w:rsid w:val="008A2C81"/>
    <w:rsid w:val="008A2E36"/>
    <w:rsid w:val="008A2EF5"/>
    <w:rsid w:val="008A3A94"/>
    <w:rsid w:val="008A4F04"/>
    <w:rsid w:val="008A5315"/>
    <w:rsid w:val="008A7AE6"/>
    <w:rsid w:val="008B0412"/>
    <w:rsid w:val="008B04F6"/>
    <w:rsid w:val="008B0E1F"/>
    <w:rsid w:val="008B1470"/>
    <w:rsid w:val="008B1E20"/>
    <w:rsid w:val="008B1FDF"/>
    <w:rsid w:val="008B200B"/>
    <w:rsid w:val="008B2961"/>
    <w:rsid w:val="008B3649"/>
    <w:rsid w:val="008B436B"/>
    <w:rsid w:val="008B4ADE"/>
    <w:rsid w:val="008B4BCE"/>
    <w:rsid w:val="008B6A7A"/>
    <w:rsid w:val="008C08C4"/>
    <w:rsid w:val="008C1358"/>
    <w:rsid w:val="008C2075"/>
    <w:rsid w:val="008C32A0"/>
    <w:rsid w:val="008C3A94"/>
    <w:rsid w:val="008C57BC"/>
    <w:rsid w:val="008C598D"/>
    <w:rsid w:val="008C5B1B"/>
    <w:rsid w:val="008C6012"/>
    <w:rsid w:val="008C6135"/>
    <w:rsid w:val="008C731E"/>
    <w:rsid w:val="008D0524"/>
    <w:rsid w:val="008D0EC7"/>
    <w:rsid w:val="008D1332"/>
    <w:rsid w:val="008D3262"/>
    <w:rsid w:val="008D3899"/>
    <w:rsid w:val="008D5B30"/>
    <w:rsid w:val="008D6884"/>
    <w:rsid w:val="008D6D40"/>
    <w:rsid w:val="008D7FF7"/>
    <w:rsid w:val="008E037B"/>
    <w:rsid w:val="008E0B98"/>
    <w:rsid w:val="008E211B"/>
    <w:rsid w:val="008E256D"/>
    <w:rsid w:val="008E2729"/>
    <w:rsid w:val="008E2B0E"/>
    <w:rsid w:val="008E3181"/>
    <w:rsid w:val="008E3CD7"/>
    <w:rsid w:val="008E44C6"/>
    <w:rsid w:val="008E4606"/>
    <w:rsid w:val="008E4ED2"/>
    <w:rsid w:val="008E5763"/>
    <w:rsid w:val="008E57F4"/>
    <w:rsid w:val="008E591D"/>
    <w:rsid w:val="008E5B0D"/>
    <w:rsid w:val="008E64BB"/>
    <w:rsid w:val="008E7D44"/>
    <w:rsid w:val="008F03F3"/>
    <w:rsid w:val="008F0472"/>
    <w:rsid w:val="008F04A7"/>
    <w:rsid w:val="008F0B49"/>
    <w:rsid w:val="008F1E26"/>
    <w:rsid w:val="008F3290"/>
    <w:rsid w:val="008F3943"/>
    <w:rsid w:val="008F4B1D"/>
    <w:rsid w:val="008F50D2"/>
    <w:rsid w:val="008F51B4"/>
    <w:rsid w:val="008F5701"/>
    <w:rsid w:val="008F5881"/>
    <w:rsid w:val="008F7195"/>
    <w:rsid w:val="009011C4"/>
    <w:rsid w:val="00901514"/>
    <w:rsid w:val="00901C34"/>
    <w:rsid w:val="009020A4"/>
    <w:rsid w:val="0090237C"/>
    <w:rsid w:val="00903A0F"/>
    <w:rsid w:val="0090540C"/>
    <w:rsid w:val="00907067"/>
    <w:rsid w:val="00910570"/>
    <w:rsid w:val="009107A6"/>
    <w:rsid w:val="0091327D"/>
    <w:rsid w:val="00913A08"/>
    <w:rsid w:val="00913FEF"/>
    <w:rsid w:val="00914232"/>
    <w:rsid w:val="00914431"/>
    <w:rsid w:val="00914923"/>
    <w:rsid w:val="00914CF3"/>
    <w:rsid w:val="00917487"/>
    <w:rsid w:val="00917492"/>
    <w:rsid w:val="00923885"/>
    <w:rsid w:val="00923A67"/>
    <w:rsid w:val="00924433"/>
    <w:rsid w:val="009252F9"/>
    <w:rsid w:val="0092732C"/>
    <w:rsid w:val="0092777D"/>
    <w:rsid w:val="0093016D"/>
    <w:rsid w:val="0093048D"/>
    <w:rsid w:val="00931090"/>
    <w:rsid w:val="00932181"/>
    <w:rsid w:val="009325FE"/>
    <w:rsid w:val="00932B0A"/>
    <w:rsid w:val="0093465C"/>
    <w:rsid w:val="009355A7"/>
    <w:rsid w:val="0093637D"/>
    <w:rsid w:val="00936B6A"/>
    <w:rsid w:val="009370E2"/>
    <w:rsid w:val="00937FF8"/>
    <w:rsid w:val="009404FD"/>
    <w:rsid w:val="0094110C"/>
    <w:rsid w:val="00941235"/>
    <w:rsid w:val="00941AAE"/>
    <w:rsid w:val="00941D1C"/>
    <w:rsid w:val="00943E84"/>
    <w:rsid w:val="0094454B"/>
    <w:rsid w:val="00945C86"/>
    <w:rsid w:val="00945D68"/>
    <w:rsid w:val="00946941"/>
    <w:rsid w:val="00946BD7"/>
    <w:rsid w:val="009472D3"/>
    <w:rsid w:val="00947669"/>
    <w:rsid w:val="009505D1"/>
    <w:rsid w:val="00950BE9"/>
    <w:rsid w:val="0095180C"/>
    <w:rsid w:val="00952DD6"/>
    <w:rsid w:val="00953EF1"/>
    <w:rsid w:val="00954662"/>
    <w:rsid w:val="00956250"/>
    <w:rsid w:val="009566E2"/>
    <w:rsid w:val="009568C5"/>
    <w:rsid w:val="00956C33"/>
    <w:rsid w:val="00956FCB"/>
    <w:rsid w:val="00957D60"/>
    <w:rsid w:val="009616B7"/>
    <w:rsid w:val="0096294C"/>
    <w:rsid w:val="00962CAF"/>
    <w:rsid w:val="00964F2E"/>
    <w:rsid w:val="00966A46"/>
    <w:rsid w:val="0096717B"/>
    <w:rsid w:val="009702B9"/>
    <w:rsid w:val="00972827"/>
    <w:rsid w:val="00972F2B"/>
    <w:rsid w:val="00973011"/>
    <w:rsid w:val="0097401B"/>
    <w:rsid w:val="00974181"/>
    <w:rsid w:val="00974E1D"/>
    <w:rsid w:val="00975850"/>
    <w:rsid w:val="009760C4"/>
    <w:rsid w:val="00976115"/>
    <w:rsid w:val="00976D9E"/>
    <w:rsid w:val="00980487"/>
    <w:rsid w:val="0098205C"/>
    <w:rsid w:val="009855ED"/>
    <w:rsid w:val="00985D33"/>
    <w:rsid w:val="00986028"/>
    <w:rsid w:val="00987EBA"/>
    <w:rsid w:val="00991DEE"/>
    <w:rsid w:val="00991E89"/>
    <w:rsid w:val="00992222"/>
    <w:rsid w:val="00992A20"/>
    <w:rsid w:val="00992BD7"/>
    <w:rsid w:val="00993E4E"/>
    <w:rsid w:val="00995078"/>
    <w:rsid w:val="0099622B"/>
    <w:rsid w:val="009A0491"/>
    <w:rsid w:val="009A0757"/>
    <w:rsid w:val="009A3620"/>
    <w:rsid w:val="009A3A2A"/>
    <w:rsid w:val="009A4EC8"/>
    <w:rsid w:val="009A55DA"/>
    <w:rsid w:val="009A583B"/>
    <w:rsid w:val="009A655B"/>
    <w:rsid w:val="009A7B18"/>
    <w:rsid w:val="009B0F52"/>
    <w:rsid w:val="009B1424"/>
    <w:rsid w:val="009B3C2B"/>
    <w:rsid w:val="009B4EF2"/>
    <w:rsid w:val="009B4FF9"/>
    <w:rsid w:val="009B5AB1"/>
    <w:rsid w:val="009B619D"/>
    <w:rsid w:val="009B6582"/>
    <w:rsid w:val="009C1F44"/>
    <w:rsid w:val="009C22BE"/>
    <w:rsid w:val="009C3F00"/>
    <w:rsid w:val="009C4E13"/>
    <w:rsid w:val="009C5289"/>
    <w:rsid w:val="009C5F83"/>
    <w:rsid w:val="009C5FE8"/>
    <w:rsid w:val="009C6188"/>
    <w:rsid w:val="009C7357"/>
    <w:rsid w:val="009C7909"/>
    <w:rsid w:val="009C7A1C"/>
    <w:rsid w:val="009C7F5C"/>
    <w:rsid w:val="009D163C"/>
    <w:rsid w:val="009D3F51"/>
    <w:rsid w:val="009D57AA"/>
    <w:rsid w:val="009D6C64"/>
    <w:rsid w:val="009D7060"/>
    <w:rsid w:val="009D74E5"/>
    <w:rsid w:val="009E05B6"/>
    <w:rsid w:val="009E0839"/>
    <w:rsid w:val="009E088E"/>
    <w:rsid w:val="009E1A9E"/>
    <w:rsid w:val="009E347D"/>
    <w:rsid w:val="009E34A1"/>
    <w:rsid w:val="009E379A"/>
    <w:rsid w:val="009E60EE"/>
    <w:rsid w:val="009E64FD"/>
    <w:rsid w:val="009E6506"/>
    <w:rsid w:val="009E74E7"/>
    <w:rsid w:val="009F00C2"/>
    <w:rsid w:val="009F018C"/>
    <w:rsid w:val="009F0680"/>
    <w:rsid w:val="009F09A2"/>
    <w:rsid w:val="009F2E20"/>
    <w:rsid w:val="009F451B"/>
    <w:rsid w:val="009F4665"/>
    <w:rsid w:val="009F6536"/>
    <w:rsid w:val="009F6B4A"/>
    <w:rsid w:val="009F7B4C"/>
    <w:rsid w:val="00A00424"/>
    <w:rsid w:val="00A00CFF"/>
    <w:rsid w:val="00A03038"/>
    <w:rsid w:val="00A037EB"/>
    <w:rsid w:val="00A04E04"/>
    <w:rsid w:val="00A05A67"/>
    <w:rsid w:val="00A064E3"/>
    <w:rsid w:val="00A066C5"/>
    <w:rsid w:val="00A07618"/>
    <w:rsid w:val="00A101B5"/>
    <w:rsid w:val="00A11510"/>
    <w:rsid w:val="00A11ECB"/>
    <w:rsid w:val="00A13A87"/>
    <w:rsid w:val="00A1424B"/>
    <w:rsid w:val="00A159A9"/>
    <w:rsid w:val="00A2210D"/>
    <w:rsid w:val="00A226B1"/>
    <w:rsid w:val="00A22BB6"/>
    <w:rsid w:val="00A22F18"/>
    <w:rsid w:val="00A2309A"/>
    <w:rsid w:val="00A256EB"/>
    <w:rsid w:val="00A2615C"/>
    <w:rsid w:val="00A31A18"/>
    <w:rsid w:val="00A31D1A"/>
    <w:rsid w:val="00A32290"/>
    <w:rsid w:val="00A32EEA"/>
    <w:rsid w:val="00A3353E"/>
    <w:rsid w:val="00A34FEF"/>
    <w:rsid w:val="00A369AE"/>
    <w:rsid w:val="00A37166"/>
    <w:rsid w:val="00A3738E"/>
    <w:rsid w:val="00A37FB0"/>
    <w:rsid w:val="00A401EF"/>
    <w:rsid w:val="00A40BE9"/>
    <w:rsid w:val="00A4116C"/>
    <w:rsid w:val="00A41944"/>
    <w:rsid w:val="00A426FA"/>
    <w:rsid w:val="00A42BE3"/>
    <w:rsid w:val="00A436D5"/>
    <w:rsid w:val="00A43FF2"/>
    <w:rsid w:val="00A440DB"/>
    <w:rsid w:val="00A443E0"/>
    <w:rsid w:val="00A4485B"/>
    <w:rsid w:val="00A4528E"/>
    <w:rsid w:val="00A45937"/>
    <w:rsid w:val="00A45E03"/>
    <w:rsid w:val="00A46091"/>
    <w:rsid w:val="00A46C26"/>
    <w:rsid w:val="00A46CE0"/>
    <w:rsid w:val="00A517A2"/>
    <w:rsid w:val="00A52481"/>
    <w:rsid w:val="00A52940"/>
    <w:rsid w:val="00A52FD0"/>
    <w:rsid w:val="00A54AB8"/>
    <w:rsid w:val="00A6100C"/>
    <w:rsid w:val="00A61387"/>
    <w:rsid w:val="00A61B2F"/>
    <w:rsid w:val="00A6219F"/>
    <w:rsid w:val="00A62F77"/>
    <w:rsid w:val="00A63C1C"/>
    <w:rsid w:val="00A63EEC"/>
    <w:rsid w:val="00A64080"/>
    <w:rsid w:val="00A648C9"/>
    <w:rsid w:val="00A64F7E"/>
    <w:rsid w:val="00A66395"/>
    <w:rsid w:val="00A66DD4"/>
    <w:rsid w:val="00A67561"/>
    <w:rsid w:val="00A67F73"/>
    <w:rsid w:val="00A70572"/>
    <w:rsid w:val="00A70CBE"/>
    <w:rsid w:val="00A71288"/>
    <w:rsid w:val="00A71A63"/>
    <w:rsid w:val="00A73171"/>
    <w:rsid w:val="00A74D08"/>
    <w:rsid w:val="00A751F9"/>
    <w:rsid w:val="00A75D5F"/>
    <w:rsid w:val="00A769F7"/>
    <w:rsid w:val="00A77261"/>
    <w:rsid w:val="00A776E6"/>
    <w:rsid w:val="00A77717"/>
    <w:rsid w:val="00A77DE2"/>
    <w:rsid w:val="00A82C3A"/>
    <w:rsid w:val="00A82CAD"/>
    <w:rsid w:val="00A83C9A"/>
    <w:rsid w:val="00A84F05"/>
    <w:rsid w:val="00A85E2B"/>
    <w:rsid w:val="00A87417"/>
    <w:rsid w:val="00A8767E"/>
    <w:rsid w:val="00A918FB"/>
    <w:rsid w:val="00A93364"/>
    <w:rsid w:val="00A94AF3"/>
    <w:rsid w:val="00A94D89"/>
    <w:rsid w:val="00A9530C"/>
    <w:rsid w:val="00A95D68"/>
    <w:rsid w:val="00A96299"/>
    <w:rsid w:val="00A97174"/>
    <w:rsid w:val="00A972FD"/>
    <w:rsid w:val="00A97435"/>
    <w:rsid w:val="00A97702"/>
    <w:rsid w:val="00A97EE9"/>
    <w:rsid w:val="00AA0F1E"/>
    <w:rsid w:val="00AA1B4A"/>
    <w:rsid w:val="00AA1C84"/>
    <w:rsid w:val="00AA1E81"/>
    <w:rsid w:val="00AA25A7"/>
    <w:rsid w:val="00AA3DB8"/>
    <w:rsid w:val="00AA42EA"/>
    <w:rsid w:val="00AA5447"/>
    <w:rsid w:val="00AA59C7"/>
    <w:rsid w:val="00AA5EF0"/>
    <w:rsid w:val="00AA6A75"/>
    <w:rsid w:val="00AA6DD2"/>
    <w:rsid w:val="00AB14E6"/>
    <w:rsid w:val="00AB2D01"/>
    <w:rsid w:val="00AB4BC2"/>
    <w:rsid w:val="00AC01E7"/>
    <w:rsid w:val="00AC0379"/>
    <w:rsid w:val="00AC0D9F"/>
    <w:rsid w:val="00AC1274"/>
    <w:rsid w:val="00AC2437"/>
    <w:rsid w:val="00AC4DDA"/>
    <w:rsid w:val="00AC5473"/>
    <w:rsid w:val="00AC5D08"/>
    <w:rsid w:val="00AC61CE"/>
    <w:rsid w:val="00AD0906"/>
    <w:rsid w:val="00AD0FC5"/>
    <w:rsid w:val="00AD116B"/>
    <w:rsid w:val="00AD122A"/>
    <w:rsid w:val="00AD168D"/>
    <w:rsid w:val="00AD1CDC"/>
    <w:rsid w:val="00AD1D94"/>
    <w:rsid w:val="00AD2E48"/>
    <w:rsid w:val="00AD2F96"/>
    <w:rsid w:val="00AD581C"/>
    <w:rsid w:val="00AD6064"/>
    <w:rsid w:val="00AD6143"/>
    <w:rsid w:val="00AD7634"/>
    <w:rsid w:val="00AD79BA"/>
    <w:rsid w:val="00AD7B38"/>
    <w:rsid w:val="00AE0E2D"/>
    <w:rsid w:val="00AE12D0"/>
    <w:rsid w:val="00AE1DB0"/>
    <w:rsid w:val="00AE2BD0"/>
    <w:rsid w:val="00AE432E"/>
    <w:rsid w:val="00AE47D7"/>
    <w:rsid w:val="00AE5132"/>
    <w:rsid w:val="00AE54CD"/>
    <w:rsid w:val="00AE63A6"/>
    <w:rsid w:val="00AF3BA0"/>
    <w:rsid w:val="00AF5CD1"/>
    <w:rsid w:val="00AF62B1"/>
    <w:rsid w:val="00B01191"/>
    <w:rsid w:val="00B019A1"/>
    <w:rsid w:val="00B020D3"/>
    <w:rsid w:val="00B0424A"/>
    <w:rsid w:val="00B04393"/>
    <w:rsid w:val="00B04B8C"/>
    <w:rsid w:val="00B10A7F"/>
    <w:rsid w:val="00B129B9"/>
    <w:rsid w:val="00B12C09"/>
    <w:rsid w:val="00B1365F"/>
    <w:rsid w:val="00B147F8"/>
    <w:rsid w:val="00B15931"/>
    <w:rsid w:val="00B15C48"/>
    <w:rsid w:val="00B163CB"/>
    <w:rsid w:val="00B177E1"/>
    <w:rsid w:val="00B2099C"/>
    <w:rsid w:val="00B21988"/>
    <w:rsid w:val="00B21C92"/>
    <w:rsid w:val="00B21DFB"/>
    <w:rsid w:val="00B239E7"/>
    <w:rsid w:val="00B24AF2"/>
    <w:rsid w:val="00B257FA"/>
    <w:rsid w:val="00B26F97"/>
    <w:rsid w:val="00B2780E"/>
    <w:rsid w:val="00B31D21"/>
    <w:rsid w:val="00B31D22"/>
    <w:rsid w:val="00B3320B"/>
    <w:rsid w:val="00B3408A"/>
    <w:rsid w:val="00B353A4"/>
    <w:rsid w:val="00B36691"/>
    <w:rsid w:val="00B368D7"/>
    <w:rsid w:val="00B443B5"/>
    <w:rsid w:val="00B44A13"/>
    <w:rsid w:val="00B45049"/>
    <w:rsid w:val="00B4537E"/>
    <w:rsid w:val="00B454A7"/>
    <w:rsid w:val="00B466C8"/>
    <w:rsid w:val="00B46836"/>
    <w:rsid w:val="00B46B82"/>
    <w:rsid w:val="00B46E4A"/>
    <w:rsid w:val="00B47082"/>
    <w:rsid w:val="00B500EA"/>
    <w:rsid w:val="00B52206"/>
    <w:rsid w:val="00B53754"/>
    <w:rsid w:val="00B540AF"/>
    <w:rsid w:val="00B55EF8"/>
    <w:rsid w:val="00B56A44"/>
    <w:rsid w:val="00B56AB8"/>
    <w:rsid w:val="00B56FD9"/>
    <w:rsid w:val="00B57DD5"/>
    <w:rsid w:val="00B60267"/>
    <w:rsid w:val="00B63375"/>
    <w:rsid w:val="00B64BE5"/>
    <w:rsid w:val="00B6525D"/>
    <w:rsid w:val="00B65735"/>
    <w:rsid w:val="00B66299"/>
    <w:rsid w:val="00B66536"/>
    <w:rsid w:val="00B678EE"/>
    <w:rsid w:val="00B73196"/>
    <w:rsid w:val="00B734DB"/>
    <w:rsid w:val="00B74122"/>
    <w:rsid w:val="00B74444"/>
    <w:rsid w:val="00B74695"/>
    <w:rsid w:val="00B747C9"/>
    <w:rsid w:val="00B7684D"/>
    <w:rsid w:val="00B771C3"/>
    <w:rsid w:val="00B773CF"/>
    <w:rsid w:val="00B77B95"/>
    <w:rsid w:val="00B77C1A"/>
    <w:rsid w:val="00B80E94"/>
    <w:rsid w:val="00B80F64"/>
    <w:rsid w:val="00B80FC4"/>
    <w:rsid w:val="00B81185"/>
    <w:rsid w:val="00B81F1B"/>
    <w:rsid w:val="00B820E4"/>
    <w:rsid w:val="00B82BC8"/>
    <w:rsid w:val="00B82DCC"/>
    <w:rsid w:val="00B830A2"/>
    <w:rsid w:val="00B838C5"/>
    <w:rsid w:val="00B838CA"/>
    <w:rsid w:val="00B85F42"/>
    <w:rsid w:val="00B86D45"/>
    <w:rsid w:val="00B870F1"/>
    <w:rsid w:val="00B90E65"/>
    <w:rsid w:val="00B91AC3"/>
    <w:rsid w:val="00B91F54"/>
    <w:rsid w:val="00B93FD5"/>
    <w:rsid w:val="00B9631A"/>
    <w:rsid w:val="00B9786C"/>
    <w:rsid w:val="00B97BF5"/>
    <w:rsid w:val="00BA3D21"/>
    <w:rsid w:val="00BA4C7F"/>
    <w:rsid w:val="00BA4FED"/>
    <w:rsid w:val="00BA545C"/>
    <w:rsid w:val="00BA613F"/>
    <w:rsid w:val="00BA67CB"/>
    <w:rsid w:val="00BA6A33"/>
    <w:rsid w:val="00BA77F4"/>
    <w:rsid w:val="00BB13D9"/>
    <w:rsid w:val="00BB1931"/>
    <w:rsid w:val="00BB20C0"/>
    <w:rsid w:val="00BB2217"/>
    <w:rsid w:val="00BB3D5D"/>
    <w:rsid w:val="00BB3F08"/>
    <w:rsid w:val="00BB41A5"/>
    <w:rsid w:val="00BB4FBD"/>
    <w:rsid w:val="00BB66C7"/>
    <w:rsid w:val="00BB70C9"/>
    <w:rsid w:val="00BB7366"/>
    <w:rsid w:val="00BB7860"/>
    <w:rsid w:val="00BC1159"/>
    <w:rsid w:val="00BC3984"/>
    <w:rsid w:val="00BC49A2"/>
    <w:rsid w:val="00BC5D8B"/>
    <w:rsid w:val="00BC5EF1"/>
    <w:rsid w:val="00BC79AE"/>
    <w:rsid w:val="00BC7B73"/>
    <w:rsid w:val="00BC7F38"/>
    <w:rsid w:val="00BC7F98"/>
    <w:rsid w:val="00BD0965"/>
    <w:rsid w:val="00BD0FE6"/>
    <w:rsid w:val="00BD1118"/>
    <w:rsid w:val="00BD1155"/>
    <w:rsid w:val="00BD4070"/>
    <w:rsid w:val="00BD424A"/>
    <w:rsid w:val="00BD45B4"/>
    <w:rsid w:val="00BD5974"/>
    <w:rsid w:val="00BE31B3"/>
    <w:rsid w:val="00BE43FD"/>
    <w:rsid w:val="00BE45AF"/>
    <w:rsid w:val="00BE5324"/>
    <w:rsid w:val="00BE53AA"/>
    <w:rsid w:val="00BE6FC5"/>
    <w:rsid w:val="00BE7B18"/>
    <w:rsid w:val="00BF013F"/>
    <w:rsid w:val="00BF0820"/>
    <w:rsid w:val="00BF0FB4"/>
    <w:rsid w:val="00BF14B2"/>
    <w:rsid w:val="00BF2470"/>
    <w:rsid w:val="00BF25B1"/>
    <w:rsid w:val="00BF25BF"/>
    <w:rsid w:val="00BF2AF1"/>
    <w:rsid w:val="00BF4031"/>
    <w:rsid w:val="00BF4385"/>
    <w:rsid w:val="00BF4A64"/>
    <w:rsid w:val="00BF4ADC"/>
    <w:rsid w:val="00BF4FAA"/>
    <w:rsid w:val="00BF6806"/>
    <w:rsid w:val="00C0090B"/>
    <w:rsid w:val="00C00EC4"/>
    <w:rsid w:val="00C01500"/>
    <w:rsid w:val="00C016E7"/>
    <w:rsid w:val="00C01FEB"/>
    <w:rsid w:val="00C036EB"/>
    <w:rsid w:val="00C03BF9"/>
    <w:rsid w:val="00C04B49"/>
    <w:rsid w:val="00C050FB"/>
    <w:rsid w:val="00C05629"/>
    <w:rsid w:val="00C05889"/>
    <w:rsid w:val="00C07A1F"/>
    <w:rsid w:val="00C10E98"/>
    <w:rsid w:val="00C117DC"/>
    <w:rsid w:val="00C11F4A"/>
    <w:rsid w:val="00C122D9"/>
    <w:rsid w:val="00C12EB5"/>
    <w:rsid w:val="00C12F0A"/>
    <w:rsid w:val="00C14C96"/>
    <w:rsid w:val="00C15339"/>
    <w:rsid w:val="00C1553F"/>
    <w:rsid w:val="00C157C7"/>
    <w:rsid w:val="00C159D3"/>
    <w:rsid w:val="00C1607E"/>
    <w:rsid w:val="00C211E4"/>
    <w:rsid w:val="00C23889"/>
    <w:rsid w:val="00C23B3A"/>
    <w:rsid w:val="00C23CBF"/>
    <w:rsid w:val="00C25C27"/>
    <w:rsid w:val="00C275CA"/>
    <w:rsid w:val="00C30C6F"/>
    <w:rsid w:val="00C331F2"/>
    <w:rsid w:val="00C34878"/>
    <w:rsid w:val="00C362E0"/>
    <w:rsid w:val="00C36F51"/>
    <w:rsid w:val="00C3742B"/>
    <w:rsid w:val="00C40A8D"/>
    <w:rsid w:val="00C40F9C"/>
    <w:rsid w:val="00C4153B"/>
    <w:rsid w:val="00C41867"/>
    <w:rsid w:val="00C42B9C"/>
    <w:rsid w:val="00C42DA2"/>
    <w:rsid w:val="00C457E9"/>
    <w:rsid w:val="00C45BF5"/>
    <w:rsid w:val="00C51F1B"/>
    <w:rsid w:val="00C527FC"/>
    <w:rsid w:val="00C53E47"/>
    <w:rsid w:val="00C55576"/>
    <w:rsid w:val="00C557A0"/>
    <w:rsid w:val="00C568A7"/>
    <w:rsid w:val="00C56E6B"/>
    <w:rsid w:val="00C57B2A"/>
    <w:rsid w:val="00C57EF4"/>
    <w:rsid w:val="00C6092F"/>
    <w:rsid w:val="00C612BD"/>
    <w:rsid w:val="00C61D84"/>
    <w:rsid w:val="00C62EF6"/>
    <w:rsid w:val="00C6397E"/>
    <w:rsid w:val="00C64412"/>
    <w:rsid w:val="00C65108"/>
    <w:rsid w:val="00C66008"/>
    <w:rsid w:val="00C66D6F"/>
    <w:rsid w:val="00C66DF3"/>
    <w:rsid w:val="00C670C7"/>
    <w:rsid w:val="00C676D7"/>
    <w:rsid w:val="00C70C51"/>
    <w:rsid w:val="00C70CDB"/>
    <w:rsid w:val="00C72714"/>
    <w:rsid w:val="00C728F0"/>
    <w:rsid w:val="00C73E8B"/>
    <w:rsid w:val="00C75E0C"/>
    <w:rsid w:val="00C76682"/>
    <w:rsid w:val="00C771D9"/>
    <w:rsid w:val="00C774B1"/>
    <w:rsid w:val="00C77810"/>
    <w:rsid w:val="00C77CFC"/>
    <w:rsid w:val="00C77D27"/>
    <w:rsid w:val="00C81375"/>
    <w:rsid w:val="00C81483"/>
    <w:rsid w:val="00C8209E"/>
    <w:rsid w:val="00C82C77"/>
    <w:rsid w:val="00C83A78"/>
    <w:rsid w:val="00C84B9B"/>
    <w:rsid w:val="00C851EA"/>
    <w:rsid w:val="00C87A53"/>
    <w:rsid w:val="00C87C0D"/>
    <w:rsid w:val="00C87D71"/>
    <w:rsid w:val="00C90BF5"/>
    <w:rsid w:val="00C90D01"/>
    <w:rsid w:val="00C91C0C"/>
    <w:rsid w:val="00C91F67"/>
    <w:rsid w:val="00C92635"/>
    <w:rsid w:val="00C92A86"/>
    <w:rsid w:val="00C95096"/>
    <w:rsid w:val="00C96937"/>
    <w:rsid w:val="00C9793D"/>
    <w:rsid w:val="00C97C07"/>
    <w:rsid w:val="00CA2076"/>
    <w:rsid w:val="00CA2DD6"/>
    <w:rsid w:val="00CA2F96"/>
    <w:rsid w:val="00CA43A1"/>
    <w:rsid w:val="00CA448F"/>
    <w:rsid w:val="00CA4954"/>
    <w:rsid w:val="00CA54BE"/>
    <w:rsid w:val="00CA5BC5"/>
    <w:rsid w:val="00CA6FE0"/>
    <w:rsid w:val="00CB1DE1"/>
    <w:rsid w:val="00CB1E5C"/>
    <w:rsid w:val="00CB1F90"/>
    <w:rsid w:val="00CB3905"/>
    <w:rsid w:val="00CB3B18"/>
    <w:rsid w:val="00CB3E09"/>
    <w:rsid w:val="00CB3E2B"/>
    <w:rsid w:val="00CB5921"/>
    <w:rsid w:val="00CB6259"/>
    <w:rsid w:val="00CC00FD"/>
    <w:rsid w:val="00CC03D9"/>
    <w:rsid w:val="00CC0698"/>
    <w:rsid w:val="00CC0992"/>
    <w:rsid w:val="00CC2255"/>
    <w:rsid w:val="00CC401C"/>
    <w:rsid w:val="00CC40B4"/>
    <w:rsid w:val="00CC455C"/>
    <w:rsid w:val="00CC4A1D"/>
    <w:rsid w:val="00CD0AD5"/>
    <w:rsid w:val="00CD1521"/>
    <w:rsid w:val="00CD1EF1"/>
    <w:rsid w:val="00CD32EF"/>
    <w:rsid w:val="00CD3566"/>
    <w:rsid w:val="00CD464C"/>
    <w:rsid w:val="00CD474C"/>
    <w:rsid w:val="00CD4B4A"/>
    <w:rsid w:val="00CD55B4"/>
    <w:rsid w:val="00CD5A2D"/>
    <w:rsid w:val="00CD5B9B"/>
    <w:rsid w:val="00CD7FF1"/>
    <w:rsid w:val="00CE011D"/>
    <w:rsid w:val="00CE0A22"/>
    <w:rsid w:val="00CE3E31"/>
    <w:rsid w:val="00CE4D37"/>
    <w:rsid w:val="00CE506D"/>
    <w:rsid w:val="00CE510F"/>
    <w:rsid w:val="00CF11ED"/>
    <w:rsid w:val="00CF2895"/>
    <w:rsid w:val="00CF379E"/>
    <w:rsid w:val="00CF53E7"/>
    <w:rsid w:val="00CF65EC"/>
    <w:rsid w:val="00CF7E4E"/>
    <w:rsid w:val="00D00600"/>
    <w:rsid w:val="00D01200"/>
    <w:rsid w:val="00D0162A"/>
    <w:rsid w:val="00D030BF"/>
    <w:rsid w:val="00D03F3C"/>
    <w:rsid w:val="00D04ABC"/>
    <w:rsid w:val="00D0513E"/>
    <w:rsid w:val="00D05B79"/>
    <w:rsid w:val="00D05F81"/>
    <w:rsid w:val="00D063E2"/>
    <w:rsid w:val="00D06435"/>
    <w:rsid w:val="00D07451"/>
    <w:rsid w:val="00D1029F"/>
    <w:rsid w:val="00D10C98"/>
    <w:rsid w:val="00D1323F"/>
    <w:rsid w:val="00D13D32"/>
    <w:rsid w:val="00D14AC7"/>
    <w:rsid w:val="00D14D85"/>
    <w:rsid w:val="00D151F7"/>
    <w:rsid w:val="00D15572"/>
    <w:rsid w:val="00D15BEA"/>
    <w:rsid w:val="00D16EDF"/>
    <w:rsid w:val="00D17783"/>
    <w:rsid w:val="00D17AEB"/>
    <w:rsid w:val="00D17E99"/>
    <w:rsid w:val="00D17EC0"/>
    <w:rsid w:val="00D17EF4"/>
    <w:rsid w:val="00D20092"/>
    <w:rsid w:val="00D20203"/>
    <w:rsid w:val="00D204F4"/>
    <w:rsid w:val="00D20626"/>
    <w:rsid w:val="00D20B18"/>
    <w:rsid w:val="00D2161F"/>
    <w:rsid w:val="00D26582"/>
    <w:rsid w:val="00D278EB"/>
    <w:rsid w:val="00D27E01"/>
    <w:rsid w:val="00D31438"/>
    <w:rsid w:val="00D33293"/>
    <w:rsid w:val="00D3439B"/>
    <w:rsid w:val="00D346CB"/>
    <w:rsid w:val="00D35920"/>
    <w:rsid w:val="00D35EC5"/>
    <w:rsid w:val="00D37710"/>
    <w:rsid w:val="00D40AAC"/>
    <w:rsid w:val="00D40B52"/>
    <w:rsid w:val="00D41A1C"/>
    <w:rsid w:val="00D41CCB"/>
    <w:rsid w:val="00D41F23"/>
    <w:rsid w:val="00D42F5B"/>
    <w:rsid w:val="00D43815"/>
    <w:rsid w:val="00D4393D"/>
    <w:rsid w:val="00D44852"/>
    <w:rsid w:val="00D46154"/>
    <w:rsid w:val="00D46CFA"/>
    <w:rsid w:val="00D5075C"/>
    <w:rsid w:val="00D50F18"/>
    <w:rsid w:val="00D510CF"/>
    <w:rsid w:val="00D51EE0"/>
    <w:rsid w:val="00D52246"/>
    <w:rsid w:val="00D5265A"/>
    <w:rsid w:val="00D547D3"/>
    <w:rsid w:val="00D5519B"/>
    <w:rsid w:val="00D55F4F"/>
    <w:rsid w:val="00D60300"/>
    <w:rsid w:val="00D60AC0"/>
    <w:rsid w:val="00D61015"/>
    <w:rsid w:val="00D62BFD"/>
    <w:rsid w:val="00D632B7"/>
    <w:rsid w:val="00D648C0"/>
    <w:rsid w:val="00D66049"/>
    <w:rsid w:val="00D70CC6"/>
    <w:rsid w:val="00D72AD1"/>
    <w:rsid w:val="00D73C26"/>
    <w:rsid w:val="00D73D0D"/>
    <w:rsid w:val="00D75A3D"/>
    <w:rsid w:val="00D76B37"/>
    <w:rsid w:val="00D77527"/>
    <w:rsid w:val="00D77C76"/>
    <w:rsid w:val="00D809BD"/>
    <w:rsid w:val="00D81A41"/>
    <w:rsid w:val="00D829E6"/>
    <w:rsid w:val="00D833A6"/>
    <w:rsid w:val="00D837DD"/>
    <w:rsid w:val="00D84B96"/>
    <w:rsid w:val="00D84D6F"/>
    <w:rsid w:val="00D84D88"/>
    <w:rsid w:val="00D8562C"/>
    <w:rsid w:val="00D85C2A"/>
    <w:rsid w:val="00D87986"/>
    <w:rsid w:val="00DA2AF1"/>
    <w:rsid w:val="00DA3E7F"/>
    <w:rsid w:val="00DA4A28"/>
    <w:rsid w:val="00DA5496"/>
    <w:rsid w:val="00DA7D4C"/>
    <w:rsid w:val="00DA7F2E"/>
    <w:rsid w:val="00DA7FC1"/>
    <w:rsid w:val="00DB079D"/>
    <w:rsid w:val="00DB317D"/>
    <w:rsid w:val="00DB4BE3"/>
    <w:rsid w:val="00DB66E7"/>
    <w:rsid w:val="00DC2894"/>
    <w:rsid w:val="00DC29FC"/>
    <w:rsid w:val="00DC2FD9"/>
    <w:rsid w:val="00DC366F"/>
    <w:rsid w:val="00DC44FC"/>
    <w:rsid w:val="00DC5323"/>
    <w:rsid w:val="00DC5778"/>
    <w:rsid w:val="00DC6584"/>
    <w:rsid w:val="00DC691C"/>
    <w:rsid w:val="00DC71B4"/>
    <w:rsid w:val="00DD0FC8"/>
    <w:rsid w:val="00DD2C46"/>
    <w:rsid w:val="00DD2E17"/>
    <w:rsid w:val="00DD34B3"/>
    <w:rsid w:val="00DD3D8D"/>
    <w:rsid w:val="00DD3FED"/>
    <w:rsid w:val="00DD4954"/>
    <w:rsid w:val="00DD7032"/>
    <w:rsid w:val="00DD7CE0"/>
    <w:rsid w:val="00DE1FE9"/>
    <w:rsid w:val="00DE4E49"/>
    <w:rsid w:val="00DF02B5"/>
    <w:rsid w:val="00DF0C63"/>
    <w:rsid w:val="00DF1622"/>
    <w:rsid w:val="00DF2A87"/>
    <w:rsid w:val="00DF2A90"/>
    <w:rsid w:val="00DF41D1"/>
    <w:rsid w:val="00DF57A9"/>
    <w:rsid w:val="00DF6BF5"/>
    <w:rsid w:val="00DF7658"/>
    <w:rsid w:val="00DF7C99"/>
    <w:rsid w:val="00DF7D1E"/>
    <w:rsid w:val="00E000C9"/>
    <w:rsid w:val="00E01965"/>
    <w:rsid w:val="00E0381F"/>
    <w:rsid w:val="00E038DD"/>
    <w:rsid w:val="00E0452E"/>
    <w:rsid w:val="00E048EB"/>
    <w:rsid w:val="00E05B65"/>
    <w:rsid w:val="00E061FC"/>
    <w:rsid w:val="00E06A50"/>
    <w:rsid w:val="00E06A59"/>
    <w:rsid w:val="00E13541"/>
    <w:rsid w:val="00E13FD3"/>
    <w:rsid w:val="00E1439B"/>
    <w:rsid w:val="00E1585A"/>
    <w:rsid w:val="00E15EF0"/>
    <w:rsid w:val="00E16165"/>
    <w:rsid w:val="00E1748F"/>
    <w:rsid w:val="00E17775"/>
    <w:rsid w:val="00E208F3"/>
    <w:rsid w:val="00E23118"/>
    <w:rsid w:val="00E237FE"/>
    <w:rsid w:val="00E23BBD"/>
    <w:rsid w:val="00E25F8A"/>
    <w:rsid w:val="00E26110"/>
    <w:rsid w:val="00E261A6"/>
    <w:rsid w:val="00E26A41"/>
    <w:rsid w:val="00E27F0B"/>
    <w:rsid w:val="00E27FB8"/>
    <w:rsid w:val="00E3056D"/>
    <w:rsid w:val="00E31459"/>
    <w:rsid w:val="00E31518"/>
    <w:rsid w:val="00E328B3"/>
    <w:rsid w:val="00E32968"/>
    <w:rsid w:val="00E33288"/>
    <w:rsid w:val="00E34472"/>
    <w:rsid w:val="00E3478A"/>
    <w:rsid w:val="00E40EAD"/>
    <w:rsid w:val="00E41347"/>
    <w:rsid w:val="00E41E51"/>
    <w:rsid w:val="00E41F0F"/>
    <w:rsid w:val="00E44627"/>
    <w:rsid w:val="00E45350"/>
    <w:rsid w:val="00E45DAB"/>
    <w:rsid w:val="00E46F97"/>
    <w:rsid w:val="00E5003B"/>
    <w:rsid w:val="00E50ABA"/>
    <w:rsid w:val="00E5132C"/>
    <w:rsid w:val="00E5183A"/>
    <w:rsid w:val="00E527D9"/>
    <w:rsid w:val="00E5351A"/>
    <w:rsid w:val="00E53885"/>
    <w:rsid w:val="00E5430F"/>
    <w:rsid w:val="00E557C5"/>
    <w:rsid w:val="00E55A30"/>
    <w:rsid w:val="00E56BA0"/>
    <w:rsid w:val="00E56F87"/>
    <w:rsid w:val="00E57846"/>
    <w:rsid w:val="00E60532"/>
    <w:rsid w:val="00E619E6"/>
    <w:rsid w:val="00E633C9"/>
    <w:rsid w:val="00E649DD"/>
    <w:rsid w:val="00E64A04"/>
    <w:rsid w:val="00E669E3"/>
    <w:rsid w:val="00E67A2B"/>
    <w:rsid w:val="00E67AEE"/>
    <w:rsid w:val="00E71A01"/>
    <w:rsid w:val="00E71C01"/>
    <w:rsid w:val="00E722D6"/>
    <w:rsid w:val="00E73AB0"/>
    <w:rsid w:val="00E740C1"/>
    <w:rsid w:val="00E7423D"/>
    <w:rsid w:val="00E81514"/>
    <w:rsid w:val="00E81AED"/>
    <w:rsid w:val="00E827A3"/>
    <w:rsid w:val="00E8316D"/>
    <w:rsid w:val="00E84A75"/>
    <w:rsid w:val="00E84E59"/>
    <w:rsid w:val="00E86C40"/>
    <w:rsid w:val="00E8786E"/>
    <w:rsid w:val="00E902D4"/>
    <w:rsid w:val="00E91176"/>
    <w:rsid w:val="00E91487"/>
    <w:rsid w:val="00E923EC"/>
    <w:rsid w:val="00E926EE"/>
    <w:rsid w:val="00E92A9E"/>
    <w:rsid w:val="00E936CB"/>
    <w:rsid w:val="00E94144"/>
    <w:rsid w:val="00E94FB6"/>
    <w:rsid w:val="00E951DA"/>
    <w:rsid w:val="00E973AD"/>
    <w:rsid w:val="00E97818"/>
    <w:rsid w:val="00EA0128"/>
    <w:rsid w:val="00EA015B"/>
    <w:rsid w:val="00EA08EF"/>
    <w:rsid w:val="00EA127C"/>
    <w:rsid w:val="00EA1C6F"/>
    <w:rsid w:val="00EA3753"/>
    <w:rsid w:val="00EA4610"/>
    <w:rsid w:val="00EA5E45"/>
    <w:rsid w:val="00EA7F58"/>
    <w:rsid w:val="00EB01AF"/>
    <w:rsid w:val="00EB142F"/>
    <w:rsid w:val="00EB14FC"/>
    <w:rsid w:val="00EB2216"/>
    <w:rsid w:val="00EB258C"/>
    <w:rsid w:val="00EB29E5"/>
    <w:rsid w:val="00EB2C98"/>
    <w:rsid w:val="00EB47F1"/>
    <w:rsid w:val="00EB565D"/>
    <w:rsid w:val="00EB5844"/>
    <w:rsid w:val="00EB6968"/>
    <w:rsid w:val="00EB6B88"/>
    <w:rsid w:val="00EB7FC4"/>
    <w:rsid w:val="00EC0710"/>
    <w:rsid w:val="00EC0756"/>
    <w:rsid w:val="00EC0A31"/>
    <w:rsid w:val="00EC1038"/>
    <w:rsid w:val="00EC38B7"/>
    <w:rsid w:val="00EC4C1E"/>
    <w:rsid w:val="00EC4DF2"/>
    <w:rsid w:val="00EC646E"/>
    <w:rsid w:val="00EC6F33"/>
    <w:rsid w:val="00EC7E71"/>
    <w:rsid w:val="00ED0E81"/>
    <w:rsid w:val="00ED1E9A"/>
    <w:rsid w:val="00ED222A"/>
    <w:rsid w:val="00ED351E"/>
    <w:rsid w:val="00ED5F78"/>
    <w:rsid w:val="00ED6588"/>
    <w:rsid w:val="00ED682E"/>
    <w:rsid w:val="00ED698F"/>
    <w:rsid w:val="00ED736C"/>
    <w:rsid w:val="00ED7A6D"/>
    <w:rsid w:val="00ED7F38"/>
    <w:rsid w:val="00EE013D"/>
    <w:rsid w:val="00EE03C9"/>
    <w:rsid w:val="00EE041D"/>
    <w:rsid w:val="00EE0E3E"/>
    <w:rsid w:val="00EE10B1"/>
    <w:rsid w:val="00EE2267"/>
    <w:rsid w:val="00EE3ED1"/>
    <w:rsid w:val="00EE3FA3"/>
    <w:rsid w:val="00EE482D"/>
    <w:rsid w:val="00EE5FE0"/>
    <w:rsid w:val="00EE6ABD"/>
    <w:rsid w:val="00EF037C"/>
    <w:rsid w:val="00EF1501"/>
    <w:rsid w:val="00EF1E18"/>
    <w:rsid w:val="00EF574D"/>
    <w:rsid w:val="00EF6AA6"/>
    <w:rsid w:val="00F003B8"/>
    <w:rsid w:val="00F00FA3"/>
    <w:rsid w:val="00F01628"/>
    <w:rsid w:val="00F03133"/>
    <w:rsid w:val="00F03C3D"/>
    <w:rsid w:val="00F04B43"/>
    <w:rsid w:val="00F066C2"/>
    <w:rsid w:val="00F07108"/>
    <w:rsid w:val="00F1087B"/>
    <w:rsid w:val="00F10CA3"/>
    <w:rsid w:val="00F1301F"/>
    <w:rsid w:val="00F1350B"/>
    <w:rsid w:val="00F16056"/>
    <w:rsid w:val="00F16508"/>
    <w:rsid w:val="00F17595"/>
    <w:rsid w:val="00F21843"/>
    <w:rsid w:val="00F23B5E"/>
    <w:rsid w:val="00F23D68"/>
    <w:rsid w:val="00F24A9E"/>
    <w:rsid w:val="00F25CF1"/>
    <w:rsid w:val="00F309F6"/>
    <w:rsid w:val="00F31319"/>
    <w:rsid w:val="00F319EC"/>
    <w:rsid w:val="00F31A9F"/>
    <w:rsid w:val="00F32FC1"/>
    <w:rsid w:val="00F34775"/>
    <w:rsid w:val="00F3552A"/>
    <w:rsid w:val="00F35D2D"/>
    <w:rsid w:val="00F3694B"/>
    <w:rsid w:val="00F36D2A"/>
    <w:rsid w:val="00F375F7"/>
    <w:rsid w:val="00F400B1"/>
    <w:rsid w:val="00F41A21"/>
    <w:rsid w:val="00F42642"/>
    <w:rsid w:val="00F42790"/>
    <w:rsid w:val="00F45BCB"/>
    <w:rsid w:val="00F4742B"/>
    <w:rsid w:val="00F47B70"/>
    <w:rsid w:val="00F512AE"/>
    <w:rsid w:val="00F51744"/>
    <w:rsid w:val="00F52856"/>
    <w:rsid w:val="00F53A37"/>
    <w:rsid w:val="00F55D5E"/>
    <w:rsid w:val="00F56064"/>
    <w:rsid w:val="00F56C40"/>
    <w:rsid w:val="00F57270"/>
    <w:rsid w:val="00F606B8"/>
    <w:rsid w:val="00F62834"/>
    <w:rsid w:val="00F628AF"/>
    <w:rsid w:val="00F63E5B"/>
    <w:rsid w:val="00F6416E"/>
    <w:rsid w:val="00F64B46"/>
    <w:rsid w:val="00F654F1"/>
    <w:rsid w:val="00F6609D"/>
    <w:rsid w:val="00F6696F"/>
    <w:rsid w:val="00F67745"/>
    <w:rsid w:val="00F67CEB"/>
    <w:rsid w:val="00F70639"/>
    <w:rsid w:val="00F7225A"/>
    <w:rsid w:val="00F72461"/>
    <w:rsid w:val="00F73288"/>
    <w:rsid w:val="00F73368"/>
    <w:rsid w:val="00F7517B"/>
    <w:rsid w:val="00F75DEB"/>
    <w:rsid w:val="00F80B6B"/>
    <w:rsid w:val="00F80C71"/>
    <w:rsid w:val="00F81481"/>
    <w:rsid w:val="00F81F2C"/>
    <w:rsid w:val="00F82466"/>
    <w:rsid w:val="00F827B0"/>
    <w:rsid w:val="00F835DE"/>
    <w:rsid w:val="00F85FCB"/>
    <w:rsid w:val="00F86151"/>
    <w:rsid w:val="00F866DD"/>
    <w:rsid w:val="00F87B0B"/>
    <w:rsid w:val="00F87DEE"/>
    <w:rsid w:val="00F90177"/>
    <w:rsid w:val="00F91516"/>
    <w:rsid w:val="00F94087"/>
    <w:rsid w:val="00F94618"/>
    <w:rsid w:val="00F95BA8"/>
    <w:rsid w:val="00F95BAB"/>
    <w:rsid w:val="00F96177"/>
    <w:rsid w:val="00F96409"/>
    <w:rsid w:val="00FA1815"/>
    <w:rsid w:val="00FA2226"/>
    <w:rsid w:val="00FA22DA"/>
    <w:rsid w:val="00FA237E"/>
    <w:rsid w:val="00FA2B45"/>
    <w:rsid w:val="00FA463A"/>
    <w:rsid w:val="00FA6A00"/>
    <w:rsid w:val="00FA7BB4"/>
    <w:rsid w:val="00FB238C"/>
    <w:rsid w:val="00FB3158"/>
    <w:rsid w:val="00FB4A49"/>
    <w:rsid w:val="00FB4B9D"/>
    <w:rsid w:val="00FB5B02"/>
    <w:rsid w:val="00FC2479"/>
    <w:rsid w:val="00FC2656"/>
    <w:rsid w:val="00FC2CBD"/>
    <w:rsid w:val="00FC399D"/>
    <w:rsid w:val="00FC3B4A"/>
    <w:rsid w:val="00FC47AA"/>
    <w:rsid w:val="00FC5AB8"/>
    <w:rsid w:val="00FC7A97"/>
    <w:rsid w:val="00FD0A1B"/>
    <w:rsid w:val="00FD16A4"/>
    <w:rsid w:val="00FD185B"/>
    <w:rsid w:val="00FD25C6"/>
    <w:rsid w:val="00FD3756"/>
    <w:rsid w:val="00FD3996"/>
    <w:rsid w:val="00FD45BD"/>
    <w:rsid w:val="00FD53FE"/>
    <w:rsid w:val="00FD7153"/>
    <w:rsid w:val="00FE38A9"/>
    <w:rsid w:val="00FE4337"/>
    <w:rsid w:val="00FE4885"/>
    <w:rsid w:val="00FE5A72"/>
    <w:rsid w:val="00FE73E6"/>
    <w:rsid w:val="00FF058A"/>
    <w:rsid w:val="00FF0648"/>
    <w:rsid w:val="00FF426E"/>
    <w:rsid w:val="00FF68A0"/>
    <w:rsid w:val="00FF6C35"/>
    <w:rsid w:val="00FF6D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29751"/>
  <w15:chartTrackingRefBased/>
  <w15:docId w15:val="{79C0E371-E274-4165-89E1-C366AF9BD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autoRedefine/>
    <w:uiPriority w:val="9"/>
    <w:qFormat/>
    <w:rsid w:val="001F5F77"/>
    <w:pPr>
      <w:keepNext/>
      <w:keepLines/>
      <w:spacing w:line="240" w:lineRule="auto"/>
      <w:ind w:left="0"/>
      <w:contextualSpacing w:val="0"/>
      <w:jc w:val="both"/>
      <w:outlineLvl w:val="0"/>
    </w:pPr>
    <w:rPr>
      <w:rFonts w:ascii="Cambria" w:eastAsiaTheme="majorEastAsia" w:hAnsi="Cambria" w:cstheme="majorBidi"/>
      <w:b/>
      <w:color w:val="155452"/>
      <w:sz w:val="24"/>
      <w:szCs w:val="24"/>
    </w:rPr>
  </w:style>
  <w:style w:type="paragraph" w:styleId="Heading2">
    <w:name w:val="heading 2"/>
    <w:basedOn w:val="ListParagraph"/>
    <w:next w:val="Normal"/>
    <w:link w:val="Heading2Char"/>
    <w:unhideWhenUsed/>
    <w:qFormat/>
    <w:rsid w:val="007E1889"/>
    <w:pPr>
      <w:numPr>
        <w:ilvl w:val="1"/>
        <w:numId w:val="1"/>
      </w:numPr>
      <w:outlineLvl w:val="1"/>
    </w:pPr>
    <w:rPr>
      <w:rFonts w:ascii="Times New Roman" w:hAnsi="Times New Roman" w:cs="Times New Roman"/>
      <w:b/>
      <w:sz w:val="24"/>
      <w:szCs w:val="24"/>
    </w:rPr>
  </w:style>
  <w:style w:type="paragraph" w:styleId="Heading3">
    <w:name w:val="heading 3"/>
    <w:basedOn w:val="Normal"/>
    <w:next w:val="Normal"/>
    <w:link w:val="Heading3Char"/>
    <w:unhideWhenUsed/>
    <w:qFormat/>
    <w:rsid w:val="00F56C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08359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732C"/>
    <w:pPr>
      <w:keepNext/>
      <w:tabs>
        <w:tab w:val="num" w:pos="1008"/>
      </w:tabs>
      <w:spacing w:before="240" w:after="60" w:line="240" w:lineRule="auto"/>
      <w:ind w:left="1008" w:hanging="1008"/>
      <w:outlineLvl w:val="4"/>
    </w:pPr>
    <w:rPr>
      <w:rFonts w:ascii="Times New Roman" w:eastAsia="Times New Roman" w:hAnsi="Times New Roman" w:cs="Times New Roman"/>
      <w:sz w:val="24"/>
      <w:szCs w:val="26"/>
    </w:rPr>
  </w:style>
  <w:style w:type="paragraph" w:styleId="Heading6">
    <w:name w:val="heading 6"/>
    <w:basedOn w:val="Normal"/>
    <w:next w:val="Normal"/>
    <w:link w:val="Heading6Char"/>
    <w:qFormat/>
    <w:rsid w:val="0092732C"/>
    <w:pPr>
      <w:keepNext/>
      <w:tabs>
        <w:tab w:val="num" w:pos="1152"/>
        <w:tab w:val="left" w:pos="1361"/>
      </w:tabs>
      <w:spacing w:before="240" w:after="60" w:line="240" w:lineRule="auto"/>
      <w:ind w:left="1152" w:hanging="1152"/>
      <w:outlineLvl w:val="5"/>
    </w:pPr>
    <w:rPr>
      <w:rFonts w:ascii="Times New Roman" w:eastAsia="Times New Roman" w:hAnsi="Times New Roman" w:cs="Times New Roman"/>
      <w:sz w:val="24"/>
    </w:rPr>
  </w:style>
  <w:style w:type="paragraph" w:styleId="Heading7">
    <w:name w:val="heading 7"/>
    <w:basedOn w:val="Normal"/>
    <w:next w:val="Normal"/>
    <w:link w:val="Heading7Char"/>
    <w:qFormat/>
    <w:rsid w:val="0092732C"/>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92732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92732C"/>
    <w:pPr>
      <w:tabs>
        <w:tab w:val="num" w:pos="1584"/>
      </w:tabs>
      <w:spacing w:before="240" w:after="60" w:line="240" w:lineRule="auto"/>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7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7E1"/>
    <w:rPr>
      <w:rFonts w:ascii="Segoe UI" w:hAnsi="Segoe UI" w:cs="Segoe UI"/>
      <w:sz w:val="18"/>
      <w:szCs w:val="18"/>
    </w:rPr>
  </w:style>
  <w:style w:type="character" w:styleId="CommentReference">
    <w:name w:val="annotation reference"/>
    <w:basedOn w:val="DefaultParagraphFont"/>
    <w:uiPriority w:val="99"/>
    <w:semiHidden/>
    <w:unhideWhenUsed/>
    <w:rsid w:val="00D75A3D"/>
    <w:rPr>
      <w:sz w:val="16"/>
      <w:szCs w:val="16"/>
    </w:rPr>
  </w:style>
  <w:style w:type="paragraph" w:styleId="CommentText">
    <w:name w:val="annotation text"/>
    <w:basedOn w:val="Normal"/>
    <w:link w:val="CommentTextChar"/>
    <w:uiPriority w:val="99"/>
    <w:unhideWhenUsed/>
    <w:rsid w:val="00D75A3D"/>
    <w:pPr>
      <w:spacing w:line="240" w:lineRule="auto"/>
    </w:pPr>
    <w:rPr>
      <w:sz w:val="20"/>
      <w:szCs w:val="20"/>
    </w:rPr>
  </w:style>
  <w:style w:type="character" w:customStyle="1" w:styleId="CommentTextChar">
    <w:name w:val="Comment Text Char"/>
    <w:basedOn w:val="DefaultParagraphFont"/>
    <w:link w:val="CommentText"/>
    <w:uiPriority w:val="99"/>
    <w:rsid w:val="00D75A3D"/>
    <w:rPr>
      <w:sz w:val="20"/>
      <w:szCs w:val="20"/>
    </w:rPr>
  </w:style>
  <w:style w:type="paragraph" w:styleId="CommentSubject">
    <w:name w:val="annotation subject"/>
    <w:basedOn w:val="CommentText"/>
    <w:next w:val="CommentText"/>
    <w:link w:val="CommentSubjectChar"/>
    <w:uiPriority w:val="99"/>
    <w:semiHidden/>
    <w:unhideWhenUsed/>
    <w:rsid w:val="00D75A3D"/>
    <w:rPr>
      <w:b/>
      <w:bCs/>
    </w:rPr>
  </w:style>
  <w:style w:type="character" w:customStyle="1" w:styleId="CommentSubjectChar">
    <w:name w:val="Comment Subject Char"/>
    <w:basedOn w:val="CommentTextChar"/>
    <w:link w:val="CommentSubject"/>
    <w:uiPriority w:val="99"/>
    <w:semiHidden/>
    <w:rsid w:val="00D75A3D"/>
    <w:rPr>
      <w:b/>
      <w:bCs/>
      <w:sz w:val="20"/>
      <w:szCs w:val="20"/>
    </w:rPr>
  </w:style>
  <w:style w:type="paragraph" w:styleId="Revision">
    <w:name w:val="Revision"/>
    <w:hidden/>
    <w:uiPriority w:val="99"/>
    <w:semiHidden/>
    <w:rsid w:val="00084A46"/>
    <w:pPr>
      <w:spacing w:after="0" w:line="240" w:lineRule="auto"/>
    </w:pPr>
  </w:style>
  <w:style w:type="paragraph" w:styleId="ListParagraph">
    <w:name w:val="List Paragraph"/>
    <w:basedOn w:val="Normal"/>
    <w:link w:val="ListParagraphChar"/>
    <w:uiPriority w:val="34"/>
    <w:qFormat/>
    <w:rsid w:val="00B57DD5"/>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f, Char"/>
    <w:basedOn w:val="Normal"/>
    <w:link w:val="FootnoteTextChar"/>
    <w:uiPriority w:val="99"/>
    <w:unhideWhenUsed/>
    <w:qFormat/>
    <w:rsid w:val="007067FC"/>
    <w:pPr>
      <w:widowControl w:val="0"/>
      <w:spacing w:after="0" w:line="240" w:lineRule="auto"/>
    </w:pPr>
    <w:rPr>
      <w:rFonts w:ascii="Calibri" w:eastAsia="Times New Roman" w:hAnsi="Calibri" w:cs="Times New Roman"/>
      <w:sz w:val="20"/>
      <w:szCs w:val="20"/>
      <w:lang w:val="en-US"/>
    </w:rPr>
  </w:style>
  <w:style w:type="character" w:customStyle="1" w:styleId="FootnoteTextChar">
    <w:name w:val="Footnote Text Char"/>
    <w:aliases w:val="Footnote Char,Fußnote Char,Char Char,Char Rakstz. Rakstz. Rakstz. Rakstz. Rakstz. Rakstz. Rakstz. Char,Char Rakstz. Rakstz. Rakstz. Rakstz. Rakstz. Rakstz. Char,C Char,f Char, Char Char"/>
    <w:basedOn w:val="DefaultParagraphFont"/>
    <w:link w:val="FootnoteText"/>
    <w:uiPriority w:val="99"/>
    <w:rsid w:val="007067FC"/>
    <w:rPr>
      <w:rFonts w:ascii="Calibri" w:eastAsia="Times New Roman" w:hAnsi="Calibri" w:cs="Times New Roman"/>
      <w:sz w:val="20"/>
      <w:szCs w:val="20"/>
      <w:lang w:val="en-US"/>
    </w:rPr>
  </w:style>
  <w:style w:type="character" w:styleId="FootnoteReference">
    <w:name w:val="footnote reference"/>
    <w:aliases w:val="Footnote Reference Number,Footnote symbol,SUPERS,ftref,Footnote Refernece,Footnote Reference Superscript,stylish,BVI fnr,Fußnotenzeichen_Raxen,callout,Footnote symbFootnote Refernece,fr,Odwołanie przypisu,Footnotes refss,Ref,E,E FNZ"/>
    <w:basedOn w:val="DefaultParagraphFont"/>
    <w:link w:val="CharCharCharChar"/>
    <w:uiPriority w:val="99"/>
    <w:unhideWhenUsed/>
    <w:qFormat/>
    <w:rsid w:val="007067FC"/>
    <w:rPr>
      <w:rFonts w:cs="Times New Roman"/>
      <w:vertAlign w:val="superscript"/>
    </w:rPr>
  </w:style>
  <w:style w:type="table" w:styleId="TableGrid">
    <w:name w:val="Table Grid"/>
    <w:basedOn w:val="TableNormal"/>
    <w:uiPriority w:val="39"/>
    <w:rsid w:val="0044712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17A0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CharCharChar">
    <w:name w:val="Char Char Char Char"/>
    <w:aliases w:val="Char2"/>
    <w:basedOn w:val="Normal"/>
    <w:next w:val="Normal"/>
    <w:link w:val="FootnoteReference"/>
    <w:uiPriority w:val="99"/>
    <w:rsid w:val="00651F56"/>
    <w:pPr>
      <w:spacing w:line="240" w:lineRule="exact"/>
      <w:jc w:val="both"/>
    </w:pPr>
    <w:rPr>
      <w:rFonts w:cs="Times New Roman"/>
      <w:vertAlign w:val="superscript"/>
    </w:rPr>
  </w:style>
  <w:style w:type="paragraph" w:styleId="Header">
    <w:name w:val="header"/>
    <w:basedOn w:val="Normal"/>
    <w:link w:val="HeaderChar"/>
    <w:uiPriority w:val="99"/>
    <w:unhideWhenUsed/>
    <w:rsid w:val="004A57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5767"/>
  </w:style>
  <w:style w:type="paragraph" w:styleId="Footer">
    <w:name w:val="footer"/>
    <w:basedOn w:val="Normal"/>
    <w:link w:val="FooterChar"/>
    <w:uiPriority w:val="99"/>
    <w:unhideWhenUsed/>
    <w:rsid w:val="004A57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5767"/>
  </w:style>
  <w:style w:type="character" w:styleId="Strong">
    <w:name w:val="Strong"/>
    <w:basedOn w:val="DefaultParagraphFont"/>
    <w:uiPriority w:val="22"/>
    <w:qFormat/>
    <w:rsid w:val="00C728F0"/>
    <w:rPr>
      <w:b/>
      <w:bCs/>
    </w:rPr>
  </w:style>
  <w:style w:type="character" w:customStyle="1" w:styleId="Heading1Char">
    <w:name w:val="Heading 1 Char"/>
    <w:basedOn w:val="DefaultParagraphFont"/>
    <w:link w:val="Heading1"/>
    <w:uiPriority w:val="9"/>
    <w:rsid w:val="001F5F77"/>
    <w:rPr>
      <w:rFonts w:ascii="Cambria" w:eastAsiaTheme="majorEastAsia" w:hAnsi="Cambria" w:cstheme="majorBidi"/>
      <w:b/>
      <w:color w:val="155452"/>
      <w:sz w:val="24"/>
      <w:szCs w:val="24"/>
    </w:rPr>
  </w:style>
  <w:style w:type="character" w:styleId="Hyperlink">
    <w:name w:val="Hyperlink"/>
    <w:basedOn w:val="DefaultParagraphFont"/>
    <w:uiPriority w:val="99"/>
    <w:unhideWhenUsed/>
    <w:rsid w:val="00C73E8B"/>
    <w:rPr>
      <w:rFonts w:cs="Times New Roman"/>
      <w:color w:val="0563C1"/>
      <w:u w:val="single"/>
    </w:rPr>
  </w:style>
  <w:style w:type="character" w:customStyle="1" w:styleId="ListParagraphChar">
    <w:name w:val="List Paragraph Char"/>
    <w:link w:val="ListParagraph"/>
    <w:uiPriority w:val="34"/>
    <w:rsid w:val="00D66049"/>
  </w:style>
  <w:style w:type="table" w:styleId="PlainTable5">
    <w:name w:val="Plain Table 5"/>
    <w:basedOn w:val="TableNormal"/>
    <w:uiPriority w:val="45"/>
    <w:rsid w:val="005D447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EE5FE0"/>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NormalWeb">
    <w:name w:val="Normal (Web)"/>
    <w:basedOn w:val="Normal"/>
    <w:uiPriority w:val="99"/>
    <w:unhideWhenUsed/>
    <w:rsid w:val="00AC037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F56C40"/>
    <w:rPr>
      <w:rFonts w:asciiTheme="majorHAnsi" w:eastAsiaTheme="majorEastAsia" w:hAnsiTheme="majorHAnsi" w:cstheme="majorBidi"/>
      <w:color w:val="1F3763" w:themeColor="accent1" w:themeShade="7F"/>
      <w:sz w:val="24"/>
      <w:szCs w:val="24"/>
    </w:rPr>
  </w:style>
  <w:style w:type="paragraph" w:customStyle="1" w:styleId="xmsonormal">
    <w:name w:val="x_msonormal"/>
    <w:basedOn w:val="Normal"/>
    <w:rsid w:val="00C70C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rsid w:val="007E1889"/>
    <w:rPr>
      <w:rFonts w:ascii="Times New Roman" w:hAnsi="Times New Roman" w:cs="Times New Roman"/>
      <w:b/>
      <w:sz w:val="24"/>
      <w:szCs w:val="24"/>
    </w:rPr>
  </w:style>
  <w:style w:type="character" w:styleId="FollowedHyperlink">
    <w:name w:val="FollowedHyperlink"/>
    <w:basedOn w:val="DefaultParagraphFont"/>
    <w:uiPriority w:val="99"/>
    <w:semiHidden/>
    <w:unhideWhenUsed/>
    <w:rsid w:val="00C45BF5"/>
    <w:rPr>
      <w:color w:val="954F72" w:themeColor="followedHyperlink"/>
      <w:u w:val="single"/>
    </w:rPr>
  </w:style>
  <w:style w:type="character" w:customStyle="1" w:styleId="UnresolvedMention1">
    <w:name w:val="Unresolved Mention1"/>
    <w:basedOn w:val="DefaultParagraphFont"/>
    <w:uiPriority w:val="99"/>
    <w:semiHidden/>
    <w:unhideWhenUsed/>
    <w:rsid w:val="00C87A53"/>
    <w:rPr>
      <w:color w:val="605E5C"/>
      <w:shd w:val="clear" w:color="auto" w:fill="E1DFDD"/>
    </w:rPr>
  </w:style>
  <w:style w:type="paragraph" w:styleId="TOCHeading">
    <w:name w:val="TOC Heading"/>
    <w:basedOn w:val="Heading1"/>
    <w:next w:val="Normal"/>
    <w:uiPriority w:val="39"/>
    <w:unhideWhenUsed/>
    <w:qFormat/>
    <w:rsid w:val="00D030BF"/>
    <w:pPr>
      <w:spacing w:before="240"/>
      <w:outlineLvl w:val="9"/>
    </w:pPr>
    <w:rPr>
      <w:rFonts w:asciiTheme="majorHAnsi" w:hAnsiTheme="majorHAnsi"/>
      <w:b w:val="0"/>
      <w:color w:val="2F5496" w:themeColor="accent1" w:themeShade="BF"/>
      <w:sz w:val="32"/>
      <w:szCs w:val="32"/>
      <w:lang w:val="en-US"/>
    </w:rPr>
  </w:style>
  <w:style w:type="paragraph" w:styleId="TOC1">
    <w:name w:val="toc 1"/>
    <w:basedOn w:val="Normal"/>
    <w:next w:val="Normal"/>
    <w:autoRedefine/>
    <w:uiPriority w:val="39"/>
    <w:unhideWhenUsed/>
    <w:rsid w:val="00D030BF"/>
    <w:pPr>
      <w:spacing w:after="100"/>
    </w:pPr>
  </w:style>
  <w:style w:type="paragraph" w:styleId="TOC2">
    <w:name w:val="toc 2"/>
    <w:basedOn w:val="Normal"/>
    <w:next w:val="Normal"/>
    <w:autoRedefine/>
    <w:uiPriority w:val="39"/>
    <w:unhideWhenUsed/>
    <w:rsid w:val="008A213D"/>
    <w:pPr>
      <w:tabs>
        <w:tab w:val="left" w:pos="880"/>
        <w:tab w:val="right" w:leader="dot" w:pos="8296"/>
      </w:tabs>
      <w:spacing w:after="0" w:line="240" w:lineRule="auto"/>
      <w:ind w:left="220"/>
      <w:jc w:val="both"/>
    </w:pPr>
  </w:style>
  <w:style w:type="paragraph" w:styleId="TOC3">
    <w:name w:val="toc 3"/>
    <w:basedOn w:val="Normal"/>
    <w:next w:val="Normal"/>
    <w:autoRedefine/>
    <w:uiPriority w:val="39"/>
    <w:unhideWhenUsed/>
    <w:rsid w:val="001A0219"/>
    <w:pPr>
      <w:tabs>
        <w:tab w:val="left" w:pos="851"/>
        <w:tab w:val="right" w:leader="dot" w:pos="8296"/>
      </w:tabs>
      <w:spacing w:after="120"/>
      <w:ind w:left="284"/>
    </w:pPr>
  </w:style>
  <w:style w:type="character" w:customStyle="1" w:styleId="Heading4Char">
    <w:name w:val="Heading 4 Char"/>
    <w:basedOn w:val="DefaultParagraphFont"/>
    <w:link w:val="Heading4"/>
    <w:uiPriority w:val="9"/>
    <w:rsid w:val="00083597"/>
    <w:rPr>
      <w:rFonts w:asciiTheme="majorHAnsi" w:eastAsiaTheme="majorEastAsia" w:hAnsiTheme="majorHAnsi" w:cstheme="majorBidi"/>
      <w:i/>
      <w:iCs/>
      <w:color w:val="2F5496" w:themeColor="accent1" w:themeShade="BF"/>
    </w:rPr>
  </w:style>
  <w:style w:type="paragraph" w:customStyle="1" w:styleId="pf0">
    <w:name w:val="pf0"/>
    <w:basedOn w:val="Normal"/>
    <w:rsid w:val="003208A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208A1"/>
    <w:rPr>
      <w:rFonts w:ascii="Segoe UI" w:hAnsi="Segoe UI" w:cs="Segoe UI" w:hint="default"/>
      <w:sz w:val="18"/>
      <w:szCs w:val="18"/>
    </w:rPr>
  </w:style>
  <w:style w:type="paragraph" w:customStyle="1" w:styleId="Tabula">
    <w:name w:val="Tabula"/>
    <w:basedOn w:val="Normal"/>
    <w:autoRedefine/>
    <w:rsid w:val="00946941"/>
    <w:pPr>
      <w:spacing w:after="0" w:line="240" w:lineRule="auto"/>
      <w:jc w:val="both"/>
    </w:pPr>
    <w:rPr>
      <w:rFonts w:ascii="Times New Roman" w:eastAsia="Times New Roman" w:hAnsi="Times New Roman" w:cs="Times New Roman"/>
      <w:sz w:val="20"/>
      <w:szCs w:val="20"/>
    </w:rPr>
  </w:style>
  <w:style w:type="paragraph" w:customStyle="1" w:styleId="Tabulasvirsraksts">
    <w:name w:val="Tabulas virsraksts"/>
    <w:basedOn w:val="Tabula"/>
    <w:rsid w:val="00946941"/>
    <w:pPr>
      <w:jc w:val="center"/>
    </w:pPr>
    <w:rPr>
      <w:i/>
      <w:iCs/>
    </w:rPr>
  </w:style>
  <w:style w:type="character" w:customStyle="1" w:styleId="inline-comment-marker">
    <w:name w:val="inline-comment-marker"/>
    <w:basedOn w:val="DefaultParagraphFont"/>
    <w:rsid w:val="00946941"/>
  </w:style>
  <w:style w:type="character" w:customStyle="1" w:styleId="Heading5Char">
    <w:name w:val="Heading 5 Char"/>
    <w:basedOn w:val="DefaultParagraphFont"/>
    <w:link w:val="Heading5"/>
    <w:rsid w:val="0092732C"/>
    <w:rPr>
      <w:rFonts w:ascii="Times New Roman" w:eastAsia="Times New Roman" w:hAnsi="Times New Roman" w:cs="Times New Roman"/>
      <w:sz w:val="24"/>
      <w:szCs w:val="26"/>
    </w:rPr>
  </w:style>
  <w:style w:type="character" w:customStyle="1" w:styleId="Heading6Char">
    <w:name w:val="Heading 6 Char"/>
    <w:basedOn w:val="DefaultParagraphFont"/>
    <w:link w:val="Heading6"/>
    <w:rsid w:val="0092732C"/>
    <w:rPr>
      <w:rFonts w:ascii="Times New Roman" w:eastAsia="Times New Roman" w:hAnsi="Times New Roman" w:cs="Times New Roman"/>
      <w:sz w:val="24"/>
    </w:rPr>
  </w:style>
  <w:style w:type="character" w:customStyle="1" w:styleId="Heading7Char">
    <w:name w:val="Heading 7 Char"/>
    <w:basedOn w:val="DefaultParagraphFont"/>
    <w:link w:val="Heading7"/>
    <w:rsid w:val="0092732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92732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2732C"/>
    <w:rPr>
      <w:rFonts w:ascii="Arial" w:eastAsia="Times New Roman" w:hAnsi="Arial" w:cs="Arial"/>
    </w:rPr>
  </w:style>
  <w:style w:type="character" w:styleId="Emphasis">
    <w:name w:val="Emphasis"/>
    <w:basedOn w:val="DefaultParagraphFont"/>
    <w:uiPriority w:val="20"/>
    <w:qFormat/>
    <w:rsid w:val="00BC5EF1"/>
    <w:rPr>
      <w:i/>
      <w:iCs/>
    </w:rPr>
  </w:style>
  <w:style w:type="character" w:styleId="UnresolvedMention">
    <w:name w:val="Unresolved Mention"/>
    <w:basedOn w:val="DefaultParagraphFont"/>
    <w:uiPriority w:val="99"/>
    <w:semiHidden/>
    <w:unhideWhenUsed/>
    <w:rsid w:val="00DC6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236273">
      <w:bodyDiv w:val="1"/>
      <w:marLeft w:val="0"/>
      <w:marRight w:val="0"/>
      <w:marTop w:val="0"/>
      <w:marBottom w:val="0"/>
      <w:divBdr>
        <w:top w:val="none" w:sz="0" w:space="0" w:color="auto"/>
        <w:left w:val="none" w:sz="0" w:space="0" w:color="auto"/>
        <w:bottom w:val="none" w:sz="0" w:space="0" w:color="auto"/>
        <w:right w:val="none" w:sz="0" w:space="0" w:color="auto"/>
      </w:divBdr>
    </w:div>
    <w:div w:id="168763176">
      <w:bodyDiv w:val="1"/>
      <w:marLeft w:val="0"/>
      <w:marRight w:val="0"/>
      <w:marTop w:val="0"/>
      <w:marBottom w:val="0"/>
      <w:divBdr>
        <w:top w:val="none" w:sz="0" w:space="0" w:color="auto"/>
        <w:left w:val="none" w:sz="0" w:space="0" w:color="auto"/>
        <w:bottom w:val="none" w:sz="0" w:space="0" w:color="auto"/>
        <w:right w:val="none" w:sz="0" w:space="0" w:color="auto"/>
      </w:divBdr>
    </w:div>
    <w:div w:id="174002280">
      <w:bodyDiv w:val="1"/>
      <w:marLeft w:val="0"/>
      <w:marRight w:val="0"/>
      <w:marTop w:val="0"/>
      <w:marBottom w:val="0"/>
      <w:divBdr>
        <w:top w:val="none" w:sz="0" w:space="0" w:color="auto"/>
        <w:left w:val="none" w:sz="0" w:space="0" w:color="auto"/>
        <w:bottom w:val="none" w:sz="0" w:space="0" w:color="auto"/>
        <w:right w:val="none" w:sz="0" w:space="0" w:color="auto"/>
      </w:divBdr>
    </w:div>
    <w:div w:id="307978218">
      <w:bodyDiv w:val="1"/>
      <w:marLeft w:val="0"/>
      <w:marRight w:val="0"/>
      <w:marTop w:val="0"/>
      <w:marBottom w:val="0"/>
      <w:divBdr>
        <w:top w:val="none" w:sz="0" w:space="0" w:color="auto"/>
        <w:left w:val="none" w:sz="0" w:space="0" w:color="auto"/>
        <w:bottom w:val="none" w:sz="0" w:space="0" w:color="auto"/>
        <w:right w:val="none" w:sz="0" w:space="0" w:color="auto"/>
      </w:divBdr>
    </w:div>
    <w:div w:id="363480267">
      <w:bodyDiv w:val="1"/>
      <w:marLeft w:val="0"/>
      <w:marRight w:val="0"/>
      <w:marTop w:val="0"/>
      <w:marBottom w:val="0"/>
      <w:divBdr>
        <w:top w:val="none" w:sz="0" w:space="0" w:color="auto"/>
        <w:left w:val="none" w:sz="0" w:space="0" w:color="auto"/>
        <w:bottom w:val="none" w:sz="0" w:space="0" w:color="auto"/>
        <w:right w:val="none" w:sz="0" w:space="0" w:color="auto"/>
      </w:divBdr>
    </w:div>
    <w:div w:id="441919210">
      <w:bodyDiv w:val="1"/>
      <w:marLeft w:val="0"/>
      <w:marRight w:val="0"/>
      <w:marTop w:val="0"/>
      <w:marBottom w:val="0"/>
      <w:divBdr>
        <w:top w:val="none" w:sz="0" w:space="0" w:color="auto"/>
        <w:left w:val="none" w:sz="0" w:space="0" w:color="auto"/>
        <w:bottom w:val="none" w:sz="0" w:space="0" w:color="auto"/>
        <w:right w:val="none" w:sz="0" w:space="0" w:color="auto"/>
      </w:divBdr>
    </w:div>
    <w:div w:id="644430739">
      <w:bodyDiv w:val="1"/>
      <w:marLeft w:val="0"/>
      <w:marRight w:val="0"/>
      <w:marTop w:val="0"/>
      <w:marBottom w:val="0"/>
      <w:divBdr>
        <w:top w:val="none" w:sz="0" w:space="0" w:color="auto"/>
        <w:left w:val="none" w:sz="0" w:space="0" w:color="auto"/>
        <w:bottom w:val="none" w:sz="0" w:space="0" w:color="auto"/>
        <w:right w:val="none" w:sz="0" w:space="0" w:color="auto"/>
      </w:divBdr>
    </w:div>
    <w:div w:id="653874095">
      <w:bodyDiv w:val="1"/>
      <w:marLeft w:val="0"/>
      <w:marRight w:val="0"/>
      <w:marTop w:val="0"/>
      <w:marBottom w:val="0"/>
      <w:divBdr>
        <w:top w:val="none" w:sz="0" w:space="0" w:color="auto"/>
        <w:left w:val="none" w:sz="0" w:space="0" w:color="auto"/>
        <w:bottom w:val="none" w:sz="0" w:space="0" w:color="auto"/>
        <w:right w:val="none" w:sz="0" w:space="0" w:color="auto"/>
      </w:divBdr>
      <w:divsChild>
        <w:div w:id="740832631">
          <w:marLeft w:val="0"/>
          <w:marRight w:val="0"/>
          <w:marTop w:val="0"/>
          <w:marBottom w:val="0"/>
          <w:divBdr>
            <w:top w:val="none" w:sz="0" w:space="0" w:color="auto"/>
            <w:left w:val="none" w:sz="0" w:space="0" w:color="auto"/>
            <w:bottom w:val="none" w:sz="0" w:space="0" w:color="auto"/>
            <w:right w:val="none" w:sz="0" w:space="0" w:color="auto"/>
          </w:divBdr>
        </w:div>
        <w:div w:id="1067261389">
          <w:marLeft w:val="0"/>
          <w:marRight w:val="0"/>
          <w:marTop w:val="0"/>
          <w:marBottom w:val="0"/>
          <w:divBdr>
            <w:top w:val="none" w:sz="0" w:space="0" w:color="auto"/>
            <w:left w:val="none" w:sz="0" w:space="0" w:color="auto"/>
            <w:bottom w:val="none" w:sz="0" w:space="0" w:color="auto"/>
            <w:right w:val="none" w:sz="0" w:space="0" w:color="auto"/>
          </w:divBdr>
        </w:div>
        <w:div w:id="1358652769">
          <w:marLeft w:val="0"/>
          <w:marRight w:val="0"/>
          <w:marTop w:val="0"/>
          <w:marBottom w:val="0"/>
          <w:divBdr>
            <w:top w:val="none" w:sz="0" w:space="0" w:color="auto"/>
            <w:left w:val="none" w:sz="0" w:space="0" w:color="auto"/>
            <w:bottom w:val="none" w:sz="0" w:space="0" w:color="auto"/>
            <w:right w:val="none" w:sz="0" w:space="0" w:color="auto"/>
          </w:divBdr>
        </w:div>
        <w:div w:id="1587109946">
          <w:marLeft w:val="0"/>
          <w:marRight w:val="0"/>
          <w:marTop w:val="0"/>
          <w:marBottom w:val="0"/>
          <w:divBdr>
            <w:top w:val="none" w:sz="0" w:space="0" w:color="auto"/>
            <w:left w:val="none" w:sz="0" w:space="0" w:color="auto"/>
            <w:bottom w:val="none" w:sz="0" w:space="0" w:color="auto"/>
            <w:right w:val="none" w:sz="0" w:space="0" w:color="auto"/>
          </w:divBdr>
        </w:div>
        <w:div w:id="1196961539">
          <w:marLeft w:val="0"/>
          <w:marRight w:val="0"/>
          <w:marTop w:val="0"/>
          <w:marBottom w:val="0"/>
          <w:divBdr>
            <w:top w:val="none" w:sz="0" w:space="0" w:color="auto"/>
            <w:left w:val="none" w:sz="0" w:space="0" w:color="auto"/>
            <w:bottom w:val="none" w:sz="0" w:space="0" w:color="auto"/>
            <w:right w:val="none" w:sz="0" w:space="0" w:color="auto"/>
          </w:divBdr>
        </w:div>
      </w:divsChild>
    </w:div>
    <w:div w:id="791021270">
      <w:bodyDiv w:val="1"/>
      <w:marLeft w:val="0"/>
      <w:marRight w:val="0"/>
      <w:marTop w:val="0"/>
      <w:marBottom w:val="0"/>
      <w:divBdr>
        <w:top w:val="none" w:sz="0" w:space="0" w:color="auto"/>
        <w:left w:val="none" w:sz="0" w:space="0" w:color="auto"/>
        <w:bottom w:val="none" w:sz="0" w:space="0" w:color="auto"/>
        <w:right w:val="none" w:sz="0" w:space="0" w:color="auto"/>
      </w:divBdr>
      <w:divsChild>
        <w:div w:id="585966193">
          <w:marLeft w:val="0"/>
          <w:marRight w:val="0"/>
          <w:marTop w:val="0"/>
          <w:marBottom w:val="0"/>
          <w:divBdr>
            <w:top w:val="none" w:sz="0" w:space="0" w:color="auto"/>
            <w:left w:val="none" w:sz="0" w:space="0" w:color="auto"/>
            <w:bottom w:val="none" w:sz="0" w:space="0" w:color="auto"/>
            <w:right w:val="none" w:sz="0" w:space="0" w:color="auto"/>
          </w:divBdr>
        </w:div>
        <w:div w:id="1845046942">
          <w:marLeft w:val="0"/>
          <w:marRight w:val="0"/>
          <w:marTop w:val="0"/>
          <w:marBottom w:val="0"/>
          <w:divBdr>
            <w:top w:val="none" w:sz="0" w:space="0" w:color="auto"/>
            <w:left w:val="none" w:sz="0" w:space="0" w:color="auto"/>
            <w:bottom w:val="none" w:sz="0" w:space="0" w:color="auto"/>
            <w:right w:val="none" w:sz="0" w:space="0" w:color="auto"/>
          </w:divBdr>
        </w:div>
        <w:div w:id="129908558">
          <w:marLeft w:val="0"/>
          <w:marRight w:val="0"/>
          <w:marTop w:val="0"/>
          <w:marBottom w:val="0"/>
          <w:divBdr>
            <w:top w:val="none" w:sz="0" w:space="0" w:color="auto"/>
            <w:left w:val="none" w:sz="0" w:space="0" w:color="auto"/>
            <w:bottom w:val="none" w:sz="0" w:space="0" w:color="auto"/>
            <w:right w:val="none" w:sz="0" w:space="0" w:color="auto"/>
          </w:divBdr>
        </w:div>
      </w:divsChild>
    </w:div>
    <w:div w:id="930700670">
      <w:bodyDiv w:val="1"/>
      <w:marLeft w:val="0"/>
      <w:marRight w:val="0"/>
      <w:marTop w:val="0"/>
      <w:marBottom w:val="0"/>
      <w:divBdr>
        <w:top w:val="none" w:sz="0" w:space="0" w:color="auto"/>
        <w:left w:val="none" w:sz="0" w:space="0" w:color="auto"/>
        <w:bottom w:val="none" w:sz="0" w:space="0" w:color="auto"/>
        <w:right w:val="none" w:sz="0" w:space="0" w:color="auto"/>
      </w:divBdr>
    </w:div>
    <w:div w:id="981420238">
      <w:bodyDiv w:val="1"/>
      <w:marLeft w:val="0"/>
      <w:marRight w:val="0"/>
      <w:marTop w:val="0"/>
      <w:marBottom w:val="0"/>
      <w:divBdr>
        <w:top w:val="none" w:sz="0" w:space="0" w:color="auto"/>
        <w:left w:val="none" w:sz="0" w:space="0" w:color="auto"/>
        <w:bottom w:val="none" w:sz="0" w:space="0" w:color="auto"/>
        <w:right w:val="none" w:sz="0" w:space="0" w:color="auto"/>
      </w:divBdr>
    </w:div>
    <w:div w:id="1026062549">
      <w:bodyDiv w:val="1"/>
      <w:marLeft w:val="0"/>
      <w:marRight w:val="0"/>
      <w:marTop w:val="0"/>
      <w:marBottom w:val="0"/>
      <w:divBdr>
        <w:top w:val="none" w:sz="0" w:space="0" w:color="auto"/>
        <w:left w:val="none" w:sz="0" w:space="0" w:color="auto"/>
        <w:bottom w:val="none" w:sz="0" w:space="0" w:color="auto"/>
        <w:right w:val="none" w:sz="0" w:space="0" w:color="auto"/>
      </w:divBdr>
    </w:div>
    <w:div w:id="1118522794">
      <w:bodyDiv w:val="1"/>
      <w:marLeft w:val="0"/>
      <w:marRight w:val="0"/>
      <w:marTop w:val="0"/>
      <w:marBottom w:val="0"/>
      <w:divBdr>
        <w:top w:val="none" w:sz="0" w:space="0" w:color="auto"/>
        <w:left w:val="none" w:sz="0" w:space="0" w:color="auto"/>
        <w:bottom w:val="none" w:sz="0" w:space="0" w:color="auto"/>
        <w:right w:val="none" w:sz="0" w:space="0" w:color="auto"/>
      </w:divBdr>
    </w:div>
    <w:div w:id="1155681153">
      <w:bodyDiv w:val="1"/>
      <w:marLeft w:val="0"/>
      <w:marRight w:val="0"/>
      <w:marTop w:val="0"/>
      <w:marBottom w:val="0"/>
      <w:divBdr>
        <w:top w:val="none" w:sz="0" w:space="0" w:color="auto"/>
        <w:left w:val="none" w:sz="0" w:space="0" w:color="auto"/>
        <w:bottom w:val="none" w:sz="0" w:space="0" w:color="auto"/>
        <w:right w:val="none" w:sz="0" w:space="0" w:color="auto"/>
      </w:divBdr>
    </w:div>
    <w:div w:id="1376471479">
      <w:bodyDiv w:val="1"/>
      <w:marLeft w:val="0"/>
      <w:marRight w:val="0"/>
      <w:marTop w:val="0"/>
      <w:marBottom w:val="0"/>
      <w:divBdr>
        <w:top w:val="none" w:sz="0" w:space="0" w:color="auto"/>
        <w:left w:val="none" w:sz="0" w:space="0" w:color="auto"/>
        <w:bottom w:val="none" w:sz="0" w:space="0" w:color="auto"/>
        <w:right w:val="none" w:sz="0" w:space="0" w:color="auto"/>
      </w:divBdr>
    </w:div>
    <w:div w:id="1504051907">
      <w:bodyDiv w:val="1"/>
      <w:marLeft w:val="0"/>
      <w:marRight w:val="0"/>
      <w:marTop w:val="0"/>
      <w:marBottom w:val="0"/>
      <w:divBdr>
        <w:top w:val="none" w:sz="0" w:space="0" w:color="auto"/>
        <w:left w:val="none" w:sz="0" w:space="0" w:color="auto"/>
        <w:bottom w:val="none" w:sz="0" w:space="0" w:color="auto"/>
        <w:right w:val="none" w:sz="0" w:space="0" w:color="auto"/>
      </w:divBdr>
    </w:div>
    <w:div w:id="1545210892">
      <w:bodyDiv w:val="1"/>
      <w:marLeft w:val="0"/>
      <w:marRight w:val="0"/>
      <w:marTop w:val="0"/>
      <w:marBottom w:val="0"/>
      <w:divBdr>
        <w:top w:val="none" w:sz="0" w:space="0" w:color="auto"/>
        <w:left w:val="none" w:sz="0" w:space="0" w:color="auto"/>
        <w:bottom w:val="none" w:sz="0" w:space="0" w:color="auto"/>
        <w:right w:val="none" w:sz="0" w:space="0" w:color="auto"/>
      </w:divBdr>
    </w:div>
    <w:div w:id="1634944114">
      <w:bodyDiv w:val="1"/>
      <w:marLeft w:val="0"/>
      <w:marRight w:val="0"/>
      <w:marTop w:val="0"/>
      <w:marBottom w:val="0"/>
      <w:divBdr>
        <w:top w:val="none" w:sz="0" w:space="0" w:color="auto"/>
        <w:left w:val="none" w:sz="0" w:space="0" w:color="auto"/>
        <w:bottom w:val="none" w:sz="0" w:space="0" w:color="auto"/>
        <w:right w:val="none" w:sz="0" w:space="0" w:color="auto"/>
      </w:divBdr>
    </w:div>
    <w:div w:id="1657342751">
      <w:bodyDiv w:val="1"/>
      <w:marLeft w:val="0"/>
      <w:marRight w:val="0"/>
      <w:marTop w:val="0"/>
      <w:marBottom w:val="0"/>
      <w:divBdr>
        <w:top w:val="none" w:sz="0" w:space="0" w:color="auto"/>
        <w:left w:val="none" w:sz="0" w:space="0" w:color="auto"/>
        <w:bottom w:val="none" w:sz="0" w:space="0" w:color="auto"/>
        <w:right w:val="none" w:sz="0" w:space="0" w:color="auto"/>
      </w:divBdr>
      <w:divsChild>
        <w:div w:id="1818689738">
          <w:marLeft w:val="0"/>
          <w:marRight w:val="0"/>
          <w:marTop w:val="0"/>
          <w:marBottom w:val="60"/>
          <w:divBdr>
            <w:top w:val="none" w:sz="0" w:space="0" w:color="auto"/>
            <w:left w:val="none" w:sz="0" w:space="0" w:color="auto"/>
            <w:bottom w:val="none" w:sz="0" w:space="0" w:color="auto"/>
            <w:right w:val="none" w:sz="0" w:space="0" w:color="auto"/>
          </w:divBdr>
        </w:div>
        <w:div w:id="1591767552">
          <w:marLeft w:val="0"/>
          <w:marRight w:val="0"/>
          <w:marTop w:val="0"/>
          <w:marBottom w:val="60"/>
          <w:divBdr>
            <w:top w:val="none" w:sz="0" w:space="0" w:color="auto"/>
            <w:left w:val="none" w:sz="0" w:space="0" w:color="auto"/>
            <w:bottom w:val="none" w:sz="0" w:space="0" w:color="auto"/>
            <w:right w:val="none" w:sz="0" w:space="0" w:color="auto"/>
          </w:divBdr>
        </w:div>
        <w:div w:id="480121166">
          <w:marLeft w:val="0"/>
          <w:marRight w:val="0"/>
          <w:marTop w:val="0"/>
          <w:marBottom w:val="60"/>
          <w:divBdr>
            <w:top w:val="none" w:sz="0" w:space="0" w:color="auto"/>
            <w:left w:val="none" w:sz="0" w:space="0" w:color="auto"/>
            <w:bottom w:val="none" w:sz="0" w:space="0" w:color="auto"/>
            <w:right w:val="none" w:sz="0" w:space="0" w:color="auto"/>
          </w:divBdr>
        </w:div>
        <w:div w:id="1865171817">
          <w:marLeft w:val="0"/>
          <w:marRight w:val="0"/>
          <w:marTop w:val="0"/>
          <w:marBottom w:val="60"/>
          <w:divBdr>
            <w:top w:val="none" w:sz="0" w:space="0" w:color="auto"/>
            <w:left w:val="none" w:sz="0" w:space="0" w:color="auto"/>
            <w:bottom w:val="none" w:sz="0" w:space="0" w:color="auto"/>
            <w:right w:val="none" w:sz="0" w:space="0" w:color="auto"/>
          </w:divBdr>
        </w:div>
        <w:div w:id="517277669">
          <w:marLeft w:val="0"/>
          <w:marRight w:val="0"/>
          <w:marTop w:val="0"/>
          <w:marBottom w:val="60"/>
          <w:divBdr>
            <w:top w:val="none" w:sz="0" w:space="0" w:color="auto"/>
            <w:left w:val="none" w:sz="0" w:space="0" w:color="auto"/>
            <w:bottom w:val="none" w:sz="0" w:space="0" w:color="auto"/>
            <w:right w:val="none" w:sz="0" w:space="0" w:color="auto"/>
          </w:divBdr>
        </w:div>
      </w:divsChild>
    </w:div>
    <w:div w:id="1848710736">
      <w:bodyDiv w:val="1"/>
      <w:marLeft w:val="0"/>
      <w:marRight w:val="0"/>
      <w:marTop w:val="0"/>
      <w:marBottom w:val="0"/>
      <w:divBdr>
        <w:top w:val="none" w:sz="0" w:space="0" w:color="auto"/>
        <w:left w:val="none" w:sz="0" w:space="0" w:color="auto"/>
        <w:bottom w:val="none" w:sz="0" w:space="0" w:color="auto"/>
        <w:right w:val="none" w:sz="0" w:space="0" w:color="auto"/>
      </w:divBdr>
    </w:div>
    <w:div w:id="1946107809">
      <w:bodyDiv w:val="1"/>
      <w:marLeft w:val="0"/>
      <w:marRight w:val="0"/>
      <w:marTop w:val="0"/>
      <w:marBottom w:val="0"/>
      <w:divBdr>
        <w:top w:val="none" w:sz="0" w:space="0" w:color="auto"/>
        <w:left w:val="none" w:sz="0" w:space="0" w:color="auto"/>
        <w:bottom w:val="none" w:sz="0" w:space="0" w:color="auto"/>
        <w:right w:val="none" w:sz="0" w:space="0" w:color="auto"/>
      </w:divBdr>
    </w:div>
    <w:div w:id="2130589455">
      <w:bodyDiv w:val="1"/>
      <w:marLeft w:val="0"/>
      <w:marRight w:val="0"/>
      <w:marTop w:val="0"/>
      <w:marBottom w:val="0"/>
      <w:divBdr>
        <w:top w:val="none" w:sz="0" w:space="0" w:color="auto"/>
        <w:left w:val="none" w:sz="0" w:space="0" w:color="auto"/>
        <w:bottom w:val="none" w:sz="0" w:space="0" w:color="auto"/>
        <w:right w:val="none" w:sz="0" w:space="0" w:color="auto"/>
      </w:divBdr>
      <w:divsChild>
        <w:div w:id="228461484">
          <w:marLeft w:val="0"/>
          <w:marRight w:val="0"/>
          <w:marTop w:val="0"/>
          <w:marBottom w:val="0"/>
          <w:divBdr>
            <w:top w:val="none" w:sz="0" w:space="0" w:color="auto"/>
            <w:left w:val="none" w:sz="0" w:space="0" w:color="auto"/>
            <w:bottom w:val="none" w:sz="0" w:space="0" w:color="auto"/>
            <w:right w:val="none" w:sz="0" w:space="0" w:color="auto"/>
          </w:divBdr>
          <w:divsChild>
            <w:div w:id="2126346732">
              <w:marLeft w:val="0"/>
              <w:marRight w:val="0"/>
              <w:marTop w:val="0"/>
              <w:marBottom w:val="0"/>
              <w:divBdr>
                <w:top w:val="none" w:sz="0" w:space="0" w:color="auto"/>
                <w:left w:val="none" w:sz="0" w:space="0" w:color="auto"/>
                <w:bottom w:val="none" w:sz="0" w:space="0" w:color="auto"/>
                <w:right w:val="none" w:sz="0" w:space="0" w:color="auto"/>
              </w:divBdr>
            </w:div>
          </w:divsChild>
        </w:div>
        <w:div w:id="1680768753">
          <w:marLeft w:val="0"/>
          <w:marRight w:val="0"/>
          <w:marTop w:val="0"/>
          <w:marBottom w:val="0"/>
          <w:divBdr>
            <w:top w:val="none" w:sz="0" w:space="0" w:color="auto"/>
            <w:left w:val="none" w:sz="0" w:space="0" w:color="auto"/>
            <w:bottom w:val="none" w:sz="0" w:space="0" w:color="auto"/>
            <w:right w:val="none" w:sz="0" w:space="0" w:color="auto"/>
          </w:divBdr>
          <w:divsChild>
            <w:div w:id="1630742737">
              <w:marLeft w:val="0"/>
              <w:marRight w:val="0"/>
              <w:marTop w:val="0"/>
              <w:marBottom w:val="0"/>
              <w:divBdr>
                <w:top w:val="none" w:sz="0" w:space="0" w:color="auto"/>
                <w:left w:val="none" w:sz="0" w:space="0" w:color="auto"/>
                <w:bottom w:val="none" w:sz="0" w:space="0" w:color="auto"/>
                <w:right w:val="none" w:sz="0" w:space="0" w:color="auto"/>
              </w:divBdr>
            </w:div>
            <w:div w:id="1329484588">
              <w:marLeft w:val="0"/>
              <w:marRight w:val="0"/>
              <w:marTop w:val="0"/>
              <w:marBottom w:val="0"/>
              <w:divBdr>
                <w:top w:val="none" w:sz="0" w:space="0" w:color="auto"/>
                <w:left w:val="none" w:sz="0" w:space="0" w:color="auto"/>
                <w:bottom w:val="none" w:sz="0" w:space="0" w:color="auto"/>
                <w:right w:val="none" w:sz="0" w:space="0" w:color="auto"/>
              </w:divBdr>
              <w:divsChild>
                <w:div w:id="1819568411">
                  <w:marLeft w:val="0"/>
                  <w:marRight w:val="0"/>
                  <w:marTop w:val="0"/>
                  <w:marBottom w:val="0"/>
                  <w:divBdr>
                    <w:top w:val="none" w:sz="0" w:space="0" w:color="auto"/>
                    <w:left w:val="none" w:sz="0" w:space="0" w:color="auto"/>
                    <w:bottom w:val="none" w:sz="0" w:space="0" w:color="auto"/>
                    <w:right w:val="none" w:sz="0" w:space="0" w:color="auto"/>
                  </w:divBdr>
                  <w:divsChild>
                    <w:div w:id="1530293459">
                      <w:marLeft w:val="0"/>
                      <w:marRight w:val="0"/>
                      <w:marTop w:val="0"/>
                      <w:marBottom w:val="0"/>
                      <w:divBdr>
                        <w:top w:val="none" w:sz="0" w:space="0" w:color="auto"/>
                        <w:left w:val="none" w:sz="0" w:space="0" w:color="auto"/>
                        <w:bottom w:val="none" w:sz="0" w:space="0" w:color="auto"/>
                        <w:right w:val="none" w:sz="0" w:space="0" w:color="auto"/>
                      </w:divBdr>
                    </w:div>
                    <w:div w:id="49507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240561">
      <w:bodyDiv w:val="1"/>
      <w:marLeft w:val="0"/>
      <w:marRight w:val="0"/>
      <w:marTop w:val="0"/>
      <w:marBottom w:val="0"/>
      <w:divBdr>
        <w:top w:val="none" w:sz="0" w:space="0" w:color="auto"/>
        <w:left w:val="none" w:sz="0" w:space="0" w:color="auto"/>
        <w:bottom w:val="none" w:sz="0" w:space="0" w:color="auto"/>
        <w:right w:val="none" w:sz="0" w:space="0" w:color="auto"/>
      </w:divBdr>
      <w:divsChild>
        <w:div w:id="2072381345">
          <w:marLeft w:val="0"/>
          <w:marRight w:val="0"/>
          <w:marTop w:val="0"/>
          <w:marBottom w:val="0"/>
          <w:divBdr>
            <w:top w:val="none" w:sz="0" w:space="0" w:color="auto"/>
            <w:left w:val="none" w:sz="0" w:space="0" w:color="auto"/>
            <w:bottom w:val="none" w:sz="0" w:space="0" w:color="auto"/>
            <w:right w:val="none" w:sz="0" w:space="0" w:color="auto"/>
          </w:divBdr>
          <w:divsChild>
            <w:div w:id="1670399845">
              <w:marLeft w:val="0"/>
              <w:marRight w:val="0"/>
              <w:marTop w:val="0"/>
              <w:marBottom w:val="0"/>
              <w:divBdr>
                <w:top w:val="none" w:sz="0" w:space="0" w:color="auto"/>
                <w:left w:val="none" w:sz="0" w:space="0" w:color="auto"/>
                <w:bottom w:val="none" w:sz="0" w:space="0" w:color="auto"/>
                <w:right w:val="none" w:sz="0" w:space="0" w:color="auto"/>
              </w:divBdr>
              <w:divsChild>
                <w:div w:id="18286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47850">
          <w:marLeft w:val="0"/>
          <w:marRight w:val="0"/>
          <w:marTop w:val="0"/>
          <w:marBottom w:val="0"/>
          <w:divBdr>
            <w:top w:val="none" w:sz="0" w:space="0" w:color="auto"/>
            <w:left w:val="none" w:sz="0" w:space="0" w:color="auto"/>
            <w:bottom w:val="none" w:sz="0" w:space="0" w:color="auto"/>
            <w:right w:val="none" w:sz="0" w:space="0" w:color="auto"/>
          </w:divBdr>
          <w:divsChild>
            <w:div w:id="418723471">
              <w:marLeft w:val="0"/>
              <w:marRight w:val="0"/>
              <w:marTop w:val="0"/>
              <w:marBottom w:val="0"/>
              <w:divBdr>
                <w:top w:val="none" w:sz="0" w:space="0" w:color="auto"/>
                <w:left w:val="none" w:sz="0" w:space="0" w:color="auto"/>
                <w:bottom w:val="none" w:sz="0" w:space="0" w:color="auto"/>
                <w:right w:val="none" w:sz="0" w:space="0" w:color="auto"/>
              </w:divBdr>
              <w:divsChild>
                <w:div w:id="846821015">
                  <w:marLeft w:val="0"/>
                  <w:marRight w:val="0"/>
                  <w:marTop w:val="0"/>
                  <w:marBottom w:val="0"/>
                  <w:divBdr>
                    <w:top w:val="none" w:sz="0" w:space="0" w:color="auto"/>
                    <w:left w:val="none" w:sz="0" w:space="0" w:color="auto"/>
                    <w:bottom w:val="none" w:sz="0" w:space="0" w:color="auto"/>
                    <w:right w:val="none" w:sz="0" w:space="0" w:color="auto"/>
                  </w:divBdr>
                  <w:divsChild>
                    <w:div w:id="1215002804">
                      <w:marLeft w:val="0"/>
                      <w:marRight w:val="0"/>
                      <w:marTop w:val="0"/>
                      <w:marBottom w:val="0"/>
                      <w:divBdr>
                        <w:top w:val="none" w:sz="0" w:space="0" w:color="auto"/>
                        <w:left w:val="none" w:sz="0" w:space="0" w:color="auto"/>
                        <w:bottom w:val="none" w:sz="0" w:space="0" w:color="auto"/>
                        <w:right w:val="none" w:sz="0" w:space="0" w:color="auto"/>
                      </w:divBdr>
                      <w:divsChild>
                        <w:div w:id="8880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iva.Snitko@kem.gov.lv"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E473B-220D-4BC1-A453-149E3D0CB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17982</Words>
  <Characters>10251</Characters>
  <Application>Microsoft Office Word</Application>
  <DocSecurity>0</DocSecurity>
  <Lines>85</Lines>
  <Paragraphs>56</Paragraphs>
  <ScaleCrop>false</ScaleCrop>
  <HeadingPairs>
    <vt:vector size="6" baseType="variant">
      <vt:variant>
        <vt:lpstr>Title</vt:lpstr>
      </vt:variant>
      <vt:variant>
        <vt:i4>1</vt:i4>
      </vt:variant>
      <vt:variant>
        <vt:lpstr>Headings</vt:lpstr>
      </vt:variant>
      <vt:variant>
        <vt:i4>11</vt:i4>
      </vt:variant>
      <vt:variant>
        <vt:lpstr>Nosaukums</vt:lpstr>
      </vt:variant>
      <vt:variant>
        <vt:i4>1</vt:i4>
      </vt:variant>
    </vt:vector>
  </HeadingPairs>
  <TitlesOfParts>
    <vt:vector size="13" baseType="lpstr">
      <vt:lpstr/>
      <vt:lpstr>Kopsavilkums</vt:lpstr>
      <vt:lpstr>1. Esošās situācijas raksturojums</vt:lpstr>
      <vt:lpstr>1.1. Elektroenerģijas sistēmas pakalpojumu izmaksu prognozējamība un pieaugums m</vt:lpstr>
      <vt:lpstr>1.2. Atbalsts elektroenerģijas sistēmas pakalpojumu izmaksu pieauguma mazināšana</vt:lpstr>
      <vt:lpstr>1.3. Elektroenerģijas apakšlietotāja problemātika</vt:lpstr>
      <vt:lpstr>2. Risinājuma detalizēts apraksts un nepieciešamais finansējums</vt:lpstr>
      <vt:lpstr>2.1. Elektroenerģijas sistēmas tarifu pieauguma prognozējamība un atbalsts elekt</vt:lpstr>
      <vt:lpstr>2.2. Atbalsts elektroenerģijas sistēmas pakalpojumu izmaksu pieauguma mazināšana</vt:lpstr>
      <vt:lpstr>2.3. Risinājums identificētajai elektroenerģijas apakšlietotāja problemātikai</vt:lpstr>
      <vt:lpstr>2.4. Izvērtējums par AS “Augstsprieguma tīkls” un AS “Sadales tīkls” apvienošanu</vt:lpstr>
      <vt:lpstr>Turpmākā rīcība</vt:lpstr>
      <vt:lpstr/>
    </vt:vector>
  </TitlesOfParts>
  <Company/>
  <LinksUpToDate>false</LinksUpToDate>
  <CharactersWithSpaces>28177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Mjakuškina</dc:creator>
  <cp:keywords/>
  <dc:description/>
  <cp:lastModifiedBy>Līva Šnitko</cp:lastModifiedBy>
  <cp:revision>3</cp:revision>
  <cp:lastPrinted>2023-05-09T10:48:00Z</cp:lastPrinted>
  <dcterms:created xsi:type="dcterms:W3CDTF">2024-05-03T07:00:00Z</dcterms:created>
  <dcterms:modified xsi:type="dcterms:W3CDTF">2024-05-03T07:00:00Z</dcterms:modified>
</cp:coreProperties>
</file>