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ACC9D" w14:textId="312F24CB" w:rsidR="0049655E" w:rsidRPr="00E15F99" w:rsidRDefault="0049655E" w:rsidP="00E15F99">
      <w:pPr>
        <w:shd w:val="clear" w:color="auto" w:fill="FFFFFF"/>
        <w:contextualSpacing/>
        <w:jc w:val="center"/>
        <w:rPr>
          <w:rFonts w:eastAsia="Times New Roman" w:cs="Times New Roman"/>
          <w:b/>
          <w:bCs/>
          <w:color w:val="000000"/>
          <w:szCs w:val="24"/>
          <w:lang w:eastAsia="lv-LV"/>
        </w:rPr>
      </w:pPr>
      <w:r w:rsidRPr="00E15F99">
        <w:rPr>
          <w:rFonts w:eastAsia="Times New Roman" w:cs="Times New Roman"/>
          <w:b/>
          <w:bCs/>
          <w:color w:val="000000"/>
          <w:szCs w:val="24"/>
          <w:lang w:eastAsia="lv-LV"/>
        </w:rPr>
        <w:t>Lēmums 2009/1</w:t>
      </w:r>
    </w:p>
    <w:p w14:paraId="2A130ACF" w14:textId="73E6A750" w:rsidR="0049655E" w:rsidRPr="00E15F99" w:rsidRDefault="002E0773" w:rsidP="00E15F99">
      <w:pPr>
        <w:shd w:val="clear" w:color="auto" w:fill="FFFFFF"/>
        <w:contextualSpacing/>
        <w:jc w:val="center"/>
        <w:rPr>
          <w:rFonts w:eastAsia="Times New Roman" w:cs="Times New Roman"/>
          <w:b/>
          <w:bCs/>
          <w:color w:val="000000"/>
          <w:szCs w:val="24"/>
          <w:lang w:eastAsia="lv-LV"/>
        </w:rPr>
      </w:pPr>
      <w:r>
        <w:rPr>
          <w:rFonts w:eastAsia="Times New Roman" w:cs="Times New Roman"/>
          <w:b/>
          <w:bCs/>
          <w:color w:val="000000"/>
          <w:szCs w:val="24"/>
          <w:lang w:eastAsia="lv-LV"/>
        </w:rPr>
        <w:t xml:space="preserve">Grozījumi </w:t>
      </w:r>
      <w:r w:rsidR="00914172" w:rsidRPr="00E15F99">
        <w:rPr>
          <w:rFonts w:eastAsia="Times New Roman" w:cs="Times New Roman"/>
          <w:b/>
          <w:bCs/>
          <w:color w:val="000000"/>
          <w:szCs w:val="24"/>
          <w:lang w:eastAsia="lv-LV"/>
        </w:rPr>
        <w:t xml:space="preserve">1998. gada </w:t>
      </w:r>
      <w:r w:rsidR="004D707F" w:rsidRPr="00E15F99">
        <w:rPr>
          <w:rFonts w:eastAsia="Times New Roman" w:cs="Times New Roman"/>
          <w:b/>
          <w:bCs/>
          <w:color w:val="000000"/>
          <w:szCs w:val="24"/>
          <w:lang w:eastAsia="lv-LV"/>
        </w:rPr>
        <w:t>Protokol</w:t>
      </w:r>
      <w:r w:rsidR="001D047A" w:rsidRPr="00E15F99">
        <w:rPr>
          <w:rFonts w:eastAsia="Times New Roman" w:cs="Times New Roman"/>
          <w:b/>
          <w:bCs/>
          <w:color w:val="000000"/>
          <w:szCs w:val="24"/>
          <w:lang w:eastAsia="lv-LV"/>
        </w:rPr>
        <w:t>a</w:t>
      </w:r>
      <w:r w:rsidR="004D707F" w:rsidRPr="00E15F99">
        <w:rPr>
          <w:rFonts w:eastAsia="Times New Roman" w:cs="Times New Roman"/>
          <w:b/>
          <w:bCs/>
          <w:color w:val="000000"/>
          <w:szCs w:val="24"/>
          <w:lang w:eastAsia="lv-LV"/>
        </w:rPr>
        <w:t xml:space="preserve"> par noturīgajiem organiskajiem piesārņotājiem</w:t>
      </w:r>
      <w:r w:rsidR="001D047A" w:rsidRPr="00E15F99">
        <w:rPr>
          <w:rFonts w:eastAsia="Times New Roman" w:cs="Times New Roman"/>
          <w:b/>
          <w:bCs/>
          <w:color w:val="000000"/>
          <w:szCs w:val="24"/>
          <w:lang w:eastAsia="lv-LV"/>
        </w:rPr>
        <w:t xml:space="preserve"> tekstā un tā I, II, III, IV, VI un VIII pielikumos</w:t>
      </w:r>
    </w:p>
    <w:p w14:paraId="21505456" w14:textId="6E613326" w:rsidR="0002320A" w:rsidRPr="00E15F99" w:rsidRDefault="0002320A" w:rsidP="00E15F99">
      <w:pPr>
        <w:shd w:val="clear" w:color="auto" w:fill="FFFFFF"/>
        <w:contextualSpacing/>
        <w:jc w:val="both"/>
        <w:rPr>
          <w:rFonts w:eastAsia="Times New Roman" w:cs="Times New Roman"/>
          <w:color w:val="000000"/>
          <w:szCs w:val="24"/>
          <w:lang w:eastAsia="lv-LV"/>
        </w:rPr>
      </w:pPr>
    </w:p>
    <w:p w14:paraId="703500B9" w14:textId="2B79DB4A" w:rsidR="00724BDD" w:rsidRPr="00E15F99" w:rsidRDefault="00724BDD" w:rsidP="00E15F99">
      <w:pPr>
        <w:shd w:val="clear" w:color="auto" w:fill="FFFFFF"/>
        <w:ind w:firstLine="720"/>
        <w:contextualSpacing/>
        <w:jc w:val="both"/>
        <w:rPr>
          <w:rFonts w:eastAsia="Times New Roman" w:cs="Times New Roman"/>
          <w:i/>
          <w:iCs/>
          <w:color w:val="000000"/>
          <w:szCs w:val="24"/>
          <w:lang w:eastAsia="lv-LV"/>
        </w:rPr>
      </w:pPr>
      <w:r w:rsidRPr="00E15F99">
        <w:rPr>
          <w:rFonts w:eastAsia="Times New Roman" w:cs="Times New Roman"/>
          <w:i/>
          <w:iCs/>
          <w:color w:val="000000"/>
          <w:szCs w:val="24"/>
          <w:lang w:eastAsia="lv-LV"/>
        </w:rPr>
        <w:t xml:space="preserve">1998. gada Protokola par </w:t>
      </w:r>
      <w:r w:rsidR="00A953B5" w:rsidRPr="00E15F99">
        <w:rPr>
          <w:rFonts w:eastAsia="Times New Roman" w:cs="Times New Roman"/>
          <w:i/>
          <w:iCs/>
          <w:color w:val="000000"/>
          <w:szCs w:val="24"/>
          <w:lang w:eastAsia="lv-LV"/>
        </w:rPr>
        <w:t>noturīgajiem organiskajiem piesārņotājiem</w:t>
      </w:r>
      <w:r w:rsidRPr="00E15F99">
        <w:rPr>
          <w:rFonts w:eastAsia="Times New Roman" w:cs="Times New Roman"/>
          <w:i/>
          <w:iCs/>
          <w:color w:val="000000"/>
          <w:szCs w:val="24"/>
          <w:lang w:eastAsia="lv-LV"/>
        </w:rPr>
        <w:t xml:space="preserve"> Dalībvalstis, tiekoties Izpildinstitūcijas </w:t>
      </w:r>
      <w:r w:rsidR="00A953B5" w:rsidRPr="00E15F99">
        <w:rPr>
          <w:rFonts w:eastAsia="Times New Roman" w:cs="Times New Roman"/>
          <w:i/>
          <w:iCs/>
          <w:color w:val="000000"/>
          <w:szCs w:val="24"/>
          <w:lang w:eastAsia="lv-LV"/>
        </w:rPr>
        <w:t>divdesmit septītajā</w:t>
      </w:r>
      <w:r w:rsidRPr="00E15F99">
        <w:rPr>
          <w:rFonts w:eastAsia="Times New Roman" w:cs="Times New Roman"/>
          <w:i/>
          <w:iCs/>
          <w:color w:val="000000"/>
          <w:szCs w:val="24"/>
          <w:lang w:eastAsia="lv-LV"/>
        </w:rPr>
        <w:t xml:space="preserve"> </w:t>
      </w:r>
      <w:r w:rsidR="00350DD9">
        <w:rPr>
          <w:rFonts w:eastAsia="Times New Roman" w:cs="Times New Roman"/>
          <w:i/>
          <w:iCs/>
          <w:color w:val="000000"/>
          <w:szCs w:val="24"/>
          <w:lang w:eastAsia="lv-LV"/>
        </w:rPr>
        <w:t>sanāksmē</w:t>
      </w:r>
      <w:r w:rsidRPr="00E15F99">
        <w:rPr>
          <w:rFonts w:eastAsia="Times New Roman" w:cs="Times New Roman"/>
          <w:i/>
          <w:iCs/>
          <w:color w:val="000000"/>
          <w:szCs w:val="24"/>
          <w:lang w:eastAsia="lv-LV"/>
        </w:rPr>
        <w:t>,</w:t>
      </w:r>
    </w:p>
    <w:p w14:paraId="21F437E3" w14:textId="65103A0B" w:rsidR="00724BDD" w:rsidRPr="00E15F99" w:rsidRDefault="00724BDD" w:rsidP="00E15F99">
      <w:pPr>
        <w:shd w:val="clear" w:color="auto" w:fill="FFFFFF"/>
        <w:ind w:firstLine="720"/>
        <w:contextualSpacing/>
        <w:jc w:val="both"/>
        <w:rPr>
          <w:rFonts w:eastAsia="Times New Roman" w:cs="Times New Roman"/>
          <w:color w:val="000000"/>
          <w:szCs w:val="24"/>
          <w:lang w:eastAsia="lv-LV"/>
        </w:rPr>
      </w:pPr>
      <w:r w:rsidRPr="00E15F99">
        <w:rPr>
          <w:rFonts w:eastAsia="Times New Roman" w:cs="Times New Roman"/>
          <w:i/>
          <w:iCs/>
          <w:color w:val="000000"/>
          <w:szCs w:val="24"/>
          <w:lang w:eastAsia="lv-LV"/>
        </w:rPr>
        <w:t>nolemj</w:t>
      </w:r>
      <w:r w:rsidRPr="00E15F99">
        <w:rPr>
          <w:rFonts w:eastAsia="Times New Roman" w:cs="Times New Roman"/>
          <w:color w:val="000000"/>
          <w:szCs w:val="24"/>
          <w:lang w:eastAsia="lv-LV"/>
        </w:rPr>
        <w:t xml:space="preserve"> grozīt Konvencijas par </w:t>
      </w:r>
      <w:proofErr w:type="spellStart"/>
      <w:r w:rsidRPr="00E15F99">
        <w:rPr>
          <w:rFonts w:eastAsia="Times New Roman" w:cs="Times New Roman"/>
          <w:color w:val="000000"/>
          <w:szCs w:val="24"/>
          <w:lang w:eastAsia="lv-LV"/>
        </w:rPr>
        <w:t>robežšķērsojošo</w:t>
      </w:r>
      <w:proofErr w:type="spellEnd"/>
      <w:r w:rsidRPr="00E15F99">
        <w:rPr>
          <w:rFonts w:eastAsia="Times New Roman" w:cs="Times New Roman"/>
          <w:color w:val="000000"/>
          <w:szCs w:val="24"/>
          <w:lang w:eastAsia="lv-LV"/>
        </w:rPr>
        <w:t xml:space="preserve"> gaisa piesārņojumu lielos attālumos 199</w:t>
      </w:r>
      <w:r w:rsidR="00A953B5" w:rsidRPr="00E15F99">
        <w:rPr>
          <w:rFonts w:eastAsia="Times New Roman" w:cs="Times New Roman"/>
          <w:color w:val="000000"/>
          <w:szCs w:val="24"/>
          <w:lang w:eastAsia="lv-LV"/>
        </w:rPr>
        <w:t>8</w:t>
      </w:r>
      <w:r w:rsidRPr="00E15F99">
        <w:rPr>
          <w:rFonts w:eastAsia="Times New Roman" w:cs="Times New Roman"/>
          <w:color w:val="000000"/>
          <w:szCs w:val="24"/>
          <w:lang w:eastAsia="lv-LV"/>
        </w:rPr>
        <w:t xml:space="preserve">. gada Protokolu par </w:t>
      </w:r>
      <w:r w:rsidR="0027032F" w:rsidRPr="00E15F99">
        <w:rPr>
          <w:rFonts w:eastAsia="Times New Roman" w:cs="Times New Roman"/>
          <w:color w:val="000000"/>
          <w:szCs w:val="24"/>
          <w:lang w:eastAsia="lv-LV"/>
        </w:rPr>
        <w:t>noturīgajiem organiskajiem piesārņotājiem</w:t>
      </w:r>
      <w:r w:rsidRPr="00E15F99">
        <w:rPr>
          <w:rFonts w:eastAsia="Times New Roman" w:cs="Times New Roman"/>
          <w:color w:val="000000"/>
          <w:szCs w:val="24"/>
          <w:lang w:eastAsia="lv-LV"/>
        </w:rPr>
        <w:t xml:space="preserve"> (</w:t>
      </w:r>
      <w:r w:rsidR="008D70D8" w:rsidRPr="00E15F99">
        <w:rPr>
          <w:rFonts w:eastAsia="Times New Roman" w:cs="Times New Roman"/>
          <w:color w:val="000000"/>
          <w:szCs w:val="24"/>
          <w:lang w:eastAsia="lv-LV"/>
        </w:rPr>
        <w:t>NOP</w:t>
      </w:r>
      <w:r w:rsidR="0027032F" w:rsidRPr="00E15F99">
        <w:rPr>
          <w:rFonts w:eastAsia="Times New Roman" w:cs="Times New Roman"/>
          <w:color w:val="000000"/>
          <w:szCs w:val="24"/>
          <w:lang w:eastAsia="lv-LV"/>
        </w:rPr>
        <w:t xml:space="preserve"> protokols</w:t>
      </w:r>
      <w:r w:rsidRPr="00E15F99">
        <w:rPr>
          <w:rFonts w:eastAsia="Times New Roman" w:cs="Times New Roman"/>
          <w:color w:val="000000"/>
          <w:szCs w:val="24"/>
          <w:lang w:eastAsia="lv-LV"/>
        </w:rPr>
        <w:t xml:space="preserve">) </w:t>
      </w:r>
      <w:r w:rsidR="007554EB" w:rsidRPr="00E15F99">
        <w:rPr>
          <w:rFonts w:eastAsia="Times New Roman" w:cs="Times New Roman"/>
          <w:color w:val="000000"/>
          <w:szCs w:val="24"/>
          <w:lang w:eastAsia="lv-LV"/>
        </w:rPr>
        <w:t>sekojoši:</w:t>
      </w:r>
    </w:p>
    <w:p w14:paraId="659F2A8B" w14:textId="77777777" w:rsidR="0002320A" w:rsidRPr="00E15F99" w:rsidRDefault="0002320A" w:rsidP="00E15F99">
      <w:pPr>
        <w:shd w:val="clear" w:color="auto" w:fill="FFFFFF"/>
        <w:contextualSpacing/>
        <w:jc w:val="both"/>
        <w:rPr>
          <w:rFonts w:eastAsia="Times New Roman" w:cs="Times New Roman"/>
          <w:color w:val="000000"/>
          <w:szCs w:val="24"/>
          <w:lang w:eastAsia="lv-LV"/>
        </w:rPr>
      </w:pPr>
    </w:p>
    <w:p w14:paraId="6709BC9A" w14:textId="31218D9C" w:rsidR="0002320A" w:rsidRPr="00E15F99" w:rsidRDefault="007554EB" w:rsidP="00E15F99">
      <w:pPr>
        <w:shd w:val="clear" w:color="auto" w:fill="FFFFFF"/>
        <w:contextualSpacing/>
        <w:jc w:val="both"/>
        <w:rPr>
          <w:rFonts w:eastAsia="Times New Roman" w:cs="Times New Roman"/>
          <w:b/>
          <w:bCs/>
          <w:color w:val="000000"/>
          <w:szCs w:val="24"/>
          <w:lang w:eastAsia="lv-LV"/>
        </w:rPr>
      </w:pPr>
      <w:r w:rsidRPr="00E15F99">
        <w:rPr>
          <w:rFonts w:eastAsia="Times New Roman" w:cs="Times New Roman"/>
          <w:b/>
          <w:bCs/>
          <w:color w:val="000000"/>
          <w:szCs w:val="24"/>
          <w:lang w:eastAsia="lv-LV"/>
        </w:rPr>
        <w:t>1. PANTS: GROZĪJUMI</w:t>
      </w:r>
    </w:p>
    <w:p w14:paraId="6C6D7B6D" w14:textId="5EBD00EA"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A.</w:t>
      </w:r>
      <w:r w:rsidRPr="00E15F99">
        <w:rPr>
          <w:b/>
          <w:bCs/>
          <w:color w:val="000000"/>
        </w:rPr>
        <w:tab/>
        <w:t>1. pants</w:t>
      </w:r>
    </w:p>
    <w:p w14:paraId="182102FF" w14:textId="77777777" w:rsidR="008D70D8" w:rsidRPr="00E15F99" w:rsidRDefault="008D70D8"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12. punktā aizstāj:</w:t>
      </w:r>
    </w:p>
    <w:p w14:paraId="457CAC21" w14:textId="77777777" w:rsidR="008D70D8" w:rsidRPr="00E15F99" w:rsidRDefault="008D70D8" w:rsidP="00E15F99">
      <w:pPr>
        <w:pStyle w:val="ti-grseq-1"/>
        <w:shd w:val="clear" w:color="auto" w:fill="FFFFFF"/>
        <w:spacing w:before="0" w:beforeAutospacing="0" w:after="0" w:afterAutospacing="0" w:line="360" w:lineRule="auto"/>
        <w:ind w:left="720"/>
        <w:jc w:val="both"/>
        <w:rPr>
          <w:color w:val="000000"/>
        </w:rPr>
      </w:pPr>
      <w:r w:rsidRPr="00E15F99">
        <w:rPr>
          <w:color w:val="000000"/>
        </w:rPr>
        <w:t>““Jauns stacionārs avots” ir jebkurš stacionārs avots, kura būvniecība vai būtiska modifikācija ir sākta divus gadus pēc datuma, kurā attiecībā uz dalībvalsti stājas spēkā:</w:t>
      </w:r>
    </w:p>
    <w:p w14:paraId="5AE4505E" w14:textId="67796755" w:rsidR="008D70D8" w:rsidRPr="00E15F99" w:rsidRDefault="008D70D8"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a) šis Protokols vai</w:t>
      </w:r>
    </w:p>
    <w:p w14:paraId="03EC12F3" w14:textId="7DAF20FB" w:rsidR="008D70D8" w:rsidRPr="00E15F99" w:rsidRDefault="008D70D8" w:rsidP="00E15F99">
      <w:pPr>
        <w:pStyle w:val="ti-grseq-1"/>
        <w:shd w:val="clear" w:color="auto" w:fill="FFFFFF"/>
        <w:spacing w:before="0" w:beforeAutospacing="0" w:after="0" w:afterAutospacing="0" w:line="360" w:lineRule="auto"/>
        <w:ind w:left="720"/>
        <w:jc w:val="both"/>
        <w:rPr>
          <w:color w:val="000000"/>
        </w:rPr>
      </w:pPr>
      <w:r w:rsidRPr="00E15F99">
        <w:rPr>
          <w:color w:val="000000"/>
        </w:rPr>
        <w:t>b) šā Protokola labojums, ar ko attiecībā uz stacionāru avotu vai nu nosaka jaunas robežvērtības IV pielikuma II daļā, vai VIII pielikumā iekļauj kategoriju, kurā ietilpst konkrētais avots.</w:t>
      </w:r>
    </w:p>
    <w:p w14:paraId="16DBDD8F" w14:textId="429125C9" w:rsidR="008D70D8" w:rsidRPr="00E15F99" w:rsidRDefault="008D70D8" w:rsidP="00E15F99">
      <w:pPr>
        <w:pStyle w:val="ti-grseq-1"/>
        <w:shd w:val="clear" w:color="auto" w:fill="FFFFFF"/>
        <w:spacing w:before="0" w:beforeAutospacing="0" w:after="0" w:afterAutospacing="0" w:line="360" w:lineRule="auto"/>
        <w:ind w:left="720"/>
        <w:jc w:val="both"/>
        <w:rPr>
          <w:color w:val="000000"/>
        </w:rPr>
      </w:pPr>
      <w:r w:rsidRPr="00E15F99">
        <w:rPr>
          <w:color w:val="000000"/>
        </w:rPr>
        <w:t xml:space="preserve">Par to, vai kāda no modifikācijām ir vai nav nozīmīga, lemj kompetentās valstu iestādes, ņemot vērā tādus faktorus kā modifikācijas pozitīvā </w:t>
      </w:r>
      <w:proofErr w:type="spellStart"/>
      <w:r w:rsidRPr="00E15F99">
        <w:rPr>
          <w:color w:val="000000"/>
        </w:rPr>
        <w:t>vidiskā</w:t>
      </w:r>
      <w:proofErr w:type="spellEnd"/>
      <w:r w:rsidRPr="00E15F99">
        <w:rPr>
          <w:color w:val="000000"/>
        </w:rPr>
        <w:t xml:space="preserve"> ietekme.”</w:t>
      </w:r>
    </w:p>
    <w:p w14:paraId="0EE2EDA9" w14:textId="6D5C2A20"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B.</w:t>
      </w:r>
      <w:r w:rsidRPr="00E15F99">
        <w:rPr>
          <w:b/>
          <w:bCs/>
          <w:color w:val="000000"/>
        </w:rPr>
        <w:tab/>
        <w:t>3. pants</w:t>
      </w:r>
    </w:p>
    <w:p w14:paraId="34D70281" w14:textId="6D5C2A20" w:rsidR="008D70D8" w:rsidRPr="00E15F99" w:rsidRDefault="008D70D8" w:rsidP="00E15F99">
      <w:pPr>
        <w:pStyle w:val="ti-grseq-1"/>
        <w:shd w:val="clear" w:color="auto" w:fill="FFFFFF"/>
        <w:spacing w:before="0" w:beforeAutospacing="0" w:after="0" w:afterAutospacing="0" w:line="360" w:lineRule="auto"/>
        <w:jc w:val="both"/>
        <w:rPr>
          <w:color w:val="000000"/>
        </w:rPr>
      </w:pPr>
      <w:r w:rsidRPr="00E15F99">
        <w:rPr>
          <w:color w:val="000000"/>
        </w:rPr>
        <w:t xml:space="preserve">1. </w:t>
      </w:r>
      <w:r w:rsidRPr="00E15F99">
        <w:rPr>
          <w:color w:val="000000"/>
        </w:rPr>
        <w:tab/>
        <w:t xml:space="preserve">NOP protokola 3. panta 5. punkta b) apakšpunkta i) un iii) punktā vārdus </w:t>
      </w:r>
    </w:p>
    <w:p w14:paraId="2705309B" w14:textId="4A6A8C0D" w:rsidR="008D70D8" w:rsidRPr="00E15F99" w:rsidRDefault="008D70D8" w:rsidP="000059FD">
      <w:pPr>
        <w:pStyle w:val="ti-grseq-1"/>
        <w:shd w:val="clear" w:color="auto" w:fill="FFFFFF"/>
        <w:spacing w:before="0" w:beforeAutospacing="0" w:after="0" w:afterAutospacing="0" w:line="360" w:lineRule="auto"/>
        <w:ind w:left="720"/>
        <w:jc w:val="both"/>
        <w:rPr>
          <w:color w:val="000000"/>
        </w:rPr>
      </w:pPr>
      <w:r w:rsidRPr="00E15F99">
        <w:rPr>
          <w:color w:val="000000"/>
        </w:rPr>
        <w:t>“kam V pielikumā dotas labākās pieejamās metodes” un “kam V pielikumā noteiktas šādas metodes” aizstāj ar vārdiem</w:t>
      </w:r>
      <w:r w:rsidR="000059FD">
        <w:rPr>
          <w:color w:val="000000"/>
        </w:rPr>
        <w:t xml:space="preserve"> </w:t>
      </w:r>
      <w:r w:rsidRPr="00E15F99">
        <w:rPr>
          <w:color w:val="000000"/>
        </w:rPr>
        <w:t>“attiecībā uz ko vadlīnijās, kuras dalībvalstis pieņēmušas Izpildinstitūcijas sanāksmē, ir apzinātas labākās pieejamās metodes”.</w:t>
      </w:r>
    </w:p>
    <w:p w14:paraId="23345DEA" w14:textId="1ED1CA2B" w:rsidR="008D70D8" w:rsidRPr="00E15F99" w:rsidRDefault="008D70D8" w:rsidP="00E15F99">
      <w:pPr>
        <w:pStyle w:val="ti-grseq-1"/>
        <w:shd w:val="clear" w:color="auto" w:fill="FFFFFF"/>
        <w:spacing w:before="0" w:beforeAutospacing="0" w:after="0" w:afterAutospacing="0" w:line="360" w:lineRule="auto"/>
        <w:jc w:val="both"/>
        <w:rPr>
          <w:color w:val="000000"/>
        </w:rPr>
      </w:pPr>
      <w:r w:rsidRPr="00E15F99">
        <w:rPr>
          <w:color w:val="000000"/>
        </w:rPr>
        <w:t>2.</w:t>
      </w:r>
      <w:r w:rsidRPr="00E15F99">
        <w:rPr>
          <w:color w:val="000000"/>
        </w:rPr>
        <w:tab/>
        <w:t>Semikolu 5. punkta b) apakšpunkta iv) punktā aizstāj ar punktu.</w:t>
      </w:r>
    </w:p>
    <w:p w14:paraId="09AC8CEB" w14:textId="17700CD0" w:rsidR="008D70D8" w:rsidRPr="00E15F99" w:rsidRDefault="008D70D8" w:rsidP="00E15F99">
      <w:pPr>
        <w:pStyle w:val="ti-grseq-1"/>
        <w:shd w:val="clear" w:color="auto" w:fill="FFFFFF"/>
        <w:spacing w:before="0" w:beforeAutospacing="0" w:after="0" w:afterAutospacing="0" w:line="360" w:lineRule="auto"/>
        <w:jc w:val="both"/>
        <w:rPr>
          <w:color w:val="000000"/>
        </w:rPr>
      </w:pPr>
      <w:r w:rsidRPr="00E15F99">
        <w:rPr>
          <w:color w:val="000000"/>
        </w:rPr>
        <w:t>3.</w:t>
      </w:r>
      <w:r w:rsidRPr="00E15F99">
        <w:rPr>
          <w:color w:val="000000"/>
        </w:rPr>
        <w:tab/>
        <w:t>Panta 5. punkta b) apakšpunkta v) punktu svītro.</w:t>
      </w:r>
    </w:p>
    <w:p w14:paraId="7B577896" w14:textId="223B9264"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C.</w:t>
      </w:r>
      <w:r w:rsidRPr="00E15F99">
        <w:rPr>
          <w:b/>
          <w:bCs/>
          <w:color w:val="000000"/>
        </w:rPr>
        <w:tab/>
        <w:t>13. pants</w:t>
      </w:r>
    </w:p>
    <w:p w14:paraId="65B9FBC4" w14:textId="77777777" w:rsidR="008D70D8" w:rsidRPr="00E15F99" w:rsidRDefault="008D70D8" w:rsidP="00E15F99">
      <w:pPr>
        <w:pStyle w:val="Normal2"/>
        <w:shd w:val="clear" w:color="auto" w:fill="FFFFFF"/>
        <w:spacing w:before="0" w:beforeAutospacing="0" w:after="0" w:afterAutospacing="0" w:line="360" w:lineRule="auto"/>
        <w:ind w:firstLine="720"/>
        <w:jc w:val="both"/>
        <w:rPr>
          <w:color w:val="000000"/>
        </w:rPr>
      </w:pPr>
      <w:r w:rsidRPr="00E15F99">
        <w:rPr>
          <w:color w:val="000000"/>
        </w:rPr>
        <w:t>Vārdus “V un VII pielikumam” aizstāj ar vārdiem “V pielikumam”.</w:t>
      </w:r>
    </w:p>
    <w:p w14:paraId="2AFC6FFC" w14:textId="0BB876C6"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D.</w:t>
      </w:r>
      <w:r w:rsidRPr="00E15F99">
        <w:rPr>
          <w:b/>
          <w:bCs/>
          <w:color w:val="000000"/>
        </w:rPr>
        <w:tab/>
        <w:t>14. pants</w:t>
      </w:r>
    </w:p>
    <w:p w14:paraId="17C890EA" w14:textId="380C3F8F" w:rsidR="008D70D8" w:rsidRPr="00E15F99" w:rsidRDefault="008D70D8" w:rsidP="00E15F99">
      <w:pPr>
        <w:pStyle w:val="ti-grseq-1"/>
        <w:shd w:val="clear" w:color="auto" w:fill="FFFFFF"/>
        <w:spacing w:before="0" w:beforeAutospacing="0" w:after="0" w:afterAutospacing="0" w:line="360" w:lineRule="auto"/>
        <w:jc w:val="both"/>
        <w:rPr>
          <w:color w:val="000000"/>
        </w:rPr>
      </w:pPr>
      <w:r w:rsidRPr="00E15F99">
        <w:rPr>
          <w:color w:val="000000"/>
        </w:rPr>
        <w:t>1.</w:t>
      </w:r>
      <w:r w:rsidRPr="00E15F99">
        <w:rPr>
          <w:color w:val="000000"/>
        </w:rPr>
        <w:tab/>
        <w:t>Panta 3. punktu aizstāj ar šādu:</w:t>
      </w:r>
    </w:p>
    <w:p w14:paraId="446E4749" w14:textId="1BD8E715" w:rsidR="008D70D8" w:rsidRPr="00E15F99" w:rsidRDefault="008D70D8" w:rsidP="00E15F99">
      <w:pPr>
        <w:pStyle w:val="ti-grseq-1"/>
        <w:shd w:val="clear" w:color="auto" w:fill="FFFFFF"/>
        <w:spacing w:before="0" w:beforeAutospacing="0" w:after="0" w:afterAutospacing="0" w:line="360" w:lineRule="auto"/>
        <w:ind w:left="720"/>
        <w:jc w:val="both"/>
        <w:rPr>
          <w:color w:val="000000"/>
        </w:rPr>
      </w:pPr>
      <w:r w:rsidRPr="00E15F99">
        <w:rPr>
          <w:color w:val="000000"/>
        </w:rPr>
        <w:t xml:space="preserve">“3.   Labojumus šajā Protokolā un tā I–IV, VI un VIII pielikumā pieņem, pamatojoties uz Izpildinstitūcijas sanāksmē pārstāvēto dalībvalstu vienprātību, un tie stājas spēkā dalībvalstīm, kuras labojumus ir pieņēmušas, deviņdesmitajā dienā pēc datuma, kurā divas trešdaļas no dalībvalstīm ir iesniegušas glabāšanā depozitāram labojumu </w:t>
      </w:r>
      <w:r w:rsidRPr="00E15F99">
        <w:rPr>
          <w:color w:val="000000"/>
        </w:rPr>
        <w:lastRenderedPageBreak/>
        <w:t>pieņemšanas aktus. Jebkurai citai dalībvalstij labojumi stājas spēkā deviņdesmitajā dienā pēc datuma, kurā minētā dalībvalsts ir iesniegusi glabāšanā depozitāram labojumu pieņemšanas aktu. Šo punktu piemēro, ievērojot šā panta 5.a un 5.b punktu.”</w:t>
      </w:r>
      <w:r w:rsidRPr="00E15F99">
        <w:rPr>
          <w:color w:val="000000"/>
        </w:rPr>
        <w:tab/>
      </w:r>
    </w:p>
    <w:p w14:paraId="55B18446" w14:textId="6B25C646" w:rsidR="008D70D8" w:rsidRPr="00E15F99" w:rsidRDefault="008D70D8"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2.</w:t>
      </w:r>
      <w:r w:rsidRPr="00E15F99">
        <w:rPr>
          <w:color w:val="000000"/>
        </w:rPr>
        <w:tab/>
        <w:t>Panta 4. punktā vārdus “V un VII pielikumā” aizstāj ar vārdiem “V pielikumā” un vārdus “jebkuram šādam pielikumam” aizstāj ar vārdiem “V pielikumā”.</w:t>
      </w:r>
    </w:p>
    <w:p w14:paraId="162C5995" w14:textId="23346DBB" w:rsidR="008D70D8" w:rsidRPr="00E15F99" w:rsidRDefault="008D70D8"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3.</w:t>
      </w:r>
      <w:r w:rsidRPr="00E15F99">
        <w:rPr>
          <w:color w:val="000000"/>
        </w:rPr>
        <w:tab/>
        <w:t>Panta 5. punktā vārdus “vai VII pielikumam” svītro un vārdus “attiecīgie labojumi” aizstāj ar vārdiem “V pielikums”.</w:t>
      </w:r>
    </w:p>
    <w:p w14:paraId="3E756F0A" w14:textId="2D6273FB" w:rsidR="008D70D8" w:rsidRPr="00E15F99" w:rsidRDefault="008D70D8" w:rsidP="00E15F99">
      <w:pPr>
        <w:pStyle w:val="ti-grseq-1"/>
        <w:shd w:val="clear" w:color="auto" w:fill="FFFFFF"/>
        <w:spacing w:before="0" w:beforeAutospacing="0" w:after="0" w:afterAutospacing="0" w:line="360" w:lineRule="auto"/>
        <w:jc w:val="both"/>
        <w:rPr>
          <w:color w:val="000000"/>
        </w:rPr>
      </w:pPr>
      <w:r w:rsidRPr="00E15F99">
        <w:rPr>
          <w:color w:val="000000"/>
        </w:rPr>
        <w:t>4.</w:t>
      </w:r>
      <w:r w:rsidRPr="00E15F99">
        <w:rPr>
          <w:color w:val="000000"/>
        </w:rPr>
        <w:tab/>
        <w:t>Pēc 5. punkta iekļauj šādus punktus:</w:t>
      </w:r>
    </w:p>
    <w:p w14:paraId="3A31982B" w14:textId="77777777" w:rsidR="008D70D8" w:rsidRPr="00E15F99" w:rsidRDefault="008D70D8" w:rsidP="00E15F99">
      <w:pPr>
        <w:pStyle w:val="ti-grseq-1"/>
        <w:shd w:val="clear" w:color="auto" w:fill="FFFFFF"/>
        <w:spacing w:before="0" w:beforeAutospacing="0" w:after="0" w:afterAutospacing="0" w:line="360" w:lineRule="auto"/>
        <w:ind w:left="720"/>
        <w:jc w:val="both"/>
        <w:rPr>
          <w:color w:val="000000"/>
        </w:rPr>
      </w:pPr>
      <w:r w:rsidRPr="00E15F99">
        <w:rPr>
          <w:color w:val="000000"/>
        </w:rPr>
        <w:t>“5.a   Attiecībā uz labojumiem I–IV, VI un VIII pielikumā šā panta 3. punktā izklāstītās procedūras vietā dalībvalstīm, kas to akceptējušas, ir piemērojama šā panta 5.b punktā izklāstītā procedūra.</w:t>
      </w:r>
    </w:p>
    <w:p w14:paraId="1BA772AE" w14:textId="231FAC65" w:rsidR="008D70D8" w:rsidRPr="00E15F99" w:rsidRDefault="008D70D8" w:rsidP="00E15F99">
      <w:pPr>
        <w:pStyle w:val="ti-grseq-1"/>
        <w:shd w:val="clear" w:color="auto" w:fill="FFFFFF"/>
        <w:spacing w:before="0" w:beforeAutospacing="0" w:after="0" w:afterAutospacing="0" w:line="360" w:lineRule="auto"/>
        <w:ind w:left="1440" w:hanging="720"/>
        <w:jc w:val="both"/>
        <w:rPr>
          <w:color w:val="000000"/>
        </w:rPr>
      </w:pPr>
      <w:r w:rsidRPr="00E15F99">
        <w:rPr>
          <w:color w:val="000000"/>
        </w:rPr>
        <w:t>5.b</w:t>
      </w:r>
      <w:r w:rsidR="005846EF">
        <w:rPr>
          <w:color w:val="000000"/>
        </w:rPr>
        <w:tab/>
      </w:r>
      <w:r w:rsidRPr="00E15F99">
        <w:rPr>
          <w:color w:val="000000"/>
        </w:rPr>
        <w:t>a)</w:t>
      </w:r>
      <w:r w:rsidR="005846EF">
        <w:rPr>
          <w:color w:val="000000"/>
        </w:rPr>
        <w:t xml:space="preserve"> </w:t>
      </w:r>
      <w:r w:rsidRPr="00E15F99">
        <w:rPr>
          <w:color w:val="000000"/>
        </w:rPr>
        <w:t>Labojumus I–IV, VI un VIII pielikumā pieņem, pamatojoties uz Izpildinstitūcijas sanāksmē pārstāvēto dalībvalstu vienprātību. Vienu gadu no datuma, kurā Komisijas Izpildsekretārs informējis visas dalībvalstis par labojumiem, tie jebkuram šādam pielikumam stājas spēkā tām dalībvalstīm, kuras nav iesniegušas depozitāram paziņojumu atbilstīgi šā punkta</w:t>
      </w:r>
      <w:r w:rsidR="002524E0">
        <w:rPr>
          <w:color w:val="000000"/>
        </w:rPr>
        <w:t xml:space="preserve"> </w:t>
      </w:r>
      <w:r w:rsidRPr="00E15F99">
        <w:rPr>
          <w:color w:val="000000"/>
        </w:rPr>
        <w:t>b) apakšpunktam.</w:t>
      </w:r>
    </w:p>
    <w:p w14:paraId="01E73483" w14:textId="178AF9B3" w:rsidR="008D70D8" w:rsidRPr="00E15F99" w:rsidRDefault="008D70D8" w:rsidP="00E15F99">
      <w:pPr>
        <w:pStyle w:val="ti-grseq-1"/>
        <w:shd w:val="clear" w:color="auto" w:fill="FFFFFF"/>
        <w:spacing w:before="0" w:beforeAutospacing="0" w:after="0" w:afterAutospacing="0" w:line="360" w:lineRule="auto"/>
        <w:ind w:left="1440"/>
        <w:jc w:val="both"/>
        <w:rPr>
          <w:color w:val="000000"/>
        </w:rPr>
      </w:pPr>
      <w:r w:rsidRPr="00E15F99">
        <w:rPr>
          <w:color w:val="000000"/>
        </w:rPr>
        <w:t>b)</w:t>
      </w:r>
      <w:r w:rsidR="005846EF">
        <w:rPr>
          <w:color w:val="000000"/>
        </w:rPr>
        <w:t xml:space="preserve"> </w:t>
      </w:r>
      <w:r w:rsidRPr="00E15F99">
        <w:rPr>
          <w:color w:val="000000"/>
        </w:rPr>
        <w:t xml:space="preserve">Dalībvalsts, kas nav spējīga apstiprināt labojumus I–IV, VI un VII pielikumā, par to paziņo depozitāram </w:t>
      </w:r>
      <w:proofErr w:type="spellStart"/>
      <w:r w:rsidRPr="00E15F99">
        <w:rPr>
          <w:color w:val="000000"/>
        </w:rPr>
        <w:t>rakstveidā</w:t>
      </w:r>
      <w:proofErr w:type="spellEnd"/>
      <w:r w:rsidRPr="00E15F99">
        <w:rPr>
          <w:color w:val="000000"/>
        </w:rPr>
        <w:t xml:space="preserve"> viena gada laikā no datuma, kurā paziņots par labojumu pieņemšanu. Depozitārs nekavējoties ziņo visām dalībvalstīm par šāda paziņojuma saņemšanu. Dalībvalsts var jebkurā laikā aizstāt iepriekšējo paziņojumu ar labojumu pieņemšanas aktu, un, pēc šā akta nodošanas glabāšanā depozitāram, attiecīgie labojumi stājas spēkā arī šai dalībvalstij.</w:t>
      </w:r>
    </w:p>
    <w:p w14:paraId="1DD63B04" w14:textId="37B922D7" w:rsidR="008D70D8" w:rsidRPr="00E15F99" w:rsidRDefault="008D70D8" w:rsidP="00E15F99">
      <w:pPr>
        <w:pStyle w:val="ti-grseq-1"/>
        <w:shd w:val="clear" w:color="auto" w:fill="FFFFFF"/>
        <w:spacing w:before="0" w:beforeAutospacing="0" w:after="0" w:afterAutospacing="0" w:line="360" w:lineRule="auto"/>
        <w:ind w:left="1440"/>
        <w:jc w:val="both"/>
        <w:rPr>
          <w:color w:val="000000"/>
        </w:rPr>
      </w:pPr>
      <w:r w:rsidRPr="00E15F99">
        <w:rPr>
          <w:color w:val="000000"/>
        </w:rPr>
        <w:t>c)</w:t>
      </w:r>
      <w:r w:rsidR="005846EF">
        <w:rPr>
          <w:color w:val="000000"/>
        </w:rPr>
        <w:t xml:space="preserve"> </w:t>
      </w:r>
      <w:r w:rsidRPr="00E15F99">
        <w:rPr>
          <w:color w:val="000000"/>
        </w:rPr>
        <w:t>Labojumi I–IV, VI un VIII nestājas spēkā, ja kopskaitā vismaz 16 dalībvalstis:</w:t>
      </w:r>
    </w:p>
    <w:p w14:paraId="3EA2CF7D" w14:textId="10D756BE" w:rsidR="008D70D8" w:rsidRPr="00E15F99" w:rsidRDefault="008D70D8" w:rsidP="00E15F99">
      <w:pPr>
        <w:pStyle w:val="ti-grseq-1"/>
        <w:shd w:val="clear" w:color="auto" w:fill="FFFFFF"/>
        <w:spacing w:before="0" w:beforeAutospacing="0" w:after="0" w:afterAutospacing="0" w:line="360" w:lineRule="auto"/>
        <w:ind w:left="2160"/>
        <w:jc w:val="both"/>
        <w:rPr>
          <w:color w:val="000000"/>
        </w:rPr>
      </w:pPr>
      <w:r w:rsidRPr="00E15F99">
        <w:rPr>
          <w:color w:val="000000"/>
        </w:rPr>
        <w:t>i)</w:t>
      </w:r>
      <w:r w:rsidR="00A03967">
        <w:rPr>
          <w:color w:val="000000"/>
        </w:rPr>
        <w:t xml:space="preserve"> </w:t>
      </w:r>
      <w:r w:rsidRPr="00E15F99">
        <w:rPr>
          <w:color w:val="000000"/>
        </w:rPr>
        <w:t>ir iesniegušas paziņojumu saskaņā ar šā punkta b) apakšpunktu vai</w:t>
      </w:r>
    </w:p>
    <w:p w14:paraId="06FEC063" w14:textId="13410D0D" w:rsidR="008D70D8" w:rsidRPr="00E15F99" w:rsidRDefault="008D70D8" w:rsidP="00E15F99">
      <w:pPr>
        <w:pStyle w:val="ti-grseq-1"/>
        <w:shd w:val="clear" w:color="auto" w:fill="FFFFFF"/>
        <w:spacing w:before="0" w:beforeAutospacing="0" w:after="0" w:afterAutospacing="0" w:line="360" w:lineRule="auto"/>
        <w:ind w:left="2160"/>
        <w:jc w:val="both"/>
        <w:rPr>
          <w:color w:val="000000"/>
        </w:rPr>
      </w:pPr>
      <w:r w:rsidRPr="00E15F99">
        <w:rPr>
          <w:color w:val="000000"/>
        </w:rPr>
        <w:t>ii)</w:t>
      </w:r>
      <w:r w:rsidR="00A03967">
        <w:rPr>
          <w:color w:val="000000"/>
        </w:rPr>
        <w:t xml:space="preserve"> </w:t>
      </w:r>
      <w:r w:rsidRPr="00E15F99">
        <w:rPr>
          <w:color w:val="000000"/>
        </w:rPr>
        <w:t>nav akceptējušas šajā punktā izklāstīto procedūru un vēl nav deponējušas pieņemšanas aktu saskaņā ar šā panta 3. punkta noteikumiem</w:t>
      </w:r>
      <w:r w:rsidR="003C2A04">
        <w:rPr>
          <w:color w:val="000000"/>
        </w:rPr>
        <w:t>.</w:t>
      </w:r>
      <w:r w:rsidRPr="00E15F99">
        <w:rPr>
          <w:color w:val="000000"/>
        </w:rPr>
        <w:t>”</w:t>
      </w:r>
    </w:p>
    <w:p w14:paraId="23D1B736" w14:textId="753A724B"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E.</w:t>
      </w:r>
      <w:r w:rsidRPr="00E15F99">
        <w:rPr>
          <w:b/>
          <w:bCs/>
          <w:color w:val="000000"/>
        </w:rPr>
        <w:tab/>
        <w:t>16. pants</w:t>
      </w:r>
    </w:p>
    <w:p w14:paraId="5E3FA9B2" w14:textId="0CBB5A38" w:rsidR="008D70D8" w:rsidRPr="00E15F99" w:rsidRDefault="000B5DF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Pēc 2. punkta pievieno šādu jaunu punktu:</w:t>
      </w:r>
    </w:p>
    <w:p w14:paraId="6E7F35C1" w14:textId="1DACF57B" w:rsidR="008D70D8" w:rsidRPr="00E15F99" w:rsidRDefault="000B5DF1" w:rsidP="00E15F99">
      <w:pPr>
        <w:pStyle w:val="ti-grseq-1"/>
        <w:shd w:val="clear" w:color="auto" w:fill="FFFFFF"/>
        <w:spacing w:before="0" w:beforeAutospacing="0" w:after="0" w:afterAutospacing="0" w:line="360" w:lineRule="auto"/>
        <w:ind w:left="720"/>
        <w:jc w:val="both"/>
        <w:rPr>
          <w:color w:val="000000"/>
        </w:rPr>
      </w:pPr>
      <w:r w:rsidRPr="00E15F99">
        <w:rPr>
          <w:color w:val="000000"/>
        </w:rPr>
        <w:t>“3.</w:t>
      </w:r>
      <w:r w:rsidR="003C2A04">
        <w:rPr>
          <w:color w:val="000000"/>
        </w:rPr>
        <w:t xml:space="preserve"> </w:t>
      </w:r>
      <w:r w:rsidRPr="00E15F99">
        <w:rPr>
          <w:color w:val="000000"/>
        </w:rPr>
        <w:t>Ja valsts vai reģionāla mēroga ekonomikas integrācijas organizācija nevēlas, lai attiecībā uz labojumiem I–IV, VI un VIII pielikumā tai būtu saistošas procedūras, kas aprakstītas 14. panta 5.b punktā, tā to paziņo savā ratifikācijas, pieņemšanas, apstiprināšanas vai pievienošanās aktā.”</w:t>
      </w:r>
    </w:p>
    <w:p w14:paraId="7C5E4467" w14:textId="2396B928"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F.</w:t>
      </w:r>
      <w:r w:rsidR="003C2A04">
        <w:rPr>
          <w:b/>
          <w:bCs/>
          <w:color w:val="000000"/>
        </w:rPr>
        <w:tab/>
      </w:r>
      <w:r w:rsidRPr="00E15F99">
        <w:rPr>
          <w:b/>
          <w:bCs/>
          <w:color w:val="000000"/>
        </w:rPr>
        <w:t>I pielikums</w:t>
      </w:r>
    </w:p>
    <w:p w14:paraId="0A4603E5" w14:textId="566FF72B" w:rsidR="000B5DF1" w:rsidRPr="00E15F99" w:rsidRDefault="000B5DF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lastRenderedPageBreak/>
        <w:t>1.</w:t>
      </w:r>
      <w:r w:rsidRPr="00E15F99">
        <w:rPr>
          <w:color w:val="000000"/>
        </w:rPr>
        <w:tab/>
        <w:t>Tabulas ierakstā, kas attiecas uz DDT, 1. un 2. nosacījumu par ražošanas pārtraukšanu svītro un aizstāj ar vārdiem “Netiek izvirzīti” un iepretim nosacījumam par izmantošanu svītro vārdus “Netiek izvirzīti, izņemot gadījumus, kas precizēti II pielikumā”.</w:t>
      </w:r>
    </w:p>
    <w:p w14:paraId="3B101D04" w14:textId="206A01AB" w:rsidR="000B5DF1" w:rsidRPr="00E15F99" w:rsidRDefault="000B5DF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2.</w:t>
      </w:r>
      <w:r w:rsidRPr="00E15F99">
        <w:rPr>
          <w:color w:val="000000"/>
        </w:rPr>
        <w:tab/>
        <w:t>Tabulas ierakstā, kas attiecas uz heptahloru, svītro izmantošanas nosacījumus un tos aizstāj ar vārdiem “Netiek izvirzīti”.</w:t>
      </w:r>
    </w:p>
    <w:p w14:paraId="006F26F7" w14:textId="1DCEB6D1" w:rsidR="000B5DF1" w:rsidRPr="00E15F99" w:rsidRDefault="000B5DF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3.</w:t>
      </w:r>
      <w:r w:rsidRPr="00E15F99">
        <w:rPr>
          <w:color w:val="000000"/>
        </w:rPr>
        <w:tab/>
        <w:t>Tabulas ierakstā, kas attiecas uz heksahlorbenzolu, svītro ražošanas un izmantošanas nosacījumus un tos aizstāj ar vārdiem “Netiek izvirzīti”.</w:t>
      </w:r>
    </w:p>
    <w:p w14:paraId="1FC05B7D" w14:textId="31335154" w:rsidR="000B5DF1" w:rsidRPr="00E15F99" w:rsidRDefault="000B5DF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4.</w:t>
      </w:r>
      <w:r w:rsidRPr="00E15F99">
        <w:rPr>
          <w:color w:val="000000"/>
        </w:rPr>
        <w:tab/>
        <w:t>Attiecīgi alfabētiskā kārtībā sarakstā attiecībā uz turpmāk minētajām vielām iekļauj šādas rindas:</w:t>
      </w:r>
    </w:p>
    <w:tbl>
      <w:tblPr>
        <w:tblStyle w:val="TableGrid"/>
        <w:tblW w:w="0" w:type="auto"/>
        <w:tblLook w:val="04A0" w:firstRow="1" w:lastRow="0" w:firstColumn="1" w:lastColumn="0" w:noHBand="0" w:noVBand="1"/>
      </w:tblPr>
      <w:tblGrid>
        <w:gridCol w:w="3020"/>
        <w:gridCol w:w="1511"/>
        <w:gridCol w:w="4530"/>
      </w:tblGrid>
      <w:tr w:rsidR="000B5DF1" w:rsidRPr="00E15F99" w14:paraId="088417C4" w14:textId="77777777" w:rsidTr="000B5DF1">
        <w:tc>
          <w:tcPr>
            <w:tcW w:w="3020" w:type="dxa"/>
            <w:vMerge w:val="restart"/>
          </w:tcPr>
          <w:p w14:paraId="7B61FF72" w14:textId="77777777" w:rsidR="000B5DF1" w:rsidRPr="00E15F99" w:rsidRDefault="000B5DF1" w:rsidP="00E15F99">
            <w:pPr>
              <w:pStyle w:val="tbl-txt"/>
              <w:spacing w:before="0" w:beforeAutospacing="0" w:after="0" w:afterAutospacing="0" w:line="360" w:lineRule="auto"/>
            </w:pPr>
            <w:proofErr w:type="spellStart"/>
            <w:r w:rsidRPr="00E15F99">
              <w:t>Heksahlorbutadiēns</w:t>
            </w:r>
            <w:proofErr w:type="spellEnd"/>
          </w:p>
          <w:p w14:paraId="5B2CC7A0" w14:textId="7991AB20" w:rsidR="000B5DF1" w:rsidRPr="00E15F99" w:rsidRDefault="000B5DF1" w:rsidP="00E15F99">
            <w:pPr>
              <w:pStyle w:val="ti-grseq-1"/>
              <w:spacing w:before="0" w:beforeAutospacing="0" w:after="0" w:afterAutospacing="0" w:line="360" w:lineRule="auto"/>
              <w:jc w:val="both"/>
              <w:rPr>
                <w:b/>
                <w:bCs/>
                <w:color w:val="000000"/>
              </w:rPr>
            </w:pPr>
            <w:r w:rsidRPr="00E15F99">
              <w:t>CAS: 87-68-3</w:t>
            </w:r>
          </w:p>
        </w:tc>
        <w:tc>
          <w:tcPr>
            <w:tcW w:w="1511" w:type="dxa"/>
          </w:tcPr>
          <w:p w14:paraId="5FF32B7A" w14:textId="6AC7C35F" w:rsidR="000B5DF1" w:rsidRPr="00E15F99" w:rsidRDefault="000B5DF1" w:rsidP="00E15F99">
            <w:pPr>
              <w:pStyle w:val="ti-grseq-1"/>
              <w:spacing w:before="0" w:beforeAutospacing="0" w:after="0" w:afterAutospacing="0" w:line="360" w:lineRule="auto"/>
              <w:jc w:val="both"/>
              <w:rPr>
                <w:b/>
                <w:bCs/>
                <w:color w:val="000000"/>
              </w:rPr>
            </w:pPr>
            <w:r w:rsidRPr="00E15F99">
              <w:t>ražošana</w:t>
            </w:r>
          </w:p>
        </w:tc>
        <w:tc>
          <w:tcPr>
            <w:tcW w:w="4530" w:type="dxa"/>
          </w:tcPr>
          <w:p w14:paraId="0ED7D146" w14:textId="0C9EF8E5" w:rsidR="000B5DF1" w:rsidRPr="00E15F99" w:rsidRDefault="000B5DF1" w:rsidP="00E15F99">
            <w:pPr>
              <w:pStyle w:val="ti-grseq-1"/>
              <w:spacing w:before="0" w:beforeAutospacing="0" w:after="0" w:afterAutospacing="0" w:line="360" w:lineRule="auto"/>
              <w:jc w:val="both"/>
              <w:rPr>
                <w:b/>
                <w:bCs/>
                <w:color w:val="000000"/>
              </w:rPr>
            </w:pPr>
            <w:r w:rsidRPr="00E15F99">
              <w:t>Netiek izvirzīti</w:t>
            </w:r>
          </w:p>
        </w:tc>
      </w:tr>
      <w:tr w:rsidR="000B5DF1" w:rsidRPr="00E15F99" w14:paraId="0DB414DA" w14:textId="77777777" w:rsidTr="000B5DF1">
        <w:tc>
          <w:tcPr>
            <w:tcW w:w="3020" w:type="dxa"/>
            <w:vMerge/>
          </w:tcPr>
          <w:p w14:paraId="4E90698F" w14:textId="77777777" w:rsidR="000B5DF1" w:rsidRPr="00E15F99" w:rsidRDefault="000B5DF1" w:rsidP="00E15F99">
            <w:pPr>
              <w:pStyle w:val="ti-grseq-1"/>
              <w:spacing w:before="0" w:beforeAutospacing="0" w:after="0" w:afterAutospacing="0" w:line="360" w:lineRule="auto"/>
              <w:jc w:val="both"/>
              <w:rPr>
                <w:b/>
                <w:bCs/>
                <w:color w:val="000000"/>
              </w:rPr>
            </w:pPr>
          </w:p>
        </w:tc>
        <w:tc>
          <w:tcPr>
            <w:tcW w:w="1511" w:type="dxa"/>
          </w:tcPr>
          <w:p w14:paraId="152E6500" w14:textId="49BF1387" w:rsidR="000B5DF1" w:rsidRPr="00E15F99" w:rsidRDefault="000B5DF1" w:rsidP="00E15F99">
            <w:pPr>
              <w:pStyle w:val="ti-grseq-1"/>
              <w:spacing w:before="0" w:beforeAutospacing="0" w:after="0" w:afterAutospacing="0" w:line="360" w:lineRule="auto"/>
              <w:jc w:val="both"/>
              <w:rPr>
                <w:b/>
                <w:bCs/>
                <w:color w:val="000000"/>
              </w:rPr>
            </w:pPr>
            <w:r w:rsidRPr="00E15F99">
              <w:t>izmantošana</w:t>
            </w:r>
          </w:p>
        </w:tc>
        <w:tc>
          <w:tcPr>
            <w:tcW w:w="4530" w:type="dxa"/>
          </w:tcPr>
          <w:p w14:paraId="2FE56081" w14:textId="425CED92" w:rsidR="000B5DF1" w:rsidRPr="00E15F99" w:rsidRDefault="000B5DF1" w:rsidP="00E15F99">
            <w:pPr>
              <w:pStyle w:val="ti-grseq-1"/>
              <w:spacing w:before="0" w:beforeAutospacing="0" w:after="0" w:afterAutospacing="0" w:line="360" w:lineRule="auto"/>
              <w:jc w:val="both"/>
              <w:rPr>
                <w:b/>
                <w:bCs/>
                <w:color w:val="000000"/>
              </w:rPr>
            </w:pPr>
            <w:r w:rsidRPr="00E15F99">
              <w:t>Netiek izvirzīti</w:t>
            </w:r>
          </w:p>
        </w:tc>
      </w:tr>
    </w:tbl>
    <w:p w14:paraId="760D402B" w14:textId="61F9F72B" w:rsidR="000B5DF1" w:rsidRPr="00E15F99" w:rsidRDefault="000B5DF1" w:rsidP="00E15F99">
      <w:pPr>
        <w:pStyle w:val="ti-grseq-1"/>
        <w:shd w:val="clear" w:color="auto" w:fill="FFFFFF"/>
        <w:spacing w:before="0" w:beforeAutospacing="0" w:after="0" w:afterAutospacing="0" w:line="360" w:lineRule="auto"/>
        <w:jc w:val="both"/>
        <w:rPr>
          <w:color w:val="000000"/>
        </w:rPr>
      </w:pPr>
    </w:p>
    <w:tbl>
      <w:tblPr>
        <w:tblStyle w:val="TableGrid"/>
        <w:tblW w:w="0" w:type="auto"/>
        <w:tblLook w:val="04A0" w:firstRow="1" w:lastRow="0" w:firstColumn="1" w:lastColumn="0" w:noHBand="0" w:noVBand="1"/>
      </w:tblPr>
      <w:tblGrid>
        <w:gridCol w:w="3020"/>
        <w:gridCol w:w="1511"/>
        <w:gridCol w:w="4530"/>
      </w:tblGrid>
      <w:tr w:rsidR="002C3F2E" w:rsidRPr="00E15F99" w14:paraId="67967FDC" w14:textId="77777777" w:rsidTr="00E57027">
        <w:tc>
          <w:tcPr>
            <w:tcW w:w="3020" w:type="dxa"/>
            <w:vMerge w:val="restart"/>
          </w:tcPr>
          <w:p w14:paraId="6E25EE50" w14:textId="1A5E5919" w:rsidR="002C3F2E" w:rsidRPr="00E15F99" w:rsidRDefault="002C3F2E" w:rsidP="00E15F99">
            <w:pPr>
              <w:pStyle w:val="ti-grseq-1"/>
              <w:spacing w:before="0" w:beforeAutospacing="0" w:after="0" w:afterAutospacing="0" w:line="360" w:lineRule="auto"/>
              <w:jc w:val="both"/>
              <w:rPr>
                <w:b/>
                <w:bCs/>
                <w:color w:val="000000"/>
              </w:rPr>
            </w:pPr>
            <w:proofErr w:type="spellStart"/>
            <w:r w:rsidRPr="00E15F99">
              <w:t>Heksahlorcikloheksāni</w:t>
            </w:r>
            <w:proofErr w:type="spellEnd"/>
            <w:r w:rsidRPr="00E15F99">
              <w:t xml:space="preserve"> (HCH) (CAS: 608-73-1), ieskaitot </w:t>
            </w:r>
            <w:proofErr w:type="spellStart"/>
            <w:r w:rsidRPr="00E15F99">
              <w:t>lindānu</w:t>
            </w:r>
            <w:proofErr w:type="spellEnd"/>
            <w:r w:rsidRPr="00E15F99">
              <w:t xml:space="preserve"> (CAS: 58-89-9</w:t>
            </w:r>
          </w:p>
        </w:tc>
        <w:tc>
          <w:tcPr>
            <w:tcW w:w="1511" w:type="dxa"/>
          </w:tcPr>
          <w:p w14:paraId="40346D32" w14:textId="77777777" w:rsidR="002C3F2E" w:rsidRPr="00E15F99" w:rsidRDefault="002C3F2E" w:rsidP="00E15F99">
            <w:pPr>
              <w:pStyle w:val="ti-grseq-1"/>
              <w:spacing w:before="0" w:beforeAutospacing="0" w:after="0" w:afterAutospacing="0" w:line="360" w:lineRule="auto"/>
              <w:jc w:val="both"/>
              <w:rPr>
                <w:b/>
                <w:bCs/>
                <w:color w:val="000000"/>
              </w:rPr>
            </w:pPr>
            <w:r w:rsidRPr="00E15F99">
              <w:t>ražošana</w:t>
            </w:r>
          </w:p>
        </w:tc>
        <w:tc>
          <w:tcPr>
            <w:tcW w:w="4530" w:type="dxa"/>
          </w:tcPr>
          <w:p w14:paraId="364DF400" w14:textId="77777777" w:rsidR="002C3F2E" w:rsidRPr="00E15F99" w:rsidRDefault="002C3F2E" w:rsidP="00E15F99">
            <w:pPr>
              <w:pStyle w:val="ti-grseq-1"/>
              <w:spacing w:before="0" w:beforeAutospacing="0" w:after="0" w:afterAutospacing="0" w:line="360" w:lineRule="auto"/>
              <w:jc w:val="both"/>
              <w:rPr>
                <w:b/>
                <w:bCs/>
                <w:color w:val="000000"/>
              </w:rPr>
            </w:pPr>
            <w:r w:rsidRPr="00E15F99">
              <w:t>Netiek izvirzīti</w:t>
            </w:r>
          </w:p>
        </w:tc>
      </w:tr>
      <w:tr w:rsidR="002C3F2E" w:rsidRPr="00E15F99" w14:paraId="40294343" w14:textId="77777777" w:rsidTr="00E57027">
        <w:tc>
          <w:tcPr>
            <w:tcW w:w="3020" w:type="dxa"/>
            <w:vMerge/>
          </w:tcPr>
          <w:p w14:paraId="13B40F4A" w14:textId="77777777" w:rsidR="002C3F2E" w:rsidRPr="00E15F99" w:rsidRDefault="002C3F2E" w:rsidP="00E15F99">
            <w:pPr>
              <w:pStyle w:val="ti-grseq-1"/>
              <w:spacing w:before="0" w:beforeAutospacing="0" w:after="0" w:afterAutospacing="0" w:line="360" w:lineRule="auto"/>
              <w:jc w:val="both"/>
              <w:rPr>
                <w:b/>
                <w:bCs/>
                <w:color w:val="000000"/>
              </w:rPr>
            </w:pPr>
          </w:p>
        </w:tc>
        <w:tc>
          <w:tcPr>
            <w:tcW w:w="1511" w:type="dxa"/>
          </w:tcPr>
          <w:p w14:paraId="7DBB40BA" w14:textId="77777777" w:rsidR="002C3F2E" w:rsidRPr="00E15F99" w:rsidRDefault="002C3F2E" w:rsidP="00E15F99">
            <w:pPr>
              <w:pStyle w:val="ti-grseq-1"/>
              <w:spacing w:before="0" w:beforeAutospacing="0" w:after="0" w:afterAutospacing="0" w:line="360" w:lineRule="auto"/>
              <w:jc w:val="both"/>
              <w:rPr>
                <w:b/>
                <w:bCs/>
                <w:color w:val="000000"/>
              </w:rPr>
            </w:pPr>
            <w:r w:rsidRPr="00E15F99">
              <w:t>izmantošana</w:t>
            </w:r>
          </w:p>
        </w:tc>
        <w:tc>
          <w:tcPr>
            <w:tcW w:w="4530" w:type="dxa"/>
          </w:tcPr>
          <w:p w14:paraId="13AF1E47" w14:textId="70592216"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Netiek izvirzīti, izņemot attiecībā uz HCH gamma-izomēru (</w:t>
            </w:r>
            <w:proofErr w:type="spellStart"/>
            <w:r w:rsidRPr="00E15F99">
              <w:rPr>
                <w:color w:val="000000"/>
              </w:rPr>
              <w:t>lindāns</w:t>
            </w:r>
            <w:proofErr w:type="spellEnd"/>
            <w:r w:rsidRPr="00E15F99">
              <w:rPr>
                <w:color w:val="000000"/>
              </w:rPr>
              <w:t>), ko izmanto par lokālas iedarbības insekticīdu sabiedrības veselības aizsardzības mērķiem. Šādu izmantojumu atkārtoti izvērtē saskaņā ar šo protokolu 2012. gadā vai vienu gadu pēc tam, kad labojums stājies spēkā (izvēlas termiņu, kurš iestājas vēlāk).</w:t>
            </w:r>
          </w:p>
        </w:tc>
      </w:tr>
    </w:tbl>
    <w:p w14:paraId="4D8C1E96" w14:textId="57B4EA2A" w:rsidR="002C3F2E" w:rsidRPr="00E15F99" w:rsidRDefault="002C3F2E" w:rsidP="00E15F99">
      <w:pPr>
        <w:pStyle w:val="ti-grseq-1"/>
        <w:shd w:val="clear" w:color="auto" w:fill="FFFFFF"/>
        <w:spacing w:before="0" w:beforeAutospacing="0" w:after="0" w:afterAutospacing="0" w:line="360" w:lineRule="auto"/>
        <w:jc w:val="both"/>
        <w:rPr>
          <w:color w:val="000000"/>
        </w:rPr>
      </w:pPr>
    </w:p>
    <w:tbl>
      <w:tblPr>
        <w:tblStyle w:val="TableGrid"/>
        <w:tblW w:w="0" w:type="auto"/>
        <w:tblLook w:val="04A0" w:firstRow="1" w:lastRow="0" w:firstColumn="1" w:lastColumn="0" w:noHBand="0" w:noVBand="1"/>
      </w:tblPr>
      <w:tblGrid>
        <w:gridCol w:w="3020"/>
        <w:gridCol w:w="1511"/>
        <w:gridCol w:w="4530"/>
      </w:tblGrid>
      <w:tr w:rsidR="002C3F2E" w:rsidRPr="00E15F99" w14:paraId="71C31840" w14:textId="77777777" w:rsidTr="00E57027">
        <w:tc>
          <w:tcPr>
            <w:tcW w:w="3020" w:type="dxa"/>
            <w:vMerge w:val="restart"/>
          </w:tcPr>
          <w:p w14:paraId="4C0BBEDB" w14:textId="12A64C67" w:rsidR="002C3F2E" w:rsidRPr="00E15F99" w:rsidRDefault="002C3F2E" w:rsidP="00E15F99">
            <w:pPr>
              <w:pStyle w:val="ti-grseq-1"/>
              <w:spacing w:before="0" w:beforeAutospacing="0" w:after="0" w:afterAutospacing="0" w:line="360" w:lineRule="auto"/>
              <w:jc w:val="both"/>
              <w:rPr>
                <w:color w:val="000000"/>
              </w:rPr>
            </w:pPr>
            <w:proofErr w:type="spellStart"/>
            <w:r w:rsidRPr="00E15F99">
              <w:rPr>
                <w:color w:val="000000"/>
              </w:rPr>
              <w:t>Heksabromdifenilēteris</w:t>
            </w:r>
            <w:r w:rsidR="00D61E12" w:rsidRPr="00D61E12">
              <w:rPr>
                <w:color w:val="000000"/>
                <w:vertAlign w:val="superscript"/>
              </w:rPr>
              <w:t>a</w:t>
            </w:r>
            <w:proofErr w:type="spellEnd"/>
            <w:r w:rsidR="00D61E12" w:rsidRPr="00D61E12">
              <w:rPr>
                <w:color w:val="000000"/>
                <w:vertAlign w:val="superscript"/>
              </w:rPr>
              <w:t>/</w:t>
            </w:r>
            <w:r w:rsidRPr="00E15F99">
              <w:rPr>
                <w:color w:val="000000"/>
              </w:rPr>
              <w:t xml:space="preserve"> un </w:t>
            </w:r>
            <w:proofErr w:type="spellStart"/>
            <w:r w:rsidRPr="00E15F99">
              <w:rPr>
                <w:color w:val="000000"/>
              </w:rPr>
              <w:t>heptabromdifenilēteris</w:t>
            </w:r>
            <w:r w:rsidR="00D61E12" w:rsidRPr="00D61E12">
              <w:rPr>
                <w:color w:val="000000"/>
                <w:vertAlign w:val="superscript"/>
              </w:rPr>
              <w:t>a</w:t>
            </w:r>
            <w:proofErr w:type="spellEnd"/>
            <w:r w:rsidR="00D61E12" w:rsidRPr="00D61E12">
              <w:rPr>
                <w:color w:val="000000"/>
                <w:vertAlign w:val="superscript"/>
              </w:rPr>
              <w:t>/</w:t>
            </w:r>
          </w:p>
        </w:tc>
        <w:tc>
          <w:tcPr>
            <w:tcW w:w="1511" w:type="dxa"/>
          </w:tcPr>
          <w:p w14:paraId="79A5C720" w14:textId="77777777" w:rsidR="002C3F2E" w:rsidRPr="00E15F99" w:rsidRDefault="002C3F2E" w:rsidP="00E15F99">
            <w:pPr>
              <w:pStyle w:val="ti-grseq-1"/>
              <w:spacing w:before="0" w:beforeAutospacing="0" w:after="0" w:afterAutospacing="0" w:line="360" w:lineRule="auto"/>
              <w:jc w:val="both"/>
              <w:rPr>
                <w:b/>
                <w:bCs/>
                <w:color w:val="000000"/>
              </w:rPr>
            </w:pPr>
            <w:r w:rsidRPr="00E15F99">
              <w:t>ražošana</w:t>
            </w:r>
          </w:p>
        </w:tc>
        <w:tc>
          <w:tcPr>
            <w:tcW w:w="4530" w:type="dxa"/>
          </w:tcPr>
          <w:p w14:paraId="67D50238" w14:textId="77777777" w:rsidR="002C3F2E" w:rsidRPr="00E15F99" w:rsidRDefault="002C3F2E" w:rsidP="00E15F99">
            <w:pPr>
              <w:pStyle w:val="ti-grseq-1"/>
              <w:spacing w:before="0" w:beforeAutospacing="0" w:after="0" w:afterAutospacing="0" w:line="360" w:lineRule="auto"/>
              <w:jc w:val="both"/>
              <w:rPr>
                <w:b/>
                <w:bCs/>
                <w:color w:val="000000"/>
              </w:rPr>
            </w:pPr>
            <w:r w:rsidRPr="00E15F99">
              <w:t>Netiek izvirzīti</w:t>
            </w:r>
          </w:p>
        </w:tc>
      </w:tr>
      <w:tr w:rsidR="002C3F2E" w:rsidRPr="00E15F99" w14:paraId="6930BBC7" w14:textId="77777777" w:rsidTr="00E57027">
        <w:tc>
          <w:tcPr>
            <w:tcW w:w="3020" w:type="dxa"/>
            <w:vMerge/>
          </w:tcPr>
          <w:p w14:paraId="64863D65" w14:textId="77777777" w:rsidR="002C3F2E" w:rsidRPr="00E15F99" w:rsidRDefault="002C3F2E" w:rsidP="00E15F99">
            <w:pPr>
              <w:pStyle w:val="ti-grseq-1"/>
              <w:spacing w:before="0" w:beforeAutospacing="0" w:after="0" w:afterAutospacing="0" w:line="360" w:lineRule="auto"/>
              <w:jc w:val="both"/>
              <w:rPr>
                <w:b/>
                <w:bCs/>
                <w:color w:val="000000"/>
              </w:rPr>
            </w:pPr>
          </w:p>
        </w:tc>
        <w:tc>
          <w:tcPr>
            <w:tcW w:w="1511" w:type="dxa"/>
          </w:tcPr>
          <w:p w14:paraId="0CEE2622" w14:textId="77777777" w:rsidR="002C3F2E" w:rsidRPr="00E15F99" w:rsidRDefault="002C3F2E" w:rsidP="00E15F99">
            <w:pPr>
              <w:pStyle w:val="ti-grseq-1"/>
              <w:spacing w:before="0" w:beforeAutospacing="0" w:after="0" w:afterAutospacing="0" w:line="360" w:lineRule="auto"/>
              <w:jc w:val="both"/>
              <w:rPr>
                <w:b/>
                <w:bCs/>
                <w:color w:val="000000"/>
              </w:rPr>
            </w:pPr>
            <w:r w:rsidRPr="00E15F99">
              <w:t>izmantošana</w:t>
            </w:r>
          </w:p>
        </w:tc>
        <w:tc>
          <w:tcPr>
            <w:tcW w:w="4530" w:type="dxa"/>
          </w:tcPr>
          <w:p w14:paraId="4822FC94" w14:textId="37F8BD16"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1.</w:t>
            </w:r>
            <w:r w:rsidR="00AE5C64">
              <w:rPr>
                <w:color w:val="000000"/>
              </w:rPr>
              <w:t xml:space="preserve"> </w:t>
            </w:r>
            <w:r w:rsidRPr="00E15F99">
              <w:rPr>
                <w:color w:val="000000"/>
              </w:rPr>
              <w:t>Puse var atļaut tādu izstrādājumu pārstrādi, kas satur vai var saturēt kādu no minētajām vielām, un tādu izstrādājumu izmantošanu un galīgo</w:t>
            </w:r>
            <w:r w:rsidR="00AE5C64">
              <w:rPr>
                <w:color w:val="000000"/>
              </w:rPr>
              <w:t xml:space="preserve"> </w:t>
            </w:r>
            <w:r w:rsidRPr="00E15F99">
              <w:rPr>
                <w:color w:val="000000"/>
              </w:rPr>
              <w:t>likvidāciju, kas ražoti no pārstrādātiem materiāliem, kuri satur vai var saturēt kādu no minētajām vielām, ja pārstrādi un galīgo likvidāciju veic vidi saudzējošā veidā un ja minēto darbību rezultātā neviena no minētajām vielām netiek reģenerēta atkārtotai izmantošanai.</w:t>
            </w:r>
          </w:p>
          <w:p w14:paraId="2739A30C" w14:textId="6E2F951E" w:rsidR="002C3F2E" w:rsidRPr="00E15F99" w:rsidRDefault="002C3F2E" w:rsidP="00E15F99">
            <w:pPr>
              <w:pStyle w:val="ti-grseq-1"/>
              <w:spacing w:before="0" w:beforeAutospacing="0" w:after="0" w:afterAutospacing="0" w:line="360" w:lineRule="auto"/>
              <w:jc w:val="both"/>
              <w:rPr>
                <w:color w:val="000000"/>
              </w:rPr>
            </w:pPr>
            <w:r w:rsidRPr="00E15F99">
              <w:rPr>
                <w:color w:val="000000"/>
              </w:rPr>
              <w:lastRenderedPageBreak/>
              <w:t>2.</w:t>
            </w:r>
            <w:r w:rsidR="00AE5C64">
              <w:rPr>
                <w:color w:val="000000"/>
              </w:rPr>
              <w:t xml:space="preserve"> </w:t>
            </w:r>
            <w:r w:rsidRPr="00E15F99">
              <w:rPr>
                <w:color w:val="000000"/>
              </w:rPr>
              <w:t>Sākot no 2013. gada un pēc tam reizi četros gados, līdz iepriekš minētais nosacījums ir svītrots vai citādi zaudējis spēku, Izpildinstitūcija izvērtē progresu, kādu Puses panākušas attiecībā uz to galveno mērķi panākt šo vielu izskaušanu izstrādājumos, un vajadzību turpināt piemērot minēto nosacījumu, kurš jebkurā gadījumā zaudēs spēku, vēlākais, 2030. gadā.</w:t>
            </w:r>
          </w:p>
        </w:tc>
      </w:tr>
    </w:tbl>
    <w:p w14:paraId="5288254C" w14:textId="67D54C9A" w:rsidR="002C3F2E" w:rsidRPr="00E15F99" w:rsidRDefault="002C3F2E" w:rsidP="00E15F99">
      <w:pPr>
        <w:pStyle w:val="ti-grseq-1"/>
        <w:shd w:val="clear" w:color="auto" w:fill="FFFFFF"/>
        <w:spacing w:before="0" w:beforeAutospacing="0" w:after="0" w:afterAutospacing="0" w:line="360" w:lineRule="auto"/>
        <w:jc w:val="both"/>
        <w:rPr>
          <w:color w:val="000000"/>
        </w:rPr>
      </w:pPr>
    </w:p>
    <w:tbl>
      <w:tblPr>
        <w:tblStyle w:val="TableGrid"/>
        <w:tblW w:w="0" w:type="auto"/>
        <w:tblLook w:val="04A0" w:firstRow="1" w:lastRow="0" w:firstColumn="1" w:lastColumn="0" w:noHBand="0" w:noVBand="1"/>
      </w:tblPr>
      <w:tblGrid>
        <w:gridCol w:w="3020"/>
        <w:gridCol w:w="1511"/>
        <w:gridCol w:w="4530"/>
      </w:tblGrid>
      <w:tr w:rsidR="002C3F2E" w:rsidRPr="00E15F99" w14:paraId="26A41A9B" w14:textId="77777777" w:rsidTr="00E57027">
        <w:tc>
          <w:tcPr>
            <w:tcW w:w="3020" w:type="dxa"/>
            <w:vMerge w:val="restart"/>
          </w:tcPr>
          <w:p w14:paraId="049B006A" w14:textId="0B5EC6BF" w:rsidR="002C3F2E" w:rsidRPr="00E33C99" w:rsidRDefault="002C3F2E" w:rsidP="00E15F99">
            <w:pPr>
              <w:pStyle w:val="ti-grseq-1"/>
              <w:spacing w:before="0" w:beforeAutospacing="0" w:after="0" w:afterAutospacing="0" w:line="360" w:lineRule="auto"/>
              <w:jc w:val="both"/>
              <w:rPr>
                <w:color w:val="000000"/>
                <w:vertAlign w:val="superscript"/>
              </w:rPr>
            </w:pPr>
            <w:proofErr w:type="spellStart"/>
            <w:r w:rsidRPr="00E15F99">
              <w:t>Tetrabromdifenilēteris</w:t>
            </w:r>
            <w:r w:rsidR="00E33C99" w:rsidRPr="00E33C99">
              <w:rPr>
                <w:vertAlign w:val="superscript"/>
              </w:rPr>
              <w:t>b</w:t>
            </w:r>
            <w:proofErr w:type="spellEnd"/>
            <w:r w:rsidR="00E33C99" w:rsidRPr="00E33C99">
              <w:rPr>
                <w:vertAlign w:val="superscript"/>
              </w:rPr>
              <w:t>/</w:t>
            </w:r>
            <w:r w:rsidRPr="00E15F99">
              <w:t xml:space="preserve"> un </w:t>
            </w:r>
            <w:proofErr w:type="spellStart"/>
            <w:r w:rsidRPr="00E15F99">
              <w:t>pentabromdifenilēteris</w:t>
            </w:r>
            <w:r w:rsidR="00E33C99">
              <w:rPr>
                <w:vertAlign w:val="superscript"/>
              </w:rPr>
              <w:t>b</w:t>
            </w:r>
            <w:proofErr w:type="spellEnd"/>
            <w:r w:rsidR="00E33C99">
              <w:rPr>
                <w:vertAlign w:val="superscript"/>
              </w:rPr>
              <w:t>/</w:t>
            </w:r>
          </w:p>
        </w:tc>
        <w:tc>
          <w:tcPr>
            <w:tcW w:w="1511" w:type="dxa"/>
          </w:tcPr>
          <w:p w14:paraId="496B8BCB" w14:textId="77777777" w:rsidR="002C3F2E" w:rsidRPr="00E15F99" w:rsidRDefault="002C3F2E" w:rsidP="00E15F99">
            <w:pPr>
              <w:pStyle w:val="ti-grseq-1"/>
              <w:spacing w:before="0" w:beforeAutospacing="0" w:after="0" w:afterAutospacing="0" w:line="360" w:lineRule="auto"/>
              <w:jc w:val="both"/>
              <w:rPr>
                <w:b/>
                <w:bCs/>
                <w:color w:val="000000"/>
              </w:rPr>
            </w:pPr>
            <w:r w:rsidRPr="00E15F99">
              <w:t>ražošana</w:t>
            </w:r>
          </w:p>
        </w:tc>
        <w:tc>
          <w:tcPr>
            <w:tcW w:w="4530" w:type="dxa"/>
          </w:tcPr>
          <w:p w14:paraId="3DDEC7CF" w14:textId="77777777" w:rsidR="002C3F2E" w:rsidRPr="00E15F99" w:rsidRDefault="002C3F2E" w:rsidP="00E15F99">
            <w:pPr>
              <w:pStyle w:val="ti-grseq-1"/>
              <w:spacing w:before="0" w:beforeAutospacing="0" w:after="0" w:afterAutospacing="0" w:line="360" w:lineRule="auto"/>
              <w:jc w:val="both"/>
              <w:rPr>
                <w:b/>
                <w:bCs/>
                <w:color w:val="000000"/>
              </w:rPr>
            </w:pPr>
            <w:r w:rsidRPr="00E15F99">
              <w:t>Netiek izvirzīti</w:t>
            </w:r>
          </w:p>
        </w:tc>
      </w:tr>
      <w:tr w:rsidR="002C3F2E" w:rsidRPr="00E15F99" w14:paraId="0E719DBA" w14:textId="77777777" w:rsidTr="00E57027">
        <w:tc>
          <w:tcPr>
            <w:tcW w:w="3020" w:type="dxa"/>
            <w:vMerge/>
          </w:tcPr>
          <w:p w14:paraId="009D6DF3" w14:textId="77777777" w:rsidR="002C3F2E" w:rsidRPr="00E15F99" w:rsidRDefault="002C3F2E" w:rsidP="00E15F99">
            <w:pPr>
              <w:pStyle w:val="ti-grseq-1"/>
              <w:spacing w:before="0" w:beforeAutospacing="0" w:after="0" w:afterAutospacing="0" w:line="360" w:lineRule="auto"/>
              <w:jc w:val="both"/>
              <w:rPr>
                <w:b/>
                <w:bCs/>
                <w:color w:val="000000"/>
              </w:rPr>
            </w:pPr>
          </w:p>
        </w:tc>
        <w:tc>
          <w:tcPr>
            <w:tcW w:w="1511" w:type="dxa"/>
          </w:tcPr>
          <w:p w14:paraId="328FBB40" w14:textId="77777777" w:rsidR="002C3F2E" w:rsidRPr="00E15F99" w:rsidRDefault="002C3F2E" w:rsidP="00E15F99">
            <w:pPr>
              <w:pStyle w:val="ti-grseq-1"/>
              <w:spacing w:before="0" w:beforeAutospacing="0" w:after="0" w:afterAutospacing="0" w:line="360" w:lineRule="auto"/>
              <w:jc w:val="both"/>
              <w:rPr>
                <w:b/>
                <w:bCs/>
                <w:color w:val="000000"/>
              </w:rPr>
            </w:pPr>
            <w:r w:rsidRPr="00E15F99">
              <w:t>izmantošana</w:t>
            </w:r>
          </w:p>
        </w:tc>
        <w:tc>
          <w:tcPr>
            <w:tcW w:w="4530" w:type="dxa"/>
          </w:tcPr>
          <w:p w14:paraId="41E795AF" w14:textId="38FA46B8"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1.</w:t>
            </w:r>
            <w:r w:rsidR="00E33C99">
              <w:rPr>
                <w:color w:val="000000"/>
              </w:rPr>
              <w:t xml:space="preserve"> </w:t>
            </w:r>
            <w:r w:rsidRPr="00E15F99">
              <w:rPr>
                <w:color w:val="000000"/>
              </w:rPr>
              <w:t>Puse var atļaut tādu izstrādājumu pārstrādi, kas satur vai var saturēt kādu no minētajām vielām, un tādu izstrādājumu izmantošanu un galīgo likvidāciju, kas ražoti no pārstrādātiem materiāliem, kuri satur vai var saturēt kādu no minētajām vielām, ja pārstrādi un galīgo likvidāciju veic vidi saudzējošā veidā un ja minēto darbību rezultātā neviena no minētajām vielām netiek reģenerēta atkārtotai izmantošanai.</w:t>
            </w:r>
          </w:p>
          <w:p w14:paraId="1A17645A" w14:textId="0149D026"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2.</w:t>
            </w:r>
            <w:r w:rsidR="00187F80">
              <w:rPr>
                <w:color w:val="000000"/>
              </w:rPr>
              <w:t xml:space="preserve"> </w:t>
            </w:r>
            <w:r w:rsidRPr="00E15F99">
              <w:rPr>
                <w:color w:val="000000"/>
              </w:rPr>
              <w:t>Sākot no 2013. gada un pēc tam reizi četros gados, līdz iepriekš minētais nosacījums ir svītrots vai citādi zaudējis spēku, Izpildinstitūcija izvērtē progresu, kādu Puses panākušas attiecībā uz to galveno mērķi panākt šo vielu izskaušanu izstrādājumos, un vajadzību turpināt piemērot minēto nosacījumu, kurš jebkurā gadījumā zaudēs spēku, vēlākais, 2030. gadā.</w:t>
            </w:r>
          </w:p>
        </w:tc>
      </w:tr>
    </w:tbl>
    <w:p w14:paraId="7CE8A8A7" w14:textId="54F11640" w:rsidR="002C3F2E" w:rsidRPr="00E15F99" w:rsidRDefault="002C3F2E" w:rsidP="00E15F99">
      <w:pPr>
        <w:pStyle w:val="ti-grseq-1"/>
        <w:shd w:val="clear" w:color="auto" w:fill="FFFFFF"/>
        <w:spacing w:before="0" w:beforeAutospacing="0" w:after="0" w:afterAutospacing="0" w:line="360" w:lineRule="auto"/>
        <w:jc w:val="both"/>
        <w:rPr>
          <w:color w:val="000000"/>
        </w:rPr>
      </w:pPr>
    </w:p>
    <w:tbl>
      <w:tblPr>
        <w:tblStyle w:val="TableGrid"/>
        <w:tblW w:w="0" w:type="auto"/>
        <w:tblLook w:val="04A0" w:firstRow="1" w:lastRow="0" w:firstColumn="1" w:lastColumn="0" w:noHBand="0" w:noVBand="1"/>
      </w:tblPr>
      <w:tblGrid>
        <w:gridCol w:w="3020"/>
        <w:gridCol w:w="1511"/>
        <w:gridCol w:w="4530"/>
      </w:tblGrid>
      <w:tr w:rsidR="002C3F2E" w:rsidRPr="00E15F99" w14:paraId="7D2C9847" w14:textId="77777777" w:rsidTr="00E57027">
        <w:tc>
          <w:tcPr>
            <w:tcW w:w="3020" w:type="dxa"/>
            <w:vMerge w:val="restart"/>
          </w:tcPr>
          <w:p w14:paraId="75627E50" w14:textId="77777777" w:rsidR="002C3F2E" w:rsidRPr="00E15F99" w:rsidRDefault="002C3F2E" w:rsidP="00E15F99">
            <w:pPr>
              <w:pStyle w:val="tbl-txt"/>
              <w:spacing w:before="0" w:beforeAutospacing="0" w:after="0" w:afterAutospacing="0" w:line="360" w:lineRule="auto"/>
            </w:pPr>
            <w:proofErr w:type="spellStart"/>
            <w:r w:rsidRPr="00E15F99">
              <w:t>Pentahlorbenzols</w:t>
            </w:r>
            <w:proofErr w:type="spellEnd"/>
          </w:p>
          <w:p w14:paraId="6387C8DB" w14:textId="5E94B5C7" w:rsidR="002C3F2E" w:rsidRPr="00E15F99" w:rsidRDefault="002C3F2E" w:rsidP="00E15F99">
            <w:pPr>
              <w:pStyle w:val="ti-grseq-1"/>
              <w:spacing w:before="0" w:beforeAutospacing="0" w:after="0" w:afterAutospacing="0" w:line="360" w:lineRule="auto"/>
              <w:jc w:val="both"/>
              <w:rPr>
                <w:color w:val="000000"/>
              </w:rPr>
            </w:pPr>
            <w:r w:rsidRPr="00E15F99">
              <w:t>CAS: 608-93-5</w:t>
            </w:r>
          </w:p>
        </w:tc>
        <w:tc>
          <w:tcPr>
            <w:tcW w:w="1511" w:type="dxa"/>
          </w:tcPr>
          <w:p w14:paraId="6B316BE6" w14:textId="77777777" w:rsidR="002C3F2E" w:rsidRPr="00E15F99" w:rsidRDefault="002C3F2E" w:rsidP="00E15F99">
            <w:pPr>
              <w:pStyle w:val="ti-grseq-1"/>
              <w:spacing w:before="0" w:beforeAutospacing="0" w:after="0" w:afterAutospacing="0" w:line="360" w:lineRule="auto"/>
              <w:jc w:val="both"/>
              <w:rPr>
                <w:b/>
                <w:bCs/>
                <w:color w:val="000000"/>
              </w:rPr>
            </w:pPr>
            <w:r w:rsidRPr="00E15F99">
              <w:t>ražošana</w:t>
            </w:r>
          </w:p>
        </w:tc>
        <w:tc>
          <w:tcPr>
            <w:tcW w:w="4530" w:type="dxa"/>
          </w:tcPr>
          <w:p w14:paraId="6205376F" w14:textId="77777777" w:rsidR="002C3F2E" w:rsidRPr="00E15F99" w:rsidRDefault="002C3F2E" w:rsidP="00E15F99">
            <w:pPr>
              <w:pStyle w:val="ti-grseq-1"/>
              <w:spacing w:before="0" w:beforeAutospacing="0" w:after="0" w:afterAutospacing="0" w:line="360" w:lineRule="auto"/>
              <w:jc w:val="both"/>
              <w:rPr>
                <w:b/>
                <w:bCs/>
                <w:color w:val="000000"/>
              </w:rPr>
            </w:pPr>
            <w:r w:rsidRPr="00E15F99">
              <w:t>Netiek izvirzīti</w:t>
            </w:r>
          </w:p>
        </w:tc>
      </w:tr>
      <w:tr w:rsidR="002C3F2E" w:rsidRPr="00E15F99" w14:paraId="1024A38A" w14:textId="77777777" w:rsidTr="00E57027">
        <w:tc>
          <w:tcPr>
            <w:tcW w:w="3020" w:type="dxa"/>
            <w:vMerge/>
          </w:tcPr>
          <w:p w14:paraId="32DADEC5" w14:textId="77777777" w:rsidR="002C3F2E" w:rsidRPr="00E15F99" w:rsidRDefault="002C3F2E" w:rsidP="00E15F99">
            <w:pPr>
              <w:pStyle w:val="ti-grseq-1"/>
              <w:spacing w:before="0" w:beforeAutospacing="0" w:after="0" w:afterAutospacing="0" w:line="360" w:lineRule="auto"/>
              <w:jc w:val="both"/>
              <w:rPr>
                <w:b/>
                <w:bCs/>
                <w:color w:val="000000"/>
              </w:rPr>
            </w:pPr>
          </w:p>
        </w:tc>
        <w:tc>
          <w:tcPr>
            <w:tcW w:w="1511" w:type="dxa"/>
          </w:tcPr>
          <w:p w14:paraId="11A0F287" w14:textId="77777777" w:rsidR="002C3F2E" w:rsidRPr="00E15F99" w:rsidRDefault="002C3F2E" w:rsidP="00E15F99">
            <w:pPr>
              <w:pStyle w:val="ti-grseq-1"/>
              <w:spacing w:before="0" w:beforeAutospacing="0" w:after="0" w:afterAutospacing="0" w:line="360" w:lineRule="auto"/>
              <w:jc w:val="both"/>
              <w:rPr>
                <w:b/>
                <w:bCs/>
                <w:color w:val="000000"/>
              </w:rPr>
            </w:pPr>
            <w:r w:rsidRPr="00E15F99">
              <w:t>izmantošana</w:t>
            </w:r>
          </w:p>
        </w:tc>
        <w:tc>
          <w:tcPr>
            <w:tcW w:w="4530" w:type="dxa"/>
          </w:tcPr>
          <w:p w14:paraId="11875716" w14:textId="06115231" w:rsidR="002C3F2E" w:rsidRPr="00E15F99" w:rsidRDefault="002C3F2E" w:rsidP="00E15F99">
            <w:pPr>
              <w:pStyle w:val="ti-grseq-1"/>
              <w:spacing w:before="0" w:beforeAutospacing="0" w:after="0" w:afterAutospacing="0" w:line="360" w:lineRule="auto"/>
              <w:jc w:val="both"/>
              <w:rPr>
                <w:color w:val="000000"/>
              </w:rPr>
            </w:pPr>
            <w:r w:rsidRPr="00E15F99">
              <w:t>Netiek izvirzīti</w:t>
            </w:r>
          </w:p>
        </w:tc>
      </w:tr>
    </w:tbl>
    <w:p w14:paraId="3FEF89D7" w14:textId="1915773C" w:rsidR="002C3F2E" w:rsidRPr="00E15F99" w:rsidRDefault="002C3F2E" w:rsidP="00E15F99">
      <w:pPr>
        <w:pStyle w:val="ti-grseq-1"/>
        <w:shd w:val="clear" w:color="auto" w:fill="FFFFFF"/>
        <w:spacing w:before="0" w:beforeAutospacing="0" w:after="0" w:afterAutospacing="0" w:line="360" w:lineRule="auto"/>
        <w:jc w:val="both"/>
        <w:rPr>
          <w:color w:val="000000"/>
        </w:rPr>
      </w:pPr>
    </w:p>
    <w:tbl>
      <w:tblPr>
        <w:tblStyle w:val="TableGrid"/>
        <w:tblW w:w="0" w:type="auto"/>
        <w:tblLook w:val="04A0" w:firstRow="1" w:lastRow="0" w:firstColumn="1" w:lastColumn="0" w:noHBand="0" w:noVBand="1"/>
      </w:tblPr>
      <w:tblGrid>
        <w:gridCol w:w="3020"/>
        <w:gridCol w:w="1511"/>
        <w:gridCol w:w="4530"/>
      </w:tblGrid>
      <w:tr w:rsidR="002C3F2E" w:rsidRPr="00E15F99" w14:paraId="175950B5" w14:textId="77777777" w:rsidTr="00E57027">
        <w:tc>
          <w:tcPr>
            <w:tcW w:w="3020" w:type="dxa"/>
            <w:vMerge w:val="restart"/>
          </w:tcPr>
          <w:p w14:paraId="7C2BCBB8" w14:textId="540631C8" w:rsidR="002C3F2E" w:rsidRPr="00E15F99" w:rsidRDefault="002C3F2E" w:rsidP="00E15F99">
            <w:pPr>
              <w:pStyle w:val="ti-grseq-1"/>
              <w:spacing w:before="0" w:beforeAutospacing="0" w:after="0" w:afterAutospacing="0" w:line="360" w:lineRule="auto"/>
              <w:jc w:val="both"/>
              <w:rPr>
                <w:color w:val="000000"/>
              </w:rPr>
            </w:pPr>
            <w:proofErr w:type="spellStart"/>
            <w:r w:rsidRPr="00E15F99">
              <w:lastRenderedPageBreak/>
              <w:t>Perfluoroktānsulfonāts</w:t>
            </w:r>
            <w:proofErr w:type="spellEnd"/>
            <w:r w:rsidRPr="00E15F99">
              <w:t xml:space="preserve"> (PFOS)</w:t>
            </w:r>
            <w:r w:rsidR="00ED330B" w:rsidRPr="00ED330B">
              <w:rPr>
                <w:vertAlign w:val="superscript"/>
              </w:rPr>
              <w:t>c/</w:t>
            </w:r>
          </w:p>
        </w:tc>
        <w:tc>
          <w:tcPr>
            <w:tcW w:w="1511" w:type="dxa"/>
          </w:tcPr>
          <w:p w14:paraId="3733483C" w14:textId="77777777" w:rsidR="002C3F2E" w:rsidRPr="00E15F99" w:rsidRDefault="002C3F2E" w:rsidP="00E15F99">
            <w:pPr>
              <w:pStyle w:val="ti-grseq-1"/>
              <w:spacing w:before="0" w:beforeAutospacing="0" w:after="0" w:afterAutospacing="0" w:line="360" w:lineRule="auto"/>
              <w:jc w:val="both"/>
              <w:rPr>
                <w:b/>
                <w:bCs/>
                <w:color w:val="000000"/>
              </w:rPr>
            </w:pPr>
            <w:r w:rsidRPr="00E15F99">
              <w:t>ražošana</w:t>
            </w:r>
          </w:p>
        </w:tc>
        <w:tc>
          <w:tcPr>
            <w:tcW w:w="4530" w:type="dxa"/>
          </w:tcPr>
          <w:p w14:paraId="4566E483" w14:textId="1B9530F1" w:rsidR="002C3F2E" w:rsidRPr="00E15F99" w:rsidRDefault="002C3F2E" w:rsidP="00E15F99">
            <w:pPr>
              <w:pStyle w:val="ti-grseq-1"/>
              <w:spacing w:before="0" w:beforeAutospacing="0" w:after="0" w:afterAutospacing="0" w:line="360" w:lineRule="auto"/>
              <w:jc w:val="both"/>
              <w:rPr>
                <w:b/>
                <w:bCs/>
                <w:color w:val="000000"/>
              </w:rPr>
            </w:pPr>
            <w:r w:rsidRPr="00E15F99">
              <w:t>Netiek izvirzīti, izņemot attiecībā uz ražošanu a)–c) punktā un II pielikuma a)–e) punktā paredzētajam izmantojumam.</w:t>
            </w:r>
          </w:p>
        </w:tc>
      </w:tr>
      <w:tr w:rsidR="002C3F2E" w:rsidRPr="00E15F99" w14:paraId="04A1B6C8" w14:textId="77777777" w:rsidTr="00E57027">
        <w:tc>
          <w:tcPr>
            <w:tcW w:w="3020" w:type="dxa"/>
            <w:vMerge/>
          </w:tcPr>
          <w:p w14:paraId="5879DE6F" w14:textId="77777777" w:rsidR="002C3F2E" w:rsidRPr="00E15F99" w:rsidRDefault="002C3F2E" w:rsidP="00E15F99">
            <w:pPr>
              <w:pStyle w:val="ti-grseq-1"/>
              <w:spacing w:before="0" w:beforeAutospacing="0" w:after="0" w:afterAutospacing="0" w:line="360" w:lineRule="auto"/>
              <w:jc w:val="both"/>
              <w:rPr>
                <w:b/>
                <w:bCs/>
                <w:color w:val="000000"/>
              </w:rPr>
            </w:pPr>
          </w:p>
        </w:tc>
        <w:tc>
          <w:tcPr>
            <w:tcW w:w="1511" w:type="dxa"/>
          </w:tcPr>
          <w:p w14:paraId="56572862" w14:textId="77777777" w:rsidR="002C3F2E" w:rsidRPr="00E15F99" w:rsidRDefault="002C3F2E" w:rsidP="00E15F99">
            <w:pPr>
              <w:pStyle w:val="ti-grseq-1"/>
              <w:spacing w:before="0" w:beforeAutospacing="0" w:after="0" w:afterAutospacing="0" w:line="360" w:lineRule="auto"/>
              <w:jc w:val="both"/>
              <w:rPr>
                <w:b/>
                <w:bCs/>
                <w:color w:val="000000"/>
              </w:rPr>
            </w:pPr>
            <w:r w:rsidRPr="00E15F99">
              <w:t>izmantošana</w:t>
            </w:r>
          </w:p>
        </w:tc>
        <w:tc>
          <w:tcPr>
            <w:tcW w:w="4530" w:type="dxa"/>
          </w:tcPr>
          <w:p w14:paraId="2B7FD6ED" w14:textId="77777777"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Netiek izvirzīti, izņemot attiecībā turpmāk minēto izmantojumu un II pielikuma a)–e) punktā paredzētajam izmantojumam:</w:t>
            </w:r>
          </w:p>
          <w:p w14:paraId="62650621" w14:textId="259C06D7"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a)</w:t>
            </w:r>
            <w:r w:rsidR="000C33CE">
              <w:rPr>
                <w:color w:val="000000"/>
              </w:rPr>
              <w:t xml:space="preserve"> </w:t>
            </w:r>
            <w:r w:rsidRPr="00E15F99">
              <w:rPr>
                <w:color w:val="000000"/>
              </w:rPr>
              <w:t xml:space="preserve">hroma galvanizācija, hroma </w:t>
            </w:r>
            <w:proofErr w:type="spellStart"/>
            <w:r w:rsidRPr="00E15F99">
              <w:rPr>
                <w:color w:val="000000"/>
              </w:rPr>
              <w:t>anodēšana</w:t>
            </w:r>
            <w:proofErr w:type="spellEnd"/>
            <w:r w:rsidRPr="00E15F99">
              <w:rPr>
                <w:color w:val="000000"/>
              </w:rPr>
              <w:t xml:space="preserve"> un reversā kodināšana līdz 2014. gadam;</w:t>
            </w:r>
          </w:p>
          <w:p w14:paraId="58A91D7E" w14:textId="42649CB8"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b)</w:t>
            </w:r>
            <w:r w:rsidR="00037A93">
              <w:rPr>
                <w:color w:val="000000"/>
              </w:rPr>
              <w:t xml:space="preserve"> </w:t>
            </w:r>
            <w:r w:rsidRPr="00E15F99">
              <w:rPr>
                <w:color w:val="000000"/>
              </w:rPr>
              <w:t>niķeļa-</w:t>
            </w:r>
            <w:proofErr w:type="spellStart"/>
            <w:r w:rsidRPr="00E15F99">
              <w:rPr>
                <w:color w:val="000000"/>
              </w:rPr>
              <w:t>politetrafluoretilēna</w:t>
            </w:r>
            <w:proofErr w:type="spellEnd"/>
            <w:r w:rsidRPr="00E15F99">
              <w:rPr>
                <w:color w:val="000000"/>
              </w:rPr>
              <w:t xml:space="preserve"> pārklājuma veidošana bez elektriskās strāvas līdz 2014. gadam;</w:t>
            </w:r>
          </w:p>
          <w:p w14:paraId="6ADD4E20" w14:textId="0DF105E0"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c)</w:t>
            </w:r>
            <w:r w:rsidR="000C33CE">
              <w:rPr>
                <w:color w:val="000000"/>
              </w:rPr>
              <w:t xml:space="preserve"> </w:t>
            </w:r>
            <w:r w:rsidRPr="00E15F99">
              <w:rPr>
                <w:color w:val="000000"/>
              </w:rPr>
              <w:t>plastmasas pamatnes kodināšana pirms metalizācijas līdz 2014. gadam;</w:t>
            </w:r>
          </w:p>
          <w:p w14:paraId="470B1C48" w14:textId="751973DA"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d)</w:t>
            </w:r>
            <w:r w:rsidR="000C33CE">
              <w:rPr>
                <w:color w:val="000000"/>
              </w:rPr>
              <w:t xml:space="preserve"> </w:t>
            </w:r>
            <w:r w:rsidRPr="00E15F99">
              <w:rPr>
                <w:color w:val="000000"/>
              </w:rPr>
              <w:t>ugunsdzēsības putas, bet tikai tad, ja tās izgatavotas vai bija lietošanā līdz 2009. gada 18. decembrim.</w:t>
            </w:r>
          </w:p>
          <w:p w14:paraId="1048DD56" w14:textId="77777777"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Attiecībā uz ugunsdzēsības putām:</w:t>
            </w:r>
          </w:p>
          <w:p w14:paraId="565FE44A" w14:textId="45A7B676"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i)</w:t>
            </w:r>
            <w:r w:rsidR="000C33CE">
              <w:rPr>
                <w:color w:val="000000"/>
              </w:rPr>
              <w:t xml:space="preserve"> </w:t>
            </w:r>
            <w:r w:rsidRPr="00E15F99">
              <w:rPr>
                <w:color w:val="000000"/>
              </w:rPr>
              <w:t>dalībvalstīm būtu jācenšas līdz 2014. gadam izskaust ugunsdzēsības putas, kas satur PFOS un kas ir izgatavotas vai bija lietošanā līdz 2009. gada 18. decembrim, un tās 2014. gadā ziņo par progresu Izpildinstitūcijai;</w:t>
            </w:r>
          </w:p>
          <w:p w14:paraId="68B50C32" w14:textId="33415877"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ii)</w:t>
            </w:r>
            <w:r w:rsidR="000C33CE">
              <w:rPr>
                <w:color w:val="000000"/>
              </w:rPr>
              <w:t xml:space="preserve"> </w:t>
            </w:r>
            <w:r w:rsidRPr="00E15F99">
              <w:rPr>
                <w:color w:val="000000"/>
              </w:rPr>
              <w:t>pamatojoties uz dalībvalstu ziņojumiem un i) punktu, Izpildinstitūcija 2015. gadā izvērtē, vai ugunsdzēsības putām, kas satur PFOS vai kas izgatavotas vai bija lietošanā līdz 2009. gada 18. decembrim, būtu jāpiemēro papildu ierobežojumi.</w:t>
            </w:r>
          </w:p>
        </w:tc>
      </w:tr>
    </w:tbl>
    <w:p w14:paraId="678C03A6" w14:textId="3C9383CF" w:rsidR="002C3F2E" w:rsidRPr="00E15F99" w:rsidRDefault="002C3F2E" w:rsidP="00E15F99">
      <w:pPr>
        <w:pStyle w:val="ti-grseq-1"/>
        <w:shd w:val="clear" w:color="auto" w:fill="FFFFFF"/>
        <w:spacing w:before="0" w:beforeAutospacing="0" w:after="0" w:afterAutospacing="0" w:line="360" w:lineRule="auto"/>
        <w:jc w:val="both"/>
        <w:rPr>
          <w:color w:val="000000"/>
        </w:rPr>
      </w:pPr>
    </w:p>
    <w:p w14:paraId="023478D1" w14:textId="71474780" w:rsidR="002C3F2E" w:rsidRPr="00E15F99" w:rsidRDefault="002C3F2E" w:rsidP="00E15F99">
      <w:pPr>
        <w:pStyle w:val="ti-grseq-1"/>
        <w:shd w:val="clear" w:color="auto" w:fill="FFFFFF"/>
        <w:spacing w:before="0" w:beforeAutospacing="0" w:after="0" w:afterAutospacing="0" w:line="360" w:lineRule="auto"/>
        <w:jc w:val="both"/>
        <w:rPr>
          <w:color w:val="000000"/>
        </w:rPr>
      </w:pPr>
      <w:r w:rsidRPr="00E15F99">
        <w:rPr>
          <w:color w:val="000000"/>
        </w:rPr>
        <w:t xml:space="preserve">5. </w:t>
      </w:r>
      <w:r w:rsidRPr="00E15F99">
        <w:rPr>
          <w:color w:val="000000"/>
        </w:rPr>
        <w:tab/>
        <w:t>Tabulas ierakstu attiecībā uz PHB svītro un aizstāj ar šādu rindu:</w:t>
      </w:r>
    </w:p>
    <w:tbl>
      <w:tblPr>
        <w:tblStyle w:val="TableGrid"/>
        <w:tblW w:w="0" w:type="auto"/>
        <w:tblLook w:val="04A0" w:firstRow="1" w:lastRow="0" w:firstColumn="1" w:lastColumn="0" w:noHBand="0" w:noVBand="1"/>
      </w:tblPr>
      <w:tblGrid>
        <w:gridCol w:w="3020"/>
        <w:gridCol w:w="1511"/>
        <w:gridCol w:w="4530"/>
      </w:tblGrid>
      <w:tr w:rsidR="002C3F2E" w:rsidRPr="00E15F99" w14:paraId="2657B59D" w14:textId="77777777" w:rsidTr="00E57027">
        <w:tc>
          <w:tcPr>
            <w:tcW w:w="3020" w:type="dxa"/>
            <w:vMerge w:val="restart"/>
          </w:tcPr>
          <w:p w14:paraId="6440F7A1" w14:textId="22E0C1A5" w:rsidR="002C3F2E" w:rsidRPr="00E15F99" w:rsidRDefault="002C3F2E" w:rsidP="00E15F99">
            <w:pPr>
              <w:pStyle w:val="ti-grseq-1"/>
              <w:spacing w:before="0" w:beforeAutospacing="0" w:after="0" w:afterAutospacing="0" w:line="360" w:lineRule="auto"/>
              <w:jc w:val="both"/>
              <w:rPr>
                <w:color w:val="000000"/>
              </w:rPr>
            </w:pPr>
            <w:proofErr w:type="spellStart"/>
            <w:r w:rsidRPr="00E15F99">
              <w:t>Polihlorbifenili</w:t>
            </w:r>
            <w:proofErr w:type="spellEnd"/>
            <w:r w:rsidRPr="00E15F99">
              <w:t xml:space="preserve"> (PHB)</w:t>
            </w:r>
            <w:r w:rsidR="00012AB0" w:rsidRPr="00012AB0">
              <w:rPr>
                <w:vertAlign w:val="superscript"/>
              </w:rPr>
              <w:t>d/</w:t>
            </w:r>
          </w:p>
        </w:tc>
        <w:tc>
          <w:tcPr>
            <w:tcW w:w="1511" w:type="dxa"/>
          </w:tcPr>
          <w:p w14:paraId="2B68BF12" w14:textId="77777777" w:rsidR="002C3F2E" w:rsidRPr="00E15F99" w:rsidRDefault="002C3F2E" w:rsidP="00E15F99">
            <w:pPr>
              <w:pStyle w:val="ti-grseq-1"/>
              <w:spacing w:before="0" w:beforeAutospacing="0" w:after="0" w:afterAutospacing="0" w:line="360" w:lineRule="auto"/>
              <w:jc w:val="both"/>
              <w:rPr>
                <w:b/>
                <w:bCs/>
                <w:color w:val="000000"/>
              </w:rPr>
            </w:pPr>
            <w:r w:rsidRPr="00E15F99">
              <w:t>ražošana</w:t>
            </w:r>
          </w:p>
        </w:tc>
        <w:tc>
          <w:tcPr>
            <w:tcW w:w="4530" w:type="dxa"/>
          </w:tcPr>
          <w:p w14:paraId="6C76D85F" w14:textId="77777777" w:rsidR="002C3F2E" w:rsidRPr="00E15F99" w:rsidRDefault="002C3F2E" w:rsidP="00E15F99">
            <w:pPr>
              <w:pStyle w:val="ti-grseq-1"/>
              <w:spacing w:before="0" w:beforeAutospacing="0" w:after="0" w:afterAutospacing="0" w:line="360" w:lineRule="auto"/>
              <w:jc w:val="both"/>
              <w:rPr>
                <w:b/>
                <w:bCs/>
                <w:color w:val="000000"/>
              </w:rPr>
            </w:pPr>
            <w:r w:rsidRPr="00E15F99">
              <w:t>Netiek izvirzīti</w:t>
            </w:r>
          </w:p>
        </w:tc>
      </w:tr>
      <w:tr w:rsidR="002C3F2E" w:rsidRPr="00E15F99" w14:paraId="24DAE1BC" w14:textId="77777777" w:rsidTr="00E57027">
        <w:tc>
          <w:tcPr>
            <w:tcW w:w="3020" w:type="dxa"/>
            <w:vMerge/>
          </w:tcPr>
          <w:p w14:paraId="0DDF20AE" w14:textId="77777777" w:rsidR="002C3F2E" w:rsidRPr="00E15F99" w:rsidRDefault="002C3F2E" w:rsidP="00E15F99">
            <w:pPr>
              <w:pStyle w:val="ti-grseq-1"/>
              <w:spacing w:before="0" w:beforeAutospacing="0" w:after="0" w:afterAutospacing="0" w:line="360" w:lineRule="auto"/>
              <w:jc w:val="both"/>
              <w:rPr>
                <w:b/>
                <w:bCs/>
                <w:color w:val="000000"/>
              </w:rPr>
            </w:pPr>
          </w:p>
        </w:tc>
        <w:tc>
          <w:tcPr>
            <w:tcW w:w="1511" w:type="dxa"/>
          </w:tcPr>
          <w:p w14:paraId="43F5621E" w14:textId="77777777" w:rsidR="002C3F2E" w:rsidRPr="00E15F99" w:rsidRDefault="002C3F2E" w:rsidP="00E15F99">
            <w:pPr>
              <w:pStyle w:val="ti-grseq-1"/>
              <w:spacing w:before="0" w:beforeAutospacing="0" w:after="0" w:afterAutospacing="0" w:line="360" w:lineRule="auto"/>
              <w:jc w:val="both"/>
              <w:rPr>
                <w:b/>
                <w:bCs/>
                <w:color w:val="000000"/>
              </w:rPr>
            </w:pPr>
            <w:r w:rsidRPr="00E15F99">
              <w:t>izmantošana</w:t>
            </w:r>
          </w:p>
        </w:tc>
        <w:tc>
          <w:tcPr>
            <w:tcW w:w="4530" w:type="dxa"/>
          </w:tcPr>
          <w:p w14:paraId="3F07AB91" w14:textId="77777777"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Netiek izvirzīti. Attiecībā uz PHB, kas ir lietošanā īstenošanas datumā, dalībvalstis:</w:t>
            </w:r>
          </w:p>
          <w:p w14:paraId="244DBA09" w14:textId="56C971AE"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1)</w:t>
            </w:r>
            <w:r w:rsidR="00012AB0">
              <w:rPr>
                <w:color w:val="000000"/>
              </w:rPr>
              <w:t xml:space="preserve"> </w:t>
            </w:r>
            <w:r w:rsidRPr="00E15F99">
              <w:rPr>
                <w:color w:val="000000"/>
              </w:rPr>
              <w:t>apņēmīgi veic pasākumus, lai:</w:t>
            </w:r>
          </w:p>
          <w:p w14:paraId="54E6B55F" w14:textId="2FFC8EAF" w:rsidR="002C3F2E" w:rsidRPr="00E15F99" w:rsidRDefault="002E1E7C" w:rsidP="00E15F99">
            <w:pPr>
              <w:pStyle w:val="ti-grseq-1"/>
              <w:spacing w:before="0" w:beforeAutospacing="0" w:after="0" w:afterAutospacing="0" w:line="360" w:lineRule="auto"/>
              <w:jc w:val="both"/>
              <w:rPr>
                <w:color w:val="000000"/>
              </w:rPr>
            </w:pPr>
            <w:r>
              <w:rPr>
                <w:color w:val="000000"/>
              </w:rPr>
              <w:lastRenderedPageBreak/>
              <w:tab/>
            </w:r>
            <w:r w:rsidR="002C3F2E" w:rsidRPr="00E15F99">
              <w:rPr>
                <w:color w:val="000000"/>
              </w:rPr>
              <w:t>a)</w:t>
            </w:r>
            <w:r w:rsidR="00012AB0">
              <w:rPr>
                <w:color w:val="000000"/>
              </w:rPr>
              <w:t xml:space="preserve"> </w:t>
            </w:r>
            <w:r w:rsidR="002C3F2E" w:rsidRPr="00E15F99">
              <w:rPr>
                <w:color w:val="000000"/>
              </w:rPr>
              <w:t>izskaustu identificējamo PHB izmantošanu</w:t>
            </w:r>
            <w:r w:rsidR="00B076C5">
              <w:rPr>
                <w:color w:val="000000"/>
              </w:rPr>
              <w:t xml:space="preserve"> </w:t>
            </w:r>
            <w:r w:rsidR="002C3F2E" w:rsidRPr="00E15F99">
              <w:rPr>
                <w:color w:val="000000"/>
              </w:rPr>
              <w:t>aprīkojumā (t</w:t>
            </w:r>
            <w:r w:rsidR="00012AB0">
              <w:rPr>
                <w:color w:val="000000"/>
              </w:rPr>
              <w:t>.</w:t>
            </w:r>
            <w:r w:rsidR="002C3F2E" w:rsidRPr="00E15F99">
              <w:rPr>
                <w:color w:val="000000"/>
              </w:rPr>
              <w:t>i., transformatoros, kondensatoros vai citās tvertnēs, kurās uzglabā atlikušos šķidruma krājumus), kurā PHB apjoms pārsniedz 5</w:t>
            </w:r>
            <w:r w:rsidR="00B076C5">
              <w:rPr>
                <w:color w:val="000000"/>
              </w:rPr>
              <w:t> </w:t>
            </w:r>
            <w:r w:rsidR="002C3F2E" w:rsidRPr="00E15F99">
              <w:rPr>
                <w:color w:val="000000"/>
              </w:rPr>
              <w:t>dm</w:t>
            </w:r>
            <w:r w:rsidR="002C3F2E" w:rsidRPr="00D67FE5">
              <w:rPr>
                <w:color w:val="000000"/>
                <w:vertAlign w:val="superscript"/>
              </w:rPr>
              <w:t>3</w:t>
            </w:r>
            <w:r w:rsidR="002C3F2E" w:rsidRPr="00E15F99">
              <w:rPr>
                <w:color w:val="000000"/>
              </w:rPr>
              <w:t xml:space="preserve"> un PHB koncentrācija ir vismaz 0</w:t>
            </w:r>
            <w:r w:rsidR="00D96C31">
              <w:rPr>
                <w:color w:val="000000"/>
              </w:rPr>
              <w:t>.</w:t>
            </w:r>
            <w:r w:rsidR="002C3F2E" w:rsidRPr="00E15F99">
              <w:rPr>
                <w:color w:val="000000"/>
              </w:rPr>
              <w:t>05</w:t>
            </w:r>
            <w:r w:rsidR="00B076C5">
              <w:rPr>
                <w:color w:val="000000"/>
              </w:rPr>
              <w:t> </w:t>
            </w:r>
            <w:r w:rsidR="002C3F2E" w:rsidRPr="00E15F99">
              <w:rPr>
                <w:color w:val="000000"/>
              </w:rPr>
              <w:t>%,</w:t>
            </w:r>
            <w:r w:rsidR="00B076C5">
              <w:rPr>
                <w:color w:val="000000"/>
              </w:rPr>
              <w:t xml:space="preserve"> </w:t>
            </w:r>
            <w:r w:rsidR="002C3F2E" w:rsidRPr="00E15F99">
              <w:rPr>
                <w:color w:val="000000"/>
              </w:rPr>
              <w:t>– pēc iespējas drīzāk, bet, vēlākais, līdz 2010. gada 31. decembrim vai 2015. gada 31. decembrim valstīs, kuru ekonomika ir pārejas posmā;</w:t>
            </w:r>
          </w:p>
          <w:p w14:paraId="31C8F001" w14:textId="281E4CCD" w:rsidR="002C3F2E" w:rsidRPr="00E15F99" w:rsidRDefault="002E1E7C" w:rsidP="00E15F99">
            <w:pPr>
              <w:pStyle w:val="ti-grseq-1"/>
              <w:spacing w:before="0" w:beforeAutospacing="0" w:after="0" w:afterAutospacing="0" w:line="360" w:lineRule="auto"/>
              <w:jc w:val="both"/>
              <w:rPr>
                <w:color w:val="000000"/>
              </w:rPr>
            </w:pPr>
            <w:r>
              <w:rPr>
                <w:color w:val="000000"/>
              </w:rPr>
              <w:tab/>
            </w:r>
            <w:r w:rsidR="002C3F2E" w:rsidRPr="00E15F99">
              <w:rPr>
                <w:color w:val="000000"/>
              </w:rPr>
              <w:t>b)</w:t>
            </w:r>
            <w:r w:rsidR="00012AB0">
              <w:rPr>
                <w:color w:val="000000"/>
              </w:rPr>
              <w:t xml:space="preserve"> </w:t>
            </w:r>
            <w:r w:rsidR="002C3F2E" w:rsidRPr="00E15F99">
              <w:rPr>
                <w:color w:val="000000"/>
              </w:rPr>
              <w:t xml:space="preserve">vidi saudzējošā veidā iznīcinātu vai </w:t>
            </w:r>
            <w:proofErr w:type="spellStart"/>
            <w:r w:rsidR="002C3F2E" w:rsidRPr="00E15F99">
              <w:rPr>
                <w:color w:val="000000"/>
              </w:rPr>
              <w:t>dekontaminētu</w:t>
            </w:r>
            <w:proofErr w:type="spellEnd"/>
            <w:r w:rsidR="002C3F2E" w:rsidRPr="00E15F99">
              <w:rPr>
                <w:color w:val="000000"/>
              </w:rPr>
              <w:t>:</w:t>
            </w:r>
          </w:p>
          <w:p w14:paraId="04AC1ED3" w14:textId="55CFA0E2" w:rsidR="002C3F2E" w:rsidRPr="00E15F99" w:rsidRDefault="00397C5A" w:rsidP="00E15F99">
            <w:pPr>
              <w:pStyle w:val="ti-grseq-1"/>
              <w:spacing w:before="0" w:beforeAutospacing="0" w:after="0" w:afterAutospacing="0" w:line="360" w:lineRule="auto"/>
              <w:jc w:val="both"/>
              <w:rPr>
                <w:color w:val="000000"/>
              </w:rPr>
            </w:pPr>
            <w:r>
              <w:rPr>
                <w:color w:val="000000"/>
              </w:rPr>
              <w:tab/>
            </w:r>
            <w:r w:rsidRPr="00E15F99">
              <w:rPr>
                <w:color w:val="000000"/>
              </w:rPr>
              <w:t>–</w:t>
            </w:r>
            <w:r>
              <w:rPr>
                <w:color w:val="000000"/>
              </w:rPr>
              <w:t xml:space="preserve"> </w:t>
            </w:r>
            <w:r w:rsidR="002C3F2E" w:rsidRPr="00E15F99">
              <w:rPr>
                <w:color w:val="000000"/>
              </w:rPr>
              <w:t xml:space="preserve">visus šķidros PHB, kas minēti a) </w:t>
            </w:r>
            <w:r>
              <w:rPr>
                <w:color w:val="000000"/>
              </w:rPr>
              <w:tab/>
            </w:r>
            <w:r w:rsidR="002C3F2E" w:rsidRPr="00E15F99">
              <w:rPr>
                <w:color w:val="000000"/>
              </w:rPr>
              <w:t xml:space="preserve">apakšpunktā, un citus šķidros PHB </w:t>
            </w:r>
            <w:r>
              <w:rPr>
                <w:color w:val="000000"/>
              </w:rPr>
              <w:tab/>
            </w:r>
            <w:r w:rsidR="002C3F2E" w:rsidRPr="00E15F99">
              <w:rPr>
                <w:color w:val="000000"/>
              </w:rPr>
              <w:t>vismaz 0</w:t>
            </w:r>
            <w:r w:rsidR="00D96C31">
              <w:rPr>
                <w:color w:val="000000"/>
              </w:rPr>
              <w:t>.</w:t>
            </w:r>
            <w:r w:rsidR="002C3F2E" w:rsidRPr="00E15F99">
              <w:rPr>
                <w:color w:val="000000"/>
              </w:rPr>
              <w:t xml:space="preserve">005 % koncentrācijā, – pēc </w:t>
            </w:r>
            <w:r>
              <w:rPr>
                <w:color w:val="000000"/>
              </w:rPr>
              <w:tab/>
            </w:r>
            <w:r w:rsidR="002C3F2E" w:rsidRPr="00E15F99">
              <w:rPr>
                <w:color w:val="000000"/>
              </w:rPr>
              <w:t xml:space="preserve">iespējas drīzāk, bet, vēlākais, līdz </w:t>
            </w:r>
            <w:r>
              <w:rPr>
                <w:color w:val="000000"/>
              </w:rPr>
              <w:tab/>
            </w:r>
            <w:r w:rsidR="002C3F2E" w:rsidRPr="00E15F99">
              <w:rPr>
                <w:color w:val="000000"/>
              </w:rPr>
              <w:t xml:space="preserve">2015. gada 31. decembrim vai 2020. </w:t>
            </w:r>
            <w:r>
              <w:rPr>
                <w:color w:val="000000"/>
              </w:rPr>
              <w:tab/>
            </w:r>
            <w:r w:rsidR="002C3F2E" w:rsidRPr="00E15F99">
              <w:rPr>
                <w:color w:val="000000"/>
              </w:rPr>
              <w:t xml:space="preserve">gada 31. decembrim valstīs, kuru </w:t>
            </w:r>
            <w:r>
              <w:rPr>
                <w:color w:val="000000"/>
              </w:rPr>
              <w:tab/>
            </w:r>
            <w:r w:rsidR="002C3F2E" w:rsidRPr="00E15F99">
              <w:rPr>
                <w:color w:val="000000"/>
              </w:rPr>
              <w:t>ekonomika ir pārejas posmā;</w:t>
            </w:r>
          </w:p>
          <w:p w14:paraId="2B98D312" w14:textId="35AE234E" w:rsidR="002C3F2E" w:rsidRPr="00E15F99" w:rsidRDefault="002E2610" w:rsidP="00E15F99">
            <w:pPr>
              <w:pStyle w:val="ti-grseq-1"/>
              <w:spacing w:before="0" w:beforeAutospacing="0" w:after="0" w:afterAutospacing="0" w:line="360" w:lineRule="auto"/>
              <w:jc w:val="both"/>
              <w:rPr>
                <w:color w:val="000000"/>
              </w:rPr>
            </w:pPr>
            <w:r>
              <w:rPr>
                <w:color w:val="000000"/>
              </w:rPr>
              <w:tab/>
            </w:r>
            <w:r w:rsidRPr="002E2610">
              <w:rPr>
                <w:color w:val="000000"/>
              </w:rPr>
              <w:t>–</w:t>
            </w:r>
            <w:r>
              <w:rPr>
                <w:color w:val="000000"/>
              </w:rPr>
              <w:t xml:space="preserve"> </w:t>
            </w:r>
            <w:r w:rsidR="002C3F2E" w:rsidRPr="00E15F99">
              <w:rPr>
                <w:color w:val="000000"/>
              </w:rPr>
              <w:t xml:space="preserve">visus šķidros PHB, kas minēti 2) </w:t>
            </w:r>
            <w:r>
              <w:rPr>
                <w:color w:val="000000"/>
              </w:rPr>
              <w:tab/>
            </w:r>
            <w:r w:rsidR="002C3F2E" w:rsidRPr="00E15F99">
              <w:rPr>
                <w:color w:val="000000"/>
              </w:rPr>
              <w:t xml:space="preserve">punkta a) apakšpunktā, – vēlākais, </w:t>
            </w:r>
            <w:r>
              <w:rPr>
                <w:color w:val="000000"/>
              </w:rPr>
              <w:tab/>
            </w:r>
            <w:r w:rsidR="002C3F2E" w:rsidRPr="00E15F99">
              <w:rPr>
                <w:color w:val="000000"/>
              </w:rPr>
              <w:t>līdz 2029. gada 31. decembrim;</w:t>
            </w:r>
          </w:p>
          <w:p w14:paraId="3709678B" w14:textId="447504CC" w:rsidR="002C3F2E" w:rsidRPr="00E15F99" w:rsidRDefault="00EB7A4E" w:rsidP="00E15F99">
            <w:pPr>
              <w:pStyle w:val="ti-grseq-1"/>
              <w:spacing w:before="0" w:beforeAutospacing="0" w:after="0" w:afterAutospacing="0" w:line="360" w:lineRule="auto"/>
              <w:jc w:val="both"/>
              <w:rPr>
                <w:color w:val="000000"/>
              </w:rPr>
            </w:pPr>
            <w:r>
              <w:rPr>
                <w:color w:val="000000"/>
              </w:rPr>
              <w:tab/>
            </w:r>
            <w:r w:rsidR="002C3F2E" w:rsidRPr="00E15F99">
              <w:rPr>
                <w:color w:val="000000"/>
              </w:rPr>
              <w:t>c)</w:t>
            </w:r>
            <w:r w:rsidR="00012AB0">
              <w:rPr>
                <w:color w:val="000000"/>
              </w:rPr>
              <w:t xml:space="preserve"> </w:t>
            </w:r>
            <w:r w:rsidR="002C3F2E" w:rsidRPr="00E15F99">
              <w:rPr>
                <w:color w:val="000000"/>
              </w:rPr>
              <w:t xml:space="preserve">nodrošinātu 1) un 2) punkta a) apakšpunktā minētā aprīkojuma </w:t>
            </w:r>
            <w:proofErr w:type="spellStart"/>
            <w:r w:rsidR="002C3F2E" w:rsidRPr="00E15F99">
              <w:rPr>
                <w:color w:val="000000"/>
              </w:rPr>
              <w:t>dekontamināciju</w:t>
            </w:r>
            <w:proofErr w:type="spellEnd"/>
            <w:r w:rsidR="002C3F2E" w:rsidRPr="00E15F99">
              <w:rPr>
                <w:color w:val="000000"/>
              </w:rPr>
              <w:t xml:space="preserve"> vai likvidāciju vidi saudzējošā veidā;</w:t>
            </w:r>
          </w:p>
          <w:p w14:paraId="7ED622D9" w14:textId="6407AA6D"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2)</w:t>
            </w:r>
            <w:r w:rsidR="00012AB0">
              <w:rPr>
                <w:color w:val="000000"/>
              </w:rPr>
              <w:t xml:space="preserve"> </w:t>
            </w:r>
            <w:r w:rsidRPr="00E15F99">
              <w:rPr>
                <w:color w:val="000000"/>
              </w:rPr>
              <w:t>cenšas:</w:t>
            </w:r>
          </w:p>
          <w:p w14:paraId="7803D97D" w14:textId="253E67DD" w:rsidR="002C3F2E" w:rsidRPr="00E15F99" w:rsidRDefault="00EB7A4E" w:rsidP="00E15F99">
            <w:pPr>
              <w:pStyle w:val="ti-grseq-1"/>
              <w:spacing w:before="0" w:beforeAutospacing="0" w:after="0" w:afterAutospacing="0" w:line="360" w:lineRule="auto"/>
              <w:jc w:val="both"/>
              <w:rPr>
                <w:color w:val="000000"/>
              </w:rPr>
            </w:pPr>
            <w:r>
              <w:rPr>
                <w:color w:val="000000"/>
              </w:rPr>
              <w:tab/>
            </w:r>
            <w:r w:rsidR="002C3F2E" w:rsidRPr="00E15F99">
              <w:rPr>
                <w:color w:val="000000"/>
              </w:rPr>
              <w:t>a)</w:t>
            </w:r>
            <w:r w:rsidR="00012AB0">
              <w:rPr>
                <w:color w:val="000000"/>
              </w:rPr>
              <w:t xml:space="preserve"> </w:t>
            </w:r>
            <w:r w:rsidR="002C3F2E" w:rsidRPr="00E15F99">
              <w:rPr>
                <w:color w:val="000000"/>
              </w:rPr>
              <w:t>apzināt un izņemt no lietošanas aprīkojumu (piemēram, transformatorus, kondensatorus vai citas tvertnes, kurā uzglabā šķidruma krājumus), kurā PHB koncentrācija ir vismaz 0</w:t>
            </w:r>
            <w:r w:rsidR="00D96C31">
              <w:rPr>
                <w:color w:val="000000"/>
              </w:rPr>
              <w:t>.</w:t>
            </w:r>
            <w:r w:rsidR="002C3F2E" w:rsidRPr="00E15F99">
              <w:rPr>
                <w:color w:val="000000"/>
              </w:rPr>
              <w:t>005 % un apjomā pārsniedz 0</w:t>
            </w:r>
            <w:r w:rsidR="00D96C31">
              <w:rPr>
                <w:color w:val="000000"/>
              </w:rPr>
              <w:t>.</w:t>
            </w:r>
            <w:r w:rsidR="002C3F2E" w:rsidRPr="00E15F99">
              <w:rPr>
                <w:color w:val="000000"/>
              </w:rPr>
              <w:t>05 dm</w:t>
            </w:r>
            <w:r w:rsidR="002C3F2E" w:rsidRPr="00A70FAD">
              <w:rPr>
                <w:color w:val="000000"/>
                <w:vertAlign w:val="superscript"/>
              </w:rPr>
              <w:t>3</w:t>
            </w:r>
            <w:r w:rsidR="002C3F2E" w:rsidRPr="00E15F99">
              <w:rPr>
                <w:color w:val="000000"/>
              </w:rPr>
              <w:t>, – pēc iespējas drīzāk, bet, vēlākais, līdz 2025. gada 31. decembrim;</w:t>
            </w:r>
          </w:p>
          <w:p w14:paraId="20E793FB" w14:textId="71FB69B5" w:rsidR="002C3F2E" w:rsidRPr="00E15F99" w:rsidRDefault="00A70FAD" w:rsidP="00E15F99">
            <w:pPr>
              <w:pStyle w:val="ti-grseq-1"/>
              <w:spacing w:before="0" w:beforeAutospacing="0" w:after="0" w:afterAutospacing="0" w:line="360" w:lineRule="auto"/>
              <w:jc w:val="both"/>
              <w:rPr>
                <w:color w:val="000000"/>
              </w:rPr>
            </w:pPr>
            <w:r>
              <w:rPr>
                <w:color w:val="000000"/>
              </w:rPr>
              <w:lastRenderedPageBreak/>
              <w:tab/>
            </w:r>
            <w:r w:rsidR="002C3F2E" w:rsidRPr="00E15F99">
              <w:rPr>
                <w:color w:val="000000"/>
              </w:rPr>
              <w:t>b)</w:t>
            </w:r>
            <w:r w:rsidR="00012AB0">
              <w:rPr>
                <w:color w:val="000000"/>
              </w:rPr>
              <w:t xml:space="preserve"> </w:t>
            </w:r>
            <w:r w:rsidR="002C3F2E" w:rsidRPr="00E15F99">
              <w:rPr>
                <w:color w:val="000000"/>
              </w:rPr>
              <w:t>apzināt citus izstrādājumus (piemēram, kabeļu apvalkus, tepi un krāsotus priekšmetus), kas satur PHB koncentrācijā, kura ir lielāka par 0</w:t>
            </w:r>
            <w:r w:rsidR="00D96C31">
              <w:rPr>
                <w:color w:val="000000"/>
              </w:rPr>
              <w:t>.</w:t>
            </w:r>
            <w:r w:rsidR="002C3F2E" w:rsidRPr="00E15F99">
              <w:rPr>
                <w:color w:val="000000"/>
              </w:rPr>
              <w:t>005 %, un pārvaldīt tos saskaņā ar 3. panta 3. punktu;</w:t>
            </w:r>
          </w:p>
          <w:p w14:paraId="6F24B988" w14:textId="179C4B22"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3)</w:t>
            </w:r>
            <w:r w:rsidR="00012AB0">
              <w:rPr>
                <w:color w:val="000000"/>
              </w:rPr>
              <w:t xml:space="preserve"> </w:t>
            </w:r>
            <w:r w:rsidRPr="00E15F99">
              <w:rPr>
                <w:color w:val="000000"/>
              </w:rPr>
              <w:t>nodrošina, ka 1) un 2) punkta a) apakšpunktā aprakstīto aprīkojumu eksportē vai importē tikai, lai apsaimniekotu atkritumus vidi saudzējošā veidā;</w:t>
            </w:r>
          </w:p>
          <w:p w14:paraId="6EEE7CD5" w14:textId="79989921"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4)</w:t>
            </w:r>
            <w:r w:rsidR="00012AB0">
              <w:rPr>
                <w:color w:val="000000"/>
              </w:rPr>
              <w:t xml:space="preserve"> </w:t>
            </w:r>
            <w:r w:rsidRPr="00E15F99">
              <w:rPr>
                <w:color w:val="000000"/>
              </w:rPr>
              <w:t xml:space="preserve">PHB izmantojuma kontrolēšanai veicina turpmāk minēto, lai samazinātu </w:t>
            </w:r>
            <w:proofErr w:type="spellStart"/>
            <w:r w:rsidRPr="00E15F99">
              <w:rPr>
                <w:color w:val="000000"/>
              </w:rPr>
              <w:t>eksponētību</w:t>
            </w:r>
            <w:proofErr w:type="spellEnd"/>
            <w:r w:rsidRPr="00E15F99">
              <w:rPr>
                <w:color w:val="000000"/>
              </w:rPr>
              <w:t xml:space="preserve"> un risku:</w:t>
            </w:r>
          </w:p>
          <w:p w14:paraId="4E37DCE8" w14:textId="370E4D93" w:rsidR="002C3F2E" w:rsidRPr="00E15F99" w:rsidRDefault="0090554A" w:rsidP="00E15F99">
            <w:pPr>
              <w:pStyle w:val="ti-grseq-1"/>
              <w:spacing w:before="0" w:beforeAutospacing="0" w:after="0" w:afterAutospacing="0" w:line="360" w:lineRule="auto"/>
              <w:jc w:val="both"/>
              <w:rPr>
                <w:color w:val="000000"/>
              </w:rPr>
            </w:pPr>
            <w:r>
              <w:rPr>
                <w:color w:val="000000"/>
              </w:rPr>
              <w:tab/>
            </w:r>
            <w:r w:rsidR="002C3F2E" w:rsidRPr="00E15F99">
              <w:rPr>
                <w:color w:val="000000"/>
              </w:rPr>
              <w:t>a)</w:t>
            </w:r>
            <w:r w:rsidR="00012AB0">
              <w:rPr>
                <w:color w:val="000000"/>
              </w:rPr>
              <w:t xml:space="preserve"> </w:t>
            </w:r>
            <w:r w:rsidR="002C3F2E" w:rsidRPr="00E15F99">
              <w:rPr>
                <w:color w:val="000000"/>
              </w:rPr>
              <w:t>PHB izmanto tikai tādā aprīkojumā, kas nav bojāts un no kā nav iespējama noplūde, un tikai tādās vietās, kur noplūdes risku var samazināt un ātri novērst;</w:t>
            </w:r>
          </w:p>
          <w:p w14:paraId="50228EEA" w14:textId="3AC2CFAD" w:rsidR="002C3F2E" w:rsidRPr="00E15F99" w:rsidRDefault="0090554A" w:rsidP="00E15F99">
            <w:pPr>
              <w:pStyle w:val="ti-grseq-1"/>
              <w:spacing w:before="0" w:beforeAutospacing="0" w:after="0" w:afterAutospacing="0" w:line="360" w:lineRule="auto"/>
              <w:jc w:val="both"/>
              <w:rPr>
                <w:color w:val="000000"/>
              </w:rPr>
            </w:pPr>
            <w:r>
              <w:rPr>
                <w:color w:val="000000"/>
              </w:rPr>
              <w:tab/>
            </w:r>
            <w:r w:rsidR="002C3F2E" w:rsidRPr="00E15F99">
              <w:rPr>
                <w:color w:val="000000"/>
              </w:rPr>
              <w:t>b)</w:t>
            </w:r>
            <w:r w:rsidR="00012AB0">
              <w:rPr>
                <w:color w:val="000000"/>
              </w:rPr>
              <w:t xml:space="preserve"> </w:t>
            </w:r>
            <w:r w:rsidR="002C3F2E" w:rsidRPr="00E15F99">
              <w:rPr>
                <w:color w:val="000000"/>
              </w:rPr>
              <w:t>PHB neizmanto iekārtās tādās vietās, kas saistītas ar pārtikas un barības ražošanu un apstrādi;</w:t>
            </w:r>
          </w:p>
          <w:p w14:paraId="37C1E780" w14:textId="5EA6006E"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Ja PHB izmanto vietās, kurās uzturas cilvēki, tostarp skolās un slimnīcās, – veic piemērotus pasākumus ar mērķi nepieļaut elektriskus traucējumus, kuru rezultātā varētu izcelties ugunsgrēks, un regulāri pārbaudīt aprīkojumu attiecībā uz noplūdēm.</w:t>
            </w:r>
          </w:p>
        </w:tc>
      </w:tr>
    </w:tbl>
    <w:p w14:paraId="37A71FF7" w14:textId="4AB6CA9F" w:rsidR="002C3F2E" w:rsidRPr="00E15F99" w:rsidRDefault="002C3F2E" w:rsidP="00E15F99">
      <w:pPr>
        <w:pStyle w:val="ti-grseq-1"/>
        <w:shd w:val="clear" w:color="auto" w:fill="FFFFFF"/>
        <w:spacing w:before="0" w:beforeAutospacing="0" w:after="0" w:afterAutospacing="0" w:line="360" w:lineRule="auto"/>
        <w:jc w:val="both"/>
        <w:rPr>
          <w:color w:val="000000"/>
        </w:rPr>
      </w:pPr>
    </w:p>
    <w:p w14:paraId="61881A3D" w14:textId="5E84F577" w:rsidR="002C3F2E" w:rsidRPr="00E15F99" w:rsidRDefault="002C3F2E" w:rsidP="00E15F99">
      <w:pPr>
        <w:pStyle w:val="ti-grseq-1"/>
        <w:shd w:val="clear" w:color="auto" w:fill="FFFFFF"/>
        <w:spacing w:before="0" w:beforeAutospacing="0" w:after="0" w:afterAutospacing="0" w:line="360" w:lineRule="auto"/>
        <w:jc w:val="both"/>
        <w:rPr>
          <w:color w:val="000000"/>
        </w:rPr>
      </w:pPr>
      <w:r w:rsidRPr="00E15F99">
        <w:rPr>
          <w:color w:val="000000"/>
        </w:rPr>
        <w:t>6.</w:t>
      </w:r>
      <w:r w:rsidRPr="00E15F99">
        <w:rPr>
          <w:color w:val="000000"/>
        </w:rPr>
        <w:tab/>
        <w:t xml:space="preserve">Zemsvītras piezīmi </w:t>
      </w:r>
      <w:r w:rsidR="0090554A">
        <w:rPr>
          <w:color w:val="000000"/>
        </w:rPr>
        <w:t>“a/”</w:t>
      </w:r>
      <w:r w:rsidRPr="00E15F99">
        <w:rPr>
          <w:color w:val="000000"/>
        </w:rPr>
        <w:t xml:space="preserve"> I pielikuma beigās svītro.</w:t>
      </w:r>
    </w:p>
    <w:p w14:paraId="069C6BD6" w14:textId="77777777" w:rsidR="002C3F2E" w:rsidRPr="00E15F99" w:rsidRDefault="002C3F2E" w:rsidP="00E15F99">
      <w:pPr>
        <w:pStyle w:val="ti-grseq-1"/>
        <w:shd w:val="clear" w:color="auto" w:fill="FFFFFF"/>
        <w:spacing w:before="0" w:beforeAutospacing="0" w:after="0" w:afterAutospacing="0" w:line="360" w:lineRule="auto"/>
        <w:jc w:val="both"/>
        <w:rPr>
          <w:color w:val="000000"/>
        </w:rPr>
      </w:pPr>
      <w:r w:rsidRPr="00E15F99">
        <w:rPr>
          <w:color w:val="000000"/>
        </w:rPr>
        <w:t>7.</w:t>
      </w:r>
      <w:r w:rsidRPr="00E15F99">
        <w:rPr>
          <w:color w:val="000000"/>
        </w:rPr>
        <w:tab/>
        <w:t>I pielikuma beigās pievieno šādas zemsvītras piezīmes:</w:t>
      </w:r>
    </w:p>
    <w:p w14:paraId="39E19DDA" w14:textId="7856A051" w:rsidR="002C3F2E" w:rsidRPr="00E15F99" w:rsidRDefault="002C3F2E" w:rsidP="00E15F99">
      <w:pPr>
        <w:pStyle w:val="ti-grseq-1"/>
        <w:shd w:val="clear" w:color="auto" w:fill="FFFFFF"/>
        <w:spacing w:before="0" w:beforeAutospacing="0" w:after="0" w:afterAutospacing="0" w:line="360" w:lineRule="auto"/>
        <w:ind w:left="720"/>
        <w:jc w:val="both"/>
        <w:rPr>
          <w:color w:val="000000"/>
        </w:rPr>
      </w:pPr>
      <w:r w:rsidRPr="00E15F99">
        <w:rPr>
          <w:color w:val="000000"/>
        </w:rPr>
        <w:t>“</w:t>
      </w:r>
      <w:r w:rsidR="001670E1" w:rsidRPr="001670E1">
        <w:rPr>
          <w:color w:val="000000"/>
          <w:vertAlign w:val="superscript"/>
        </w:rPr>
        <w:t>a/</w:t>
      </w:r>
      <w:r w:rsidR="00D939ED">
        <w:rPr>
          <w:color w:val="000000"/>
          <w:vertAlign w:val="superscript"/>
        </w:rPr>
        <w:t xml:space="preserve"> </w:t>
      </w:r>
      <w:r w:rsidRPr="00E15F99">
        <w:rPr>
          <w:color w:val="000000"/>
        </w:rPr>
        <w:t>“</w:t>
      </w:r>
      <w:proofErr w:type="spellStart"/>
      <w:r w:rsidRPr="00E15F99">
        <w:rPr>
          <w:color w:val="000000"/>
        </w:rPr>
        <w:t>Heksabromdifenilēteris</w:t>
      </w:r>
      <w:proofErr w:type="spellEnd"/>
      <w:r w:rsidRPr="00E15F99">
        <w:rPr>
          <w:color w:val="000000"/>
        </w:rPr>
        <w:t xml:space="preserve"> un </w:t>
      </w:r>
      <w:proofErr w:type="spellStart"/>
      <w:r w:rsidRPr="00E15F99">
        <w:rPr>
          <w:color w:val="000000"/>
        </w:rPr>
        <w:t>heptabromdifenilēteris</w:t>
      </w:r>
      <w:proofErr w:type="spellEnd"/>
      <w:r w:rsidRPr="00E15F99">
        <w:rPr>
          <w:color w:val="000000"/>
        </w:rPr>
        <w:t xml:space="preserve">” ir 2,2′,4,4′,5,5′- </w:t>
      </w:r>
      <w:proofErr w:type="spellStart"/>
      <w:r w:rsidRPr="00E15F99">
        <w:rPr>
          <w:color w:val="000000"/>
        </w:rPr>
        <w:t>heksabromdifenilēteris</w:t>
      </w:r>
      <w:proofErr w:type="spellEnd"/>
      <w:r w:rsidRPr="00E15F99">
        <w:rPr>
          <w:color w:val="000000"/>
        </w:rPr>
        <w:t xml:space="preserve"> (BDE-153, CAS Nr.: 68631-49-2), 2,2′,4,4′,5,6′- </w:t>
      </w:r>
      <w:proofErr w:type="spellStart"/>
      <w:r w:rsidRPr="00E15F99">
        <w:rPr>
          <w:color w:val="000000"/>
        </w:rPr>
        <w:t>heksabromdifenilēteris</w:t>
      </w:r>
      <w:proofErr w:type="spellEnd"/>
      <w:r w:rsidRPr="00E15F99">
        <w:rPr>
          <w:color w:val="000000"/>
        </w:rPr>
        <w:t xml:space="preserve"> (BDE-154, CAS Nr.: 207122-15-4), 2,2′,3,3′,4,5′,6 </w:t>
      </w:r>
      <w:proofErr w:type="spellStart"/>
      <w:r w:rsidRPr="00E15F99">
        <w:rPr>
          <w:color w:val="000000"/>
        </w:rPr>
        <w:t>heptabromdifenilēteris</w:t>
      </w:r>
      <w:proofErr w:type="spellEnd"/>
      <w:r w:rsidRPr="00E15F99">
        <w:rPr>
          <w:color w:val="000000"/>
        </w:rPr>
        <w:t xml:space="preserve"> (BDE-175, CAS Nr.: 446255-22-7), 2,2′,3,4,4′,5′,6- </w:t>
      </w:r>
      <w:proofErr w:type="spellStart"/>
      <w:r w:rsidRPr="00E15F99">
        <w:rPr>
          <w:color w:val="000000"/>
        </w:rPr>
        <w:t>heptabromdifenilēteris</w:t>
      </w:r>
      <w:proofErr w:type="spellEnd"/>
      <w:r w:rsidRPr="00E15F99">
        <w:rPr>
          <w:color w:val="000000"/>
        </w:rPr>
        <w:t xml:space="preserve"> (BDE-183, CAS Nr.: 207122-16-5) un citi </w:t>
      </w:r>
      <w:proofErr w:type="spellStart"/>
      <w:r w:rsidRPr="00E15F99">
        <w:rPr>
          <w:color w:val="000000"/>
        </w:rPr>
        <w:t>heksa</w:t>
      </w:r>
      <w:proofErr w:type="spellEnd"/>
      <w:r w:rsidRPr="00E15F99">
        <w:rPr>
          <w:color w:val="000000"/>
        </w:rPr>
        <w:t xml:space="preserve">- un </w:t>
      </w:r>
      <w:proofErr w:type="spellStart"/>
      <w:r w:rsidRPr="00E15F99">
        <w:rPr>
          <w:color w:val="000000"/>
        </w:rPr>
        <w:t>heptabromdifenilēteri</w:t>
      </w:r>
      <w:proofErr w:type="spellEnd"/>
      <w:r w:rsidRPr="00E15F99">
        <w:rPr>
          <w:color w:val="000000"/>
        </w:rPr>
        <w:t xml:space="preserve">, kuri ir komerciāli ražotā </w:t>
      </w:r>
      <w:proofErr w:type="spellStart"/>
      <w:r w:rsidRPr="00E15F99">
        <w:rPr>
          <w:color w:val="000000"/>
        </w:rPr>
        <w:t>oktabromdifenilētera</w:t>
      </w:r>
      <w:proofErr w:type="spellEnd"/>
      <w:r w:rsidRPr="00E15F99">
        <w:rPr>
          <w:color w:val="000000"/>
        </w:rPr>
        <w:t xml:space="preserve"> sastāvā.</w:t>
      </w:r>
    </w:p>
    <w:p w14:paraId="1F717503" w14:textId="12F1E939" w:rsidR="002C3F2E" w:rsidRPr="00E15F99" w:rsidRDefault="00317350" w:rsidP="00E15F99">
      <w:pPr>
        <w:pStyle w:val="ti-grseq-1"/>
        <w:shd w:val="clear" w:color="auto" w:fill="FFFFFF"/>
        <w:spacing w:before="0" w:beforeAutospacing="0" w:after="0" w:afterAutospacing="0" w:line="360" w:lineRule="auto"/>
        <w:ind w:left="720"/>
        <w:jc w:val="both"/>
        <w:rPr>
          <w:color w:val="000000"/>
        </w:rPr>
      </w:pPr>
      <w:r w:rsidRPr="00317350">
        <w:rPr>
          <w:color w:val="000000"/>
          <w:vertAlign w:val="superscript"/>
        </w:rPr>
        <w:lastRenderedPageBreak/>
        <w:t>b/</w:t>
      </w:r>
      <w:r>
        <w:rPr>
          <w:color w:val="000000"/>
        </w:rPr>
        <w:t xml:space="preserve"> </w:t>
      </w:r>
      <w:r w:rsidR="002C3F2E" w:rsidRPr="00E15F99">
        <w:rPr>
          <w:color w:val="000000"/>
        </w:rPr>
        <w:t>“</w:t>
      </w:r>
      <w:proofErr w:type="spellStart"/>
      <w:r w:rsidR="002C3F2E" w:rsidRPr="00E15F99">
        <w:rPr>
          <w:color w:val="000000"/>
        </w:rPr>
        <w:t>Tetrabromdifenilēteris</w:t>
      </w:r>
      <w:proofErr w:type="spellEnd"/>
      <w:r w:rsidR="002C3F2E" w:rsidRPr="00E15F99">
        <w:rPr>
          <w:color w:val="000000"/>
        </w:rPr>
        <w:t xml:space="preserve"> un </w:t>
      </w:r>
      <w:proofErr w:type="spellStart"/>
      <w:r w:rsidR="002C3F2E" w:rsidRPr="00E15F99">
        <w:rPr>
          <w:color w:val="000000"/>
        </w:rPr>
        <w:t>pentabromdifenilēteris</w:t>
      </w:r>
      <w:proofErr w:type="spellEnd"/>
      <w:r w:rsidR="002C3F2E" w:rsidRPr="00E15F99">
        <w:rPr>
          <w:color w:val="000000"/>
        </w:rPr>
        <w:t xml:space="preserve">” ir 2,2′,4,4′-tetrabromdifenilēteris (BDE-47, CAS Nr.: 40088-47-9) un 2,2′,4,4′,5-pentabromdifenilēteris (BDE-99, CAS Nr.: 32534-81-9) un citi </w:t>
      </w:r>
      <w:proofErr w:type="spellStart"/>
      <w:r w:rsidR="002C3F2E" w:rsidRPr="00E15F99">
        <w:rPr>
          <w:color w:val="000000"/>
        </w:rPr>
        <w:t>tetra</w:t>
      </w:r>
      <w:proofErr w:type="spellEnd"/>
      <w:r w:rsidR="002C3F2E" w:rsidRPr="00E15F99">
        <w:rPr>
          <w:color w:val="000000"/>
        </w:rPr>
        <w:t xml:space="preserve">- un </w:t>
      </w:r>
      <w:proofErr w:type="spellStart"/>
      <w:r w:rsidR="002C3F2E" w:rsidRPr="00E15F99">
        <w:rPr>
          <w:color w:val="000000"/>
        </w:rPr>
        <w:t>pentabromdifenilēteri</w:t>
      </w:r>
      <w:proofErr w:type="spellEnd"/>
      <w:r w:rsidR="002C3F2E" w:rsidRPr="00E15F99">
        <w:rPr>
          <w:color w:val="000000"/>
        </w:rPr>
        <w:t xml:space="preserve">, kuri ir komerciāli ražotā </w:t>
      </w:r>
      <w:proofErr w:type="spellStart"/>
      <w:r w:rsidR="002C3F2E" w:rsidRPr="00E15F99">
        <w:rPr>
          <w:color w:val="000000"/>
        </w:rPr>
        <w:t>pentabromdifenilētera</w:t>
      </w:r>
      <w:proofErr w:type="spellEnd"/>
      <w:r w:rsidR="002C3F2E" w:rsidRPr="00E15F99">
        <w:rPr>
          <w:color w:val="000000"/>
        </w:rPr>
        <w:t xml:space="preserve"> sastāvā.</w:t>
      </w:r>
    </w:p>
    <w:p w14:paraId="5EA2AC22" w14:textId="525E7496" w:rsidR="002C3F2E" w:rsidRPr="00E15F99" w:rsidRDefault="00D939ED" w:rsidP="00E15F99">
      <w:pPr>
        <w:pStyle w:val="ti-grseq-1"/>
        <w:shd w:val="clear" w:color="auto" w:fill="FFFFFF"/>
        <w:spacing w:before="0" w:beforeAutospacing="0" w:after="0" w:afterAutospacing="0" w:line="360" w:lineRule="auto"/>
        <w:ind w:left="720"/>
        <w:jc w:val="both"/>
        <w:rPr>
          <w:color w:val="000000"/>
        </w:rPr>
      </w:pPr>
      <w:r w:rsidRPr="00D939ED">
        <w:rPr>
          <w:color w:val="000000"/>
          <w:vertAlign w:val="superscript"/>
        </w:rPr>
        <w:t>c/</w:t>
      </w:r>
      <w:r>
        <w:rPr>
          <w:color w:val="000000"/>
        </w:rPr>
        <w:t xml:space="preserve"> </w:t>
      </w:r>
      <w:proofErr w:type="spellStart"/>
      <w:r w:rsidR="002C3F2E" w:rsidRPr="00E15F99">
        <w:rPr>
          <w:color w:val="000000"/>
        </w:rPr>
        <w:t>Perfluoroktānsulfonāts</w:t>
      </w:r>
      <w:proofErr w:type="spellEnd"/>
      <w:r w:rsidR="002C3F2E" w:rsidRPr="00E15F99">
        <w:rPr>
          <w:color w:val="000000"/>
        </w:rPr>
        <w:t xml:space="preserve"> (PFOS) ir vielas, kuru molekulārā formula ir C8F17SO2X, kur X = OH, metāla sāls, </w:t>
      </w:r>
      <w:proofErr w:type="spellStart"/>
      <w:r w:rsidR="002C3F2E" w:rsidRPr="00E15F99">
        <w:rPr>
          <w:color w:val="000000"/>
        </w:rPr>
        <w:t>halogenīds</w:t>
      </w:r>
      <w:proofErr w:type="spellEnd"/>
      <w:r w:rsidR="002C3F2E" w:rsidRPr="00E15F99">
        <w:rPr>
          <w:color w:val="000000"/>
        </w:rPr>
        <w:t xml:space="preserve">, </w:t>
      </w:r>
      <w:proofErr w:type="spellStart"/>
      <w:r w:rsidR="002C3F2E" w:rsidRPr="00E15F99">
        <w:rPr>
          <w:color w:val="000000"/>
        </w:rPr>
        <w:t>amīds</w:t>
      </w:r>
      <w:proofErr w:type="spellEnd"/>
      <w:r w:rsidR="002C3F2E" w:rsidRPr="00E15F99">
        <w:rPr>
          <w:color w:val="000000"/>
        </w:rPr>
        <w:t xml:space="preserve"> vai cits atvasinājums, tostarp polimēri.</w:t>
      </w:r>
    </w:p>
    <w:p w14:paraId="21B28F76" w14:textId="0AD93103" w:rsidR="002C3F2E" w:rsidRPr="00E15F99" w:rsidRDefault="00D939ED" w:rsidP="00E15F99">
      <w:pPr>
        <w:pStyle w:val="ti-grseq-1"/>
        <w:shd w:val="clear" w:color="auto" w:fill="FFFFFF"/>
        <w:spacing w:before="0" w:beforeAutospacing="0" w:after="0" w:afterAutospacing="0" w:line="360" w:lineRule="auto"/>
        <w:ind w:left="720"/>
        <w:jc w:val="both"/>
        <w:rPr>
          <w:color w:val="000000"/>
        </w:rPr>
      </w:pPr>
      <w:r w:rsidRPr="00D939ED">
        <w:rPr>
          <w:color w:val="000000"/>
          <w:vertAlign w:val="superscript"/>
        </w:rPr>
        <w:t>d/</w:t>
      </w:r>
      <w:r>
        <w:rPr>
          <w:color w:val="000000"/>
        </w:rPr>
        <w:t xml:space="preserve"> </w:t>
      </w:r>
      <w:r w:rsidR="002C3F2E" w:rsidRPr="00E15F99">
        <w:rPr>
          <w:color w:val="000000"/>
        </w:rPr>
        <w:t>“</w:t>
      </w:r>
      <w:proofErr w:type="spellStart"/>
      <w:r w:rsidR="002C3F2E" w:rsidRPr="00E15F99">
        <w:rPr>
          <w:color w:val="000000"/>
        </w:rPr>
        <w:t>Polihlorbifenili</w:t>
      </w:r>
      <w:proofErr w:type="spellEnd"/>
      <w:r w:rsidR="002C3F2E" w:rsidRPr="00E15F99">
        <w:rPr>
          <w:color w:val="000000"/>
        </w:rPr>
        <w:t xml:space="preserve">” ir aromātiski savienojumi, kas veidoti tā, ka ūdeņraža atomus pie </w:t>
      </w:r>
      <w:proofErr w:type="spellStart"/>
      <w:r w:rsidR="002C3F2E" w:rsidRPr="00E15F99">
        <w:rPr>
          <w:color w:val="000000"/>
        </w:rPr>
        <w:t>bifenila</w:t>
      </w:r>
      <w:proofErr w:type="spellEnd"/>
      <w:r w:rsidR="002C3F2E" w:rsidRPr="00E15F99">
        <w:rPr>
          <w:color w:val="000000"/>
        </w:rPr>
        <w:t xml:space="preserve"> molekulas (divi benzola gredzeni saistīti ar vienu oglekļa-oglekļa saiti) var aizvietot līdz desmit hlora atomu.”</w:t>
      </w:r>
    </w:p>
    <w:p w14:paraId="549AC6B7" w14:textId="77777777" w:rsidR="008D70D8" w:rsidRPr="00E15F99" w:rsidRDefault="008D70D8" w:rsidP="00E15F99">
      <w:pPr>
        <w:shd w:val="clear" w:color="auto" w:fill="FFFFFF"/>
        <w:jc w:val="both"/>
        <w:rPr>
          <w:rFonts w:cs="Times New Roman"/>
          <w:vanish/>
          <w:color w:val="000000"/>
          <w:szCs w:val="24"/>
        </w:rPr>
      </w:pPr>
    </w:p>
    <w:p w14:paraId="5D33C06A" w14:textId="0021FED5"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G.</w:t>
      </w:r>
      <w:r w:rsidR="002C3F2E" w:rsidRPr="00E15F99">
        <w:rPr>
          <w:b/>
          <w:bCs/>
          <w:color w:val="000000"/>
        </w:rPr>
        <w:tab/>
      </w:r>
      <w:r w:rsidRPr="00E15F99">
        <w:rPr>
          <w:b/>
          <w:bCs/>
          <w:color w:val="000000"/>
        </w:rPr>
        <w:t>II pielikums</w:t>
      </w:r>
    </w:p>
    <w:p w14:paraId="3339DF9C" w14:textId="3047605D" w:rsidR="002C3F2E" w:rsidRPr="00E15F99" w:rsidRDefault="002C3F2E" w:rsidP="00E15F99">
      <w:pPr>
        <w:pStyle w:val="ti-grseq-1"/>
        <w:shd w:val="clear" w:color="auto" w:fill="FFFFFF"/>
        <w:spacing w:before="0" w:beforeAutospacing="0" w:after="0" w:afterAutospacing="0" w:line="360" w:lineRule="auto"/>
        <w:jc w:val="both"/>
        <w:rPr>
          <w:color w:val="000000"/>
        </w:rPr>
      </w:pPr>
      <w:r w:rsidRPr="00E15F99">
        <w:rPr>
          <w:color w:val="000000"/>
        </w:rPr>
        <w:t>1.</w:t>
      </w:r>
      <w:r w:rsidRPr="00E15F99">
        <w:rPr>
          <w:color w:val="000000"/>
        </w:rPr>
        <w:tab/>
        <w:t>Tabulā pēc II pielikuma pirmās daļas svītro ierakstus attiecībā uz DDT, HCH, un PHB.</w:t>
      </w:r>
    </w:p>
    <w:p w14:paraId="3D48A787" w14:textId="4D5403B3" w:rsidR="002C3F2E" w:rsidRPr="00E15F99" w:rsidRDefault="002C3F2E"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2.</w:t>
      </w:r>
      <w:r w:rsidRPr="00E15F99">
        <w:rPr>
          <w:color w:val="000000"/>
        </w:rPr>
        <w:tab/>
        <w:t>Attiecīgi alfabētiskā kārtībā sarakstā attiecībā uz turpmāk minēto vielu iekļauj šādu rindu:</w:t>
      </w:r>
    </w:p>
    <w:tbl>
      <w:tblPr>
        <w:tblStyle w:val="TableGrid"/>
        <w:tblW w:w="0" w:type="auto"/>
        <w:tblLook w:val="04A0" w:firstRow="1" w:lastRow="0" w:firstColumn="1" w:lastColumn="0" w:noHBand="0" w:noVBand="1"/>
      </w:tblPr>
      <w:tblGrid>
        <w:gridCol w:w="2547"/>
        <w:gridCol w:w="3493"/>
        <w:gridCol w:w="3021"/>
      </w:tblGrid>
      <w:tr w:rsidR="002C3F2E" w:rsidRPr="00E15F99" w14:paraId="313F9220" w14:textId="77777777" w:rsidTr="002C3F2E">
        <w:tc>
          <w:tcPr>
            <w:tcW w:w="2547" w:type="dxa"/>
            <w:vMerge w:val="restart"/>
            <w:vAlign w:val="center"/>
          </w:tcPr>
          <w:p w14:paraId="67971B34" w14:textId="6856164C" w:rsidR="002C3F2E" w:rsidRPr="00E15F99" w:rsidRDefault="002C3F2E" w:rsidP="00E15F99">
            <w:pPr>
              <w:pStyle w:val="ti-grseq-1"/>
              <w:spacing w:before="0" w:beforeAutospacing="0" w:after="0" w:afterAutospacing="0" w:line="360" w:lineRule="auto"/>
              <w:jc w:val="center"/>
              <w:rPr>
                <w:b/>
                <w:bCs/>
                <w:color w:val="000000"/>
              </w:rPr>
            </w:pPr>
            <w:r w:rsidRPr="00E15F99">
              <w:rPr>
                <w:b/>
                <w:bCs/>
                <w:color w:val="000000"/>
              </w:rPr>
              <w:t>Viela</w:t>
            </w:r>
          </w:p>
        </w:tc>
        <w:tc>
          <w:tcPr>
            <w:tcW w:w="6514" w:type="dxa"/>
            <w:gridSpan w:val="2"/>
            <w:vAlign w:val="center"/>
          </w:tcPr>
          <w:p w14:paraId="0C263803" w14:textId="1B075C58" w:rsidR="002C3F2E" w:rsidRPr="00E15F99" w:rsidRDefault="002C3F2E" w:rsidP="00E15F99">
            <w:pPr>
              <w:pStyle w:val="ti-grseq-1"/>
              <w:spacing w:before="0" w:beforeAutospacing="0" w:after="0" w:afterAutospacing="0" w:line="360" w:lineRule="auto"/>
              <w:jc w:val="center"/>
              <w:rPr>
                <w:b/>
                <w:bCs/>
                <w:color w:val="000000"/>
              </w:rPr>
            </w:pPr>
            <w:r w:rsidRPr="00E15F99">
              <w:rPr>
                <w:b/>
                <w:bCs/>
                <w:color w:val="000000"/>
              </w:rPr>
              <w:t>Īstenošanas prasības</w:t>
            </w:r>
          </w:p>
        </w:tc>
      </w:tr>
      <w:tr w:rsidR="002C3F2E" w:rsidRPr="00E15F99" w14:paraId="55B84D20" w14:textId="77777777" w:rsidTr="002C3F2E">
        <w:tc>
          <w:tcPr>
            <w:tcW w:w="2547" w:type="dxa"/>
            <w:vMerge/>
            <w:vAlign w:val="center"/>
          </w:tcPr>
          <w:p w14:paraId="6ED59097" w14:textId="77777777" w:rsidR="002C3F2E" w:rsidRPr="00E15F99" w:rsidRDefault="002C3F2E" w:rsidP="00E15F99">
            <w:pPr>
              <w:pStyle w:val="ti-grseq-1"/>
              <w:spacing w:before="0" w:beforeAutospacing="0" w:after="0" w:afterAutospacing="0" w:line="360" w:lineRule="auto"/>
              <w:jc w:val="center"/>
              <w:rPr>
                <w:b/>
                <w:bCs/>
                <w:color w:val="000000"/>
              </w:rPr>
            </w:pPr>
          </w:p>
        </w:tc>
        <w:tc>
          <w:tcPr>
            <w:tcW w:w="3493" w:type="dxa"/>
            <w:vAlign w:val="center"/>
          </w:tcPr>
          <w:p w14:paraId="1218EF30" w14:textId="31EBCB7F" w:rsidR="002C3F2E" w:rsidRPr="00E15F99" w:rsidRDefault="002C3F2E" w:rsidP="00E15F99">
            <w:pPr>
              <w:pStyle w:val="ti-grseq-1"/>
              <w:spacing w:before="0" w:beforeAutospacing="0" w:after="0" w:afterAutospacing="0" w:line="360" w:lineRule="auto"/>
              <w:jc w:val="center"/>
              <w:rPr>
                <w:b/>
                <w:bCs/>
                <w:color w:val="000000"/>
              </w:rPr>
            </w:pPr>
            <w:r w:rsidRPr="00E15F99">
              <w:rPr>
                <w:b/>
                <w:bCs/>
                <w:color w:val="000000"/>
              </w:rPr>
              <w:t>Izmantošanas ierobežojumi</w:t>
            </w:r>
          </w:p>
        </w:tc>
        <w:tc>
          <w:tcPr>
            <w:tcW w:w="3021" w:type="dxa"/>
            <w:vAlign w:val="center"/>
          </w:tcPr>
          <w:p w14:paraId="619CC181" w14:textId="27E8CAAA" w:rsidR="002C3F2E" w:rsidRPr="00E15F99" w:rsidRDefault="002C3F2E" w:rsidP="00E15F99">
            <w:pPr>
              <w:pStyle w:val="ti-grseq-1"/>
              <w:spacing w:before="0" w:beforeAutospacing="0" w:after="0" w:afterAutospacing="0" w:line="360" w:lineRule="auto"/>
              <w:jc w:val="center"/>
              <w:rPr>
                <w:b/>
                <w:bCs/>
                <w:color w:val="000000"/>
              </w:rPr>
            </w:pPr>
            <w:r w:rsidRPr="00E15F99">
              <w:rPr>
                <w:b/>
                <w:bCs/>
                <w:color w:val="000000"/>
              </w:rPr>
              <w:t>Nosacījumi</w:t>
            </w:r>
          </w:p>
        </w:tc>
      </w:tr>
      <w:tr w:rsidR="002C3F2E" w:rsidRPr="00E15F99" w14:paraId="70AF84A9" w14:textId="77777777" w:rsidTr="002C3F2E">
        <w:tc>
          <w:tcPr>
            <w:tcW w:w="2547" w:type="dxa"/>
          </w:tcPr>
          <w:p w14:paraId="1A73A79C" w14:textId="1E4051CF" w:rsidR="002C3F2E" w:rsidRPr="00E15F99" w:rsidRDefault="002C3F2E" w:rsidP="00E15F99">
            <w:pPr>
              <w:pStyle w:val="ti-grseq-1"/>
              <w:spacing w:before="0" w:beforeAutospacing="0" w:after="0" w:afterAutospacing="0" w:line="360" w:lineRule="auto"/>
              <w:jc w:val="both"/>
              <w:rPr>
                <w:color w:val="000000"/>
              </w:rPr>
            </w:pPr>
            <w:proofErr w:type="spellStart"/>
            <w:r w:rsidRPr="00E15F99">
              <w:t>Perfluoroktānsulfonāts</w:t>
            </w:r>
            <w:proofErr w:type="spellEnd"/>
            <w:r w:rsidRPr="00E15F99">
              <w:t xml:space="preserve"> (PFOS</w:t>
            </w:r>
            <w:r w:rsidR="00C708A9">
              <w:t xml:space="preserve">) </w:t>
            </w:r>
            <w:r w:rsidR="00C708A9" w:rsidRPr="00C708A9">
              <w:rPr>
                <w:vertAlign w:val="superscript"/>
              </w:rPr>
              <w:t>a/</w:t>
            </w:r>
            <w:r w:rsidR="00C708A9" w:rsidRPr="00E15F99">
              <w:rPr>
                <w:color w:val="000000"/>
              </w:rPr>
              <w:t xml:space="preserve"> </w:t>
            </w:r>
          </w:p>
        </w:tc>
        <w:tc>
          <w:tcPr>
            <w:tcW w:w="3493" w:type="dxa"/>
          </w:tcPr>
          <w:p w14:paraId="27F537E5" w14:textId="6412F067"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a)</w:t>
            </w:r>
            <w:r w:rsidR="00BD0747">
              <w:rPr>
                <w:color w:val="000000"/>
              </w:rPr>
              <w:t xml:space="preserve"> </w:t>
            </w:r>
            <w:r w:rsidRPr="00E15F99">
              <w:rPr>
                <w:color w:val="000000"/>
              </w:rPr>
              <w:t>gaismizturīgiem un gaismu neatstarojošiem pārklājumiem fotolitogrāfijas procesos;</w:t>
            </w:r>
          </w:p>
          <w:p w14:paraId="056E1B3F" w14:textId="49D955C1"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b)</w:t>
            </w:r>
            <w:r w:rsidR="00BD0747">
              <w:rPr>
                <w:color w:val="000000"/>
              </w:rPr>
              <w:t xml:space="preserve"> </w:t>
            </w:r>
            <w:r w:rsidRPr="00E15F99">
              <w:rPr>
                <w:color w:val="000000"/>
              </w:rPr>
              <w:t>fotogrāfiskajiem pārklājumiem, ko izmanto filmām, papīriem vai iespiedplatēm;</w:t>
            </w:r>
          </w:p>
          <w:p w14:paraId="6C17E533" w14:textId="0C13484A"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c)</w:t>
            </w:r>
            <w:r w:rsidR="004A13A3">
              <w:rPr>
                <w:color w:val="000000"/>
              </w:rPr>
              <w:t xml:space="preserve"> </w:t>
            </w:r>
            <w:r w:rsidRPr="00E15F99">
              <w:rPr>
                <w:color w:val="000000"/>
              </w:rPr>
              <w:t>miglas novēršanai nedekoratīviem cietā hroma (VI) pārklājumiem un mitrinātājiem, ko</w:t>
            </w:r>
            <w:r w:rsidR="00BD0747">
              <w:rPr>
                <w:color w:val="000000"/>
              </w:rPr>
              <w:t xml:space="preserve"> </w:t>
            </w:r>
            <w:r w:rsidRPr="00E15F99">
              <w:rPr>
                <w:color w:val="000000"/>
              </w:rPr>
              <w:t>izmanto kontrolētās galvanizācijas sistēmās;</w:t>
            </w:r>
          </w:p>
          <w:p w14:paraId="6BC0C0E6" w14:textId="4751C35E"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d)</w:t>
            </w:r>
            <w:r w:rsidR="00BD0747">
              <w:rPr>
                <w:color w:val="000000"/>
              </w:rPr>
              <w:t xml:space="preserve"> </w:t>
            </w:r>
            <w:r w:rsidRPr="00E15F99">
              <w:rPr>
                <w:color w:val="000000"/>
              </w:rPr>
              <w:t>aviācijā izmantojamajiem hidrauliskajiem šķidrumiem;</w:t>
            </w:r>
          </w:p>
          <w:p w14:paraId="61F1BD1F" w14:textId="4F816858"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e)</w:t>
            </w:r>
            <w:r w:rsidR="00BD0747">
              <w:rPr>
                <w:color w:val="000000"/>
              </w:rPr>
              <w:t xml:space="preserve"> </w:t>
            </w:r>
            <w:r w:rsidRPr="00E15F99">
              <w:rPr>
                <w:color w:val="000000"/>
              </w:rPr>
              <w:t xml:space="preserve">dažām medicīniskām ierīcēm (piemēram, etilēna </w:t>
            </w:r>
            <w:proofErr w:type="spellStart"/>
            <w:r w:rsidRPr="00E15F99">
              <w:rPr>
                <w:color w:val="000000"/>
              </w:rPr>
              <w:t>tetrafluoretilēna</w:t>
            </w:r>
            <w:proofErr w:type="spellEnd"/>
            <w:r w:rsidRPr="00E15F99">
              <w:rPr>
                <w:color w:val="000000"/>
              </w:rPr>
              <w:t xml:space="preserve"> (ETFE) </w:t>
            </w:r>
            <w:proofErr w:type="spellStart"/>
            <w:r w:rsidRPr="00E15F99">
              <w:rPr>
                <w:color w:val="000000"/>
              </w:rPr>
              <w:t>kopolimēra</w:t>
            </w:r>
            <w:proofErr w:type="spellEnd"/>
            <w:r w:rsidRPr="00E15F99">
              <w:rPr>
                <w:color w:val="000000"/>
              </w:rPr>
              <w:t xml:space="preserve"> slāņiem un </w:t>
            </w:r>
            <w:proofErr w:type="spellStart"/>
            <w:r w:rsidRPr="00E15F99">
              <w:rPr>
                <w:color w:val="000000"/>
              </w:rPr>
              <w:t>rentgenpozitīva</w:t>
            </w:r>
            <w:proofErr w:type="spellEnd"/>
            <w:r w:rsidRPr="00E15F99">
              <w:rPr>
                <w:color w:val="000000"/>
              </w:rPr>
              <w:t xml:space="preserve"> ETFE ieguvei, </w:t>
            </w:r>
            <w:proofErr w:type="spellStart"/>
            <w:r w:rsidRPr="00E15F99">
              <w:rPr>
                <w:color w:val="000000"/>
              </w:rPr>
              <w:t>in</w:t>
            </w:r>
            <w:proofErr w:type="spellEnd"/>
            <w:r w:rsidRPr="00E15F99">
              <w:rPr>
                <w:color w:val="000000"/>
              </w:rPr>
              <w:t xml:space="preserve"> </w:t>
            </w:r>
            <w:proofErr w:type="spellStart"/>
            <w:r w:rsidRPr="00E15F99">
              <w:rPr>
                <w:color w:val="000000"/>
              </w:rPr>
              <w:t>vitro</w:t>
            </w:r>
            <w:proofErr w:type="spellEnd"/>
            <w:r w:rsidRPr="00E15F99">
              <w:rPr>
                <w:color w:val="000000"/>
              </w:rPr>
              <w:t xml:space="preserve"> diagnostikas medicīniskajām </w:t>
            </w:r>
            <w:r w:rsidRPr="00E15F99">
              <w:rPr>
                <w:color w:val="000000"/>
              </w:rPr>
              <w:lastRenderedPageBreak/>
              <w:t>ierīcēm un CCD matricas filtriem).</w:t>
            </w:r>
          </w:p>
        </w:tc>
        <w:tc>
          <w:tcPr>
            <w:tcW w:w="3021" w:type="dxa"/>
          </w:tcPr>
          <w:p w14:paraId="47EC1130" w14:textId="77777777" w:rsidR="002C3F2E" w:rsidRPr="00E15F99" w:rsidRDefault="002C3F2E" w:rsidP="00E15F99">
            <w:pPr>
              <w:pStyle w:val="ti-grseq-1"/>
              <w:spacing w:before="0" w:beforeAutospacing="0" w:after="0" w:afterAutospacing="0" w:line="360" w:lineRule="auto"/>
              <w:jc w:val="both"/>
              <w:rPr>
                <w:color w:val="000000"/>
              </w:rPr>
            </w:pPr>
            <w:r w:rsidRPr="00E15F99">
              <w:rPr>
                <w:color w:val="000000"/>
              </w:rPr>
              <w:lastRenderedPageBreak/>
              <w:t>Tiklīdz ir pieejamas piemērotas alternatīvas, dalībvalstīm būtu jāveic pasākumi, lai minētās vielas netiktu izmantotas šādiem mērķiem.</w:t>
            </w:r>
          </w:p>
          <w:p w14:paraId="11F149F9" w14:textId="0C39D02D" w:rsidR="002C3F2E" w:rsidRPr="00E15F99" w:rsidRDefault="002C3F2E" w:rsidP="00E15F99">
            <w:pPr>
              <w:pStyle w:val="ti-grseq-1"/>
              <w:spacing w:before="0" w:beforeAutospacing="0" w:after="0" w:afterAutospacing="0" w:line="360" w:lineRule="auto"/>
              <w:jc w:val="both"/>
              <w:rPr>
                <w:color w:val="000000"/>
              </w:rPr>
            </w:pPr>
            <w:r w:rsidRPr="00E15F99">
              <w:rPr>
                <w:color w:val="000000"/>
              </w:rPr>
              <w:t>Ne vēlāk kā 2015. gadā un pēc tam reizi četros gados katra dalībvalsts, kura izmanto minētās vielas, ziņo par progresu, kas panākts attiecībā uz to izskaušanu, un iesniedz šo informāciju Izpildinstitūcijai.</w:t>
            </w:r>
            <w:r w:rsidR="00996364">
              <w:rPr>
                <w:color w:val="000000"/>
              </w:rPr>
              <w:t xml:space="preserve"> </w:t>
            </w:r>
            <w:r w:rsidRPr="00E15F99">
              <w:rPr>
                <w:color w:val="000000"/>
              </w:rPr>
              <w:t>Pamatojoties uz minētajiem ziņojumiem, izvērtē minētos izmantošanas ierobežojumus.</w:t>
            </w:r>
          </w:p>
        </w:tc>
      </w:tr>
    </w:tbl>
    <w:p w14:paraId="3360C9AB" w14:textId="0327C473" w:rsidR="002C3F2E" w:rsidRPr="00E15F99" w:rsidRDefault="00996364" w:rsidP="00E15F99">
      <w:pPr>
        <w:pStyle w:val="ti-grseq-1"/>
        <w:shd w:val="clear" w:color="auto" w:fill="FFFFFF"/>
        <w:spacing w:before="0" w:beforeAutospacing="0" w:after="0" w:afterAutospacing="0" w:line="360" w:lineRule="auto"/>
        <w:jc w:val="both"/>
        <w:rPr>
          <w:color w:val="000000"/>
        </w:rPr>
      </w:pPr>
      <w:r w:rsidRPr="00996364">
        <w:rPr>
          <w:color w:val="000000"/>
          <w:vertAlign w:val="superscript"/>
        </w:rPr>
        <w:t>a/</w:t>
      </w:r>
      <w:r w:rsidR="002E6F01" w:rsidRPr="00E15F99">
        <w:rPr>
          <w:color w:val="000000"/>
        </w:rPr>
        <w:t xml:space="preserve">  </w:t>
      </w:r>
      <w:proofErr w:type="spellStart"/>
      <w:r w:rsidR="002E6F01" w:rsidRPr="00E15F99">
        <w:rPr>
          <w:color w:val="000000"/>
        </w:rPr>
        <w:t>Perfluoroktānsulfonāts</w:t>
      </w:r>
      <w:proofErr w:type="spellEnd"/>
      <w:r w:rsidR="002E6F01" w:rsidRPr="00E15F99">
        <w:rPr>
          <w:color w:val="000000"/>
        </w:rPr>
        <w:t xml:space="preserve"> (PFOS) ir vielas, kuru molekulārā formula ir C8F17SO2X, kur X = OH, metāla sāls, </w:t>
      </w:r>
      <w:proofErr w:type="spellStart"/>
      <w:r w:rsidR="002E6F01" w:rsidRPr="00E15F99">
        <w:rPr>
          <w:color w:val="000000"/>
        </w:rPr>
        <w:t>halogenīds</w:t>
      </w:r>
      <w:proofErr w:type="spellEnd"/>
      <w:r w:rsidR="002E6F01" w:rsidRPr="00E15F99">
        <w:rPr>
          <w:color w:val="000000"/>
        </w:rPr>
        <w:t xml:space="preserve">, </w:t>
      </w:r>
      <w:proofErr w:type="spellStart"/>
      <w:r w:rsidR="002E6F01" w:rsidRPr="00E15F99">
        <w:rPr>
          <w:color w:val="000000"/>
        </w:rPr>
        <w:t>amīds</w:t>
      </w:r>
      <w:proofErr w:type="spellEnd"/>
      <w:r w:rsidR="002E6F01" w:rsidRPr="00E15F99">
        <w:rPr>
          <w:color w:val="000000"/>
        </w:rPr>
        <w:t xml:space="preserve"> vai cits atvasinājums, tostarp polimēri.</w:t>
      </w:r>
    </w:p>
    <w:p w14:paraId="7A3EC236" w14:textId="77777777" w:rsidR="002E6F01" w:rsidRPr="00E15F99" w:rsidRDefault="002E6F01" w:rsidP="00E15F99">
      <w:pPr>
        <w:pStyle w:val="ti-grseq-1"/>
        <w:shd w:val="clear" w:color="auto" w:fill="FFFFFF"/>
        <w:spacing w:before="0" w:beforeAutospacing="0" w:after="0" w:afterAutospacing="0" w:line="360" w:lineRule="auto"/>
        <w:jc w:val="both"/>
        <w:rPr>
          <w:color w:val="000000"/>
        </w:rPr>
      </w:pPr>
    </w:p>
    <w:p w14:paraId="37B816C3" w14:textId="37E891C9"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H.</w:t>
      </w:r>
      <w:r w:rsidR="002E6F01" w:rsidRPr="00E15F99">
        <w:rPr>
          <w:b/>
          <w:bCs/>
          <w:color w:val="000000"/>
        </w:rPr>
        <w:tab/>
      </w:r>
      <w:r w:rsidRPr="00E15F99">
        <w:rPr>
          <w:b/>
          <w:bCs/>
          <w:color w:val="000000"/>
        </w:rPr>
        <w:t>III pielikums</w:t>
      </w:r>
    </w:p>
    <w:p w14:paraId="40B0618B" w14:textId="474CB6A2" w:rsidR="002E6F01" w:rsidRPr="00E15F99" w:rsidRDefault="002E6F0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1.</w:t>
      </w:r>
      <w:r w:rsidRPr="00E15F99">
        <w:rPr>
          <w:color w:val="000000"/>
        </w:rPr>
        <w:tab/>
        <w:t>Tekstu zem virsraksta “Bāzes gads” attiecībā uz katru no vielām, kas norādītas III pielikumā, svītro un aizstāj ar šādu:</w:t>
      </w:r>
    </w:p>
    <w:p w14:paraId="499AEBDC" w14:textId="77777777"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“1990. vai alternatīvs gads, kas ietilpst laikposmā no 1985. līdz 1995. gadam (ieskaitot), vai valstīm, kuru ekonomika ir pārejas posmā, alternatīvs gads, kas ietilpst laikposmā no 1985. gada līdz Protokola spēkā stāšanās gadam dalībvalstij, un šo gadu minētā dalībvalsts norāda ratifikācijas, pieņemšanas, apstiprināšanas vai pievienošanās brīdī.”</w:t>
      </w:r>
    </w:p>
    <w:p w14:paraId="702D9D77" w14:textId="650735B2" w:rsidR="002E6F01" w:rsidRPr="00E15F99" w:rsidRDefault="002E6F0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2.</w:t>
      </w:r>
      <w:r w:rsidRPr="00E15F99">
        <w:rPr>
          <w:color w:val="000000"/>
        </w:rPr>
        <w:tab/>
        <w:t>Tabulas ierakstā, kas attiecas uz heksahlorbenzolu, zem vielas nosaukuma pievieno šādu tekstu: “CAS: 118-74-1”.</w:t>
      </w:r>
    </w:p>
    <w:p w14:paraId="6974DF00" w14:textId="02FA7E13"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3.</w:t>
      </w:r>
      <w:r w:rsidRPr="00E15F99">
        <w:rPr>
          <w:color w:val="000000"/>
        </w:rPr>
        <w:tab/>
        <w:t>Tabulā iekļauj ierakstu attiecībā uz PHB, tabulas beigās pievienojot šādu rindu:</w:t>
      </w:r>
    </w:p>
    <w:tbl>
      <w:tblPr>
        <w:tblStyle w:val="TableGrid"/>
        <w:tblW w:w="0" w:type="auto"/>
        <w:tblLook w:val="04A0" w:firstRow="1" w:lastRow="0" w:firstColumn="1" w:lastColumn="0" w:noHBand="0" w:noVBand="1"/>
      </w:tblPr>
      <w:tblGrid>
        <w:gridCol w:w="2405"/>
        <w:gridCol w:w="6656"/>
      </w:tblGrid>
      <w:tr w:rsidR="002E6F01" w:rsidRPr="00E15F99" w14:paraId="3DE15247" w14:textId="77777777" w:rsidTr="002E6F01">
        <w:tc>
          <w:tcPr>
            <w:tcW w:w="2405" w:type="dxa"/>
          </w:tcPr>
          <w:p w14:paraId="47A52E80" w14:textId="37A80179" w:rsidR="002E6F01" w:rsidRPr="00E15F99" w:rsidRDefault="002E6F01" w:rsidP="00E15F99">
            <w:pPr>
              <w:pStyle w:val="ti-grseq-1"/>
              <w:spacing w:before="0" w:beforeAutospacing="0" w:after="0" w:afterAutospacing="0" w:line="360" w:lineRule="auto"/>
              <w:jc w:val="both"/>
              <w:rPr>
                <w:b/>
                <w:bCs/>
                <w:color w:val="000000"/>
              </w:rPr>
            </w:pPr>
            <w:r w:rsidRPr="00E15F99">
              <w:t xml:space="preserve">PHB </w:t>
            </w:r>
            <w:r w:rsidR="003C60A0" w:rsidRPr="003C60A0">
              <w:rPr>
                <w:vertAlign w:val="superscript"/>
              </w:rPr>
              <w:t>c/</w:t>
            </w:r>
          </w:p>
        </w:tc>
        <w:tc>
          <w:tcPr>
            <w:tcW w:w="6656" w:type="dxa"/>
          </w:tcPr>
          <w:p w14:paraId="26F5C708" w14:textId="0CCC3EF9" w:rsidR="002E6F01" w:rsidRPr="00E15F99" w:rsidRDefault="002E6F01" w:rsidP="00E15F99">
            <w:pPr>
              <w:pStyle w:val="ti-grseq-1"/>
              <w:spacing w:before="0" w:beforeAutospacing="0" w:after="0" w:afterAutospacing="0" w:line="360" w:lineRule="auto"/>
              <w:jc w:val="both"/>
              <w:rPr>
                <w:b/>
                <w:bCs/>
                <w:color w:val="000000"/>
              </w:rPr>
            </w:pPr>
            <w:r w:rsidRPr="003C60A0">
              <w:rPr>
                <w:color w:val="000000"/>
              </w:rPr>
              <w:t>2005</w:t>
            </w:r>
            <w:r w:rsidRPr="00E15F99">
              <w:rPr>
                <w:color w:val="000000"/>
              </w:rPr>
              <w:t>. vai alternatīvs gads, kas ietilpst laikposmā no 1995. līdz 2010. gadam (ieskaitot), vai valstīm, kuru ekonomika ir pārejas posmā, alternatīvs gads, kas ietilpst laikposmā no 1995. gada līdz Protokola spēkā stāšanās gadam dalībvalstij, un šo gadu minētā dalībvalsts norāda ratifikācijas, pieņemšanas, apstiprināšanas vai pievienošanās brīdī.</w:t>
            </w:r>
          </w:p>
        </w:tc>
      </w:tr>
    </w:tbl>
    <w:p w14:paraId="5302D5C3" w14:textId="4AC5718B" w:rsidR="002E6F01" w:rsidRPr="00E15F99" w:rsidRDefault="002E6F01" w:rsidP="00E15F99">
      <w:pPr>
        <w:pStyle w:val="ti-grseq-1"/>
        <w:shd w:val="clear" w:color="auto" w:fill="FFFFFF"/>
        <w:spacing w:before="0" w:beforeAutospacing="0" w:after="0" w:afterAutospacing="0" w:line="360" w:lineRule="auto"/>
        <w:jc w:val="both"/>
        <w:rPr>
          <w:color w:val="000000"/>
        </w:rPr>
      </w:pPr>
    </w:p>
    <w:p w14:paraId="2BDC6459" w14:textId="2FE93416"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4.</w:t>
      </w:r>
      <w:r w:rsidRPr="00E15F99">
        <w:rPr>
          <w:color w:val="000000"/>
        </w:rPr>
        <w:tab/>
        <w:t>Pēc zemsvītras piezīmes “</w:t>
      </w:r>
      <w:r w:rsidR="00BE312B">
        <w:rPr>
          <w:color w:val="000000"/>
        </w:rPr>
        <w:t>b/</w:t>
      </w:r>
      <w:r w:rsidRPr="00E15F99">
        <w:rPr>
          <w:color w:val="000000"/>
        </w:rPr>
        <w:t>” pievieno šādu:</w:t>
      </w:r>
    </w:p>
    <w:p w14:paraId="0D4002AE" w14:textId="67C4D84B"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w:t>
      </w:r>
      <w:r w:rsidR="00BE312B" w:rsidRPr="00BE312B">
        <w:rPr>
          <w:color w:val="000000"/>
          <w:vertAlign w:val="superscript"/>
        </w:rPr>
        <w:t>c/</w:t>
      </w:r>
      <w:r w:rsidR="00BE312B">
        <w:rPr>
          <w:color w:val="000000"/>
        </w:rPr>
        <w:t xml:space="preserve"> </w:t>
      </w:r>
      <w:proofErr w:type="spellStart"/>
      <w:r w:rsidRPr="00E15F99">
        <w:rPr>
          <w:color w:val="000000"/>
        </w:rPr>
        <w:t>Polihlorbifenili</w:t>
      </w:r>
      <w:proofErr w:type="spellEnd"/>
      <w:r w:rsidRPr="00E15F99">
        <w:rPr>
          <w:color w:val="000000"/>
        </w:rPr>
        <w:t>, kā definēts I pielikumā, ja tie netīši izveidojas un izdalās no antropogēniem avotiem.”</w:t>
      </w:r>
    </w:p>
    <w:p w14:paraId="6E903D57" w14:textId="77777777" w:rsidR="008D70D8" w:rsidRPr="00E15F99" w:rsidRDefault="008D70D8" w:rsidP="00E15F99">
      <w:pPr>
        <w:shd w:val="clear" w:color="auto" w:fill="FFFFFF"/>
        <w:rPr>
          <w:rFonts w:cs="Times New Roman"/>
          <w:vanish/>
          <w:color w:val="000000"/>
          <w:szCs w:val="24"/>
        </w:rPr>
      </w:pPr>
    </w:p>
    <w:p w14:paraId="0BC6D3FB" w14:textId="02EF08D8"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I.</w:t>
      </w:r>
      <w:r w:rsidR="002E6F01" w:rsidRPr="00E15F99">
        <w:rPr>
          <w:b/>
          <w:bCs/>
          <w:color w:val="000000"/>
        </w:rPr>
        <w:tab/>
      </w:r>
      <w:r w:rsidRPr="00E15F99">
        <w:rPr>
          <w:b/>
          <w:bCs/>
          <w:color w:val="000000"/>
        </w:rPr>
        <w:t>IV pielikums</w:t>
      </w:r>
    </w:p>
    <w:p w14:paraId="7F8DE524" w14:textId="4866974A" w:rsidR="002E6F01" w:rsidRPr="00E15F99" w:rsidRDefault="002E6F0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1.</w:t>
      </w:r>
      <w:r w:rsidRPr="00E15F99">
        <w:rPr>
          <w:color w:val="000000"/>
        </w:rPr>
        <w:tab/>
        <w:t>Pielikuma 2. punktā iekavās pēc vārdiem “sausa gāze” pievieno vārdus “un pie konkrēta skābekļa satura”.</w:t>
      </w:r>
    </w:p>
    <w:p w14:paraId="019C9AB5" w14:textId="22C6D923"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2.</w:t>
      </w:r>
      <w:r w:rsidRPr="00E15F99">
        <w:rPr>
          <w:color w:val="000000"/>
        </w:rPr>
        <w:tab/>
        <w:t>Pielikuma 3. punktu svītro un aizstāj ar šādu:</w:t>
      </w:r>
    </w:p>
    <w:p w14:paraId="26B1DAB3" w14:textId="7EA149BC"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“3.</w:t>
      </w:r>
      <w:r w:rsidR="00BE312B">
        <w:rPr>
          <w:color w:val="000000"/>
        </w:rPr>
        <w:t xml:space="preserve"> </w:t>
      </w:r>
      <w:r w:rsidRPr="00E15F99">
        <w:rPr>
          <w:color w:val="000000"/>
        </w:rPr>
        <w:t>Robežvērtības attiecas uz normāliem ekspluatācijas apstākļiem. Darbību cikla gadījumā robežvērtības attiecas uz vidējo līmeni, ko reģistrē visā cikla laikā, tostarp, piemēram, uzkarsēšanas, karsēšanas un dzesēšanas posmā.”</w:t>
      </w:r>
    </w:p>
    <w:p w14:paraId="101FC64B" w14:textId="1F95208F" w:rsidR="002E6F01" w:rsidRPr="00E15F99" w:rsidRDefault="002E6F0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3.</w:t>
      </w:r>
      <w:r w:rsidRPr="00E15F99">
        <w:rPr>
          <w:color w:val="000000"/>
        </w:rPr>
        <w:tab/>
        <w:t>Pielikuma 4. punktā vārdus “Eiropas Standartizācijas komitejas (</w:t>
      </w:r>
      <w:proofErr w:type="spellStart"/>
      <w:r w:rsidRPr="00BE312B">
        <w:rPr>
          <w:i/>
          <w:iCs/>
          <w:color w:val="000000"/>
        </w:rPr>
        <w:t>Comité</w:t>
      </w:r>
      <w:proofErr w:type="spellEnd"/>
      <w:r w:rsidRPr="00BE312B">
        <w:rPr>
          <w:i/>
          <w:iCs/>
          <w:color w:val="000000"/>
        </w:rPr>
        <w:t xml:space="preserve"> </w:t>
      </w:r>
      <w:proofErr w:type="spellStart"/>
      <w:r w:rsidRPr="00BE312B">
        <w:rPr>
          <w:i/>
          <w:iCs/>
          <w:color w:val="000000"/>
        </w:rPr>
        <w:t>européen</w:t>
      </w:r>
      <w:proofErr w:type="spellEnd"/>
      <w:r w:rsidRPr="00BE312B">
        <w:rPr>
          <w:i/>
          <w:iCs/>
          <w:color w:val="000000"/>
        </w:rPr>
        <w:t xml:space="preserve"> de </w:t>
      </w:r>
      <w:proofErr w:type="spellStart"/>
      <w:r w:rsidRPr="00BE312B">
        <w:rPr>
          <w:i/>
          <w:iCs/>
          <w:color w:val="000000"/>
        </w:rPr>
        <w:t>normalisation</w:t>
      </w:r>
      <w:proofErr w:type="spellEnd"/>
      <w:r w:rsidRPr="00E15F99">
        <w:rPr>
          <w:color w:val="000000"/>
        </w:rPr>
        <w:t xml:space="preserve">, CEN) noteiktajiem normatīviem, Starptautiskās standartizācijas organizācijas (ISO)” aizstāj ar vārdiem “piemērojamiem standartiem, ko noteikusi, </w:t>
      </w:r>
      <w:r w:rsidRPr="00E15F99">
        <w:rPr>
          <w:color w:val="000000"/>
        </w:rPr>
        <w:lastRenderedPageBreak/>
        <w:t>piemēram, Eiropas Standartizācijas komiteja (</w:t>
      </w:r>
      <w:proofErr w:type="spellStart"/>
      <w:r w:rsidRPr="00073113">
        <w:rPr>
          <w:i/>
          <w:iCs/>
          <w:color w:val="000000"/>
        </w:rPr>
        <w:t>Comité</w:t>
      </w:r>
      <w:proofErr w:type="spellEnd"/>
      <w:r w:rsidRPr="00073113">
        <w:rPr>
          <w:i/>
          <w:iCs/>
          <w:color w:val="000000"/>
        </w:rPr>
        <w:t xml:space="preserve"> </w:t>
      </w:r>
      <w:proofErr w:type="spellStart"/>
      <w:r w:rsidRPr="00073113">
        <w:rPr>
          <w:i/>
          <w:iCs/>
          <w:color w:val="000000"/>
        </w:rPr>
        <w:t>européen</w:t>
      </w:r>
      <w:proofErr w:type="spellEnd"/>
      <w:r w:rsidRPr="00073113">
        <w:rPr>
          <w:i/>
          <w:iCs/>
          <w:color w:val="000000"/>
        </w:rPr>
        <w:t xml:space="preserve"> de </w:t>
      </w:r>
      <w:proofErr w:type="spellStart"/>
      <w:r w:rsidRPr="00073113">
        <w:rPr>
          <w:i/>
          <w:iCs/>
          <w:color w:val="000000"/>
        </w:rPr>
        <w:t>normalisation</w:t>
      </w:r>
      <w:proofErr w:type="spellEnd"/>
      <w:r w:rsidRPr="00E15F99">
        <w:rPr>
          <w:color w:val="000000"/>
        </w:rPr>
        <w:t>, CEN)/Starptautiskā standartizācijas organizācija (ISO)”.</w:t>
      </w:r>
    </w:p>
    <w:p w14:paraId="2E06E6BE" w14:textId="370ED282"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4.</w:t>
      </w:r>
      <w:r w:rsidRPr="00E15F99">
        <w:rPr>
          <w:color w:val="000000"/>
        </w:rPr>
        <w:tab/>
        <w:t>Pielikuma 6. punktu aizstāj ar šādu punktu un zemsvītras piezīmi:</w:t>
      </w:r>
    </w:p>
    <w:p w14:paraId="59CEC30A" w14:textId="500AED59"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“6.</w:t>
      </w:r>
      <w:r w:rsidR="00073113">
        <w:rPr>
          <w:color w:val="000000"/>
        </w:rPr>
        <w:t xml:space="preserve"> </w:t>
      </w:r>
      <w:r w:rsidRPr="00E15F99">
        <w:rPr>
          <w:color w:val="000000"/>
        </w:rPr>
        <w:t xml:space="preserve">PHDD/F emisijas ir izteiktas kā kopējais </w:t>
      </w:r>
      <w:proofErr w:type="spellStart"/>
      <w:r w:rsidRPr="00E15F99">
        <w:rPr>
          <w:color w:val="000000"/>
        </w:rPr>
        <w:t>toksicitātes</w:t>
      </w:r>
      <w:proofErr w:type="spellEnd"/>
      <w:r w:rsidRPr="00E15F99">
        <w:rPr>
          <w:color w:val="000000"/>
        </w:rPr>
        <w:t xml:space="preserve"> ekvivalents (TEQ)</w:t>
      </w:r>
      <w:r w:rsidR="00F77357" w:rsidRPr="00F77357">
        <w:rPr>
          <w:color w:val="000000"/>
          <w:vertAlign w:val="superscript"/>
        </w:rPr>
        <w:t>1/</w:t>
      </w:r>
      <w:r w:rsidRPr="00E15F99">
        <w:rPr>
          <w:color w:val="000000"/>
        </w:rPr>
        <w:t xml:space="preserve">. </w:t>
      </w:r>
      <w:proofErr w:type="spellStart"/>
      <w:r w:rsidRPr="00E15F99">
        <w:rPr>
          <w:color w:val="000000"/>
        </w:rPr>
        <w:t>Toksicitātes</w:t>
      </w:r>
      <w:proofErr w:type="spellEnd"/>
      <w:r w:rsidRPr="00E15F99">
        <w:rPr>
          <w:color w:val="000000"/>
        </w:rPr>
        <w:t xml:space="preserve"> ekvivalenta koeficienta vērtības, ko izmanto šā Protokola mērķiem, atbilst piemērojamajiem starptautiskajiem standartiem, tostarp Pasaules Veselības organizācijas 2005. gada PHDD/F </w:t>
      </w:r>
      <w:proofErr w:type="spellStart"/>
      <w:r w:rsidRPr="00E15F99">
        <w:rPr>
          <w:color w:val="000000"/>
        </w:rPr>
        <w:t>toksicitātes</w:t>
      </w:r>
      <w:proofErr w:type="spellEnd"/>
      <w:r w:rsidRPr="00E15F99">
        <w:rPr>
          <w:color w:val="000000"/>
        </w:rPr>
        <w:t xml:space="preserve"> ekvivalences koeficienta vērtībām zīdītājiem.</w:t>
      </w:r>
      <w:r w:rsidR="00610C70">
        <w:rPr>
          <w:color w:val="000000"/>
        </w:rPr>
        <w:t>”</w:t>
      </w:r>
    </w:p>
    <w:p w14:paraId="6C1D436D" w14:textId="4266D733" w:rsidR="002E6F01" w:rsidRPr="00E15F99" w:rsidRDefault="00610C70" w:rsidP="00E15F99">
      <w:pPr>
        <w:pStyle w:val="ti-grseq-1"/>
        <w:shd w:val="clear" w:color="auto" w:fill="FFFFFF"/>
        <w:spacing w:before="0" w:beforeAutospacing="0" w:after="0" w:afterAutospacing="0" w:line="360" w:lineRule="auto"/>
        <w:ind w:left="720"/>
        <w:jc w:val="both"/>
        <w:rPr>
          <w:color w:val="000000"/>
        </w:rPr>
      </w:pPr>
      <w:r>
        <w:rPr>
          <w:color w:val="000000"/>
        </w:rPr>
        <w:t>“</w:t>
      </w:r>
      <w:r w:rsidR="00F77357" w:rsidRPr="00F77357">
        <w:rPr>
          <w:color w:val="000000"/>
          <w:vertAlign w:val="superscript"/>
        </w:rPr>
        <w:t>1/</w:t>
      </w:r>
      <w:r w:rsidR="00F77357">
        <w:rPr>
          <w:color w:val="000000"/>
        </w:rPr>
        <w:t xml:space="preserve"> </w:t>
      </w:r>
      <w:r w:rsidR="002E6F01" w:rsidRPr="00E15F99">
        <w:rPr>
          <w:color w:val="000000"/>
        </w:rPr>
        <w:t xml:space="preserve">Kopējo </w:t>
      </w:r>
      <w:proofErr w:type="spellStart"/>
      <w:r w:rsidR="002E6F01" w:rsidRPr="00E15F99">
        <w:rPr>
          <w:color w:val="000000"/>
        </w:rPr>
        <w:t>toksicitātes</w:t>
      </w:r>
      <w:proofErr w:type="spellEnd"/>
      <w:r w:rsidR="002E6F01" w:rsidRPr="00E15F99">
        <w:rPr>
          <w:color w:val="000000"/>
        </w:rPr>
        <w:t xml:space="preserve"> ekvivalentu (TEQ) operacionāli definē kā katra savienojuma koncentrācijas un tā </w:t>
      </w:r>
      <w:proofErr w:type="spellStart"/>
      <w:r w:rsidR="002E6F01" w:rsidRPr="00E15F99">
        <w:rPr>
          <w:color w:val="000000"/>
        </w:rPr>
        <w:t>toksicitātes</w:t>
      </w:r>
      <w:proofErr w:type="spellEnd"/>
      <w:r w:rsidR="002E6F01" w:rsidRPr="00E15F99">
        <w:rPr>
          <w:color w:val="000000"/>
        </w:rPr>
        <w:t xml:space="preserve"> ekvivalenta koeficienta (TEF) vērtības reizinājumu summu, un tas ir maisījuma kopējās 2,3,7,8-tetrahlordibenzodioksīnam (THDD) raksturīgās iedarbības aplēse. Kopējā </w:t>
      </w:r>
      <w:proofErr w:type="spellStart"/>
      <w:r w:rsidR="002E6F01" w:rsidRPr="00E15F99">
        <w:rPr>
          <w:color w:val="000000"/>
        </w:rPr>
        <w:t>toksicitātes</w:t>
      </w:r>
      <w:proofErr w:type="spellEnd"/>
      <w:r w:rsidR="002E6F01" w:rsidRPr="00E15F99">
        <w:rPr>
          <w:color w:val="000000"/>
        </w:rPr>
        <w:t xml:space="preserve"> ekvivalenta apzīmēšanai iepriekš izmantoja abreviatūru TE.”</w:t>
      </w:r>
    </w:p>
    <w:p w14:paraId="4CFAA304" w14:textId="28ED1155"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5.</w:t>
      </w:r>
      <w:r w:rsidRPr="00E15F99">
        <w:rPr>
          <w:color w:val="000000"/>
        </w:rPr>
        <w:tab/>
        <w:t>Pielikuma 7. punktu svītro un aizstāj ar šādu punktu un zemsvītras piezīmi:</w:t>
      </w:r>
    </w:p>
    <w:p w14:paraId="464CB72E" w14:textId="4AFD9ACC"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“7.</w:t>
      </w:r>
      <w:r w:rsidR="00DB515D">
        <w:rPr>
          <w:color w:val="000000"/>
        </w:rPr>
        <w:t xml:space="preserve"> </w:t>
      </w:r>
      <w:r w:rsidRPr="00E15F99">
        <w:rPr>
          <w:color w:val="000000"/>
        </w:rPr>
        <w:t>Tālāk minētās robežvērtības, kas attiecas uz 11 % O</w:t>
      </w:r>
      <w:r w:rsidRPr="00DB515D">
        <w:rPr>
          <w:color w:val="000000"/>
          <w:vertAlign w:val="subscript"/>
        </w:rPr>
        <w:t>2</w:t>
      </w:r>
      <w:r w:rsidRPr="00E15F99">
        <w:rPr>
          <w:color w:val="000000"/>
        </w:rPr>
        <w:t xml:space="preserve"> koncentrāciju dūmgāzēs, ir piemērojamas šādiem sadedzināšanas iekārtu tipiem.</w:t>
      </w:r>
    </w:p>
    <w:p w14:paraId="081C3AAD" w14:textId="29BEB7F5"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Cieto sadzīves atkritumu sadedzināšana (esošs stacionārs avots, kurā stundā sadedzina vairāk nekā 3 tonnas atkritumu, un ikviens jauns stacionārs avots)</w:t>
      </w:r>
    </w:p>
    <w:p w14:paraId="3E03C5F4" w14:textId="64401705"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0</w:t>
      </w:r>
      <w:r w:rsidR="00DB515D">
        <w:rPr>
          <w:color w:val="000000"/>
        </w:rPr>
        <w:t>.</w:t>
      </w:r>
      <w:r w:rsidRPr="00E15F99">
        <w:rPr>
          <w:color w:val="000000"/>
        </w:rPr>
        <w:t xml:space="preserve">1 </w:t>
      </w:r>
      <w:proofErr w:type="spellStart"/>
      <w:r w:rsidRPr="00E15F99">
        <w:rPr>
          <w:color w:val="000000"/>
        </w:rPr>
        <w:t>ng</w:t>
      </w:r>
      <w:proofErr w:type="spellEnd"/>
      <w:r w:rsidR="00DB515D">
        <w:rPr>
          <w:color w:val="000000"/>
        </w:rPr>
        <w:t xml:space="preserve"> </w:t>
      </w:r>
      <w:r w:rsidRPr="00E15F99">
        <w:rPr>
          <w:color w:val="000000"/>
        </w:rPr>
        <w:t>TEQ/m</w:t>
      </w:r>
      <w:r w:rsidRPr="00DB515D">
        <w:rPr>
          <w:color w:val="000000"/>
          <w:vertAlign w:val="superscript"/>
        </w:rPr>
        <w:t>3</w:t>
      </w:r>
    </w:p>
    <w:p w14:paraId="31CE09F1" w14:textId="14A3EFD3"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Cieto medicīnisko atkritumu sadedzināšana (esošs stacionārs avots, kurā stundā sadedzina vairāk nekā 1 tonnu atkritumu, un ikviens jauns stacionārs avots)</w:t>
      </w:r>
    </w:p>
    <w:p w14:paraId="48603665" w14:textId="259511A2"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Jauns stacionārs avots:</w:t>
      </w:r>
      <w:r w:rsidRPr="00E15F99">
        <w:rPr>
          <w:color w:val="000000"/>
        </w:rPr>
        <w:tab/>
        <w:t>0</w:t>
      </w:r>
      <w:r w:rsidR="00DB515D">
        <w:rPr>
          <w:color w:val="000000"/>
        </w:rPr>
        <w:t>.</w:t>
      </w:r>
      <w:r w:rsidRPr="00E15F99">
        <w:rPr>
          <w:color w:val="000000"/>
        </w:rPr>
        <w:t xml:space="preserve">1 </w:t>
      </w:r>
      <w:proofErr w:type="spellStart"/>
      <w:r w:rsidRPr="00E15F99">
        <w:rPr>
          <w:color w:val="000000"/>
        </w:rPr>
        <w:t>ng</w:t>
      </w:r>
      <w:proofErr w:type="spellEnd"/>
      <w:r w:rsidRPr="00E15F99">
        <w:rPr>
          <w:color w:val="000000"/>
        </w:rPr>
        <w:t xml:space="preserve"> TEQ/m</w:t>
      </w:r>
      <w:r w:rsidRPr="00DB515D">
        <w:rPr>
          <w:color w:val="000000"/>
          <w:vertAlign w:val="superscript"/>
        </w:rPr>
        <w:t>3</w:t>
      </w:r>
    </w:p>
    <w:p w14:paraId="4294B423" w14:textId="37E19DA6"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Esošs stacionārs avots:</w:t>
      </w:r>
      <w:r w:rsidRPr="00E15F99">
        <w:rPr>
          <w:color w:val="000000"/>
        </w:rPr>
        <w:tab/>
        <w:t>0</w:t>
      </w:r>
      <w:r w:rsidR="00DB515D">
        <w:rPr>
          <w:color w:val="000000"/>
        </w:rPr>
        <w:t>.</w:t>
      </w:r>
      <w:r w:rsidRPr="00E15F99">
        <w:rPr>
          <w:color w:val="000000"/>
        </w:rPr>
        <w:t xml:space="preserve">5 </w:t>
      </w:r>
      <w:proofErr w:type="spellStart"/>
      <w:r w:rsidRPr="00E15F99">
        <w:rPr>
          <w:color w:val="000000"/>
        </w:rPr>
        <w:t>ng</w:t>
      </w:r>
      <w:proofErr w:type="spellEnd"/>
      <w:r w:rsidRPr="00E15F99">
        <w:rPr>
          <w:color w:val="000000"/>
        </w:rPr>
        <w:t xml:space="preserve"> TEQ/m</w:t>
      </w:r>
      <w:r w:rsidRPr="00DB515D">
        <w:rPr>
          <w:color w:val="000000"/>
          <w:vertAlign w:val="superscript"/>
        </w:rPr>
        <w:t>3</w:t>
      </w:r>
    </w:p>
    <w:p w14:paraId="5DCF7955" w14:textId="70341F81"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Bīstamo atkritumu sadedzināšana (esošs stacionārs avots, kurā stundā sadedzina vairāk nekā 1 tonnu atkritumu, un ikviens jauns stacionārs avots)</w:t>
      </w:r>
    </w:p>
    <w:p w14:paraId="7B6E8AD1" w14:textId="50A9F976"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Jauns stacionārs avots:</w:t>
      </w:r>
      <w:r w:rsidRPr="00E15F99">
        <w:rPr>
          <w:color w:val="000000"/>
        </w:rPr>
        <w:tab/>
        <w:t>0</w:t>
      </w:r>
      <w:r w:rsidR="00555343">
        <w:rPr>
          <w:color w:val="000000"/>
        </w:rPr>
        <w:t>.</w:t>
      </w:r>
      <w:r w:rsidRPr="00E15F99">
        <w:rPr>
          <w:color w:val="000000"/>
        </w:rPr>
        <w:t xml:space="preserve">1 </w:t>
      </w:r>
      <w:proofErr w:type="spellStart"/>
      <w:r w:rsidRPr="00E15F99">
        <w:rPr>
          <w:color w:val="000000"/>
        </w:rPr>
        <w:t>ng</w:t>
      </w:r>
      <w:proofErr w:type="spellEnd"/>
      <w:r w:rsidRPr="00E15F99">
        <w:rPr>
          <w:color w:val="000000"/>
        </w:rPr>
        <w:t xml:space="preserve"> TEQ/m</w:t>
      </w:r>
      <w:r w:rsidRPr="00555343">
        <w:rPr>
          <w:color w:val="000000"/>
          <w:vertAlign w:val="superscript"/>
        </w:rPr>
        <w:t>3</w:t>
      </w:r>
    </w:p>
    <w:p w14:paraId="07C221CF" w14:textId="172BD541"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Esošs stacionārs avots:</w:t>
      </w:r>
      <w:r w:rsidRPr="00E15F99">
        <w:rPr>
          <w:color w:val="000000"/>
        </w:rPr>
        <w:tab/>
        <w:t>0</w:t>
      </w:r>
      <w:r w:rsidR="00555343">
        <w:rPr>
          <w:color w:val="000000"/>
        </w:rPr>
        <w:t>.</w:t>
      </w:r>
      <w:r w:rsidRPr="00E15F99">
        <w:rPr>
          <w:color w:val="000000"/>
        </w:rPr>
        <w:t xml:space="preserve">2 </w:t>
      </w:r>
      <w:proofErr w:type="spellStart"/>
      <w:r w:rsidRPr="00E15F99">
        <w:rPr>
          <w:color w:val="000000"/>
        </w:rPr>
        <w:t>ng</w:t>
      </w:r>
      <w:proofErr w:type="spellEnd"/>
      <w:r w:rsidRPr="00E15F99">
        <w:rPr>
          <w:color w:val="000000"/>
        </w:rPr>
        <w:t xml:space="preserve"> TEQ/m</w:t>
      </w:r>
      <w:r w:rsidRPr="00555343">
        <w:rPr>
          <w:color w:val="000000"/>
          <w:vertAlign w:val="superscript"/>
        </w:rPr>
        <w:t>3</w:t>
      </w:r>
    </w:p>
    <w:p w14:paraId="3D97B381" w14:textId="16008F99"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 xml:space="preserve"> </w:t>
      </w:r>
      <w:r w:rsidRPr="00E15F99">
        <w:rPr>
          <w:color w:val="000000"/>
        </w:rPr>
        <w:tab/>
        <w:t xml:space="preserve">Nebīstamu rūpniecisko atkritumu sadedzināšana </w:t>
      </w:r>
      <w:r w:rsidR="00E10F69" w:rsidRPr="00E10F69">
        <w:rPr>
          <w:color w:val="000000"/>
          <w:vertAlign w:val="superscript"/>
        </w:rPr>
        <w:t>/1/2</w:t>
      </w:r>
    </w:p>
    <w:p w14:paraId="7FCE2344" w14:textId="43A2203F"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Jauns stacionārs avots:</w:t>
      </w:r>
      <w:r w:rsidRPr="00E15F99">
        <w:rPr>
          <w:color w:val="000000"/>
        </w:rPr>
        <w:tab/>
        <w:t>0</w:t>
      </w:r>
      <w:r w:rsidR="00555343">
        <w:rPr>
          <w:color w:val="000000"/>
        </w:rPr>
        <w:t>.</w:t>
      </w:r>
      <w:r w:rsidRPr="00E15F99">
        <w:rPr>
          <w:color w:val="000000"/>
        </w:rPr>
        <w:t xml:space="preserve">1 </w:t>
      </w:r>
      <w:proofErr w:type="spellStart"/>
      <w:r w:rsidRPr="00E15F99">
        <w:rPr>
          <w:color w:val="000000"/>
        </w:rPr>
        <w:t>ng</w:t>
      </w:r>
      <w:proofErr w:type="spellEnd"/>
      <w:r w:rsidRPr="00E15F99">
        <w:rPr>
          <w:color w:val="000000"/>
        </w:rPr>
        <w:t xml:space="preserve"> TEQ/m</w:t>
      </w:r>
      <w:r w:rsidRPr="00555343">
        <w:rPr>
          <w:color w:val="000000"/>
          <w:vertAlign w:val="superscript"/>
        </w:rPr>
        <w:t>3</w:t>
      </w:r>
    </w:p>
    <w:p w14:paraId="772FD63B" w14:textId="3F77229D" w:rsidR="002E6F01" w:rsidRPr="00B41FF7"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Esošs stacionārs avots:</w:t>
      </w:r>
      <w:r w:rsidRPr="00E15F99">
        <w:rPr>
          <w:color w:val="000000"/>
        </w:rPr>
        <w:tab/>
        <w:t>0</w:t>
      </w:r>
      <w:r w:rsidR="00555343">
        <w:rPr>
          <w:color w:val="000000"/>
        </w:rPr>
        <w:t>.</w:t>
      </w:r>
      <w:r w:rsidRPr="00E15F99">
        <w:rPr>
          <w:color w:val="000000"/>
        </w:rPr>
        <w:t xml:space="preserve">5 </w:t>
      </w:r>
      <w:proofErr w:type="spellStart"/>
      <w:r w:rsidRPr="00E15F99">
        <w:rPr>
          <w:color w:val="000000"/>
        </w:rPr>
        <w:t>ng</w:t>
      </w:r>
      <w:proofErr w:type="spellEnd"/>
      <w:r w:rsidRPr="00E15F99">
        <w:rPr>
          <w:color w:val="000000"/>
        </w:rPr>
        <w:t xml:space="preserve"> TEQ/m</w:t>
      </w:r>
      <w:r w:rsidRPr="00555343">
        <w:rPr>
          <w:color w:val="000000"/>
          <w:vertAlign w:val="superscript"/>
        </w:rPr>
        <w:t>3</w:t>
      </w:r>
      <w:r w:rsidR="00B41FF7">
        <w:rPr>
          <w:color w:val="000000"/>
        </w:rPr>
        <w:t>”</w:t>
      </w:r>
    </w:p>
    <w:p w14:paraId="013A9DE2" w14:textId="0B9FCE6B" w:rsidR="002E6F01" w:rsidRPr="00E15F99" w:rsidRDefault="00B41FF7" w:rsidP="00E15F99">
      <w:pPr>
        <w:pStyle w:val="ti-grseq-1"/>
        <w:shd w:val="clear" w:color="auto" w:fill="FFFFFF"/>
        <w:spacing w:before="0" w:beforeAutospacing="0" w:after="0" w:afterAutospacing="0" w:line="360" w:lineRule="auto"/>
        <w:ind w:left="720"/>
        <w:jc w:val="both"/>
        <w:rPr>
          <w:color w:val="000000"/>
        </w:rPr>
      </w:pPr>
      <w:r>
        <w:rPr>
          <w:color w:val="000000"/>
        </w:rPr>
        <w:t>“</w:t>
      </w:r>
      <w:r w:rsidRPr="00B41FF7">
        <w:rPr>
          <w:color w:val="000000"/>
          <w:vertAlign w:val="superscript"/>
        </w:rPr>
        <w:t>1/</w:t>
      </w:r>
      <w:r w:rsidR="00914B1B">
        <w:rPr>
          <w:color w:val="000000"/>
        </w:rPr>
        <w:t xml:space="preserve"> </w:t>
      </w:r>
      <w:r w:rsidR="002E6F01" w:rsidRPr="00E15F99">
        <w:rPr>
          <w:color w:val="000000"/>
        </w:rPr>
        <w:t xml:space="preserve">Tostarp sadedzināšanas iekārtas, kurās sadedzina biomasas atkritumus, kas var saturēt </w:t>
      </w:r>
      <w:proofErr w:type="spellStart"/>
      <w:r w:rsidR="002E6F01" w:rsidRPr="00E15F99">
        <w:rPr>
          <w:color w:val="000000"/>
        </w:rPr>
        <w:t>halogēnorganiskos</w:t>
      </w:r>
      <w:proofErr w:type="spellEnd"/>
      <w:r w:rsidR="002E6F01" w:rsidRPr="00E15F99">
        <w:rPr>
          <w:color w:val="000000"/>
        </w:rPr>
        <w:t xml:space="preserve"> savienojumus vai smagos metālus, ja veikta apstrāde ar koksnes </w:t>
      </w:r>
      <w:proofErr w:type="spellStart"/>
      <w:r w:rsidR="002E6F01" w:rsidRPr="00E15F99">
        <w:rPr>
          <w:color w:val="000000"/>
        </w:rPr>
        <w:t>aizsargvielām</w:t>
      </w:r>
      <w:proofErr w:type="spellEnd"/>
      <w:r w:rsidR="002E6F01" w:rsidRPr="00E15F99">
        <w:rPr>
          <w:color w:val="000000"/>
        </w:rPr>
        <w:t xml:space="preserve"> vai izmantoti pārklājumi, un ko veido biomasas atkritumi, kuru izcelsme ir būvgruži un ēku nojaukšanā radušies atkritumi, atskaitot sadedzināšanas iekārtas, kurās sadedzina citus biomasas atkritumus.</w:t>
      </w:r>
      <w:r>
        <w:rPr>
          <w:color w:val="000000"/>
        </w:rPr>
        <w:t>”</w:t>
      </w:r>
    </w:p>
    <w:p w14:paraId="39B0A2E9" w14:textId="4B88EEB2" w:rsidR="002E6F01" w:rsidRPr="00E15F99" w:rsidRDefault="00B41FF7" w:rsidP="00E15F99">
      <w:pPr>
        <w:pStyle w:val="ti-grseq-1"/>
        <w:shd w:val="clear" w:color="auto" w:fill="FFFFFF"/>
        <w:spacing w:before="0" w:beforeAutospacing="0" w:after="0" w:afterAutospacing="0" w:line="360" w:lineRule="auto"/>
        <w:ind w:left="720"/>
        <w:jc w:val="both"/>
        <w:rPr>
          <w:color w:val="000000"/>
        </w:rPr>
      </w:pPr>
      <w:r>
        <w:rPr>
          <w:color w:val="000000"/>
        </w:rPr>
        <w:lastRenderedPageBreak/>
        <w:t>“</w:t>
      </w:r>
      <w:r w:rsidRPr="00B41FF7">
        <w:rPr>
          <w:color w:val="000000"/>
          <w:vertAlign w:val="superscript"/>
        </w:rPr>
        <w:t>2/</w:t>
      </w:r>
      <w:r>
        <w:rPr>
          <w:color w:val="000000"/>
        </w:rPr>
        <w:t xml:space="preserve"> </w:t>
      </w:r>
      <w:r w:rsidR="002E6F01" w:rsidRPr="00E15F99">
        <w:rPr>
          <w:color w:val="000000"/>
        </w:rPr>
        <w:t xml:space="preserve">Valstis, kuru ekonomika ir pārejas posmā, var neiekļaut nebīstamu rūpniecisko atkritumu </w:t>
      </w:r>
      <w:proofErr w:type="spellStart"/>
      <w:r w:rsidR="002E6F01" w:rsidRPr="00E15F99">
        <w:rPr>
          <w:color w:val="000000"/>
        </w:rPr>
        <w:t>līdzsadegšanu</w:t>
      </w:r>
      <w:proofErr w:type="spellEnd"/>
      <w:r w:rsidR="002E6F01" w:rsidRPr="00E15F99">
        <w:rPr>
          <w:color w:val="000000"/>
        </w:rPr>
        <w:t xml:space="preserve"> rūpnieciskajos procesos, kur šādus atkritumus izmanto par papildu kurināmo, kas dod līdz 10</w:t>
      </w:r>
      <w:r w:rsidR="00C22D08">
        <w:rPr>
          <w:color w:val="000000"/>
        </w:rPr>
        <w:t xml:space="preserve"> </w:t>
      </w:r>
      <w:r w:rsidR="002E6F01" w:rsidRPr="00E15F99">
        <w:rPr>
          <w:color w:val="000000"/>
        </w:rPr>
        <w:t>% enerģijas.</w:t>
      </w:r>
      <w:r>
        <w:rPr>
          <w:color w:val="000000"/>
        </w:rPr>
        <w:t>”</w:t>
      </w:r>
    </w:p>
    <w:p w14:paraId="3F5F8BF8" w14:textId="77777777"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6.</w:t>
      </w:r>
      <w:r w:rsidRPr="00E15F99">
        <w:rPr>
          <w:color w:val="000000"/>
        </w:rPr>
        <w:tab/>
        <w:t>Pēc 7. punkta pievieno šādus jaunus punktus:</w:t>
      </w:r>
    </w:p>
    <w:p w14:paraId="4F899225" w14:textId="091A8E50"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“8.</w:t>
      </w:r>
      <w:r w:rsidR="00914B1B">
        <w:rPr>
          <w:color w:val="000000"/>
        </w:rPr>
        <w:t xml:space="preserve"> </w:t>
      </w:r>
      <w:r w:rsidRPr="00E15F99">
        <w:rPr>
          <w:color w:val="000000"/>
        </w:rPr>
        <w:t>Tālāk minētā robežvērtība, kas attiecas uz 16 % O</w:t>
      </w:r>
      <w:r w:rsidRPr="00D33D00">
        <w:rPr>
          <w:color w:val="000000"/>
          <w:vertAlign w:val="subscript"/>
        </w:rPr>
        <w:t>2</w:t>
      </w:r>
      <w:r w:rsidRPr="00E15F99">
        <w:rPr>
          <w:color w:val="000000"/>
        </w:rPr>
        <w:t xml:space="preserve"> koncentrāciju dūmgāzēs, ir piemērojama aglomerāta ražošanas iekārtām:</w:t>
      </w:r>
    </w:p>
    <w:p w14:paraId="6BB8623E" w14:textId="36801FA4"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0</w:t>
      </w:r>
      <w:r w:rsidR="00AC3D3E">
        <w:rPr>
          <w:color w:val="000000"/>
        </w:rPr>
        <w:t>.</w:t>
      </w:r>
      <w:r w:rsidRPr="00E15F99">
        <w:rPr>
          <w:color w:val="000000"/>
        </w:rPr>
        <w:t xml:space="preserve">5 </w:t>
      </w:r>
      <w:proofErr w:type="spellStart"/>
      <w:r w:rsidRPr="00E15F99">
        <w:rPr>
          <w:color w:val="000000"/>
        </w:rPr>
        <w:t>ng</w:t>
      </w:r>
      <w:proofErr w:type="spellEnd"/>
      <w:r w:rsidRPr="00E15F99">
        <w:rPr>
          <w:color w:val="000000"/>
        </w:rPr>
        <w:t xml:space="preserve"> TEQ/m</w:t>
      </w:r>
      <w:r w:rsidRPr="00D33D00">
        <w:rPr>
          <w:color w:val="000000"/>
          <w:vertAlign w:val="superscript"/>
        </w:rPr>
        <w:t>3</w:t>
      </w:r>
      <w:r w:rsidRPr="00E15F99">
        <w:rPr>
          <w:color w:val="000000"/>
        </w:rPr>
        <w:t>.</w:t>
      </w:r>
    </w:p>
    <w:p w14:paraId="1B9DC555" w14:textId="0F22147D"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9.</w:t>
      </w:r>
      <w:r w:rsidR="00D33D00">
        <w:rPr>
          <w:color w:val="000000"/>
        </w:rPr>
        <w:t xml:space="preserve"> </w:t>
      </w:r>
      <w:r w:rsidRPr="00E15F99">
        <w:rPr>
          <w:color w:val="000000"/>
        </w:rPr>
        <w:t>Tālāk minētā robežvērtība, kas attiecas uz 11 % O</w:t>
      </w:r>
      <w:r w:rsidRPr="00D33D00">
        <w:rPr>
          <w:color w:val="000000"/>
          <w:vertAlign w:val="subscript"/>
        </w:rPr>
        <w:t>2</w:t>
      </w:r>
      <w:r w:rsidRPr="00E15F99">
        <w:rPr>
          <w:color w:val="000000"/>
        </w:rPr>
        <w:t xml:space="preserve"> koncentrāciju dūmgāzēs, ir piemērojama šādam avotam.</w:t>
      </w:r>
    </w:p>
    <w:p w14:paraId="0EA81B6F" w14:textId="149C1559"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Otrreizēja tērauda ražošana – elektriskā loka krāsnis, kurās stundā izkausē vairāk nekā 2</w:t>
      </w:r>
      <w:r w:rsidR="00D33D00">
        <w:rPr>
          <w:color w:val="000000"/>
        </w:rPr>
        <w:t>.</w:t>
      </w:r>
      <w:r w:rsidRPr="00E15F99">
        <w:rPr>
          <w:color w:val="000000"/>
        </w:rPr>
        <w:t>5 tonnas tērauda turpmākai apstrādei:</w:t>
      </w:r>
    </w:p>
    <w:p w14:paraId="623124B9" w14:textId="0476778D"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0</w:t>
      </w:r>
      <w:r w:rsidR="00AC3D3E">
        <w:rPr>
          <w:color w:val="000000"/>
        </w:rPr>
        <w:t>.</w:t>
      </w:r>
      <w:r w:rsidRPr="00E15F99">
        <w:rPr>
          <w:color w:val="000000"/>
        </w:rPr>
        <w:t xml:space="preserve">5 </w:t>
      </w:r>
      <w:proofErr w:type="spellStart"/>
      <w:r w:rsidRPr="00E15F99">
        <w:rPr>
          <w:color w:val="000000"/>
        </w:rPr>
        <w:t>ng</w:t>
      </w:r>
      <w:proofErr w:type="spellEnd"/>
      <w:r w:rsidRPr="00E15F99">
        <w:rPr>
          <w:color w:val="000000"/>
        </w:rPr>
        <w:t xml:space="preserve"> TEQ/m</w:t>
      </w:r>
      <w:r w:rsidRPr="00AC3D3E">
        <w:rPr>
          <w:color w:val="000000"/>
          <w:vertAlign w:val="superscript"/>
        </w:rPr>
        <w:t>3</w:t>
      </w:r>
      <w:r w:rsidRPr="00E15F99">
        <w:rPr>
          <w:color w:val="000000"/>
        </w:rPr>
        <w:t>.”</w:t>
      </w:r>
    </w:p>
    <w:p w14:paraId="03718ACD" w14:textId="77777777" w:rsidR="008D70D8" w:rsidRPr="00E15F99" w:rsidRDefault="008D70D8" w:rsidP="00E15F99">
      <w:pPr>
        <w:shd w:val="clear" w:color="auto" w:fill="FFFFFF"/>
        <w:rPr>
          <w:rFonts w:cs="Times New Roman"/>
          <w:vanish/>
          <w:color w:val="000000"/>
          <w:szCs w:val="24"/>
        </w:rPr>
      </w:pPr>
    </w:p>
    <w:p w14:paraId="7362E57B" w14:textId="77777777" w:rsidR="008D70D8" w:rsidRPr="00E15F99" w:rsidRDefault="008D70D8" w:rsidP="00E15F99">
      <w:pPr>
        <w:shd w:val="clear" w:color="auto" w:fill="FFFFFF"/>
        <w:rPr>
          <w:rFonts w:cs="Times New Roman"/>
          <w:vanish/>
          <w:color w:val="000000"/>
          <w:szCs w:val="24"/>
        </w:rPr>
      </w:pPr>
    </w:p>
    <w:p w14:paraId="3D36BAD6" w14:textId="5E3EAE5A"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J.</w:t>
      </w:r>
      <w:r w:rsidR="002E6F01" w:rsidRPr="00E15F99">
        <w:rPr>
          <w:b/>
          <w:bCs/>
          <w:color w:val="000000"/>
        </w:rPr>
        <w:tab/>
      </w:r>
      <w:r w:rsidRPr="00E15F99">
        <w:rPr>
          <w:b/>
          <w:bCs/>
          <w:color w:val="000000"/>
        </w:rPr>
        <w:t>VI pielikums</w:t>
      </w:r>
    </w:p>
    <w:p w14:paraId="7BD8F4D1" w14:textId="6C6726CC"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1.</w:t>
      </w:r>
      <w:r w:rsidRPr="00E15F99">
        <w:rPr>
          <w:color w:val="000000"/>
        </w:rPr>
        <w:tab/>
        <w:t>Pielikuma tekstu apzīmē kā 1. punktu.</w:t>
      </w:r>
    </w:p>
    <w:p w14:paraId="4D34DEAD" w14:textId="4C48408B" w:rsidR="002E6F01" w:rsidRPr="00E15F99" w:rsidRDefault="002E6F0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2.</w:t>
      </w:r>
      <w:r w:rsidRPr="00E15F99">
        <w:rPr>
          <w:color w:val="000000"/>
        </w:rPr>
        <w:tab/>
        <w:t>Pielikuma a) apakšpunktā pēc vārdiem “šā Protokola spēkā stāšanās datuma” pievieno vārdus “dalībvalstij”.</w:t>
      </w:r>
    </w:p>
    <w:p w14:paraId="004F6A4B" w14:textId="0AE0E5A6"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3.</w:t>
      </w:r>
      <w:r w:rsidRPr="00E15F99">
        <w:rPr>
          <w:color w:val="000000"/>
        </w:rPr>
        <w:tab/>
        <w:t>Pielikuma b) apakšpunkta tekstu aizstāj ar šādu:</w:t>
      </w:r>
    </w:p>
    <w:p w14:paraId="01AD71C0" w14:textId="77777777" w:rsidR="002E6F01" w:rsidRPr="00E15F99" w:rsidRDefault="002E6F01" w:rsidP="00E15F99">
      <w:pPr>
        <w:pStyle w:val="ti-grseq-1"/>
        <w:shd w:val="clear" w:color="auto" w:fill="FFFFFF"/>
        <w:spacing w:before="0" w:beforeAutospacing="0" w:after="0" w:afterAutospacing="0" w:line="360" w:lineRule="auto"/>
        <w:ind w:firstLine="720"/>
        <w:jc w:val="both"/>
        <w:rPr>
          <w:color w:val="000000"/>
        </w:rPr>
      </w:pPr>
      <w:r w:rsidRPr="00E15F99">
        <w:rPr>
          <w:color w:val="000000"/>
        </w:rPr>
        <w:t>“esošiem stacionāriem avotiem:</w:t>
      </w:r>
    </w:p>
    <w:p w14:paraId="75F1968F" w14:textId="06BCC60E" w:rsidR="002E6F01" w:rsidRPr="00E15F99" w:rsidRDefault="002E6F01" w:rsidP="00AC3D3E">
      <w:pPr>
        <w:pStyle w:val="ti-grseq-1"/>
        <w:shd w:val="clear" w:color="auto" w:fill="FFFFFF"/>
        <w:spacing w:before="0" w:beforeAutospacing="0" w:after="0" w:afterAutospacing="0" w:line="360" w:lineRule="auto"/>
        <w:ind w:left="720"/>
        <w:jc w:val="both"/>
        <w:rPr>
          <w:color w:val="000000"/>
        </w:rPr>
      </w:pPr>
      <w:r w:rsidRPr="00E15F99">
        <w:rPr>
          <w:color w:val="000000"/>
        </w:rPr>
        <w:t>i) astoņi gadi pēc šā Protokola spēkā stāšanās datuma dalībvalstij. Vajadzības gadījumā atsevišķiem esošajiem stacionārajiem avotiem šo periodu var pagarināt atbilstoši valstu tiesību aktos paredzētajam amortizācijas periodam; vai</w:t>
      </w:r>
    </w:p>
    <w:p w14:paraId="71F362CE" w14:textId="1306BB3D" w:rsidR="002E6F01" w:rsidRPr="00E15F99" w:rsidRDefault="002E6F01" w:rsidP="00AC3D3E">
      <w:pPr>
        <w:pStyle w:val="ti-grseq-1"/>
        <w:shd w:val="clear" w:color="auto" w:fill="FFFFFF"/>
        <w:spacing w:before="0" w:beforeAutospacing="0" w:after="0" w:afterAutospacing="0" w:line="360" w:lineRule="auto"/>
        <w:ind w:left="720"/>
        <w:jc w:val="both"/>
        <w:rPr>
          <w:color w:val="000000"/>
        </w:rPr>
      </w:pPr>
      <w:r w:rsidRPr="00E15F99">
        <w:rPr>
          <w:color w:val="000000"/>
        </w:rPr>
        <w:t>ii) dalībvalstij, kuras ekonomika ir pārejas posmā, – piecpadsmit gadi pēc datuma, kurā šis Protokols stājies spēkā minētajai dalībvalstij.”</w:t>
      </w:r>
    </w:p>
    <w:p w14:paraId="21226855" w14:textId="0449D6D3" w:rsidR="002E6F01" w:rsidRPr="00E15F99" w:rsidRDefault="002E6F01" w:rsidP="00E15F99">
      <w:pPr>
        <w:pStyle w:val="ti-grseq-1"/>
        <w:shd w:val="clear" w:color="auto" w:fill="FFFFFF"/>
        <w:spacing w:before="0" w:beforeAutospacing="0" w:after="0" w:afterAutospacing="0" w:line="360" w:lineRule="auto"/>
        <w:jc w:val="both"/>
        <w:rPr>
          <w:color w:val="000000"/>
        </w:rPr>
      </w:pPr>
      <w:r w:rsidRPr="00E15F99">
        <w:rPr>
          <w:color w:val="000000"/>
        </w:rPr>
        <w:t>4.</w:t>
      </w:r>
      <w:r w:rsidRPr="00E15F99">
        <w:rPr>
          <w:color w:val="000000"/>
        </w:rPr>
        <w:tab/>
        <w:t>Pielikuma beigās pievieno šādu jaunu punktu:</w:t>
      </w:r>
    </w:p>
    <w:p w14:paraId="40094325" w14:textId="7F9B01B2" w:rsidR="002E6F01" w:rsidRPr="00E15F99" w:rsidRDefault="002E6F01" w:rsidP="00E15F99">
      <w:pPr>
        <w:pStyle w:val="ti-grseq-1"/>
        <w:shd w:val="clear" w:color="auto" w:fill="FFFFFF"/>
        <w:spacing w:before="0" w:beforeAutospacing="0" w:after="0" w:afterAutospacing="0" w:line="360" w:lineRule="auto"/>
        <w:ind w:left="720"/>
        <w:jc w:val="both"/>
        <w:rPr>
          <w:color w:val="000000"/>
        </w:rPr>
      </w:pPr>
      <w:r w:rsidRPr="00E15F99">
        <w:rPr>
          <w:color w:val="000000"/>
        </w:rPr>
        <w:t>“2. Piemērošanas termiņi robežvērtībām un labākajām pieejamajām metodēm, kas atjauninātas vai ieviestas šā Protokola labojumu rezultātā:</w:t>
      </w:r>
    </w:p>
    <w:p w14:paraId="3E61BA1C" w14:textId="3A03AD3E" w:rsidR="002E6F01" w:rsidRPr="00E15F99" w:rsidRDefault="002E6F01" w:rsidP="00F17683">
      <w:pPr>
        <w:pStyle w:val="ti-grseq-1"/>
        <w:shd w:val="clear" w:color="auto" w:fill="FFFFFF"/>
        <w:spacing w:before="0" w:beforeAutospacing="0" w:after="0" w:afterAutospacing="0" w:line="360" w:lineRule="auto"/>
        <w:ind w:left="1440"/>
        <w:jc w:val="both"/>
        <w:rPr>
          <w:color w:val="000000"/>
        </w:rPr>
      </w:pPr>
      <w:r w:rsidRPr="00E15F99">
        <w:rPr>
          <w:color w:val="000000"/>
        </w:rPr>
        <w:t>a) jauniem stacionārajiem avotiem: divi gadi pēc attiecīgā labojuma spēkā stāšanās datuma dalībvalstī;</w:t>
      </w:r>
    </w:p>
    <w:p w14:paraId="462D8B94" w14:textId="1213EAB8" w:rsidR="002E6F01" w:rsidRPr="00E15F99" w:rsidRDefault="002E6F01" w:rsidP="00E15F99">
      <w:pPr>
        <w:pStyle w:val="ti-grseq-1"/>
        <w:shd w:val="clear" w:color="auto" w:fill="FFFFFF"/>
        <w:spacing w:before="0" w:beforeAutospacing="0" w:after="0" w:afterAutospacing="0" w:line="360" w:lineRule="auto"/>
        <w:ind w:left="720" w:firstLine="720"/>
        <w:jc w:val="both"/>
        <w:rPr>
          <w:color w:val="000000"/>
        </w:rPr>
      </w:pPr>
      <w:r w:rsidRPr="00E15F99">
        <w:rPr>
          <w:color w:val="000000"/>
        </w:rPr>
        <w:t>b) esošajiem stacionārajiem avotiem:</w:t>
      </w:r>
    </w:p>
    <w:p w14:paraId="5C508A93" w14:textId="6FAE3602" w:rsidR="002E6F01" w:rsidRPr="00E15F99" w:rsidRDefault="002E6F01" w:rsidP="00E15F99">
      <w:pPr>
        <w:pStyle w:val="ti-grseq-1"/>
        <w:shd w:val="clear" w:color="auto" w:fill="FFFFFF"/>
        <w:spacing w:before="0" w:beforeAutospacing="0" w:after="0" w:afterAutospacing="0" w:line="360" w:lineRule="auto"/>
        <w:ind w:left="2160"/>
        <w:jc w:val="both"/>
        <w:rPr>
          <w:color w:val="000000"/>
        </w:rPr>
      </w:pPr>
      <w:r w:rsidRPr="00E15F99">
        <w:rPr>
          <w:color w:val="000000"/>
        </w:rPr>
        <w:t>i) astoņi gadi pēc attiecīgā labojuma spēkā stāšanās datuma dalībvalstij, vai</w:t>
      </w:r>
    </w:p>
    <w:p w14:paraId="03BCE488" w14:textId="5030052E" w:rsidR="002E6F01" w:rsidRPr="00E15F99" w:rsidRDefault="002E6F01" w:rsidP="00E15F99">
      <w:pPr>
        <w:pStyle w:val="ti-grseq-1"/>
        <w:shd w:val="clear" w:color="auto" w:fill="FFFFFF"/>
        <w:spacing w:before="0" w:beforeAutospacing="0" w:after="0" w:afterAutospacing="0" w:line="360" w:lineRule="auto"/>
        <w:ind w:left="2160"/>
        <w:jc w:val="both"/>
        <w:rPr>
          <w:color w:val="000000"/>
        </w:rPr>
      </w:pPr>
      <w:r w:rsidRPr="00E15F99">
        <w:rPr>
          <w:color w:val="000000"/>
        </w:rPr>
        <w:t>ii) dalībvalstij, kuras ekonomika ir pārejas posmā, –</w:t>
      </w:r>
      <w:r w:rsidR="00F17683">
        <w:rPr>
          <w:color w:val="000000"/>
        </w:rPr>
        <w:t xml:space="preserve"> </w:t>
      </w:r>
      <w:r w:rsidRPr="00E15F99">
        <w:rPr>
          <w:color w:val="000000"/>
        </w:rPr>
        <w:t>piecpadsmit gadi pēc attiecīgā labojuma stāšanās spēkā minētajai dalībvalstij.”</w:t>
      </w:r>
    </w:p>
    <w:p w14:paraId="22CF9D7B" w14:textId="2732F53A" w:rsidR="008D70D8" w:rsidRPr="00E15F99" w:rsidRDefault="008D70D8" w:rsidP="00E15F99">
      <w:pPr>
        <w:pStyle w:val="ti-grseq-1"/>
        <w:shd w:val="clear" w:color="auto" w:fill="FFFFFF"/>
        <w:spacing w:before="0" w:beforeAutospacing="0" w:after="0" w:afterAutospacing="0" w:line="360" w:lineRule="auto"/>
        <w:jc w:val="both"/>
        <w:rPr>
          <w:b/>
          <w:bCs/>
          <w:color w:val="000000"/>
        </w:rPr>
      </w:pPr>
      <w:r w:rsidRPr="00E15F99">
        <w:rPr>
          <w:b/>
          <w:bCs/>
          <w:color w:val="000000"/>
        </w:rPr>
        <w:t>K.</w:t>
      </w:r>
      <w:r w:rsidR="002E6F01" w:rsidRPr="00E15F99">
        <w:rPr>
          <w:b/>
          <w:bCs/>
          <w:color w:val="000000"/>
        </w:rPr>
        <w:tab/>
      </w:r>
      <w:r w:rsidRPr="00E15F99">
        <w:rPr>
          <w:b/>
          <w:bCs/>
          <w:color w:val="000000"/>
        </w:rPr>
        <w:t>VIII pielikums</w:t>
      </w:r>
    </w:p>
    <w:p w14:paraId="6926D433" w14:textId="66C4ADD4" w:rsidR="002E6F01" w:rsidRPr="00E15F99" w:rsidRDefault="002E6F0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lastRenderedPageBreak/>
        <w:t>1.</w:t>
      </w:r>
      <w:r w:rsidRPr="00E15F99">
        <w:rPr>
          <w:color w:val="000000"/>
        </w:rPr>
        <w:tab/>
        <w:t>Pielikuma I daļas otrajā teikumā pēc vārdiem “V pielikumā” iekļauj vārdus “minētajā vadlīniju dokumentā”.</w:t>
      </w:r>
    </w:p>
    <w:p w14:paraId="68F672BC" w14:textId="22DBC1C7" w:rsidR="002E6F01" w:rsidRPr="00E15F99" w:rsidRDefault="002E6F0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2.</w:t>
      </w:r>
      <w:r w:rsidRPr="00E15F99">
        <w:rPr>
          <w:color w:val="000000"/>
        </w:rPr>
        <w:tab/>
        <w:t xml:space="preserve">Tabulā II daļā 1. kategorijas aprakstu svītro un aizstāj ar šādu: “Atkritumu (sadzīves, bīstamo, nebīstamo un medicīnisko) sadedzināšana, tostarp </w:t>
      </w:r>
      <w:proofErr w:type="spellStart"/>
      <w:r w:rsidRPr="00E15F99">
        <w:rPr>
          <w:color w:val="000000"/>
        </w:rPr>
        <w:t>līdzsadedzināšana</w:t>
      </w:r>
      <w:proofErr w:type="spellEnd"/>
      <w:r w:rsidRPr="00E15F99">
        <w:rPr>
          <w:color w:val="000000"/>
        </w:rPr>
        <w:t>, un notekūdeņu dūņas.”</w:t>
      </w:r>
    </w:p>
    <w:p w14:paraId="63A5BE6A" w14:textId="7EA5E2AF" w:rsidR="002E6F01" w:rsidRPr="00E15F99" w:rsidRDefault="002E6F01" w:rsidP="00E15F99">
      <w:pPr>
        <w:pStyle w:val="ti-grseq-1"/>
        <w:shd w:val="clear" w:color="auto" w:fill="FFFFFF"/>
        <w:spacing w:before="0" w:beforeAutospacing="0" w:after="0" w:afterAutospacing="0" w:line="360" w:lineRule="auto"/>
        <w:ind w:left="720" w:hanging="720"/>
        <w:jc w:val="both"/>
        <w:rPr>
          <w:color w:val="000000"/>
        </w:rPr>
      </w:pPr>
      <w:r w:rsidRPr="00E15F99">
        <w:rPr>
          <w:color w:val="000000"/>
        </w:rPr>
        <w:t xml:space="preserve">3. </w:t>
      </w:r>
      <w:r w:rsidRPr="00E15F99">
        <w:rPr>
          <w:color w:val="000000"/>
        </w:rPr>
        <w:tab/>
        <w:t>Tabulai II daļā pievieno šādas jaunas kategorijas:</w:t>
      </w:r>
    </w:p>
    <w:tbl>
      <w:tblPr>
        <w:tblStyle w:val="TableGrid"/>
        <w:tblW w:w="0" w:type="auto"/>
        <w:tblLook w:val="04A0" w:firstRow="1" w:lastRow="0" w:firstColumn="1" w:lastColumn="0" w:noHBand="0" w:noVBand="1"/>
      </w:tblPr>
      <w:tblGrid>
        <w:gridCol w:w="988"/>
        <w:gridCol w:w="8073"/>
      </w:tblGrid>
      <w:tr w:rsidR="002E6F01" w:rsidRPr="00E15F99" w14:paraId="54B0AF48" w14:textId="77777777" w:rsidTr="005D1CFA">
        <w:tc>
          <w:tcPr>
            <w:tcW w:w="988" w:type="dxa"/>
          </w:tcPr>
          <w:p w14:paraId="4BEF4D38" w14:textId="6FEF1345" w:rsidR="002E6F01" w:rsidRPr="00E15F99" w:rsidRDefault="002E6F01" w:rsidP="00E15F99">
            <w:pPr>
              <w:pStyle w:val="ti-grseq-1"/>
              <w:spacing w:before="0" w:beforeAutospacing="0" w:after="0" w:afterAutospacing="0" w:line="360" w:lineRule="auto"/>
              <w:jc w:val="both"/>
              <w:rPr>
                <w:color w:val="000000"/>
              </w:rPr>
            </w:pPr>
            <w:r w:rsidRPr="00E15F99">
              <w:rPr>
                <w:color w:val="000000"/>
              </w:rPr>
              <w:t>13</w:t>
            </w:r>
          </w:p>
        </w:tc>
        <w:tc>
          <w:tcPr>
            <w:tcW w:w="8073" w:type="dxa"/>
          </w:tcPr>
          <w:p w14:paraId="3672298C" w14:textId="7257CDE8" w:rsidR="002E6F01" w:rsidRPr="00E15F99" w:rsidRDefault="002E6F01" w:rsidP="00E15F99">
            <w:pPr>
              <w:pStyle w:val="ti-grseq-1"/>
              <w:spacing w:before="0" w:beforeAutospacing="0" w:after="0" w:afterAutospacing="0" w:line="360" w:lineRule="auto"/>
              <w:jc w:val="both"/>
              <w:rPr>
                <w:color w:val="000000"/>
              </w:rPr>
            </w:pPr>
            <w:r w:rsidRPr="00E15F99">
              <w:rPr>
                <w:color w:val="000000"/>
              </w:rPr>
              <w:t xml:space="preserve">Īpaši ķīmiskās ražošanas procesi (jo īpaši </w:t>
            </w:r>
            <w:proofErr w:type="spellStart"/>
            <w:r w:rsidRPr="00E15F99">
              <w:rPr>
                <w:color w:val="000000"/>
              </w:rPr>
              <w:t>hlorfenolu</w:t>
            </w:r>
            <w:proofErr w:type="spellEnd"/>
            <w:r w:rsidRPr="00E15F99">
              <w:rPr>
                <w:color w:val="000000"/>
              </w:rPr>
              <w:t xml:space="preserve"> un </w:t>
            </w:r>
            <w:proofErr w:type="spellStart"/>
            <w:r w:rsidRPr="00E15F99">
              <w:rPr>
                <w:color w:val="000000"/>
              </w:rPr>
              <w:t>hloranilu</w:t>
            </w:r>
            <w:proofErr w:type="spellEnd"/>
            <w:r w:rsidRPr="00E15F99">
              <w:rPr>
                <w:color w:val="000000"/>
              </w:rPr>
              <w:t xml:space="preserve"> ražošana), kuros izdalās netīši veidojušies noturīgi organiskie piesārņotāji</w:t>
            </w:r>
          </w:p>
        </w:tc>
      </w:tr>
      <w:tr w:rsidR="002E6F01" w:rsidRPr="00E15F99" w14:paraId="36CE27EA" w14:textId="77777777" w:rsidTr="005D1CFA">
        <w:tc>
          <w:tcPr>
            <w:tcW w:w="988" w:type="dxa"/>
          </w:tcPr>
          <w:p w14:paraId="19414BAE" w14:textId="79023CC7" w:rsidR="002E6F01" w:rsidRPr="00E15F99" w:rsidRDefault="002E6F01" w:rsidP="00E15F99">
            <w:pPr>
              <w:pStyle w:val="ti-grseq-1"/>
              <w:spacing w:before="0" w:beforeAutospacing="0" w:after="0" w:afterAutospacing="0" w:line="360" w:lineRule="auto"/>
              <w:jc w:val="both"/>
              <w:rPr>
                <w:color w:val="000000"/>
              </w:rPr>
            </w:pPr>
            <w:r w:rsidRPr="00E15F99">
              <w:rPr>
                <w:color w:val="000000"/>
              </w:rPr>
              <w:t>14</w:t>
            </w:r>
          </w:p>
        </w:tc>
        <w:tc>
          <w:tcPr>
            <w:tcW w:w="8073" w:type="dxa"/>
          </w:tcPr>
          <w:p w14:paraId="7901029D" w14:textId="3507C2E0" w:rsidR="002E6F01" w:rsidRPr="00E15F99" w:rsidRDefault="002E6F01" w:rsidP="00E15F99">
            <w:pPr>
              <w:pStyle w:val="ti-grseq-1"/>
              <w:spacing w:before="0" w:beforeAutospacing="0" w:after="0" w:afterAutospacing="0" w:line="360" w:lineRule="auto"/>
              <w:jc w:val="both"/>
              <w:rPr>
                <w:color w:val="000000"/>
              </w:rPr>
            </w:pPr>
            <w:r w:rsidRPr="00E15F99">
              <w:rPr>
                <w:color w:val="000000"/>
              </w:rPr>
              <w:t>Termiskie procesi metalurģiskajā rūpniecībā; metodes, kuru pamatā ir hlora izmantošana</w:t>
            </w:r>
          </w:p>
        </w:tc>
      </w:tr>
    </w:tbl>
    <w:p w14:paraId="415D62DA" w14:textId="74CAFFA1" w:rsidR="008500BE" w:rsidRPr="00E15F99" w:rsidRDefault="008500BE" w:rsidP="00E15F99">
      <w:pPr>
        <w:pStyle w:val="ti-grseq-1"/>
        <w:shd w:val="clear" w:color="auto" w:fill="FFFFFF"/>
        <w:spacing w:before="0" w:beforeAutospacing="0" w:after="0" w:afterAutospacing="0" w:line="360" w:lineRule="auto"/>
        <w:jc w:val="both"/>
        <w:rPr>
          <w:b/>
          <w:bCs/>
          <w:color w:val="000000"/>
        </w:rPr>
      </w:pPr>
    </w:p>
    <w:p w14:paraId="49D03417" w14:textId="4AC0C8AC" w:rsidR="008500BE" w:rsidRPr="00E15F99" w:rsidRDefault="008500BE" w:rsidP="00E15F99">
      <w:pPr>
        <w:shd w:val="clear" w:color="auto" w:fill="FFFFFF"/>
        <w:contextualSpacing/>
        <w:jc w:val="both"/>
        <w:rPr>
          <w:rFonts w:eastAsia="Times New Roman" w:cs="Times New Roman"/>
          <w:b/>
          <w:bCs/>
          <w:color w:val="000000"/>
          <w:szCs w:val="24"/>
          <w:lang w:eastAsia="lv-LV"/>
        </w:rPr>
      </w:pPr>
      <w:r w:rsidRPr="00E15F99">
        <w:rPr>
          <w:rFonts w:eastAsia="Times New Roman" w:cs="Times New Roman"/>
          <w:b/>
          <w:bCs/>
          <w:color w:val="000000"/>
          <w:szCs w:val="24"/>
          <w:lang w:eastAsia="lv-LV"/>
        </w:rPr>
        <w:t>2. PANTS: SAISTĪBA AR NOP PROTOKOLU</w:t>
      </w:r>
    </w:p>
    <w:p w14:paraId="536B293A" w14:textId="13BD13F9" w:rsidR="008500BE" w:rsidRPr="00E15F99" w:rsidRDefault="008500BE" w:rsidP="00E15F99">
      <w:pPr>
        <w:shd w:val="clear" w:color="auto" w:fill="FFFFFF"/>
        <w:contextualSpacing/>
        <w:jc w:val="both"/>
        <w:rPr>
          <w:rFonts w:eastAsia="Times New Roman" w:cs="Times New Roman"/>
          <w:color w:val="000000"/>
          <w:szCs w:val="24"/>
          <w:lang w:eastAsia="lv-LV"/>
        </w:rPr>
      </w:pPr>
      <w:r w:rsidRPr="00E15F99">
        <w:rPr>
          <w:rFonts w:eastAsia="Times New Roman" w:cs="Times New Roman"/>
          <w:color w:val="000000"/>
          <w:szCs w:val="24"/>
          <w:lang w:eastAsia="lv-LV"/>
        </w:rPr>
        <w:t>Neviena valsts vai reģionālā ekonomikas integrācijas organizācija nevar iesniegt šo grozījumu apstiprināšanas aktu depozitārijam, ja vien tā iepriekš – vai vienlaikus – nav iesniegusi NOP protokola ratifikācijas, pieņemšanas, apstiprināšanas vai pievienošanās aktu.</w:t>
      </w:r>
    </w:p>
    <w:p w14:paraId="51196BDD" w14:textId="77777777" w:rsidR="008500BE" w:rsidRPr="00E15F99" w:rsidRDefault="008500BE" w:rsidP="00E15F99">
      <w:pPr>
        <w:shd w:val="clear" w:color="auto" w:fill="FFFFFF"/>
        <w:contextualSpacing/>
        <w:jc w:val="both"/>
        <w:rPr>
          <w:rFonts w:eastAsia="Times New Roman" w:cs="Times New Roman"/>
          <w:b/>
          <w:bCs/>
          <w:color w:val="000000"/>
          <w:szCs w:val="24"/>
          <w:lang w:eastAsia="lv-LV"/>
        </w:rPr>
      </w:pPr>
    </w:p>
    <w:p w14:paraId="574BD64D" w14:textId="77777777" w:rsidR="008500BE" w:rsidRPr="00E15F99" w:rsidRDefault="008500BE" w:rsidP="00E15F99">
      <w:pPr>
        <w:shd w:val="clear" w:color="auto" w:fill="FFFFFF"/>
        <w:contextualSpacing/>
        <w:jc w:val="both"/>
        <w:rPr>
          <w:rFonts w:eastAsia="Times New Roman" w:cs="Times New Roman"/>
          <w:b/>
          <w:bCs/>
          <w:color w:val="000000"/>
          <w:szCs w:val="24"/>
          <w:lang w:eastAsia="lv-LV"/>
        </w:rPr>
      </w:pPr>
      <w:r w:rsidRPr="00E15F99">
        <w:rPr>
          <w:rFonts w:eastAsia="Times New Roman" w:cs="Times New Roman"/>
          <w:b/>
          <w:bCs/>
          <w:color w:val="000000"/>
          <w:szCs w:val="24"/>
          <w:lang w:eastAsia="lv-LV"/>
        </w:rPr>
        <w:t>3. PANTS: STĀŠANĀS SPĒKĀ</w:t>
      </w:r>
    </w:p>
    <w:p w14:paraId="136919B9" w14:textId="354D8BE4" w:rsidR="008500BE" w:rsidRPr="00E15F99" w:rsidRDefault="008500BE" w:rsidP="00E15F99">
      <w:pPr>
        <w:shd w:val="clear" w:color="auto" w:fill="FFFFFF"/>
        <w:contextualSpacing/>
        <w:jc w:val="both"/>
        <w:rPr>
          <w:rFonts w:eastAsia="Times New Roman" w:cs="Times New Roman"/>
          <w:color w:val="000000"/>
          <w:szCs w:val="24"/>
          <w:lang w:eastAsia="lv-LV"/>
        </w:rPr>
      </w:pPr>
      <w:r w:rsidRPr="00E15F99">
        <w:rPr>
          <w:rFonts w:eastAsia="Times New Roman" w:cs="Times New Roman"/>
          <w:color w:val="000000"/>
          <w:szCs w:val="24"/>
          <w:lang w:eastAsia="lv-LV"/>
        </w:rPr>
        <w:t>1.</w:t>
      </w:r>
      <w:r w:rsidR="00723616">
        <w:rPr>
          <w:rFonts w:eastAsia="Times New Roman" w:cs="Times New Roman"/>
          <w:color w:val="000000"/>
          <w:szCs w:val="24"/>
          <w:lang w:eastAsia="lv-LV"/>
        </w:rPr>
        <w:t xml:space="preserve"> </w:t>
      </w:r>
      <w:r w:rsidRPr="00E15F99">
        <w:rPr>
          <w:rFonts w:eastAsia="Times New Roman" w:cs="Times New Roman"/>
          <w:color w:val="000000"/>
          <w:szCs w:val="24"/>
          <w:lang w:eastAsia="lv-LV"/>
        </w:rPr>
        <w:t xml:space="preserve">Saskaņā ar NOP protokola 14. panta 3. punktu šie grozījumi stājas spēkā deviņdesmitajā dienā pēc dienas, kad NOP protokola Dalībvalstu divas trešdaļas ir iesniegušas depozitārijam šī protokola </w:t>
      </w:r>
      <w:r w:rsidR="00F32B12">
        <w:rPr>
          <w:rFonts w:eastAsia="Times New Roman" w:cs="Times New Roman"/>
          <w:color w:val="000000"/>
          <w:szCs w:val="24"/>
          <w:lang w:eastAsia="lv-LV"/>
        </w:rPr>
        <w:t xml:space="preserve">grozījumu </w:t>
      </w:r>
      <w:r w:rsidRPr="00E15F99">
        <w:rPr>
          <w:rFonts w:eastAsia="Times New Roman" w:cs="Times New Roman"/>
          <w:color w:val="000000"/>
          <w:szCs w:val="24"/>
          <w:lang w:eastAsia="lv-LV"/>
        </w:rPr>
        <w:t xml:space="preserve">pieņemšanas aktu. </w:t>
      </w:r>
    </w:p>
    <w:p w14:paraId="43F93288" w14:textId="07BC3E36" w:rsidR="00575C3A" w:rsidRPr="00E15F99" w:rsidRDefault="008500BE" w:rsidP="009C19F3">
      <w:pPr>
        <w:shd w:val="clear" w:color="auto" w:fill="FFFFFF"/>
        <w:contextualSpacing/>
        <w:jc w:val="both"/>
        <w:rPr>
          <w:rFonts w:eastAsia="Times New Roman" w:cs="Times New Roman"/>
          <w:color w:val="000000"/>
          <w:szCs w:val="24"/>
          <w:lang w:eastAsia="lv-LV"/>
        </w:rPr>
      </w:pPr>
      <w:r w:rsidRPr="00E15F99">
        <w:rPr>
          <w:rFonts w:eastAsia="Times New Roman" w:cs="Times New Roman"/>
          <w:color w:val="000000"/>
          <w:szCs w:val="24"/>
          <w:lang w:eastAsia="lv-LV"/>
        </w:rPr>
        <w:t>2.</w:t>
      </w:r>
      <w:r w:rsidR="00723616">
        <w:rPr>
          <w:rFonts w:eastAsia="Times New Roman" w:cs="Times New Roman"/>
          <w:color w:val="000000"/>
          <w:szCs w:val="24"/>
          <w:lang w:eastAsia="lv-LV"/>
        </w:rPr>
        <w:t xml:space="preserve"> </w:t>
      </w:r>
      <w:r w:rsidRPr="00E15F99">
        <w:rPr>
          <w:rFonts w:eastAsia="Times New Roman" w:cs="Times New Roman"/>
          <w:color w:val="000000"/>
          <w:szCs w:val="24"/>
          <w:lang w:eastAsia="lv-LV"/>
        </w:rPr>
        <w:t>Pēc šo grozījumu stāšanās spēkā, kā tas norādīts 1. paragrāfā, attiecībā uz jebkuru citu Dalībvalsti šie grozījumi stājas spēkā deviņdesmitajā dienā pēc dienas, kad attiecīgā Dalībvalsts ir iesniegusi depozitārijam šī protokola</w:t>
      </w:r>
      <w:r w:rsidR="00F32B12">
        <w:rPr>
          <w:rFonts w:eastAsia="Times New Roman" w:cs="Times New Roman"/>
          <w:color w:val="000000"/>
          <w:szCs w:val="24"/>
          <w:lang w:eastAsia="lv-LV"/>
        </w:rPr>
        <w:t xml:space="preserve"> grozījumu</w:t>
      </w:r>
      <w:r w:rsidRPr="00E15F99">
        <w:rPr>
          <w:rFonts w:eastAsia="Times New Roman" w:cs="Times New Roman"/>
          <w:color w:val="000000"/>
          <w:szCs w:val="24"/>
          <w:lang w:eastAsia="lv-LV"/>
        </w:rPr>
        <w:t xml:space="preserve"> pieņemšanas aktu.</w:t>
      </w:r>
    </w:p>
    <w:sectPr w:rsidR="00575C3A" w:rsidRPr="00E15F99" w:rsidSect="00F7120F">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5D2EA" w14:textId="77777777" w:rsidR="00F7120F" w:rsidRDefault="00F7120F" w:rsidP="00F7120F">
      <w:pPr>
        <w:spacing w:line="240" w:lineRule="auto"/>
      </w:pPr>
      <w:r>
        <w:separator/>
      </w:r>
    </w:p>
  </w:endnote>
  <w:endnote w:type="continuationSeparator" w:id="0">
    <w:p w14:paraId="3A8E78D6" w14:textId="77777777" w:rsidR="00F7120F" w:rsidRDefault="00F7120F" w:rsidP="00F712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A1C7" w14:textId="61E363CD" w:rsidR="00F7120F" w:rsidRDefault="00F7120F" w:rsidP="00F7120F">
    <w:pPr>
      <w:pStyle w:val="Footer"/>
      <w:jc w:val="center"/>
    </w:pP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A64E6" w14:textId="77777777" w:rsidR="00F7120F" w:rsidRDefault="00F7120F" w:rsidP="00F7120F">
      <w:pPr>
        <w:spacing w:line="240" w:lineRule="auto"/>
      </w:pPr>
      <w:r>
        <w:separator/>
      </w:r>
    </w:p>
  </w:footnote>
  <w:footnote w:type="continuationSeparator" w:id="0">
    <w:p w14:paraId="21511E85" w14:textId="77777777" w:rsidR="00F7120F" w:rsidRDefault="00F7120F" w:rsidP="00F712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07A08"/>
    <w:multiLevelType w:val="hybridMultilevel"/>
    <w:tmpl w:val="914485EE"/>
    <w:lvl w:ilvl="0" w:tplc="723CCC5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EE1653"/>
    <w:multiLevelType w:val="hybridMultilevel"/>
    <w:tmpl w:val="EDDA565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CE3759"/>
    <w:multiLevelType w:val="hybridMultilevel"/>
    <w:tmpl w:val="85D6069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090953"/>
    <w:multiLevelType w:val="hybridMultilevel"/>
    <w:tmpl w:val="FDDA1D14"/>
    <w:lvl w:ilvl="0" w:tplc="615EE2B6">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E7605D0"/>
    <w:multiLevelType w:val="hybridMultilevel"/>
    <w:tmpl w:val="28D28E46"/>
    <w:lvl w:ilvl="0" w:tplc="B13499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C3A"/>
    <w:rsid w:val="000059FD"/>
    <w:rsid w:val="00012AB0"/>
    <w:rsid w:val="000169CC"/>
    <w:rsid w:val="00020999"/>
    <w:rsid w:val="0002320A"/>
    <w:rsid w:val="00030B76"/>
    <w:rsid w:val="00037A93"/>
    <w:rsid w:val="00073113"/>
    <w:rsid w:val="000B0A87"/>
    <w:rsid w:val="000B5DF1"/>
    <w:rsid w:val="000C33CE"/>
    <w:rsid w:val="000C7A9D"/>
    <w:rsid w:val="000F78D2"/>
    <w:rsid w:val="0010275F"/>
    <w:rsid w:val="00147DC6"/>
    <w:rsid w:val="001670E1"/>
    <w:rsid w:val="00184E06"/>
    <w:rsid w:val="00187F80"/>
    <w:rsid w:val="001A4321"/>
    <w:rsid w:val="001D047A"/>
    <w:rsid w:val="00225679"/>
    <w:rsid w:val="002524E0"/>
    <w:rsid w:val="0027032F"/>
    <w:rsid w:val="002703EB"/>
    <w:rsid w:val="002C3F2E"/>
    <w:rsid w:val="002D7FF6"/>
    <w:rsid w:val="002E0773"/>
    <w:rsid w:val="002E1E7C"/>
    <w:rsid w:val="002E2610"/>
    <w:rsid w:val="002E6F01"/>
    <w:rsid w:val="002F2A9C"/>
    <w:rsid w:val="003154F4"/>
    <w:rsid w:val="00317350"/>
    <w:rsid w:val="00350DD9"/>
    <w:rsid w:val="00353E15"/>
    <w:rsid w:val="00360E0A"/>
    <w:rsid w:val="00364E16"/>
    <w:rsid w:val="00370AD4"/>
    <w:rsid w:val="00380DB0"/>
    <w:rsid w:val="00397C5A"/>
    <w:rsid w:val="003A3978"/>
    <w:rsid w:val="003A3B0D"/>
    <w:rsid w:val="003B40C1"/>
    <w:rsid w:val="003B5071"/>
    <w:rsid w:val="003C2A04"/>
    <w:rsid w:val="003C60A0"/>
    <w:rsid w:val="003D071F"/>
    <w:rsid w:val="0041444A"/>
    <w:rsid w:val="00425C35"/>
    <w:rsid w:val="0049655E"/>
    <w:rsid w:val="004A13A3"/>
    <w:rsid w:val="004D707F"/>
    <w:rsid w:val="004E4BAD"/>
    <w:rsid w:val="004F444D"/>
    <w:rsid w:val="00555343"/>
    <w:rsid w:val="00575C3A"/>
    <w:rsid w:val="00581F56"/>
    <w:rsid w:val="005846EF"/>
    <w:rsid w:val="00596D5C"/>
    <w:rsid w:val="005A03D4"/>
    <w:rsid w:val="005C29DD"/>
    <w:rsid w:val="005D1CFA"/>
    <w:rsid w:val="00610C70"/>
    <w:rsid w:val="006215A9"/>
    <w:rsid w:val="00621E29"/>
    <w:rsid w:val="0063601E"/>
    <w:rsid w:val="00645566"/>
    <w:rsid w:val="006A3989"/>
    <w:rsid w:val="006B7B1F"/>
    <w:rsid w:val="007201CF"/>
    <w:rsid w:val="00723616"/>
    <w:rsid w:val="00724BDD"/>
    <w:rsid w:val="0074672D"/>
    <w:rsid w:val="007554EB"/>
    <w:rsid w:val="0076551B"/>
    <w:rsid w:val="00790E3D"/>
    <w:rsid w:val="007A1817"/>
    <w:rsid w:val="007B2077"/>
    <w:rsid w:val="0080762E"/>
    <w:rsid w:val="00816DC9"/>
    <w:rsid w:val="008261ED"/>
    <w:rsid w:val="008500BE"/>
    <w:rsid w:val="00872D61"/>
    <w:rsid w:val="00881734"/>
    <w:rsid w:val="008B1204"/>
    <w:rsid w:val="008C7506"/>
    <w:rsid w:val="008D70D8"/>
    <w:rsid w:val="0090554A"/>
    <w:rsid w:val="00914172"/>
    <w:rsid w:val="00914B1B"/>
    <w:rsid w:val="00923505"/>
    <w:rsid w:val="00964CA9"/>
    <w:rsid w:val="00971114"/>
    <w:rsid w:val="009860F5"/>
    <w:rsid w:val="00987716"/>
    <w:rsid w:val="00996364"/>
    <w:rsid w:val="009A4A05"/>
    <w:rsid w:val="009C19F3"/>
    <w:rsid w:val="009D356C"/>
    <w:rsid w:val="00A03967"/>
    <w:rsid w:val="00A20D3E"/>
    <w:rsid w:val="00A319E8"/>
    <w:rsid w:val="00A36608"/>
    <w:rsid w:val="00A70FAD"/>
    <w:rsid w:val="00A72EBF"/>
    <w:rsid w:val="00A737CA"/>
    <w:rsid w:val="00A84142"/>
    <w:rsid w:val="00A9114C"/>
    <w:rsid w:val="00A953B5"/>
    <w:rsid w:val="00A968AA"/>
    <w:rsid w:val="00AA4540"/>
    <w:rsid w:val="00AB5E8C"/>
    <w:rsid w:val="00AC3D3E"/>
    <w:rsid w:val="00AD7711"/>
    <w:rsid w:val="00AE5C64"/>
    <w:rsid w:val="00AF4E02"/>
    <w:rsid w:val="00B076C5"/>
    <w:rsid w:val="00B3499B"/>
    <w:rsid w:val="00B41FF7"/>
    <w:rsid w:val="00B6185A"/>
    <w:rsid w:val="00B80A57"/>
    <w:rsid w:val="00B8347C"/>
    <w:rsid w:val="00B94525"/>
    <w:rsid w:val="00BA7489"/>
    <w:rsid w:val="00BD0747"/>
    <w:rsid w:val="00BD4286"/>
    <w:rsid w:val="00BE11C8"/>
    <w:rsid w:val="00BE312B"/>
    <w:rsid w:val="00C0099B"/>
    <w:rsid w:val="00C02E73"/>
    <w:rsid w:val="00C209AF"/>
    <w:rsid w:val="00C22D08"/>
    <w:rsid w:val="00C2319A"/>
    <w:rsid w:val="00C708A9"/>
    <w:rsid w:val="00C91D92"/>
    <w:rsid w:val="00CA6202"/>
    <w:rsid w:val="00CB0EE0"/>
    <w:rsid w:val="00CC0485"/>
    <w:rsid w:val="00CC2E3F"/>
    <w:rsid w:val="00CE5D2E"/>
    <w:rsid w:val="00D046FC"/>
    <w:rsid w:val="00D153AE"/>
    <w:rsid w:val="00D21527"/>
    <w:rsid w:val="00D32E2D"/>
    <w:rsid w:val="00D33D00"/>
    <w:rsid w:val="00D573B8"/>
    <w:rsid w:val="00D61E12"/>
    <w:rsid w:val="00D67FE5"/>
    <w:rsid w:val="00D939ED"/>
    <w:rsid w:val="00D96C31"/>
    <w:rsid w:val="00DB515D"/>
    <w:rsid w:val="00DE3749"/>
    <w:rsid w:val="00E10F69"/>
    <w:rsid w:val="00E15F99"/>
    <w:rsid w:val="00E250BA"/>
    <w:rsid w:val="00E26D67"/>
    <w:rsid w:val="00E33C99"/>
    <w:rsid w:val="00E510C7"/>
    <w:rsid w:val="00EB531A"/>
    <w:rsid w:val="00EB7A4E"/>
    <w:rsid w:val="00EC5096"/>
    <w:rsid w:val="00ED330B"/>
    <w:rsid w:val="00EE4752"/>
    <w:rsid w:val="00F17683"/>
    <w:rsid w:val="00F32B12"/>
    <w:rsid w:val="00F33102"/>
    <w:rsid w:val="00F33556"/>
    <w:rsid w:val="00F44D7F"/>
    <w:rsid w:val="00F64839"/>
    <w:rsid w:val="00F7120F"/>
    <w:rsid w:val="00F77357"/>
    <w:rsid w:val="00FC5492"/>
    <w:rsid w:val="00FC5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56F9"/>
  <w15:chartTrackingRefBased/>
  <w15:docId w15:val="{0A760A1E-C63B-4D76-9D52-670672AB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360"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C3A"/>
    <w:pPr>
      <w:ind w:left="720"/>
      <w:contextualSpacing/>
    </w:pPr>
  </w:style>
  <w:style w:type="paragraph" w:customStyle="1" w:styleId="ti-grseq-1">
    <w:name w:val="ti-grseq-1"/>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customStyle="1" w:styleId="Normal1">
    <w:name w:val="Normal1"/>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customStyle="1" w:styleId="tbl-txt">
    <w:name w:val="tbl-txt"/>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styleId="NormalWeb">
    <w:name w:val="Normal (Web)"/>
    <w:basedOn w:val="Normal"/>
    <w:uiPriority w:val="99"/>
    <w:semiHidden/>
    <w:unhideWhenUsed/>
    <w:rsid w:val="008261ED"/>
    <w:pPr>
      <w:spacing w:before="100" w:beforeAutospacing="1" w:after="100" w:afterAutospacing="1" w:line="240" w:lineRule="auto"/>
      <w:jc w:val="left"/>
    </w:pPr>
    <w:rPr>
      <w:rFonts w:eastAsia="Times New Roman" w:cs="Times New Roman"/>
      <w:szCs w:val="24"/>
      <w:lang w:eastAsia="lv-LV"/>
    </w:rPr>
  </w:style>
  <w:style w:type="character" w:customStyle="1" w:styleId="super">
    <w:name w:val="super"/>
    <w:basedOn w:val="DefaultParagraphFont"/>
    <w:rsid w:val="008261ED"/>
  </w:style>
  <w:style w:type="paragraph" w:customStyle="1" w:styleId="tbl-hdr">
    <w:name w:val="tbl-hdr"/>
    <w:basedOn w:val="Normal"/>
    <w:rsid w:val="008261ED"/>
    <w:pPr>
      <w:spacing w:before="100" w:beforeAutospacing="1" w:after="100" w:afterAutospacing="1" w:line="240" w:lineRule="auto"/>
      <w:jc w:val="left"/>
    </w:pPr>
    <w:rPr>
      <w:rFonts w:eastAsia="Times New Roman" w:cs="Times New Roman"/>
      <w:szCs w:val="24"/>
      <w:lang w:eastAsia="lv-LV"/>
    </w:rPr>
  </w:style>
  <w:style w:type="character" w:styleId="Hyperlink">
    <w:name w:val="Hyperlink"/>
    <w:basedOn w:val="DefaultParagraphFont"/>
    <w:uiPriority w:val="99"/>
    <w:unhideWhenUsed/>
    <w:rsid w:val="008261ED"/>
    <w:rPr>
      <w:color w:val="0000FF"/>
      <w:u w:val="single"/>
    </w:rPr>
  </w:style>
  <w:style w:type="paragraph" w:customStyle="1" w:styleId="note">
    <w:name w:val="note"/>
    <w:basedOn w:val="Normal"/>
    <w:rsid w:val="008261ED"/>
    <w:pPr>
      <w:spacing w:before="100" w:beforeAutospacing="1" w:after="100" w:afterAutospacing="1" w:line="240" w:lineRule="auto"/>
      <w:jc w:val="left"/>
    </w:pPr>
    <w:rPr>
      <w:rFonts w:eastAsia="Times New Roman" w:cs="Times New Roman"/>
      <w:szCs w:val="24"/>
      <w:lang w:eastAsia="lv-LV"/>
    </w:rPr>
  </w:style>
  <w:style w:type="character" w:customStyle="1" w:styleId="sub">
    <w:name w:val="sub"/>
    <w:basedOn w:val="DefaultParagraphFont"/>
    <w:rsid w:val="008261ED"/>
  </w:style>
  <w:style w:type="paragraph" w:customStyle="1" w:styleId="doc-ti">
    <w:name w:val="doc-ti"/>
    <w:basedOn w:val="Normal"/>
    <w:rsid w:val="008261ED"/>
    <w:pPr>
      <w:spacing w:before="100" w:beforeAutospacing="1" w:after="100" w:afterAutospacing="1" w:line="240" w:lineRule="auto"/>
      <w:jc w:val="left"/>
    </w:pPr>
    <w:rPr>
      <w:rFonts w:eastAsia="Times New Roman" w:cs="Times New Roman"/>
      <w:szCs w:val="24"/>
      <w:lang w:eastAsia="lv-LV"/>
    </w:rPr>
  </w:style>
  <w:style w:type="table" w:styleId="TableGrid">
    <w:name w:val="Table Grid"/>
    <w:basedOn w:val="TableNormal"/>
    <w:uiPriority w:val="39"/>
    <w:rsid w:val="00AF4E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8D70D8"/>
    <w:pPr>
      <w:spacing w:before="100" w:beforeAutospacing="1" w:after="100" w:afterAutospacing="1" w:line="240" w:lineRule="auto"/>
      <w:jc w:val="left"/>
    </w:pPr>
    <w:rPr>
      <w:rFonts w:eastAsia="Times New Roman" w:cs="Times New Roman"/>
      <w:szCs w:val="24"/>
      <w:lang w:eastAsia="lv-LV"/>
    </w:rPr>
  </w:style>
  <w:style w:type="character" w:customStyle="1" w:styleId="italic">
    <w:name w:val="italic"/>
    <w:basedOn w:val="DefaultParagraphFont"/>
    <w:rsid w:val="008D70D8"/>
  </w:style>
  <w:style w:type="character" w:styleId="CommentReference">
    <w:name w:val="annotation reference"/>
    <w:basedOn w:val="DefaultParagraphFont"/>
    <w:uiPriority w:val="99"/>
    <w:semiHidden/>
    <w:unhideWhenUsed/>
    <w:rsid w:val="009A4A05"/>
    <w:rPr>
      <w:sz w:val="16"/>
      <w:szCs w:val="16"/>
    </w:rPr>
  </w:style>
  <w:style w:type="paragraph" w:styleId="CommentText">
    <w:name w:val="annotation text"/>
    <w:basedOn w:val="Normal"/>
    <w:link w:val="CommentTextChar"/>
    <w:uiPriority w:val="99"/>
    <w:semiHidden/>
    <w:unhideWhenUsed/>
    <w:rsid w:val="009A4A05"/>
    <w:pPr>
      <w:spacing w:line="240" w:lineRule="auto"/>
    </w:pPr>
    <w:rPr>
      <w:sz w:val="20"/>
      <w:szCs w:val="20"/>
    </w:rPr>
  </w:style>
  <w:style w:type="character" w:customStyle="1" w:styleId="CommentTextChar">
    <w:name w:val="Comment Text Char"/>
    <w:basedOn w:val="DefaultParagraphFont"/>
    <w:link w:val="CommentText"/>
    <w:uiPriority w:val="99"/>
    <w:semiHidden/>
    <w:rsid w:val="009A4A05"/>
    <w:rPr>
      <w:sz w:val="20"/>
      <w:szCs w:val="20"/>
    </w:rPr>
  </w:style>
  <w:style w:type="paragraph" w:styleId="CommentSubject">
    <w:name w:val="annotation subject"/>
    <w:basedOn w:val="CommentText"/>
    <w:next w:val="CommentText"/>
    <w:link w:val="CommentSubjectChar"/>
    <w:uiPriority w:val="99"/>
    <w:semiHidden/>
    <w:unhideWhenUsed/>
    <w:rsid w:val="009A4A05"/>
    <w:rPr>
      <w:b/>
      <w:bCs/>
    </w:rPr>
  </w:style>
  <w:style w:type="character" w:customStyle="1" w:styleId="CommentSubjectChar">
    <w:name w:val="Comment Subject Char"/>
    <w:basedOn w:val="CommentTextChar"/>
    <w:link w:val="CommentSubject"/>
    <w:uiPriority w:val="99"/>
    <w:semiHidden/>
    <w:rsid w:val="009A4A05"/>
    <w:rPr>
      <w:b/>
      <w:bCs/>
      <w:sz w:val="20"/>
      <w:szCs w:val="20"/>
    </w:rPr>
  </w:style>
  <w:style w:type="paragraph" w:styleId="Revision">
    <w:name w:val="Revision"/>
    <w:hidden/>
    <w:uiPriority w:val="99"/>
    <w:semiHidden/>
    <w:rsid w:val="005C29DD"/>
    <w:pPr>
      <w:spacing w:line="240" w:lineRule="auto"/>
      <w:jc w:val="left"/>
    </w:pPr>
  </w:style>
  <w:style w:type="character" w:styleId="UnresolvedMention">
    <w:name w:val="Unresolved Mention"/>
    <w:basedOn w:val="DefaultParagraphFont"/>
    <w:uiPriority w:val="99"/>
    <w:semiHidden/>
    <w:unhideWhenUsed/>
    <w:rsid w:val="00A319E8"/>
    <w:rPr>
      <w:color w:val="605E5C"/>
      <w:shd w:val="clear" w:color="auto" w:fill="E1DFDD"/>
    </w:rPr>
  </w:style>
  <w:style w:type="character" w:styleId="FollowedHyperlink">
    <w:name w:val="FollowedHyperlink"/>
    <w:basedOn w:val="DefaultParagraphFont"/>
    <w:uiPriority w:val="99"/>
    <w:semiHidden/>
    <w:unhideWhenUsed/>
    <w:rsid w:val="00E250BA"/>
    <w:rPr>
      <w:color w:val="954F72" w:themeColor="followedHyperlink"/>
      <w:u w:val="single"/>
    </w:rPr>
  </w:style>
  <w:style w:type="paragraph" w:styleId="Header">
    <w:name w:val="header"/>
    <w:basedOn w:val="Normal"/>
    <w:link w:val="HeaderChar"/>
    <w:uiPriority w:val="99"/>
    <w:unhideWhenUsed/>
    <w:rsid w:val="00F7120F"/>
    <w:pPr>
      <w:tabs>
        <w:tab w:val="center" w:pos="4153"/>
        <w:tab w:val="right" w:pos="8306"/>
      </w:tabs>
      <w:spacing w:line="240" w:lineRule="auto"/>
    </w:pPr>
  </w:style>
  <w:style w:type="character" w:customStyle="1" w:styleId="HeaderChar">
    <w:name w:val="Header Char"/>
    <w:basedOn w:val="DefaultParagraphFont"/>
    <w:link w:val="Header"/>
    <w:uiPriority w:val="99"/>
    <w:rsid w:val="00F7120F"/>
  </w:style>
  <w:style w:type="paragraph" w:styleId="Footer">
    <w:name w:val="footer"/>
    <w:basedOn w:val="Normal"/>
    <w:link w:val="FooterChar"/>
    <w:uiPriority w:val="99"/>
    <w:unhideWhenUsed/>
    <w:rsid w:val="00F7120F"/>
    <w:pPr>
      <w:tabs>
        <w:tab w:val="center" w:pos="4153"/>
        <w:tab w:val="right" w:pos="8306"/>
      </w:tabs>
      <w:spacing w:line="240" w:lineRule="auto"/>
    </w:pPr>
  </w:style>
  <w:style w:type="character" w:customStyle="1" w:styleId="FooterChar">
    <w:name w:val="Footer Char"/>
    <w:basedOn w:val="DefaultParagraphFont"/>
    <w:link w:val="Footer"/>
    <w:uiPriority w:val="99"/>
    <w:rsid w:val="00F71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06497">
      <w:bodyDiv w:val="1"/>
      <w:marLeft w:val="0"/>
      <w:marRight w:val="0"/>
      <w:marTop w:val="0"/>
      <w:marBottom w:val="0"/>
      <w:divBdr>
        <w:top w:val="none" w:sz="0" w:space="0" w:color="auto"/>
        <w:left w:val="none" w:sz="0" w:space="0" w:color="auto"/>
        <w:bottom w:val="none" w:sz="0" w:space="0" w:color="auto"/>
        <w:right w:val="none" w:sz="0" w:space="0" w:color="auto"/>
      </w:divBdr>
      <w:divsChild>
        <w:div w:id="631061051">
          <w:marLeft w:val="0"/>
          <w:marRight w:val="0"/>
          <w:marTop w:val="0"/>
          <w:marBottom w:val="0"/>
          <w:divBdr>
            <w:top w:val="none" w:sz="0" w:space="0" w:color="auto"/>
            <w:left w:val="none" w:sz="0" w:space="0" w:color="auto"/>
            <w:bottom w:val="none" w:sz="0" w:space="0" w:color="auto"/>
            <w:right w:val="none" w:sz="0" w:space="0" w:color="auto"/>
          </w:divBdr>
          <w:divsChild>
            <w:div w:id="543444348">
              <w:marLeft w:val="0"/>
              <w:marRight w:val="0"/>
              <w:marTop w:val="0"/>
              <w:marBottom w:val="0"/>
              <w:divBdr>
                <w:top w:val="none" w:sz="0" w:space="0" w:color="auto"/>
                <w:left w:val="none" w:sz="0" w:space="0" w:color="auto"/>
                <w:bottom w:val="none" w:sz="0" w:space="0" w:color="auto"/>
                <w:right w:val="none" w:sz="0" w:space="0" w:color="auto"/>
              </w:divBdr>
            </w:div>
          </w:divsChild>
        </w:div>
        <w:div w:id="1885409692">
          <w:marLeft w:val="0"/>
          <w:marRight w:val="0"/>
          <w:marTop w:val="0"/>
          <w:marBottom w:val="0"/>
          <w:divBdr>
            <w:top w:val="none" w:sz="0" w:space="0" w:color="auto"/>
            <w:left w:val="none" w:sz="0" w:space="0" w:color="auto"/>
            <w:bottom w:val="none" w:sz="0" w:space="0" w:color="auto"/>
            <w:right w:val="none" w:sz="0" w:space="0" w:color="auto"/>
          </w:divBdr>
        </w:div>
      </w:divsChild>
    </w:div>
    <w:div w:id="867640718">
      <w:bodyDiv w:val="1"/>
      <w:marLeft w:val="0"/>
      <w:marRight w:val="0"/>
      <w:marTop w:val="0"/>
      <w:marBottom w:val="0"/>
      <w:divBdr>
        <w:top w:val="none" w:sz="0" w:space="0" w:color="auto"/>
        <w:left w:val="none" w:sz="0" w:space="0" w:color="auto"/>
        <w:bottom w:val="none" w:sz="0" w:space="0" w:color="auto"/>
        <w:right w:val="none" w:sz="0" w:space="0" w:color="auto"/>
      </w:divBdr>
      <w:divsChild>
        <w:div w:id="1171406276">
          <w:marLeft w:val="0"/>
          <w:marRight w:val="0"/>
          <w:marTop w:val="0"/>
          <w:marBottom w:val="0"/>
          <w:divBdr>
            <w:top w:val="none" w:sz="0" w:space="0" w:color="auto"/>
            <w:left w:val="none" w:sz="0" w:space="0" w:color="auto"/>
            <w:bottom w:val="none" w:sz="0" w:space="0" w:color="auto"/>
            <w:right w:val="none" w:sz="0" w:space="0" w:color="auto"/>
          </w:divBdr>
          <w:divsChild>
            <w:div w:id="293029486">
              <w:marLeft w:val="0"/>
              <w:marRight w:val="0"/>
              <w:marTop w:val="0"/>
              <w:marBottom w:val="0"/>
              <w:divBdr>
                <w:top w:val="none" w:sz="0" w:space="0" w:color="auto"/>
                <w:left w:val="none" w:sz="0" w:space="0" w:color="auto"/>
                <w:bottom w:val="none" w:sz="0" w:space="0" w:color="auto"/>
                <w:right w:val="none" w:sz="0" w:space="0" w:color="auto"/>
              </w:divBdr>
            </w:div>
          </w:divsChild>
        </w:div>
        <w:div w:id="752748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D5CA6-913D-4BBF-8BEA-87438981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13206</Words>
  <Characters>7528</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Andrejs Šišuļins</cp:lastModifiedBy>
  <cp:revision>7</cp:revision>
  <dcterms:created xsi:type="dcterms:W3CDTF">2021-11-16T14:40:00Z</dcterms:created>
  <dcterms:modified xsi:type="dcterms:W3CDTF">2021-11-23T09:25:00Z</dcterms:modified>
</cp:coreProperties>
</file>