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9.xml" ContentType="application/vnd.openxmlformats-officedocument.themeOverride+xml"/>
  <Override PartName="/word/drawings/drawing1.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2.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1.xml" ContentType="application/vnd.openxmlformats-officedocument.themeOverride+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6.xml" ContentType="application/vnd.openxmlformats-officedocument.themeOverride+xml"/>
  <Override PartName="/word/drawings/drawing3.xml" ContentType="application/vnd.openxmlformats-officedocument.drawingml.chartshapes+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8.xml" ContentType="application/vnd.openxmlformats-officedocument.themeOverride+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highlight w:val="yellow"/>
        </w:rPr>
        <w:id w:val="1462616115"/>
        <w:docPartObj>
          <w:docPartGallery w:val="Cover Pages"/>
          <w:docPartUnique/>
        </w:docPartObj>
      </w:sdtPr>
      <w:sdtEndPr>
        <w:rPr>
          <w:rFonts w:cs="Times New Roman"/>
          <w:b/>
          <w:bCs/>
          <w:smallCaps/>
        </w:rPr>
      </w:sdtEndPr>
      <w:sdtContent>
        <w:p w14:paraId="3D40F56C" w14:textId="0CABA1DC" w:rsidR="00BF4753" w:rsidRPr="00D22811" w:rsidRDefault="001C45A3" w:rsidP="00D22811">
          <w:pPr>
            <w:ind w:right="1134" w:firstLine="0"/>
            <w:rPr>
              <w:highlight w:val="yellow"/>
            </w:rPr>
          </w:pPr>
          <w:r>
            <w:rPr>
              <w:noProof/>
              <w:lang w:eastAsia="lv-LV"/>
            </w:rPr>
            <mc:AlternateContent>
              <mc:Choice Requires="wpg">
                <w:drawing>
                  <wp:anchor distT="0" distB="0" distL="114300" distR="114300" simplePos="0" relativeHeight="251662336" behindDoc="0" locked="0" layoutInCell="1" allowOverlap="1" wp14:anchorId="2F6D34CD" wp14:editId="38F7B8F7">
                    <wp:simplePos x="0" y="0"/>
                    <wp:positionH relativeFrom="column">
                      <wp:posOffset>-414156</wp:posOffset>
                    </wp:positionH>
                    <wp:positionV relativeFrom="paragraph">
                      <wp:posOffset>-852860</wp:posOffset>
                    </wp:positionV>
                    <wp:extent cx="6641357" cy="9180649"/>
                    <wp:effectExtent l="0" t="0" r="7620" b="1905"/>
                    <wp:wrapNone/>
                    <wp:docPr id="5" name="Group 5"/>
                    <wp:cNvGraphicFramePr/>
                    <a:graphic xmlns:a="http://schemas.openxmlformats.org/drawingml/2006/main">
                      <a:graphicData uri="http://schemas.microsoft.com/office/word/2010/wordprocessingGroup">
                        <wpg:wgp>
                          <wpg:cNvGrpSpPr/>
                          <wpg:grpSpPr>
                            <a:xfrm>
                              <a:off x="0" y="0"/>
                              <a:ext cx="6641357" cy="9180649"/>
                              <a:chOff x="31713" y="0"/>
                              <a:chExt cx="6641357" cy="9180649"/>
                            </a:xfrm>
                          </wpg:grpSpPr>
                          <wpg:grpSp>
                            <wpg:cNvPr id="125" name="Group 125"/>
                            <wpg:cNvGrpSpPr>
                              <a:grpSpLocks noChangeAspect="1"/>
                            </wpg:cNvGrpSpPr>
                            <wpg:grpSpPr>
                              <a:xfrm>
                                <a:off x="31713" y="218029"/>
                                <a:ext cx="6641357" cy="7163435"/>
                                <a:chOff x="26538" y="-7975"/>
                                <a:chExt cx="5557520" cy="5404485"/>
                              </a:xfrm>
                            </wpg:grpSpPr>
                            <wps:wsp>
                              <wps:cNvPr id="126" name="Freeform 10"/>
                              <wps:cNvSpPr>
                                <a:spLocks/>
                              </wps:cNvSpPr>
                              <wps:spPr bwMode="auto">
                                <a:xfrm>
                                  <a:off x="26538" y="-7975"/>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13C8326C" w14:textId="6DBD757E" w:rsidR="00B84344" w:rsidRPr="00D551C4" w:rsidRDefault="00303429" w:rsidP="00CD1E47">
                                    <w:pPr>
                                      <w:ind w:firstLine="0"/>
                                      <w:jc w:val="center"/>
                                      <w:rPr>
                                        <w:rFonts w:cs="Times New Roman"/>
                                        <w:color w:val="FFFFFF" w:themeColor="background1"/>
                                        <w:sz w:val="56"/>
                                        <w:szCs w:val="56"/>
                                      </w:rPr>
                                    </w:pPr>
                                    <w:sdt>
                                      <w:sdtPr>
                                        <w:rPr>
                                          <w:rFonts w:cs="Times New Roman"/>
                                          <w:color w:val="FFFFFF" w:themeColor="background1"/>
                                          <w:sz w:val="56"/>
                                          <w:szCs w:val="56"/>
                                        </w:rPr>
                                        <w:alias w:val="Title"/>
                                        <w:tag w:val=""/>
                                        <w:id w:val="363876279"/>
                                        <w:dataBinding w:prefixMappings="xmlns:ns0='http://purl.org/dc/elements/1.1/' xmlns:ns1='http://schemas.openxmlformats.org/package/2006/metadata/core-properties' " w:xpath="/ns1:coreProperties[1]/ns0:title[1]" w:storeItemID="{6C3C8BC8-F283-45AE-878A-BAB7291924A1}"/>
                                        <w:text/>
                                      </w:sdtPr>
                                      <w:sdtEndPr/>
                                      <w:sdtContent>
                                        <w:r w:rsidR="00B84344">
                                          <w:rPr>
                                            <w:rFonts w:cs="Times New Roman"/>
                                            <w:color w:val="FFFFFF" w:themeColor="background1"/>
                                            <w:sz w:val="56"/>
                                            <w:szCs w:val="56"/>
                                          </w:rPr>
                                          <w:t>Latvijas Stabilitātes programma 202</w:t>
                                        </w:r>
                                        <w:r w:rsidR="00874664">
                                          <w:rPr>
                                            <w:rFonts w:cs="Times New Roman"/>
                                            <w:color w:val="FFFFFF" w:themeColor="background1"/>
                                            <w:sz w:val="56"/>
                                            <w:szCs w:val="56"/>
                                          </w:rPr>
                                          <w:t>4</w:t>
                                        </w:r>
                                        <w:r w:rsidR="00B84344">
                                          <w:rPr>
                                            <w:rFonts w:cs="Times New Roman"/>
                                            <w:color w:val="FFFFFF" w:themeColor="background1"/>
                                            <w:sz w:val="56"/>
                                            <w:szCs w:val="56"/>
                                          </w:rPr>
                                          <w:t>.</w:t>
                                        </w:r>
                                        <w:r w:rsidR="00CD1E47">
                                          <w:rPr>
                                            <w:rFonts w:cs="Times New Roman"/>
                                            <w:color w:val="FFFFFF" w:themeColor="background1"/>
                                            <w:sz w:val="56"/>
                                            <w:szCs w:val="56"/>
                                          </w:rPr>
                                          <w:t xml:space="preserve"> – </w:t>
                                        </w:r>
                                        <w:r w:rsidR="00B84344">
                                          <w:rPr>
                                            <w:rFonts w:cs="Times New Roman"/>
                                            <w:color w:val="FFFFFF" w:themeColor="background1"/>
                                            <w:sz w:val="56"/>
                                            <w:szCs w:val="56"/>
                                          </w:rPr>
                                          <w:t>202</w:t>
                                        </w:r>
                                        <w:r w:rsidR="00874664">
                                          <w:rPr>
                                            <w:rFonts w:cs="Times New Roman"/>
                                            <w:color w:val="FFFFFF" w:themeColor="background1"/>
                                            <w:sz w:val="56"/>
                                            <w:szCs w:val="56"/>
                                          </w:rPr>
                                          <w:t>8</w:t>
                                        </w:r>
                                        <w:r w:rsidR="00B84344">
                                          <w:rPr>
                                            <w:rFonts w:cs="Times New Roman"/>
                                            <w:color w:val="FFFFFF" w:themeColor="background1"/>
                                            <w:sz w:val="56"/>
                                            <w:szCs w:val="56"/>
                                          </w:rPr>
                                          <w:t>. gadam</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130" name="Rectangle 130"/>
                            <wps:cNvSpPr>
                              <a:spLocks noChangeAspect="1"/>
                            </wps:cNvSpPr>
                            <wps:spPr>
                              <a:xfrm>
                                <a:off x="5638800" y="0"/>
                                <a:ext cx="574675" cy="10477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color w:val="FFFFFF" w:themeColor="background1"/>
                                      <w:sz w:val="24"/>
                                      <w:szCs w:val="24"/>
                                    </w:rPr>
                                    <w:alias w:val="Year"/>
                                    <w:tag w:val=""/>
                                    <w:id w:val="-571654576"/>
                                    <w:dataBinding w:prefixMappings="xmlns:ns0='http://schemas.microsoft.com/office/2006/coverPageProps' " w:xpath="/ns0:CoverPageProperties[1]/ns0:PublishDate[1]" w:storeItemID="{55AF091B-3C7A-41E3-B477-F2FDAA23CFDA}"/>
                                    <w:date w:fullDate="2024-01-01T00:00:00Z">
                                      <w:dateFormat w:val="yyyy"/>
                                      <w:lid w:val="en-US"/>
                                      <w:storeMappedDataAs w:val="dateTime"/>
                                      <w:calendar w:val="gregorian"/>
                                    </w:date>
                                  </w:sdtPr>
                                  <w:sdtEndPr/>
                                  <w:sdtContent>
                                    <w:p w14:paraId="63BE1798" w14:textId="4F96D67F" w:rsidR="00B84344" w:rsidRDefault="00B84344" w:rsidP="00BF4753">
                                      <w:pPr>
                                        <w:pStyle w:val="NoSpacing"/>
                                        <w:jc w:val="right"/>
                                        <w:rPr>
                                          <w:color w:val="FFFFFF" w:themeColor="background1"/>
                                          <w:sz w:val="24"/>
                                          <w:szCs w:val="24"/>
                                        </w:rPr>
                                      </w:pPr>
                                      <w:r>
                                        <w:rPr>
                                          <w:rFonts w:ascii="Times New Roman" w:hAnsi="Times New Roman" w:cs="Times New Roman"/>
                                          <w:color w:val="FFFFFF" w:themeColor="background1"/>
                                          <w:sz w:val="24"/>
                                          <w:szCs w:val="24"/>
                                          <w:lang w:val="en-US"/>
                                        </w:rPr>
                                        <w:t>202</w:t>
                                      </w:r>
                                      <w:r w:rsidR="00874664">
                                        <w:rPr>
                                          <w:rFonts w:ascii="Times New Roman" w:hAnsi="Times New Roman" w:cs="Times New Roman"/>
                                          <w:color w:val="FFFFFF" w:themeColor="background1"/>
                                          <w:sz w:val="24"/>
                                          <w:szCs w:val="24"/>
                                          <w:lang w:val="en-US"/>
                                        </w:rPr>
                                        <w:t>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2" name="Picture 2" descr="V:\FM logo\22_horizontala_vienkarss_LV\22_vienkarss_bezlaukuma_rgb_h_LV.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953000" y="8207829"/>
                                <a:ext cx="883285" cy="972820"/>
                              </a:xfrm>
                              <a:prstGeom prst="rect">
                                <a:avLst/>
                              </a:prstGeom>
                              <a:noFill/>
                              <a:ln>
                                <a:noFill/>
                              </a:ln>
                            </pic:spPr>
                          </pic:pic>
                        </wpg:wgp>
                      </a:graphicData>
                    </a:graphic>
                    <wp14:sizeRelH relativeFrom="margin">
                      <wp14:pctWidth>0</wp14:pctWidth>
                    </wp14:sizeRelH>
                  </wp:anchor>
                </w:drawing>
              </mc:Choice>
              <mc:Fallback xmlns:w16du="http://schemas.microsoft.com/office/word/2023/wordml/word16du">
                <w:pict>
                  <v:group w14:anchorId="2F6D34CD" id="Group 5" o:spid="_x0000_s1026" style="position:absolute;left:0;text-align:left;margin-left:-32.6pt;margin-top:-67.15pt;width:522.95pt;height:722.9pt;z-index:251662336;mso-width-relative:margin" coordorigin="317" coordsize="66413,91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wWj0CCAAAghsAAA4AAABkcnMvZTJvRG9jLnhtbOxZW2/jthJ+P8D5&#10;D4IeD7BrSdbFNtZbpLvNokDaBt20+7JAQMu0pUYSdSg5dvbX9xuSujly7OYUfToPcXgZDmeGc/lI&#10;vfvukGfWI5dVKoql7b51bIsXsVinxXZp/3Z3/WZmW1XNijXLRMGX9hOv7O/e//tf7/blgnsiEdma&#10;SwtMimqxL5d2UtflYjKp4oTnrHorSl5gciNkzmp05XaylmwP7nk28RwnnOyFXJdSxLyqMPpRT9rv&#10;Ff/Nhsf1L5tNxWsrW9qQrVa/Uv2u6Hfy/h1bbCUrkzQ2YrBXSJGztMCmLauPrGbWTqbPWOVpLEUl&#10;NvXbWOQTsdmkMVc6QBvXOdLmkxS7UumyXey3ZWsmmPbITq9mG//8+EmWn8tbCUvsyy1soXqky2Ej&#10;c/oPKa2DMtlTazJ+qK0Yg2Hou9Mgsq0Yc3N35oT+XBs1TmB5Wjd1I3dqW93aOPnhzOpJs/lkIFLb&#10;0aJC9ltppWv4nRfYVsFyOJiymUUDRqFOQ30+UO9GxA+VVYgPCSu2/Koq4SZgQivUhv0l7Z63csQm&#10;nW4edPeM6qPGidxw6k+VWGzRGscLgylCBMZ5E82jdrYxUBAEUeDBccm8ge/4/kzRnDQQoqjqHKX6&#10;3xzlc8JKrvyvWvSNHTbGvpacU2xaroqkfanoyJvIVpU2tLZqb4bIKtBYq/1PYo0zY7taYJvm0FuP&#10;GzVOY9yzpoGVd1X9iQvlxOzxpqohCkJ0jZZuGJ+5g4E3eYbA/8/Ecqy9FcHkhrYhcQckiRU5z0i8&#10;AckoF8RBu1Ho+9YoH79H5LrTcXng8B2nMBjnhINqiaDTOCcEb0t0Uib4aEt0ktO8RxS60bhMcJUL&#10;WLkX2Nu9wOCUeVrBnU4iBFDrByxpXCM+FMY30LKQHCjfkauUoqJURo6CQLzTqQIOdiho9gQxxCPi&#10;qcor54hx6ETcRPfLnHGuRBxdxFmnlzuVm6D2y5zpdJSGl6lIR6DIB0rqXYwlJZLrcfWVtoXqu9Ix&#10;VrKaDkCZGU1rv7Qp/qwE/xFkNJ6LR34nFEV9VIqwVzcb71Zp/D3/9pwWjm126zF4aZB0GHAb9krF&#10;xtN1LQxMLtCjoTZKGMz6WyKSla3CsD3j8/zBmOwb6qwPP1Tb+pF2gDYH6WFlNaLWul6kQbvGVc7U&#10;7HDZ8F/aYWCihv/pwYt4a+sMmLw8dMQVXfI+lH3dUG6oaLrCkakQL8R1mmVUytiCRoATdBEjKIJW&#10;/ZRx8s+s+JVvgEmQLLTrVrHcrj5k0tKgU2UUcn4ltGKGBbRyA/7tWtdxpsrzFRDmtP6RAcKuHzwT&#10;84acVnKFc9u1l+3bLlJ7i6Ju1+fsDyHVLj3NqFkfVgdYgJorsX5CAZdCA2pcANBIhPxmW3uA6aVd&#10;/XfHJLet7McCIGTu+j5C2apVz3XmkTdDVw67q2GXFTE4UppAJqbmh1rbcFfKdJsoxEbCF+IK+GGT&#10;UnVXx6KFMx3AIS3yP4CLUEk1CO1wkUqjZDHgp78NF82icErmRKwjFcyjmcq+cAQDq33kC2cKAoUa&#10;nfncaVJOA+lfhYxCJwKCwK9Oa9v1KWwUhscUyIhtFXajcJxNv1QHhB6e8+lDI4IzI8L0gZE/G+XS&#10;h0Ve4I7zGcCicJRPHxSdNE4fFHnjWg0g0UlGzyCRNg9yyP+RzAhUG0cylNxbkPcaaEIeR9AExqfk&#10;02EPU/tpGnHZpPdufgw/+Ka+D8FJE9u4ViOlNSUZYaM461HS4yx8QKLtLWkY4YJOEgYmaWi5TTZR&#10;iOUi3tBfcRlinMBAH5MANG+EmKJt/fW85FNgJ2Kvl7SSU9Eg0Qfs1Ylg1Gvh8FnDNEsGyOH84JFh&#10;0D2LHiqRpWuCDnSQR8V8tXWVD7GsTJiu7zh6fa8E75ZagY4Bo4swyWtqdFOi/UAhNF2gVfUGYlfl&#10;2cz8jcW5e+P5pwo1lUZdqH/F5QS5I+OWi0EDbp6X6pNvRb26rsCSefloyqx5OQvC6WxmCrZxuaZU&#10;B5Ef4tlHVWrX8aNIXyVw/A2PUmosalFjaVPO0l5jHjTICw0J+dhFrjEGV70xvMnimBe1dtMqYWuu&#10;3TQ46aYK/5IcQzj7Em+CbS09LW2h6RBH40W4A8KNYHpxu0LtPACzaQEwS8NtOGkVMmhldtb0Bi8a&#10;0zR4Vz8vNp5xFFJVGV+nsP0Nq+pbJvF+BMciLPwLfjaZwE0WF1fVQs0AOh4bP4edTcBp6DyIS9MZ&#10;xGWxyz8IXBSQcSGdakImWWdNcyNF/gVv5leE2DF1MpDxrhfzqytFhLdqZLqb4nMZE2syJ/nc3eEL&#10;k6VxzBou/bNongzZonlwM/6paWnlBXi9TOMF/syDN1rP3jHPfxjAqnpHVxD9cSG/iEfO5MOufKP1&#10;TVdpltZP6jsDdCahisfbNKbXTep0T6KoejqfYJY2tTCw5rj6Le3fF1+vf7IysRVfPe8eTpB+g7+x&#10;jN0/prx4YLKq7m9+p7muv+LfMrZ72OXsHpfH+wQEb/8ot+SFzb5aChxDGr/0mj0kn1B3oMIqS8um&#10;OlHbGAtyH31gGLG3/njxUcS7HDlCf42RPGM1PgVVSVpW8LsFz1d8jaz14xoeGeNLUI33Xtzfipq0&#10;QVTKmHKwbteS1zFu4002UOPwn6qZUAp0MpM6Fz0k+/OAKqsCDzPPiWbHL/Wz2dTDG4v+ioHLqdfg&#10;t1dm4fa54GRCbmRH2qEm/lQCUh96VEI0H6XoS1K/r6i6T2fv/wQAAP//AwBQSwMECgAAAAAAAAAh&#10;ANJkz2tVdgAAVXYAABUAAABkcnMvbWVkaWEvaW1hZ2UxLmpwZWf/2P/gABBKRklGAAEBAQDcANwA&#10;AP/bAEMAAgEBAQEBAgEBAQICAgICBAMCAgICBQQEAwQGBQYGBgUGBgYHCQgGBwkHBgYICwgJCgoK&#10;CgoGCAsMCwoMCQoKCv/bAEMBAgICAgICBQMDBQoHBgcKCgoKCgoKCgoKCgoKCgoKCgoKCgoKCgoK&#10;CgoKCgoKCgoKCgoKCgoKCgoKCgoKCgoKCv/AABEIAOoA1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KKKACiiigAooooAKKM&#10;0ZoAKKCfSub8AfFf4efFBtXX4feL7PVjoGtTaTrIs5N32S9ix5kLf7S7h7c8E0AdJRRnPSigAooz&#10;jrRketABRRRQAUUUUAFFFFABRRRQAUUUUAFFFFABRRRQAUUUZoAKKM0UAFU9R1TTtIiF1qt/Dbxt&#10;IsayXEwjUsTgL8xAyT09audRXgH/AAVE+E//AAuv9gH4pfDqPRbPUJrzwrO1vb6harPHvTD7ijAh&#10;sBTjis61T2dKU+yb+4qnH2lRR7ux72ea4z4zftE/AL9nDQYPFH7QXxw8JeBdMuJjFa33i7xJa6bD&#10;PIBkojXDoHbHO0ZOO1flZ8G/2jv2s/hF4Eh0T9m39pq6s/C2pafH/Z+meMNJ/t4aRC6KVfTZLiVZ&#10;LZgm0JFK89rGowtuK3f2Dv2c/hV+0j+3rrCftHaPdfEPVo/hbfXGqeIvGd899eX8V1cLaSWrlvlj&#10;gCuXSGERxRMAY0QgGvzHIfFnhviTMqOXYBTdefNeLjy8nKrvmb0e32XI+1zTgPOMnwdTF4lx9nG1&#10;mnfmva1lb87H1J+0f/wV8/Zw0P4ea54e/Zw8S614u8cXmlsnhM6P4N1VtKnuJBtSYaqbJ9P2pkyZ&#10;aUq2zb/FXyp+wd+0HpX/AAT8+Klxqnjv+1rvwL4w0nb4yvtF8PXeoXFvrERLx3/2SygnuZRNvkjK&#10;RqEjHzHPFVfj1+zxrf7G/wC0NJ+z2PFE3iDwzfaE2t+DtUvmZ72zsxOIWsbpiMStGxGyXO50++Aw&#10;y3M+K9cTwx4Y1LxK9m9wunWE1ybeP70vloW2j3OMV+M8beKnGWS8dUcNUoRj7BtcileNRT0Tb0tp&#10;tpo9z9F4b4J4dzDhmpVjOUvape80lKPLq0vnv3P0m8F/8FPv2AvG13pujw/tU+FND1TVnVdM0Lxp&#10;eN4f1K6ZmCqqWeprBcMSSAAI8knAr3rO8bl5/rX5w+F/+CZ3w3n/AOCfnxA+OX7SdjZ+MPGHjD4Z&#10;XGoLb7W+xaHp4gF7Hp1qHXPzmOMTzFQ0pyuAgC14J+zb8df2pvgX8NdLtf2avjy3h/w/qmjQt/wi&#10;PiLSzrmm6SJIwd2mrLMklkyZ+SJZHtVPW2bnP7hmfiBhuFMDhKvEMPZSrp3cLzjGSs+V2956dUrX&#10;PzTB8J1M9xFeGUT51TaS5vdlJPr2XzZ+x97q2mWFxb2l9qdvBJdSbLWOaZVaZsZ2qCcscdhzVrqR&#10;ivyr/wCCf/gLXPih/wAFMfD3xZ+IfjDVPG3iLw74M1a61jxB4ruPtV1Ct08UcAt+BDZR+ZHN+4tk&#10;iiBJIQZJP6qLgnkV9RwzxFg+KcpjmOFi1Tm3y3Vm0na9vPdf56Hh51lFfI8weDrNOUbXs7rVXtck&#10;ooor6A8oKKKKACiiigAooooAKKKKACiiigAooPpXO/FHxnoPw3+G2vePvFfiyz0HTtF0e4vb7W9Q&#10;uI4oLCKONnaeRpMIqKBuJb5QBzxQOKcpWR0BOe9GeOtfzD6H/wAFM/8Agpp8ZPiJp3i3xP8At1/E&#10;i8m8Lai1xDqGnKug2cs3ybPP0yCOK3mkDwo32e4hmg8qQ7k3SMX97+Bf/ByZ+258KPjdZ/Dn4jah&#10;ofxftbhZW1TS/EGlp4f1C3VUO17e7tLVYCu4EkGCUtjAKZLr48c6wLrOlrdat20S82fqdbwd4yp5&#10;LSzKMYShVajCKl78pO1oxi0uZ+jezP38+7/FSZz0FeJ/sJ/t2/CP9v8A+EM3xW+FWla1pTafqLad&#10;r2heILWNLrTrtUV/LLRO8UoKOrK8cjAhhnawZR694m12z8LeHNQ8T6ijtb6bZS3U/lrltkaFjgeu&#10;BXrRlGpFSTuns0fmeJwuJweJlh68HGcW4uLVmmnZpp7NPcvckcCvzn/4KsfEn9rb4leOL74DS/s3&#10;fE6z+DthHHJqGpeD/CtzrsnjaY/N5LppIuJ4LGM8NDJGjzt98CNdsnyv8Yf+Drz4lvrVnc/CH4a/&#10;DDwzolxfEW9x4s1DUNamvIDkxLKbY2cenSsmGKu04U7gN4G6vsj9h7/g4a/4J/ftN/De41H44fH3&#10;wB8LPFmjyRwazpPiLx1YxWl2zAkTWM0siGeEheQyq8bHawI2u3jZlhqfEGBqYGFWdPnTTlDSVutm&#10;00u10ro+knk2bcLypZhiqVOSumoucZa2uuaEZcy7rmSPlLwx4g0nWIrjTrHS9S02fS5vs17pGsaH&#10;daZeWLhQRFLa3UUUsJ2kEB0HFQeEdd+NEnjnS/jD+yX8OvifN4u0tZF0HxNoPws1m60fVYw5EllN&#10;ei3WyubZ2UqwM42MNylWWup/4Ko/tNfsGfEP4y+GfjH+zZ+3t8E7q/8AGn2fwp46lX4naeY7CDcf&#10;s2qyeXO0gWENJGTGvyiXec4FfZ/wo/4Ke/8ABHz4N/DbQ/hZ4L/4KHfBeHS9A0uGys1/4WJpu5lR&#10;QN74kALscszY+ZmY96/DuF/AuWS8VVsY8TVhCm4ujKLSk7/Fz3i0+zVlc+0zvxMjmGRU8OqMJSmm&#10;qikm4q23LZr1XY8Ovv2Kv+CgP7cP7Q918dfjF4Y0v4K6Lq/hXR7a7ttS1WLWtWsbiJJBdw2dvbu1&#10;uquxVlmmlJU4DW8mDXZ/Fr/gjA2ieGlvf2X/AI863Jqy2pXUtF+J2oNqOn63Jj5n86NFm06R+hMK&#10;vbqPu2uTmvYf+HxX/BKMH/lI38F//Di6f/8AHaT/AIfGf8Eoidp/4KN/Bf8A8ONp/wD8dr9mxXA/&#10;DeOrVquIwcZzq2cpSjeTskk03qtullfU/OqHEmdYWnThRryjGmnZJ2ST7rrv1ufFfxa07/gpV4Q/&#10;Zm8D/sd/F/8AZv8AG2n+CdB8NrF411zwBDJ4km8UXPmufsS/2aZLuKyVSobdAjzDghFyp8/8N6zp&#10;tz53h238Oazod1pccUd1oPiLwxeaPe2SMgMQe0vIYpolZMFd0YBXpkV+ijf8FjP+CUSgk/8ABRz4&#10;L8c4HxE0/wDpLXwd/wAFWv2y/wBgP4o+PvCnxf8A2ZP28PhBea3rzJ4V8WC38fWata20jZh1XBcJ&#10;m3Hm7nkJJAhjUcnH5z4oeFFbi7Ce3w1ap7WmkqdNtezS0vpy3u11v07H1/BPHFPIcR7GtTioTu5T&#10;s+Zvda3ta/SxyHh3XfiTqfj3Tfib+zJ4I+KEni/w5dTR6H4u8JfC3WtR05pFO2azmu4rb7HcW7kB&#10;JYWmA7hkdVdf1y/Zh+JXxc+LXwR0Lxx8dfgdqHw78WXUGNZ8L6hf21yYJVODIj28sgMT/eQOVkVS&#10;A6qwIr55+Bn/AAU6/wCCN/wA+D/hv4L+Bf8AgoV8HYdJ8N6TDY2a/wDCd2nzBBy/zSk5ZsseTjNe&#10;G+MP+Dhv4ZfEn4ialoP7J/xJ+ER0bRb7ZaXHjLxBc3V54qQMiN5FvYAvpkLSMFS4mFw7blJtVyAf&#10;t+BeCIcD5V9Uo16lSOjanZxUurjZJpN9G2fM8TcSy4lx31idKMGrq6Tu105tXdr5H6eDPeivEv2I&#10;v22vAH7bfgLUPFPhDQ7jStQ0K8htNe02S+gvIYpJYEuIpILq2doriCSKRJEcFXAbEkcThkHtpOBX&#10;2p82FMuJ4bW3kubiVY440LSSO2FVQMkk9hXwx8eP+CyfiLw14Kvvid+zJ+x9q3jbwbpNtLf6h488&#10;VeL7bQdMn0+Mp5l3ZRRR3l9cKiGWUrLa2waOFvLaRmRW+IPix/wWP+NH/BU79n2z/ZY8I+P/AIde&#10;Abv4geLG8KeOLPwn4ov/AO2LCzmtLmR7eVLuyi/dGGJ1aa3Z45ZgluJPLeU0AfuKrq4Uodw68c5q&#10;Svlv/gkXrUg/ZKb4a3nir7fceBPHXiHw5DZTXTSXGmafbancLp1tKHPmLiw+yMm/JeJ43BZXVj9S&#10;UAFFVtY1fSvD+kXWva7qlvY2NjbSXF5e3kyxw28SKWeR3YgKqqCSxIAAJNYPwo+MHwm+PHgq1+Jf&#10;wQ+KHh7xh4cvpJEs9e8L61BqFlO0btHIqzQM8blXVlYBjhlIOCKAOnooooAKDnHAooPSgCM+rNX5&#10;s/8AByf+03ffDT9mHw7+zxoN3Ms3j/UprrxBbwK6tcaLp6CWaIOpxiS4eyheNgRJDLMp4zXvn7Yn&#10;/BZn9gb9iHxrd/DL4x/FS5uPEmmiFtW0bw/pb3R00SqGQXM5229vIUZHELyiYpJGwjKupP5L/wDB&#10;a79sLSP21vHngr4v/AD9o7wb4r8EXkd7ovh/Tl0e90nXvCU15b2sskWoQzqfPinexzbXQWIFpZVU&#10;XCoGHn5hW/2Sag1dLvqu7+SPuuBcplPinBTxlKXspTTV43UnrypXVmnKy107tI+M/D/jPVvh9r9v&#10;4f8AGFpKum3UN1cWV9pljJdQ3s80guML5SM42q0wAYDcq7sdhueCvih8IPGnjO6tLyw8SalqBs/s&#10;mi6J8Nf7IuvFGrahPHG1hBDbXswL28zSozfZ47u4AR4zBEzCRcfT7LxR4Et/D7+OW0210bS7+YLP&#10;BfSz+QJFlWIPJIi7Y0Eix9P7rFlAIr1D9hz9rHw3+zh+1TYfE7U/2f8Awf8AE2bwvqX9oaQ2pyTw&#10;uIlYkSWstvciya9hkuGZZby0uJl2QBJYgkRT43AxwP1pyrJPS976b6tpL9T+veOMRxxQ4Xjg8mrS&#10;hJySjTcUq0V7OLShKUo2SkpRTjFN2drvf9Xv+CEH7Vn7FHwq/ZW0f9n7W/iwvhn4laxrE+oeLtP8&#10;bRx6Wt/rkojjltrOT7RNbTPCsccH2aKc3C+QzywQszKPdPjh/wAFAv2cvjB+zz+0z4P8GfEN9L1D&#10;4O2M+jeLNQv41FvHPcWPnQywTRO6zI+WjwCJFeN1ZF+Ut8k6n+3l/wAES/8Agod+0L4q0b9oPwfH&#10;8I9Ss/CNrdx+PfFvia30CfX9+5JrK7ijma2vTB8ixJdG5Dl5PKRQFaX4n/aX/aC+EHi3Rpvgx+yv&#10;4HuPBfwJ0TWJNT0vSb+4nku/E18AF/te/MzswXCg29oAqQrh9iuUSH6KeYTwNH3+VxtaHK9W+3Lr&#10;a3fm17H8vcN8AcQcb8VSw9SM6dRSc68qqsoK95Sk3a7eulk7/efFOk3Gl6g1j4f0q5D2fhezWFbd&#10;MYgu5QzzoT3KbgnXA5zyONjrzmq+r+FPEPgj4t+MPD/ibwjJodz9stLiPTZtgaOCazhlhbbGSF3R&#10;Oj7chl3YYBgVFg4xg1/V3h3gcNheD8NaCTkuZ33bbu7+Z/J3jBnGLzTxCxzlW9pGE/Zwa+HkglGP&#10;KtkrK6t3DAPtSYXr8tO0K11DxVcfZPCdlJfyHj/RlMiKd235mRSFXdwSehqz4Z8DaboXxJXwh8Xf&#10;Ft9pMkniNdP1rQ7HbJe6aGUB7hJCsibQxRVRoyCXzkH5a04i404d4bhL20lOcYubpxs58qsrqO+7&#10;SPmsl4VzrPJL2acItqKlK6jfezfkk2ZM+s6XZ36aZdTqkkkZkVW7qDgnPSpLnUrGzVmllGVUM0aq&#10;WbaTjOBk4z3xXpv7Q/wI+H/wO+N118MPDem63NpsZ0/V41vLjzo50V992ZDJw0aqM7TnlsAYwB0f&#10;7aHwj+E/gf4gab4k+FXh/TtEik+H93ql1b2tsGF43mK21hkNt2ScBSAnGMDIP5RHx8ynFYnBww2F&#10;coYqnUqQk7e7GnFO0l3eqXmj9El4Q46hSxEq2ItKhKEJJX1c20uV9EtL+p4qrowypHTK04YxXoH7&#10;RPwA+HH7P/w88BrpXjm8bxJrelxXN9azX1vBYrHsz57h4TJ87EKcSdUwqEkKeDtvCPjLTfDNv4v1&#10;DwvqEek6hbPd2t+8c00fkiTyzI0nlKFQv9wnGVIyF6V9zwp4qcJ8VUaU4P2XtJSjHnSipODa919b&#10;2bW10nY+T4g8PeIsgqTjL95yKMnyXbipJPXta6vva5H1re+Enxi8T/s6/E/R/jr4Kit5NR8NTtOs&#10;FxarItxDtxLDzyu9cgMCCp2nOAQediureeSSGGaN3ibEiqwJQ9cH04qvr4zoN7/16Sf+gmv0LMML&#10;hcZl9SnOKcXFnxeBxOKwmOpzjJpqSP3k/wCCYnxN0H4YfCT4veL/AIG65Y+Mtf8AEfgmT4h+B/Dl&#10;hYsJdQtmt5ls7QQxsZbgo8C2odQHdVUBVJArJ+A//Bwx4U8L/CjTtD/aB+G/ibxl4+vL6aGO+8GX&#10;3htLDUp2kbyoLa3bU0vAVGE+z+RNcgqQBO3LeU/stfAjxR8MP2Cv2f8A4j/EnxDqVx4VvvCmmXXg&#10;v4oaS6Wur+AdVnRVS1mljUL9mkcqkUzq0UmVtrtZCyNcfW3gj/gpB4a/ZwtdQm/bn8D2Np4kmVLf&#10;QPH3gnw0zReNZM7YLHygXktNRZiAIJX8hwS8cwVJVh/kDHUMbKsnh6iik2mnG915aqzXzXkf1Fha&#10;2G9i/bQbdk007Wfno7r7n5n5n/tI/Ej9sb4f/FWxm+DX7E2i/s26LH4PXXtY0xfGks+qa/YX2oTW&#10;1nbPcaxay2OmoWgYQxX1hE1quYI1UMsZ7b/gjj4w+HGlfsw+MvHfxk+G/wAMvBV9oPiiWz1zxdpl&#10;1pr2upWUJE9tLNqUTFbpIGkaFZpJZCXiYs5fcx3P28f26/HH7WfxH8J+PNZ+C1v4Sm+G2j61qfir&#10;W/gr4ybxfrOix26wXUFpfNJZ2uk2t0jxSTJDe/bY0ZHaJUlaKWvl3U/2WrfwXeeKvHPxj8NN40+K&#10;Gj+BV8Zz+Kftv9qavp2rN9okt9R1vVZRFBF9kRUuRaKnmXRYFhemJJF6afNGKTd2vvMpyUm2lbyR&#10;9x/8EEviL8c7D9r7x5p1vF4u8b/Dvx0upS6X4m1XXkkk0C003Urm2sjqEV9JHeSXkzfa4ZH8uQpF&#10;bWMakqrpb/rL8Q/iP4C+EngnUviV8UfGem+HvD+j2/n6nrGr3iW9vax5A3O7kAZJAAzySAASQK/I&#10;r/ggzqnhH4d+Kv2lP2+NZ+KWpWfwt8N3T+HfEEnjzSr7+3n1Sy/0y7u0jJXyo7ia8luPskdrHI11&#10;eyIkKbVWT1D9p79pbw94jW3/AGqf279bsfDXh3R77z/hr8N76ZJhpUux2juHijZxf63JEHO6MSLa&#10;x74rc7ftNzdV8TEdr+1l+1b/AMNX+DLyTxdo1x4D+AegSf2r4jufGlr9lvvGUNtmaMz20hDadpas&#10;kc7RXAW6uWURSw20SSR3ff8A/BFD9oz4X/HH9mq6j8NeKby78SXmsX/i3VtN1DQL2xntNJ1jVL+T&#10;RyftMESTqLO3WDzrdpoGe0kEc0qgSN8MJ8b/AIXftb6vD4k8eanZ/EzS7eSK78MfAr4Y3Vp4gWKb&#10;JaG71+8gmNgJ/kYxRXE8VjG6ttkupY4po/p7/gl74m/aStP28vGC/GP4e+E9Oh8dfDSG9NnoOoTX&#10;l54Xs9Lu4Y9Nsr24xHDK11LqutzLsi2qbSREmnVMqW90Wp+jFFFFSMKz/E1zeWfhy/utPTdcR2cj&#10;QD/aCkgfnWgaz9e0qbWtEvNHg1i4sJLy1eFL6zEbTWxZSBIglR0LLnI3qy5HKkZBCovlkmfzG/8A&#10;BOf9v7Xv2Xv2htO/a21nwloHjrVr7Tbhtattatt9/q0OofZrvUr+xn3Yj1AzrchiAylXeORE8xZF&#10;94/4ONv2W/2XPhR8d/hT+2D8CfB2nw+H/i3pd5ceJovD8YSx1GSWS1MOoW8MCD9/cC9M0snLSNbQ&#10;su1y7SWP+CkX/BEa3/YU8e/DXU/hFq9h4Z+AGoeNPDPg7WvEEc11d6poS3S3cd74o1i6nT7LbYll&#10;iQuuyBgII9sIG2Tp/wBrX4Vfs5/slftp/Br9mT9m/wCHnxd+Mmk/ATTb7xz8Uo9BaHxFrRklk046&#10;eETzoY4kthaWCSW0UcKQWt5byRxOZGJ8SnhcRGnUo1HeLas+ur1P2LFcU5LjMywOaYCDjiIRftYv&#10;4HyJKmtXa10la1rJXV7t/CVzqXxF8LXGl6Db3mm65FqUzwWt1fM9vJHtieUGQorrKdqEbgqZOOOS&#10;RzPiXwReeK01jxB4lOn3mveHZg2n2c9mGs/s5jDFfKck7ZDvUyZ3ZjBG3GCaVBo+pS6Pf+A7DV9d&#10;NhJEY5Le8jkg0q2QqRawyyeRHKxG2MtzIyZLf3Szxv4zm8OaX4ku/FsBsdQvWtYriC3uA7W+nnID&#10;q3y/PlpQW5VW254wT8ZGEo1LU7X2v1bv27NH9iYnG0cwyz2mP5/ZayUXJyjFeyb5edq0pKauryk4&#10;6WtZofqf2bU/CemS+BPCOk6frNrq3kxWMdurW0qPErzA4VSyNA2TkKwIx1UGvvH/AIIJ/sO+Hv2z&#10;vjvqHjb4krp118PfhqLHUf8AhF7zdLLfX1x5ht7SVCgQ20DwSs4LHcRHGUKZx8W/Arwr8PtP0Sbx&#10;J4Omtrp7u6kM0kFxLMsBOMxIZTuA4BLcb+G6bQP0r/4N+j8J/gt8VdHvdN/4KL+Ff7Z+IUmpaVr3&#10;7Pdx4R3asL2GSa5guRdR3YaKJYsMk0tsY386SJXLldvqZPCnWzDkavya673+/p0Py/xbr5lkvAMc&#10;fTq8ksSlD91blcVbRuKSTlG/NbRuMVbS6+G/+CvXH/BW39oBB/0NVkf/ACnW1fPdus2tajH4e0OW&#10;OS/vJvs9ojyKiecR8qs7YVMnH3yo5FfQ3/BX7j/grj+0ACf+ZmsD/wCU6CvKPhp+yb8WfjZ4V1T4&#10;keAfCMeowWNwiRW1xB9m/tKMq4Y200h8mdlIKEkxmPPDMTtr+oMZxfheD/Dqhi61aFJyXJGU2+VS&#10;baXbr3aXdrc/zLo8N4jiTjivh4UpVFF80lBK7SSb79Oyb7JlnxL8GPj/APskfELQfEms3P8AZerX&#10;EdvLpvifToXaGaXYPMs5AplClSzK0QSQScEHYW2+g/tIzeGP2g/h/b/tMeHEWzuoYhonxO0mMmSb&#10;SZOQt0EG5V2MDiTICqWYMzLisr4f/HDxj4e066/Z3+OnhS68S+GpttvdeCvEkyWut6NFkrGbN7lo&#10;mvzgZREVXYgBEjQZbuP2ffgJrHiXxt9s+FviDSvEXgW+gaw1rVNUjC3r2Bykml38BxILuEgNHI6N&#10;gIFO0BSP4x4k4hxlLELNc3nCOIo3tWg7U69OW8Hvyya1UW7OXvQbV7/0/kOS4apTeCwEZOjUtenJ&#10;e/SnHVS80trpXtpJKytxfxrk1n4r/D74da5q872+uSaPqfgm8WO3Yw28vkeat2oLZkRolTaSQW3Z&#10;IU/LVn4yWFx8SPiv4a+GUSWqXyaX4Rt9HuL1BiUFfMuooySNx8tTuUfw8kEV9g/DL9lf4L/C7Tpr&#10;TTfCcepT3VzFcXuoa5i7nuZ44/LSViw2rII/k3Iqkgc5PNdNrPwr+GniBrd9Z8BaRcSWg/0GdtPj&#10;821PlmPdFIAGiYISoZSCAcDFfjL8Y8lweIjTw9CbhT51CWia5227R7e80lfbz0P0v/iH2KxFButO&#10;KlPlc1q7uNuW730sru258K+M5J/2sP2lL3StE1BrTQ5LmTSra4a6ZrS30CzAF1OsbtGIWMq+WynD&#10;KVDoeDnN/an+OB+NmvaL8I/g/o95/wAIfpF0th4U0u1V1m127UFBPFGVIaNCCPMfGBuI2sXKfQHx&#10;j/Y2vvBHg3Vj+z7LfFdYMMOuaat1Et9Lp0X+r060u3XNvDuZnd5RO+MgEZOPDdF+KHw7/ZtGr6z8&#10;KoNB17xx5BstU8aS7xoHg+PGEsbUqjtO4AwRGp3kZAZEaNf0jhXiTL80lQxuVp1ZYePJQpttezk1&#10;aVSo/svs1f7XJeTsfE8QZLicDGrh8ZLkjWfNVmldyjfSEFbXz26c2iPP/ix+zj8Q/wBmm6sbP4h/&#10;YwutKslo1jIrL5xQNLGFDs+EY4LlVTPTggnjdfA/sK9wf+XWT/0E16t4d/Zw/aL/AGoptY8e63pe&#10;pX+n6pYmS68WeJlmhlkx8xGnwwyBpk2fIiFDFJ1XyCQi+Q6ro7+GvDmo+F7mw+yz6dBNb3Fo1i9q&#10;0LKpBVoX+aJh3VskGv7Y8JeN3nmS1MoxmJp1sVQg3UdNWSveyteTuu7tLvFH8s+InCkcqzSGZYah&#10;OlQqzSipO97Wu72Vr9lddpH9PX/BKfw/4Z8Vf8Ek/gz4a8aaRY6ho+ofCaxttVsNSgWS3uLd7bbJ&#10;HKjgqyMhIZWBBBIPFfj347+J37LfxQ/aM1TxPrHw68efGL4XfDa48R3ngfw/rXgi61GK0srFvJgS&#10;Oa7hSFkHl30jS3bb2VbaGSSWe3RF/Yz/AIJI6tpmhf8ABKT4I65reowWdlZ/CvT57u7uZRHHBElv&#10;uZ3Y4CqACSScACvwz/ZJ+JP7RuteCPil8J9B+COr6t4y8ZeD9WttP1TXNY2S6nZ3M9/qs18jAM5P&#10;kapaLAGy0slyjfcWQr+ZVP40vV/mfpVP+HH0R9EXXw9+J3gXVPA/wK1LWdW8X2Pj+81jxT4u+Efw&#10;9j0mwso7G4nSby7qa7aG4azE1wyuUliEyxNF9nlQyIPAv2hvEPgH4HfB7xFpXw08MTaX8QPFXxms&#10;rDQfhV8HNOuJfCPhzXra7ht7Q3Js7S3W9vGSwikNlOT5kzrItqoJevQ/BHx4+CA+OOg+F/2TIvHn&#10;h/TNU8J3Fn4t+JGgeFbnXtc8RahD5DQ2MM94lw6XH7yTNxeo37hQyLHD5Nwa2m+AvAHiP9oTwP8A&#10;Br9rP4l+MtL0X4Txw+J7Xw1od0GSx1a81K3t9NuPEGqWFw0/9uSXM3n7Ih5Sh1cTECWSZGh90/Gv&#10;4I/Bz4BftGeBf2f9d8I2/h/wHZeAtD1HwPY6lZi10/W/FyveQXNxNKyqNT1eK0tLHb57SzQRgPEE&#10;8yVm8v8A+CqXwq8Ea/8As+N8bNU0Dw2Nc8Aavp+saTrGrWWjx3CvBdxyQ20d/qssMWnxyXIg8x/M&#10;y0YkiVXaRVLdB/b/AP2dvjPaaHofxl/4KM654m0/RtRg1rT/AAh8QINM0+SOdxbRWr3DW9jbNewQ&#10;vdRmJpHljM7u7ySyWyG38T/bD/bo1/8AbM+HepfAf9jHwrq2tWWub7ObWI7K6Uawj6V9tSxWOC9t&#10;b2zEzMlvLLNCbbyZy/nBtoAhal79i74vfErxD8KtZ0T4qfthwfD28t/El5caho9n8N00/wAbSXVw&#10;wu5Lm7tdTkv44o5XmZ4I4rPb9lMBVo93kRfaH/BDbwxo9/8AEX4wfFL4UfEzxh4n8Iy3Gm6Nq2uf&#10;ERd2t6j4ggWW4nR1nt4buztre2urXyoHVIS15M0MMa4km+Qfg38VPCv7Mnww0v4W+C/2/Phj4EvY&#10;muLrUvC/xk+GV9Z6w95PK0rC1tbrV7G+kiyxSJpjeSygKftExIY/qh/wTQ+DmtfDn9l7R/iF8QNN&#10;1W18efE63s/F3xEttYszaS2mrT6faxNZra5P2SK2hggtkhJeQCDdLJNM0s0kyGfQ1FFFSAz5sZo/&#10;Gk59a/Nz/gpx+1P8ff2r/wBrPSP+CQH7DHjK+8PapfRi4+MnjmzhkVtD05oopmgSSN0kUCCaGSVk&#10;aMu13ZW8cyNcSvBnUqKmtfl5s68Hg6mNrckXZJNtu9opbt/1q7Jam9+3l/wVz8a6z8RdR/YM/wCC&#10;V3g2b4lfG6aWay1fWbG3WTS/CIjYR3EzyyFYZZoXYRtucW9vL8kzmYJaT+BftIfsz6B/wSE/4Jqe&#10;LPCesfEG58WfHr9pbUk0bxx4za5kkaTzlnmvvIZ2WRIoYHvGW5ZfMluZkZwitFBD+iP7E/7BP7MP&#10;/BOn4SSeAfgT4Wjsllhjl8S+KNTMbX+rvEhCyXMyqihEBfZCipDCGYRxoGIP42f8FVP20NN/bm/a&#10;/uPGXgPWEvfAPgvTm0PwJdw7Wj1AO6S32oxtsV9k8qQxICXQpYpNGxW4OfKzXFfU8HKpJ+89Euzf&#10;bvbufqvhVwrLjXjHDZZhoP6vCSnVm1q4xd7S7KT0Ue71va585Fo7eEtj5VU/d7VyvhrTtP8AiPoy&#10;+IvGGn2WpW9xM76fY3enxSJaorsqnLAneQMtzwTgAYJO7qvivwzoVzDZa1r9naTXLBbe3uLlUkmb&#10;OMIpI3EngAZJNdp8K/8Aglv+3/8AtQa3p+h/Bj9mbxOvhmTVEur65+IXh250HTIklJJlM18Ynu7c&#10;s3mFbeG4YckK4wh+CweDxWJlaEXfuk3669D+8uOOMOGeG6cJ42tTlCCd6TnFNy0s3G95JK+iUndp&#10;8rtdedeJ/B99d41LwbrzaLqCqqGWKBHjnjU8RyIwKkeh+8ueOCQfvr/gjj42/wCCV/wn+LmjfFT9&#10;oL4q+MPC/wAWLOOaDRT8S9QtYPDFpJJEySSWd7aQwwbmjJjX+0GRyz4ij3Yavp74Af8ABtz+xb4J&#10;/Zys/AXxdtdQuviFdPJea3458FatcaWILqQKPKtrYMbeSCIKFQXMMu47nKqXKD88P+Csn7CTf8Ey&#10;/inoukaN8ar3xx4b8TeHdQvdP03WtDgtr21FtJboRcXMB8u5ZvNbBSCBVHBVj81fS0cvxuU2r2jN&#10;Lo1Zr0f/AAT+bc68Q+CfFinPKHOvgak5Ozg+ejO3WcPddrK+kU31uzxb/gssIdT/AOCrX7QT2l9P&#10;sk1vT5I5rCVd5X+zoCCh6HPb1rz34W/B79qPwB4Ai+K3wq+GvjC30/UFhuP7T8L+MEkmvgpOJJbe&#10;za6mu3BO1o2KKu0oUU7jW5+xJ+wTo/7V3xR8V+ELb9oOz8B3143n6Pod54Xk1L7RHEXWaOKQ3kGw&#10;oNknl4JKSEgBEJr7v0j/AIJc/thaDpVtoejf8FIbW0s7OFYra3t/g9BGkSKMBQF1AYAFfb8VZpmW&#10;e8LYDCZVCjLlv7WNd1OVq7soqCabXeSa8mfyLS4Zjwjxlj45pKqrSXs5UlFN6L3nz2aTVmkrPXof&#10;EfjD9oz4pz+EItM/aw+H9nr2itcMlldfE3wnP4X1OWZxtEdtc2qtHZMegdgPl+/KOlfbX7PfgDw5&#10;8PvhbpVpoWmmE3trHd3Uk2oR3s0jyKGG+5RR9p2qQiyHOUVcHGDXkn7Ufw1+If7IEtnb/GT/AIKi&#10;6iL66tjeQ6fpXwVmuHNusio8zFNTCKilhkFgxH3VY8V7/wDCX4LfF/4x+CLXxl8K/wBuD4X+JdLk&#10;RVGp6f8ACu7ky20HEgXXh5cmCCyMqsueQOlfzPx94Y8VZ5gaWCy+NGK5nKcYVZci7JQ9nCMd272u&#10;+r0P2PhfizLMqbxuNjV5ZK0Jzpq8l19/nk5W23NSiqHgj4P/ABR+J1/qWk/Df9vD4O+IrrRp/I1i&#10;20P4dz3UljJ/cmWLxCTG3B4bB4r5a+IX7VP7U/w+8deKPBl34p+HtxH4b1e4spL7/hCb6PzliAJk&#10;2/2qdvB6ZOMdTX4/iPAnjXCQUqrppN2+Jv8AKLP1jhniTDcYYyeEyqnKpUjHna92Nord3k0j60ZQ&#10;Rhq+H/2jPFHgH4A/tIR+FtC8F+G77xZeFb3wjeeN01XWo7SORizwWOn6fautiiPkBtyuc55Xmtr/&#10;AIbK/asjtkmudR+H4MioY44fCV3MXL42Kpi1Vw7NuGApJJIAGeK4nxP+0T+2f8UNUk1nRvina+Gb&#10;PTZTYXiWngG9tY1ux8xilS5u2ZJAvO1tpxyFxzX2HAPhxxNw/mdSeIcJUZRamuepFXWqvy03dX0c&#10;WmmnY14t4fzjFYfD0I0Uq1VxdJc9Bykn1inUW66p6FPXJ/21vj7q/wDYN7e/GG+TbMLjS5PB6eE7&#10;NY3GCq3Zlkgu0HQJPHuKnqpyK8F8deAvEHgPxTqnw+1fQ7zwxHZpHbTafqWo6ddQ2nmBVeQzWYVC&#10;FUlyDsC8hmGMj3S7+L37Zukokl9+17Y26yShI2m8JR/Ox6KN9zyfQDrXnvxj8C/GPx2NW+IfxA+M&#10;ukajfnSXW5uv+EQEBljRGxu8q5UEgfLvYMwAAzgYr+nPDrPq/DGacmK+r0sK4NfuFVU3JrTmXJCn&#10;JXet437tn43xx4B8fZxl850sHVnWptSkqtXDuMY7tr95KcXZO1nbsj+hj/gnN8bPh5+zz/wTB8I2&#10;/wC0j4q8O+HNO8A2J8L3V4dW+0xan9nJigaKPy1kkluUAaO1jSR3LhE80kE/JH7Wem+Gfj7+1NP+&#10;238VPHGofBX4fyaHB4e0WwudYk0nX9elc/MzmGYfZHuUigiSGIPfMlrAqvbN5kLcF/wRp/Za+I/7&#10;SPwl8FaLbeF/hv4R8UeE/BtiPFnxWtfCAufENhbTxD7Fp8CXMYX7c1l5MklzK7wxgxqLeYEiP9U/&#10;gh+wL+zl8Cr/AP4S/RfDt9rnjSSxktZviL4r1Br/AF7ZIAJBDcvxZRsQGMFosEAblYlr6mUouTkn&#10;e5+O8soe61ZrTvt5n5H+Iv8AgqP8Jvhz8KLzTv2JvhLolp4V0Wx1eLS9c8QW89jp41CytjctafYb&#10;SJ7iCSQZIOofYPNzvjaUEE+La953wp8dR6n8cdSuLW48TavoNxr3wg+J154fjm+IdjdTysJbQ201&#10;zGGTXrm5vntxKQsLDKRIkcb/ALQ/F/8A4I+fsRfF7Rvh5ojeC9a8L/8ACr4Gg8J3/gvxJc6derD5&#10;U0aRT3KEy3SRtPLKqysw3yy7gyTTJJ8rfDX/AII1ftj/ALIXxG1b4r+AvjDp/wAXtB0O4v7D4f8A&#10;gHV9QbStR0/QbgwyukVxtFi93ut440tPJtLUdVntkJjC5gPh3w5+yzoXxI0q7+GkF38QvDnjKL4J&#10;rcWfhTXLy90211PxKsF7Zahb2cGpBofLWykS0BtS1rbQ3ySQhCY5K9F8NJ+x7pWueFdV8JXOreOt&#10;B+Lkn2/4e+LvBs2peIPH3h7WLbTxHOkTR/aNXuIPItSG+WQwGOW2uU+zusS/U/xD8O+Av2yPgzrf&#10;gCTThp+s6bfqrad4s8PrJdeGddtXSe3+2Wc3ytslEUjRNmO4hbAaSGUM325+xH8TfAH7QXwV0v49&#10;aP8ADHSvDPifVEew8b6fZwRNPp+r2khtr2xkuEij+0eTcQyRiQDY4RWTKFTR7wHyb+xN+xX+1P8A&#10;tGQ2HjT9r/4i3UXgPwv8QLHWPBOkap8M30HxL4nj0+S0vrC+1My3RNkEvkffbrY2k032SJ28mKaS&#10;3f8ARqiipAKKKKAI52ZYmeNcnbkV+Uv/AAQJv5fG/wC3r+158QfHtuJPFI8SqqveOZLmxWfX/EH2&#10;u0QuSyxobSzhKjgLaQLwEUD9Ww2RtAr84v25P+CH3xC8b/HnVP2sv+CfX7Qsvwx8Za5NLPrmix6t&#10;faPa3dzPJG1zPDf6YRPaCdk864haK4iuZwsjLG5kd+bERqXjKKvZ3tpfa2l9L/M+gyOtgpU6+ExF&#10;VUvaxSU2m0mpKVpKKb5XbVpN3S0Kv/Bxp+3JoHwd/Z1sv2QPDet7/E3xPmSPXLOxuv38Ggq+JVZR&#10;ni7kCWYRtoeKW5cHED4/HD4sz69a+CJP+Ea19dJuWureP+0WgEgto2mRXkKngqELE9MDnivqz/go&#10;v/wSp+NH7GPhDwL+05+0Z+0t/wAJx418ZfERNK1i3iF3esv/ABJdUkEk2qahK91flFtoo4sxwLGh&#10;ddjAIV+dNQsLPU7CbTr6BZIZomSSNhwynOev9eMV8RxBiKv9oQc1ZJJpOz69el3bU/tz6PuQZa+A&#10;MwhgK3NKpKVOVSKlH3lBO8ZO0lFc2jaTum+tl+k3/BOj/grn/wAE6/2XvgvpHgXxh+yDdfDPxRa6&#10;LaWnizxJ4J8GW19aeIrqJPLN2Z7ZjfzvJt81vtURdWkZfMmI8xvsD4Uf8FtP+CaHxf8AFdp4J0L9&#10;oz+x9QvTtt/+Ey8KapoVqzk4WP7Vf20NvvY8Knm7mJwoJIFfz5/DPxb9ve98HX95JcXWj3D28N9I&#10;24XsS7fnDYHmOm5Ukxna/UjeBXVXVpa3cD2t5brNDIpWSORdyuD1BHcVtHiXGYeShUprS211ddH9&#10;3keTW+jVwjxNhZYzLMfUhJtpqTjUUZq94tqz0emrbe93c/qRBDLlSNvrmvkr/gpx/wAEmfhb/wAF&#10;MJPCN/4r+JeseD9S8MyXFvNq2hwiae802cAy2YWVjDHukSGTzTG7Dy8DAY1+av7Av/BZ/wCN37EF&#10;xoHwZ+LF1D41+F8l7FaWtrqU0/8Aa/h+3wAVs5/nWeCKNSUtZUXAG1Jo1AQe8ftof8HAf7TPwP8A&#10;i/4m+Dngr4BeCfDN54V8RyWV5d+LNVm1QXEIGYm228lsImlR4ZQN7lVfaQSdy/WYLFYfNcPzQ1XV&#10;NbH8d+IOW5t4NZxGGaydOal7k4Ny5uzXLdq66Ss7dDwv/gmx+w34r/Zu/b1+O6fE/wAc6LrupeA7&#10;638N6W2k6QYYWhnjS4W6G9iYpfKAjZQD99xvZQBXZft56/8AG/xB+1J8NPgn4f8AE/jrwz4Q16OZ&#10;77xF4S8SLpMFvcIQ2+aZbaSSZ0QFltfMSORdxkBVauf8E/f2jo/2o/2qP2gPjRN4cj0W48SXHhu9&#10;udNW7EmbhbGaGeZV/wCWcbSR4VdzkKF3NuJUeZf8FFvEHxF+P3x30nQP2fPhp4ml034ZauLD4teO&#10;vCd5BZ6pbafeQ/vtPthLJFLcIUKuwiJ52lMspK9Xs40aKpw0StZI4cLm9biTFyzHET9t7SLk5yfd&#10;WUnft0R8H/tP/Ev46/ED4x6x8RfGHjRdT1iSxe0tdWks7ZLe+0lJ5beO4zCGVFBQurFSCWkHoB6D&#10;+yh+2bqvhr4T2Pww+BfirxNHr/i5JLHxB4JuvAdmbG6viPJD2l8sxuzGU+X7O4cF2O2S3GSfoP8A&#10;4KyfCT4Q2mv/AA/+F3w+s7HTW0Pwz5E1vaktNbWIZRFG8bIVy4BG6UliN/ysCxr4u+G/7PWuePNT&#10;vvFfwXs/FGrax4XFuuzw34RuNUbSikzNGG+zQOfNLDcFC7Qv3onXr81KtLC46pSjdt9UrtaeXY/o&#10;6nkP+sXBeBzKry06ME+WFSoqdOUou1/eaWtldLd7dT9Mv+CZ/wDwTo+KX7IXiy78c+NvGENtZ6ho&#10;UVsvhTTtZurlI585MszERxvIq/KBtlVSW8tlHJ+Ov2kr9rH9oXx4F8V+H9Ee4+IU0UWo+KLnybGN&#10;iyY81yNoQ4w29kXbn5gcA/TXwe/4Kq/Hrxb+0/4H+A/i/wCC2l6JpWoLBpniRdfuLqHXRfOny3Pl&#10;SW9usCblJaJ4FJ3DaVHFfL37SuiWPi79pvxp4NvdGa9N94+vHtYY4YZWadNhTbHJcQGRs/wxl5iA&#10;fLhmI21vmHsZYelGkuZKa0d7t9nc83w7eb4XiDNcRmdRYedTCyanFJqKbSTioJpq21lqcLqPwY+J&#10;fjrRv7J8E+GhrVu01zYSaX4SkSXQ9TuUYzOlpqRLW21QCT+8YKpCtg4Fd54P/ZE+Kv7OP7KmteAP&#10;H/ju98O2Fx4kt/EOn+HoLWyZrrVmRfKtGmjnvAsSQNI5wlszs3VwMiT4Z+BfhJqXxu02H4oeKDfW&#10;11HNpki6Kl3Bot/G6MWg1OW7W0uREkifND5AQnGbhORXvXjj9nPxv8GdfsfiF44+FHw/17SbDwzO&#10;uiXmqXmoNpdzcbY2Ooaleo6wwStEfIR5IZjthVFk6FqyvCUpYWo46SldNNppP5Hl+I3EWOwvFWBV&#10;XmlRoKnKFRU503OKSSklN3jototRe63OY+DGm+F/ht4C034lRaDYeLrHxnq0nh3VvEOl3t/NOIyh&#10;M9hpMNhY3U8qgKUnkCJNOwZYh5UZceBfFDS5fDuj+JNI8K3N1ZnQru4/si61LQb6xnj+zv5kTta3&#10;zi5iYFVISc7gQNwI+WvcPiJ8UPhSvgzw94Q0Pwb8OdX8PeF71tY0rwt4Y8bS+Jor7VpZf3s7apqF&#10;pcR28Ua522728md/WNkRV8N+Kep3N34N8UeILyONbi7sL66uPJjRQXaN2PCIq+2Qq5x0HSvNziWE&#10;w9Gjh6VuaLW2tv8Ahz9Q8HcPxZnmbZzn2ae0+q1qM1eaa59G0kv7q7PTa5+4P/BAf4A+Pvhx+xVD&#10;+0X8Zvire+LvG/xuu4vFuv307J5FrG9vHDbWsCLEnlqkEcYK8rv3Fdq4UfcvU1/ML8N/2v8A9tD9&#10;of4VfD/9nfQPjN4s1W08H+HYf+Eb8J/DCO5tn08Wyxqbl300+czoXRRLK5Kb8KQXO770/ZX1v9u/&#10;TPAF38DP2m/2lPGWk+H/ACbXWdYtbjxFep4jjku7VbhNElvZiLy0Ecai4dbZ1kYzeUHEcbiX7RRf&#10;KrvU/hHA8TYfNs2q4bDUZqEG/fatF62sru7+4/RX47f8FBvgD8EfFlz8LdObWPHnjq0C/avAvw/t&#10;I72+styh1+2SySxWmm7kO9PtlxB5oB8veeK8sX/goJ+2HqGqFtN/Yz8B2ekzJmCbWvjVdLqEWegm&#10;trfQpYQw7rHdOPRj1rzX4L6N8J9F+G2lp8ENA03TfDNxb/adNt9K08WsTLId5k2bVIZySzFgGYkk&#10;nJpvxC+It54bvbDwH4B8LT+KPHXiASL4X8HWMoWe9KY3zyvhvs1pFuVprlgVQMqqskskMMpyn0HM&#10;eT6rJ8ePip/wUnj+Kniz4maQs0Hgd18d+G/BOjS2WlRJ5ijR0uGmmla9vSr6gXm3J+6iswYIl8tn&#10;7LS/2sPH/wCwh8evEkvheTwXr2h/ES3XxFqnhfxVqV/olxZS2Vta2U99baglpeQXC+VHaJJbOluI&#10;j5cjSjzua/7FeiSW/wAAdF8f69cW134k8bW6eIPFmqQuHF3qFyis+1iMmKMbIYlP+rhiijHCAD1D&#10;4c+Lk+Hn7Z/wk15tHa6PiafWfB/mLn/Qxc2J1Qzn2zooj57zLR9kPtHqf7JP/BWP9lP9re+07w9o&#10;OrXHh7V9XupbXRbfVr6xvLHWJ4wxaGz1LTri5sZ58Ryv9k89bsRxO7QIqkj6fr45/wCCvP7NP7F/&#10;ib9nDxT+0V+0C+meDNY0PSYYk+JFv4eurucKswaC1vorCNrm/sRMwZowC9v81zA9tPDHcxN/4Iu/&#10;tw3X7X/7NJ8P+M/FtvrPifwT5FpcasusQX8mraeweOC8e4tyYbl1uLe+sJLqI+Vc3Gl3E8SpFLGg&#10;ko+yKKMgdTRQBGOa/EP9vv8A4KRftbfs9/8ABXb4veHvhh+0i3/Eo8P2Oj6D4Vkvo9Q0/SNMuLLT&#10;bl7lbNH8iHUBepc/vLhGn8qYKytC1uV+lv8AgvX+3/8AtA/steLvhj8Iv2bvjB/wjN5r9jquq+J/&#10;7MsLe5vBFC9rHZLI00cgtoZXe7IO1TM1qyh9scscnwL/AMFB/wBqTxB+1x8Q/hL8XfHHhWDT/EV1&#10;+z3o8niS6WxELXt+NX1m1uHTv9lM1hLNbg/8srsNgFyK8vPKlXD5bKrTk4tWs16pfqfofgbLI+JP&#10;FWlkONoqrHlbnGSfLbllJOLTWqcdXt0OI/aG/a9/bG/a01jQ7X9pT4/3ni7Q/D5mutK0u50XT7Nb&#10;bUHXyhcgWdrDvbyXmjy5IUO20Asxr58+K3iLxS3jez8N2eu6T4ftoYvtMOtapchSxaOeKQRxthZW&#10;TcjY3DHGeCCP10/4JXf8EZ/2aP2n/wBkK1/aH/ax8JeItQ1nxnqV3c+FP7O8XarpP9maOjeRbMIr&#10;S4jhuDM0Ul4k0iOHiuoR8yqM/Fv/AAV9/Yd+Hv8AwSx/aL8OuvxY1TxRoPi7wrPP4Pm8VzWr6jY3&#10;dvOsd3E5tbWCIJJ9pswjhN7bZFY4UFvmamV5lKCxVZqbtt1V9tLWdrn9P5f4oeHtLFVuFsopywdK&#10;NZy5017OSh8WqamublXLbVuyurn0H/wQc/Yb/Z2/bh/Yq+Knwr+OvhS5ubiw8fxTeHfHekSyWeoW&#10;Zay/d3Fq0jShWV5Lhz5okSYT/vEkjZVqp+3P/wAEQfjt+x38LvEHx9+Hnxg034ieDvDcUt9q1hea&#10;X/Zms6dpycmXKyPBqEiJ8z7BaEhW8uJiRHX6ff8ABNT9jvwv+xP+yXonw20HXbXXNU1jGveKtf06&#10;4MttquqXEMQeW3PA8gRxxRRYC5jiRmy7Ox+Bf+C3H/BQf9vvwr8G/FXwH+Mv7Dtx8Mvhnr1xJZ33&#10;xMsfEUniK31jSGmMItZpLezjttFluN0St9pmY7ZWSIsw81PoMVgMNUy9e3hdqPRXd/Ky7/I/AeG+&#10;PuJsv45n/YON9lQq1W+WpJKm43teSm2l7u2rlsk27M/JXX9GvNN+JS+DtS8WTumtQXd1pl1cXjNL&#10;YxgL56Qp5ZG/aTtdnwq5AUkfN+i3w/8A2ufgf/wUB/YSvvgD8Pf2d5PEvx88I/B24tfFHizSvhrB&#10;qGsjR7e6isoLNZzH58iXdlNhpIJGkQrL+6JZd3wPLpvgz436UviZNNkj1CxzDY3UpKSW0jLHLviZ&#10;TxkFcSr1HK5Ugt9o/soeDP8Agkb8EPHvw/8A2tPBX7ZvxS8G/ELTfGljqWpeCNYU6kfD9rFLjU9O&#10;kktLWJTYXSSoY5siSVUYv5xFxCvl8O1Jqo4JpNJJxej0e67+Z+gfSMy/Lp5HHGVrvD1JSdKvFpxS&#10;lGKcJNtcr5ruLu7xstopLzz/AIJnPd/ssf8ABQj/AIVn4++HeueE5fiD4RazW08QabPpa/aIyJ7a&#10;SOO4RPNEiQyxoYyQTx7V9PftJa/+0r+w5deN/jl8NvFHgnWvA/iW6S7XQ/GH2q3utJ1qURwItu9r&#10;Cyy28m0M4nePYwyJFUmviv8A4KSfELxh4j/bT8YfFD4V/tEWHxe1zTfEUOq+FfiXosxWwgWJjLa2&#10;cLYMbrbqfKxaGWBm3MZFkklVfff2iv2up/26P+CeVj49+Guk2kd5o2uWf/C0dAuluIb7w9dxDejb&#10;NrGOBpAHEsisnlZOSVYD6zFTcaMppapXVj+SfDCWHxWYQySrUaUZqnJzlG7jdNSdnprtqtErnyh8&#10;U/ip8RfHnjjXvij8T/G+keLL6HxBH/acngvV5LzTr6IRxYt7SaI+YYVZyoWF15DANklm+ivhr/wU&#10;4+InwFshoVn8F/h7YeGdIeRdW8N6Lod1pFzDMcbi7ebL5Uo6v5kDOx+8VOTXk/jz9iHVvjl8Pvhl&#10;8Rv2edO8c6ppHibxJvurGa0s73zJ4dp+0i+smtoVtcq22SeKP5k5I4U/WH/BQv8AZK/av+O3hvSt&#10;Y8IaB4F1fT/C+nW8q2t5p4XxLf7Yf9Ih+0eVLGNzgERwvGrEHLScIfl6WDx0faV6cnGV72Summu7&#10;1Z/W2ZcW8F4iOCyTHYeFbD8ns+eU3CVOcW05ckHKKWuibSdm+ZK59B/s3fED9nb9qvwtpP7Wvwz8&#10;J6Jc6lf2kln/AG5JZWsmpWmxir2kk8e50wRnZv6EHAzX5mftA2NnqH7QPxItb+zhnhbxneCSOZAy&#10;sPl6g19C/wDBHrx78NPhToeueEPiR+0L4Ws9W1rXfI8P+Fda8W+Rqjtk78WM02EDN8qqiCTKNvwe&#10;K+aP2qda8OaZ8bviVB4g8Q6fp63XjG+S2k1G6SFWkwpHUjODg8VWeTliMtpyS1bW3f8AzNPA3D4b&#10;IvEXMqVSSdOnSnb2loxa5lZXbas+ju097s9c/ZY/YS1z9pWO21rxR4i0vQ/CbQrc+VuS4vr62DEC&#10;SGLBijiJXiZ2YqVwYu494/Yl+A37Ifw++PHjLwL8AvHXi/xUtvpKt4huLyaxk8PT+ezRvbD7FFDH&#10;dTDB3iZJdgOAwJIPxr8Y00XwN+zNY/Dvw34Q1BvGHirTYfEni+/v7ORIdMbbmzijt5oZZZ44Y1aV&#10;I45kjAkLOHbag574Y/tN/Fv4d+DdN/4VdHr0WtTa9a6ha+INN1AR6WW8hoZVu7bcssyBQsiDAQvg&#10;SAgYOmF/s/LakYxS2fNJvW9trPRP56Hl8Uf6+eIWFxOIxMqnNzL2NGnBODpKfLzOUbtxj0bVnun0&#10;IPHmieLvBrWHju+8G3VjpGqa1cafp5tPD40y2umWQkmCELGrKqsu5wjAYChlIYHlf2jdYFh8LrvS&#10;k+1efrNxFp8K2MLSSHzG+fAX5j+7DnivXvHXxs8VfGH4WW1/8ev2lE8U+LNP1ZL2HQ5vA1xZx6BE&#10;PNFy/wDaLwxxMZU8kNDEzxL5WVOKt/DD/gnf8T/j38M9N/b9+Mnxr+H/AMHPgrp91Nb+H/EnxMuZ&#10;orjVAY2Zr+wslj33hcRskMfnQNKqMyBwwNef/Z9PF5vT9m7xXvN6PfVK6Ptsw8Qs04R8HMwhiqap&#10;4qqnQoUleN2oKEqiUrNLq3ZK+1z0P/gnJda1+y9Zj/gotf2fiqPRPAtxY2Xh/StM03yR8RIr1xbT&#10;abY3MpH2q4jw9wbOFJS5tUBdMsU9C/aS/ael+NHxctf2pdMW3tYNV8dHxBfWtrb37wX7R2cWkadp&#10;Wn3Mceb3UPsLXMszaeZhDNB8zIhLDN+Afx7/AOCM/wAffhR8Mf2bPjl8ePidcaT8M9T1u5vLrX/A&#10;6XGieOY9XR0udNKaTcX8lqFdLeW2illSRZBAFMsu0J9FfCr4PfAL4Da34i/a31P4VaJ8NrW50e10&#10;rSLOaESahYaNC222jvrtmknvtRmZwZGaWVyzRwK0gjTP293J3P4T4ay/DZXlUaNJ3erlrf3n8X4/&#10;LsjzD9iL4d/tAeEvhr4l+AHwbsPHWm6jb6Dq3i/w8vjyRZ9V13TRK8dhpWiWczmHT7lV8kTme38u&#10;zaWF3tLgXGV7X/gnR+198Sv2Lfj1q/wR/aZ034Q+KvEl9qWmWfxK8V+AfED32v6bNPdNaRLf3El/&#10;dG4e3uZY457FLfTorFbjzIomibavTab8QfjP+1R8QdUsP2Pv2fPi9pfjr4Xalaf2d421LQ7Dw7b2&#10;NxqForiG4j1xluHs2glikni+xyvtEUkcUjpCaxP+ChP7G1z+y1qC/Hbxd8QIb3x/4m/Z4ufDWqfG&#10;K+08rNe69pdt5txLdZZlllurSKIxRgO8a6ZcSIoO/can0R82/tAfFv4eaf8ACfwX8FtE8Sa1pHiT&#10;4Px2mkeItH0XTfEFsbrUjcRWx8PtqmkCX+zxJPbLHIl1aTRXIdViZHRpovpL4i/EP4JeKPgF4U+F&#10;X7e/xi8D+CfFtxp+ia74q8O/8JXa2oiubSeG7cKJ5Gb7J58HltITgpuXeCc15l+1/wDsc/Gj4Mft&#10;Ew/Eb9pn9oHw54ptfiZ8BdS8H2vijQPCc1vq2swy31r9s1Ce0hLma403S7iCNMSz3F3b6ejZ3IyL&#10;+vP7Kfw5/Zk+H/wY0m7/AGR/Bvg3SfBviK1h1exuvA2kW1rZat50SEXv+jqqytIgRjIcswxkmlzC&#10;sfnF+1B8JfCvgb9mDxz458F+N/EdrZ6L4R1DVI9D1n4leJJvC88UNu0zx3mlW+oLb3NqyIVeExOj&#10;KSDHIuUbZ/4N5vBV/wCDPiV8RPDUPh2TRo/DXw48IeHdfsJLKBMa1p8mqafqcZktpJYXcatZ6xct&#10;skcMNRSTJEgNMm8BfD19M+O3/BPTR9e0e+tfBd1qHh+z0vT9Siley0PVLL7Tp9s0CszwR29vdGwX&#10;zMF2sHcdcD81f2OP+ChX7RH7CmpW/wC0J8KfGGlrDNpNrLr3gttSkvfD+qWh02CGzsQIrhyJYIUs&#10;4Y5i73kUkDRXG6VrqKSrXR4ucZ5hcjjTliFK05KN0r2b6tL/ACP6eSQT0orn/hr8TPAfxe8Eaf8A&#10;Eb4ZeMtN8QaHqkbPZato96lxbzbXKOFdCQSrqyMOqsrKQCCAVNz2o+9FST0Z+RH/AAcG/wDBN/8A&#10;aLu/2gdN/bt/Z3+HU/i7StYlh07xto/h2xvbvV7UrYvGLn7PBbzBrUi0s1eYFGidYwV8t5JU/NfS&#10;PEM3ibwTNpfgO6kWytfDyr4JgvPKWW2s5WnlZSi5MUf9qyaqY0cK2zDAFWVm/qY+MGrfEnQfhJ4o&#10;1v4OeGLXWvFtl4dvJ/C+i39wIoL/AFFIHa3t5HLKER5QiMxYYBJyMZr+WPxxF4x1D9oPxV4r0bS2&#10;tfHGr+LNSu/FHgAaXfQ7dS1TUGuWsYbDLzWdwJiYo4fLllwQjI7lSPNzTC1sZgZQpWck00n1t0PZ&#10;8N+KuF/DPxJoZtmSnGliYzo1JwjKXIpp+/om0+aSSsr2ei0P6Pv+Cef7Yf7GH7SfwV0fwT+yV4hj&#10;sbXwXodjpkngDUka21Tw7bRQJFDBLBIzM0aKoiW4jaWCRo2CSybWNaH7Qf8AwTt/Yt/ad+KulfHL&#10;9pv4SReNr7w9ZyQafpni7X7680GBGBDs2kTXDacznjMjW5YlEJJMcZX+dV/Bn/BQXwF8H7f9t7wZ&#10;+yP420fTdBhm1Dw38UPCck866btt/NN4sohik+yeWyl7hQbV4/NQyOytEeu/a0/4Kfftn/tx6bdf&#10;Fn48aF4osfh9/wAJFFo2i6XpFpf2GgJqShblLOW3kOLi/jj8u6GVnlUPmPAQZ1wNTEVqf+0Q5JLz&#10;TT81a5n4kYjhfhfEfWOHsVLHUZpuNouE43drTU1Hvut1rY/pE8E/8KV+GX9n/AP4cL4W8P8A9l6a&#10;raX4L0P7NafY7MEhTFZxbfLiyGA2oFyDXwZ/wXO/4Ka/tJ/sVeJvBPwf+AWt6V4ek8YW09zN4kXS&#10;BqWoRNBIn7iOGVGghVgTmR0mygkA8lgrn8WtI+KPx/8AC3xIX4yfAvx94i0nxZY30d1b+JPEVw7H&#10;7UqIftJeYNczyFdqMJd0T4ZXD/MDl/Gv4kfH/wDaU8V2cv7V3xS8R/ErR9N0210OK4mZ/txPnFkd&#10;2hzcXY86V873f+IAARIjb4itHC03VkrpdF1d9lqrn5/wzmVbxExyyXL6qw+Iq3alJtqEIrmlKbUZ&#10;ctld7W03S1X01eftZ/DD9q/xt4g8V/t83OtanqVxaSQ+HvHnwr0DTo9a0O7WYSC0nWSaGO/sFRpR&#10;5NytzcRll8qSLLMfm/4y3Pwn0H4htol747v9YkjaSLw/4w8G+HdYtxrNnnJzbSWwuLdsKC8MyHYe&#10;UkcASV3mjfAf4L/FjwSlt8NvhppFr4os9BEN9o2i2qr/AMJFp0cIBv8ATSvzLdLEN9xaocSgNcwD&#10;Jmjryrwr8PfHNp4h0n4HeCvBltqUXinUIbDR9U0rSmmuLx5XCJC1vboPNuBnj5kWT+8G4bxJzy7M&#10;MVFu9OT+GUXZvur236NM/eMLl/i/4V8IVKF6Wb4WL5a+Frw5lTu241HHm96DVnGcNOj7nE+NPH/w&#10;E0fR/wCzfBXwq1bxNdTs32VNQkukUTbm3SkXLecjKc/vRHwcgODnHZ/Bez/ay+EesWvxX8DfF+38&#10;MeOLSNV/tTTVluvtlqG3LZ3CSukUsY6ESpKWPzbgwDV+y3/BUz/gjX8AdE/Y48J+JvC/xa8K/DvU&#10;Phzo9rp11PrWsQ6DoOryFl3zNthkkW8aQMYY0dRK7hJCeHX8efDtlcPoS6hpPxLaW3eFEvLy5UvK&#10;MAlXAeeSO3lKMm9SHXd/e+8fXwOBp4dNKTlfduTf/AP5/wDFzxC4kzSvh6qoYbBez+BUaKivetdP&#10;lTl0s+bmT0s10+3vg7/wXO8Q+Frez8Nftdfs5ag1/Jbrs8QfDWWO6huH3YO6yuZUlhIX5isUtyTg&#10;kDFfQ3hL/grn/wAE6PFuqjQZf2oNF0K825a38ZWN3oe32LahDCnHsSPevyQj+Gfjb4s+J/8AhW3w&#10;th8fePfEkkj7fD+heHptTkOxd7n7NYiEuFXnklQPmKnGR6P8Tf2Lf24vhB4Eg8V/F79mr4ieGYbR&#10;kFt4l1Lw9dW7WbYDoZprV3UDcB8xkjZTjAZwa7PtWPByvjLOqmBhXr0faL7UoxlHT+Zcy1Xfb8T7&#10;O+Jnw+/4I7/Gr4lt4/H7cvg3Tri6vlvdW0rw/wDGbTPs2oTK6sHKySSSW+Co4tnhU9SCea+S/GP7&#10;T+gfDv8AaV8deN/g3+1LZ6DJN4oukTUtJ8SWciX9r8u1XMvmCZM5IPOTznPNfdn7Nv8AwW8/4J8/&#10;Gq50P4U/tUfsHyaxLHHpej2njTxFpOma9danfSbYXlvFulDwAyBmDebO7LjIDHaPoz/goZ+0z/wT&#10;G/4Jf+INL8M3P/BPHwlrPjPXPD8+reH7fQPh5pVrahYpRHi4uxC0lsCx4ZYZAMcgV5eMy+OIgo03&#10;yO97xWrZ/QnBvitTyOpUxWMUcXSVP2bhVk3GKumla+m2i2PxJ+In7S/whv8AUZvE3j346w6lqF5e&#10;i4mvItelurmWX/tg7Pj/AGAAvbFc7d/tAQafHJZ+Bfh94w8S3l1IZorrVLaW2W6ZiNzeZd7ZGAyM&#10;lY2AHtzXu2s+GPjv/wAFWP2u/HvxA/ZI+D19r2pX0/2/TfCc2r2hGk2MSCONZ55Z1tbcg7kiBYAj&#10;7sedwE37ZX/BHz9tT9iHTdA+LPx//sjxPZ+JnS3js/Btnd6rdaXNHF5rW8ztarbq23ew8tPn8uQp&#10;jaSfPhw3hVrWnKet7N6er63PZzX6WXHlalUlw/leHw0KUeSNSNNynbooL4eVb7NI8K0XSfG/i/Uo&#10;/EXxI8QaJcRQyD7N4as7JLuxt5lYNumE+5LxxjHlzxtDgtmJuCPqcf8ABYX9s/XPjv4B0XxR8FtN&#10;+LknhrwvLomh6dovh+Wy1J7yeXcHtxp9nLBHIYI0WRI4Y1aOJCoUqQ3yjo3hH4VXsd1d6a93ayBB&#10;GrXk08MlvkbEeNZ8bTz8rEdTx1xX6S/8EDP+CUf7O/7QkHiL4+/tC6ZdeKj4T8TaenhK1n1Ke1a3&#10;vrcpdf2hM1pdILiXeUT99CpxHwWVjn36WFo4aioUoqK8j+X8Dx5xtx1xfUxOa4+pVqSTvGpFRSW+&#10;iu0rdlbc868Xf8FcP2SfH3iK0+Ll1/wT/wBW1bxhoMflaPq3ifw/p5vbG4GfkWeEXNxbxAlsNsBO&#10;ciPmvJdQ/wCCs/xhvfHEfjfxHrnhLS/EUdm40W61hZGfw1MZcLd6VZ3SRwW0rxb4TLdRXdyA8phu&#10;YlYRp0n/AAWw/Zz1T9l7/gohfeB/gZ4Dk0nRfEWm2ep6NDcXwurQ2bI/2q4ZiXmj/wBNMoEcj7m8&#10;vEYSPBHGfA74M+Afhf4PT41/HW2ur7R7y5ZtE0YzCK98b6ggGRuAzFYxfL5koGwLtRQ2Vjl4sVmN&#10;PD1FCOr3etkl3b/TqfsXCXhrxrxhh8TisXX+qYVPkpSjDmqVqr2hTg7X7ynzWWup6V+y/wD8FbP2&#10;rPhh+0X4J/4TP9snX9Q0VtcT+17Xxpqlzf6aNOnnX7W9xJ8zBYwzOkrvmDagBWEGM/tL/wAFA/Hn&#10;7FFn+zfdaL+2h8UdP0Lw3raxTaTcW16/9pm6jkjeK602OBXuJZ4XaOT91HIAuTIpjLg/zZ/tUP4y&#10;+OvhDXviTF4R0maHRZBok2tWujRGx8Ot9lmng0nTYc/ugsURyqHKeYHcmSQtWBF4m+MvxKNpP8Xf&#10;ib44+IWrafpkdtLN4/8AE11cXKWvzFLQG5Em60WXzCAsh2ktt3K7BtMJjI45txjb9U+tux8/xpwv&#10;jvBnBwo4zG/XKtS9237tOUfig5XtdXV1ffRNn6NfCb9tXxb4Wmb9l79nj9qj4T/Eb4d2ULzab4T+&#10;PHggySaaYS0kNva2d1cWFnblI183fLrC24UoLWztVUwp7z+1D8Vf+Cu2peEtG0D4zfF3QfBdn4qs&#10;nHh/wt8G9DNt4m1hY2iM+60i1adIoIlkiP2+HxJpscZlRW85pY4JfyN8O3+tNqWj+BfDnwl1RdT1&#10;y+Flo+madbxOtxfSuFjhBhJ2mWRvlZlGScnByK9a+Jv7f/7e37CWreGfgJH8KdBtfE3gnwmNCXSP&#10;H0Oo395aQzXdxqUUVnbxtHLHCLSe2hCKzRqtsoXy1VIou5xUd2fH8LcaYrNub65R5Ir4Zp3jJ9tH&#10;Kz+bPvD4CfA/w3+xboPjz9oTxD4YvvD+g2Pg9A2lyayuq6pcWVhJf3pu50tYLeytriQXbINPsITB&#10;G6O/n3MlzJJX54/AH/gn7+2D+0LpcnwI+BnwOk1RtFmm8Pa1rfh+1kufDwltEW2mYajcz+Q5uCBd&#10;NiUb47hmhiiR4UT1b4y+GP8AguT+0R4X1Dw5+0d8DddXwPqepkzaP4E8CT3On3kUSW0zQvPAkrz2&#10;gDxMk6zm3mZpl33KxPHD9Of8EJvA/wDwUJ+Bv7T+ifDJPhB8UPDfwhvLDUX8S6N400nU9P0TSY1j&#10;mkjl06C8VYIZ5L6WPctsFMyzTSsJAm9T4VcnPsTgc9zTD5ZUpVWlJS5ow91PpdyWi87M/V79mb4D&#10;+Dv2Y/gL4X+BHgHTjZ6b4c0tYFjaYTNJMxMk8zuEQO8kzySMwRAzOSEUEKCu+bGetFRofocP3cVG&#10;K0Wg7tULW1tJIs7QKzJ91mXkZ6/SpqD0pFNJ7nnf7Tn7M3wl/a9+C+rfAP426Pc3nh3Vpbaa4hs7&#10;17eVZre4juYJFdCOUmijbByrbcMGUlT+fvx2/wCDcv4f+Dv2U9J+DP7DWt2knijTfG39tXHiL4qa&#10;li6vbZ7MWrWZvbGxaRIECRSJB5LRb0zgMEdP1DwD/FSL6E1SdjgxuW4PMKMqVeF1JOL6Np7q6sz+&#10;cf4g/wDBHj/gpho3xkm+BWp/s+XXiD7ZsMV94VtTPotxbYy7f2reC3gjySQ0cqxy4QiNCzKx4X4T&#10;fs0eJv2U/wButfgp8Q9L0iHxDpPxm0FNW/se4M8R8yPT51UysiNIyic7sggO0mC4+dv6cuQc1+An&#10;7Y7Z/wCC2njLj/mu3hv/ANINIry81lJ06f8Ajj+Z9z4IcI5TkWcZjVw6euEr2TtZLlW1ktbaXd3b&#10;ds8IT4FfF/xH8ffHtr8BvDOparB4cvNS8SzafocjjUNKWC++a5sVQb3KM4lMcfzjaWjDN8jbzJ4N&#10;/av8KjXtEutNh+Jc21msbR47ew8cr1862IxHbalxnywVjmcDbtLDy/sD/gioCf8Agql42/7F3XP/&#10;AE5Q19Nf8FB/+CEXwX/af1HUviz+zjqtp8O/HV75k+oWi2YOha9cM24y3dvGN8M5Of8ASYCrZO6R&#10;JyqgeLh8DUr4V1I63bvF9bPRp9GvxP6D4i46wOQcTRy3FR9moUqfs60UpOClTi5QqQf8SlJt3jvG&#10;75ex+Rv7Un7eX7XPxq8C+FfhN+0/44/tzwj4FuHk0/Vr3SRHrFrdbPKzqcjqZmZELRGQeWcO32hX&#10;bMi/Vf8AwT4/4IGD9r74I6t8d/j14v1TwoviC0X/AIV7a2tq+376v/aNzas6pcRuoCJyrOjFgY9q&#10;M3lX7Sf7Mn7UXwWkntP2/P2ffFGlLp9qYLP43eFtLfXNM8lV2h9XltUZp7UHaVmuBbXigN8sodhW&#10;x+xV/wAFN/2of+CdNrpug6Dqek/ET4T3km3S9Bj8RJc6Q+87mOj6rGr+Q+dxNpIuOGzDCWMleph8&#10;biMLDkxCbj/NbVeUkvz2Z+LcTeFXCHGPEEs5yOpH6zKHLLDOadOXeeHbtv8A8+pWlG+iPuD4g/sh&#10;/s1f8EOP2NPFXx/+A9reaj8UrmxXStF8ZeJInvhFf3TBF8uzVlhtYN24kou/BxI8ozn8nf21f23P&#10;2sf2uPh7onhv9p/9pTUNYh0TUGuNKjXw3p8MklxImxkRdPtoJJWK5ACkHviv0u+KH/Byp/wTk+JO&#10;j3Hwh+NP7Enxa1rTdRVUutH8WeF/DUmn3bdQo+1av5c+Dz8gcj0zX5t3Gh/CP9qH9sPxt46+DPwj&#10;tPhbpXiWx1rTdD8N2t4PJtGNmhjSGCNjGs07LzHAoUtjHOSe2eZYWmkotNvRWZ+fz8HOLs8xUVBz&#10;wuEofxVyNXSa5lqmr27ppWbZ4z+zF8VfiV8AvjHa/GhvDekvY6b4itYZLfVvDy6le3A8xC5S1meS&#10;E3Ma5KSSFsFuTx8v25/wXW/4KNfB39vDw34b8HfDD9mm+t7W408vpfxP8W6bqGjXe9WLT6XDMsDQ&#10;Xkb8Hy0mddwyMHJr4x8H/wDCKWf7UWjeCfi/4utfCPh3xBN5kev+IJltrfTJJCBcG4dpIhCwRdgL&#10;OpVjnORWx+1f+0n8PvjNBqM3w78QaMbC3VdF8I6TpuoJcDT7GCXCYEbPu3snmO6hQ7SBiMnJ8SOb&#10;Yz2DqSW9krLZ9fkrdT9+/wCINcBUMdHKMJdeyjKdXnmk6ijblts+apeNuWySV0nc6r9gH9rj9pP9&#10;i7QdQ1L4B3en+G9S1ZbOG68QW/hmW6ha0jzIunxtdSSW2wuS0m2JJxkhHQc1+on/AASR/wCCpfxd&#10;/a8+Nuvfskftg6r/AMJY3i/Q7270XyvCtlb2sFtEirdWsskUqMY2SUBEaCRj826c/dr8wfD/AMLt&#10;Mg/Y58Tal4n06fbrFzp+jWMOpOYV3KJJ5r23bje0JfY2OVzg19Y/sM/8Fav+CUv7EOlaP49f/gnr&#10;47074lXGiR6fcah4N1Cw1kzR4Cu9pDfanA9sJdgZ1t4EBGASQBXpYPNKNSjGNZpTav8AK/8Akfj/&#10;ABP4M8S5HxPUxeSVZ1suhJxdNq7jLli2rpK9pStqr93c9x/bH/4Nkfhx4w/tzxf+zN8RprOzt45N&#10;Q0P4ea5pv28teA7/ALNBqFzdBreFsbUVlO07QZAmcfnX8OPj3+1x+wR8fdQ8G/BTW7rwl4s8Ma3J&#10;H440e91SabS4rhIHh2XsdrcrDfSoGDRoWkQGNS3ygA/XX7fP/BxJ8T/i3oI8F/s8w3nwX8L36pHN&#10;4g8R6laReJL3eNrRJslkt9OTLfNMsskgGG32+Ca8F/Z2/ZS+LfjaSxuP2eP2a9d+Luv3ErXGnT6X&#10;pgbwVpzM+WuLrWbhorPVbtfv+RFO0Qd9zPOyBSVswq1r08Ir9HK2i9O7PSynwe4byPMcPnfE03Qc&#10;G5Qw0Z2nVbs/3iv+7p9Xe0nslcwdOjOtaxc/tF/tc+JNY8Sahr8jX+n6TqVyw1PxnMvyi4nYqTa6&#10;WpGwMABKFKQr5aHfvaZ+zT+1B+3J8HfiJ+2VPr8ei+EfB+gyBfEy2LLb3Hknauk6PHkKIYskPPuK&#10;KxP+tmaQx/ef7Jv/AAb9a/4i8ct8cf8AgpP8TrbxVqV1dpdT+BfDl1JJZXDqcKt/eSRxtdQhAii0&#10;iighQKYyZ4yBX13/AMFJfDnh7wj/AME2vih4Y8K6FZ6bptj4HmgsdP0+3WGC3iXaFRI1AVFAGAoA&#10;FcNPK5Spt1b21durfeT/ACWx+pY7xOoU8bQw2VJOo5RgppctOjTcknToRe11pKpJKUtfU/CfwzoW&#10;k6B+wdcaTpFmsNvH8cdPCxqDyTocpJPckk5PJJPXmuu+BP8AwRa/aa/ac/Y40z9rL9lbxLb6xfT6&#10;9rlpqHg+41SGyvAtlrM8EFtZtKi28sJRAzJPPblMPskYOIxztoT/AMMRXn/ZctP/APTFJX69f8G9&#10;qk/8EyPD+D/zPPizt/1Hb2pyaT+tLX/l2vzDx4yXLMx4ZnTrU4u2OqJaWt+6jon+m3kfHPwN/wCD&#10;dT9rPxp8P/D/AI8+Jfx20v4ZeKbhvtVxodvpf26+8NXEUu62nju7a7MU9wMJL+7ZBDIoCSy4Dj9I&#10;viv/AMEuv2E/j38ZLP8AaA+OH7O2geKfFcVjBa6nc6xbtPZ6wkULxRm9snZra7ZVf5ZJY3dRHEA2&#10;Iowv0Dg5pQD/AAmvppSctz+Xcr4cyfJ6LpYSkoxbTabbV1s9W7P0ILS1tbG2isLKzjhghQJDDGgV&#10;Y1HAUKOAMdqs4A6CgZ70VJ7gYHpRRRQAUUUUAHvikbpnFLQaAGjGK/O/4tf8EPfFPxd/bf8AEX7Y&#10;d1+0XYaXHqnxI0vxDZ+H08NvOwt7S2sIjG83npiRmtXOAhABXnJIH6HEHqaXI7Csq1GnWilNXs7r&#10;1R6mU51mWS1Kk8HU5HUhKEtE7wkrSWqdr91qu58VfsTf8EltS/Y+/a21r9pZ/jpB4hg1nS9Qtm0o&#10;eHTaNA1xcpMD5n2iQOF2lTkDPUelfagODx+dBx2pwz2pUaNOhDlgrK7f3u7DOM6zLP8AGfWsdPnq&#10;WjG9ktIpJKySWiSW3qKQGHIry74w/sSfsZ/tC+II/GHx7/ZH+GPjjVo4fKj1Xxf4D07UrlYx/AJL&#10;iF2C+2cV6lQ3StjzIylF3R89/wDDqP8A4JhqjJH/AME8vgnCsi4kWD4X6VGGHodsAyK/P/8A4Kw/&#10;8EitC/ZH0DV/26v2H00DwpoPhfZrGufD21h+wpbTxsoE+lGJCkbOcK1uwROrK6cq37BAv3rx79uj&#10;9k/Rf21f2Y/En7Puq67Jpc2rQLJpWqR7m+x3kZ3wysoI3qGHzKcggnjpXLiMPTrU2nG73XTVban0&#10;XDvEOYZPmUK0K8oxfuz+1eEtJLlejuuh/NN+1xqVx8QtK1j4v+BvgR4p8L6G2qWzpdX0mk28FvqM&#10;wV7uC3SC6Z5rbO45UO/zfPtJArz7wv4V8SeJvjNp/hDwh4Y1DXNS8Qa/d2VhoenPbxm+uExKiSSz&#10;yxpGmRkkk546V7t/wUY8E/GT9mzwn4R/Yl8b/CrVI/FVhqGqeIdabWLeRNPbLqhms7tRtmtHjRSo&#10;Qs6sSjhTXhnhXxH48+C/xb8J+P8ASP7U1hLK8g8QajeWOniW7tA7L9pijihC7o2jVsErlAuSTkmv&#10;LpRw9OLw9WylN3a6Xtr/AMDzPs+II8TZhn2E4pyrmqYPARcOd25nTc0o6JLncUlzaaK3Y+3f2IP2&#10;bfEH/BTT426H+ylptraeCPAfgDQhqPiptaurc6prE01wY79oIrHfF50jIYjL56lYgG2l+n65/Cv/&#10;AIIn/wDBKP4PeHv+ET8I/sI/D+6sCwZofFGj/wBuMzepfUTOxP418l/8EF/2H/iPN8Qbj/goB4z8&#10;H6l4L8NavZXieAfDOqRmG+vbe7lLteXEWT5UbLgxo3z8liACBX6tcbvlFd2Cw/JTbnFJ3/BaL8Dw&#10;+NM9+uZlGGCxMqlFRT7WlNKVVNpLm9+921rt0PN/g3+xr+yF+zrq83iL9n79lT4beBdQuIvKuL/w&#10;f4G0/TJpY/7rPbQozD2JxXplFFehtsfDylKTvJ3A9K85/aw+CN7+0j+zl4w+Ben+IY9Km8UaLJYR&#10;6jNbmVbbcR85UEbsY6ZH1FejUHGOaUkpKzKo1qmHrRqwdpRaa9U7o/MeD/g3n1WL4HSfBpf2tLdm&#10;m8eW/iKTUP8AhCGGxYtPe18kJ9tOSSwbduAA4wa+u/8Agm9+x3rX7CX7Ltn+zrrfje18RS2PibWt&#10;Qj1W0smt1lhvNRnuowY2ZtjBJVVgGYAg4JHNe9Nx0FKhPYVzUcHhqEuanGztbd7fNn0WccYcRcQY&#10;d0MfX54uo6luWK99pRcrpJ6pWte3kO/Ciiiuo+ZCiiigAooooAKKKKACiiigAooooAKKKKACiiig&#10;AoJOOKKDnHFAHk/7W/7GH7O/7cfwxb4UftF+Ao9YsY3aXTb6NzDe6XcFSvn2s64aJ8HnBKsPldWX&#10;Kn5J/ZZ/4Nvv2Jf2ffiTa/Er4jeKPFHxTm0i6hn8O6T4zNqun2ckJJilkgtoo1upFPOJMw5AYRKw&#10;Br9CtpPNLnms5UaU5Kbim1tdbHo4bN80weFnhqFeUac1aUVJpP1V7eokaJGqoi7VXhVUYx7VJ+FA&#10;orQ84KKKKACiiigAooooAKKKKACiiigAooooA/nf/wCCHH7FX/BQX/grh+yRrv7S3jD/AILl/tNe&#10;C7rSfiDeeHI9J034gateRyRw2VjcCYu+oIQxN2y7cYAQHPNfo38Pf+Cefin9gT9jv4+X37X3/BXv&#10;4+eOPCviDwZ52oeONa12+l1TwRZ2kN01zd6axlu5ElZZAx8tNx8hAAxxj86/+DYr9lX/AIKT/G79&#10;gHxP4u/Y8/4Ku/8ACjvDEPxa1C1vPCP/AAovRvE32m+XTdMd737VeyrIm+N4Y/JA2r5G4HLtX6Af&#10;tafs9/t0/Ab/AIJL/taL+2r/AMFEP+F+Nq3wa1U+G3/4VLpfhX+w/L0+988f6BI/2nzvMh+/jy/I&#10;+XO9sAHsfgf9tz9hf9gv9hb4J+L/AIuftja7qfgPxha6bo/gf4mfESO9uLzXZLmB7iCW8m+zq1vu&#10;iRmMlwsSRqgDspGT5XpX/B0L/wAEZ9a+MMPwlh/aT1KGG4uhbWfi668HahFo0824JsE7Q7goY4Mr&#10;IsQ679vzV8a/t/eCvDHxJ/4I1/8ABNX4feNtIjv9H1z4k/D+x1WxmZlW4t5dHuEkjOCCAykjgg88&#10;EV98/wDBfr4eeBNS/wCCMXxq8N3Xg7TW03RfAzT6PYiyQQ2MlsUa3aFQAsfllF27QNu0Y4oA9n/b&#10;Y/4KM/sgf8E9PhRpPxp/an+KbaJoGv6ithoN1p+i3mpNqN00Ek6RRi0ikxujjdldysfAywyM+Ifs&#10;gf8ABw5/wS8/bV+MGn/s/wDw2+MGraH4y1m68jQdB8a+GbnTW1STBISGVlaHe2Nqxu6u7EKqsSBX&#10;nnhz/gqFc/sV/sIfsgfs/fBz9m7X/jP8ZPit8JfD8Hgf4d6HqkenpLDb6ZafaLq7vZEdLOCNHB8x&#10;0K4DFiiJJInzX/wVN+J3/BRL4ifGv9kX4iftjfsKeA/hJ/Z37SejR+G9e0L4jxa9rMUkiSu1mzx2&#10;yKkLCMSMUkIZ4I8rwCAD9Iv2q/8Agr1/wTp/Yi+I2qfCT9qL9pXT/CfiXSfC9v4huNHvdJvZZJ7G&#10;adoImt/KgZbmQyKw8mIvIApcqFBauJ/Ye/4L2/8ABNH/AIKCfFT/AIUb8C/jJfWfjKTzHsPDfirw&#10;/cabcX8aDLNAzqYnOOfL3iQjnZgHHh+sfDDwB49/4Or4vEfjHwxa6heeF/2YbLUdAkuo9ws7s6he&#10;RecoPG8JI2CQSpORggEN/wCC3Xgnws3/AAUr/YI+IJ0SH+2o/jvbaeuo7T5gtmZZGiPqC6Iec4xx&#10;3oAzf+C6/wC2F+xn8Bvi14cl0L/goz4y+CPx80vTXhL/AA18GSeJprzRZ8rJBqGnsyWh7vDLM6zQ&#10;sN8QI3A+w/8ABNP/AIKIf8EvdD/4J+eI/iB8Av2ivEeueDfg7p4vfit4p8XeH9XbVku5laWa7u/O&#10;haW6mkKOx8kzYAC54FeFeN/2ff8Agrd/wT7/AOCr3xq/bc/ZH/YY8K/H7wL8Zre1uL61t/H1joOq&#10;6T9nghj8jzLxtxyYt22OKVXyv3WAzF8d/wDgq7pf/BSv/gjV+2B4b8W/s5+I/hH8Rvhv4HvNP8a+&#10;AfE94k0to8kTMjRPshkkXC/MXhjwWXG4EGgD9Nf2fP2gPhL+1P8ABjw/+0F8CPFLa54R8UWX2vQt&#10;VaxntftMO9k3eVcIkifMrDDIDxWD+zD+2T+zh+2RpniLWP2cviG3iC28J+JLnQfEEjaPd2f2XUIH&#10;KSw4uYoy+1lI3ruQ44Jrw3/g35/5Q2fAL/sTW/8ASu4rwr/g2Q/5Jl+0V/2cX4h/9K5qAP0H+Pvx&#10;7+Ff7L/wZ8RftA/HDxQdF8I+FdPa+17VvsE9z9mgUgFvKgR5X5I4VWNfE3xB/wCDor/gjL4FGky2&#10;H7SGqeJLbVIYp5rzw34J1KaPTY5M4a5LwoY34OYgDKvdBkZ9Q/4L2/8AKG/9oT/sntx/6Njrkv8A&#10;gh34J8HJ/wAEK/hJokXhbT47PWvhlcSavax2capeyS+esrygAeYzjhi2SR1JoAT43f8ABx//AMEh&#10;fgl4U0XxU/7Ukfixtf0tNQsNL8D6Ldaldx2zHHmXKKgFmwx/q7ho5MchCK9b+Dv7fX7F/wDwUH/Y&#10;48Y/HL9nj9ou7k8H2mhahB4k8QaFDcWmreHdts7SyeS8fnQzxx5kQiNtxUMm8Yz8t/8ABrD4B8Ee&#10;D/8Agn14n1Hwn4T07Tbi9+MHiOK8nsbJInuEgu2ihV2UAuI4xtUEnavAwOK8O/YXsbHwb+1P/wAF&#10;Svhx4RsYdK8PWcGsz2eh6bCsFpBK2nzhnSJAEUnuQATQB9f/ALI37Z//AAT8/Yk/4JmeEPjprH7e&#10;nj7x/wDCvUPER03Sfip8UodT1DUry8uZn2QSA2izxxKVZVLxBEVeWxzXM+Iv+Don/gjL4a+KafDC&#10;5/aV1K4t/OME3iyx8H6hNo8U2cbPPWLc4z/GiNH33Y5r8y/jDp1rrH/Bor8HtIvkZobr4yaXDMqt&#10;glWuboEZ+hr9oP2n/g18J7v/AIJDeNvhBL8PtIPhiz+BN59l0FbFEtYfs+ltNDtjUBRsljRxgDDK&#10;DQBzn/BTLxN+yv8AFH9n74ZeNviH+3h8Qfhb4X8Q/EDRl8IeLPhBq84bxBeXLf6JaSSWtvPugl/v&#10;MFQdWauh/bo/4K3fsH/8EyLPQ/DX7UfxmuofEGsaf52h+GdK0mfU9W1CFCFMxjgQiNSc4eZo1cq4&#10;UkqQPzF+KGoXuo/8G/f7B731w8hi+M3gKKNm7Itw4C/gOBX0H+17+x1/wVB/Zs/4LISf8FV/2Ff2&#10;bfDnxy0jxd4Ag8N634K1DxpaaDd6QkUNsjMk97KkeHNurhkD8lw0YwrkA+hfgp/wcA/8Etvjn8Ff&#10;HXx48M/HbVbDRfhjp1nfePo9Y8D6rFc6NDd3H2a3Zo0t384vL8uIDKV6tgc18Y/sSf8AB0v+yfJ+&#10;0x8fn/bK/bOeH4c/8JsV+Bar8N71idGDSDd/oWnefyPLOLv94M9ByK+wv+CaP/BZGf8Abd+Pfjj9&#10;jz9oj9kXxL8CfjN4Dt0vdQ8D+ItXjv0u7FyALi3uBDC0gG6NifK8spLGySSBjjxH/ghBn/h5N/wU&#10;Gwf+a/XX/pTdUAfT/wC0D/wWw/4Jofswax438OfGr9pW30fVvh7DpjeItJk8P6i8+/UIGns4oAtv&#10;tunkjVmIiLeWBmTYATXzd+1B/wAFPf8AgmR/wUh/4J4WXx1k/b4+NfwL8B2HxnsfDzeMfh9b3+l6&#10;zLrSWb3Kac/2WC5doHgk83cB5ayRRMWymw4n7HHwK+Fvj/8A4Oef2qvjJ4z8JWmpa94F8IeGU8K3&#10;d5Csn9nSXmnRpPNEHB2SlIvLEi4YJJIucSMCz/g8JP8Axra+Hn/Zwug/+m/VaAPor41+K/2UrP8A&#10;4LGfBHwx4s/by+LGg/FK4+Hd43hP4GaTfX48L+KbNotSLX97Glq1sZ1WG6Y+ZOjM1lakKPLUSZH7&#10;WX/Bxf8A8EvP2O/i7rfwF+I3xL8Uat4u8M35s/Euj+GfA99cf2ZKFDYklkSOFxg5zG7j8a+Yv2x/&#10;+Vub9jnP/RB77/0k8VV7h4T/AOCzv7W/7ZfxF8aaL/wSs/4Jy2vxU8B+B/Fs/hnUvi34s+Lmn6Lp&#10;l1qUGDKLW3SOeW4tzG8Msc6vlkmUtGhIBAPpj9lP/gp5+wj+2r8KV+M/7Pn7Rvh/U9E+3SWNwdUk&#10;bTbi2ukRHeGSC7WORWUSIc7SrBgVZgQaK/kZ/wCCvE3xRg/4KZfGi5+Lfw80fwZ4qvvG1xe+I/Df&#10;hjWPtljaXs6pNMY59ieaXdzIzlVJZ2yM5ooA/qZ/4If/APBLTxD/AMEjP2Sdc/Zn8S/GKz8b3Gsf&#10;EG88Rrq1jo72KRJNZ2VsITG8khJBtC27ODvAxxk+7/ttfs83/wC1v+yB8TP2YdN8TxaLcePvBOpa&#10;DDrE9qZks2urd4RK0YZS4Uvu2hhnGMivVqKAPg340/8ABHXxT8WP2Q/2Vf2YrX46WFjcfs4+MPDO&#10;tX2ryaC7pri6XaSQNHHGJQYDIX3Biz7cYIPWvoj/AIKD/ssaj+27+xh8Qv2VNJ8Zw+H7nxv4dm0y&#10;HWrizNwlozj77RhlLgegYZ9a9qooA/N/9q3/AIIvftE+IPhp+zn8SP2KP2sdO8DfHj9mvwPD4c8P&#10;eItW0XzNH8QQfYobWaO5TbK9ur+USCFmASWRDGxZXTnPHH/BHL/gpz+2X48+Evx4/wCCgP8AwUP8&#10;K3WvfDHx9Za9Z/D34f8Ag94fDUEMLMZWWSQxz3V3LiILNKirAvmoqN5pYfqHRQB8x2X7Ams2v/BW&#10;G+/4KSH4l2v2C8+ENv4KHhP+zW85ZI7yW4+0+fv2lSH27NgORnPaoP27P+CfOtfth/tCfs+/G7S/&#10;ida6DD8EviVD4outOuNMadtVRBjyEYSL5RP94hh7V9R0UAfCP7YH7PH/AAXzb45at8QP2EP+Cgnw&#10;nk8Ga1cqbP4f/FD4epar4biESLiC9s7a4nvmLh3Jm8sLuwMgVL+yb/wRltvAfwQ+OHhv9tH47S/F&#10;jx9+0gufil4ot9Dh0y3Rfs3kpb2kceWVE/vFgH2IfLjIIP3TRQB+Tv7Pf/BJX/guz+y/pVr+x58G&#10;/wDgrD4I0v8AZ902JrXRdXb4dwTeKtMsXZ2e3hhktTCGO9gJnunZSdyquAlfUX/BHr/gmFrn/BLT&#10;4Q+MfhPrPxtk8ef8JL41utbt9Xu7JoroRyE4E7M7edNg5eQbQzZO0ZxX2BRQB4t/wUH/AGWdQ/bc&#10;/Yt+I/7J+leMYfD11468OSaZDrVxZtcR2bMyt5jRhkLj5egYdaqfsHfsj6p+xt+wf4E/Y31bxtb6&#10;7deDvCZ0eXXbexa3jumzIfMERZio+fpuPTrXulFAHzL/AMErP2BtY/4Jz/s26h8Btc+JVr4qmvvG&#10;+r68upWultaqqXtwZhFsaR8lc4LZAPoK83+C/wDwSS8S/Cj47ftafGG5+N1jeQ/tLW95Hp9gmivG&#10;2hefbyRAyMZT5+C+flCZxivuKigD8zfFP/BAvxl4h/4I++B/+CXyftKabDqHhLx1Z+IJPGDeGZDD&#10;crBLLIYVt/PypPmY3FzjHSvu74n/AAWvPiH+y14i/Z2g1+O1n1zwDd+HE1RrcukLTWL23nFMgsAW&#10;3bcjPTPevRKKAPz98R/8EWfFevf8E6vgD+wynx/0+O8+C/jrQPEF34ibQJGj1VdOlZ2hSLzgYS+c&#10;BizbfQ1137cP7Pn/AAWy1j4sv8Tf+Cdv7fPw50jw/Nb28C/C34mfD6IWNoUiCyXC6nbwT3crO4Le&#10;WUVV3YBIFfalFAHxH/wTc/4JcfGD9n39oLxv+37+3P8AH7S/iZ8fPiNpNnpuq6l4d8Px6dpGhWEE&#10;aItnZqqo84/doDM6xs6xR5jDBnfy+w/4JOf8FDv2Vf8Agp94u/a9/wCCfn7VPge1+GPxm8ZWmufG&#10;TwP8QtNla8T/AEnzLoWEkNvKrOyyXHlsWg2+aiP5vlrJX6WUUAfLv7Pf/BPjWvgl/wAFJvjl+3pd&#10;/E+11Cz+MGk6FZ2vhuPS2jl0w6fbmFmaYyES7zyMKuPesP8A4LO/8EzPEH/BVf8AZg8N/s9+G/iz&#10;Z+DZ9C+I+n+J21S+0l71Jktre7hMARZIypb7SCGycbOhzx9fUUAfjv8AtXvaeJP+Du/9liz8JXsO&#10;rN4X+CGoReIP7PkE39msLXxKMThCfJOZ4OGwf30f94Z7D4P/APBHP/gqx/wTx+KXi74e/wDBK/8A&#10;ba+Fvhn4F/ELxhda/faB4+8FTXepeD57hlib7AFWX+0GitoYEU3FxCjmIBkUlpH4v/g308JeFL7/&#10;AILJf8FGPHF74Y0+bWtN+MM1lp2sS2UbXVrbXGs6088McpG9I5Gt7dnRSFcwRlgSi4/YygD8EP2i&#10;P+DNf45fHr42+JPjV4l/4KW2msat4p1JtT1vVte+HhFze38wD3UxS3uliiR5zIyQoNsSFYwW2biV&#10;+99FAH//2VBLAwQUAAYACAAAACEA4lud+uMAAAANAQAADwAAAGRycy9kb3ducmV2LnhtbEyPwUrD&#10;QBCG74LvsIzgrd1sY2qN2ZRS1FMRbAXxtk2mSWh2NmS3Sfr2jie9zTAf/3x/tp5sKwbsfeNIg5pH&#10;IJAKVzZUafg8vM5WIHwwVJrWEWq4ood1fnuTmbR0I33gsA+V4BDyqdFQh9ClUvqiRmv83HVIfDu5&#10;3prAa1/Jsjcjh9tWLqJoKa1piD/UpsNtjcV5f7Ea3kYzbmL1MuzOp+31+5C8f+0Uan1/N22eQQSc&#10;wh8Mv/qsDjk7Hd2FSi9aDbNlsmCUBxU/xCAYeVpFjyCOzMZKJSDzTP5vkf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fwWj0CCAAAghsAAA4AAAAAAAAAAAAAAAAA&#10;PAIAAGRycy9lMm9Eb2MueG1sUEsBAi0ACgAAAAAAAAAhANJkz2tVdgAAVXYAABUAAAAAAAAAAAAA&#10;AAAAagoAAGRycy9tZWRpYS9pbWFnZTEuanBlZ1BLAQItABQABgAIAAAAIQDiW5364wAAAA0BAAAP&#10;AAAAAAAAAAAAAAAAAPKAAABkcnMvZG93bnJldi54bWxQSwECLQAUAAYACAAAACEAWGCzG7oAAAAi&#10;AQAAGQAAAAAAAAAAAAAAAAACggAAZHJzL19yZWxzL2Uyb0RvYy54bWwucmVsc1BLBQYAAAAABgAG&#10;AH0BAADzggAAAAA=&#10;">
                    <v:group id="Group 125" o:spid="_x0000_s1027" style="position:absolute;left:317;top:2180;width:66413;height:71634" coordorigin="265,-79" coordsize="55575,5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o:lock v:ext="edit" aspectratio="t"/>
                      <v:shape id="Freeform 10" o:spid="_x0000_s1028" style="position:absolute;left:265;top:-79;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13C8326C" w14:textId="6DBD757E" w:rsidR="00B84344" w:rsidRPr="00D551C4" w:rsidRDefault="000D713B" w:rsidP="00CD1E47">
                              <w:pPr>
                                <w:ind w:firstLine="0"/>
                                <w:jc w:val="center"/>
                                <w:rPr>
                                  <w:rFonts w:cs="Times New Roman"/>
                                  <w:color w:val="FFFFFF" w:themeColor="background1"/>
                                  <w:sz w:val="56"/>
                                  <w:szCs w:val="56"/>
                                </w:rPr>
                              </w:pPr>
                              <w:sdt>
                                <w:sdtPr>
                                  <w:rPr>
                                    <w:rFonts w:cs="Times New Roman"/>
                                    <w:color w:val="FFFFFF" w:themeColor="background1"/>
                                    <w:sz w:val="56"/>
                                    <w:szCs w:val="56"/>
                                  </w:rPr>
                                  <w:alias w:val="Title"/>
                                  <w:tag w:val=""/>
                                  <w:id w:val="363876279"/>
                                  <w:dataBinding w:prefixMappings="xmlns:ns0='http://purl.org/dc/elements/1.1/' xmlns:ns1='http://schemas.openxmlformats.org/package/2006/metadata/core-properties' " w:xpath="/ns1:coreProperties[1]/ns0:title[1]" w:storeItemID="{6C3C8BC8-F283-45AE-878A-BAB7291924A1}"/>
                                  <w:text/>
                                </w:sdtPr>
                                <w:sdtEndPr/>
                                <w:sdtContent>
                                  <w:r w:rsidR="00B84344">
                                    <w:rPr>
                                      <w:rFonts w:cs="Times New Roman"/>
                                      <w:color w:val="FFFFFF" w:themeColor="background1"/>
                                      <w:sz w:val="56"/>
                                      <w:szCs w:val="56"/>
                                    </w:rPr>
                                    <w:t>Latvijas Stabilitātes programma 202</w:t>
                                  </w:r>
                                  <w:r w:rsidR="00874664">
                                    <w:rPr>
                                      <w:rFonts w:cs="Times New Roman"/>
                                      <w:color w:val="FFFFFF" w:themeColor="background1"/>
                                      <w:sz w:val="56"/>
                                      <w:szCs w:val="56"/>
                                    </w:rPr>
                                    <w:t>4</w:t>
                                  </w:r>
                                  <w:r w:rsidR="00B84344">
                                    <w:rPr>
                                      <w:rFonts w:cs="Times New Roman"/>
                                      <w:color w:val="FFFFFF" w:themeColor="background1"/>
                                      <w:sz w:val="56"/>
                                      <w:szCs w:val="56"/>
                                    </w:rPr>
                                    <w:t>.</w:t>
                                  </w:r>
                                  <w:r w:rsidR="00CD1E47">
                                    <w:rPr>
                                      <w:rFonts w:cs="Times New Roman"/>
                                      <w:color w:val="FFFFFF" w:themeColor="background1"/>
                                      <w:sz w:val="56"/>
                                      <w:szCs w:val="56"/>
                                    </w:rPr>
                                    <w:t xml:space="preserve"> – </w:t>
                                  </w:r>
                                  <w:r w:rsidR="00B84344">
                                    <w:rPr>
                                      <w:rFonts w:cs="Times New Roman"/>
                                      <w:color w:val="FFFFFF" w:themeColor="background1"/>
                                      <w:sz w:val="56"/>
                                      <w:szCs w:val="56"/>
                                    </w:rPr>
                                    <w:t>202</w:t>
                                  </w:r>
                                  <w:r w:rsidR="00874664">
                                    <w:rPr>
                                      <w:rFonts w:cs="Times New Roman"/>
                                      <w:color w:val="FFFFFF" w:themeColor="background1"/>
                                      <w:sz w:val="56"/>
                                      <w:szCs w:val="56"/>
                                    </w:rPr>
                                    <w:t>8</w:t>
                                  </w:r>
                                  <w:r w:rsidR="00B84344">
                                    <w:rPr>
                                      <w:rFonts w:cs="Times New Roman"/>
                                      <w:color w:val="FFFFFF" w:themeColor="background1"/>
                                      <w:sz w:val="56"/>
                                      <w:szCs w:val="56"/>
                                    </w:rPr>
                                    <w:t>. gadam</w:t>
                                  </w:r>
                                </w:sdtContent>
                              </w:sdt>
                            </w:p>
                          </w:txbxContent>
                        </v:textbox>
                      </v:shape>
                      <v:shape id="Freeform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v:group>
                    <v:rect id="Rectangle 130" o:spid="_x0000_s1030" style="position:absolute;left:5638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2sxQAAANwAAAAPAAAAZHJzL2Rvd25yZXYueG1sRI9Ba8JA&#10;EIXvgv9hmUJvulHBhtRViiAV9GKU9jpkp0na7Gy6u9X47zuHQm8zvDfvfbPaDK5TVwqx9WxgNs1A&#10;EVfetlwbuJx3kxxUTMgWO89k4E4RNuvxaIWF9Tc+0bVMtZIQjgUaaFLqC61j1ZDDOPU9sWgfPjhM&#10;soZa24A3CXednmfZUjtsWRoa7GnbUPVV/jgDB71bfOfl/i3M0vyzempfT8fs3ZjHh+HlGVSiIf2b&#10;/673VvAXgi/PyAR6/QsAAP//AwBQSwECLQAUAAYACAAAACEA2+H2y+4AAACFAQAAEwAAAAAAAAAA&#10;AAAAAAAAAAAAW0NvbnRlbnRfVHlwZXNdLnhtbFBLAQItABQABgAIAAAAIQBa9CxbvwAAABUBAAAL&#10;AAAAAAAAAAAAAAAAAB8BAABfcmVscy8ucmVsc1BLAQItABQABgAIAAAAIQBhtT2sxQAAANwAAAAP&#10;AAAAAAAAAAAAAAAAAAcCAABkcnMvZG93bnJldi54bWxQSwUGAAAAAAMAAwC3AAAA+QIAAAAA&#10;" fillcolor="#5b9bd5 [3204]" stroked="f" strokeweight="1pt">
                      <o:lock v:ext="edit" aspectratio="t"/>
                      <v:textbox inset="3.6pt,,3.6pt">
                        <w:txbxContent>
                          <w:sdt>
                            <w:sdtPr>
                              <w:rPr>
                                <w:rFonts w:ascii="Times New Roman" w:hAnsi="Times New Roman" w:cs="Times New Roman"/>
                                <w:color w:val="FFFFFF" w:themeColor="background1"/>
                                <w:sz w:val="24"/>
                                <w:szCs w:val="24"/>
                              </w:rPr>
                              <w:alias w:val="Year"/>
                              <w:tag w:val=""/>
                              <w:id w:val="-571654576"/>
                              <w:dataBinding w:prefixMappings="xmlns:ns0='http://schemas.microsoft.com/office/2006/coverPageProps' " w:xpath="/ns0:CoverPageProperties[1]/ns0:PublishDate[1]" w:storeItemID="{55AF091B-3C7A-41E3-B477-F2FDAA23CFDA}"/>
                              <w:date w:fullDate="2024-01-01T00:00:00Z">
                                <w:dateFormat w:val="yyyy"/>
                                <w:lid w:val="en-US"/>
                                <w:storeMappedDataAs w:val="dateTime"/>
                                <w:calendar w:val="gregorian"/>
                              </w:date>
                            </w:sdtPr>
                            <w:sdtEndPr/>
                            <w:sdtContent>
                              <w:p w14:paraId="63BE1798" w14:textId="4F96D67F" w:rsidR="00B84344" w:rsidRDefault="00B84344" w:rsidP="00BF4753">
                                <w:pPr>
                                  <w:pStyle w:val="NoSpacing"/>
                                  <w:jc w:val="right"/>
                                  <w:rPr>
                                    <w:color w:val="FFFFFF" w:themeColor="background1"/>
                                    <w:sz w:val="24"/>
                                    <w:szCs w:val="24"/>
                                  </w:rPr>
                                </w:pPr>
                                <w:r>
                                  <w:rPr>
                                    <w:rFonts w:ascii="Times New Roman" w:hAnsi="Times New Roman" w:cs="Times New Roman"/>
                                    <w:color w:val="FFFFFF" w:themeColor="background1"/>
                                    <w:sz w:val="24"/>
                                    <w:szCs w:val="24"/>
                                    <w:lang w:val="en-US"/>
                                  </w:rPr>
                                  <w:t>202</w:t>
                                </w:r>
                                <w:r w:rsidR="00874664">
                                  <w:rPr>
                                    <w:rFonts w:ascii="Times New Roman" w:hAnsi="Times New Roman" w:cs="Times New Roman"/>
                                    <w:color w:val="FFFFFF" w:themeColor="background1"/>
                                    <w:sz w:val="24"/>
                                    <w:szCs w:val="24"/>
                                    <w:lang w:val="en-US"/>
                                  </w:rPr>
                                  <w:t>4</w:t>
                                </w:r>
                              </w:p>
                            </w:sdtContent>
                          </w:sdt>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1" type="#_x0000_t75" style="position:absolute;left:49530;top:82078;width:8832;height:9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4wwAAANoAAAAPAAAAZHJzL2Rvd25yZXYueG1sRI9Bi8Iw&#10;FITvgv8hPMHLoqkKItUoIoh68LBVUW+P5tkWm5faRO3++83CgsdhZr5hZovGlOJFtSssKxj0IxDE&#10;qdUFZwqOh3VvAsJ5ZI2lZVLwQw4W83ZrhrG2b/6mV+IzESDsYlSQe1/FUro0J4Oubyvi4N1sbdAH&#10;WWdS1/gOcFPKYRSNpcGCw0KOFa1ySu/J0yhoksvZlk972o8Gu126+Xpci8tYqW6nWU5BeGr8J/zf&#10;3moFQ/i7Em6AnP8CAAD//wMAUEsBAi0AFAAGAAgAAAAhANvh9svuAAAAhQEAABMAAAAAAAAAAAAA&#10;AAAAAAAAAFtDb250ZW50X1R5cGVzXS54bWxQSwECLQAUAAYACAAAACEAWvQsW78AAAAVAQAACwAA&#10;AAAAAAAAAAAAAAAfAQAAX3JlbHMvLnJlbHNQSwECLQAUAAYACAAAACEAg4/n+MMAAADaAAAADwAA&#10;AAAAAAAAAAAAAAAHAgAAZHJzL2Rvd25yZXYueG1sUEsFBgAAAAADAAMAtwAAAPcCAAAAAA==&#10;">
                      <v:imagedata r:id="rId10" o:title="22_vienkarss_bezlaukuma_rgb_h_LV"/>
                    </v:shape>
                  </v:group>
                </w:pict>
              </mc:Fallback>
            </mc:AlternateContent>
          </w:r>
          <w:r w:rsidR="00375884" w:rsidRPr="00D551C4">
            <w:rPr>
              <w:noProof/>
              <w:highlight w:val="yellow"/>
              <w:lang w:eastAsia="lv-LV"/>
            </w:rPr>
            <mc:AlternateContent>
              <mc:Choice Requires="wps">
                <w:drawing>
                  <wp:anchor distT="0" distB="0" distL="114300" distR="114300" simplePos="0" relativeHeight="251660288" behindDoc="0" locked="0" layoutInCell="1" allowOverlap="1" wp14:anchorId="13EE82D6" wp14:editId="55371F45">
                    <wp:simplePos x="0" y="0"/>
                    <wp:positionH relativeFrom="page">
                      <wp:posOffset>556885</wp:posOffset>
                    </wp:positionH>
                    <wp:positionV relativeFrom="margin">
                      <wp:posOffset>8817885</wp:posOffset>
                    </wp:positionV>
                    <wp:extent cx="6646545" cy="497840"/>
                    <wp:effectExtent l="0" t="0" r="0" b="10160"/>
                    <wp:wrapSquare wrapText="bothSides"/>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6545" cy="497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caps/>
                                    <w:sz w:val="28"/>
                                    <w:szCs w:val="28"/>
                                  </w:rPr>
                                  <w:alias w:val="Subtitle"/>
                                  <w:tag w:val=""/>
                                  <w:id w:val="2123952161"/>
                                  <w:dataBinding w:prefixMappings="xmlns:ns0='http://purl.org/dc/elements/1.1/' xmlns:ns1='http://schemas.openxmlformats.org/package/2006/metadata/core-properties' " w:xpath="/ns1:coreProperties[1]/ns0:subject[1]" w:storeItemID="{6C3C8BC8-F283-45AE-878A-BAB7291924A1}"/>
                                  <w:text/>
                                </w:sdtPr>
                                <w:sdtEndPr/>
                                <w:sdtContent>
                                  <w:p w14:paraId="0046674D" w14:textId="78A1D2B8" w:rsidR="00B84344" w:rsidRPr="00D22811" w:rsidRDefault="00375884" w:rsidP="00D22811">
                                    <w:pPr>
                                      <w:pStyle w:val="NoSpacing"/>
                                      <w:spacing w:before="40" w:after="40"/>
                                      <w:jc w:val="center"/>
                                      <w:rPr>
                                        <w:rFonts w:ascii="Times New Roman" w:hAnsi="Times New Roman" w:cs="Times New Roman"/>
                                        <w:caps/>
                                        <w:sz w:val="28"/>
                                        <w:szCs w:val="28"/>
                                      </w:rPr>
                                    </w:pPr>
                                    <w:r w:rsidRPr="00D22811">
                                      <w:rPr>
                                        <w:rFonts w:ascii="Times New Roman" w:hAnsi="Times New Roman" w:cs="Times New Roman"/>
                                        <w:caps/>
                                        <w:sz w:val="28"/>
                                        <w:szCs w:val="28"/>
                                      </w:rPr>
                                      <w:t>Rīga</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xmlns:w16du="http://schemas.microsoft.com/office/word/2023/wordml/word16du">
                <w:pict>
                  <v:shapetype w14:anchorId="13EE82D6" id="_x0000_t202" coordsize="21600,21600" o:spt="202" path="m,l,21600r21600,l21600,xe">
                    <v:stroke joinstyle="miter"/>
                    <v:path gradientshapeok="t" o:connecttype="rect"/>
                  </v:shapetype>
                  <v:shape id="Text Box 129" o:spid="_x0000_s1032" type="#_x0000_t202" style="position:absolute;left:0;text-align:left;margin-left:43.85pt;margin-top:694.3pt;width:523.35pt;height:39.2pt;z-index:251660288;visibility:visible;mso-wrap-style:square;mso-width-percent:1154;mso-height-percent:0;mso-wrap-distance-left:9pt;mso-wrap-distance-top:0;mso-wrap-distance-right:9pt;mso-wrap-distance-bottom:0;mso-position-horizontal:absolute;mso-position-horizontal-relative:page;mso-position-vertical:absolute;mso-position-vertical-relative:margin;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lzfwIAAFgFAAAOAAAAZHJzL2Uyb0RvYy54bWysVN9P2zAQfp+0/8Hy+0jalQ4iUtSBmCZV&#10;gAYTz65j0wjH59nXJt1fv7OTtBPbC9NekrP93e/v7uKyawzbKR9qsCWfnOScKSuhqu1zyb8/3nw4&#10;4yygsJUwYFXJ9yrwy8X7dxetK9QUNmAq5RkZsaFoXck3iK7IsiA3qhHhBJyy9KjBNwLp6J+zyouW&#10;rDcmm+b5PGvBV86DVCHQ7XX/yBfJvtZK4p3WQSEzJafYMH19+q7jN1tciOLZC7ep5RCG+IcoGlFb&#10;cnowdS1QsK2v/zDV1NJDAI0nEpoMtK6lSjlQNpP8VTYPG+FUyoWKE9yhTOH/mZW3uwd37xl2n6Gj&#10;BqYkgluBfAlUm6x1oRgwsaahCISOiXbaN/FPKTBSpNruD/VUHTJJl/P5bH46O+VM0tvs/NPZLBU8&#10;O2o7H/CLgoZFoeSe+pUiELtVwOhfFCMkOrNwUxuTemYsa8nDx9M8KRxeSMPYiFWp+4OZY+RJwr1R&#10;EWPsN6VZXaUE4kXinboynu0EMUZIqSxOIkuSXUJHlKYg3qI44I9RvUW5z2P0DBYPyk1twfcNi+Ny&#10;DLt6GUPWPX5oZOjzjiXAbt1R4iWfxuTizRqqPRHBQz8jwcmbmpqyEgHvhaehoBbToOMdfbQBKj4M&#10;Emcb8D//dh/xxFV65aylISt5+LEVXnFmvlpi8flkNsvjWKYTCT4Jk/z80/SMjuvx3m6bK6CGTGib&#10;OJnEiEYzitpD80SrYBkd0pOwktyWHEfxCvupp1Ui1XKZQDSCTuDKPjg5Uj+y7bF7Et4NlEQi8y2M&#10;kyiKV8zssYk6brlF4mei7bGgQ+lpfBOHhlUT98Pv54Q6LsTFLwAAAP//AwBQSwMEFAAGAAgAAAAh&#10;AFPw5kjhAAAADQEAAA8AAABkcnMvZG93bnJldi54bWxMj01Lw0AQhu+C/2EZwZvdtA1JiNmUIuQi&#10;CNp6sLdtdkwWs7Mhu22jv97pSW/z8fDOM9VmdoM44xSsJwXLRQICqfXGUqfgfd88FCBC1GT04AkV&#10;fGOATX17U+nS+Au94XkXO8EhFEqtoI9xLKUMbY9Oh4UfkXj36SenI7dTJ82kLxzuBrlKkkw6bYkv&#10;9HrEpx7br93JKXgJhyZqH35ew0eDh+1gn2lllbq/m7ePICLO8Q+Gqz6rQ81OR38iE8SgoMhzJnm+&#10;LooMxJVYrtMUxJGrNMsTkHUl/39R/wIAAP//AwBQSwECLQAUAAYACAAAACEAtoM4kv4AAADhAQAA&#10;EwAAAAAAAAAAAAAAAAAAAAAAW0NvbnRlbnRfVHlwZXNdLnhtbFBLAQItABQABgAIAAAAIQA4/SH/&#10;1gAAAJQBAAALAAAAAAAAAAAAAAAAAC8BAABfcmVscy8ucmVsc1BLAQItABQABgAIAAAAIQCkhplz&#10;fwIAAFgFAAAOAAAAAAAAAAAAAAAAAC4CAABkcnMvZTJvRG9jLnhtbFBLAQItABQABgAIAAAAIQBT&#10;8OZI4QAAAA0BAAAPAAAAAAAAAAAAAAAAANkEAABkcnMvZG93bnJldi54bWxQSwUGAAAAAAQABADz&#10;AAAA5wUAAAAA&#10;" filled="f" stroked="f" strokeweight=".5pt">
                    <v:textbox style="mso-fit-shape-to-text:t" inset="1in,0,86.4pt,0">
                      <w:txbxContent>
                        <w:sdt>
                          <w:sdtPr>
                            <w:rPr>
                              <w:rFonts w:ascii="Times New Roman" w:hAnsi="Times New Roman" w:cs="Times New Roman"/>
                              <w:caps/>
                              <w:sz w:val="28"/>
                              <w:szCs w:val="28"/>
                            </w:rPr>
                            <w:alias w:val="Subtitle"/>
                            <w:tag w:val=""/>
                            <w:id w:val="2123952161"/>
                            <w:dataBinding w:prefixMappings="xmlns:ns0='http://purl.org/dc/elements/1.1/' xmlns:ns1='http://schemas.openxmlformats.org/package/2006/metadata/core-properties' " w:xpath="/ns1:coreProperties[1]/ns0:subject[1]" w:storeItemID="{6C3C8BC8-F283-45AE-878A-BAB7291924A1}"/>
                            <w:text/>
                          </w:sdtPr>
                          <w:sdtEndPr/>
                          <w:sdtContent>
                            <w:p w14:paraId="0046674D" w14:textId="78A1D2B8" w:rsidR="00B84344" w:rsidRPr="00D22811" w:rsidRDefault="00375884" w:rsidP="00D22811">
                              <w:pPr>
                                <w:pStyle w:val="NoSpacing"/>
                                <w:spacing w:before="40" w:after="40"/>
                                <w:jc w:val="center"/>
                                <w:rPr>
                                  <w:rFonts w:ascii="Times New Roman" w:hAnsi="Times New Roman" w:cs="Times New Roman"/>
                                  <w:caps/>
                                  <w:sz w:val="28"/>
                                  <w:szCs w:val="28"/>
                                </w:rPr>
                              </w:pPr>
                              <w:r w:rsidRPr="00D22811">
                                <w:rPr>
                                  <w:rFonts w:ascii="Times New Roman" w:hAnsi="Times New Roman" w:cs="Times New Roman"/>
                                  <w:caps/>
                                  <w:sz w:val="28"/>
                                  <w:szCs w:val="28"/>
                                </w:rPr>
                                <w:t>Rīga</w:t>
                              </w:r>
                            </w:p>
                          </w:sdtContent>
                        </w:sdt>
                      </w:txbxContent>
                    </v:textbox>
                    <w10:wrap type="square" anchorx="page" anchory="margin"/>
                  </v:shape>
                </w:pict>
              </mc:Fallback>
            </mc:AlternateContent>
          </w:r>
          <w:r w:rsidR="00BF4753" w:rsidRPr="00D551C4">
            <w:rPr>
              <w:rFonts w:cs="Times New Roman"/>
              <w:b/>
              <w:bCs/>
              <w:smallCaps/>
              <w:highlight w:val="yellow"/>
            </w:rPr>
            <w:br w:type="page"/>
          </w:r>
        </w:p>
      </w:sdtContent>
    </w:sdt>
    <w:sdt>
      <w:sdtPr>
        <w:rPr>
          <w:rFonts w:asciiTheme="minorHAnsi" w:eastAsiaTheme="minorEastAsia" w:hAnsiTheme="minorHAnsi" w:cstheme="minorBidi"/>
          <w:b w:val="0"/>
          <w:bCs w:val="0"/>
          <w:smallCaps w:val="0"/>
          <w:color w:val="auto"/>
          <w:sz w:val="24"/>
          <w:szCs w:val="24"/>
          <w:lang w:eastAsia="en-US"/>
          <w14:textOutline w14:w="0" w14:cap="rnd" w14:cmpd="sng" w14:algn="ctr">
            <w14:noFill/>
            <w14:prstDash w14:val="solid"/>
            <w14:bevel/>
          </w14:textOutline>
        </w:rPr>
        <w:id w:val="423391642"/>
        <w:docPartObj>
          <w:docPartGallery w:val="Table of Contents"/>
          <w:docPartUnique/>
        </w:docPartObj>
      </w:sdtPr>
      <w:sdtEndPr>
        <w:rPr>
          <w:rFonts w:ascii="Times New Roman" w:hAnsi="Times New Roman" w:cs="Times New Roman"/>
          <w:noProof/>
          <w:spacing w:val="-4"/>
        </w:rPr>
      </w:sdtEndPr>
      <w:sdtContent>
        <w:p w14:paraId="0014049C" w14:textId="77777777" w:rsidR="00BF4753" w:rsidRPr="009A04C3" w:rsidRDefault="00BF4753" w:rsidP="007A7D3C">
          <w:pPr>
            <w:pStyle w:val="TOCHeading"/>
            <w:rPr>
              <w:b w:val="0"/>
              <w:bCs w:val="0"/>
              <w:sz w:val="24"/>
              <w:szCs w:val="24"/>
            </w:rPr>
          </w:pPr>
          <w:r w:rsidRPr="009A04C3">
            <w:rPr>
              <w:b w:val="0"/>
              <w:bCs w:val="0"/>
              <w:sz w:val="24"/>
              <w:szCs w:val="24"/>
            </w:rPr>
            <w:t>SATURS</w:t>
          </w:r>
        </w:p>
        <w:p w14:paraId="1B017604" w14:textId="77777777" w:rsidR="00BF4753" w:rsidRPr="007A7D3C" w:rsidRDefault="00BF4753" w:rsidP="00FA14BF">
          <w:pPr>
            <w:pStyle w:val="TOC1"/>
          </w:pPr>
        </w:p>
        <w:p w14:paraId="11F9115C" w14:textId="440EE9DB" w:rsidR="007A7D3C" w:rsidRPr="007A7D3C" w:rsidRDefault="00BF4753">
          <w:pPr>
            <w:pStyle w:val="TOC1"/>
            <w:rPr>
              <w:rFonts w:asciiTheme="minorHAnsi" w:eastAsiaTheme="minorEastAsia" w:hAnsiTheme="minorHAnsi" w:cstheme="minorBidi"/>
              <w:noProof/>
              <w:kern w:val="2"/>
              <w:sz w:val="22"/>
              <w:szCs w:val="22"/>
              <w:lang w:eastAsia="lv-LV"/>
              <w14:ligatures w14:val="standardContextual"/>
            </w:rPr>
          </w:pPr>
          <w:r w:rsidRPr="007A7D3C">
            <w:rPr>
              <w:spacing w:val="-4"/>
              <w:szCs w:val="24"/>
            </w:rPr>
            <w:fldChar w:fldCharType="begin"/>
          </w:r>
          <w:r w:rsidRPr="007A7D3C">
            <w:rPr>
              <w:spacing w:val="-4"/>
              <w:szCs w:val="24"/>
            </w:rPr>
            <w:instrText xml:space="preserve"> TOC \o "1-3" \h \z \u </w:instrText>
          </w:r>
          <w:r w:rsidRPr="007A7D3C">
            <w:rPr>
              <w:spacing w:val="-4"/>
              <w:szCs w:val="24"/>
            </w:rPr>
            <w:fldChar w:fldCharType="separate"/>
          </w:r>
          <w:hyperlink w:anchor="_Toc164679813" w:history="1">
            <w:r w:rsidR="007A7D3C" w:rsidRPr="007A7D3C">
              <w:rPr>
                <w:rStyle w:val="Hyperlink"/>
                <w:noProof/>
              </w:rPr>
              <w:t>1. Ievads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_Toc164679813 \h </w:instrText>
            </w:r>
            <w:r w:rsidR="007A7D3C" w:rsidRPr="007A7D3C">
              <w:rPr>
                <w:noProof/>
                <w:webHidden/>
              </w:rPr>
            </w:r>
            <w:r w:rsidR="007A7D3C" w:rsidRPr="007A7D3C">
              <w:rPr>
                <w:noProof/>
                <w:webHidden/>
              </w:rPr>
              <w:fldChar w:fldCharType="separate"/>
            </w:r>
            <w:r w:rsidR="007A7D3C" w:rsidRPr="007A7D3C">
              <w:rPr>
                <w:noProof/>
                <w:webHidden/>
              </w:rPr>
              <w:t>4</w:t>
            </w:r>
            <w:r w:rsidR="007A7D3C" w:rsidRPr="007A7D3C">
              <w:rPr>
                <w:noProof/>
                <w:webHidden/>
              </w:rPr>
              <w:fldChar w:fldCharType="end"/>
            </w:r>
          </w:hyperlink>
        </w:p>
        <w:p w14:paraId="1B1BAC5F" w14:textId="54105358" w:rsidR="007A7D3C" w:rsidRPr="007A7D3C" w:rsidRDefault="00303429">
          <w:pPr>
            <w:pStyle w:val="TOC1"/>
            <w:rPr>
              <w:rFonts w:asciiTheme="minorHAnsi" w:eastAsiaTheme="minorEastAsia" w:hAnsiTheme="minorHAnsi" w:cstheme="minorBidi"/>
              <w:noProof/>
              <w:kern w:val="2"/>
              <w:sz w:val="22"/>
              <w:szCs w:val="22"/>
              <w:lang w:eastAsia="lv-LV"/>
              <w14:ligatures w14:val="standardContextual"/>
            </w:rPr>
          </w:pPr>
          <w:hyperlink w:anchor="_Toc164679814" w:history="1">
            <w:r w:rsidR="007A7D3C" w:rsidRPr="007A7D3C">
              <w:rPr>
                <w:rStyle w:val="Hyperlink"/>
                <w:noProof/>
              </w:rPr>
              <w:t>2. Ekonomiskā situācija</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_Toc164679814 \h </w:instrText>
            </w:r>
            <w:r w:rsidR="007A7D3C" w:rsidRPr="007A7D3C">
              <w:rPr>
                <w:noProof/>
                <w:webHidden/>
              </w:rPr>
            </w:r>
            <w:r w:rsidR="007A7D3C" w:rsidRPr="007A7D3C">
              <w:rPr>
                <w:noProof/>
                <w:webHidden/>
              </w:rPr>
              <w:fldChar w:fldCharType="separate"/>
            </w:r>
            <w:r w:rsidR="007A7D3C" w:rsidRPr="007A7D3C">
              <w:rPr>
                <w:noProof/>
                <w:webHidden/>
              </w:rPr>
              <w:t>6</w:t>
            </w:r>
            <w:r w:rsidR="007A7D3C" w:rsidRPr="007A7D3C">
              <w:rPr>
                <w:noProof/>
                <w:webHidden/>
              </w:rPr>
              <w:fldChar w:fldCharType="end"/>
            </w:r>
          </w:hyperlink>
        </w:p>
        <w:p w14:paraId="0FB089F6" w14:textId="5BE3BF39"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15" w:history="1">
            <w:r w:rsidR="007A7D3C" w:rsidRPr="007A7D3C">
              <w:rPr>
                <w:rStyle w:val="Hyperlink"/>
                <w:noProof/>
                <w:lang w:eastAsia="lv-LV"/>
              </w:rPr>
              <w:t>2.1. Ārējā ekonomiskā vide</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_Toc164679815 \h </w:instrText>
            </w:r>
            <w:r w:rsidR="007A7D3C" w:rsidRPr="007A7D3C">
              <w:rPr>
                <w:noProof/>
                <w:webHidden/>
              </w:rPr>
            </w:r>
            <w:r w:rsidR="007A7D3C" w:rsidRPr="007A7D3C">
              <w:rPr>
                <w:noProof/>
                <w:webHidden/>
              </w:rPr>
              <w:fldChar w:fldCharType="separate"/>
            </w:r>
            <w:r w:rsidR="007A7D3C" w:rsidRPr="007A7D3C">
              <w:rPr>
                <w:noProof/>
                <w:webHidden/>
              </w:rPr>
              <w:t>6</w:t>
            </w:r>
            <w:r w:rsidR="007A7D3C" w:rsidRPr="007A7D3C">
              <w:rPr>
                <w:noProof/>
                <w:webHidden/>
              </w:rPr>
              <w:fldChar w:fldCharType="end"/>
            </w:r>
          </w:hyperlink>
        </w:p>
        <w:p w14:paraId="02A966DB" w14:textId="65D948E7"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16" w:history="1">
            <w:r w:rsidR="007A7D3C" w:rsidRPr="007A7D3C">
              <w:rPr>
                <w:rStyle w:val="Hyperlink"/>
                <w:noProof/>
              </w:rPr>
              <w:t>2.2. Pašreizējā ekonomiskā attīstība</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_Toc164679816 \h </w:instrText>
            </w:r>
            <w:r w:rsidR="007A7D3C" w:rsidRPr="007A7D3C">
              <w:rPr>
                <w:noProof/>
                <w:webHidden/>
              </w:rPr>
            </w:r>
            <w:r w:rsidR="007A7D3C" w:rsidRPr="007A7D3C">
              <w:rPr>
                <w:noProof/>
                <w:webHidden/>
              </w:rPr>
              <w:fldChar w:fldCharType="separate"/>
            </w:r>
            <w:r w:rsidR="007A7D3C" w:rsidRPr="007A7D3C">
              <w:rPr>
                <w:noProof/>
                <w:webHidden/>
              </w:rPr>
              <w:t>7</w:t>
            </w:r>
            <w:r w:rsidR="007A7D3C" w:rsidRPr="007A7D3C">
              <w:rPr>
                <w:noProof/>
                <w:webHidden/>
              </w:rPr>
              <w:fldChar w:fldCharType="end"/>
            </w:r>
          </w:hyperlink>
        </w:p>
        <w:p w14:paraId="37DB93C9" w14:textId="7C42AA83"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17" w:history="1">
            <w:r w:rsidR="007A7D3C" w:rsidRPr="007A7D3C">
              <w:rPr>
                <w:rStyle w:val="Hyperlink"/>
                <w:noProof/>
              </w:rPr>
              <w:t>2.3.</w:t>
            </w:r>
            <w:r w:rsidR="007A7D3C" w:rsidRPr="007A7D3C">
              <w:rPr>
                <w:rFonts w:asciiTheme="minorHAnsi" w:eastAsiaTheme="minorEastAsia" w:hAnsiTheme="minorHAnsi" w:cstheme="minorBidi"/>
                <w:noProof/>
                <w:kern w:val="2"/>
                <w:sz w:val="22"/>
                <w:szCs w:val="22"/>
                <w:lang w:eastAsia="lv-LV"/>
                <w14:ligatures w14:val="standardContextual"/>
              </w:rPr>
              <w:tab/>
            </w:r>
            <w:r w:rsidR="007A7D3C" w:rsidRPr="007A7D3C">
              <w:rPr>
                <w:rStyle w:val="Hyperlink"/>
                <w:noProof/>
              </w:rPr>
              <w:t>Makroekonomiskās attīstības scenārijs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_Toc164679817 \h </w:instrText>
            </w:r>
            <w:r w:rsidR="007A7D3C" w:rsidRPr="007A7D3C">
              <w:rPr>
                <w:noProof/>
                <w:webHidden/>
              </w:rPr>
            </w:r>
            <w:r w:rsidR="007A7D3C" w:rsidRPr="007A7D3C">
              <w:rPr>
                <w:noProof/>
                <w:webHidden/>
              </w:rPr>
              <w:fldChar w:fldCharType="separate"/>
            </w:r>
            <w:r w:rsidR="007A7D3C" w:rsidRPr="007A7D3C">
              <w:rPr>
                <w:noProof/>
                <w:webHidden/>
              </w:rPr>
              <w:t>22</w:t>
            </w:r>
            <w:r w:rsidR="007A7D3C" w:rsidRPr="007A7D3C">
              <w:rPr>
                <w:noProof/>
                <w:webHidden/>
              </w:rPr>
              <w:fldChar w:fldCharType="end"/>
            </w:r>
          </w:hyperlink>
        </w:p>
        <w:p w14:paraId="7DC150A6" w14:textId="58BB5EC4" w:rsidR="007A7D3C" w:rsidRPr="007A7D3C" w:rsidRDefault="00303429">
          <w:pPr>
            <w:pStyle w:val="TOC1"/>
            <w:rPr>
              <w:rFonts w:asciiTheme="minorHAnsi" w:eastAsiaTheme="minorEastAsia" w:hAnsiTheme="minorHAnsi" w:cstheme="minorBidi"/>
              <w:noProof/>
              <w:kern w:val="2"/>
              <w:sz w:val="22"/>
              <w:szCs w:val="22"/>
              <w:lang w:eastAsia="lv-LV"/>
              <w14:ligatures w14:val="standardContextual"/>
            </w:rPr>
          </w:pPr>
          <w:hyperlink w:anchor="_Toc164679818" w:history="1">
            <w:r w:rsidR="007A7D3C" w:rsidRPr="007A7D3C">
              <w:rPr>
                <w:rStyle w:val="Hyperlink"/>
                <w:noProof/>
              </w:rPr>
              <w:t>3. Vispārējās valdības budžeta bilance un parāds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_Toc164679818 \h </w:instrText>
            </w:r>
            <w:r w:rsidR="007A7D3C" w:rsidRPr="007A7D3C">
              <w:rPr>
                <w:noProof/>
                <w:webHidden/>
              </w:rPr>
            </w:r>
            <w:r w:rsidR="007A7D3C" w:rsidRPr="007A7D3C">
              <w:rPr>
                <w:noProof/>
                <w:webHidden/>
              </w:rPr>
              <w:fldChar w:fldCharType="separate"/>
            </w:r>
            <w:r w:rsidR="007A7D3C" w:rsidRPr="007A7D3C">
              <w:rPr>
                <w:noProof/>
                <w:webHidden/>
              </w:rPr>
              <w:t>25</w:t>
            </w:r>
            <w:r w:rsidR="007A7D3C" w:rsidRPr="007A7D3C">
              <w:rPr>
                <w:noProof/>
                <w:webHidden/>
              </w:rPr>
              <w:fldChar w:fldCharType="end"/>
            </w:r>
          </w:hyperlink>
        </w:p>
        <w:p w14:paraId="7C3FDDD9" w14:textId="2B8C810B"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19" w:history="1">
            <w:r w:rsidR="007A7D3C" w:rsidRPr="007A7D3C">
              <w:rPr>
                <w:rStyle w:val="Hyperlink"/>
                <w:noProof/>
              </w:rPr>
              <w:t>3.1. Fiskālās politikas stratēģija un vidēja termiņa mērķi</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_Toc164679819 \h </w:instrText>
            </w:r>
            <w:r w:rsidR="007A7D3C" w:rsidRPr="007A7D3C">
              <w:rPr>
                <w:noProof/>
                <w:webHidden/>
              </w:rPr>
            </w:r>
            <w:r w:rsidR="007A7D3C" w:rsidRPr="007A7D3C">
              <w:rPr>
                <w:noProof/>
                <w:webHidden/>
              </w:rPr>
              <w:fldChar w:fldCharType="separate"/>
            </w:r>
            <w:r w:rsidR="007A7D3C" w:rsidRPr="007A7D3C">
              <w:rPr>
                <w:noProof/>
                <w:webHidden/>
              </w:rPr>
              <w:t>25</w:t>
            </w:r>
            <w:r w:rsidR="007A7D3C" w:rsidRPr="007A7D3C">
              <w:rPr>
                <w:noProof/>
                <w:webHidden/>
              </w:rPr>
              <w:fldChar w:fldCharType="end"/>
            </w:r>
          </w:hyperlink>
        </w:p>
        <w:p w14:paraId="392EBD40" w14:textId="5CE55D7F" w:rsidR="007A7D3C" w:rsidRPr="007A7D3C" w:rsidRDefault="00303429">
          <w:pPr>
            <w:pStyle w:val="TOC3"/>
            <w:rPr>
              <w:rFonts w:asciiTheme="minorHAnsi" w:eastAsiaTheme="minorEastAsia" w:hAnsiTheme="minorHAnsi" w:cstheme="minorBidi"/>
              <w:noProof/>
              <w:kern w:val="2"/>
              <w:sz w:val="22"/>
              <w:szCs w:val="22"/>
              <w:lang w:eastAsia="lv-LV"/>
              <w14:ligatures w14:val="standardContextual"/>
            </w:rPr>
          </w:pPr>
          <w:hyperlink w:anchor="_Toc164679820" w:history="1">
            <w:r w:rsidR="007A7D3C" w:rsidRPr="007A7D3C">
              <w:rPr>
                <w:rStyle w:val="Hyperlink"/>
                <w:noProof/>
              </w:rPr>
              <w:t>3.1.1. Fiskālās politikas stratēģija</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_Toc164679820 \h </w:instrText>
            </w:r>
            <w:r w:rsidR="007A7D3C" w:rsidRPr="007A7D3C">
              <w:rPr>
                <w:noProof/>
                <w:webHidden/>
              </w:rPr>
            </w:r>
            <w:r w:rsidR="007A7D3C" w:rsidRPr="007A7D3C">
              <w:rPr>
                <w:noProof/>
                <w:webHidden/>
              </w:rPr>
              <w:fldChar w:fldCharType="separate"/>
            </w:r>
            <w:r w:rsidR="007A7D3C" w:rsidRPr="007A7D3C">
              <w:rPr>
                <w:noProof/>
                <w:webHidden/>
              </w:rPr>
              <w:t>25</w:t>
            </w:r>
            <w:r w:rsidR="007A7D3C" w:rsidRPr="007A7D3C">
              <w:rPr>
                <w:noProof/>
                <w:webHidden/>
              </w:rPr>
              <w:fldChar w:fldCharType="end"/>
            </w:r>
          </w:hyperlink>
        </w:p>
        <w:p w14:paraId="511F1DFC" w14:textId="15C5412D" w:rsidR="007A7D3C" w:rsidRPr="007A7D3C" w:rsidRDefault="00303429">
          <w:pPr>
            <w:pStyle w:val="TOC3"/>
            <w:rPr>
              <w:rFonts w:asciiTheme="minorHAnsi" w:eastAsiaTheme="minorEastAsia" w:hAnsiTheme="minorHAnsi" w:cstheme="minorBidi"/>
              <w:noProof/>
              <w:kern w:val="2"/>
              <w:sz w:val="22"/>
              <w:szCs w:val="22"/>
              <w:lang w:eastAsia="lv-LV"/>
              <w14:ligatures w14:val="standardContextual"/>
            </w:rPr>
          </w:pPr>
          <w:hyperlink w:anchor="_Toc164679821" w:history="1">
            <w:r w:rsidR="007A7D3C" w:rsidRPr="007A7D3C">
              <w:rPr>
                <w:rStyle w:val="Hyperlink"/>
                <w:noProof/>
              </w:rPr>
              <w:t>3.1.2. Fiskālo nosacījumu ievērošana vidēja termiņa fiskālās politikas plānošanā</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_Toc164679821 \h </w:instrText>
            </w:r>
            <w:r w:rsidR="007A7D3C" w:rsidRPr="007A7D3C">
              <w:rPr>
                <w:noProof/>
                <w:webHidden/>
              </w:rPr>
            </w:r>
            <w:r w:rsidR="007A7D3C" w:rsidRPr="007A7D3C">
              <w:rPr>
                <w:noProof/>
                <w:webHidden/>
              </w:rPr>
              <w:fldChar w:fldCharType="separate"/>
            </w:r>
            <w:r w:rsidR="007A7D3C" w:rsidRPr="007A7D3C">
              <w:rPr>
                <w:noProof/>
                <w:webHidden/>
              </w:rPr>
              <w:t>28</w:t>
            </w:r>
            <w:r w:rsidR="007A7D3C" w:rsidRPr="007A7D3C">
              <w:rPr>
                <w:noProof/>
                <w:webHidden/>
              </w:rPr>
              <w:fldChar w:fldCharType="end"/>
            </w:r>
          </w:hyperlink>
        </w:p>
        <w:p w14:paraId="31CE2F4E" w14:textId="1AF8BE80" w:rsidR="007A7D3C" w:rsidRPr="007A7D3C" w:rsidRDefault="00303429">
          <w:pPr>
            <w:pStyle w:val="TOC3"/>
            <w:rPr>
              <w:rFonts w:asciiTheme="minorHAnsi" w:eastAsiaTheme="minorEastAsia" w:hAnsiTheme="minorHAnsi" w:cstheme="minorBidi"/>
              <w:noProof/>
              <w:kern w:val="2"/>
              <w:sz w:val="22"/>
              <w:szCs w:val="22"/>
              <w:lang w:eastAsia="lv-LV"/>
              <w14:ligatures w14:val="standardContextual"/>
            </w:rPr>
          </w:pPr>
          <w:hyperlink w:anchor="_Toc164679822" w:history="1">
            <w:r w:rsidR="007A7D3C" w:rsidRPr="007A7D3C">
              <w:rPr>
                <w:rStyle w:val="Hyperlink"/>
                <w:noProof/>
              </w:rPr>
              <w:t>3.1.3. 2025., 2026., 2027. un 2028. gada vispārējās valdības budžeta strukturālās bilances mērķi</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_Toc164679822 \h </w:instrText>
            </w:r>
            <w:r w:rsidR="007A7D3C" w:rsidRPr="007A7D3C">
              <w:rPr>
                <w:noProof/>
                <w:webHidden/>
              </w:rPr>
            </w:r>
            <w:r w:rsidR="007A7D3C" w:rsidRPr="007A7D3C">
              <w:rPr>
                <w:noProof/>
                <w:webHidden/>
              </w:rPr>
              <w:fldChar w:fldCharType="separate"/>
            </w:r>
            <w:r w:rsidR="007A7D3C" w:rsidRPr="007A7D3C">
              <w:rPr>
                <w:noProof/>
                <w:webHidden/>
              </w:rPr>
              <w:t>28</w:t>
            </w:r>
            <w:r w:rsidR="007A7D3C" w:rsidRPr="007A7D3C">
              <w:rPr>
                <w:noProof/>
                <w:webHidden/>
              </w:rPr>
              <w:fldChar w:fldCharType="end"/>
            </w:r>
          </w:hyperlink>
        </w:p>
        <w:p w14:paraId="4DF9863F" w14:textId="60C907E5" w:rsidR="007A7D3C" w:rsidRPr="007A7D3C" w:rsidRDefault="00303429">
          <w:pPr>
            <w:pStyle w:val="TOC3"/>
            <w:rPr>
              <w:rFonts w:asciiTheme="minorHAnsi" w:eastAsiaTheme="minorEastAsia" w:hAnsiTheme="minorHAnsi" w:cstheme="minorBidi"/>
              <w:noProof/>
              <w:kern w:val="2"/>
              <w:sz w:val="22"/>
              <w:szCs w:val="22"/>
              <w:lang w:eastAsia="lv-LV"/>
              <w14:ligatures w14:val="standardContextual"/>
            </w:rPr>
          </w:pPr>
          <w:hyperlink w:anchor="_Toc164679823" w:history="1">
            <w:r w:rsidR="007A7D3C" w:rsidRPr="007A7D3C">
              <w:rPr>
                <w:rStyle w:val="Hyperlink"/>
                <w:noProof/>
              </w:rPr>
              <w:t>3.1.4. Diskrecionārie pasākumi</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_Toc164679823 \h </w:instrText>
            </w:r>
            <w:r w:rsidR="007A7D3C" w:rsidRPr="007A7D3C">
              <w:rPr>
                <w:noProof/>
                <w:webHidden/>
              </w:rPr>
            </w:r>
            <w:r w:rsidR="007A7D3C" w:rsidRPr="007A7D3C">
              <w:rPr>
                <w:noProof/>
                <w:webHidden/>
              </w:rPr>
              <w:fldChar w:fldCharType="separate"/>
            </w:r>
            <w:r w:rsidR="007A7D3C" w:rsidRPr="007A7D3C">
              <w:rPr>
                <w:noProof/>
                <w:webHidden/>
              </w:rPr>
              <w:t>32</w:t>
            </w:r>
            <w:r w:rsidR="007A7D3C" w:rsidRPr="007A7D3C">
              <w:rPr>
                <w:noProof/>
                <w:webHidden/>
              </w:rPr>
              <w:fldChar w:fldCharType="end"/>
            </w:r>
          </w:hyperlink>
        </w:p>
        <w:p w14:paraId="78A00097" w14:textId="6439C8B4"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24" w:history="1">
            <w:r w:rsidR="007A7D3C" w:rsidRPr="007A7D3C">
              <w:rPr>
                <w:rStyle w:val="Hyperlink"/>
                <w:rFonts w:eastAsia="Calibri"/>
                <w:noProof/>
              </w:rPr>
              <w:t>3.2. Pašreizējā fiskālā situācija</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_Toc164679824 \h </w:instrText>
            </w:r>
            <w:r w:rsidR="007A7D3C" w:rsidRPr="007A7D3C">
              <w:rPr>
                <w:noProof/>
                <w:webHidden/>
              </w:rPr>
            </w:r>
            <w:r w:rsidR="007A7D3C" w:rsidRPr="007A7D3C">
              <w:rPr>
                <w:noProof/>
                <w:webHidden/>
              </w:rPr>
              <w:fldChar w:fldCharType="separate"/>
            </w:r>
            <w:r w:rsidR="007A7D3C" w:rsidRPr="007A7D3C">
              <w:rPr>
                <w:noProof/>
                <w:webHidden/>
              </w:rPr>
              <w:t>35</w:t>
            </w:r>
            <w:r w:rsidR="007A7D3C" w:rsidRPr="007A7D3C">
              <w:rPr>
                <w:noProof/>
                <w:webHidden/>
              </w:rPr>
              <w:fldChar w:fldCharType="end"/>
            </w:r>
          </w:hyperlink>
        </w:p>
        <w:p w14:paraId="2D439BAA" w14:textId="0EF3C5E5"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25" w:history="1">
            <w:r w:rsidR="007A7D3C" w:rsidRPr="007A7D3C">
              <w:rPr>
                <w:rStyle w:val="Hyperlink"/>
                <w:noProof/>
              </w:rPr>
              <w:t>3.3. Atbalsta pasākumi krīžu seku mazināšanai</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_Toc164679825 \h </w:instrText>
            </w:r>
            <w:r w:rsidR="007A7D3C" w:rsidRPr="007A7D3C">
              <w:rPr>
                <w:noProof/>
                <w:webHidden/>
              </w:rPr>
            </w:r>
            <w:r w:rsidR="007A7D3C" w:rsidRPr="007A7D3C">
              <w:rPr>
                <w:noProof/>
                <w:webHidden/>
              </w:rPr>
              <w:fldChar w:fldCharType="separate"/>
            </w:r>
            <w:r w:rsidR="007A7D3C" w:rsidRPr="007A7D3C">
              <w:rPr>
                <w:noProof/>
                <w:webHidden/>
              </w:rPr>
              <w:t>39</w:t>
            </w:r>
            <w:r w:rsidR="007A7D3C" w:rsidRPr="007A7D3C">
              <w:rPr>
                <w:noProof/>
                <w:webHidden/>
              </w:rPr>
              <w:fldChar w:fldCharType="end"/>
            </w:r>
          </w:hyperlink>
        </w:p>
        <w:p w14:paraId="15B79783" w14:textId="77CB5F6A"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26" w:history="1">
            <w:r w:rsidR="007A7D3C" w:rsidRPr="007A7D3C">
              <w:rPr>
                <w:rStyle w:val="Hyperlink"/>
                <w:noProof/>
              </w:rPr>
              <w:t>3.3.</w:t>
            </w:r>
            <w:r w:rsidR="007A7D3C" w:rsidRPr="007A7D3C">
              <w:rPr>
                <w:rFonts w:asciiTheme="minorHAnsi" w:eastAsiaTheme="minorEastAsia" w:hAnsiTheme="minorHAnsi" w:cstheme="minorBidi"/>
                <w:noProof/>
                <w:kern w:val="2"/>
                <w:sz w:val="22"/>
                <w:szCs w:val="22"/>
                <w:lang w:eastAsia="lv-LV"/>
                <w14:ligatures w14:val="standardContextual"/>
              </w:rPr>
              <w:tab/>
            </w:r>
            <w:r w:rsidR="007A7D3C" w:rsidRPr="007A7D3C">
              <w:rPr>
                <w:rStyle w:val="Hyperlink"/>
                <w:noProof/>
              </w:rPr>
              <w:t>Fiskālās attīstības scenārijs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_Toc164679826 \h </w:instrText>
            </w:r>
            <w:r w:rsidR="007A7D3C" w:rsidRPr="007A7D3C">
              <w:rPr>
                <w:noProof/>
                <w:webHidden/>
              </w:rPr>
            </w:r>
            <w:r w:rsidR="007A7D3C" w:rsidRPr="007A7D3C">
              <w:rPr>
                <w:noProof/>
                <w:webHidden/>
              </w:rPr>
              <w:fldChar w:fldCharType="separate"/>
            </w:r>
            <w:r w:rsidR="007A7D3C" w:rsidRPr="007A7D3C">
              <w:rPr>
                <w:noProof/>
                <w:webHidden/>
              </w:rPr>
              <w:t>41</w:t>
            </w:r>
            <w:r w:rsidR="007A7D3C" w:rsidRPr="007A7D3C">
              <w:rPr>
                <w:noProof/>
                <w:webHidden/>
              </w:rPr>
              <w:fldChar w:fldCharType="end"/>
            </w:r>
          </w:hyperlink>
        </w:p>
        <w:p w14:paraId="3F3C2C65" w14:textId="2303BAE0" w:rsidR="007A7D3C" w:rsidRPr="007A7D3C" w:rsidRDefault="00303429">
          <w:pPr>
            <w:pStyle w:val="TOC3"/>
            <w:rPr>
              <w:rFonts w:asciiTheme="minorHAnsi" w:eastAsiaTheme="minorEastAsia" w:hAnsiTheme="minorHAnsi" w:cstheme="minorBidi"/>
              <w:noProof/>
              <w:kern w:val="2"/>
              <w:sz w:val="22"/>
              <w:szCs w:val="22"/>
              <w:lang w:eastAsia="lv-LV"/>
              <w14:ligatures w14:val="standardContextual"/>
            </w:rPr>
          </w:pPr>
          <w:hyperlink w:anchor="_Toc164679827" w:history="1">
            <w:r w:rsidR="007A7D3C" w:rsidRPr="007A7D3C">
              <w:rPr>
                <w:rStyle w:val="Hyperlink"/>
                <w:noProof/>
              </w:rPr>
              <w:t>3.4.1. Fiskālās attīstības scenārijs pie nemainīgas politikas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_Toc164679827 \h </w:instrText>
            </w:r>
            <w:r w:rsidR="007A7D3C" w:rsidRPr="007A7D3C">
              <w:rPr>
                <w:noProof/>
                <w:webHidden/>
              </w:rPr>
            </w:r>
            <w:r w:rsidR="007A7D3C" w:rsidRPr="007A7D3C">
              <w:rPr>
                <w:noProof/>
                <w:webHidden/>
              </w:rPr>
              <w:fldChar w:fldCharType="separate"/>
            </w:r>
            <w:r w:rsidR="007A7D3C" w:rsidRPr="007A7D3C">
              <w:rPr>
                <w:noProof/>
                <w:webHidden/>
              </w:rPr>
              <w:t>41</w:t>
            </w:r>
            <w:r w:rsidR="007A7D3C" w:rsidRPr="007A7D3C">
              <w:rPr>
                <w:noProof/>
                <w:webHidden/>
              </w:rPr>
              <w:fldChar w:fldCharType="end"/>
            </w:r>
          </w:hyperlink>
        </w:p>
        <w:p w14:paraId="027FF430" w14:textId="119760D6" w:rsidR="007A7D3C" w:rsidRPr="007A7D3C" w:rsidRDefault="00303429">
          <w:pPr>
            <w:pStyle w:val="TOC3"/>
            <w:rPr>
              <w:rFonts w:asciiTheme="minorHAnsi" w:eastAsiaTheme="minorEastAsia" w:hAnsiTheme="minorHAnsi" w:cstheme="minorBidi"/>
              <w:noProof/>
              <w:kern w:val="2"/>
              <w:sz w:val="22"/>
              <w:szCs w:val="22"/>
              <w:lang w:eastAsia="lv-LV"/>
              <w14:ligatures w14:val="standardContextual"/>
            </w:rPr>
          </w:pPr>
          <w:hyperlink w:anchor="_Toc164679828" w:history="1">
            <w:r w:rsidR="007A7D3C" w:rsidRPr="007A7D3C">
              <w:rPr>
                <w:rStyle w:val="Hyperlink"/>
                <w:noProof/>
              </w:rPr>
              <w:t>3.4.2. No fiskālās stratēģijas izrietošie fiskālie rādītāji un fiskālā telpa</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_Toc164679828 \h </w:instrText>
            </w:r>
            <w:r w:rsidR="007A7D3C" w:rsidRPr="007A7D3C">
              <w:rPr>
                <w:noProof/>
                <w:webHidden/>
              </w:rPr>
            </w:r>
            <w:r w:rsidR="007A7D3C" w:rsidRPr="007A7D3C">
              <w:rPr>
                <w:noProof/>
                <w:webHidden/>
              </w:rPr>
              <w:fldChar w:fldCharType="separate"/>
            </w:r>
            <w:r w:rsidR="007A7D3C" w:rsidRPr="007A7D3C">
              <w:rPr>
                <w:noProof/>
                <w:webHidden/>
              </w:rPr>
              <w:t>45</w:t>
            </w:r>
            <w:r w:rsidR="007A7D3C" w:rsidRPr="007A7D3C">
              <w:rPr>
                <w:noProof/>
                <w:webHidden/>
              </w:rPr>
              <w:fldChar w:fldCharType="end"/>
            </w:r>
          </w:hyperlink>
        </w:p>
        <w:p w14:paraId="01C79295" w14:textId="4D0B1CC6"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29" w:history="1">
            <w:r w:rsidR="007A7D3C" w:rsidRPr="007A7D3C">
              <w:rPr>
                <w:rStyle w:val="Hyperlink"/>
                <w:rFonts w:eastAsia="Calibri"/>
                <w:noProof/>
              </w:rPr>
              <w:t>3.5.</w:t>
            </w:r>
            <w:r w:rsidR="007A7D3C" w:rsidRPr="007A7D3C">
              <w:rPr>
                <w:rFonts w:asciiTheme="minorHAnsi" w:eastAsiaTheme="minorEastAsia" w:hAnsiTheme="minorHAnsi" w:cstheme="minorBidi"/>
                <w:noProof/>
                <w:kern w:val="2"/>
                <w:sz w:val="22"/>
                <w:szCs w:val="22"/>
                <w:lang w:eastAsia="lv-LV"/>
                <w14:ligatures w14:val="standardContextual"/>
              </w:rPr>
              <w:tab/>
            </w:r>
            <w:r w:rsidR="007A7D3C" w:rsidRPr="007A7D3C">
              <w:rPr>
                <w:rStyle w:val="Hyperlink"/>
                <w:rFonts w:eastAsia="Calibri"/>
                <w:noProof/>
              </w:rPr>
              <w:t>Valdības parāda vidējā termiņa attīstības tendences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_Toc164679829 \h </w:instrText>
            </w:r>
            <w:r w:rsidR="007A7D3C" w:rsidRPr="007A7D3C">
              <w:rPr>
                <w:noProof/>
                <w:webHidden/>
              </w:rPr>
            </w:r>
            <w:r w:rsidR="007A7D3C" w:rsidRPr="007A7D3C">
              <w:rPr>
                <w:noProof/>
                <w:webHidden/>
              </w:rPr>
              <w:fldChar w:fldCharType="separate"/>
            </w:r>
            <w:r w:rsidR="007A7D3C" w:rsidRPr="007A7D3C">
              <w:rPr>
                <w:noProof/>
                <w:webHidden/>
              </w:rPr>
              <w:t>47</w:t>
            </w:r>
            <w:r w:rsidR="007A7D3C" w:rsidRPr="007A7D3C">
              <w:rPr>
                <w:noProof/>
                <w:webHidden/>
              </w:rPr>
              <w:fldChar w:fldCharType="end"/>
            </w:r>
          </w:hyperlink>
        </w:p>
        <w:p w14:paraId="604F19FF" w14:textId="5B6D2EA1" w:rsidR="007A7D3C" w:rsidRPr="007A7D3C" w:rsidRDefault="00303429">
          <w:pPr>
            <w:pStyle w:val="TOC1"/>
            <w:rPr>
              <w:rFonts w:asciiTheme="minorHAnsi" w:eastAsiaTheme="minorEastAsia" w:hAnsiTheme="minorHAnsi" w:cstheme="minorBidi"/>
              <w:noProof/>
              <w:kern w:val="2"/>
              <w:sz w:val="22"/>
              <w:szCs w:val="22"/>
              <w:lang w:eastAsia="lv-LV"/>
              <w14:ligatures w14:val="standardContextual"/>
            </w:rPr>
          </w:pPr>
          <w:hyperlink w:anchor="_Toc164679830" w:history="1">
            <w:r w:rsidR="007A7D3C" w:rsidRPr="007A7D3C">
              <w:rPr>
                <w:rStyle w:val="Hyperlink"/>
                <w:noProof/>
              </w:rPr>
              <w:t>4. Jutīguma analīze un salīdzinājums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_Toc164679830 \h </w:instrText>
            </w:r>
            <w:r w:rsidR="007A7D3C" w:rsidRPr="007A7D3C">
              <w:rPr>
                <w:noProof/>
                <w:webHidden/>
              </w:rPr>
            </w:r>
            <w:r w:rsidR="007A7D3C" w:rsidRPr="007A7D3C">
              <w:rPr>
                <w:noProof/>
                <w:webHidden/>
              </w:rPr>
              <w:fldChar w:fldCharType="separate"/>
            </w:r>
            <w:r w:rsidR="007A7D3C" w:rsidRPr="007A7D3C">
              <w:rPr>
                <w:noProof/>
                <w:webHidden/>
              </w:rPr>
              <w:t>50</w:t>
            </w:r>
            <w:r w:rsidR="007A7D3C" w:rsidRPr="007A7D3C">
              <w:rPr>
                <w:noProof/>
                <w:webHidden/>
              </w:rPr>
              <w:fldChar w:fldCharType="end"/>
            </w:r>
          </w:hyperlink>
        </w:p>
        <w:p w14:paraId="55A5417E" w14:textId="01ABF72D"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31" w:history="1">
            <w:r w:rsidR="007A7D3C" w:rsidRPr="007A7D3C">
              <w:rPr>
                <w:rStyle w:val="Hyperlink"/>
                <w:noProof/>
                <w:lang w:eastAsia="lv-LV"/>
              </w:rPr>
              <w:t>4.1.</w:t>
            </w:r>
            <w:r w:rsidR="007A7D3C" w:rsidRPr="007A7D3C">
              <w:rPr>
                <w:rFonts w:asciiTheme="minorHAnsi" w:eastAsiaTheme="minorEastAsia" w:hAnsiTheme="minorHAnsi" w:cstheme="minorBidi"/>
                <w:noProof/>
                <w:kern w:val="2"/>
                <w:sz w:val="22"/>
                <w:szCs w:val="22"/>
                <w:lang w:eastAsia="lv-LV"/>
                <w14:ligatures w14:val="standardContextual"/>
              </w:rPr>
              <w:tab/>
            </w:r>
            <w:r w:rsidR="007A7D3C" w:rsidRPr="007A7D3C">
              <w:rPr>
                <w:rStyle w:val="Hyperlink"/>
                <w:noProof/>
                <w:lang w:eastAsia="lv-LV"/>
              </w:rPr>
              <w:t>Makroekonomiskā scenārija riski</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_Toc164679831 \h </w:instrText>
            </w:r>
            <w:r w:rsidR="007A7D3C" w:rsidRPr="007A7D3C">
              <w:rPr>
                <w:noProof/>
                <w:webHidden/>
              </w:rPr>
            </w:r>
            <w:r w:rsidR="007A7D3C" w:rsidRPr="007A7D3C">
              <w:rPr>
                <w:noProof/>
                <w:webHidden/>
              </w:rPr>
              <w:fldChar w:fldCharType="separate"/>
            </w:r>
            <w:r w:rsidR="007A7D3C" w:rsidRPr="007A7D3C">
              <w:rPr>
                <w:noProof/>
                <w:webHidden/>
              </w:rPr>
              <w:t>50</w:t>
            </w:r>
            <w:r w:rsidR="007A7D3C" w:rsidRPr="007A7D3C">
              <w:rPr>
                <w:noProof/>
                <w:webHidden/>
              </w:rPr>
              <w:fldChar w:fldCharType="end"/>
            </w:r>
          </w:hyperlink>
        </w:p>
        <w:p w14:paraId="3FCE6C9E" w14:textId="74854539"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32" w:history="1">
            <w:r w:rsidR="007A7D3C" w:rsidRPr="007A7D3C">
              <w:rPr>
                <w:rStyle w:val="Hyperlink"/>
                <w:noProof/>
                <w:lang w:eastAsia="lv-LV"/>
              </w:rPr>
              <w:t>4.2.</w:t>
            </w:r>
            <w:r w:rsidR="007A7D3C" w:rsidRPr="007A7D3C">
              <w:rPr>
                <w:rFonts w:asciiTheme="minorHAnsi" w:eastAsiaTheme="minorEastAsia" w:hAnsiTheme="minorHAnsi" w:cstheme="minorBidi"/>
                <w:noProof/>
                <w:kern w:val="2"/>
                <w:sz w:val="22"/>
                <w:szCs w:val="22"/>
                <w:lang w:eastAsia="lv-LV"/>
                <w14:ligatures w14:val="standardContextual"/>
              </w:rPr>
              <w:tab/>
            </w:r>
            <w:r w:rsidR="007A7D3C" w:rsidRPr="007A7D3C">
              <w:rPr>
                <w:rStyle w:val="Hyperlink"/>
                <w:noProof/>
                <w:lang w:eastAsia="lv-LV"/>
              </w:rPr>
              <w:t xml:space="preserve">Jutīguma analīze – </w:t>
            </w:r>
            <w:r w:rsidR="007A7D3C" w:rsidRPr="007A7D3C">
              <w:rPr>
                <w:rStyle w:val="Hyperlink"/>
                <w:noProof/>
                <w:lang w:eastAsia="lv-LV"/>
              </w:rPr>
              <w:t>p</w:t>
            </w:r>
            <w:r w:rsidR="007A7D3C" w:rsidRPr="007A7D3C">
              <w:rPr>
                <w:rStyle w:val="Hyperlink"/>
                <w:noProof/>
                <w:lang w:eastAsia="lv-LV"/>
              </w:rPr>
              <w:t>esimistiskais scenārijs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_Toc164679832 \h </w:instrText>
            </w:r>
            <w:r w:rsidR="007A7D3C" w:rsidRPr="007A7D3C">
              <w:rPr>
                <w:noProof/>
                <w:webHidden/>
              </w:rPr>
            </w:r>
            <w:r w:rsidR="007A7D3C" w:rsidRPr="007A7D3C">
              <w:rPr>
                <w:noProof/>
                <w:webHidden/>
              </w:rPr>
              <w:fldChar w:fldCharType="separate"/>
            </w:r>
            <w:r w:rsidR="007A7D3C" w:rsidRPr="007A7D3C">
              <w:rPr>
                <w:noProof/>
                <w:webHidden/>
              </w:rPr>
              <w:t>50</w:t>
            </w:r>
            <w:r w:rsidR="007A7D3C" w:rsidRPr="007A7D3C">
              <w:rPr>
                <w:noProof/>
                <w:webHidden/>
              </w:rPr>
              <w:fldChar w:fldCharType="end"/>
            </w:r>
          </w:hyperlink>
        </w:p>
        <w:p w14:paraId="6D29CE2D" w14:textId="76474D17"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33" w:history="1">
            <w:r w:rsidR="007A7D3C" w:rsidRPr="007A7D3C">
              <w:rPr>
                <w:rStyle w:val="Hyperlink"/>
                <w:noProof/>
                <w:lang w:eastAsia="lv-LV"/>
              </w:rPr>
              <w:t>4.3. Jutīguma analīze – optimistiskais scenārijs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_Toc164679833 \h </w:instrText>
            </w:r>
            <w:r w:rsidR="007A7D3C" w:rsidRPr="007A7D3C">
              <w:rPr>
                <w:noProof/>
                <w:webHidden/>
              </w:rPr>
            </w:r>
            <w:r w:rsidR="007A7D3C" w:rsidRPr="007A7D3C">
              <w:rPr>
                <w:noProof/>
                <w:webHidden/>
              </w:rPr>
              <w:fldChar w:fldCharType="separate"/>
            </w:r>
            <w:r w:rsidR="007A7D3C" w:rsidRPr="007A7D3C">
              <w:rPr>
                <w:noProof/>
                <w:webHidden/>
              </w:rPr>
              <w:t>52</w:t>
            </w:r>
            <w:r w:rsidR="007A7D3C" w:rsidRPr="007A7D3C">
              <w:rPr>
                <w:noProof/>
                <w:webHidden/>
              </w:rPr>
              <w:fldChar w:fldCharType="end"/>
            </w:r>
          </w:hyperlink>
        </w:p>
        <w:p w14:paraId="77D779F3" w14:textId="57C0D982"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34" w:history="1">
            <w:r w:rsidR="007A7D3C" w:rsidRPr="007A7D3C">
              <w:rPr>
                <w:rStyle w:val="Hyperlink"/>
                <w:noProof/>
                <w:lang w:eastAsia="lv-LV"/>
              </w:rPr>
              <w:t>4.4. Vispārējās valdības budžeta bilances un parāda prognožu salīdzinājums ar Latvijas Stabilitātes programmu 2023. – 2026. gadam</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_Toc164679834 \h </w:instrText>
            </w:r>
            <w:r w:rsidR="007A7D3C" w:rsidRPr="007A7D3C">
              <w:rPr>
                <w:noProof/>
                <w:webHidden/>
              </w:rPr>
            </w:r>
            <w:r w:rsidR="007A7D3C" w:rsidRPr="007A7D3C">
              <w:rPr>
                <w:noProof/>
                <w:webHidden/>
              </w:rPr>
              <w:fldChar w:fldCharType="separate"/>
            </w:r>
            <w:r w:rsidR="007A7D3C" w:rsidRPr="007A7D3C">
              <w:rPr>
                <w:noProof/>
                <w:webHidden/>
              </w:rPr>
              <w:t>54</w:t>
            </w:r>
            <w:r w:rsidR="007A7D3C" w:rsidRPr="007A7D3C">
              <w:rPr>
                <w:noProof/>
                <w:webHidden/>
              </w:rPr>
              <w:fldChar w:fldCharType="end"/>
            </w:r>
          </w:hyperlink>
        </w:p>
        <w:p w14:paraId="206E44CF" w14:textId="227464B2" w:rsidR="007A7D3C" w:rsidRPr="007A7D3C" w:rsidRDefault="00303429">
          <w:pPr>
            <w:pStyle w:val="TOC1"/>
            <w:rPr>
              <w:rFonts w:asciiTheme="minorHAnsi" w:eastAsiaTheme="minorEastAsia" w:hAnsiTheme="minorHAnsi" w:cstheme="minorBidi"/>
              <w:noProof/>
              <w:kern w:val="2"/>
              <w:sz w:val="22"/>
              <w:szCs w:val="22"/>
              <w:lang w:eastAsia="lv-LV"/>
              <w14:ligatures w14:val="standardContextual"/>
            </w:rPr>
          </w:pPr>
          <w:hyperlink w:anchor="_Toc164679835" w:history="1">
            <w:r w:rsidR="007A7D3C" w:rsidRPr="007A7D3C">
              <w:rPr>
                <w:rStyle w:val="Hyperlink"/>
                <w:noProof/>
              </w:rPr>
              <w:t>5. Valsts finanšu kvalitāte</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_Toc164679835 \h </w:instrText>
            </w:r>
            <w:r w:rsidR="007A7D3C" w:rsidRPr="007A7D3C">
              <w:rPr>
                <w:noProof/>
                <w:webHidden/>
              </w:rPr>
            </w:r>
            <w:r w:rsidR="007A7D3C" w:rsidRPr="007A7D3C">
              <w:rPr>
                <w:noProof/>
                <w:webHidden/>
              </w:rPr>
              <w:fldChar w:fldCharType="separate"/>
            </w:r>
            <w:r w:rsidR="007A7D3C" w:rsidRPr="007A7D3C">
              <w:rPr>
                <w:noProof/>
                <w:webHidden/>
              </w:rPr>
              <w:t>56</w:t>
            </w:r>
            <w:r w:rsidR="007A7D3C" w:rsidRPr="007A7D3C">
              <w:rPr>
                <w:noProof/>
                <w:webHidden/>
              </w:rPr>
              <w:fldChar w:fldCharType="end"/>
            </w:r>
          </w:hyperlink>
        </w:p>
        <w:p w14:paraId="41527178" w14:textId="57E52F56"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36" w:history="1">
            <w:r w:rsidR="007A7D3C" w:rsidRPr="007A7D3C">
              <w:rPr>
                <w:rStyle w:val="Hyperlink"/>
                <w:noProof/>
              </w:rPr>
              <w:t>5.1. Valsts budžeta līdzekļu efektivitāte un izlietojuma kontrole</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_Toc164679836 \h </w:instrText>
            </w:r>
            <w:r w:rsidR="007A7D3C" w:rsidRPr="007A7D3C">
              <w:rPr>
                <w:noProof/>
                <w:webHidden/>
              </w:rPr>
            </w:r>
            <w:r w:rsidR="007A7D3C" w:rsidRPr="007A7D3C">
              <w:rPr>
                <w:noProof/>
                <w:webHidden/>
              </w:rPr>
              <w:fldChar w:fldCharType="separate"/>
            </w:r>
            <w:r w:rsidR="007A7D3C" w:rsidRPr="007A7D3C">
              <w:rPr>
                <w:noProof/>
                <w:webHidden/>
              </w:rPr>
              <w:t>56</w:t>
            </w:r>
            <w:r w:rsidR="007A7D3C" w:rsidRPr="007A7D3C">
              <w:rPr>
                <w:noProof/>
                <w:webHidden/>
              </w:rPr>
              <w:fldChar w:fldCharType="end"/>
            </w:r>
          </w:hyperlink>
        </w:p>
        <w:p w14:paraId="12D7F23F" w14:textId="08C5D842"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37" w:history="1">
            <w:r w:rsidR="007A7D3C" w:rsidRPr="007A7D3C">
              <w:rPr>
                <w:rStyle w:val="Hyperlink"/>
                <w:noProof/>
              </w:rPr>
              <w:t>5.2. Ieņēmumu struktūras un sistēmas efektivitāte</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_Toc164679837 \h </w:instrText>
            </w:r>
            <w:r w:rsidR="007A7D3C" w:rsidRPr="007A7D3C">
              <w:rPr>
                <w:noProof/>
                <w:webHidden/>
              </w:rPr>
            </w:r>
            <w:r w:rsidR="007A7D3C" w:rsidRPr="007A7D3C">
              <w:rPr>
                <w:noProof/>
                <w:webHidden/>
              </w:rPr>
              <w:fldChar w:fldCharType="separate"/>
            </w:r>
            <w:r w:rsidR="007A7D3C" w:rsidRPr="007A7D3C">
              <w:rPr>
                <w:noProof/>
                <w:webHidden/>
              </w:rPr>
              <w:t>59</w:t>
            </w:r>
            <w:r w:rsidR="007A7D3C" w:rsidRPr="007A7D3C">
              <w:rPr>
                <w:noProof/>
                <w:webHidden/>
              </w:rPr>
              <w:fldChar w:fldCharType="end"/>
            </w:r>
          </w:hyperlink>
        </w:p>
        <w:p w14:paraId="017512B6" w14:textId="3349475B" w:rsidR="007A7D3C" w:rsidRPr="007A7D3C" w:rsidRDefault="00303429">
          <w:pPr>
            <w:pStyle w:val="TOC3"/>
            <w:rPr>
              <w:rFonts w:asciiTheme="minorHAnsi" w:eastAsiaTheme="minorEastAsia" w:hAnsiTheme="minorHAnsi" w:cstheme="minorBidi"/>
              <w:noProof/>
              <w:kern w:val="2"/>
              <w:sz w:val="22"/>
              <w:szCs w:val="22"/>
              <w:lang w:eastAsia="lv-LV"/>
              <w14:ligatures w14:val="standardContextual"/>
            </w:rPr>
          </w:pPr>
          <w:hyperlink w:anchor="_Toc164679838" w:history="1">
            <w:r w:rsidR="007A7D3C" w:rsidRPr="007A7D3C">
              <w:rPr>
                <w:rStyle w:val="Hyperlink"/>
                <w:noProof/>
              </w:rPr>
              <w:t>5.2.1. Stabilitātes programmas bāzes scenārija nodokļu ieņēmumu prognozes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_Toc164679838 \h </w:instrText>
            </w:r>
            <w:r w:rsidR="007A7D3C" w:rsidRPr="007A7D3C">
              <w:rPr>
                <w:noProof/>
                <w:webHidden/>
              </w:rPr>
            </w:r>
            <w:r w:rsidR="007A7D3C" w:rsidRPr="007A7D3C">
              <w:rPr>
                <w:noProof/>
                <w:webHidden/>
              </w:rPr>
              <w:fldChar w:fldCharType="separate"/>
            </w:r>
            <w:r w:rsidR="007A7D3C" w:rsidRPr="007A7D3C">
              <w:rPr>
                <w:noProof/>
                <w:webHidden/>
              </w:rPr>
              <w:t>59</w:t>
            </w:r>
            <w:r w:rsidR="007A7D3C" w:rsidRPr="007A7D3C">
              <w:rPr>
                <w:noProof/>
                <w:webHidden/>
              </w:rPr>
              <w:fldChar w:fldCharType="end"/>
            </w:r>
          </w:hyperlink>
        </w:p>
        <w:p w14:paraId="035B8FF6" w14:textId="543E3F6E" w:rsidR="007A7D3C" w:rsidRPr="007A7D3C" w:rsidRDefault="00303429">
          <w:pPr>
            <w:pStyle w:val="TOC1"/>
            <w:rPr>
              <w:rFonts w:asciiTheme="minorHAnsi" w:eastAsiaTheme="minorEastAsia" w:hAnsiTheme="minorHAnsi" w:cstheme="minorBidi"/>
              <w:noProof/>
              <w:kern w:val="2"/>
              <w:sz w:val="22"/>
              <w:szCs w:val="22"/>
              <w:lang w:eastAsia="lv-LV"/>
              <w14:ligatures w14:val="standardContextual"/>
            </w:rPr>
          </w:pPr>
          <w:hyperlink w:anchor="_Toc164679839" w:history="1">
            <w:r w:rsidR="007A7D3C" w:rsidRPr="007A7D3C">
              <w:rPr>
                <w:rStyle w:val="Hyperlink"/>
                <w:noProof/>
              </w:rPr>
              <w:t>6. Publisko finanšu ilgtspēja</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_Toc164679839 \h </w:instrText>
            </w:r>
            <w:r w:rsidR="007A7D3C" w:rsidRPr="007A7D3C">
              <w:rPr>
                <w:noProof/>
                <w:webHidden/>
              </w:rPr>
            </w:r>
            <w:r w:rsidR="007A7D3C" w:rsidRPr="007A7D3C">
              <w:rPr>
                <w:noProof/>
                <w:webHidden/>
              </w:rPr>
              <w:fldChar w:fldCharType="separate"/>
            </w:r>
            <w:r w:rsidR="007A7D3C" w:rsidRPr="007A7D3C">
              <w:rPr>
                <w:noProof/>
                <w:webHidden/>
              </w:rPr>
              <w:t>61</w:t>
            </w:r>
            <w:r w:rsidR="007A7D3C" w:rsidRPr="007A7D3C">
              <w:rPr>
                <w:noProof/>
                <w:webHidden/>
              </w:rPr>
              <w:fldChar w:fldCharType="end"/>
            </w:r>
          </w:hyperlink>
        </w:p>
        <w:p w14:paraId="6AAE7A8D" w14:textId="7CC9B6D9"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40" w:history="1">
            <w:r w:rsidR="007A7D3C" w:rsidRPr="007A7D3C">
              <w:rPr>
                <w:rStyle w:val="Hyperlink"/>
                <w:noProof/>
                <w:lang w:eastAsia="lv-LV"/>
              </w:rPr>
              <w:t>6.1.</w:t>
            </w:r>
            <w:r w:rsidR="007A7D3C" w:rsidRPr="007A7D3C">
              <w:rPr>
                <w:rFonts w:asciiTheme="minorHAnsi" w:eastAsiaTheme="minorEastAsia" w:hAnsiTheme="minorHAnsi" w:cstheme="minorBidi"/>
                <w:noProof/>
                <w:kern w:val="2"/>
                <w:sz w:val="22"/>
                <w:szCs w:val="22"/>
                <w:lang w:eastAsia="lv-LV"/>
                <w14:ligatures w14:val="standardContextual"/>
              </w:rPr>
              <w:tab/>
            </w:r>
            <w:r w:rsidR="007A7D3C" w:rsidRPr="007A7D3C">
              <w:rPr>
                <w:rStyle w:val="Hyperlink"/>
                <w:noProof/>
                <w:lang w:eastAsia="lv-LV"/>
              </w:rPr>
              <w:t>Publisko finanšu ilgtermiņa attīstības scenārijs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_Toc164679840 \h </w:instrText>
            </w:r>
            <w:r w:rsidR="007A7D3C" w:rsidRPr="007A7D3C">
              <w:rPr>
                <w:noProof/>
                <w:webHidden/>
              </w:rPr>
            </w:r>
            <w:r w:rsidR="007A7D3C" w:rsidRPr="007A7D3C">
              <w:rPr>
                <w:noProof/>
                <w:webHidden/>
              </w:rPr>
              <w:fldChar w:fldCharType="separate"/>
            </w:r>
            <w:r w:rsidR="007A7D3C" w:rsidRPr="007A7D3C">
              <w:rPr>
                <w:noProof/>
                <w:webHidden/>
              </w:rPr>
              <w:t>61</w:t>
            </w:r>
            <w:r w:rsidR="007A7D3C" w:rsidRPr="007A7D3C">
              <w:rPr>
                <w:noProof/>
                <w:webHidden/>
              </w:rPr>
              <w:fldChar w:fldCharType="end"/>
            </w:r>
          </w:hyperlink>
        </w:p>
        <w:p w14:paraId="42A062AD" w14:textId="12FCA5AD"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41" w:history="1">
            <w:r w:rsidR="007A7D3C" w:rsidRPr="007A7D3C">
              <w:rPr>
                <w:rStyle w:val="Hyperlink"/>
                <w:noProof/>
                <w:lang w:eastAsia="lv-LV"/>
              </w:rPr>
              <w:t>6.2. Valsts sniegtie galvojumi</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_Toc164679841 \h </w:instrText>
            </w:r>
            <w:r w:rsidR="007A7D3C" w:rsidRPr="007A7D3C">
              <w:rPr>
                <w:noProof/>
                <w:webHidden/>
              </w:rPr>
            </w:r>
            <w:r w:rsidR="007A7D3C" w:rsidRPr="007A7D3C">
              <w:rPr>
                <w:noProof/>
                <w:webHidden/>
              </w:rPr>
              <w:fldChar w:fldCharType="separate"/>
            </w:r>
            <w:r w:rsidR="007A7D3C" w:rsidRPr="007A7D3C">
              <w:rPr>
                <w:noProof/>
                <w:webHidden/>
              </w:rPr>
              <w:t>64</w:t>
            </w:r>
            <w:r w:rsidR="007A7D3C" w:rsidRPr="007A7D3C">
              <w:rPr>
                <w:noProof/>
                <w:webHidden/>
              </w:rPr>
              <w:fldChar w:fldCharType="end"/>
            </w:r>
          </w:hyperlink>
        </w:p>
        <w:p w14:paraId="1DF64D35" w14:textId="75CBD6BC" w:rsidR="007A7D3C" w:rsidRPr="007A7D3C" w:rsidRDefault="00303429">
          <w:pPr>
            <w:pStyle w:val="TOC1"/>
            <w:rPr>
              <w:rFonts w:asciiTheme="minorHAnsi" w:eastAsiaTheme="minorEastAsia" w:hAnsiTheme="minorHAnsi" w:cstheme="minorBidi"/>
              <w:noProof/>
              <w:kern w:val="2"/>
              <w:sz w:val="22"/>
              <w:szCs w:val="22"/>
              <w:lang w:eastAsia="lv-LV"/>
              <w14:ligatures w14:val="standardContextual"/>
            </w:rPr>
          </w:pPr>
          <w:hyperlink w:anchor="_Toc164679842" w:history="1">
            <w:r w:rsidR="007A7D3C" w:rsidRPr="007A7D3C">
              <w:rPr>
                <w:rStyle w:val="Hyperlink"/>
                <w:noProof/>
              </w:rPr>
              <w:t>7. Valsts finanšu institucionālās iezīmes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_Toc164679842 \h </w:instrText>
            </w:r>
            <w:r w:rsidR="007A7D3C" w:rsidRPr="007A7D3C">
              <w:rPr>
                <w:noProof/>
                <w:webHidden/>
              </w:rPr>
            </w:r>
            <w:r w:rsidR="007A7D3C" w:rsidRPr="007A7D3C">
              <w:rPr>
                <w:noProof/>
                <w:webHidden/>
              </w:rPr>
              <w:fldChar w:fldCharType="separate"/>
            </w:r>
            <w:r w:rsidR="007A7D3C" w:rsidRPr="007A7D3C">
              <w:rPr>
                <w:noProof/>
                <w:webHidden/>
              </w:rPr>
              <w:t>65</w:t>
            </w:r>
            <w:r w:rsidR="007A7D3C" w:rsidRPr="007A7D3C">
              <w:rPr>
                <w:noProof/>
                <w:webHidden/>
              </w:rPr>
              <w:fldChar w:fldCharType="end"/>
            </w:r>
          </w:hyperlink>
        </w:p>
        <w:p w14:paraId="0CFCB33D" w14:textId="430632E3"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43" w:history="1">
            <w:r w:rsidR="007A7D3C" w:rsidRPr="007A7D3C">
              <w:rPr>
                <w:rStyle w:val="Hyperlink"/>
                <w:noProof/>
                <w:lang w:eastAsia="lv-LV"/>
              </w:rPr>
              <w:t>7.1. Vidējā termiņa budžeta plānošana</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_Toc164679843 \h </w:instrText>
            </w:r>
            <w:r w:rsidR="007A7D3C" w:rsidRPr="007A7D3C">
              <w:rPr>
                <w:noProof/>
                <w:webHidden/>
              </w:rPr>
            </w:r>
            <w:r w:rsidR="007A7D3C" w:rsidRPr="007A7D3C">
              <w:rPr>
                <w:noProof/>
                <w:webHidden/>
              </w:rPr>
              <w:fldChar w:fldCharType="separate"/>
            </w:r>
            <w:r w:rsidR="007A7D3C" w:rsidRPr="007A7D3C">
              <w:rPr>
                <w:noProof/>
                <w:webHidden/>
              </w:rPr>
              <w:t>65</w:t>
            </w:r>
            <w:r w:rsidR="007A7D3C" w:rsidRPr="007A7D3C">
              <w:rPr>
                <w:noProof/>
                <w:webHidden/>
              </w:rPr>
              <w:fldChar w:fldCharType="end"/>
            </w:r>
          </w:hyperlink>
        </w:p>
        <w:p w14:paraId="5574DB7D" w14:textId="1F57B160" w:rsidR="007A7D3C" w:rsidRPr="007A7D3C" w:rsidRDefault="00303429">
          <w:pPr>
            <w:pStyle w:val="TOC2"/>
            <w:rPr>
              <w:rFonts w:asciiTheme="minorHAnsi" w:eastAsiaTheme="minorEastAsia" w:hAnsiTheme="minorHAnsi" w:cstheme="minorBidi"/>
              <w:noProof/>
              <w:kern w:val="2"/>
              <w:sz w:val="22"/>
              <w:szCs w:val="22"/>
              <w:lang w:eastAsia="lv-LV"/>
              <w14:ligatures w14:val="standardContextual"/>
            </w:rPr>
          </w:pPr>
          <w:hyperlink w:anchor="_Toc164679844" w:history="1">
            <w:r w:rsidR="007A7D3C" w:rsidRPr="007A7D3C">
              <w:rPr>
                <w:rStyle w:val="Hyperlink"/>
                <w:noProof/>
                <w:lang w:eastAsia="lv-LV"/>
              </w:rPr>
              <w:t>7.2. Budžeta procedūras, t.sk. valsts finanšu statistikas pārvalde</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_Toc164679844 \h </w:instrText>
            </w:r>
            <w:r w:rsidR="007A7D3C" w:rsidRPr="007A7D3C">
              <w:rPr>
                <w:noProof/>
                <w:webHidden/>
              </w:rPr>
            </w:r>
            <w:r w:rsidR="007A7D3C" w:rsidRPr="007A7D3C">
              <w:rPr>
                <w:noProof/>
                <w:webHidden/>
              </w:rPr>
              <w:fldChar w:fldCharType="separate"/>
            </w:r>
            <w:r w:rsidR="007A7D3C" w:rsidRPr="007A7D3C">
              <w:rPr>
                <w:noProof/>
                <w:webHidden/>
              </w:rPr>
              <w:t>66</w:t>
            </w:r>
            <w:r w:rsidR="007A7D3C" w:rsidRPr="007A7D3C">
              <w:rPr>
                <w:noProof/>
                <w:webHidden/>
              </w:rPr>
              <w:fldChar w:fldCharType="end"/>
            </w:r>
          </w:hyperlink>
        </w:p>
        <w:p w14:paraId="7F152A51" w14:textId="299CB3A6" w:rsidR="007A7D3C" w:rsidRPr="007A7D3C" w:rsidRDefault="00303429">
          <w:pPr>
            <w:pStyle w:val="TOC3"/>
            <w:rPr>
              <w:rFonts w:asciiTheme="minorHAnsi" w:eastAsiaTheme="minorEastAsia" w:hAnsiTheme="minorHAnsi" w:cstheme="minorBidi"/>
              <w:noProof/>
              <w:kern w:val="2"/>
              <w:sz w:val="22"/>
              <w:szCs w:val="22"/>
              <w:lang w:eastAsia="lv-LV"/>
              <w14:ligatures w14:val="standardContextual"/>
            </w:rPr>
          </w:pPr>
          <w:hyperlink w:anchor="_Toc164679845" w:history="1">
            <w:r w:rsidR="007A7D3C" w:rsidRPr="007A7D3C">
              <w:rPr>
                <w:rStyle w:val="Hyperlink"/>
                <w:noProof/>
              </w:rPr>
              <w:t>7.2.1. Budžeta</w:t>
            </w:r>
            <w:r w:rsidR="007A7D3C" w:rsidRPr="007A7D3C">
              <w:rPr>
                <w:rStyle w:val="Hyperlink"/>
                <w:noProof/>
                <w:lang w:eastAsia="lv-LV"/>
              </w:rPr>
              <w:t xml:space="preserve"> procedūras</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_Toc164679845 \h </w:instrText>
            </w:r>
            <w:r w:rsidR="007A7D3C" w:rsidRPr="007A7D3C">
              <w:rPr>
                <w:noProof/>
                <w:webHidden/>
              </w:rPr>
            </w:r>
            <w:r w:rsidR="007A7D3C" w:rsidRPr="007A7D3C">
              <w:rPr>
                <w:noProof/>
                <w:webHidden/>
              </w:rPr>
              <w:fldChar w:fldCharType="separate"/>
            </w:r>
            <w:r w:rsidR="007A7D3C" w:rsidRPr="007A7D3C">
              <w:rPr>
                <w:noProof/>
                <w:webHidden/>
              </w:rPr>
              <w:t>66</w:t>
            </w:r>
            <w:r w:rsidR="007A7D3C" w:rsidRPr="007A7D3C">
              <w:rPr>
                <w:noProof/>
                <w:webHidden/>
              </w:rPr>
              <w:fldChar w:fldCharType="end"/>
            </w:r>
          </w:hyperlink>
        </w:p>
        <w:p w14:paraId="6A055272" w14:textId="2D3CC2C5" w:rsidR="007A7D3C" w:rsidRPr="007A7D3C" w:rsidRDefault="00303429">
          <w:pPr>
            <w:pStyle w:val="TOC3"/>
            <w:rPr>
              <w:rFonts w:asciiTheme="minorHAnsi" w:eastAsiaTheme="minorEastAsia" w:hAnsiTheme="minorHAnsi" w:cstheme="minorBidi"/>
              <w:noProof/>
              <w:kern w:val="2"/>
              <w:sz w:val="22"/>
              <w:szCs w:val="22"/>
              <w:lang w:eastAsia="lv-LV"/>
              <w14:ligatures w14:val="standardContextual"/>
            </w:rPr>
          </w:pPr>
          <w:hyperlink w:anchor="_Toc164679846" w:history="1">
            <w:r w:rsidR="007A7D3C" w:rsidRPr="007A7D3C">
              <w:rPr>
                <w:rStyle w:val="Hyperlink"/>
                <w:noProof/>
                <w:lang w:eastAsia="lv-LV"/>
              </w:rPr>
              <w:t>7.2.2. Valsts finanšu statistikas pārvaldība</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_Toc164679846 \h </w:instrText>
            </w:r>
            <w:r w:rsidR="007A7D3C" w:rsidRPr="007A7D3C">
              <w:rPr>
                <w:noProof/>
                <w:webHidden/>
              </w:rPr>
            </w:r>
            <w:r w:rsidR="007A7D3C" w:rsidRPr="007A7D3C">
              <w:rPr>
                <w:noProof/>
                <w:webHidden/>
              </w:rPr>
              <w:fldChar w:fldCharType="separate"/>
            </w:r>
            <w:r w:rsidR="007A7D3C" w:rsidRPr="007A7D3C">
              <w:rPr>
                <w:noProof/>
                <w:webHidden/>
              </w:rPr>
              <w:t>68</w:t>
            </w:r>
            <w:r w:rsidR="007A7D3C" w:rsidRPr="007A7D3C">
              <w:rPr>
                <w:noProof/>
                <w:webHidden/>
              </w:rPr>
              <w:fldChar w:fldCharType="end"/>
            </w:r>
          </w:hyperlink>
        </w:p>
        <w:p w14:paraId="6938C457" w14:textId="12C38E96" w:rsidR="007A7D3C" w:rsidRPr="007A7D3C" w:rsidRDefault="00303429">
          <w:pPr>
            <w:pStyle w:val="TOC1"/>
            <w:rPr>
              <w:rFonts w:asciiTheme="minorHAnsi" w:eastAsiaTheme="minorEastAsia" w:hAnsiTheme="minorHAnsi" w:cstheme="minorBidi"/>
              <w:noProof/>
              <w:kern w:val="2"/>
              <w:sz w:val="22"/>
              <w:szCs w:val="22"/>
              <w:lang w:eastAsia="lv-LV"/>
              <w14:ligatures w14:val="standardContextual"/>
            </w:rPr>
          </w:pPr>
          <w:hyperlink w:anchor="_Toc164679847" w:history="1">
            <w:r w:rsidR="007A7D3C" w:rsidRPr="007A7D3C">
              <w:rPr>
                <w:rStyle w:val="Hyperlink"/>
                <w:noProof/>
              </w:rPr>
              <w:t>Pielikumi</w:t>
            </w:r>
            <w:r w:rsidR="007A7D3C" w:rsidRPr="007A7D3C">
              <w:rPr>
                <w:noProof/>
                <w:webHidden/>
              </w:rPr>
              <w:tab/>
            </w:r>
            <w:r w:rsidR="007A7D3C" w:rsidRPr="007A7D3C">
              <w:rPr>
                <w:noProof/>
                <w:webHidden/>
              </w:rPr>
              <w:fldChar w:fldCharType="begin"/>
            </w:r>
            <w:r w:rsidR="007A7D3C" w:rsidRPr="007A7D3C">
              <w:rPr>
                <w:noProof/>
                <w:webHidden/>
              </w:rPr>
              <w:instrText xml:space="preserve"> PAGEREF _Toc164679847 \h </w:instrText>
            </w:r>
            <w:r w:rsidR="007A7D3C" w:rsidRPr="007A7D3C">
              <w:rPr>
                <w:noProof/>
                <w:webHidden/>
              </w:rPr>
            </w:r>
            <w:r w:rsidR="007A7D3C" w:rsidRPr="007A7D3C">
              <w:rPr>
                <w:noProof/>
                <w:webHidden/>
              </w:rPr>
              <w:fldChar w:fldCharType="separate"/>
            </w:r>
            <w:r w:rsidR="007A7D3C" w:rsidRPr="007A7D3C">
              <w:rPr>
                <w:noProof/>
                <w:webHidden/>
              </w:rPr>
              <w:t>70</w:t>
            </w:r>
            <w:r w:rsidR="007A7D3C" w:rsidRPr="007A7D3C">
              <w:rPr>
                <w:noProof/>
                <w:webHidden/>
              </w:rPr>
              <w:fldChar w:fldCharType="end"/>
            </w:r>
          </w:hyperlink>
        </w:p>
        <w:p w14:paraId="41D13125" w14:textId="58A315A0" w:rsidR="007A7D3C" w:rsidRPr="007A7D3C" w:rsidRDefault="007A7D3C">
          <w:pPr>
            <w:pStyle w:val="TOC1"/>
            <w:rPr>
              <w:rFonts w:asciiTheme="minorHAnsi" w:eastAsiaTheme="minorEastAsia" w:hAnsiTheme="minorHAnsi" w:cstheme="minorBidi"/>
              <w:noProof/>
              <w:kern w:val="2"/>
              <w:sz w:val="22"/>
              <w:szCs w:val="22"/>
              <w:lang w:eastAsia="lv-LV"/>
              <w14:ligatures w14:val="standardContextual"/>
            </w:rPr>
          </w:pPr>
        </w:p>
        <w:p w14:paraId="115735BB" w14:textId="1D797C52" w:rsidR="007A7D3C" w:rsidRPr="007A7D3C" w:rsidRDefault="007A7D3C" w:rsidP="007A7D3C">
          <w:pPr>
            <w:pStyle w:val="TOC1"/>
            <w:ind w:left="0" w:firstLine="0"/>
            <w:rPr>
              <w:rFonts w:asciiTheme="minorHAnsi" w:eastAsiaTheme="minorEastAsia" w:hAnsiTheme="minorHAnsi" w:cstheme="minorBidi"/>
              <w:noProof/>
              <w:kern w:val="2"/>
              <w:sz w:val="22"/>
              <w:szCs w:val="22"/>
              <w:lang w:eastAsia="lv-LV"/>
              <w14:ligatures w14:val="standardContextual"/>
            </w:rPr>
          </w:pPr>
        </w:p>
        <w:p w14:paraId="6B52675B" w14:textId="1858B08B" w:rsidR="007A7D3C" w:rsidRPr="007A7D3C" w:rsidRDefault="007A7D3C" w:rsidP="007A7D3C">
          <w:pPr>
            <w:pStyle w:val="TOC1"/>
            <w:rPr>
              <w:rFonts w:asciiTheme="minorHAnsi" w:eastAsiaTheme="minorEastAsia" w:hAnsiTheme="minorHAnsi" w:cstheme="minorBidi"/>
              <w:noProof/>
              <w:kern w:val="2"/>
              <w:sz w:val="22"/>
              <w:szCs w:val="22"/>
              <w:lang w:eastAsia="lv-LV"/>
              <w14:ligatures w14:val="standardContextual"/>
            </w:rPr>
          </w:pPr>
        </w:p>
        <w:p w14:paraId="34578FFC" w14:textId="5353F862" w:rsidR="00CE7515" w:rsidRPr="00FB42CF" w:rsidRDefault="00BF4753" w:rsidP="00427004">
          <w:pPr>
            <w:rPr>
              <w:rFonts w:cs="Times New Roman"/>
              <w:noProof/>
              <w:spacing w:val="-4"/>
              <w:sz w:val="24"/>
              <w:szCs w:val="24"/>
            </w:rPr>
          </w:pPr>
          <w:r w:rsidRPr="007A7D3C">
            <w:rPr>
              <w:rFonts w:cs="Times New Roman"/>
              <w:noProof/>
              <w:spacing w:val="-4"/>
              <w:sz w:val="24"/>
              <w:szCs w:val="24"/>
            </w:rPr>
            <w:fldChar w:fldCharType="end"/>
          </w:r>
        </w:p>
      </w:sdtContent>
    </w:sdt>
    <w:p w14:paraId="3FA9FDAE" w14:textId="2616F1B9" w:rsidR="00CE7515" w:rsidRPr="00874664" w:rsidRDefault="00427004" w:rsidP="00D22811">
      <w:pPr>
        <w:spacing w:after="160" w:line="259" w:lineRule="auto"/>
        <w:ind w:firstLine="0"/>
        <w:jc w:val="center"/>
        <w:rPr>
          <w:rFonts w:eastAsia="Times New Roman" w:cs="Times New Roman"/>
          <w:b/>
          <w:szCs w:val="20"/>
          <w:highlight w:val="lightGray"/>
        </w:rPr>
      </w:pPr>
      <w:r w:rsidRPr="00FB42CF">
        <w:rPr>
          <w:rFonts w:eastAsia="Times New Roman" w:cs="Times New Roman"/>
          <w:szCs w:val="20"/>
        </w:rPr>
        <w:br w:type="page"/>
      </w:r>
      <w:r w:rsidR="00CE7515" w:rsidRPr="00530F1E">
        <w:rPr>
          <w:rFonts w:eastAsia="Times New Roman" w:cs="Times New Roman"/>
          <w:b/>
          <w:szCs w:val="20"/>
        </w:rPr>
        <w:lastRenderedPageBreak/>
        <w:t>VISBIEŽĀK LIETOTIE SA</w:t>
      </w:r>
      <w:r w:rsidR="00CE7515" w:rsidRPr="00530F1E">
        <w:rPr>
          <w:rFonts w:eastAsia="Times New Roman" w:cs="Times New Roman" w:hint="eastAsia"/>
          <w:b/>
          <w:szCs w:val="20"/>
        </w:rPr>
        <w:t>Ī</w:t>
      </w:r>
      <w:r w:rsidR="00CE7515" w:rsidRPr="00530F1E">
        <w:rPr>
          <w:rFonts w:eastAsia="Times New Roman" w:cs="Times New Roman"/>
          <w:b/>
          <w:szCs w:val="20"/>
        </w:rPr>
        <w:t>SIN</w:t>
      </w:r>
      <w:r w:rsidR="00CE7515" w:rsidRPr="00530F1E">
        <w:rPr>
          <w:rFonts w:eastAsia="Times New Roman" w:cs="Times New Roman" w:hint="eastAsia"/>
          <w:b/>
          <w:szCs w:val="20"/>
        </w:rPr>
        <w:t>Ā</w:t>
      </w:r>
      <w:r w:rsidR="00CE7515" w:rsidRPr="00530F1E">
        <w:rPr>
          <w:rFonts w:eastAsia="Times New Roman" w:cs="Times New Roman"/>
          <w:b/>
          <w:szCs w:val="20"/>
        </w:rPr>
        <w:t>JUMI</w:t>
      </w:r>
    </w:p>
    <w:p w14:paraId="7775CB8F" w14:textId="77777777" w:rsidR="00CE7515" w:rsidRPr="00874664" w:rsidRDefault="00CE7515" w:rsidP="00CE7515">
      <w:pPr>
        <w:widowControl w:val="0"/>
        <w:tabs>
          <w:tab w:val="left" w:pos="5880"/>
        </w:tabs>
        <w:ind w:firstLine="0"/>
        <w:rPr>
          <w:rFonts w:eastAsia="Times New Roman" w:cs="Times New Roman"/>
          <w:sz w:val="24"/>
          <w:szCs w:val="20"/>
          <w:highlight w:val="lightGray"/>
        </w:rPr>
      </w:pPr>
    </w:p>
    <w:tbl>
      <w:tblPr>
        <w:tblW w:w="9214" w:type="dxa"/>
        <w:tblLook w:val="04A0" w:firstRow="1" w:lastRow="0" w:firstColumn="1" w:lastColumn="0" w:noHBand="0" w:noVBand="1"/>
      </w:tblPr>
      <w:tblGrid>
        <w:gridCol w:w="1276"/>
        <w:gridCol w:w="7938"/>
      </w:tblGrid>
      <w:tr w:rsidR="00CE7515" w:rsidRPr="00874664" w14:paraId="663B2892" w14:textId="77777777" w:rsidTr="00085AFE">
        <w:trPr>
          <w:trHeight w:val="269"/>
        </w:trPr>
        <w:tc>
          <w:tcPr>
            <w:tcW w:w="1276" w:type="dxa"/>
            <w:shd w:val="clear" w:color="auto" w:fill="auto"/>
          </w:tcPr>
          <w:p w14:paraId="4D61364E" w14:textId="0F79C374" w:rsidR="00CE7515" w:rsidRPr="00507D8A" w:rsidRDefault="00F52171" w:rsidP="00CE7515">
            <w:pPr>
              <w:tabs>
                <w:tab w:val="left" w:pos="1494"/>
              </w:tabs>
              <w:spacing w:before="40" w:after="40"/>
              <w:ind w:firstLine="0"/>
              <w:rPr>
                <w:rFonts w:eastAsia="Calibri" w:cs="Times New Roman"/>
                <w:sz w:val="24"/>
                <w:szCs w:val="24"/>
              </w:rPr>
            </w:pPr>
            <w:proofErr w:type="spellStart"/>
            <w:r>
              <w:rPr>
                <w:rFonts w:eastAsia="Calibri" w:cs="Times New Roman"/>
                <w:sz w:val="24"/>
                <w:szCs w:val="24"/>
              </w:rPr>
              <w:t>AiM</w:t>
            </w:r>
            <w:proofErr w:type="spellEnd"/>
          </w:p>
        </w:tc>
        <w:tc>
          <w:tcPr>
            <w:tcW w:w="7938" w:type="dxa"/>
            <w:shd w:val="clear" w:color="auto" w:fill="auto"/>
          </w:tcPr>
          <w:p w14:paraId="256D1E96" w14:textId="4611302D" w:rsidR="00CE7515" w:rsidRPr="00507D8A" w:rsidRDefault="00F52171" w:rsidP="00CE7515">
            <w:pPr>
              <w:tabs>
                <w:tab w:val="left" w:pos="1494"/>
              </w:tabs>
              <w:spacing w:before="40" w:after="40"/>
              <w:ind w:firstLine="0"/>
              <w:rPr>
                <w:rFonts w:eastAsia="Calibri" w:cs="Times New Roman"/>
                <w:sz w:val="24"/>
                <w:szCs w:val="24"/>
              </w:rPr>
            </w:pPr>
            <w:r>
              <w:rPr>
                <w:rFonts w:eastAsia="Calibri" w:cs="Times New Roman"/>
                <w:sz w:val="24"/>
                <w:szCs w:val="24"/>
              </w:rPr>
              <w:t>Aizsardzības ministrija</w:t>
            </w:r>
          </w:p>
        </w:tc>
      </w:tr>
      <w:tr w:rsidR="00F52171" w:rsidRPr="00874664" w14:paraId="2D201014" w14:textId="77777777" w:rsidTr="00085AFE">
        <w:trPr>
          <w:trHeight w:val="269"/>
        </w:trPr>
        <w:tc>
          <w:tcPr>
            <w:tcW w:w="1276" w:type="dxa"/>
            <w:shd w:val="clear" w:color="auto" w:fill="auto"/>
          </w:tcPr>
          <w:p w14:paraId="10FBD482" w14:textId="47B0E800" w:rsidR="00F52171" w:rsidRDefault="00F52171" w:rsidP="00CE7515">
            <w:pPr>
              <w:tabs>
                <w:tab w:val="left" w:pos="1494"/>
              </w:tabs>
              <w:spacing w:before="40" w:after="40"/>
              <w:ind w:firstLine="0"/>
              <w:rPr>
                <w:rFonts w:eastAsia="Calibri" w:cs="Times New Roman"/>
                <w:sz w:val="24"/>
                <w:szCs w:val="24"/>
              </w:rPr>
            </w:pPr>
            <w:proofErr w:type="spellStart"/>
            <w:r>
              <w:rPr>
                <w:rFonts w:eastAsia="Calibri" w:cs="Times New Roman"/>
                <w:sz w:val="24"/>
                <w:szCs w:val="24"/>
              </w:rPr>
              <w:t>Altum</w:t>
            </w:r>
            <w:proofErr w:type="spellEnd"/>
          </w:p>
        </w:tc>
        <w:tc>
          <w:tcPr>
            <w:tcW w:w="7938" w:type="dxa"/>
            <w:shd w:val="clear" w:color="auto" w:fill="auto"/>
          </w:tcPr>
          <w:p w14:paraId="28144822" w14:textId="0205E768" w:rsidR="00F52171" w:rsidRDefault="007C1EEE" w:rsidP="00CE7515">
            <w:pPr>
              <w:tabs>
                <w:tab w:val="left" w:pos="1494"/>
              </w:tabs>
              <w:spacing w:before="40" w:after="40"/>
              <w:ind w:firstLine="0"/>
              <w:rPr>
                <w:rFonts w:eastAsia="Calibri" w:cs="Times New Roman"/>
                <w:sz w:val="24"/>
                <w:szCs w:val="24"/>
              </w:rPr>
            </w:pPr>
            <w:r>
              <w:rPr>
                <w:rFonts w:eastAsia="Calibri" w:cs="Times New Roman"/>
                <w:sz w:val="24"/>
                <w:szCs w:val="24"/>
              </w:rPr>
              <w:t>Akciju sabiedrība</w:t>
            </w:r>
            <w:r w:rsidR="00F52171" w:rsidRPr="00F52171">
              <w:rPr>
                <w:rFonts w:eastAsia="Calibri" w:cs="Times New Roman"/>
                <w:sz w:val="24"/>
                <w:szCs w:val="24"/>
              </w:rPr>
              <w:t xml:space="preserve"> “Attīstības finanšu institūcija </w:t>
            </w:r>
            <w:proofErr w:type="spellStart"/>
            <w:r w:rsidR="00F52171" w:rsidRPr="00F52171">
              <w:rPr>
                <w:rFonts w:eastAsia="Calibri" w:cs="Times New Roman"/>
                <w:sz w:val="24"/>
                <w:szCs w:val="24"/>
              </w:rPr>
              <w:t>Altum</w:t>
            </w:r>
            <w:proofErr w:type="spellEnd"/>
            <w:r w:rsidR="00F52171" w:rsidRPr="00F52171">
              <w:rPr>
                <w:rFonts w:eastAsia="Calibri" w:cs="Times New Roman"/>
                <w:sz w:val="24"/>
                <w:szCs w:val="24"/>
              </w:rPr>
              <w:t>”</w:t>
            </w:r>
          </w:p>
        </w:tc>
      </w:tr>
      <w:tr w:rsidR="00F52171" w:rsidRPr="00874664" w14:paraId="48A13FCE" w14:textId="77777777" w:rsidTr="00085AFE">
        <w:trPr>
          <w:trHeight w:val="269"/>
        </w:trPr>
        <w:tc>
          <w:tcPr>
            <w:tcW w:w="1276" w:type="dxa"/>
            <w:shd w:val="clear" w:color="auto" w:fill="auto"/>
          </w:tcPr>
          <w:p w14:paraId="40ED3324" w14:textId="42D0AA19" w:rsidR="00F52171" w:rsidRPr="00507D8A" w:rsidRDefault="00F52171" w:rsidP="00CE7515">
            <w:pPr>
              <w:tabs>
                <w:tab w:val="left" w:pos="1494"/>
              </w:tabs>
              <w:spacing w:before="40" w:after="40"/>
              <w:ind w:firstLine="0"/>
              <w:rPr>
                <w:rFonts w:eastAsia="Calibri" w:cs="Times New Roman"/>
                <w:sz w:val="24"/>
                <w:szCs w:val="24"/>
              </w:rPr>
            </w:pPr>
            <w:r w:rsidRPr="00507D8A">
              <w:rPr>
                <w:rFonts w:eastAsia="Calibri" w:cs="Times New Roman"/>
                <w:sz w:val="24"/>
                <w:szCs w:val="24"/>
              </w:rPr>
              <w:t>ANM</w:t>
            </w:r>
          </w:p>
        </w:tc>
        <w:tc>
          <w:tcPr>
            <w:tcW w:w="7938" w:type="dxa"/>
            <w:shd w:val="clear" w:color="auto" w:fill="auto"/>
          </w:tcPr>
          <w:p w14:paraId="66CFB009" w14:textId="7CCB34A4" w:rsidR="00F52171" w:rsidRPr="00507D8A" w:rsidRDefault="00F52171" w:rsidP="00CE7515">
            <w:pPr>
              <w:tabs>
                <w:tab w:val="left" w:pos="1494"/>
              </w:tabs>
              <w:spacing w:before="40" w:after="40"/>
              <w:ind w:firstLine="0"/>
              <w:rPr>
                <w:rFonts w:eastAsia="Calibri" w:cs="Times New Roman"/>
                <w:sz w:val="24"/>
                <w:szCs w:val="24"/>
              </w:rPr>
            </w:pPr>
            <w:r w:rsidRPr="00507D8A">
              <w:rPr>
                <w:rFonts w:eastAsia="Calibri" w:cs="Times New Roman"/>
                <w:sz w:val="24"/>
                <w:szCs w:val="24"/>
              </w:rPr>
              <w:t>Atveseļošanās un noturības mehānisma</w:t>
            </w:r>
          </w:p>
        </w:tc>
      </w:tr>
      <w:tr w:rsidR="00D248D4" w:rsidRPr="00874664" w14:paraId="24E2A89B" w14:textId="77777777" w:rsidTr="00085AFE">
        <w:trPr>
          <w:trHeight w:val="269"/>
        </w:trPr>
        <w:tc>
          <w:tcPr>
            <w:tcW w:w="1276" w:type="dxa"/>
            <w:shd w:val="clear" w:color="auto" w:fill="auto"/>
          </w:tcPr>
          <w:p w14:paraId="052C024F" w14:textId="35F73160" w:rsidR="00D248D4" w:rsidRPr="004E1403" w:rsidRDefault="00D248D4" w:rsidP="00CE7515">
            <w:pPr>
              <w:tabs>
                <w:tab w:val="left" w:pos="1494"/>
              </w:tabs>
              <w:spacing w:before="40" w:after="40"/>
              <w:ind w:firstLine="0"/>
              <w:rPr>
                <w:rFonts w:eastAsia="Calibri" w:cs="Times New Roman"/>
                <w:sz w:val="24"/>
                <w:szCs w:val="24"/>
              </w:rPr>
            </w:pPr>
            <w:r w:rsidRPr="004E1403">
              <w:rPr>
                <w:rFonts w:eastAsia="Calibri" w:cs="Times New Roman"/>
                <w:sz w:val="24"/>
                <w:szCs w:val="24"/>
              </w:rPr>
              <w:t>ASV</w:t>
            </w:r>
          </w:p>
        </w:tc>
        <w:tc>
          <w:tcPr>
            <w:tcW w:w="7938" w:type="dxa"/>
            <w:shd w:val="clear" w:color="auto" w:fill="auto"/>
          </w:tcPr>
          <w:p w14:paraId="04615410" w14:textId="61093822" w:rsidR="00D248D4" w:rsidRPr="004E1403" w:rsidRDefault="00D248D4" w:rsidP="00CE7515">
            <w:pPr>
              <w:tabs>
                <w:tab w:val="left" w:pos="1494"/>
              </w:tabs>
              <w:spacing w:before="40" w:after="40"/>
              <w:ind w:firstLine="0"/>
              <w:rPr>
                <w:rFonts w:eastAsia="Calibri" w:cs="Times New Roman"/>
                <w:sz w:val="24"/>
                <w:szCs w:val="24"/>
              </w:rPr>
            </w:pPr>
            <w:r w:rsidRPr="004E1403">
              <w:rPr>
                <w:rFonts w:eastAsia="Calibri" w:cs="Times New Roman"/>
                <w:sz w:val="24"/>
                <w:szCs w:val="24"/>
              </w:rPr>
              <w:t>Amerikas Savienotās Valstis</w:t>
            </w:r>
          </w:p>
        </w:tc>
      </w:tr>
      <w:tr w:rsidR="00163B62" w:rsidRPr="00874664" w14:paraId="1AEAEDBC" w14:textId="77777777" w:rsidTr="00085AFE">
        <w:trPr>
          <w:trHeight w:val="269"/>
        </w:trPr>
        <w:tc>
          <w:tcPr>
            <w:tcW w:w="1276" w:type="dxa"/>
            <w:shd w:val="clear" w:color="auto" w:fill="auto"/>
          </w:tcPr>
          <w:p w14:paraId="09FE0508" w14:textId="19AAC0FC" w:rsidR="00163B62" w:rsidRPr="00874664" w:rsidRDefault="00163B62" w:rsidP="00CE7515">
            <w:pPr>
              <w:tabs>
                <w:tab w:val="left" w:pos="1494"/>
              </w:tabs>
              <w:spacing w:before="40" w:after="40"/>
              <w:ind w:firstLine="0"/>
              <w:rPr>
                <w:rFonts w:eastAsia="Calibri" w:cs="Times New Roman"/>
                <w:sz w:val="24"/>
                <w:szCs w:val="24"/>
                <w:highlight w:val="lightGray"/>
              </w:rPr>
            </w:pPr>
            <w:r w:rsidRPr="00163B62">
              <w:rPr>
                <w:rFonts w:eastAsia="Calibri" w:cs="Times New Roman"/>
                <w:sz w:val="24"/>
                <w:szCs w:val="24"/>
              </w:rPr>
              <w:t>ĀFP</w:t>
            </w:r>
          </w:p>
        </w:tc>
        <w:tc>
          <w:tcPr>
            <w:tcW w:w="7938" w:type="dxa"/>
            <w:shd w:val="clear" w:color="auto" w:fill="auto"/>
          </w:tcPr>
          <w:p w14:paraId="7113AD44" w14:textId="13EA608D" w:rsidR="00163B62" w:rsidRPr="00874664" w:rsidRDefault="00163B62" w:rsidP="00CE7515">
            <w:pPr>
              <w:tabs>
                <w:tab w:val="left" w:pos="1494"/>
              </w:tabs>
              <w:spacing w:before="40" w:after="40"/>
              <w:ind w:firstLine="0"/>
              <w:rPr>
                <w:rFonts w:eastAsia="Calibri" w:cs="Times New Roman"/>
                <w:sz w:val="24"/>
                <w:szCs w:val="24"/>
                <w:highlight w:val="lightGray"/>
              </w:rPr>
            </w:pPr>
            <w:r>
              <w:rPr>
                <w:rFonts w:eastAsia="Calibri" w:cs="Times New Roman"/>
                <w:sz w:val="24"/>
                <w:szCs w:val="24"/>
              </w:rPr>
              <w:t>Ā</w:t>
            </w:r>
            <w:r w:rsidRPr="00163B62">
              <w:rPr>
                <w:rFonts w:eastAsia="Calibri" w:cs="Times New Roman"/>
                <w:sz w:val="24"/>
                <w:szCs w:val="24"/>
              </w:rPr>
              <w:t>rvalstu finanšu palīdzība</w:t>
            </w:r>
          </w:p>
        </w:tc>
      </w:tr>
      <w:tr w:rsidR="00CE7515" w:rsidRPr="00874664" w14:paraId="07FD3E6B" w14:textId="77777777" w:rsidTr="00085AFE">
        <w:trPr>
          <w:trHeight w:val="269"/>
        </w:trPr>
        <w:tc>
          <w:tcPr>
            <w:tcW w:w="1276" w:type="dxa"/>
            <w:shd w:val="clear" w:color="auto" w:fill="auto"/>
          </w:tcPr>
          <w:p w14:paraId="51156ACE" w14:textId="77777777" w:rsidR="00CE7515" w:rsidRPr="005E2388" w:rsidRDefault="00CE7515" w:rsidP="00CE7515">
            <w:pPr>
              <w:tabs>
                <w:tab w:val="left" w:pos="1494"/>
              </w:tabs>
              <w:spacing w:before="40" w:after="40"/>
              <w:ind w:firstLine="0"/>
              <w:rPr>
                <w:rFonts w:eastAsia="Calibri" w:cs="Times New Roman"/>
                <w:sz w:val="24"/>
                <w:szCs w:val="24"/>
              </w:rPr>
            </w:pPr>
            <w:r w:rsidRPr="005E2388">
              <w:rPr>
                <w:rFonts w:eastAsia="Calibri" w:cs="Times New Roman"/>
                <w:sz w:val="24"/>
                <w:szCs w:val="28"/>
              </w:rPr>
              <w:t>CSP</w:t>
            </w:r>
          </w:p>
        </w:tc>
        <w:tc>
          <w:tcPr>
            <w:tcW w:w="7938" w:type="dxa"/>
            <w:shd w:val="clear" w:color="auto" w:fill="auto"/>
          </w:tcPr>
          <w:p w14:paraId="3DAF452A" w14:textId="71C4936C" w:rsidR="00CE7515" w:rsidRPr="005E2388" w:rsidRDefault="00CE7515" w:rsidP="00CE7515">
            <w:pPr>
              <w:tabs>
                <w:tab w:val="left" w:pos="1494"/>
              </w:tabs>
              <w:spacing w:before="40" w:after="40"/>
              <w:ind w:firstLine="0"/>
              <w:rPr>
                <w:rFonts w:eastAsia="Calibri" w:cs="Times New Roman"/>
                <w:sz w:val="24"/>
                <w:szCs w:val="24"/>
              </w:rPr>
            </w:pPr>
            <w:r w:rsidRPr="005E2388">
              <w:rPr>
                <w:rFonts w:eastAsia="Calibri" w:cs="Times New Roman"/>
                <w:sz w:val="24"/>
                <w:szCs w:val="24"/>
              </w:rPr>
              <w:t>Centrālā statistikas pārvalde</w:t>
            </w:r>
            <w:r w:rsidR="00C3414B" w:rsidRPr="005E2388">
              <w:rPr>
                <w:rFonts w:eastAsia="Calibri" w:cs="Times New Roman"/>
                <w:sz w:val="24"/>
                <w:szCs w:val="24"/>
              </w:rPr>
              <w:t xml:space="preserve"> </w:t>
            </w:r>
          </w:p>
        </w:tc>
      </w:tr>
      <w:tr w:rsidR="00AA2636" w:rsidRPr="00874664" w14:paraId="54D6D83A" w14:textId="77777777" w:rsidTr="00085AFE">
        <w:trPr>
          <w:trHeight w:val="269"/>
        </w:trPr>
        <w:tc>
          <w:tcPr>
            <w:tcW w:w="1276" w:type="dxa"/>
            <w:shd w:val="clear" w:color="auto" w:fill="auto"/>
          </w:tcPr>
          <w:p w14:paraId="220474C7" w14:textId="27EDE67C" w:rsidR="00AA2636" w:rsidRPr="005E2388" w:rsidRDefault="00AA2636" w:rsidP="00CE7515">
            <w:pPr>
              <w:tabs>
                <w:tab w:val="left" w:pos="1494"/>
              </w:tabs>
              <w:spacing w:before="40" w:after="40"/>
              <w:ind w:firstLine="0"/>
              <w:rPr>
                <w:rFonts w:eastAsia="Calibri" w:cs="Times New Roman"/>
                <w:sz w:val="24"/>
                <w:szCs w:val="28"/>
              </w:rPr>
            </w:pPr>
            <w:r>
              <w:rPr>
                <w:rFonts w:eastAsia="Calibri" w:cs="Times New Roman"/>
                <w:sz w:val="24"/>
                <w:szCs w:val="28"/>
              </w:rPr>
              <w:t>CFLA</w:t>
            </w:r>
          </w:p>
        </w:tc>
        <w:tc>
          <w:tcPr>
            <w:tcW w:w="7938" w:type="dxa"/>
            <w:shd w:val="clear" w:color="auto" w:fill="auto"/>
          </w:tcPr>
          <w:p w14:paraId="2000AC18" w14:textId="434F9041" w:rsidR="00AA2636" w:rsidRPr="005E2388" w:rsidRDefault="00AA2636"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Centrālās finanšu un līgumu aģentūra</w:t>
            </w:r>
          </w:p>
        </w:tc>
      </w:tr>
      <w:tr w:rsidR="00A72EB1" w:rsidRPr="00874664" w14:paraId="549F5AF4" w14:textId="77777777" w:rsidTr="00085AFE">
        <w:trPr>
          <w:trHeight w:val="269"/>
        </w:trPr>
        <w:tc>
          <w:tcPr>
            <w:tcW w:w="1276" w:type="dxa"/>
            <w:shd w:val="clear" w:color="auto" w:fill="auto"/>
          </w:tcPr>
          <w:p w14:paraId="3FEBDD66" w14:textId="6F3B5211" w:rsidR="00A72EB1" w:rsidRDefault="00A72EB1" w:rsidP="00CE7515">
            <w:pPr>
              <w:tabs>
                <w:tab w:val="left" w:pos="1494"/>
              </w:tabs>
              <w:spacing w:before="40" w:after="40"/>
              <w:ind w:firstLine="0"/>
              <w:rPr>
                <w:rFonts w:eastAsia="Calibri" w:cs="Times New Roman"/>
                <w:sz w:val="24"/>
                <w:szCs w:val="28"/>
              </w:rPr>
            </w:pPr>
            <w:r>
              <w:rPr>
                <w:rFonts w:eastAsia="Calibri" w:cs="Times New Roman"/>
                <w:sz w:val="24"/>
                <w:szCs w:val="28"/>
              </w:rPr>
              <w:t>DRM</w:t>
            </w:r>
          </w:p>
        </w:tc>
        <w:tc>
          <w:tcPr>
            <w:tcW w:w="7938" w:type="dxa"/>
            <w:shd w:val="clear" w:color="auto" w:fill="auto"/>
          </w:tcPr>
          <w:p w14:paraId="56995D5B" w14:textId="383A2648" w:rsidR="00A72EB1" w:rsidRPr="00AA2636" w:rsidRDefault="00DC0FB1" w:rsidP="00CE7515">
            <w:pPr>
              <w:tabs>
                <w:tab w:val="left" w:pos="1494"/>
              </w:tabs>
              <w:spacing w:before="40" w:after="40"/>
              <w:ind w:firstLine="0"/>
              <w:rPr>
                <w:rFonts w:eastAsia="Calibri" w:cs="Times New Roman"/>
                <w:sz w:val="24"/>
                <w:szCs w:val="24"/>
              </w:rPr>
            </w:pPr>
            <w:proofErr w:type="spellStart"/>
            <w:r w:rsidRPr="00DC0FB1">
              <w:rPr>
                <w:rFonts w:eastAsia="Calibri" w:cs="Times New Roman"/>
                <w:sz w:val="24"/>
                <w:szCs w:val="24"/>
              </w:rPr>
              <w:t>Diskrecionārie</w:t>
            </w:r>
            <w:proofErr w:type="spellEnd"/>
            <w:r w:rsidRPr="00DC0FB1">
              <w:rPr>
                <w:rFonts w:eastAsia="Calibri" w:cs="Times New Roman"/>
                <w:sz w:val="24"/>
                <w:szCs w:val="24"/>
              </w:rPr>
              <w:t xml:space="preserve"> ieņēmumu pasākumi</w:t>
            </w:r>
          </w:p>
        </w:tc>
      </w:tr>
      <w:tr w:rsidR="00CC4328" w:rsidRPr="00874664" w14:paraId="5E639789" w14:textId="77777777" w:rsidTr="00085AFE">
        <w:trPr>
          <w:trHeight w:val="269"/>
        </w:trPr>
        <w:tc>
          <w:tcPr>
            <w:tcW w:w="1276" w:type="dxa"/>
            <w:shd w:val="clear" w:color="auto" w:fill="auto"/>
          </w:tcPr>
          <w:p w14:paraId="66A6F326" w14:textId="1A251FC8" w:rsidR="00CC4328" w:rsidRPr="00163B62" w:rsidRDefault="00CC4328" w:rsidP="00CE7515">
            <w:pPr>
              <w:tabs>
                <w:tab w:val="left" w:pos="1494"/>
              </w:tabs>
              <w:spacing w:before="40" w:after="40"/>
              <w:ind w:firstLine="0"/>
              <w:rPr>
                <w:rFonts w:eastAsia="Calibri" w:cs="Times New Roman"/>
                <w:sz w:val="24"/>
                <w:szCs w:val="28"/>
              </w:rPr>
            </w:pPr>
            <w:r w:rsidRPr="00163B62">
              <w:rPr>
                <w:rFonts w:eastAsia="Calibri" w:cs="Times New Roman"/>
                <w:sz w:val="24"/>
                <w:szCs w:val="24"/>
              </w:rPr>
              <w:t>ECB</w:t>
            </w:r>
          </w:p>
        </w:tc>
        <w:tc>
          <w:tcPr>
            <w:tcW w:w="7938" w:type="dxa"/>
            <w:shd w:val="clear" w:color="auto" w:fill="auto"/>
          </w:tcPr>
          <w:p w14:paraId="2DCAF69C" w14:textId="5F87587F" w:rsidR="00CC4328" w:rsidRPr="00163B62" w:rsidRDefault="00CC4328" w:rsidP="00CE7515">
            <w:pPr>
              <w:tabs>
                <w:tab w:val="left" w:pos="1494"/>
              </w:tabs>
              <w:spacing w:before="40" w:after="40"/>
              <w:ind w:firstLine="0"/>
              <w:rPr>
                <w:rFonts w:eastAsia="Calibri" w:cs="Times New Roman"/>
                <w:sz w:val="24"/>
                <w:szCs w:val="24"/>
              </w:rPr>
            </w:pPr>
            <w:r w:rsidRPr="00163B62">
              <w:rPr>
                <w:rFonts w:eastAsia="Calibri" w:cs="Times New Roman"/>
                <w:sz w:val="24"/>
                <w:szCs w:val="24"/>
              </w:rPr>
              <w:t>Eiropas Centrālā banka</w:t>
            </w:r>
          </w:p>
        </w:tc>
      </w:tr>
      <w:tr w:rsidR="00CC4328" w:rsidRPr="00874664" w14:paraId="6AFDA917" w14:textId="77777777" w:rsidTr="00085AFE">
        <w:trPr>
          <w:trHeight w:val="269"/>
        </w:trPr>
        <w:tc>
          <w:tcPr>
            <w:tcW w:w="1276" w:type="dxa"/>
            <w:shd w:val="clear" w:color="auto" w:fill="auto"/>
          </w:tcPr>
          <w:p w14:paraId="32BEC8D0" w14:textId="47B96E5C" w:rsidR="00CC4328" w:rsidRPr="001329C7" w:rsidRDefault="00CC4328" w:rsidP="00CE7515">
            <w:pPr>
              <w:tabs>
                <w:tab w:val="left" w:pos="1494"/>
              </w:tabs>
              <w:spacing w:before="40" w:after="40"/>
              <w:ind w:firstLine="0"/>
              <w:rPr>
                <w:rFonts w:eastAsia="Calibri" w:cs="Times New Roman"/>
                <w:sz w:val="24"/>
                <w:szCs w:val="24"/>
              </w:rPr>
            </w:pPr>
            <w:r w:rsidRPr="001329C7">
              <w:rPr>
                <w:rFonts w:eastAsia="Calibri" w:cs="Times New Roman"/>
                <w:sz w:val="24"/>
                <w:szCs w:val="24"/>
              </w:rPr>
              <w:t>EK</w:t>
            </w:r>
          </w:p>
        </w:tc>
        <w:tc>
          <w:tcPr>
            <w:tcW w:w="7938" w:type="dxa"/>
            <w:shd w:val="clear" w:color="auto" w:fill="auto"/>
          </w:tcPr>
          <w:p w14:paraId="5C2AA4B5" w14:textId="332D7535" w:rsidR="00CC4328" w:rsidRPr="001329C7" w:rsidRDefault="00CC4328" w:rsidP="00CE7515">
            <w:pPr>
              <w:tabs>
                <w:tab w:val="left" w:pos="1494"/>
              </w:tabs>
              <w:spacing w:before="40" w:after="40"/>
              <w:ind w:firstLine="0"/>
              <w:rPr>
                <w:rFonts w:eastAsia="Calibri" w:cs="Times New Roman"/>
                <w:sz w:val="24"/>
                <w:szCs w:val="24"/>
              </w:rPr>
            </w:pPr>
            <w:r w:rsidRPr="001329C7">
              <w:rPr>
                <w:rFonts w:eastAsia="Calibri" w:cs="Times New Roman"/>
                <w:sz w:val="24"/>
                <w:szCs w:val="24"/>
              </w:rPr>
              <w:t>Eiropas Komisija</w:t>
            </w:r>
          </w:p>
        </w:tc>
      </w:tr>
      <w:tr w:rsidR="00CC4328" w:rsidRPr="00874664" w14:paraId="170117F5" w14:textId="77777777" w:rsidTr="00085AFE">
        <w:trPr>
          <w:trHeight w:val="269"/>
        </w:trPr>
        <w:tc>
          <w:tcPr>
            <w:tcW w:w="1276" w:type="dxa"/>
            <w:shd w:val="clear" w:color="auto" w:fill="auto"/>
          </w:tcPr>
          <w:p w14:paraId="427659A9" w14:textId="1033ED82" w:rsidR="00CC4328" w:rsidRPr="005E2388" w:rsidRDefault="00CC4328" w:rsidP="00CE7515">
            <w:pPr>
              <w:tabs>
                <w:tab w:val="left" w:pos="1494"/>
              </w:tabs>
              <w:spacing w:before="40" w:after="40"/>
              <w:ind w:firstLine="0"/>
              <w:rPr>
                <w:rFonts w:eastAsia="Calibri" w:cs="Times New Roman"/>
                <w:sz w:val="24"/>
                <w:szCs w:val="24"/>
              </w:rPr>
            </w:pPr>
            <w:r w:rsidRPr="005E2388">
              <w:rPr>
                <w:rFonts w:eastAsia="Calibri" w:cs="Times New Roman"/>
                <w:sz w:val="24"/>
                <w:szCs w:val="24"/>
              </w:rPr>
              <w:t xml:space="preserve">EKS </w:t>
            </w:r>
          </w:p>
        </w:tc>
        <w:tc>
          <w:tcPr>
            <w:tcW w:w="7938" w:type="dxa"/>
            <w:shd w:val="clear" w:color="auto" w:fill="auto"/>
          </w:tcPr>
          <w:p w14:paraId="515A79D7" w14:textId="1F0D5B38" w:rsidR="00CC4328" w:rsidRPr="005E2388" w:rsidRDefault="00CC4328" w:rsidP="00CE7515">
            <w:pPr>
              <w:tabs>
                <w:tab w:val="left" w:pos="1494"/>
              </w:tabs>
              <w:spacing w:before="40" w:after="40"/>
              <w:ind w:firstLine="0"/>
              <w:rPr>
                <w:rFonts w:eastAsia="Calibri" w:cs="Times New Roman"/>
                <w:sz w:val="24"/>
                <w:szCs w:val="24"/>
              </w:rPr>
            </w:pPr>
            <w:r w:rsidRPr="005E2388">
              <w:rPr>
                <w:rFonts w:eastAsia="Calibri" w:cs="Times New Roman"/>
                <w:sz w:val="24"/>
                <w:szCs w:val="24"/>
              </w:rPr>
              <w:t>Eiropas nacion</w:t>
            </w:r>
            <w:r w:rsidRPr="005E2388">
              <w:rPr>
                <w:rFonts w:eastAsia="Calibri" w:cs="Times New Roman" w:hint="eastAsia"/>
                <w:sz w:val="24"/>
                <w:szCs w:val="24"/>
              </w:rPr>
              <w:t>ā</w:t>
            </w:r>
            <w:r w:rsidRPr="005E2388">
              <w:rPr>
                <w:rFonts w:eastAsia="Calibri" w:cs="Times New Roman"/>
                <w:sz w:val="24"/>
                <w:szCs w:val="24"/>
              </w:rPr>
              <w:t>lo un re</w:t>
            </w:r>
            <w:r w:rsidRPr="005E2388">
              <w:rPr>
                <w:rFonts w:eastAsia="Calibri" w:cs="Times New Roman" w:hint="eastAsia"/>
                <w:sz w:val="24"/>
                <w:szCs w:val="24"/>
              </w:rPr>
              <w:t>ģ</w:t>
            </w:r>
            <w:r w:rsidRPr="005E2388">
              <w:rPr>
                <w:rFonts w:eastAsia="Calibri" w:cs="Times New Roman"/>
                <w:sz w:val="24"/>
                <w:szCs w:val="24"/>
              </w:rPr>
              <w:t>ion</w:t>
            </w:r>
            <w:r w:rsidRPr="005E2388">
              <w:rPr>
                <w:rFonts w:eastAsia="Calibri" w:cs="Times New Roman" w:hint="eastAsia"/>
                <w:sz w:val="24"/>
                <w:szCs w:val="24"/>
              </w:rPr>
              <w:t>ā</w:t>
            </w:r>
            <w:r w:rsidRPr="005E2388">
              <w:rPr>
                <w:rFonts w:eastAsia="Calibri" w:cs="Times New Roman"/>
                <w:sz w:val="24"/>
                <w:szCs w:val="24"/>
              </w:rPr>
              <w:t>lo kontu sist</w:t>
            </w:r>
            <w:r w:rsidRPr="005E2388">
              <w:rPr>
                <w:rFonts w:eastAsia="Calibri" w:cs="Times New Roman" w:hint="eastAsia"/>
                <w:sz w:val="24"/>
                <w:szCs w:val="24"/>
              </w:rPr>
              <w:t>ē</w:t>
            </w:r>
            <w:r w:rsidRPr="005E2388">
              <w:rPr>
                <w:rFonts w:eastAsia="Calibri" w:cs="Times New Roman"/>
                <w:sz w:val="24"/>
                <w:szCs w:val="24"/>
              </w:rPr>
              <w:t>ma</w:t>
            </w:r>
          </w:p>
        </w:tc>
      </w:tr>
      <w:tr w:rsidR="00AA2636" w:rsidRPr="00874664" w14:paraId="4F0FA1EF" w14:textId="77777777" w:rsidTr="00085AFE">
        <w:trPr>
          <w:trHeight w:val="269"/>
        </w:trPr>
        <w:tc>
          <w:tcPr>
            <w:tcW w:w="1276" w:type="dxa"/>
            <w:shd w:val="clear" w:color="auto" w:fill="auto"/>
          </w:tcPr>
          <w:p w14:paraId="4B8605C8" w14:textId="74DB8C44" w:rsidR="00AA2636" w:rsidRPr="005E2388" w:rsidRDefault="00AA2636" w:rsidP="00CE7515">
            <w:pPr>
              <w:tabs>
                <w:tab w:val="left" w:pos="1494"/>
              </w:tabs>
              <w:spacing w:before="40" w:after="40"/>
              <w:ind w:firstLine="0"/>
              <w:rPr>
                <w:rFonts w:eastAsia="Calibri" w:cs="Times New Roman"/>
                <w:sz w:val="24"/>
                <w:szCs w:val="24"/>
              </w:rPr>
            </w:pPr>
            <w:r>
              <w:rPr>
                <w:rFonts w:eastAsia="Calibri" w:cs="Times New Roman"/>
                <w:sz w:val="24"/>
                <w:szCs w:val="24"/>
              </w:rPr>
              <w:t>EM</w:t>
            </w:r>
          </w:p>
        </w:tc>
        <w:tc>
          <w:tcPr>
            <w:tcW w:w="7938" w:type="dxa"/>
            <w:shd w:val="clear" w:color="auto" w:fill="auto"/>
          </w:tcPr>
          <w:p w14:paraId="6F98AC1C" w14:textId="49AD00D7" w:rsidR="00AA2636" w:rsidRPr="005E2388" w:rsidRDefault="00AA2636" w:rsidP="00CE7515">
            <w:pPr>
              <w:tabs>
                <w:tab w:val="left" w:pos="1494"/>
              </w:tabs>
              <w:spacing w:before="40" w:after="40"/>
              <w:ind w:firstLine="0"/>
              <w:rPr>
                <w:rFonts w:eastAsia="Calibri" w:cs="Times New Roman"/>
                <w:sz w:val="24"/>
                <w:szCs w:val="24"/>
              </w:rPr>
            </w:pPr>
            <w:r>
              <w:rPr>
                <w:rFonts w:eastAsia="Calibri" w:cs="Times New Roman"/>
                <w:sz w:val="24"/>
                <w:szCs w:val="24"/>
              </w:rPr>
              <w:t>Ekonomikas ministrija</w:t>
            </w:r>
          </w:p>
        </w:tc>
      </w:tr>
      <w:tr w:rsidR="00CC4328" w:rsidRPr="00874664" w14:paraId="4AF9AC25" w14:textId="77777777" w:rsidTr="00085AFE">
        <w:trPr>
          <w:trHeight w:val="269"/>
        </w:trPr>
        <w:tc>
          <w:tcPr>
            <w:tcW w:w="1276" w:type="dxa"/>
            <w:shd w:val="clear" w:color="auto" w:fill="auto"/>
          </w:tcPr>
          <w:p w14:paraId="525E7D4E" w14:textId="65600D73" w:rsidR="00CC4328" w:rsidRPr="00507D8A" w:rsidRDefault="00CC4328" w:rsidP="005F4D71">
            <w:pPr>
              <w:tabs>
                <w:tab w:val="left" w:pos="1494"/>
              </w:tabs>
              <w:spacing w:before="40" w:after="40"/>
              <w:ind w:firstLine="0"/>
              <w:rPr>
                <w:rFonts w:eastAsia="Calibri" w:cs="Times New Roman"/>
                <w:sz w:val="24"/>
                <w:szCs w:val="24"/>
              </w:rPr>
            </w:pPr>
            <w:r w:rsidRPr="00507D8A">
              <w:rPr>
                <w:rFonts w:eastAsia="Calibri" w:cs="Times New Roman"/>
                <w:sz w:val="24"/>
                <w:szCs w:val="24"/>
              </w:rPr>
              <w:t xml:space="preserve">EPC </w:t>
            </w:r>
            <w:r w:rsidR="00AA2636" w:rsidRPr="00507D8A">
              <w:rPr>
                <w:rFonts w:eastAsia="Calibri" w:cs="Times New Roman"/>
                <w:sz w:val="24"/>
                <w:szCs w:val="24"/>
              </w:rPr>
              <w:t>AWG</w:t>
            </w:r>
          </w:p>
        </w:tc>
        <w:tc>
          <w:tcPr>
            <w:tcW w:w="7938" w:type="dxa"/>
            <w:shd w:val="clear" w:color="auto" w:fill="auto"/>
          </w:tcPr>
          <w:p w14:paraId="4149E597" w14:textId="45087D57" w:rsidR="00CC4328" w:rsidRPr="00507D8A" w:rsidRDefault="00CC4328" w:rsidP="00CE7515">
            <w:pPr>
              <w:tabs>
                <w:tab w:val="left" w:pos="1494"/>
              </w:tabs>
              <w:spacing w:before="40" w:after="40"/>
              <w:ind w:firstLine="0"/>
              <w:rPr>
                <w:rFonts w:eastAsia="Calibri" w:cs="Times New Roman"/>
                <w:sz w:val="24"/>
                <w:szCs w:val="24"/>
              </w:rPr>
            </w:pPr>
            <w:r w:rsidRPr="00507D8A">
              <w:rPr>
                <w:rFonts w:eastAsia="Calibri" w:cs="Times New Roman"/>
                <w:sz w:val="24"/>
                <w:szCs w:val="24"/>
              </w:rPr>
              <w:t>Ekonomiskās politikas komiteja</w:t>
            </w:r>
            <w:r w:rsidR="00AA2636">
              <w:rPr>
                <w:rFonts w:eastAsia="Calibri" w:cs="Times New Roman"/>
                <w:sz w:val="24"/>
                <w:szCs w:val="24"/>
              </w:rPr>
              <w:t>s</w:t>
            </w:r>
            <w:r w:rsidRPr="00507D8A">
              <w:rPr>
                <w:rFonts w:eastAsia="Calibri" w:cs="Times New Roman"/>
                <w:sz w:val="24"/>
                <w:szCs w:val="24"/>
              </w:rPr>
              <w:t xml:space="preserve"> </w:t>
            </w:r>
            <w:r w:rsidR="00AA2636" w:rsidRPr="00507D8A">
              <w:rPr>
                <w:rFonts w:eastAsia="Calibri" w:cs="Times New Roman"/>
                <w:sz w:val="24"/>
                <w:szCs w:val="24"/>
              </w:rPr>
              <w:t>Iedzīvotāju novecošanās darba grupa</w:t>
            </w:r>
          </w:p>
        </w:tc>
      </w:tr>
      <w:tr w:rsidR="00CC4328" w:rsidRPr="00874664" w14:paraId="225CB0FA" w14:textId="77777777" w:rsidTr="00085AFE">
        <w:trPr>
          <w:trHeight w:val="269"/>
        </w:trPr>
        <w:tc>
          <w:tcPr>
            <w:tcW w:w="1276" w:type="dxa"/>
            <w:shd w:val="clear" w:color="auto" w:fill="auto"/>
          </w:tcPr>
          <w:p w14:paraId="0836CB9A" w14:textId="566E7B2B" w:rsidR="00CC4328" w:rsidRPr="00507D8A" w:rsidRDefault="00CC4328" w:rsidP="00CE7515">
            <w:pPr>
              <w:tabs>
                <w:tab w:val="left" w:pos="1494"/>
              </w:tabs>
              <w:spacing w:before="40" w:after="40"/>
              <w:ind w:firstLine="0"/>
              <w:rPr>
                <w:rFonts w:eastAsia="Calibri" w:cs="Times New Roman"/>
                <w:sz w:val="24"/>
                <w:szCs w:val="24"/>
              </w:rPr>
            </w:pPr>
            <w:r w:rsidRPr="00507D8A">
              <w:rPr>
                <w:rFonts w:eastAsia="Calibri" w:cs="Times New Roman"/>
                <w:sz w:val="24"/>
                <w:szCs w:val="24"/>
              </w:rPr>
              <w:t>ES</w:t>
            </w:r>
          </w:p>
        </w:tc>
        <w:tc>
          <w:tcPr>
            <w:tcW w:w="7938" w:type="dxa"/>
            <w:shd w:val="clear" w:color="auto" w:fill="auto"/>
          </w:tcPr>
          <w:p w14:paraId="392D8539" w14:textId="03E9AED9" w:rsidR="00CC4328" w:rsidRPr="00507D8A" w:rsidRDefault="00CC4328" w:rsidP="00CE7515">
            <w:pPr>
              <w:tabs>
                <w:tab w:val="left" w:pos="1494"/>
              </w:tabs>
              <w:spacing w:before="40" w:after="40"/>
              <w:ind w:firstLine="0"/>
              <w:rPr>
                <w:rFonts w:eastAsia="Calibri" w:cs="Times New Roman"/>
                <w:sz w:val="24"/>
                <w:szCs w:val="24"/>
              </w:rPr>
            </w:pPr>
            <w:r w:rsidRPr="00507D8A">
              <w:rPr>
                <w:rFonts w:eastAsia="Calibri" w:cs="Times New Roman"/>
                <w:sz w:val="24"/>
                <w:szCs w:val="24"/>
              </w:rPr>
              <w:t>Eiropas Savienība</w:t>
            </w:r>
          </w:p>
        </w:tc>
      </w:tr>
      <w:tr w:rsidR="00AA2636" w:rsidRPr="00874664" w14:paraId="5A18222A" w14:textId="77777777" w:rsidTr="00085AFE">
        <w:trPr>
          <w:trHeight w:val="269"/>
        </w:trPr>
        <w:tc>
          <w:tcPr>
            <w:tcW w:w="1276" w:type="dxa"/>
            <w:shd w:val="clear" w:color="auto" w:fill="auto"/>
          </w:tcPr>
          <w:p w14:paraId="2E785165" w14:textId="03A5901A" w:rsidR="00AA2636" w:rsidRPr="00507D8A" w:rsidRDefault="00AA2636" w:rsidP="00CE7515">
            <w:pPr>
              <w:tabs>
                <w:tab w:val="left" w:pos="1494"/>
              </w:tabs>
              <w:spacing w:before="40" w:after="40"/>
              <w:ind w:firstLine="0"/>
              <w:rPr>
                <w:rFonts w:eastAsia="Calibri" w:cs="Times New Roman"/>
                <w:sz w:val="24"/>
                <w:szCs w:val="24"/>
              </w:rPr>
            </w:pPr>
            <w:r>
              <w:rPr>
                <w:rFonts w:eastAsia="Calibri" w:cs="Times New Roman"/>
                <w:sz w:val="24"/>
                <w:szCs w:val="24"/>
              </w:rPr>
              <w:t>ESI</w:t>
            </w:r>
          </w:p>
        </w:tc>
        <w:tc>
          <w:tcPr>
            <w:tcW w:w="7938" w:type="dxa"/>
            <w:shd w:val="clear" w:color="auto" w:fill="auto"/>
          </w:tcPr>
          <w:p w14:paraId="58D763AF" w14:textId="5B3CDB60" w:rsidR="00AA2636" w:rsidRPr="00507D8A" w:rsidRDefault="00AA2636"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Ekonomikas sentimenta indekss</w:t>
            </w:r>
          </w:p>
        </w:tc>
      </w:tr>
      <w:tr w:rsidR="00CC4328" w:rsidRPr="00874664" w14:paraId="50E977C5" w14:textId="77777777" w:rsidTr="00085AFE">
        <w:trPr>
          <w:trHeight w:val="269"/>
        </w:trPr>
        <w:tc>
          <w:tcPr>
            <w:tcW w:w="1276" w:type="dxa"/>
            <w:shd w:val="clear" w:color="auto" w:fill="auto"/>
          </w:tcPr>
          <w:p w14:paraId="35E8C2E2" w14:textId="1CB9C7DF" w:rsidR="00CC4328" w:rsidRPr="001329C7" w:rsidRDefault="00CC4328" w:rsidP="00CE7515">
            <w:pPr>
              <w:tabs>
                <w:tab w:val="left" w:pos="1494"/>
              </w:tabs>
              <w:spacing w:before="40" w:after="40"/>
              <w:ind w:firstLine="0"/>
              <w:rPr>
                <w:rFonts w:eastAsia="Calibri" w:cs="Times New Roman"/>
                <w:sz w:val="24"/>
                <w:szCs w:val="24"/>
              </w:rPr>
            </w:pPr>
            <w:r w:rsidRPr="001329C7">
              <w:rPr>
                <w:rFonts w:eastAsia="Times New Roman" w:cs="Times New Roman"/>
                <w:sz w:val="24"/>
                <w:szCs w:val="24"/>
              </w:rPr>
              <w:t>FDL</w:t>
            </w:r>
          </w:p>
        </w:tc>
        <w:tc>
          <w:tcPr>
            <w:tcW w:w="7938" w:type="dxa"/>
            <w:shd w:val="clear" w:color="auto" w:fill="auto"/>
          </w:tcPr>
          <w:p w14:paraId="3D8921FB" w14:textId="03D19E6E" w:rsidR="00CC4328" w:rsidRPr="001329C7" w:rsidRDefault="00CC4328" w:rsidP="00CE7515">
            <w:pPr>
              <w:tabs>
                <w:tab w:val="left" w:pos="1494"/>
              </w:tabs>
              <w:spacing w:before="40" w:after="40"/>
              <w:ind w:firstLine="0"/>
              <w:rPr>
                <w:rFonts w:eastAsia="Calibri" w:cs="Times New Roman"/>
                <w:sz w:val="24"/>
                <w:szCs w:val="24"/>
              </w:rPr>
            </w:pPr>
            <w:r w:rsidRPr="001329C7">
              <w:rPr>
                <w:rFonts w:eastAsia="Calibri" w:cs="Times New Roman"/>
                <w:sz w:val="24"/>
                <w:szCs w:val="24"/>
              </w:rPr>
              <w:t>Fiskālās disciplīnas likums</w:t>
            </w:r>
          </w:p>
        </w:tc>
      </w:tr>
      <w:tr w:rsidR="00AA2636" w:rsidRPr="00874664" w14:paraId="0F216BF0" w14:textId="77777777" w:rsidTr="00085AFE">
        <w:trPr>
          <w:trHeight w:val="269"/>
        </w:trPr>
        <w:tc>
          <w:tcPr>
            <w:tcW w:w="1276" w:type="dxa"/>
            <w:shd w:val="clear" w:color="auto" w:fill="auto"/>
          </w:tcPr>
          <w:p w14:paraId="285F8DEB" w14:textId="2A62D3D5" w:rsidR="00AA2636" w:rsidRPr="001329C7" w:rsidRDefault="00AA2636" w:rsidP="00CE7515">
            <w:pPr>
              <w:tabs>
                <w:tab w:val="left" w:pos="1494"/>
              </w:tabs>
              <w:spacing w:before="40" w:after="40"/>
              <w:ind w:firstLine="0"/>
              <w:rPr>
                <w:rFonts w:eastAsia="Times New Roman" w:cs="Times New Roman"/>
                <w:sz w:val="24"/>
                <w:szCs w:val="24"/>
              </w:rPr>
            </w:pPr>
            <w:r>
              <w:rPr>
                <w:rFonts w:eastAsia="Times New Roman" w:cs="Times New Roman"/>
                <w:sz w:val="24"/>
                <w:szCs w:val="24"/>
              </w:rPr>
              <w:t>FDP</w:t>
            </w:r>
          </w:p>
        </w:tc>
        <w:tc>
          <w:tcPr>
            <w:tcW w:w="7938" w:type="dxa"/>
            <w:shd w:val="clear" w:color="auto" w:fill="auto"/>
          </w:tcPr>
          <w:p w14:paraId="74D449D5" w14:textId="2E4674BA" w:rsidR="00AA2636" w:rsidRPr="001329C7" w:rsidRDefault="00AA2636"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Fiskālās disciplīnas padome</w:t>
            </w:r>
          </w:p>
        </w:tc>
      </w:tr>
      <w:tr w:rsidR="00CC4328" w:rsidRPr="00874664" w14:paraId="5B3AD9DB" w14:textId="77777777" w:rsidTr="00085AFE">
        <w:trPr>
          <w:trHeight w:val="269"/>
        </w:trPr>
        <w:tc>
          <w:tcPr>
            <w:tcW w:w="1276" w:type="dxa"/>
            <w:shd w:val="clear" w:color="auto" w:fill="auto"/>
          </w:tcPr>
          <w:p w14:paraId="27A49563" w14:textId="6AF891DC" w:rsidR="00CC4328" w:rsidRPr="001329C7" w:rsidRDefault="00CC4328" w:rsidP="00CE7515">
            <w:pPr>
              <w:tabs>
                <w:tab w:val="left" w:pos="1494"/>
              </w:tabs>
              <w:spacing w:before="40" w:after="40"/>
              <w:ind w:firstLine="0"/>
              <w:rPr>
                <w:rFonts w:eastAsia="Calibri" w:cs="Times New Roman"/>
                <w:sz w:val="24"/>
                <w:szCs w:val="24"/>
              </w:rPr>
            </w:pPr>
            <w:r w:rsidRPr="001329C7">
              <w:rPr>
                <w:rFonts w:eastAsia="Times New Roman" w:cs="Times New Roman"/>
                <w:sz w:val="24"/>
                <w:szCs w:val="24"/>
              </w:rPr>
              <w:t>FM</w:t>
            </w:r>
          </w:p>
        </w:tc>
        <w:tc>
          <w:tcPr>
            <w:tcW w:w="7938" w:type="dxa"/>
            <w:shd w:val="clear" w:color="auto" w:fill="auto"/>
          </w:tcPr>
          <w:p w14:paraId="7003C21E" w14:textId="7AF42394" w:rsidR="00CC4328" w:rsidRPr="001329C7" w:rsidRDefault="00CC4328" w:rsidP="00CE7515">
            <w:pPr>
              <w:tabs>
                <w:tab w:val="left" w:pos="1494"/>
              </w:tabs>
              <w:spacing w:before="40" w:after="40"/>
              <w:ind w:firstLine="0"/>
              <w:rPr>
                <w:rFonts w:eastAsia="Calibri" w:cs="Times New Roman"/>
                <w:sz w:val="24"/>
                <w:szCs w:val="24"/>
              </w:rPr>
            </w:pPr>
            <w:r w:rsidRPr="001329C7">
              <w:rPr>
                <w:rFonts w:eastAsia="Calibri" w:cs="Times New Roman"/>
                <w:sz w:val="24"/>
                <w:szCs w:val="24"/>
              </w:rPr>
              <w:t>Finanšu ministrija</w:t>
            </w:r>
          </w:p>
        </w:tc>
      </w:tr>
      <w:tr w:rsidR="00AA2636" w:rsidRPr="00874664" w14:paraId="4AFD8B90" w14:textId="77777777" w:rsidTr="00085AFE">
        <w:trPr>
          <w:trHeight w:val="269"/>
        </w:trPr>
        <w:tc>
          <w:tcPr>
            <w:tcW w:w="1276" w:type="dxa"/>
            <w:shd w:val="clear" w:color="auto" w:fill="auto"/>
          </w:tcPr>
          <w:p w14:paraId="0F11663C" w14:textId="77777777" w:rsidR="00AA2636" w:rsidRDefault="00AA2636" w:rsidP="00CE7515">
            <w:pPr>
              <w:tabs>
                <w:tab w:val="left" w:pos="1494"/>
              </w:tabs>
              <w:spacing w:before="40" w:after="40"/>
              <w:ind w:firstLine="0"/>
              <w:rPr>
                <w:rFonts w:eastAsia="Times New Roman" w:cs="Times New Roman"/>
                <w:sz w:val="24"/>
                <w:szCs w:val="24"/>
              </w:rPr>
            </w:pPr>
            <w:r>
              <w:rPr>
                <w:rFonts w:eastAsia="Times New Roman" w:cs="Times New Roman"/>
                <w:sz w:val="24"/>
                <w:szCs w:val="24"/>
              </w:rPr>
              <w:t>FRD</w:t>
            </w:r>
          </w:p>
          <w:p w14:paraId="59353BE2" w14:textId="53628F02" w:rsidR="00237E97" w:rsidRPr="001329C7" w:rsidRDefault="00237E97" w:rsidP="00CE7515">
            <w:pPr>
              <w:tabs>
                <w:tab w:val="left" w:pos="1494"/>
              </w:tabs>
              <w:spacing w:before="40" w:after="40"/>
              <w:ind w:firstLine="0"/>
              <w:rPr>
                <w:rFonts w:eastAsia="Times New Roman" w:cs="Times New Roman"/>
                <w:sz w:val="24"/>
                <w:szCs w:val="24"/>
              </w:rPr>
            </w:pPr>
            <w:r>
              <w:rPr>
                <w:rFonts w:eastAsia="Times New Roman" w:cs="Times New Roman"/>
                <w:sz w:val="24"/>
                <w:szCs w:val="24"/>
              </w:rPr>
              <w:t>FSP</w:t>
            </w:r>
          </w:p>
        </w:tc>
        <w:tc>
          <w:tcPr>
            <w:tcW w:w="7938" w:type="dxa"/>
            <w:shd w:val="clear" w:color="auto" w:fill="auto"/>
          </w:tcPr>
          <w:p w14:paraId="08626F6E" w14:textId="77777777" w:rsidR="00AA2636" w:rsidRDefault="00AA2636"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Fiskālo risku deklarācija</w:t>
            </w:r>
          </w:p>
          <w:p w14:paraId="6A4743B6" w14:textId="5187F3C3" w:rsidR="00237E97" w:rsidRPr="001329C7" w:rsidRDefault="00237E97" w:rsidP="00CE7515">
            <w:pPr>
              <w:tabs>
                <w:tab w:val="left" w:pos="1494"/>
              </w:tabs>
              <w:spacing w:before="40" w:after="40"/>
              <w:ind w:firstLine="0"/>
              <w:rPr>
                <w:rFonts w:eastAsia="Calibri" w:cs="Times New Roman"/>
                <w:sz w:val="24"/>
                <w:szCs w:val="24"/>
              </w:rPr>
            </w:pPr>
            <w:r>
              <w:rPr>
                <w:rFonts w:eastAsia="Calibri" w:cs="Times New Roman"/>
                <w:sz w:val="24"/>
                <w:szCs w:val="24"/>
              </w:rPr>
              <w:t>Fiskāli strukturālais plāns</w:t>
            </w:r>
          </w:p>
        </w:tc>
      </w:tr>
      <w:tr w:rsidR="00CC4328" w:rsidRPr="00874664" w14:paraId="3C14A198" w14:textId="77777777" w:rsidTr="00085AFE">
        <w:trPr>
          <w:trHeight w:val="269"/>
        </w:trPr>
        <w:tc>
          <w:tcPr>
            <w:tcW w:w="1276" w:type="dxa"/>
            <w:shd w:val="clear" w:color="auto" w:fill="auto"/>
          </w:tcPr>
          <w:p w14:paraId="3092B234" w14:textId="0EAF3CF9" w:rsidR="00CC4328" w:rsidRPr="00163B62" w:rsidRDefault="00CC4328" w:rsidP="00CE7515">
            <w:pPr>
              <w:tabs>
                <w:tab w:val="left" w:pos="1494"/>
              </w:tabs>
              <w:spacing w:before="40" w:after="40"/>
              <w:ind w:firstLine="0"/>
              <w:rPr>
                <w:rFonts w:eastAsia="Times New Roman" w:cs="Times New Roman"/>
                <w:sz w:val="24"/>
                <w:szCs w:val="24"/>
              </w:rPr>
            </w:pPr>
            <w:r w:rsidRPr="00163B62">
              <w:rPr>
                <w:rFonts w:eastAsia="Times New Roman" w:cs="Times New Roman"/>
                <w:sz w:val="24"/>
                <w:szCs w:val="28"/>
              </w:rPr>
              <w:t>IIN</w:t>
            </w:r>
          </w:p>
        </w:tc>
        <w:tc>
          <w:tcPr>
            <w:tcW w:w="7938" w:type="dxa"/>
            <w:shd w:val="clear" w:color="auto" w:fill="auto"/>
          </w:tcPr>
          <w:p w14:paraId="06CB309D" w14:textId="1273A3BA" w:rsidR="00CC4328" w:rsidRPr="00163B62" w:rsidRDefault="00CC4328" w:rsidP="00CE7515">
            <w:pPr>
              <w:tabs>
                <w:tab w:val="left" w:pos="1494"/>
              </w:tabs>
              <w:spacing w:before="40" w:after="40"/>
              <w:ind w:firstLine="0"/>
              <w:rPr>
                <w:rFonts w:eastAsia="Calibri" w:cs="Times New Roman"/>
                <w:sz w:val="24"/>
                <w:szCs w:val="24"/>
              </w:rPr>
            </w:pPr>
            <w:r w:rsidRPr="00163B62">
              <w:rPr>
                <w:rFonts w:eastAsia="Calibri" w:cs="Times New Roman"/>
                <w:sz w:val="24"/>
                <w:szCs w:val="24"/>
              </w:rPr>
              <w:t>Iedz</w:t>
            </w:r>
            <w:r w:rsidRPr="00163B62">
              <w:rPr>
                <w:rFonts w:eastAsia="Calibri" w:cs="Times New Roman" w:hint="eastAsia"/>
                <w:sz w:val="24"/>
                <w:szCs w:val="24"/>
              </w:rPr>
              <w:t>ī</w:t>
            </w:r>
            <w:r w:rsidRPr="00163B62">
              <w:rPr>
                <w:rFonts w:eastAsia="Calibri" w:cs="Times New Roman"/>
                <w:sz w:val="24"/>
                <w:szCs w:val="24"/>
              </w:rPr>
              <w:t>vot</w:t>
            </w:r>
            <w:r w:rsidRPr="00163B62">
              <w:rPr>
                <w:rFonts w:eastAsia="Calibri" w:cs="Times New Roman" w:hint="eastAsia"/>
                <w:sz w:val="24"/>
                <w:szCs w:val="24"/>
              </w:rPr>
              <w:t>ā</w:t>
            </w:r>
            <w:r w:rsidRPr="00163B62">
              <w:rPr>
                <w:rFonts w:eastAsia="Calibri" w:cs="Times New Roman"/>
                <w:sz w:val="24"/>
                <w:szCs w:val="24"/>
              </w:rPr>
              <w:t>ju ien</w:t>
            </w:r>
            <w:r w:rsidRPr="00163B62">
              <w:rPr>
                <w:rFonts w:eastAsia="Calibri" w:cs="Times New Roman" w:hint="eastAsia"/>
                <w:sz w:val="24"/>
                <w:szCs w:val="24"/>
              </w:rPr>
              <w:t>ā</w:t>
            </w:r>
            <w:r w:rsidRPr="00163B62">
              <w:rPr>
                <w:rFonts w:eastAsia="Calibri" w:cs="Times New Roman"/>
                <w:sz w:val="24"/>
                <w:szCs w:val="24"/>
              </w:rPr>
              <w:t>kuma nodoklis</w:t>
            </w:r>
          </w:p>
        </w:tc>
      </w:tr>
      <w:tr w:rsidR="00CC4328" w:rsidRPr="00874664" w14:paraId="1E646D11" w14:textId="77777777" w:rsidTr="00085AFE">
        <w:trPr>
          <w:trHeight w:val="269"/>
        </w:trPr>
        <w:tc>
          <w:tcPr>
            <w:tcW w:w="1276" w:type="dxa"/>
            <w:shd w:val="clear" w:color="auto" w:fill="auto"/>
          </w:tcPr>
          <w:p w14:paraId="42EFDB7A" w14:textId="76A08CF6" w:rsidR="00CC4328" w:rsidRPr="00530F1E" w:rsidRDefault="00CC4328" w:rsidP="00CE7515">
            <w:pPr>
              <w:tabs>
                <w:tab w:val="left" w:pos="1494"/>
              </w:tabs>
              <w:spacing w:before="40" w:after="40"/>
              <w:ind w:firstLine="0"/>
              <w:rPr>
                <w:rFonts w:eastAsia="Times New Roman" w:cs="Times New Roman"/>
                <w:sz w:val="24"/>
                <w:szCs w:val="28"/>
              </w:rPr>
            </w:pPr>
            <w:r w:rsidRPr="00530F1E">
              <w:rPr>
                <w:rFonts w:eastAsia="Calibri" w:cs="Times New Roman"/>
                <w:sz w:val="24"/>
                <w:szCs w:val="24"/>
              </w:rPr>
              <w:t>IKP</w:t>
            </w:r>
          </w:p>
        </w:tc>
        <w:tc>
          <w:tcPr>
            <w:tcW w:w="7938" w:type="dxa"/>
            <w:shd w:val="clear" w:color="auto" w:fill="auto"/>
          </w:tcPr>
          <w:p w14:paraId="06C3BE33" w14:textId="00F0F961" w:rsidR="00CC4328" w:rsidRPr="00530F1E" w:rsidRDefault="00CC4328" w:rsidP="00CE7515">
            <w:pPr>
              <w:tabs>
                <w:tab w:val="left" w:pos="1494"/>
              </w:tabs>
              <w:spacing w:before="40" w:after="40"/>
              <w:ind w:firstLine="0"/>
              <w:rPr>
                <w:rFonts w:eastAsia="Calibri" w:cs="Times New Roman"/>
                <w:sz w:val="24"/>
                <w:szCs w:val="24"/>
              </w:rPr>
            </w:pPr>
            <w:r w:rsidRPr="00530F1E">
              <w:rPr>
                <w:rFonts w:eastAsia="Calibri" w:cs="Times New Roman"/>
                <w:sz w:val="24"/>
                <w:szCs w:val="24"/>
              </w:rPr>
              <w:t>Iekšzemes kopprodukts</w:t>
            </w:r>
          </w:p>
        </w:tc>
      </w:tr>
      <w:tr w:rsidR="00AA2636" w:rsidRPr="00874664" w14:paraId="04C966D7" w14:textId="77777777" w:rsidTr="00085AFE">
        <w:trPr>
          <w:trHeight w:val="269"/>
        </w:trPr>
        <w:tc>
          <w:tcPr>
            <w:tcW w:w="1276" w:type="dxa"/>
            <w:shd w:val="clear" w:color="auto" w:fill="auto"/>
          </w:tcPr>
          <w:p w14:paraId="0A4268E0" w14:textId="2F69F5F6" w:rsidR="00AA2636" w:rsidRPr="00AA2636" w:rsidRDefault="00AA2636"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LB</w:t>
            </w:r>
          </w:p>
        </w:tc>
        <w:tc>
          <w:tcPr>
            <w:tcW w:w="7938" w:type="dxa"/>
            <w:shd w:val="clear" w:color="auto" w:fill="auto"/>
          </w:tcPr>
          <w:p w14:paraId="30BE04C2" w14:textId="22070C87" w:rsidR="00AA2636" w:rsidRPr="00AA2636" w:rsidRDefault="00AA2636"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Latvijas Banka</w:t>
            </w:r>
          </w:p>
        </w:tc>
      </w:tr>
      <w:tr w:rsidR="00CC4328" w:rsidRPr="00874664" w14:paraId="7E093814" w14:textId="77777777" w:rsidTr="00085AFE">
        <w:trPr>
          <w:trHeight w:val="269"/>
        </w:trPr>
        <w:tc>
          <w:tcPr>
            <w:tcW w:w="1276" w:type="dxa"/>
            <w:shd w:val="clear" w:color="auto" w:fill="auto"/>
          </w:tcPr>
          <w:p w14:paraId="5638185F" w14:textId="7AA74411" w:rsidR="00CC4328" w:rsidRPr="00AA2636" w:rsidRDefault="00CC4328"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LBFV</w:t>
            </w:r>
          </w:p>
        </w:tc>
        <w:tc>
          <w:tcPr>
            <w:tcW w:w="7938" w:type="dxa"/>
            <w:shd w:val="clear" w:color="auto" w:fill="auto"/>
          </w:tcPr>
          <w:p w14:paraId="410BD578" w14:textId="46F48542" w:rsidR="00CC4328" w:rsidRPr="00AA2636" w:rsidRDefault="00CC4328"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Likums par budžeta un finanšu vadību</w:t>
            </w:r>
          </w:p>
        </w:tc>
      </w:tr>
      <w:tr w:rsidR="00AA2636" w:rsidRPr="00874664" w14:paraId="5B403D8D" w14:textId="77777777" w:rsidTr="00085AFE">
        <w:trPr>
          <w:trHeight w:val="269"/>
        </w:trPr>
        <w:tc>
          <w:tcPr>
            <w:tcW w:w="1276" w:type="dxa"/>
            <w:shd w:val="clear" w:color="auto" w:fill="auto"/>
          </w:tcPr>
          <w:p w14:paraId="5C28DD47" w14:textId="3ADF9C2A" w:rsidR="00AA2636" w:rsidRPr="00AA2636" w:rsidRDefault="00AA2636" w:rsidP="00CE7515">
            <w:pPr>
              <w:tabs>
                <w:tab w:val="left" w:pos="1494"/>
              </w:tabs>
              <w:spacing w:before="40" w:after="40"/>
              <w:ind w:firstLine="0"/>
              <w:rPr>
                <w:rFonts w:eastAsia="Calibri" w:cs="Times New Roman"/>
                <w:sz w:val="24"/>
                <w:szCs w:val="24"/>
              </w:rPr>
            </w:pPr>
            <w:r>
              <w:rPr>
                <w:rFonts w:eastAsia="Calibri" w:cs="Times New Roman"/>
                <w:sz w:val="24"/>
                <w:szCs w:val="24"/>
              </w:rPr>
              <w:t>LM</w:t>
            </w:r>
          </w:p>
        </w:tc>
        <w:tc>
          <w:tcPr>
            <w:tcW w:w="7938" w:type="dxa"/>
            <w:shd w:val="clear" w:color="auto" w:fill="auto"/>
          </w:tcPr>
          <w:p w14:paraId="26BDD279" w14:textId="7D876D90" w:rsidR="00AA2636" w:rsidRPr="00AA2636" w:rsidRDefault="00AA2636" w:rsidP="00CE7515">
            <w:pPr>
              <w:tabs>
                <w:tab w:val="left" w:pos="1494"/>
              </w:tabs>
              <w:spacing w:before="40" w:after="40"/>
              <w:ind w:firstLine="0"/>
              <w:rPr>
                <w:rFonts w:eastAsia="Calibri" w:cs="Times New Roman"/>
                <w:sz w:val="24"/>
                <w:szCs w:val="24"/>
              </w:rPr>
            </w:pPr>
            <w:r>
              <w:rPr>
                <w:rFonts w:eastAsia="Calibri" w:cs="Times New Roman"/>
                <w:sz w:val="24"/>
                <w:szCs w:val="24"/>
              </w:rPr>
              <w:t>Labklājības ministrija</w:t>
            </w:r>
          </w:p>
        </w:tc>
      </w:tr>
      <w:tr w:rsidR="00CC4328" w:rsidRPr="00874664" w14:paraId="58EDE83A" w14:textId="77777777" w:rsidTr="00085AFE">
        <w:trPr>
          <w:trHeight w:val="269"/>
        </w:trPr>
        <w:tc>
          <w:tcPr>
            <w:tcW w:w="1276" w:type="dxa"/>
            <w:shd w:val="clear" w:color="auto" w:fill="auto"/>
          </w:tcPr>
          <w:p w14:paraId="42B94F27" w14:textId="4A623152" w:rsidR="00CC4328" w:rsidRPr="002B6464" w:rsidRDefault="00CC4328" w:rsidP="00CE7515">
            <w:pPr>
              <w:tabs>
                <w:tab w:val="left" w:pos="1494"/>
              </w:tabs>
              <w:spacing w:before="40" w:after="40"/>
              <w:ind w:firstLine="0"/>
              <w:rPr>
                <w:rFonts w:eastAsia="Calibri" w:cs="Times New Roman"/>
                <w:sz w:val="24"/>
                <w:szCs w:val="24"/>
              </w:rPr>
            </w:pPr>
            <w:r w:rsidRPr="002B6464">
              <w:rPr>
                <w:rFonts w:eastAsia="Calibri" w:cs="Times New Roman"/>
                <w:sz w:val="24"/>
                <w:szCs w:val="24"/>
              </w:rPr>
              <w:t>LPS</w:t>
            </w:r>
          </w:p>
        </w:tc>
        <w:tc>
          <w:tcPr>
            <w:tcW w:w="7938" w:type="dxa"/>
            <w:shd w:val="clear" w:color="auto" w:fill="auto"/>
          </w:tcPr>
          <w:p w14:paraId="5A1E569F" w14:textId="2364DAA9" w:rsidR="00CC4328" w:rsidRPr="002B6464" w:rsidRDefault="00CC4328" w:rsidP="00CE7515">
            <w:pPr>
              <w:tabs>
                <w:tab w:val="left" w:pos="1494"/>
              </w:tabs>
              <w:spacing w:before="40" w:after="40"/>
              <w:ind w:firstLine="0"/>
              <w:rPr>
                <w:rFonts w:eastAsia="Calibri" w:cs="Times New Roman"/>
                <w:sz w:val="24"/>
                <w:szCs w:val="24"/>
              </w:rPr>
            </w:pPr>
            <w:r w:rsidRPr="002B6464">
              <w:rPr>
                <w:rFonts w:eastAsia="Calibri" w:cs="Times New Roman"/>
                <w:sz w:val="24"/>
                <w:szCs w:val="24"/>
              </w:rPr>
              <w:t>Latvijas Pašvaldību savienība</w:t>
            </w:r>
          </w:p>
        </w:tc>
      </w:tr>
      <w:tr w:rsidR="00CC4328" w:rsidRPr="00874664" w14:paraId="46670C7C" w14:textId="77777777" w:rsidTr="00085AFE">
        <w:trPr>
          <w:trHeight w:val="269"/>
        </w:trPr>
        <w:tc>
          <w:tcPr>
            <w:tcW w:w="1276" w:type="dxa"/>
            <w:shd w:val="clear" w:color="auto" w:fill="auto"/>
          </w:tcPr>
          <w:p w14:paraId="39F2EA70" w14:textId="065EE282" w:rsidR="00CC4328" w:rsidRPr="005E2388" w:rsidRDefault="00CC4328" w:rsidP="00CE7515">
            <w:pPr>
              <w:tabs>
                <w:tab w:val="left" w:pos="1494"/>
              </w:tabs>
              <w:spacing w:before="40" w:after="40"/>
              <w:ind w:firstLine="0"/>
              <w:rPr>
                <w:rFonts w:eastAsia="Calibri" w:cs="Times New Roman"/>
                <w:sz w:val="24"/>
                <w:szCs w:val="24"/>
              </w:rPr>
            </w:pPr>
            <w:r w:rsidRPr="005E2388">
              <w:rPr>
                <w:rFonts w:eastAsia="Calibri" w:cs="Times New Roman"/>
                <w:sz w:val="24"/>
                <w:szCs w:val="24"/>
              </w:rPr>
              <w:t>MK</w:t>
            </w:r>
          </w:p>
        </w:tc>
        <w:tc>
          <w:tcPr>
            <w:tcW w:w="7938" w:type="dxa"/>
            <w:shd w:val="clear" w:color="auto" w:fill="auto"/>
          </w:tcPr>
          <w:p w14:paraId="37189DB5" w14:textId="69D1DE5E" w:rsidR="00CC4328" w:rsidRPr="005E2388" w:rsidRDefault="00CC4328" w:rsidP="00CE7515">
            <w:pPr>
              <w:tabs>
                <w:tab w:val="left" w:pos="1494"/>
              </w:tabs>
              <w:spacing w:before="40" w:after="40"/>
              <w:ind w:firstLine="0"/>
              <w:rPr>
                <w:rFonts w:eastAsia="Calibri" w:cs="Times New Roman"/>
                <w:sz w:val="24"/>
                <w:szCs w:val="24"/>
              </w:rPr>
            </w:pPr>
            <w:r w:rsidRPr="005E2388">
              <w:rPr>
                <w:rFonts w:eastAsia="Calibri" w:cs="Times New Roman"/>
                <w:sz w:val="24"/>
                <w:szCs w:val="24"/>
              </w:rPr>
              <w:t>Ministru kabinets</w:t>
            </w:r>
          </w:p>
        </w:tc>
      </w:tr>
      <w:tr w:rsidR="00DD30EB" w:rsidRPr="00874664" w14:paraId="3F663A63" w14:textId="77777777" w:rsidTr="00085AFE">
        <w:trPr>
          <w:trHeight w:val="269"/>
        </w:trPr>
        <w:tc>
          <w:tcPr>
            <w:tcW w:w="1276" w:type="dxa"/>
            <w:shd w:val="clear" w:color="auto" w:fill="auto"/>
          </w:tcPr>
          <w:p w14:paraId="5EF25EEB" w14:textId="35B57E90" w:rsidR="00DD30EB" w:rsidRPr="00DD30EB" w:rsidRDefault="00DD30EB" w:rsidP="00CE7515">
            <w:pPr>
              <w:tabs>
                <w:tab w:val="left" w:pos="1494"/>
              </w:tabs>
              <w:spacing w:before="40" w:after="40"/>
              <w:ind w:firstLine="0"/>
              <w:rPr>
                <w:rFonts w:eastAsia="Calibri" w:cs="Times New Roman"/>
                <w:sz w:val="24"/>
                <w:szCs w:val="24"/>
              </w:rPr>
            </w:pPr>
            <w:r w:rsidRPr="00DD30EB">
              <w:rPr>
                <w:rFonts w:eastAsia="Calibri" w:cs="Times New Roman"/>
                <w:sz w:val="24"/>
                <w:szCs w:val="24"/>
              </w:rPr>
              <w:t>PCI</w:t>
            </w:r>
          </w:p>
        </w:tc>
        <w:tc>
          <w:tcPr>
            <w:tcW w:w="7938" w:type="dxa"/>
            <w:shd w:val="clear" w:color="auto" w:fill="auto"/>
          </w:tcPr>
          <w:p w14:paraId="13304F7D" w14:textId="54D96FE9" w:rsidR="00DD30EB" w:rsidRPr="00DD30EB" w:rsidRDefault="00DD30EB" w:rsidP="00CE7515">
            <w:pPr>
              <w:tabs>
                <w:tab w:val="left" w:pos="1494"/>
              </w:tabs>
              <w:spacing w:before="40" w:after="40"/>
              <w:ind w:firstLine="0"/>
              <w:rPr>
                <w:rFonts w:eastAsia="Calibri" w:cs="Times New Roman"/>
                <w:sz w:val="24"/>
                <w:szCs w:val="24"/>
              </w:rPr>
            </w:pPr>
            <w:r w:rsidRPr="00DD30EB">
              <w:rPr>
                <w:rFonts w:eastAsia="Calibri" w:cs="Times New Roman"/>
                <w:sz w:val="24"/>
                <w:szCs w:val="24"/>
              </w:rPr>
              <w:t>Patēriņa cenu indekss</w:t>
            </w:r>
          </w:p>
        </w:tc>
      </w:tr>
      <w:tr w:rsidR="00CC4328" w:rsidRPr="00874664" w14:paraId="5F4D4AB5" w14:textId="77777777" w:rsidTr="00085AFE">
        <w:trPr>
          <w:trHeight w:val="269"/>
        </w:trPr>
        <w:tc>
          <w:tcPr>
            <w:tcW w:w="1276" w:type="dxa"/>
            <w:shd w:val="clear" w:color="auto" w:fill="auto"/>
          </w:tcPr>
          <w:p w14:paraId="4C329D4C" w14:textId="6736F311" w:rsidR="00CC4328" w:rsidRPr="00BE30A6" w:rsidRDefault="00CC4328" w:rsidP="00CE7515">
            <w:pPr>
              <w:tabs>
                <w:tab w:val="left" w:pos="1494"/>
              </w:tabs>
              <w:spacing w:before="40" w:after="40"/>
              <w:ind w:firstLine="0"/>
              <w:rPr>
                <w:rFonts w:eastAsia="Calibri" w:cs="Times New Roman"/>
                <w:sz w:val="24"/>
                <w:szCs w:val="24"/>
              </w:rPr>
            </w:pPr>
            <w:r w:rsidRPr="00BE30A6">
              <w:rPr>
                <w:rFonts w:eastAsia="Calibri" w:cs="Times New Roman"/>
                <w:sz w:val="24"/>
                <w:szCs w:val="24"/>
              </w:rPr>
              <w:t>PMI</w:t>
            </w:r>
          </w:p>
        </w:tc>
        <w:tc>
          <w:tcPr>
            <w:tcW w:w="7938" w:type="dxa"/>
            <w:shd w:val="clear" w:color="auto" w:fill="auto"/>
          </w:tcPr>
          <w:p w14:paraId="4CC93D9B" w14:textId="255775F5" w:rsidR="00CC4328" w:rsidRPr="00BE30A6" w:rsidRDefault="00CC4328" w:rsidP="00CE7515">
            <w:pPr>
              <w:tabs>
                <w:tab w:val="left" w:pos="1494"/>
              </w:tabs>
              <w:spacing w:before="40" w:after="40"/>
              <w:ind w:firstLine="0"/>
              <w:rPr>
                <w:rFonts w:eastAsia="Calibri" w:cs="Times New Roman"/>
                <w:sz w:val="24"/>
                <w:szCs w:val="24"/>
              </w:rPr>
            </w:pPr>
            <w:r w:rsidRPr="00BE30A6">
              <w:rPr>
                <w:rFonts w:eastAsia="Times New Roman" w:cs="Times New Roman"/>
                <w:color w:val="000000"/>
                <w:sz w:val="24"/>
                <w:szCs w:val="28"/>
              </w:rPr>
              <w:t xml:space="preserve">Iepirkumu vadītāju indekss </w:t>
            </w:r>
          </w:p>
        </w:tc>
      </w:tr>
      <w:tr w:rsidR="00CC4328" w:rsidRPr="00874664" w14:paraId="0020A6CE" w14:textId="77777777" w:rsidTr="00085AFE">
        <w:trPr>
          <w:trHeight w:val="269"/>
        </w:trPr>
        <w:tc>
          <w:tcPr>
            <w:tcW w:w="1276" w:type="dxa"/>
            <w:shd w:val="clear" w:color="auto" w:fill="auto"/>
          </w:tcPr>
          <w:p w14:paraId="5F45BBAB" w14:textId="03869512" w:rsidR="00CC4328" w:rsidRPr="00163B62" w:rsidRDefault="00CC4328" w:rsidP="00CE7515">
            <w:pPr>
              <w:tabs>
                <w:tab w:val="left" w:pos="1494"/>
              </w:tabs>
              <w:spacing w:before="40" w:after="40"/>
              <w:ind w:firstLine="0"/>
              <w:rPr>
                <w:rFonts w:eastAsia="Calibri" w:cs="Times New Roman"/>
                <w:sz w:val="24"/>
                <w:szCs w:val="24"/>
              </w:rPr>
            </w:pPr>
            <w:r w:rsidRPr="00163B62">
              <w:rPr>
                <w:rFonts w:eastAsia="Calibri" w:cs="Times New Roman"/>
                <w:sz w:val="24"/>
                <w:szCs w:val="24"/>
              </w:rPr>
              <w:t>PVN</w:t>
            </w:r>
          </w:p>
        </w:tc>
        <w:tc>
          <w:tcPr>
            <w:tcW w:w="7938" w:type="dxa"/>
            <w:shd w:val="clear" w:color="auto" w:fill="auto"/>
          </w:tcPr>
          <w:p w14:paraId="113D84E9" w14:textId="03A95F50" w:rsidR="00CC4328" w:rsidRPr="00163B62" w:rsidRDefault="00CC4328" w:rsidP="00CE7515">
            <w:pPr>
              <w:tabs>
                <w:tab w:val="left" w:pos="1494"/>
              </w:tabs>
              <w:spacing w:before="40" w:after="40"/>
              <w:ind w:firstLine="0"/>
              <w:rPr>
                <w:rFonts w:eastAsia="Calibri" w:cs="Times New Roman"/>
                <w:sz w:val="24"/>
                <w:szCs w:val="24"/>
              </w:rPr>
            </w:pPr>
            <w:r w:rsidRPr="00163B62">
              <w:rPr>
                <w:rFonts w:eastAsia="Calibri" w:cs="Times New Roman"/>
                <w:sz w:val="24"/>
                <w:szCs w:val="24"/>
              </w:rPr>
              <w:t>Pievienotās vērtības nodoklis</w:t>
            </w:r>
          </w:p>
        </w:tc>
      </w:tr>
      <w:tr w:rsidR="00DD30EB" w:rsidRPr="00874664" w14:paraId="131E471D" w14:textId="77777777" w:rsidTr="00085AFE">
        <w:trPr>
          <w:trHeight w:val="269"/>
        </w:trPr>
        <w:tc>
          <w:tcPr>
            <w:tcW w:w="1276" w:type="dxa"/>
            <w:shd w:val="clear" w:color="auto" w:fill="auto"/>
          </w:tcPr>
          <w:p w14:paraId="0DE5EB38" w14:textId="06F78FA9" w:rsidR="00DD30EB" w:rsidRPr="00163B62" w:rsidRDefault="00DD30EB" w:rsidP="00CE7515">
            <w:pPr>
              <w:tabs>
                <w:tab w:val="left" w:pos="1494"/>
              </w:tabs>
              <w:spacing w:before="40" w:after="40"/>
              <w:ind w:firstLine="0"/>
              <w:rPr>
                <w:rFonts w:eastAsia="Calibri" w:cs="Times New Roman"/>
                <w:sz w:val="24"/>
                <w:szCs w:val="24"/>
              </w:rPr>
            </w:pPr>
            <w:r>
              <w:rPr>
                <w:rFonts w:eastAsia="Calibri" w:cs="Times New Roman"/>
                <w:sz w:val="24"/>
                <w:szCs w:val="24"/>
              </w:rPr>
              <w:t>SPCI</w:t>
            </w:r>
          </w:p>
        </w:tc>
        <w:tc>
          <w:tcPr>
            <w:tcW w:w="7938" w:type="dxa"/>
            <w:shd w:val="clear" w:color="auto" w:fill="auto"/>
          </w:tcPr>
          <w:p w14:paraId="487D89DA" w14:textId="5D48E600" w:rsidR="00DD30EB" w:rsidRPr="00163B62" w:rsidRDefault="00DD30EB" w:rsidP="00CE7515">
            <w:pPr>
              <w:tabs>
                <w:tab w:val="left" w:pos="1494"/>
              </w:tabs>
              <w:spacing w:before="40" w:after="40"/>
              <w:ind w:firstLine="0"/>
              <w:rPr>
                <w:rFonts w:eastAsia="Calibri" w:cs="Times New Roman"/>
                <w:sz w:val="24"/>
                <w:szCs w:val="24"/>
              </w:rPr>
            </w:pPr>
            <w:r>
              <w:rPr>
                <w:rFonts w:eastAsia="Calibri" w:cs="Times New Roman"/>
                <w:sz w:val="24"/>
                <w:szCs w:val="24"/>
              </w:rPr>
              <w:t>S</w:t>
            </w:r>
            <w:r w:rsidRPr="00DD30EB">
              <w:rPr>
                <w:rFonts w:eastAsia="Calibri" w:cs="Times New Roman"/>
                <w:sz w:val="24"/>
                <w:szCs w:val="24"/>
              </w:rPr>
              <w:t xml:space="preserve">askaņotais patēriņa cenu indekss </w:t>
            </w:r>
          </w:p>
        </w:tc>
      </w:tr>
      <w:tr w:rsidR="00CC4328" w:rsidRPr="00874664" w14:paraId="4E76BCFD" w14:textId="77777777" w:rsidTr="00085AFE">
        <w:trPr>
          <w:trHeight w:val="269"/>
        </w:trPr>
        <w:tc>
          <w:tcPr>
            <w:tcW w:w="1276" w:type="dxa"/>
            <w:shd w:val="clear" w:color="auto" w:fill="auto"/>
          </w:tcPr>
          <w:p w14:paraId="7975CA82" w14:textId="6721C048" w:rsidR="00CC4328" w:rsidRPr="008C2C03" w:rsidRDefault="00CC4328" w:rsidP="00CE7515">
            <w:pPr>
              <w:tabs>
                <w:tab w:val="left" w:pos="1494"/>
              </w:tabs>
              <w:spacing w:before="40" w:after="40"/>
              <w:ind w:firstLine="0"/>
              <w:rPr>
                <w:rFonts w:eastAsia="Calibri" w:cs="Times New Roman"/>
                <w:sz w:val="24"/>
                <w:szCs w:val="24"/>
              </w:rPr>
            </w:pPr>
            <w:r w:rsidRPr="008C2C03">
              <w:rPr>
                <w:rFonts w:eastAsia="Calibri" w:cs="Times New Roman"/>
                <w:sz w:val="24"/>
                <w:szCs w:val="20"/>
              </w:rPr>
              <w:t>SURE</w:t>
            </w:r>
          </w:p>
        </w:tc>
        <w:tc>
          <w:tcPr>
            <w:tcW w:w="7938" w:type="dxa"/>
            <w:shd w:val="clear" w:color="auto" w:fill="auto"/>
          </w:tcPr>
          <w:p w14:paraId="36E6C740" w14:textId="1A18555A" w:rsidR="00CC4328" w:rsidRPr="008C2C03" w:rsidRDefault="00CC4328" w:rsidP="00CE7515">
            <w:pPr>
              <w:tabs>
                <w:tab w:val="left" w:pos="1494"/>
              </w:tabs>
              <w:spacing w:before="40" w:after="40"/>
              <w:ind w:firstLine="0"/>
              <w:rPr>
                <w:rFonts w:eastAsia="Calibri" w:cs="Times New Roman"/>
                <w:sz w:val="24"/>
                <w:szCs w:val="24"/>
              </w:rPr>
            </w:pPr>
            <w:r w:rsidRPr="008C2C03">
              <w:rPr>
                <w:rFonts w:eastAsia="Calibri" w:cs="Times New Roman"/>
                <w:sz w:val="24"/>
                <w:szCs w:val="24"/>
              </w:rPr>
              <w:t>Atbalsta instruments bezdarba risku mazināšanai ārkārtas situācijā (</w:t>
            </w:r>
            <w:proofErr w:type="spellStart"/>
            <w:r w:rsidRPr="008C2C03">
              <w:rPr>
                <w:rFonts w:eastAsia="Calibri" w:cs="Times New Roman"/>
                <w:i/>
                <w:iCs/>
                <w:sz w:val="24"/>
                <w:szCs w:val="24"/>
              </w:rPr>
              <w:t>Support</w:t>
            </w:r>
            <w:proofErr w:type="spellEnd"/>
            <w:r w:rsidRPr="008C2C03">
              <w:rPr>
                <w:rFonts w:eastAsia="Calibri" w:cs="Times New Roman"/>
                <w:i/>
                <w:iCs/>
                <w:sz w:val="24"/>
                <w:szCs w:val="24"/>
              </w:rPr>
              <w:t xml:space="preserve"> to </w:t>
            </w:r>
            <w:proofErr w:type="spellStart"/>
            <w:r w:rsidRPr="008C2C03">
              <w:rPr>
                <w:rFonts w:eastAsia="Calibri" w:cs="Times New Roman"/>
                <w:i/>
                <w:iCs/>
                <w:sz w:val="24"/>
                <w:szCs w:val="24"/>
              </w:rPr>
              <w:t>mitigate</w:t>
            </w:r>
            <w:proofErr w:type="spellEnd"/>
            <w:r w:rsidRPr="008C2C03">
              <w:rPr>
                <w:rFonts w:eastAsia="Calibri" w:cs="Times New Roman"/>
                <w:i/>
                <w:iCs/>
                <w:sz w:val="24"/>
                <w:szCs w:val="24"/>
              </w:rPr>
              <w:t xml:space="preserve"> </w:t>
            </w:r>
            <w:proofErr w:type="spellStart"/>
            <w:r w:rsidRPr="008C2C03">
              <w:rPr>
                <w:rFonts w:eastAsia="Calibri" w:cs="Times New Roman"/>
                <w:i/>
                <w:iCs/>
                <w:sz w:val="24"/>
                <w:szCs w:val="24"/>
              </w:rPr>
              <w:t>Unemployment</w:t>
            </w:r>
            <w:proofErr w:type="spellEnd"/>
            <w:r w:rsidRPr="008C2C03">
              <w:rPr>
                <w:rFonts w:eastAsia="Calibri" w:cs="Times New Roman"/>
                <w:i/>
                <w:iCs/>
                <w:sz w:val="24"/>
                <w:szCs w:val="24"/>
              </w:rPr>
              <w:t xml:space="preserve"> Risks </w:t>
            </w:r>
            <w:proofErr w:type="spellStart"/>
            <w:r w:rsidRPr="008C2C03">
              <w:rPr>
                <w:rFonts w:eastAsia="Calibri" w:cs="Times New Roman"/>
                <w:i/>
                <w:iCs/>
                <w:sz w:val="24"/>
                <w:szCs w:val="24"/>
              </w:rPr>
              <w:t>in</w:t>
            </w:r>
            <w:proofErr w:type="spellEnd"/>
            <w:r w:rsidRPr="008C2C03">
              <w:rPr>
                <w:rFonts w:eastAsia="Calibri" w:cs="Times New Roman"/>
                <w:i/>
                <w:iCs/>
                <w:sz w:val="24"/>
                <w:szCs w:val="24"/>
              </w:rPr>
              <w:t xml:space="preserve"> </w:t>
            </w:r>
            <w:proofErr w:type="spellStart"/>
            <w:r w:rsidRPr="008C2C03">
              <w:rPr>
                <w:rFonts w:eastAsia="Calibri" w:cs="Times New Roman"/>
                <w:i/>
                <w:iCs/>
                <w:sz w:val="24"/>
                <w:szCs w:val="24"/>
              </w:rPr>
              <w:t>an</w:t>
            </w:r>
            <w:proofErr w:type="spellEnd"/>
            <w:r w:rsidRPr="008C2C03">
              <w:rPr>
                <w:rFonts w:eastAsia="Calibri" w:cs="Times New Roman"/>
                <w:i/>
                <w:iCs/>
                <w:sz w:val="24"/>
                <w:szCs w:val="24"/>
              </w:rPr>
              <w:t xml:space="preserve"> </w:t>
            </w:r>
            <w:proofErr w:type="spellStart"/>
            <w:r w:rsidRPr="008C2C03">
              <w:rPr>
                <w:rFonts w:eastAsia="Calibri" w:cs="Times New Roman"/>
                <w:i/>
                <w:iCs/>
                <w:sz w:val="24"/>
                <w:szCs w:val="24"/>
              </w:rPr>
              <w:t>Emergency</w:t>
            </w:r>
            <w:proofErr w:type="spellEnd"/>
            <w:r w:rsidRPr="008C2C03">
              <w:rPr>
                <w:rFonts w:eastAsia="Calibri" w:cs="Times New Roman"/>
                <w:sz w:val="24"/>
                <w:szCs w:val="24"/>
              </w:rPr>
              <w:t>)</w:t>
            </w:r>
          </w:p>
        </w:tc>
      </w:tr>
      <w:tr w:rsidR="00CC4328" w:rsidRPr="00874664" w14:paraId="4CE56067" w14:textId="77777777" w:rsidTr="00085AFE">
        <w:trPr>
          <w:trHeight w:val="269"/>
        </w:trPr>
        <w:tc>
          <w:tcPr>
            <w:tcW w:w="1276" w:type="dxa"/>
            <w:shd w:val="clear" w:color="auto" w:fill="auto"/>
          </w:tcPr>
          <w:p w14:paraId="2C0D65B8" w14:textId="39B18732" w:rsidR="00CC4328" w:rsidRPr="004D2C4E" w:rsidRDefault="00CC4328" w:rsidP="00CE7515">
            <w:pPr>
              <w:tabs>
                <w:tab w:val="left" w:pos="1494"/>
              </w:tabs>
              <w:spacing w:before="40" w:after="40"/>
              <w:ind w:firstLine="0"/>
              <w:rPr>
                <w:rFonts w:eastAsia="Calibri" w:cs="Times New Roman"/>
                <w:sz w:val="24"/>
                <w:szCs w:val="24"/>
              </w:rPr>
            </w:pPr>
            <w:r w:rsidRPr="004D2C4E">
              <w:rPr>
                <w:rFonts w:eastAsia="Calibri" w:cs="Times New Roman"/>
                <w:sz w:val="24"/>
                <w:szCs w:val="20"/>
              </w:rPr>
              <w:t>SVF</w:t>
            </w:r>
          </w:p>
        </w:tc>
        <w:tc>
          <w:tcPr>
            <w:tcW w:w="7938" w:type="dxa"/>
            <w:shd w:val="clear" w:color="auto" w:fill="auto"/>
          </w:tcPr>
          <w:p w14:paraId="190416A4" w14:textId="0A0DEBE1" w:rsidR="00CC4328" w:rsidRPr="004D2C4E" w:rsidRDefault="00CC4328" w:rsidP="00CE7515">
            <w:pPr>
              <w:tabs>
                <w:tab w:val="left" w:pos="1494"/>
              </w:tabs>
              <w:spacing w:before="40" w:after="40"/>
              <w:ind w:firstLine="0"/>
              <w:rPr>
                <w:rFonts w:eastAsia="Calibri" w:cs="Times New Roman"/>
                <w:sz w:val="24"/>
                <w:szCs w:val="24"/>
              </w:rPr>
            </w:pPr>
            <w:r w:rsidRPr="004D2C4E">
              <w:rPr>
                <w:rFonts w:eastAsia="Calibri" w:cs="Times New Roman"/>
                <w:sz w:val="24"/>
                <w:szCs w:val="24"/>
              </w:rPr>
              <w:t>Starptautiskais Valūtas fonds</w:t>
            </w:r>
          </w:p>
        </w:tc>
      </w:tr>
      <w:tr w:rsidR="00780F46" w:rsidRPr="00874664" w14:paraId="306E4099" w14:textId="77777777" w:rsidTr="00085AFE">
        <w:trPr>
          <w:trHeight w:val="269"/>
        </w:trPr>
        <w:tc>
          <w:tcPr>
            <w:tcW w:w="1276" w:type="dxa"/>
            <w:shd w:val="clear" w:color="auto" w:fill="auto"/>
          </w:tcPr>
          <w:p w14:paraId="77D7CFB1" w14:textId="17C15CB0" w:rsidR="00780F46" w:rsidRPr="00780F46" w:rsidRDefault="00780F46" w:rsidP="00CE7515">
            <w:pPr>
              <w:tabs>
                <w:tab w:val="left" w:pos="1494"/>
              </w:tabs>
              <w:spacing w:before="40" w:after="40"/>
              <w:ind w:firstLine="0"/>
              <w:rPr>
                <w:rFonts w:eastAsia="Calibri" w:cs="Times New Roman"/>
                <w:sz w:val="24"/>
                <w:szCs w:val="20"/>
              </w:rPr>
            </w:pPr>
            <w:r w:rsidRPr="00780F46">
              <w:rPr>
                <w:rFonts w:eastAsia="Calibri" w:cs="Times New Roman"/>
                <w:sz w:val="24"/>
                <w:szCs w:val="20"/>
              </w:rPr>
              <w:t>UIN</w:t>
            </w:r>
          </w:p>
        </w:tc>
        <w:tc>
          <w:tcPr>
            <w:tcW w:w="7938" w:type="dxa"/>
            <w:shd w:val="clear" w:color="auto" w:fill="auto"/>
          </w:tcPr>
          <w:p w14:paraId="2D47A413" w14:textId="65A8ED36" w:rsidR="00780F46" w:rsidRPr="00874664" w:rsidRDefault="00780F46" w:rsidP="00CE7515">
            <w:pPr>
              <w:tabs>
                <w:tab w:val="left" w:pos="1494"/>
              </w:tabs>
              <w:spacing w:before="40" w:after="40"/>
              <w:ind w:firstLine="0"/>
              <w:rPr>
                <w:rFonts w:eastAsia="Calibri" w:cs="Times New Roman"/>
                <w:sz w:val="24"/>
                <w:szCs w:val="24"/>
                <w:highlight w:val="lightGray"/>
              </w:rPr>
            </w:pPr>
            <w:r w:rsidRPr="00780F46">
              <w:rPr>
                <w:rFonts w:eastAsia="Calibri" w:cs="Times New Roman"/>
                <w:sz w:val="24"/>
                <w:szCs w:val="24"/>
              </w:rPr>
              <w:t>Uzņēmuma ienākuma nodoklis</w:t>
            </w:r>
          </w:p>
        </w:tc>
      </w:tr>
      <w:tr w:rsidR="00CC4328" w:rsidRPr="00874664" w14:paraId="3AF2DEE2" w14:textId="77777777" w:rsidTr="00085AFE">
        <w:trPr>
          <w:trHeight w:val="269"/>
        </w:trPr>
        <w:tc>
          <w:tcPr>
            <w:tcW w:w="1276" w:type="dxa"/>
            <w:shd w:val="clear" w:color="auto" w:fill="auto"/>
          </w:tcPr>
          <w:p w14:paraId="16B02C8F" w14:textId="5EED1567" w:rsidR="00CC4328" w:rsidRPr="00AA2636" w:rsidRDefault="00CC4328"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VID</w:t>
            </w:r>
          </w:p>
        </w:tc>
        <w:tc>
          <w:tcPr>
            <w:tcW w:w="7938" w:type="dxa"/>
            <w:shd w:val="clear" w:color="auto" w:fill="auto"/>
          </w:tcPr>
          <w:p w14:paraId="7FAA14F4" w14:textId="637210CB" w:rsidR="00CC4328" w:rsidRPr="00AA2636" w:rsidRDefault="00CC4328"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Valsts ieņēmumu dienests</w:t>
            </w:r>
          </w:p>
        </w:tc>
      </w:tr>
      <w:tr w:rsidR="00CC4328" w:rsidRPr="00874664" w14:paraId="1379FE81" w14:textId="77777777" w:rsidTr="00085AFE">
        <w:trPr>
          <w:trHeight w:val="269"/>
        </w:trPr>
        <w:tc>
          <w:tcPr>
            <w:tcW w:w="1276" w:type="dxa"/>
            <w:shd w:val="clear" w:color="auto" w:fill="auto"/>
          </w:tcPr>
          <w:p w14:paraId="513FA404" w14:textId="2229F9A3" w:rsidR="00CC4328" w:rsidRPr="00AA2636" w:rsidRDefault="00CC4328"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VK</w:t>
            </w:r>
          </w:p>
        </w:tc>
        <w:tc>
          <w:tcPr>
            <w:tcW w:w="7938" w:type="dxa"/>
            <w:shd w:val="clear" w:color="auto" w:fill="auto"/>
          </w:tcPr>
          <w:p w14:paraId="1184172E" w14:textId="15972627" w:rsidR="00CC4328" w:rsidRPr="00AA2636" w:rsidRDefault="00CC4328"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Valsts kase</w:t>
            </w:r>
          </w:p>
        </w:tc>
      </w:tr>
      <w:tr w:rsidR="00CC4328" w:rsidRPr="00874664" w14:paraId="42D3D2EB" w14:textId="77777777" w:rsidTr="00085AFE">
        <w:trPr>
          <w:trHeight w:val="269"/>
        </w:trPr>
        <w:tc>
          <w:tcPr>
            <w:tcW w:w="1276" w:type="dxa"/>
            <w:shd w:val="clear" w:color="auto" w:fill="auto"/>
          </w:tcPr>
          <w:p w14:paraId="2A575688" w14:textId="5AA56C0B" w:rsidR="00CC4328" w:rsidRPr="00AA2636" w:rsidRDefault="00AA2636" w:rsidP="00CE7515">
            <w:pPr>
              <w:tabs>
                <w:tab w:val="left" w:pos="1494"/>
              </w:tabs>
              <w:spacing w:before="40" w:after="40"/>
              <w:ind w:firstLine="0"/>
              <w:rPr>
                <w:rFonts w:eastAsia="Calibri" w:cs="Times New Roman"/>
                <w:sz w:val="24"/>
                <w:szCs w:val="24"/>
              </w:rPr>
            </w:pPr>
            <w:r w:rsidRPr="00AA2636">
              <w:rPr>
                <w:rFonts w:eastAsia="Calibri" w:cs="Times New Roman"/>
                <w:sz w:val="24"/>
                <w:szCs w:val="24"/>
              </w:rPr>
              <w:t>VSAA</w:t>
            </w:r>
          </w:p>
        </w:tc>
        <w:tc>
          <w:tcPr>
            <w:tcW w:w="7938" w:type="dxa"/>
            <w:shd w:val="clear" w:color="auto" w:fill="auto"/>
          </w:tcPr>
          <w:p w14:paraId="739F56DA" w14:textId="1ABAE4C0" w:rsidR="00CC4328" w:rsidRPr="00AA2636" w:rsidRDefault="00AA2636" w:rsidP="00CE7515">
            <w:pPr>
              <w:tabs>
                <w:tab w:val="left" w:pos="1494"/>
              </w:tabs>
              <w:spacing w:before="40" w:after="40"/>
              <w:ind w:firstLine="0"/>
              <w:rPr>
                <w:rFonts w:eastAsia="Times New Roman" w:cs="Times New Roman"/>
                <w:color w:val="000000"/>
                <w:sz w:val="24"/>
                <w:szCs w:val="28"/>
              </w:rPr>
            </w:pPr>
            <w:r w:rsidRPr="00AA2636">
              <w:rPr>
                <w:rFonts w:eastAsia="Times New Roman" w:cs="Times New Roman"/>
                <w:color w:val="000000"/>
                <w:sz w:val="24"/>
                <w:szCs w:val="28"/>
              </w:rPr>
              <w:t>Valsts sociālās apdrošināšanas aģentūras</w:t>
            </w:r>
          </w:p>
        </w:tc>
      </w:tr>
    </w:tbl>
    <w:p w14:paraId="2E33762B" w14:textId="6C8ABDB9" w:rsidR="00BF4753" w:rsidRPr="009A04C3" w:rsidRDefault="00CF68A1" w:rsidP="00346F1D">
      <w:pPr>
        <w:pStyle w:val="Heading1"/>
        <w:spacing w:before="0" w:after="360"/>
        <w:rPr>
          <w:sz w:val="32"/>
          <w:szCs w:val="32"/>
        </w:rPr>
      </w:pPr>
      <w:bookmarkStart w:id="0" w:name="_Toc164679813"/>
      <w:bookmarkStart w:id="1" w:name="_Toc510790651"/>
      <w:bookmarkStart w:id="2" w:name="_Toc5627361"/>
      <w:r>
        <w:rPr>
          <w:sz w:val="32"/>
          <w:szCs w:val="32"/>
        </w:rPr>
        <w:lastRenderedPageBreak/>
        <w:t xml:space="preserve">1. </w:t>
      </w:r>
      <w:r w:rsidR="00714AAE" w:rsidRPr="009A04C3">
        <w:rPr>
          <w:sz w:val="32"/>
          <w:szCs w:val="32"/>
        </w:rPr>
        <w:t>Ievads</w:t>
      </w:r>
      <w:bookmarkEnd w:id="0"/>
    </w:p>
    <w:p w14:paraId="55937662" w14:textId="4675B337" w:rsidR="00F4488A" w:rsidRDefault="00F4488A" w:rsidP="00346F1D">
      <w:pPr>
        <w:spacing w:before="120" w:after="60"/>
        <w:rPr>
          <w:sz w:val="24"/>
          <w:szCs w:val="24"/>
          <w:lang w:eastAsia="lv-LV"/>
        </w:rPr>
      </w:pPr>
      <w:r w:rsidRPr="00B4106A">
        <w:rPr>
          <w:sz w:val="24"/>
          <w:szCs w:val="24"/>
          <w:lang w:eastAsia="lv-LV"/>
        </w:rPr>
        <w:t>Latvijas Stabilitātes programma 202</w:t>
      </w:r>
      <w:r w:rsidR="00B4106A" w:rsidRPr="00B4106A">
        <w:rPr>
          <w:sz w:val="24"/>
          <w:szCs w:val="24"/>
          <w:lang w:eastAsia="lv-LV"/>
        </w:rPr>
        <w:t>4</w:t>
      </w:r>
      <w:r w:rsidRPr="00B4106A">
        <w:rPr>
          <w:sz w:val="24"/>
          <w:szCs w:val="24"/>
          <w:lang w:eastAsia="lv-LV"/>
        </w:rPr>
        <w:t>.</w:t>
      </w:r>
      <w:r w:rsidR="00B4106A" w:rsidRPr="00B4106A">
        <w:rPr>
          <w:sz w:val="24"/>
          <w:szCs w:val="24"/>
          <w:lang w:eastAsia="lv-LV"/>
        </w:rPr>
        <w:t xml:space="preserve"> – </w:t>
      </w:r>
      <w:r w:rsidRPr="00B4106A">
        <w:rPr>
          <w:sz w:val="24"/>
          <w:szCs w:val="24"/>
          <w:lang w:eastAsia="lv-LV"/>
        </w:rPr>
        <w:t>202</w:t>
      </w:r>
      <w:r w:rsidR="00B4106A" w:rsidRPr="00B4106A">
        <w:rPr>
          <w:sz w:val="24"/>
          <w:szCs w:val="24"/>
          <w:lang w:eastAsia="lv-LV"/>
        </w:rPr>
        <w:t>8</w:t>
      </w:r>
      <w:r w:rsidRPr="00B4106A">
        <w:rPr>
          <w:sz w:val="24"/>
          <w:szCs w:val="24"/>
          <w:lang w:eastAsia="lv-LV"/>
        </w:rPr>
        <w:t xml:space="preserve">. gadam ir izstrādāta vadoties pēc Stabilitātes un izaugsmes </w:t>
      </w:r>
      <w:proofErr w:type="spellStart"/>
      <w:r w:rsidRPr="00B4106A">
        <w:rPr>
          <w:sz w:val="24"/>
          <w:szCs w:val="24"/>
          <w:lang w:eastAsia="lv-LV"/>
        </w:rPr>
        <w:t>pakta</w:t>
      </w:r>
      <w:proofErr w:type="spellEnd"/>
      <w:r w:rsidRPr="00B4106A">
        <w:rPr>
          <w:sz w:val="24"/>
          <w:szCs w:val="24"/>
          <w:lang w:eastAsia="lv-LV"/>
        </w:rPr>
        <w:t xml:space="preserve"> ieviešanas nosacījumiem un vadlīnijām, un tiek sagatavota saskaņā ar ES Padomes 1997. gada 7. jūlija Regulas (EK) Nr. 1466/97 par budžeta stāvokļa uzraudzības un ekonomikas politikas uzraudzības un koordinācijas stiprināšanu prasībām.</w:t>
      </w:r>
    </w:p>
    <w:p w14:paraId="20CEFE49" w14:textId="0F794CD2" w:rsidR="00DB262C" w:rsidRDefault="00EF047E" w:rsidP="00346F1D">
      <w:pPr>
        <w:spacing w:after="60"/>
        <w:rPr>
          <w:sz w:val="24"/>
          <w:szCs w:val="24"/>
          <w:lang w:eastAsia="lv-LV"/>
        </w:rPr>
      </w:pPr>
      <w:r>
        <w:rPr>
          <w:sz w:val="24"/>
          <w:szCs w:val="24"/>
          <w:lang w:eastAsia="lv-LV"/>
        </w:rPr>
        <w:t xml:space="preserve">Šī Stabilitātes programma ir pēdējā, ko Latvija gatavo un iesniedz </w:t>
      </w:r>
      <w:r w:rsidR="0009119F">
        <w:rPr>
          <w:sz w:val="24"/>
          <w:szCs w:val="24"/>
          <w:lang w:eastAsia="lv-LV"/>
        </w:rPr>
        <w:t>Eiropas Komisijai (</w:t>
      </w:r>
      <w:r w:rsidR="00CE262D">
        <w:rPr>
          <w:sz w:val="24"/>
          <w:szCs w:val="24"/>
          <w:lang w:eastAsia="lv-LV"/>
        </w:rPr>
        <w:t>EK</w:t>
      </w:r>
      <w:r w:rsidR="0009119F">
        <w:rPr>
          <w:sz w:val="24"/>
          <w:szCs w:val="24"/>
          <w:lang w:eastAsia="lv-LV"/>
        </w:rPr>
        <w:t>)</w:t>
      </w:r>
      <w:r>
        <w:rPr>
          <w:sz w:val="24"/>
          <w:szCs w:val="24"/>
          <w:lang w:eastAsia="lv-LV"/>
        </w:rPr>
        <w:t xml:space="preserve">. Prognozēts, ka no </w:t>
      </w:r>
      <w:r w:rsidR="00120A91">
        <w:rPr>
          <w:sz w:val="24"/>
          <w:szCs w:val="24"/>
          <w:lang w:eastAsia="lv-LV"/>
        </w:rPr>
        <w:t>2024. gada</w:t>
      </w:r>
      <w:r>
        <w:rPr>
          <w:sz w:val="24"/>
          <w:szCs w:val="24"/>
          <w:lang w:eastAsia="lv-LV"/>
        </w:rPr>
        <w:t xml:space="preserve"> maija stāsies spēkā jaunais ES fiskālās politikas regulējums, kas vairs neparedz Stabilitātes programmas un Nacionālās reformu programmas sagatavošanu. Tā vietā reizi </w:t>
      </w:r>
      <w:r w:rsidR="00DB262C">
        <w:rPr>
          <w:sz w:val="24"/>
          <w:szCs w:val="24"/>
          <w:lang w:eastAsia="lv-LV"/>
        </w:rPr>
        <w:t>četros gados tiks gatavots Fiskāli strukturālais plāns</w:t>
      </w:r>
      <w:r w:rsidR="00C95B68">
        <w:rPr>
          <w:sz w:val="24"/>
          <w:szCs w:val="24"/>
          <w:lang w:eastAsia="lv-LV"/>
        </w:rPr>
        <w:t xml:space="preserve"> (FSP)</w:t>
      </w:r>
      <w:r w:rsidR="00DB262C">
        <w:rPr>
          <w:sz w:val="24"/>
          <w:szCs w:val="24"/>
          <w:lang w:eastAsia="lv-LV"/>
        </w:rPr>
        <w:t xml:space="preserve">. Pirmais </w:t>
      </w:r>
      <w:r w:rsidR="00C95B68">
        <w:rPr>
          <w:sz w:val="24"/>
          <w:szCs w:val="24"/>
          <w:lang w:eastAsia="lv-LV"/>
        </w:rPr>
        <w:t>FSP</w:t>
      </w:r>
      <w:r w:rsidR="00DB262C">
        <w:rPr>
          <w:sz w:val="24"/>
          <w:szCs w:val="24"/>
          <w:lang w:eastAsia="lv-LV"/>
        </w:rPr>
        <w:t xml:space="preserve"> tiks </w:t>
      </w:r>
      <w:r w:rsidR="006D6DB8">
        <w:rPr>
          <w:sz w:val="24"/>
          <w:szCs w:val="24"/>
          <w:lang w:eastAsia="lv-LV"/>
        </w:rPr>
        <w:t>sa</w:t>
      </w:r>
      <w:r w:rsidR="00DB262C">
        <w:rPr>
          <w:sz w:val="24"/>
          <w:szCs w:val="24"/>
          <w:lang w:eastAsia="lv-LV"/>
        </w:rPr>
        <w:t xml:space="preserve">gatavots </w:t>
      </w:r>
      <w:r w:rsidR="00C95B68">
        <w:rPr>
          <w:sz w:val="24"/>
          <w:szCs w:val="24"/>
          <w:lang w:eastAsia="lv-LV"/>
        </w:rPr>
        <w:t xml:space="preserve">jau </w:t>
      </w:r>
      <w:r w:rsidR="00DB262C">
        <w:rPr>
          <w:sz w:val="24"/>
          <w:szCs w:val="24"/>
          <w:lang w:eastAsia="lv-LV"/>
        </w:rPr>
        <w:t xml:space="preserve">šogad un iesniegts </w:t>
      </w:r>
      <w:r w:rsidR="00CE262D">
        <w:rPr>
          <w:sz w:val="24"/>
          <w:szCs w:val="24"/>
          <w:lang w:eastAsia="lv-LV"/>
        </w:rPr>
        <w:t>EK</w:t>
      </w:r>
      <w:r w:rsidR="00DB262C">
        <w:rPr>
          <w:sz w:val="24"/>
          <w:szCs w:val="24"/>
          <w:lang w:eastAsia="lv-LV"/>
        </w:rPr>
        <w:t xml:space="preserve"> 15. oktobrī kopā ar </w:t>
      </w:r>
      <w:r w:rsidR="00C95B68">
        <w:rPr>
          <w:sz w:val="24"/>
          <w:szCs w:val="24"/>
          <w:lang w:eastAsia="lv-LV"/>
        </w:rPr>
        <w:t xml:space="preserve">Vispārējās valdības </w:t>
      </w:r>
      <w:r w:rsidR="00DB262C">
        <w:rPr>
          <w:sz w:val="24"/>
          <w:szCs w:val="24"/>
          <w:lang w:eastAsia="lv-LV"/>
        </w:rPr>
        <w:t>budžeta plān</w:t>
      </w:r>
      <w:r w:rsidR="00C95B68">
        <w:rPr>
          <w:sz w:val="24"/>
          <w:szCs w:val="24"/>
          <w:lang w:eastAsia="lv-LV"/>
        </w:rPr>
        <w:t>a projektu 2025. gadam</w:t>
      </w:r>
      <w:r w:rsidR="00DB262C">
        <w:rPr>
          <w:sz w:val="24"/>
          <w:szCs w:val="24"/>
          <w:lang w:eastAsia="lv-LV"/>
        </w:rPr>
        <w:t>. Līdz ar to šī Stabilitātes programma tiek sagatavota pārejas periodā, kad spēkā ir esošais fiskālās politikas tiesiskais regulējums, bet jau tuvākajā laikā tas būtiski mainīsies.</w:t>
      </w:r>
    </w:p>
    <w:p w14:paraId="4036BD6C" w14:textId="4BAE660B" w:rsidR="00EF047E" w:rsidRDefault="00DB262C" w:rsidP="00346F1D">
      <w:pPr>
        <w:spacing w:after="60"/>
        <w:rPr>
          <w:sz w:val="24"/>
          <w:szCs w:val="24"/>
          <w:lang w:eastAsia="lv-LV"/>
        </w:rPr>
      </w:pPr>
      <w:r>
        <w:rPr>
          <w:sz w:val="24"/>
          <w:szCs w:val="24"/>
          <w:lang w:eastAsia="lv-LV"/>
        </w:rPr>
        <w:t xml:space="preserve">Līdz šim Stabilitātes programma tika gatavota kā šā brīža makroekonomisko un fiskālo prognožu “fotouzņēmums” un deficīta mērķi un fiskālā telpa tika noteikta pēc spēkā esošajiem fiskālajiem nosacījumiem. Šoreiz Stabilitātes programma ir sagatavota, pēc iespējas ietverot arī   jaunā ES tiesiskā regulējuma </w:t>
      </w:r>
      <w:r w:rsidR="006D6DB8">
        <w:rPr>
          <w:sz w:val="24"/>
          <w:szCs w:val="24"/>
          <w:lang w:eastAsia="lv-LV"/>
        </w:rPr>
        <w:t xml:space="preserve">fiskālos </w:t>
      </w:r>
      <w:r>
        <w:rPr>
          <w:sz w:val="24"/>
          <w:szCs w:val="24"/>
          <w:lang w:eastAsia="lv-LV"/>
        </w:rPr>
        <w:t>nosacījumus. Pirmkārt, tas izdarīts</w:t>
      </w:r>
      <w:r w:rsidR="00B46E50">
        <w:rPr>
          <w:sz w:val="24"/>
          <w:szCs w:val="24"/>
          <w:lang w:eastAsia="lv-LV"/>
        </w:rPr>
        <w:t xml:space="preserve">, pagarinot Stabilitātes programmas prognozēšanas periodu no trim gadiem uz četriem gadiem, tādā veidā to harmonizējot ar </w:t>
      </w:r>
      <w:r w:rsidR="00C95B68">
        <w:rPr>
          <w:sz w:val="24"/>
          <w:szCs w:val="24"/>
          <w:lang w:eastAsia="lv-LV"/>
        </w:rPr>
        <w:t xml:space="preserve"> pirmā FSP</w:t>
      </w:r>
      <w:r w:rsidR="00B46E50">
        <w:rPr>
          <w:sz w:val="24"/>
          <w:szCs w:val="24"/>
          <w:lang w:eastAsia="lv-LV"/>
        </w:rPr>
        <w:t xml:space="preserve"> periodu no 2025. gada līdz 2028. gadam. Otrkārt, tas izdarīts, fiskālos mērķus aprēķinot ne tikai atbilstoši </w:t>
      </w:r>
      <w:r w:rsidR="00FD0599">
        <w:rPr>
          <w:sz w:val="24"/>
          <w:szCs w:val="24"/>
          <w:lang w:eastAsia="lv-LV"/>
        </w:rPr>
        <w:t>Fiskālās disciplīnas likumam (</w:t>
      </w:r>
      <w:r w:rsidR="00B46E50">
        <w:rPr>
          <w:sz w:val="24"/>
          <w:szCs w:val="24"/>
          <w:lang w:eastAsia="lv-LV"/>
        </w:rPr>
        <w:t>FDL</w:t>
      </w:r>
      <w:r w:rsidR="00FD0599">
        <w:rPr>
          <w:sz w:val="24"/>
          <w:szCs w:val="24"/>
          <w:lang w:eastAsia="lv-LV"/>
        </w:rPr>
        <w:t>)</w:t>
      </w:r>
      <w:r w:rsidR="00B46E50">
        <w:rPr>
          <w:sz w:val="24"/>
          <w:szCs w:val="24"/>
          <w:lang w:eastAsia="lv-LV"/>
        </w:rPr>
        <w:t xml:space="preserve"> nosacījumiem, bet arī saskaņā ar jaunajiem ES fiskālajiem nosacījumiem. Līdz ar to šī Stabilitātes programmas ne tikai atspoguļo makroekon</w:t>
      </w:r>
      <w:r w:rsidR="00C95B68">
        <w:rPr>
          <w:sz w:val="24"/>
          <w:szCs w:val="24"/>
          <w:lang w:eastAsia="lv-LV"/>
        </w:rPr>
        <w:t>o</w:t>
      </w:r>
      <w:r w:rsidR="00B46E50">
        <w:rPr>
          <w:sz w:val="24"/>
          <w:szCs w:val="24"/>
          <w:lang w:eastAsia="lv-LV"/>
        </w:rPr>
        <w:t xml:space="preserve">miskās un fiskālās prognozes pie nemainīgas politikas, bet arī </w:t>
      </w:r>
      <w:r w:rsidR="00C95B68">
        <w:rPr>
          <w:sz w:val="24"/>
          <w:szCs w:val="24"/>
          <w:lang w:eastAsia="lv-LV"/>
        </w:rPr>
        <w:t>sniedz</w:t>
      </w:r>
      <w:r w:rsidR="00B46E50">
        <w:rPr>
          <w:sz w:val="24"/>
          <w:szCs w:val="24"/>
          <w:lang w:eastAsia="lv-LV"/>
        </w:rPr>
        <w:t xml:space="preserve"> informāciju par galvenajiem fiskālajiem rādītājiem </w:t>
      </w:r>
      <w:r w:rsidR="00C95B68">
        <w:rPr>
          <w:sz w:val="24"/>
          <w:szCs w:val="24"/>
          <w:lang w:eastAsia="lv-LV"/>
        </w:rPr>
        <w:t>FSP</w:t>
      </w:r>
      <w:r w:rsidR="00B46E50">
        <w:rPr>
          <w:sz w:val="24"/>
          <w:szCs w:val="24"/>
          <w:lang w:eastAsia="lv-LV"/>
        </w:rPr>
        <w:t xml:space="preserve">. Tāpat, Stabilitātes programma kalpos par vērtīgu informatīvu materiālu sarunās ar </w:t>
      </w:r>
      <w:r w:rsidR="00FD0599">
        <w:rPr>
          <w:sz w:val="24"/>
          <w:szCs w:val="24"/>
          <w:lang w:eastAsia="lv-LV"/>
        </w:rPr>
        <w:t>EK</w:t>
      </w:r>
      <w:r w:rsidR="00B46E50">
        <w:rPr>
          <w:sz w:val="24"/>
          <w:szCs w:val="24"/>
          <w:lang w:eastAsia="lv-LV"/>
        </w:rPr>
        <w:t xml:space="preserve"> par Latvijas </w:t>
      </w:r>
      <w:r w:rsidR="00C95B68">
        <w:rPr>
          <w:sz w:val="24"/>
          <w:szCs w:val="24"/>
          <w:lang w:eastAsia="lv-LV"/>
        </w:rPr>
        <w:t>FSP</w:t>
      </w:r>
      <w:r w:rsidR="00B46E50">
        <w:rPr>
          <w:sz w:val="24"/>
          <w:szCs w:val="24"/>
          <w:lang w:eastAsia="lv-LV"/>
        </w:rPr>
        <w:t xml:space="preserve"> 2025.</w:t>
      </w:r>
      <w:r w:rsidR="00FD0599">
        <w:rPr>
          <w:sz w:val="24"/>
          <w:szCs w:val="24"/>
          <w:lang w:eastAsia="lv-LV"/>
        </w:rPr>
        <w:t xml:space="preserve"> – </w:t>
      </w:r>
      <w:r w:rsidR="00B46E50">
        <w:rPr>
          <w:sz w:val="24"/>
          <w:szCs w:val="24"/>
          <w:lang w:eastAsia="lv-LV"/>
        </w:rPr>
        <w:t xml:space="preserve">2028. gada periodam.    </w:t>
      </w:r>
      <w:r>
        <w:rPr>
          <w:sz w:val="24"/>
          <w:szCs w:val="24"/>
          <w:lang w:eastAsia="lv-LV"/>
        </w:rPr>
        <w:t xml:space="preserve">  </w:t>
      </w:r>
    </w:p>
    <w:p w14:paraId="7F8D38F2" w14:textId="72C4DB48" w:rsidR="00A751E0" w:rsidRPr="00CF68A1" w:rsidRDefault="004624A8" w:rsidP="00346F1D">
      <w:pPr>
        <w:spacing w:after="60"/>
        <w:rPr>
          <w:sz w:val="24"/>
          <w:szCs w:val="24"/>
          <w:lang w:eastAsia="lv-LV"/>
        </w:rPr>
      </w:pPr>
      <w:r w:rsidRPr="00CF68A1">
        <w:rPr>
          <w:sz w:val="24"/>
          <w:szCs w:val="24"/>
          <w:lang w:eastAsia="lv-LV"/>
        </w:rPr>
        <w:t xml:space="preserve">2024. gads raksturojas ar izaugsmes atjaunošanos, inflācijas strauju samazināšanos, energoresursu cenu stabilizēšanos, </w:t>
      </w:r>
      <w:r w:rsidR="00CB729A" w:rsidRPr="00CF68A1">
        <w:rPr>
          <w:sz w:val="24"/>
          <w:szCs w:val="24"/>
          <w:lang w:eastAsia="lv-LV"/>
        </w:rPr>
        <w:t xml:space="preserve">noturīgu darba tirgu un kopumā norāda uz valsts ekonomikas noturību pret ārējiem ekonomiskajiem šokiem. Par noturību var runāt arī fiskālajā politikā. Lai arī vispārējās valdības budžeta deficīts ir tuvu 3% </w:t>
      </w:r>
      <w:r w:rsidR="00C95B68">
        <w:rPr>
          <w:sz w:val="24"/>
          <w:szCs w:val="24"/>
          <w:lang w:eastAsia="lv-LV"/>
        </w:rPr>
        <w:t xml:space="preserve">no </w:t>
      </w:r>
      <w:r w:rsidR="00545931">
        <w:rPr>
          <w:sz w:val="24"/>
          <w:szCs w:val="24"/>
          <w:lang w:eastAsia="lv-LV"/>
        </w:rPr>
        <w:t>iekšzemes kopprodukta (</w:t>
      </w:r>
      <w:r w:rsidR="00C95B68">
        <w:rPr>
          <w:sz w:val="24"/>
          <w:szCs w:val="24"/>
          <w:lang w:eastAsia="lv-LV"/>
        </w:rPr>
        <w:t>IKP</w:t>
      </w:r>
      <w:r w:rsidR="00545931">
        <w:rPr>
          <w:sz w:val="24"/>
          <w:szCs w:val="24"/>
          <w:lang w:eastAsia="lv-LV"/>
        </w:rPr>
        <w:t>)</w:t>
      </w:r>
      <w:r w:rsidR="00C95B68">
        <w:rPr>
          <w:sz w:val="24"/>
          <w:szCs w:val="24"/>
          <w:lang w:eastAsia="lv-LV"/>
        </w:rPr>
        <w:t xml:space="preserve"> </w:t>
      </w:r>
      <w:r w:rsidR="00CB729A" w:rsidRPr="00CF68A1">
        <w:rPr>
          <w:sz w:val="24"/>
          <w:szCs w:val="24"/>
          <w:lang w:eastAsia="lv-LV"/>
        </w:rPr>
        <w:t>robežai, lielāko</w:t>
      </w:r>
      <w:r w:rsidR="006D6DB8">
        <w:rPr>
          <w:sz w:val="24"/>
          <w:szCs w:val="24"/>
          <w:lang w:eastAsia="lv-LV"/>
        </w:rPr>
        <w:t xml:space="preserve"> tā</w:t>
      </w:r>
      <w:r w:rsidR="00CB729A" w:rsidRPr="00CF68A1">
        <w:rPr>
          <w:sz w:val="24"/>
          <w:szCs w:val="24"/>
          <w:lang w:eastAsia="lv-LV"/>
        </w:rPr>
        <w:t xml:space="preserve"> daļu veido ar valsts iekšējo un ārējo drošību saistītie vienreizējie izdevumi. Strukturālais deficīts ir tuvu 0,5% no IKP robežai un tāpēc valsts parāds ir ilgtspējīgs. Diemžēl, investīcijas </w:t>
      </w:r>
      <w:r w:rsidR="006D6DB8" w:rsidRPr="00CF68A1">
        <w:rPr>
          <w:sz w:val="24"/>
          <w:szCs w:val="24"/>
          <w:lang w:eastAsia="lv-LV"/>
        </w:rPr>
        <w:t>iekšēj</w:t>
      </w:r>
      <w:r w:rsidR="006D6DB8">
        <w:rPr>
          <w:sz w:val="24"/>
          <w:szCs w:val="24"/>
          <w:lang w:eastAsia="lv-LV"/>
        </w:rPr>
        <w:t>ās</w:t>
      </w:r>
      <w:r w:rsidR="006D6DB8" w:rsidRPr="00CF68A1">
        <w:rPr>
          <w:sz w:val="24"/>
          <w:szCs w:val="24"/>
          <w:lang w:eastAsia="lv-LV"/>
        </w:rPr>
        <w:t xml:space="preserve"> un ārēj</w:t>
      </w:r>
      <w:r w:rsidR="006D6DB8">
        <w:rPr>
          <w:sz w:val="24"/>
          <w:szCs w:val="24"/>
          <w:lang w:eastAsia="lv-LV"/>
        </w:rPr>
        <w:t>ās</w:t>
      </w:r>
      <w:r w:rsidR="006D6DB8" w:rsidRPr="00CF68A1">
        <w:rPr>
          <w:sz w:val="24"/>
          <w:szCs w:val="24"/>
          <w:lang w:eastAsia="lv-LV"/>
        </w:rPr>
        <w:t xml:space="preserve"> drošīb</w:t>
      </w:r>
      <w:r w:rsidR="006D6DB8">
        <w:rPr>
          <w:sz w:val="24"/>
          <w:szCs w:val="24"/>
          <w:lang w:eastAsia="lv-LV"/>
        </w:rPr>
        <w:t>as</w:t>
      </w:r>
      <w:r w:rsidR="00CB729A" w:rsidRPr="00CF68A1">
        <w:rPr>
          <w:sz w:val="24"/>
          <w:szCs w:val="24"/>
          <w:lang w:eastAsia="lv-LV"/>
        </w:rPr>
        <w:t xml:space="preserve"> jomā ir nepieciešamas – gan lai nodrošinātu valsts iedzīvotāju drošību, gan </w:t>
      </w:r>
      <w:r w:rsidR="00C95B68">
        <w:rPr>
          <w:sz w:val="24"/>
          <w:szCs w:val="24"/>
          <w:lang w:eastAsia="lv-LV"/>
        </w:rPr>
        <w:t xml:space="preserve">lai </w:t>
      </w:r>
      <w:r w:rsidR="00CB729A" w:rsidRPr="00CF68A1">
        <w:rPr>
          <w:sz w:val="24"/>
          <w:szCs w:val="24"/>
          <w:lang w:eastAsia="lv-LV"/>
        </w:rPr>
        <w:t xml:space="preserve">radītu nepieciešamos apstākļus ekonomikas attīstībai.   </w:t>
      </w:r>
      <w:r w:rsidRPr="00CF68A1">
        <w:rPr>
          <w:sz w:val="24"/>
          <w:szCs w:val="24"/>
          <w:lang w:eastAsia="lv-LV"/>
        </w:rPr>
        <w:t xml:space="preserve"> </w:t>
      </w:r>
    </w:p>
    <w:p w14:paraId="16CAB7F9" w14:textId="3CD98A5C" w:rsidR="00A751E0" w:rsidRPr="00CB729A" w:rsidRDefault="00A751E0" w:rsidP="00346F1D">
      <w:pPr>
        <w:spacing w:after="60"/>
        <w:rPr>
          <w:sz w:val="24"/>
          <w:szCs w:val="24"/>
          <w:lang w:eastAsia="lv-LV"/>
        </w:rPr>
      </w:pPr>
      <w:r w:rsidRPr="00CF68A1">
        <w:rPr>
          <w:sz w:val="24"/>
          <w:szCs w:val="24"/>
          <w:lang w:eastAsia="lv-LV"/>
        </w:rPr>
        <w:t xml:space="preserve">Saskaņā </w:t>
      </w:r>
      <w:r w:rsidR="00FD0599">
        <w:rPr>
          <w:sz w:val="24"/>
          <w:szCs w:val="24"/>
          <w:lang w:eastAsia="lv-LV"/>
        </w:rPr>
        <w:t xml:space="preserve">ar </w:t>
      </w:r>
      <w:r w:rsidRPr="00CF68A1">
        <w:rPr>
          <w:sz w:val="24"/>
          <w:szCs w:val="24"/>
          <w:lang w:eastAsia="lv-LV"/>
        </w:rPr>
        <w:t>2024. gada februāra prognozi Latvijas IKP 2024. gadā palielināsies par 1,4%, bet 2025. gadā gaidāma ekonomikas izaugsmes paātrināšanās līdz 2,9%. IKP pieauguma prognoze 2024. gadam ir samazināta par 1,1 procentpunktu, bet 2025. gadam prognoze nav mainīta. Nākamajos trīs gados ekonomikas izaugsme nedaudz palēnināsies, 2026. gadā veidojot 2,5% un līdz 2028. gadam palēninoties līdz 2,3%.</w:t>
      </w:r>
      <w:r w:rsidRPr="00CB729A">
        <w:rPr>
          <w:sz w:val="24"/>
          <w:szCs w:val="24"/>
          <w:lang w:eastAsia="lv-LV"/>
        </w:rPr>
        <w:t xml:space="preserve"> </w:t>
      </w:r>
    </w:p>
    <w:p w14:paraId="5A6BE529" w14:textId="531514D4" w:rsidR="00A751E0" w:rsidRDefault="00A751E0" w:rsidP="00346F1D">
      <w:pPr>
        <w:spacing w:after="60"/>
        <w:rPr>
          <w:sz w:val="24"/>
          <w:szCs w:val="24"/>
          <w:lang w:eastAsia="lv-LV"/>
        </w:rPr>
      </w:pPr>
      <w:r w:rsidRPr="00CF68A1">
        <w:rPr>
          <w:sz w:val="24"/>
          <w:szCs w:val="24"/>
          <w:lang w:eastAsia="lv-LV"/>
        </w:rPr>
        <w:t xml:space="preserve">Līdz ar straujo energoresursu un citu izejvielu cenu kritumu pasaules tirgos, kas atstāj stabilizējošu ietekmi arī uz pārējo preču cenām, kā arī </w:t>
      </w:r>
      <w:r w:rsidR="00C660BE">
        <w:rPr>
          <w:sz w:val="24"/>
          <w:szCs w:val="24"/>
          <w:lang w:eastAsia="lv-LV"/>
        </w:rPr>
        <w:t xml:space="preserve">Eiropas </w:t>
      </w:r>
      <w:r w:rsidR="000638A5">
        <w:rPr>
          <w:sz w:val="24"/>
          <w:szCs w:val="24"/>
          <w:lang w:eastAsia="lv-LV"/>
        </w:rPr>
        <w:t>C</w:t>
      </w:r>
      <w:r w:rsidR="00C660BE">
        <w:rPr>
          <w:sz w:val="24"/>
          <w:szCs w:val="24"/>
          <w:lang w:eastAsia="lv-LV"/>
        </w:rPr>
        <w:t>entrālās bankas (</w:t>
      </w:r>
      <w:r w:rsidRPr="00CF68A1">
        <w:rPr>
          <w:sz w:val="24"/>
          <w:szCs w:val="24"/>
          <w:lang w:eastAsia="lv-LV"/>
        </w:rPr>
        <w:t>ECB</w:t>
      </w:r>
      <w:r w:rsidR="00C660BE">
        <w:rPr>
          <w:sz w:val="24"/>
          <w:szCs w:val="24"/>
          <w:lang w:eastAsia="lv-LV"/>
        </w:rPr>
        <w:t>)</w:t>
      </w:r>
      <w:r w:rsidRPr="00CF68A1">
        <w:rPr>
          <w:sz w:val="24"/>
          <w:szCs w:val="24"/>
          <w:lang w:eastAsia="lv-LV"/>
        </w:rPr>
        <w:t xml:space="preserve"> realizēto stingro inflācijas ierobežošanas politiku, Latvijas inflācijas prognoze 2024. gadam ir samazināta līdz 1,6%. Iepriekšējās, 2023. gada jūnijā sagatavotajās</w:t>
      </w:r>
      <w:r w:rsidR="00FD0599">
        <w:rPr>
          <w:sz w:val="24"/>
          <w:szCs w:val="24"/>
          <w:lang w:eastAsia="lv-LV"/>
        </w:rPr>
        <w:t>,</w:t>
      </w:r>
      <w:r w:rsidRPr="00CF68A1">
        <w:rPr>
          <w:sz w:val="24"/>
          <w:szCs w:val="24"/>
          <w:lang w:eastAsia="lv-LV"/>
        </w:rPr>
        <w:t xml:space="preserve"> prognozēs FM </w:t>
      </w:r>
      <w:r w:rsidR="00FD0599">
        <w:rPr>
          <w:sz w:val="24"/>
          <w:szCs w:val="24"/>
          <w:lang w:eastAsia="lv-LV"/>
        </w:rPr>
        <w:t>2024.</w:t>
      </w:r>
      <w:r w:rsidRPr="00CF68A1">
        <w:rPr>
          <w:sz w:val="24"/>
          <w:szCs w:val="24"/>
          <w:lang w:eastAsia="lv-LV"/>
        </w:rPr>
        <w:t xml:space="preserve"> gadam bija prognozējusi cenu pieaugumu 2,2% apmērā. Vidējā termiņā, laikā līdz 2028. gadam</w:t>
      </w:r>
      <w:r w:rsidR="00FD0599">
        <w:rPr>
          <w:sz w:val="24"/>
          <w:szCs w:val="24"/>
          <w:lang w:eastAsia="lv-LV"/>
        </w:rPr>
        <w:t>,</w:t>
      </w:r>
      <w:r w:rsidRPr="00CF68A1">
        <w:rPr>
          <w:sz w:val="24"/>
          <w:szCs w:val="24"/>
          <w:lang w:eastAsia="lv-LV"/>
        </w:rPr>
        <w:t xml:space="preserve"> prognozējama inflācijas stabilizēšanās ap 2,5%, kas atbilst konverģējošas valsts cenu pieauguma līmenim</w:t>
      </w:r>
      <w:r w:rsidR="00FD0599">
        <w:rPr>
          <w:sz w:val="24"/>
          <w:szCs w:val="24"/>
          <w:lang w:eastAsia="lv-LV"/>
        </w:rPr>
        <w:t>.</w:t>
      </w:r>
    </w:p>
    <w:p w14:paraId="13A52C94" w14:textId="7C6E3B07" w:rsidR="00033CEC" w:rsidRPr="00CF68A1" w:rsidRDefault="000A24E5" w:rsidP="00346F1D">
      <w:pPr>
        <w:spacing w:after="60"/>
        <w:rPr>
          <w:sz w:val="24"/>
          <w:szCs w:val="24"/>
          <w:lang w:eastAsia="lv-LV"/>
        </w:rPr>
      </w:pPr>
      <w:r w:rsidRPr="00CF68A1">
        <w:rPr>
          <w:sz w:val="24"/>
          <w:szCs w:val="24"/>
          <w:lang w:eastAsia="lv-LV"/>
        </w:rPr>
        <w:t xml:space="preserve">Pēc strauja deficīta samazināšanās </w:t>
      </w:r>
      <w:r w:rsidR="00033CEC" w:rsidRPr="00CF68A1">
        <w:rPr>
          <w:sz w:val="24"/>
          <w:szCs w:val="24"/>
          <w:lang w:eastAsia="lv-LV"/>
        </w:rPr>
        <w:t>posma,</w:t>
      </w:r>
      <w:r w:rsidRPr="00CF68A1">
        <w:rPr>
          <w:sz w:val="24"/>
          <w:szCs w:val="24"/>
          <w:lang w:eastAsia="lv-LV"/>
        </w:rPr>
        <w:t xml:space="preserve"> </w:t>
      </w:r>
      <w:r w:rsidR="00DB2F16" w:rsidRPr="00CF68A1">
        <w:rPr>
          <w:sz w:val="24"/>
          <w:szCs w:val="24"/>
          <w:lang w:eastAsia="lv-LV"/>
        </w:rPr>
        <w:t>kad laikā no</w:t>
      </w:r>
      <w:r w:rsidRPr="00CF68A1">
        <w:rPr>
          <w:sz w:val="24"/>
          <w:szCs w:val="24"/>
          <w:lang w:eastAsia="lv-LV"/>
        </w:rPr>
        <w:t xml:space="preserve"> 202</w:t>
      </w:r>
      <w:r w:rsidR="00DB2F16" w:rsidRPr="00CF68A1">
        <w:rPr>
          <w:sz w:val="24"/>
          <w:szCs w:val="24"/>
          <w:lang w:eastAsia="lv-LV"/>
        </w:rPr>
        <w:t>1</w:t>
      </w:r>
      <w:r w:rsidR="00033CEC" w:rsidRPr="00CF68A1">
        <w:rPr>
          <w:sz w:val="24"/>
          <w:szCs w:val="24"/>
          <w:lang w:eastAsia="lv-LV"/>
        </w:rPr>
        <w:t>.</w:t>
      </w:r>
      <w:r w:rsidR="00DB2F16" w:rsidRPr="00CF68A1">
        <w:rPr>
          <w:sz w:val="24"/>
          <w:szCs w:val="24"/>
          <w:lang w:eastAsia="lv-LV"/>
        </w:rPr>
        <w:t xml:space="preserve"> līdz 2023. gadam vispārējās valdības budžeta deficīts samazinājās no 7,2% no IKP </w:t>
      </w:r>
      <w:r w:rsidR="00237E97">
        <w:rPr>
          <w:sz w:val="24"/>
          <w:szCs w:val="24"/>
          <w:lang w:eastAsia="lv-LV"/>
        </w:rPr>
        <w:t>līdz</w:t>
      </w:r>
      <w:r w:rsidR="00DB2F16" w:rsidRPr="00CF68A1">
        <w:rPr>
          <w:sz w:val="24"/>
          <w:szCs w:val="24"/>
          <w:lang w:eastAsia="lv-LV"/>
        </w:rPr>
        <w:t xml:space="preserve"> 2,3% no IKP, 2024. gada deficīts būtiski pieaug un sasniedz </w:t>
      </w:r>
      <w:r w:rsidR="00A751E0" w:rsidRPr="00CF68A1">
        <w:rPr>
          <w:sz w:val="24"/>
          <w:szCs w:val="24"/>
          <w:lang w:eastAsia="lv-LV"/>
        </w:rPr>
        <w:t>2,9% no IKP apmēr</w:t>
      </w:r>
      <w:r w:rsidR="00DB2F16" w:rsidRPr="00CF68A1">
        <w:rPr>
          <w:sz w:val="24"/>
          <w:szCs w:val="24"/>
          <w:lang w:eastAsia="lv-LV"/>
        </w:rPr>
        <w:t>u</w:t>
      </w:r>
      <w:r w:rsidR="00033CEC" w:rsidRPr="00CF68A1">
        <w:rPr>
          <w:sz w:val="24"/>
          <w:szCs w:val="24"/>
          <w:lang w:eastAsia="lv-LV"/>
        </w:rPr>
        <w:t>, pietuvojoties tuvu Māstrihtas 3%</w:t>
      </w:r>
      <w:r w:rsidR="00237E97">
        <w:rPr>
          <w:sz w:val="24"/>
          <w:szCs w:val="24"/>
          <w:lang w:eastAsia="lv-LV"/>
        </w:rPr>
        <w:t xml:space="preserve"> no </w:t>
      </w:r>
      <w:r w:rsidR="00237E97">
        <w:rPr>
          <w:sz w:val="24"/>
          <w:szCs w:val="24"/>
          <w:lang w:eastAsia="lv-LV"/>
        </w:rPr>
        <w:lastRenderedPageBreak/>
        <w:t>IKP</w:t>
      </w:r>
      <w:r w:rsidR="00033CEC" w:rsidRPr="00CF68A1">
        <w:rPr>
          <w:sz w:val="24"/>
          <w:szCs w:val="24"/>
          <w:lang w:eastAsia="lv-LV"/>
        </w:rPr>
        <w:t xml:space="preserve"> robežai.</w:t>
      </w:r>
      <w:r w:rsidR="00A751E0" w:rsidRPr="00CF68A1">
        <w:rPr>
          <w:sz w:val="24"/>
          <w:szCs w:val="24"/>
          <w:lang w:eastAsia="lv-LV"/>
        </w:rPr>
        <w:t xml:space="preserve"> Scenārijā pie nemainīgas politikas vispārējās valdības budžeta deficīts 2025. gadā tiek prognozēts 2,7% no IKP, 2026. gadā 2,2% no IKP, 2027. gadā 2,0% no IKP un 2028. gadā 1,7% no IKP. </w:t>
      </w:r>
      <w:r w:rsidR="00DB2F16" w:rsidRPr="00CF68A1">
        <w:rPr>
          <w:sz w:val="24"/>
          <w:szCs w:val="24"/>
          <w:lang w:eastAsia="lv-LV"/>
        </w:rPr>
        <w:t xml:space="preserve">Vājākas izaugsmes un inflācijas diktētā ieņēmumu dinamika, algu pieaugums publiskajā sektorā, veselības izdevumu pieaugums un nepieciešamība strauji un būtiski palielināt izdevumus iekšējai un ārējai drošībai ir atstājusi savu ietekmi uz deficītu. </w:t>
      </w:r>
      <w:r w:rsidR="00033CEC" w:rsidRPr="00CF68A1">
        <w:rPr>
          <w:sz w:val="24"/>
          <w:szCs w:val="24"/>
          <w:lang w:eastAsia="lv-LV"/>
        </w:rPr>
        <w:t xml:space="preserve">Jāatzīmē, ka 2024. gada deficīta līmenis nav pārsteigums, jo deficīts </w:t>
      </w:r>
      <w:r w:rsidR="00237E97" w:rsidRPr="00F15BA6">
        <w:rPr>
          <w:sz w:val="24"/>
          <w:szCs w:val="24"/>
          <w:lang w:eastAsia="lv-LV"/>
        </w:rPr>
        <w:t>2,8%</w:t>
      </w:r>
      <w:r w:rsidR="00237E97">
        <w:rPr>
          <w:sz w:val="24"/>
          <w:szCs w:val="24"/>
          <w:lang w:eastAsia="lv-LV"/>
        </w:rPr>
        <w:t xml:space="preserve"> no IKP</w:t>
      </w:r>
      <w:r w:rsidR="00237E97" w:rsidRPr="00F15BA6">
        <w:rPr>
          <w:sz w:val="24"/>
          <w:szCs w:val="24"/>
          <w:lang w:eastAsia="lv-LV"/>
        </w:rPr>
        <w:t xml:space="preserve"> </w:t>
      </w:r>
      <w:r w:rsidR="00237E97">
        <w:rPr>
          <w:sz w:val="24"/>
          <w:szCs w:val="24"/>
          <w:lang w:eastAsia="lv-LV"/>
        </w:rPr>
        <w:t xml:space="preserve">apmērā </w:t>
      </w:r>
      <w:r w:rsidR="00033CEC" w:rsidRPr="00CF68A1">
        <w:rPr>
          <w:sz w:val="24"/>
          <w:szCs w:val="24"/>
          <w:lang w:eastAsia="lv-LV"/>
        </w:rPr>
        <w:t>jau tika plānots, izstrādājot 2024. gada budžetu.</w:t>
      </w:r>
    </w:p>
    <w:p w14:paraId="6CD904D8" w14:textId="665ED79B" w:rsidR="00A751E0" w:rsidRPr="00CF68A1" w:rsidRDefault="00033CEC" w:rsidP="00346F1D">
      <w:pPr>
        <w:spacing w:after="60"/>
        <w:rPr>
          <w:sz w:val="24"/>
          <w:szCs w:val="24"/>
          <w:lang w:eastAsia="lv-LV"/>
        </w:rPr>
      </w:pPr>
      <w:r w:rsidRPr="00CF68A1">
        <w:rPr>
          <w:sz w:val="24"/>
          <w:szCs w:val="24"/>
          <w:lang w:eastAsia="lv-LV"/>
        </w:rPr>
        <w:t xml:space="preserve">Tā kā </w:t>
      </w:r>
      <w:r w:rsidR="00237E97">
        <w:rPr>
          <w:sz w:val="24"/>
          <w:szCs w:val="24"/>
          <w:lang w:eastAsia="lv-LV"/>
        </w:rPr>
        <w:t xml:space="preserve">ES </w:t>
      </w:r>
      <w:r w:rsidRPr="00CF68A1">
        <w:rPr>
          <w:sz w:val="24"/>
          <w:szCs w:val="24"/>
          <w:lang w:eastAsia="lv-LV"/>
        </w:rPr>
        <w:t>vispārējā izņēmuma klauzula sākot ar 2024. gadu ir atcelta un no 202</w:t>
      </w:r>
      <w:r w:rsidR="00237E97">
        <w:rPr>
          <w:sz w:val="24"/>
          <w:szCs w:val="24"/>
          <w:lang w:eastAsia="lv-LV"/>
        </w:rPr>
        <w:t>4</w:t>
      </w:r>
      <w:r w:rsidRPr="00CF68A1">
        <w:rPr>
          <w:sz w:val="24"/>
          <w:szCs w:val="24"/>
          <w:lang w:eastAsia="lv-LV"/>
        </w:rPr>
        <w:t xml:space="preserve">. gada ir spēkā jaunie fiskālie nosacījumi, augstais deficīta līmenis 2024. gadā un relatīvi lēnais tā samazinājums </w:t>
      </w:r>
      <w:r w:rsidR="00714AAE" w:rsidRPr="00CF68A1">
        <w:rPr>
          <w:sz w:val="24"/>
          <w:szCs w:val="24"/>
          <w:lang w:eastAsia="lv-LV"/>
        </w:rPr>
        <w:t xml:space="preserve">nemainīgas politikas </w:t>
      </w:r>
      <w:r w:rsidR="00CB729A">
        <w:rPr>
          <w:sz w:val="24"/>
          <w:szCs w:val="24"/>
          <w:lang w:eastAsia="lv-LV"/>
        </w:rPr>
        <w:t>apstākļos</w:t>
      </w:r>
      <w:r w:rsidR="00714AAE" w:rsidRPr="00CF68A1">
        <w:rPr>
          <w:sz w:val="24"/>
          <w:szCs w:val="24"/>
          <w:lang w:eastAsia="lv-LV"/>
        </w:rPr>
        <w:t xml:space="preserve"> norāda, ka </w:t>
      </w:r>
      <w:r w:rsidR="00237E97">
        <w:rPr>
          <w:sz w:val="24"/>
          <w:szCs w:val="24"/>
          <w:lang w:eastAsia="lv-LV"/>
        </w:rPr>
        <w:t xml:space="preserve">situācija </w:t>
      </w:r>
      <w:r w:rsidR="00714AAE" w:rsidRPr="00CF68A1">
        <w:rPr>
          <w:sz w:val="24"/>
          <w:szCs w:val="24"/>
          <w:lang w:eastAsia="lv-LV"/>
        </w:rPr>
        <w:t>valsts publisk</w:t>
      </w:r>
      <w:r w:rsidR="00237E97">
        <w:rPr>
          <w:sz w:val="24"/>
          <w:szCs w:val="24"/>
          <w:lang w:eastAsia="lv-LV"/>
        </w:rPr>
        <w:t>aj</w:t>
      </w:r>
      <w:r w:rsidR="00714AAE" w:rsidRPr="00CF68A1">
        <w:rPr>
          <w:sz w:val="24"/>
          <w:szCs w:val="24"/>
          <w:lang w:eastAsia="lv-LV"/>
        </w:rPr>
        <w:t>ās finans</w:t>
      </w:r>
      <w:r w:rsidR="00237E97">
        <w:rPr>
          <w:sz w:val="24"/>
          <w:szCs w:val="24"/>
          <w:lang w:eastAsia="lv-LV"/>
        </w:rPr>
        <w:t>ē</w:t>
      </w:r>
      <w:r w:rsidR="00714AAE" w:rsidRPr="00CF68A1">
        <w:rPr>
          <w:sz w:val="24"/>
          <w:szCs w:val="24"/>
          <w:lang w:eastAsia="lv-LV"/>
        </w:rPr>
        <w:t xml:space="preserve">s tuvākajos gados būs saspringta. </w:t>
      </w:r>
      <w:r w:rsidRPr="00CF68A1">
        <w:rPr>
          <w:sz w:val="24"/>
          <w:szCs w:val="24"/>
          <w:lang w:eastAsia="lv-LV"/>
        </w:rPr>
        <w:t xml:space="preserve"> </w:t>
      </w:r>
    </w:p>
    <w:p w14:paraId="092FDE57" w14:textId="52FD4512" w:rsidR="003A29EA" w:rsidRPr="00874664" w:rsidRDefault="00594BC3" w:rsidP="00594BC3">
      <w:pPr>
        <w:spacing w:after="160" w:line="259" w:lineRule="auto"/>
        <w:ind w:firstLine="0"/>
        <w:jc w:val="left"/>
        <w:rPr>
          <w:sz w:val="24"/>
          <w:szCs w:val="24"/>
          <w:highlight w:val="lightGray"/>
          <w:lang w:eastAsia="lv-LV"/>
        </w:rPr>
      </w:pPr>
      <w:r>
        <w:rPr>
          <w:sz w:val="24"/>
          <w:szCs w:val="24"/>
          <w:highlight w:val="lightGray"/>
          <w:lang w:eastAsia="lv-LV"/>
        </w:rPr>
        <w:br w:type="page"/>
      </w:r>
    </w:p>
    <w:p w14:paraId="1950405E" w14:textId="281146DE" w:rsidR="00BF4753" w:rsidRPr="00594BC3" w:rsidRDefault="00CF68A1" w:rsidP="00CF68A1">
      <w:pPr>
        <w:pStyle w:val="Heading1"/>
        <w:spacing w:before="0" w:after="240"/>
        <w:rPr>
          <w:sz w:val="32"/>
          <w:szCs w:val="32"/>
        </w:rPr>
      </w:pPr>
      <w:bookmarkStart w:id="3" w:name="_Toc164679814"/>
      <w:r>
        <w:rPr>
          <w:sz w:val="32"/>
          <w:szCs w:val="32"/>
        </w:rPr>
        <w:lastRenderedPageBreak/>
        <w:t xml:space="preserve">2. </w:t>
      </w:r>
      <w:r w:rsidR="00BF4753" w:rsidRPr="00594BC3">
        <w:rPr>
          <w:sz w:val="32"/>
          <w:szCs w:val="32"/>
        </w:rPr>
        <w:t>Ekonomiskā situācija</w:t>
      </w:r>
      <w:bookmarkEnd w:id="1"/>
      <w:bookmarkEnd w:id="2"/>
      <w:bookmarkEnd w:id="3"/>
    </w:p>
    <w:p w14:paraId="1952A805" w14:textId="77777777" w:rsidR="00594BC3" w:rsidRPr="005000B7" w:rsidRDefault="00594BC3" w:rsidP="00594BC3">
      <w:pPr>
        <w:pStyle w:val="Heading2"/>
        <w:numPr>
          <w:ilvl w:val="0"/>
          <w:numId w:val="0"/>
        </w:numPr>
        <w:spacing w:before="240" w:after="240"/>
        <w:rPr>
          <w:rFonts w:eastAsia="Times New Roman"/>
          <w:sz w:val="28"/>
          <w:lang w:eastAsia="lv-LV"/>
        </w:rPr>
      </w:pPr>
      <w:bookmarkStart w:id="4" w:name="_Toc99981157"/>
      <w:bookmarkStart w:id="5" w:name="_Toc164679815"/>
      <w:bookmarkStart w:id="6" w:name="_Toc510790655"/>
      <w:bookmarkStart w:id="7" w:name="_Toc5627365"/>
      <w:r w:rsidRPr="005000B7">
        <w:rPr>
          <w:rFonts w:eastAsia="Times New Roman"/>
          <w:sz w:val="28"/>
          <w:lang w:eastAsia="lv-LV"/>
        </w:rPr>
        <w:t>2.1. Ārējā ekonomiskā vide</w:t>
      </w:r>
      <w:bookmarkEnd w:id="4"/>
      <w:bookmarkEnd w:id="5"/>
    </w:p>
    <w:p w14:paraId="13049A17" w14:textId="1C616979" w:rsidR="00594BC3" w:rsidRPr="004D2C4E" w:rsidRDefault="00594BC3" w:rsidP="00594BC3">
      <w:pPr>
        <w:rPr>
          <w:rFonts w:cs="Times New Roman"/>
          <w:sz w:val="24"/>
          <w:szCs w:val="24"/>
        </w:rPr>
      </w:pPr>
      <w:bookmarkStart w:id="8" w:name="_Toc479331083"/>
      <w:bookmarkStart w:id="9" w:name="_Toc510790653"/>
      <w:r w:rsidRPr="004D2C4E">
        <w:rPr>
          <w:rFonts w:cs="Times New Roman"/>
          <w:sz w:val="24"/>
          <w:szCs w:val="24"/>
        </w:rPr>
        <w:t>Pasaules ekonomikas izaugsme pēc spēcīgās atgūšanās no Covid-19 pandēmijas, 2022.</w:t>
      </w:r>
      <w:r w:rsidR="004D2C4E" w:rsidRPr="004D2C4E">
        <w:rPr>
          <w:rFonts w:cs="Times New Roman"/>
          <w:sz w:val="24"/>
          <w:szCs w:val="24"/>
        </w:rPr>
        <w:t xml:space="preserve"> </w:t>
      </w:r>
      <w:r w:rsidRPr="004D2C4E">
        <w:rPr>
          <w:rFonts w:cs="Times New Roman"/>
          <w:sz w:val="24"/>
          <w:szCs w:val="24"/>
        </w:rPr>
        <w:t xml:space="preserve">gadā palēninājās līdz 3,5%, bet pērn noslīdēja līdz 3,1%, pēc Starptautiskā Valūtas fonda (SVF) pēdējām aplēsēm šā gada janvārī. Ekonomisko situāciju pasaulē kopš 2022. gada februāra nosaka Krievijas iesāktais karš Ukrainā un tā veicinātā </w:t>
      </w:r>
      <w:proofErr w:type="spellStart"/>
      <w:r w:rsidRPr="004D2C4E">
        <w:rPr>
          <w:rFonts w:cs="Times New Roman"/>
          <w:sz w:val="24"/>
          <w:szCs w:val="24"/>
        </w:rPr>
        <w:t>energokrīze</w:t>
      </w:r>
      <w:proofErr w:type="spellEnd"/>
      <w:r w:rsidRPr="004D2C4E">
        <w:rPr>
          <w:rFonts w:cs="Times New Roman"/>
          <w:sz w:val="24"/>
          <w:szCs w:val="24"/>
        </w:rPr>
        <w:t>, ievērojami paaugstinot energoresursu cenas un ceļot kopējo inflācijas līmeni un kopā ar procentu likmju celšanu arī būtiski palēninot ekonomikas attīstību. Lai arī inflācijas līmenis 2023.</w:t>
      </w:r>
      <w:r w:rsidR="004D2C4E" w:rsidRPr="004D2C4E">
        <w:rPr>
          <w:rFonts w:cs="Times New Roman"/>
          <w:sz w:val="24"/>
          <w:szCs w:val="24"/>
        </w:rPr>
        <w:t xml:space="preserve"> </w:t>
      </w:r>
      <w:r w:rsidRPr="004D2C4E">
        <w:rPr>
          <w:rFonts w:cs="Times New Roman"/>
          <w:sz w:val="24"/>
          <w:szCs w:val="24"/>
        </w:rPr>
        <w:t>gadā sāka strauji mazināties, centrālo banku procentu likmju pazeminājumi vēl nav sekojuši un ekonomikas izaugsme arī 2024.</w:t>
      </w:r>
      <w:r w:rsidR="004D2C4E" w:rsidRPr="004D2C4E">
        <w:rPr>
          <w:rFonts w:cs="Times New Roman"/>
          <w:sz w:val="24"/>
          <w:szCs w:val="24"/>
        </w:rPr>
        <w:t xml:space="preserve"> </w:t>
      </w:r>
      <w:r w:rsidRPr="004D2C4E">
        <w:rPr>
          <w:rFonts w:cs="Times New Roman"/>
          <w:sz w:val="24"/>
          <w:szCs w:val="24"/>
        </w:rPr>
        <w:t>gadā saglabāsies vēsturiski zemā līmenī. Pēc SVF prognozēm, pasaules ekonomika šogad varētu augt par 3,1%, 2025.</w:t>
      </w:r>
      <w:r w:rsidR="004D2C4E" w:rsidRPr="004D2C4E">
        <w:rPr>
          <w:rFonts w:cs="Times New Roman"/>
          <w:sz w:val="24"/>
          <w:szCs w:val="24"/>
        </w:rPr>
        <w:t xml:space="preserve"> </w:t>
      </w:r>
      <w:r w:rsidRPr="004D2C4E">
        <w:rPr>
          <w:rFonts w:cs="Times New Roman"/>
          <w:sz w:val="24"/>
          <w:szCs w:val="24"/>
        </w:rPr>
        <w:t>gadā izaugsmei tikai nedaudz paātrinoties līdz 3,2%, kas joprojām ir zem ilgtermiņa vidējā.</w:t>
      </w:r>
    </w:p>
    <w:p w14:paraId="329828C4" w14:textId="34F4966B" w:rsidR="00594BC3" w:rsidRPr="004D2C4E" w:rsidRDefault="00594BC3" w:rsidP="00594BC3">
      <w:pPr>
        <w:rPr>
          <w:rFonts w:cs="Times New Roman"/>
          <w:sz w:val="24"/>
          <w:szCs w:val="24"/>
        </w:rPr>
      </w:pPr>
      <w:r w:rsidRPr="004D2C4E">
        <w:rPr>
          <w:rFonts w:cs="Times New Roman"/>
          <w:sz w:val="24"/>
          <w:szCs w:val="24"/>
        </w:rPr>
        <w:t xml:space="preserve">Līdzīga situācija ir arī </w:t>
      </w:r>
      <w:r w:rsidR="004D2C4E" w:rsidRPr="004D2C4E">
        <w:rPr>
          <w:rFonts w:cs="Times New Roman"/>
          <w:sz w:val="24"/>
          <w:szCs w:val="24"/>
        </w:rPr>
        <w:t xml:space="preserve">ES </w:t>
      </w:r>
      <w:r w:rsidRPr="004D2C4E">
        <w:rPr>
          <w:rFonts w:cs="Times New Roman"/>
          <w:sz w:val="24"/>
          <w:szCs w:val="24"/>
        </w:rPr>
        <w:t xml:space="preserve">un </w:t>
      </w:r>
      <w:proofErr w:type="spellStart"/>
      <w:r w:rsidRPr="004D2C4E">
        <w:rPr>
          <w:rFonts w:cs="Times New Roman"/>
          <w:i/>
          <w:iCs/>
          <w:sz w:val="24"/>
          <w:szCs w:val="24"/>
        </w:rPr>
        <w:t>e</w:t>
      </w:r>
      <w:r w:rsidR="004D2C4E" w:rsidRPr="004D2C4E">
        <w:rPr>
          <w:rFonts w:cs="Times New Roman"/>
          <w:i/>
          <w:iCs/>
          <w:sz w:val="24"/>
          <w:szCs w:val="24"/>
        </w:rPr>
        <w:t>u</w:t>
      </w:r>
      <w:r w:rsidRPr="004D2C4E">
        <w:rPr>
          <w:rFonts w:cs="Times New Roman"/>
          <w:i/>
          <w:iCs/>
          <w:sz w:val="24"/>
          <w:szCs w:val="24"/>
        </w:rPr>
        <w:t>ro</w:t>
      </w:r>
      <w:proofErr w:type="spellEnd"/>
      <w:r w:rsidR="004D2C4E" w:rsidRPr="004D2C4E">
        <w:rPr>
          <w:rFonts w:cs="Times New Roman"/>
          <w:sz w:val="24"/>
          <w:szCs w:val="24"/>
        </w:rPr>
        <w:t xml:space="preserve"> </w:t>
      </w:r>
      <w:r w:rsidRPr="004D2C4E">
        <w:rPr>
          <w:rFonts w:cs="Times New Roman"/>
          <w:sz w:val="24"/>
          <w:szCs w:val="24"/>
        </w:rPr>
        <w:t xml:space="preserve">zonā, kur ekonomikas izaugsmes tempi ir vājinājušies vēl straujāk. 27 </w:t>
      </w:r>
      <w:r w:rsidR="004D2C4E" w:rsidRPr="004D2C4E">
        <w:rPr>
          <w:rFonts w:cs="Times New Roman"/>
          <w:sz w:val="24"/>
          <w:szCs w:val="24"/>
        </w:rPr>
        <w:t>ES</w:t>
      </w:r>
      <w:r w:rsidRPr="004D2C4E">
        <w:rPr>
          <w:rFonts w:cs="Times New Roman"/>
          <w:sz w:val="24"/>
          <w:szCs w:val="24"/>
        </w:rPr>
        <w:t xml:space="preserve"> valstīs IKP pēc 3,4% kāpuma 2022.</w:t>
      </w:r>
      <w:r w:rsidR="004D2C4E" w:rsidRPr="004D2C4E">
        <w:rPr>
          <w:rFonts w:cs="Times New Roman"/>
          <w:sz w:val="24"/>
          <w:szCs w:val="24"/>
        </w:rPr>
        <w:t xml:space="preserve"> </w:t>
      </w:r>
      <w:r w:rsidRPr="004D2C4E">
        <w:rPr>
          <w:rFonts w:cs="Times New Roman"/>
          <w:sz w:val="24"/>
          <w:szCs w:val="24"/>
        </w:rPr>
        <w:t>gadā, pērn palielinājies tikai par 0,4%, daļai ES valstu ekonomiku piedzīvojot kritumu, tajā skaitā arī Latvijā un pārējās Baltijas valstīs, kā arī tādās Latvijai nozīmīgās ārējās tirdzniecības partnervalstīs kā Zviedrija, Vācija un Somija (skat.</w:t>
      </w:r>
      <w:r w:rsidR="004D2C4E">
        <w:rPr>
          <w:rFonts w:cs="Times New Roman"/>
          <w:sz w:val="24"/>
          <w:szCs w:val="24"/>
        </w:rPr>
        <w:t xml:space="preserve"> </w:t>
      </w:r>
      <w:r w:rsidRPr="004D2C4E">
        <w:rPr>
          <w:rFonts w:cs="Times New Roman"/>
          <w:sz w:val="24"/>
          <w:szCs w:val="24"/>
        </w:rPr>
        <w:t>2.1. attēlu).</w:t>
      </w:r>
    </w:p>
    <w:p w14:paraId="1260BAD4" w14:textId="77777777" w:rsidR="00594BC3" w:rsidRPr="00594BC3" w:rsidRDefault="00594BC3" w:rsidP="00594BC3">
      <w:pPr>
        <w:rPr>
          <w:rFonts w:cs="Times New Roman"/>
          <w:sz w:val="24"/>
          <w:szCs w:val="24"/>
          <w:highlight w:val="yellow"/>
        </w:rPr>
      </w:pPr>
    </w:p>
    <w:p w14:paraId="23EBFF67" w14:textId="77777777" w:rsidR="00594BC3" w:rsidRPr="004D2C4E" w:rsidRDefault="00594BC3" w:rsidP="00594BC3">
      <w:pPr>
        <w:ind w:firstLine="0"/>
        <w:jc w:val="center"/>
        <w:rPr>
          <w:rFonts w:eastAsia="Times New Roman" w:cs="Times New Roman"/>
          <w:sz w:val="24"/>
          <w:szCs w:val="24"/>
        </w:rPr>
      </w:pPr>
      <w:r w:rsidRPr="004D2C4E">
        <w:rPr>
          <w:noProof/>
        </w:rPr>
        <w:drawing>
          <wp:inline distT="0" distB="0" distL="0" distR="0" wp14:anchorId="39C5AD3F" wp14:editId="6F94102B">
            <wp:extent cx="5274310" cy="2988945"/>
            <wp:effectExtent l="0" t="0" r="2540" b="1905"/>
            <wp:docPr id="1" name="Chart 1">
              <a:extLst xmlns:a="http://schemas.openxmlformats.org/drawingml/2006/main">
                <a:ext uri="{FF2B5EF4-FFF2-40B4-BE49-F238E27FC236}">
                  <a16:creationId xmlns:a16="http://schemas.microsoft.com/office/drawing/2014/main" id="{E2E70520-66C1-46D8-AD13-4B2AC33B2C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B1E896" w14:textId="1582E2BD" w:rsidR="00594BC3" w:rsidRPr="004D2C4E" w:rsidRDefault="00594BC3" w:rsidP="00594BC3">
      <w:pPr>
        <w:ind w:firstLine="0"/>
        <w:jc w:val="center"/>
        <w:rPr>
          <w:rFonts w:eastAsia="Times New Roman" w:cs="Times New Roman"/>
          <w:b/>
          <w:i/>
          <w:sz w:val="24"/>
          <w:szCs w:val="24"/>
        </w:rPr>
      </w:pPr>
      <w:r w:rsidRPr="004D2C4E">
        <w:rPr>
          <w:rFonts w:eastAsia="Times New Roman" w:cs="Times New Roman"/>
          <w:b/>
          <w:i/>
          <w:sz w:val="24"/>
          <w:szCs w:val="24"/>
        </w:rPr>
        <w:t>2.1. att. IKP izmaiņas ES valstīs 2023.</w:t>
      </w:r>
      <w:r w:rsidR="004D2C4E">
        <w:rPr>
          <w:rFonts w:eastAsia="Times New Roman" w:cs="Times New Roman"/>
          <w:b/>
          <w:i/>
          <w:sz w:val="24"/>
          <w:szCs w:val="24"/>
        </w:rPr>
        <w:t xml:space="preserve"> </w:t>
      </w:r>
      <w:r w:rsidRPr="004D2C4E">
        <w:rPr>
          <w:rFonts w:eastAsia="Times New Roman" w:cs="Times New Roman"/>
          <w:b/>
          <w:i/>
          <w:sz w:val="24"/>
          <w:szCs w:val="24"/>
        </w:rPr>
        <w:t>gadā, % pret iepriekšējo gadu</w:t>
      </w:r>
    </w:p>
    <w:p w14:paraId="573497FC" w14:textId="77777777" w:rsidR="00594BC3" w:rsidRPr="00594BC3" w:rsidRDefault="00594BC3" w:rsidP="00594BC3">
      <w:pPr>
        <w:ind w:firstLine="578"/>
        <w:rPr>
          <w:rFonts w:eastAsia="Times New Roman" w:cs="Times New Roman"/>
          <w:sz w:val="24"/>
          <w:szCs w:val="24"/>
          <w:highlight w:val="yellow"/>
        </w:rPr>
      </w:pPr>
    </w:p>
    <w:p w14:paraId="17B7820E" w14:textId="35AF1423" w:rsidR="00594BC3" w:rsidRPr="004D2C4E" w:rsidRDefault="00594BC3" w:rsidP="00594BC3">
      <w:pPr>
        <w:rPr>
          <w:rFonts w:cs="Times New Roman"/>
          <w:sz w:val="24"/>
          <w:szCs w:val="24"/>
        </w:rPr>
      </w:pPr>
      <w:r w:rsidRPr="004D2C4E">
        <w:rPr>
          <w:rFonts w:cs="Times New Roman"/>
          <w:sz w:val="24"/>
          <w:szCs w:val="24"/>
        </w:rPr>
        <w:t>Arī 2024.</w:t>
      </w:r>
      <w:r w:rsidR="004D2C4E" w:rsidRPr="004D2C4E">
        <w:rPr>
          <w:rFonts w:cs="Times New Roman"/>
          <w:sz w:val="24"/>
          <w:szCs w:val="24"/>
        </w:rPr>
        <w:t xml:space="preserve"> </w:t>
      </w:r>
      <w:r w:rsidRPr="004D2C4E">
        <w:rPr>
          <w:rFonts w:cs="Times New Roman"/>
          <w:sz w:val="24"/>
          <w:szCs w:val="24"/>
        </w:rPr>
        <w:t>gadā ES valstu ekonomikas pieaugums būs vājš, pēc EK jaunākajām prognozēm, tas gan palielināsies līdz 0,9%, tomēr joprojām nesasniegs ilgtermiņa vidējo. Šis pieaugums arī ir par 0,4 procentpunktiem zemāks, nekā EK paredzēja savās iepriekšējās prognozēs pagājušā gada novembrī. Sagaidāmā ES ekonomikas izaugsme tāpat arī ir būtiski zemāka nekā ASV, kur, pēc SVF jaunākajām prognozēm, IKP pieaugums šogad varētu sasniegt 2,1%. Savukārt 2025.</w:t>
      </w:r>
      <w:r w:rsidR="004D2C4E" w:rsidRPr="004D2C4E">
        <w:rPr>
          <w:rFonts w:cs="Times New Roman"/>
          <w:sz w:val="24"/>
          <w:szCs w:val="24"/>
        </w:rPr>
        <w:t xml:space="preserve"> </w:t>
      </w:r>
      <w:r w:rsidRPr="004D2C4E">
        <w:rPr>
          <w:rFonts w:cs="Times New Roman"/>
          <w:sz w:val="24"/>
          <w:szCs w:val="24"/>
        </w:rPr>
        <w:t>gadā, līdz ar prognozēto procentu likmju pazemināšanu, mazinoties inflācijai, ES ekonomikas izaugsme kļūs straujāka, sasniedzot 1,7%, un tikpat straujš kāpums prognozēts arī ASV ekonomikai.</w:t>
      </w:r>
    </w:p>
    <w:p w14:paraId="76050EF3" w14:textId="3696E5BE" w:rsidR="00594BC3" w:rsidRPr="004D2C4E" w:rsidRDefault="00594BC3" w:rsidP="00594BC3">
      <w:pPr>
        <w:rPr>
          <w:rFonts w:cs="Times New Roman"/>
          <w:sz w:val="24"/>
          <w:szCs w:val="24"/>
        </w:rPr>
      </w:pPr>
      <w:r w:rsidRPr="004D2C4E">
        <w:rPr>
          <w:rFonts w:cs="Times New Roman"/>
          <w:sz w:val="24"/>
          <w:szCs w:val="24"/>
        </w:rPr>
        <w:t>Latvijas desmit galveno ārējās tirdzniecības partnervalstu - Lietuvas, Igaunijas, Vācijas, Krievijas, Zviedrijas, Apvienotās Karalistes, Dānijas, Polijas, Somijas un Nīderlandes – kopējās vidējās svērtās izaugsmes prognozes 2024.</w:t>
      </w:r>
      <w:r w:rsidR="004D2C4E" w:rsidRPr="004D2C4E">
        <w:rPr>
          <w:rFonts w:cs="Times New Roman"/>
          <w:sz w:val="24"/>
          <w:szCs w:val="24"/>
        </w:rPr>
        <w:t xml:space="preserve"> </w:t>
      </w:r>
      <w:r w:rsidRPr="004D2C4E">
        <w:rPr>
          <w:rFonts w:cs="Times New Roman"/>
          <w:sz w:val="24"/>
          <w:szCs w:val="24"/>
        </w:rPr>
        <w:t xml:space="preserve">gadam ir nedaudz augstākas nekā ES kopumā, </w:t>
      </w:r>
      <w:r w:rsidRPr="004D2C4E">
        <w:rPr>
          <w:rFonts w:cs="Times New Roman"/>
          <w:sz w:val="24"/>
          <w:szCs w:val="24"/>
        </w:rPr>
        <w:lastRenderedPageBreak/>
        <w:t>veidojot 1,2%, taču, salīdzinot ar pagājušā gada rudenī prognozēto, tās ir pazeminājušās par 0,3 procentpunktiem.</w:t>
      </w:r>
    </w:p>
    <w:p w14:paraId="3B1B8580" w14:textId="19507491" w:rsidR="00594BC3" w:rsidRPr="004D2C4E" w:rsidRDefault="00594BC3" w:rsidP="00594BC3">
      <w:pPr>
        <w:rPr>
          <w:rFonts w:cs="Times New Roman"/>
          <w:sz w:val="24"/>
          <w:szCs w:val="24"/>
        </w:rPr>
      </w:pPr>
      <w:r w:rsidRPr="004D2C4E">
        <w:rPr>
          <w:rFonts w:cs="Times New Roman"/>
          <w:sz w:val="24"/>
          <w:szCs w:val="24"/>
        </w:rPr>
        <w:t xml:space="preserve">Par spēcīgas ekonomiskās izaugsmes atjaunošanos Eiropā pagaidām nesignalizē arī apsteidzošie uzņēmēju un patērētāju konfidences rādītāji. EK veidotais ekonomikas sentimenta indekss (ESI), kas kara un </w:t>
      </w:r>
      <w:proofErr w:type="spellStart"/>
      <w:r w:rsidRPr="004D2C4E">
        <w:rPr>
          <w:rFonts w:cs="Times New Roman"/>
          <w:sz w:val="24"/>
          <w:szCs w:val="24"/>
        </w:rPr>
        <w:t>energokrīzes</w:t>
      </w:r>
      <w:proofErr w:type="spellEnd"/>
      <w:r w:rsidRPr="004D2C4E">
        <w:rPr>
          <w:rFonts w:cs="Times New Roman"/>
          <w:sz w:val="24"/>
          <w:szCs w:val="24"/>
        </w:rPr>
        <w:t xml:space="preserve"> ietekmē 2022.</w:t>
      </w:r>
      <w:r w:rsidR="004D2C4E" w:rsidRPr="004D2C4E">
        <w:rPr>
          <w:rFonts w:cs="Times New Roman"/>
          <w:sz w:val="24"/>
          <w:szCs w:val="24"/>
        </w:rPr>
        <w:t xml:space="preserve"> </w:t>
      </w:r>
      <w:r w:rsidRPr="004D2C4E">
        <w:rPr>
          <w:rFonts w:cs="Times New Roman"/>
          <w:sz w:val="24"/>
          <w:szCs w:val="24"/>
        </w:rPr>
        <w:t xml:space="preserve">gadā piedzīvoja krasu kritumu, kopš </w:t>
      </w:r>
      <w:r w:rsidR="00B4106A">
        <w:rPr>
          <w:rFonts w:cs="Times New Roman"/>
          <w:sz w:val="24"/>
          <w:szCs w:val="24"/>
        </w:rPr>
        <w:t>2023.</w:t>
      </w:r>
      <w:r w:rsidRPr="004D2C4E">
        <w:rPr>
          <w:rFonts w:cs="Times New Roman"/>
          <w:sz w:val="24"/>
          <w:szCs w:val="24"/>
        </w:rPr>
        <w:t xml:space="preserve"> gada vidus ir sācis stabilizēties, pēdējos mēnešos nedaudz paaugstinoties. Taču uzlabojumu dinamika pagaidām ir ļoti neizteikta un uzņēmēju un patērētāju noskaņojums joprojām ir negatīvāks par ilgtermiņa vidējo.</w:t>
      </w:r>
    </w:p>
    <w:p w14:paraId="29DD57D8" w14:textId="6361F480" w:rsidR="00594BC3" w:rsidRPr="004D2C4E" w:rsidRDefault="00594BC3" w:rsidP="00594BC3">
      <w:pPr>
        <w:rPr>
          <w:rFonts w:cs="Times New Roman"/>
          <w:sz w:val="24"/>
          <w:szCs w:val="24"/>
        </w:rPr>
      </w:pPr>
      <w:r w:rsidRPr="004D2C4E">
        <w:rPr>
          <w:rFonts w:cs="Times New Roman"/>
          <w:sz w:val="24"/>
          <w:szCs w:val="24"/>
        </w:rPr>
        <w:t xml:space="preserve">Arī </w:t>
      </w:r>
      <w:proofErr w:type="spellStart"/>
      <w:r w:rsidRPr="004D2C4E">
        <w:rPr>
          <w:rFonts w:cs="Times New Roman"/>
          <w:i/>
          <w:iCs/>
          <w:sz w:val="24"/>
          <w:szCs w:val="24"/>
        </w:rPr>
        <w:t>e</w:t>
      </w:r>
      <w:r w:rsidR="004D2C4E" w:rsidRPr="004D2C4E">
        <w:rPr>
          <w:rFonts w:cs="Times New Roman"/>
          <w:i/>
          <w:iCs/>
          <w:sz w:val="24"/>
          <w:szCs w:val="24"/>
        </w:rPr>
        <w:t>u</w:t>
      </w:r>
      <w:r w:rsidRPr="004D2C4E">
        <w:rPr>
          <w:rFonts w:cs="Times New Roman"/>
          <w:i/>
          <w:iCs/>
          <w:sz w:val="24"/>
          <w:szCs w:val="24"/>
        </w:rPr>
        <w:t>ro</w:t>
      </w:r>
      <w:proofErr w:type="spellEnd"/>
      <w:r w:rsidR="004D2C4E" w:rsidRPr="004D2C4E">
        <w:rPr>
          <w:rFonts w:cs="Times New Roman"/>
          <w:sz w:val="24"/>
          <w:szCs w:val="24"/>
        </w:rPr>
        <w:t xml:space="preserve"> </w:t>
      </w:r>
      <w:r w:rsidRPr="004D2C4E">
        <w:rPr>
          <w:rFonts w:cs="Times New Roman"/>
          <w:sz w:val="24"/>
          <w:szCs w:val="24"/>
        </w:rPr>
        <w:t xml:space="preserve">zonas iepirkumu </w:t>
      </w:r>
      <w:r w:rsidR="007047D1">
        <w:rPr>
          <w:rFonts w:cs="Times New Roman"/>
          <w:sz w:val="24"/>
          <w:szCs w:val="24"/>
        </w:rPr>
        <w:t>vadītāju</w:t>
      </w:r>
      <w:r w:rsidRPr="004D2C4E">
        <w:rPr>
          <w:rFonts w:cs="Times New Roman"/>
          <w:sz w:val="24"/>
          <w:szCs w:val="24"/>
        </w:rPr>
        <w:t xml:space="preserve"> indekss (PMI), kas apsteidzoši parāda ekonomikas izlaides apjomus, ir stabilizējies, taču joprojām atrodas zem 50 atzīmes, kas norāda uz ekonomikas kritumu. Tomēr šis kritums ir mazākais kopš </w:t>
      </w:r>
      <w:r w:rsidR="00B4106A">
        <w:rPr>
          <w:rFonts w:cs="Times New Roman"/>
          <w:sz w:val="24"/>
          <w:szCs w:val="24"/>
        </w:rPr>
        <w:t xml:space="preserve">2023. </w:t>
      </w:r>
      <w:r w:rsidRPr="004D2C4E">
        <w:rPr>
          <w:rFonts w:cs="Times New Roman"/>
          <w:sz w:val="24"/>
          <w:szCs w:val="24"/>
        </w:rPr>
        <w:t xml:space="preserve">gada jūnija un </w:t>
      </w:r>
      <w:r w:rsidR="00B4106A">
        <w:rPr>
          <w:rFonts w:cs="Times New Roman"/>
          <w:sz w:val="24"/>
          <w:szCs w:val="24"/>
        </w:rPr>
        <w:t xml:space="preserve">2024. gada </w:t>
      </w:r>
      <w:r w:rsidRPr="004D2C4E">
        <w:rPr>
          <w:rFonts w:cs="Times New Roman"/>
          <w:sz w:val="24"/>
          <w:szCs w:val="24"/>
        </w:rPr>
        <w:t xml:space="preserve">martā indekss ir pieaudzis līdz 49,9 punktiem, salīdzinot ar 49,2 punktiem februārī. Līdz ar to nākamajos mēnešos jau varētu būt gaidāma izaugsmes atjaunošanās, noslēdzot desmit mēnešu lejupslīdes periodu. </w:t>
      </w:r>
    </w:p>
    <w:p w14:paraId="2B7FB2DE" w14:textId="04AB2A14" w:rsidR="00594BC3" w:rsidRPr="004E1403" w:rsidRDefault="00594BC3" w:rsidP="00594BC3">
      <w:pPr>
        <w:rPr>
          <w:rFonts w:cs="Times New Roman"/>
          <w:sz w:val="24"/>
          <w:szCs w:val="24"/>
        </w:rPr>
      </w:pPr>
      <w:r w:rsidRPr="004D2C4E">
        <w:rPr>
          <w:rFonts w:cs="Times New Roman"/>
          <w:sz w:val="24"/>
          <w:szCs w:val="24"/>
        </w:rPr>
        <w:t xml:space="preserve">Ekonomiskās izaugsmes paātrināšanās un konfidences uzlabošanās lielā mērā ir saistīta ar energoresursu cenu kritumu un inflācijas līmeņa stabilizēšanos, kas ļauj prognozēt arī procentu likmju samazināšanos, centrālajām bankām noslēdzot procentu likmju celšanas ciklu. ASV Federālā rezervju sistēma jau ir signalizējusi par trim gaidāmiem procentu likmju pazeminājumiem šogad, arī ECB plāno likmju pazemināšanu, kas, pēc tirgus dalībnieku prognozēm, varētu sākties </w:t>
      </w:r>
      <w:r w:rsidR="00B4106A">
        <w:rPr>
          <w:rFonts w:cs="Times New Roman"/>
          <w:sz w:val="24"/>
          <w:szCs w:val="24"/>
        </w:rPr>
        <w:t>2024. gada</w:t>
      </w:r>
      <w:r w:rsidRPr="004D2C4E">
        <w:rPr>
          <w:rFonts w:cs="Times New Roman"/>
          <w:sz w:val="24"/>
          <w:szCs w:val="24"/>
        </w:rPr>
        <w:t xml:space="preserve"> vidū. Inflācija </w:t>
      </w:r>
      <w:proofErr w:type="spellStart"/>
      <w:r w:rsidRPr="004D2C4E">
        <w:rPr>
          <w:rFonts w:cs="Times New Roman"/>
          <w:i/>
          <w:iCs/>
          <w:sz w:val="24"/>
          <w:szCs w:val="24"/>
        </w:rPr>
        <w:t>e</w:t>
      </w:r>
      <w:r w:rsidR="004D2C4E" w:rsidRPr="004D2C4E">
        <w:rPr>
          <w:rFonts w:cs="Times New Roman"/>
          <w:i/>
          <w:iCs/>
          <w:sz w:val="24"/>
          <w:szCs w:val="24"/>
        </w:rPr>
        <w:t>u</w:t>
      </w:r>
      <w:r w:rsidRPr="004D2C4E">
        <w:rPr>
          <w:rFonts w:cs="Times New Roman"/>
          <w:i/>
          <w:iCs/>
          <w:sz w:val="24"/>
          <w:szCs w:val="24"/>
        </w:rPr>
        <w:t>ro</w:t>
      </w:r>
      <w:proofErr w:type="spellEnd"/>
      <w:r w:rsidR="004D2C4E" w:rsidRPr="004D2C4E">
        <w:rPr>
          <w:rFonts w:cs="Times New Roman"/>
          <w:sz w:val="24"/>
          <w:szCs w:val="24"/>
        </w:rPr>
        <w:t xml:space="preserve"> </w:t>
      </w:r>
      <w:r w:rsidRPr="004D2C4E">
        <w:rPr>
          <w:rFonts w:cs="Times New Roman"/>
          <w:sz w:val="24"/>
          <w:szCs w:val="24"/>
        </w:rPr>
        <w:t>zonā pēc 10,6% maksimuma sasniegšanas 2022. gada oktobrī</w:t>
      </w:r>
      <w:r w:rsidR="00B4106A">
        <w:rPr>
          <w:rFonts w:cs="Times New Roman"/>
          <w:sz w:val="24"/>
          <w:szCs w:val="24"/>
        </w:rPr>
        <w:t>,</w:t>
      </w:r>
      <w:r w:rsidRPr="004D2C4E">
        <w:rPr>
          <w:rFonts w:cs="Times New Roman"/>
          <w:sz w:val="24"/>
          <w:szCs w:val="24"/>
        </w:rPr>
        <w:t xml:space="preserve"> </w:t>
      </w:r>
      <w:r w:rsidR="00B4106A">
        <w:rPr>
          <w:rFonts w:cs="Times New Roman"/>
          <w:sz w:val="24"/>
          <w:szCs w:val="24"/>
        </w:rPr>
        <w:t>2024. gada</w:t>
      </w:r>
      <w:r w:rsidRPr="004D2C4E">
        <w:rPr>
          <w:rFonts w:cs="Times New Roman"/>
          <w:sz w:val="24"/>
          <w:szCs w:val="24"/>
        </w:rPr>
        <w:t xml:space="preserve"> februārī ir samazinājusies līdz 2,6%, tomēr vēl mazliet pārsniedz ECB noteikto vēlamo inflācijas līmeni, kas ir tuvu, bet nedaudz zem 2%. 2024.</w:t>
      </w:r>
      <w:r w:rsidR="004D2C4E" w:rsidRPr="004D2C4E">
        <w:rPr>
          <w:rFonts w:cs="Times New Roman"/>
          <w:sz w:val="24"/>
          <w:szCs w:val="24"/>
        </w:rPr>
        <w:t xml:space="preserve"> </w:t>
      </w:r>
      <w:r w:rsidRPr="004D2C4E">
        <w:rPr>
          <w:rFonts w:cs="Times New Roman"/>
          <w:sz w:val="24"/>
          <w:szCs w:val="24"/>
        </w:rPr>
        <w:t xml:space="preserve">gadam kopumā EK </w:t>
      </w:r>
      <w:proofErr w:type="spellStart"/>
      <w:r w:rsidRPr="004D2C4E">
        <w:rPr>
          <w:rFonts w:cs="Times New Roman"/>
          <w:i/>
          <w:iCs/>
          <w:sz w:val="24"/>
          <w:szCs w:val="24"/>
        </w:rPr>
        <w:t>e</w:t>
      </w:r>
      <w:r w:rsidR="004D2C4E" w:rsidRPr="004D2C4E">
        <w:rPr>
          <w:rFonts w:cs="Times New Roman"/>
          <w:i/>
          <w:iCs/>
          <w:sz w:val="24"/>
          <w:szCs w:val="24"/>
        </w:rPr>
        <w:t>ur</w:t>
      </w:r>
      <w:r w:rsidRPr="004D2C4E">
        <w:rPr>
          <w:rFonts w:cs="Times New Roman"/>
          <w:i/>
          <w:iCs/>
          <w:sz w:val="24"/>
          <w:szCs w:val="24"/>
        </w:rPr>
        <w:t>o</w:t>
      </w:r>
      <w:proofErr w:type="spellEnd"/>
      <w:r w:rsidR="004D2C4E" w:rsidRPr="004D2C4E">
        <w:rPr>
          <w:rFonts w:cs="Times New Roman"/>
          <w:sz w:val="24"/>
          <w:szCs w:val="24"/>
        </w:rPr>
        <w:t xml:space="preserve"> </w:t>
      </w:r>
      <w:r w:rsidRPr="004D2C4E">
        <w:rPr>
          <w:rFonts w:cs="Times New Roman"/>
          <w:sz w:val="24"/>
          <w:szCs w:val="24"/>
        </w:rPr>
        <w:t xml:space="preserve">zonai prognozē cenu pieaugumu par 2,7%, salīdzinot ar 8,4% inflāciju </w:t>
      </w:r>
      <w:r w:rsidRPr="004E1403">
        <w:rPr>
          <w:rFonts w:cs="Times New Roman"/>
          <w:sz w:val="24"/>
          <w:szCs w:val="24"/>
        </w:rPr>
        <w:t>2022.</w:t>
      </w:r>
      <w:r w:rsidR="004D2C4E" w:rsidRPr="004E1403">
        <w:rPr>
          <w:rFonts w:cs="Times New Roman"/>
          <w:sz w:val="24"/>
          <w:szCs w:val="24"/>
        </w:rPr>
        <w:t xml:space="preserve"> </w:t>
      </w:r>
      <w:r w:rsidRPr="004E1403">
        <w:rPr>
          <w:rFonts w:cs="Times New Roman"/>
          <w:sz w:val="24"/>
          <w:szCs w:val="24"/>
        </w:rPr>
        <w:t>gadā un 5,4% inflāciju 2023.</w:t>
      </w:r>
      <w:r w:rsidR="004D2C4E" w:rsidRPr="004E1403">
        <w:rPr>
          <w:rFonts w:cs="Times New Roman"/>
          <w:sz w:val="24"/>
          <w:szCs w:val="24"/>
        </w:rPr>
        <w:t xml:space="preserve"> </w:t>
      </w:r>
      <w:r w:rsidRPr="004E1403">
        <w:rPr>
          <w:rFonts w:cs="Times New Roman"/>
          <w:sz w:val="24"/>
          <w:szCs w:val="24"/>
        </w:rPr>
        <w:t>gadā.</w:t>
      </w:r>
    </w:p>
    <w:p w14:paraId="5CFDA75E" w14:textId="77777777" w:rsidR="00594BC3" w:rsidRPr="004E1403" w:rsidRDefault="00594BC3" w:rsidP="00594BC3">
      <w:pPr>
        <w:ind w:firstLine="578"/>
        <w:rPr>
          <w:rFonts w:eastAsia="Times New Roman" w:cs="Times New Roman"/>
          <w:sz w:val="24"/>
          <w:szCs w:val="24"/>
        </w:rPr>
      </w:pPr>
    </w:p>
    <w:p w14:paraId="0A0AAE3F" w14:textId="77777777" w:rsidR="00594BC3" w:rsidRPr="004E1403" w:rsidRDefault="00594BC3" w:rsidP="00FA14BF">
      <w:pPr>
        <w:pStyle w:val="Heading2"/>
        <w:numPr>
          <w:ilvl w:val="0"/>
          <w:numId w:val="0"/>
        </w:numPr>
        <w:spacing w:before="0" w:after="240"/>
        <w:ind w:left="578"/>
        <w:rPr>
          <w:sz w:val="28"/>
        </w:rPr>
      </w:pPr>
      <w:bookmarkStart w:id="10" w:name="_Toc38637019"/>
      <w:bookmarkStart w:id="11" w:name="_Toc68334994"/>
      <w:bookmarkStart w:id="12" w:name="_Toc99981158"/>
      <w:bookmarkStart w:id="13" w:name="_Toc164679816"/>
      <w:bookmarkEnd w:id="8"/>
      <w:bookmarkEnd w:id="9"/>
      <w:r w:rsidRPr="004E1403">
        <w:rPr>
          <w:sz w:val="28"/>
        </w:rPr>
        <w:t>2.2. Pašreizējā ekonomiskā attīstība</w:t>
      </w:r>
      <w:bookmarkEnd w:id="10"/>
      <w:bookmarkEnd w:id="11"/>
      <w:r w:rsidRPr="004E1403">
        <w:rPr>
          <w:rStyle w:val="FootnoteReference"/>
          <w:rFonts w:ascii="Times New Roman" w:hAnsi="Times New Roman" w:cs="Times New Roman"/>
          <w:position w:val="6"/>
          <w:sz w:val="24"/>
          <w:szCs w:val="24"/>
        </w:rPr>
        <w:footnoteReference w:id="1"/>
      </w:r>
      <w:bookmarkEnd w:id="12"/>
      <w:bookmarkEnd w:id="13"/>
    </w:p>
    <w:p w14:paraId="56CB6C58" w14:textId="5F659ED8" w:rsidR="00594BC3" w:rsidRPr="000C57CF" w:rsidRDefault="00594BC3" w:rsidP="00594BC3">
      <w:pPr>
        <w:rPr>
          <w:rFonts w:cs="Times New Roman"/>
          <w:sz w:val="24"/>
          <w:szCs w:val="24"/>
        </w:rPr>
      </w:pPr>
      <w:r w:rsidRPr="004E1403">
        <w:rPr>
          <w:rFonts w:cs="Times New Roman"/>
          <w:sz w:val="24"/>
          <w:szCs w:val="24"/>
        </w:rPr>
        <w:t>Līdz 2022.</w:t>
      </w:r>
      <w:r w:rsidR="004E1403" w:rsidRPr="004E1403">
        <w:rPr>
          <w:rFonts w:cs="Times New Roman"/>
          <w:sz w:val="24"/>
          <w:szCs w:val="24"/>
        </w:rPr>
        <w:t xml:space="preserve"> </w:t>
      </w:r>
      <w:r w:rsidRPr="004E1403">
        <w:rPr>
          <w:rFonts w:cs="Times New Roman"/>
          <w:sz w:val="24"/>
          <w:szCs w:val="24"/>
        </w:rPr>
        <w:t>gadam Latvijas ekonomika gan Covid-19 pandēmijas, gan Krievijas uzsāktā kara radītās problēmas bija pārvarējusi labāk nekā sākotnēji prognozēts, taču 2023.</w:t>
      </w:r>
      <w:r w:rsidR="004E1403" w:rsidRPr="004E1403">
        <w:rPr>
          <w:rFonts w:cs="Times New Roman"/>
          <w:sz w:val="24"/>
          <w:szCs w:val="24"/>
        </w:rPr>
        <w:t xml:space="preserve"> </w:t>
      </w:r>
      <w:r w:rsidRPr="004E1403">
        <w:rPr>
          <w:rFonts w:cs="Times New Roman"/>
          <w:sz w:val="24"/>
          <w:szCs w:val="24"/>
        </w:rPr>
        <w:t xml:space="preserve">gadā ārējās vides negatīvā ietekme </w:t>
      </w:r>
      <w:r w:rsidRPr="000C57CF">
        <w:rPr>
          <w:rFonts w:cs="Times New Roman"/>
          <w:sz w:val="24"/>
          <w:szCs w:val="24"/>
        </w:rPr>
        <w:t>kļuva jūtamāka, un krītoties pieprasījumam ārējos tirgos, Latvijas IKP, salīdzinot ar iepriekšējo gadu, samazinājās par 0,3%.</w:t>
      </w:r>
    </w:p>
    <w:p w14:paraId="5508546B" w14:textId="74AE2581" w:rsidR="00594BC3" w:rsidRPr="000C57CF" w:rsidRDefault="00594BC3" w:rsidP="00594BC3">
      <w:pPr>
        <w:rPr>
          <w:rFonts w:cs="Times New Roman"/>
          <w:sz w:val="24"/>
          <w:szCs w:val="24"/>
        </w:rPr>
      </w:pPr>
      <w:r w:rsidRPr="000C57CF">
        <w:rPr>
          <w:rFonts w:cs="Times New Roman"/>
          <w:sz w:val="24"/>
          <w:szCs w:val="24"/>
        </w:rPr>
        <w:t xml:space="preserve">Ekonomikas lejupslīdi </w:t>
      </w:r>
      <w:r w:rsidR="00B4106A">
        <w:rPr>
          <w:rFonts w:cs="Times New Roman"/>
          <w:sz w:val="24"/>
          <w:szCs w:val="24"/>
        </w:rPr>
        <w:t>2023. gadā</w:t>
      </w:r>
      <w:r w:rsidRPr="000C57CF">
        <w:rPr>
          <w:rFonts w:cs="Times New Roman"/>
          <w:sz w:val="24"/>
          <w:szCs w:val="24"/>
        </w:rPr>
        <w:t xml:space="preserve"> noteica galvenokārt zemā ekonomikas izaugsme pasaulē un galvenajās Latvijas ārējās tirdzniecības partnervalstīs, kur attīstības tempus bremzēja gan Krievijas uzsāktais karš Ukrainā un energoresursu cenu kāpums, gan procentu likmju pieaugums, centrālajām bankām cenšoties ierobežot inflāciju. Tā rezultātā Latvijas preču un pakalpojumu eksports </w:t>
      </w:r>
      <w:r w:rsidR="00B4106A">
        <w:rPr>
          <w:rFonts w:cs="Times New Roman"/>
          <w:sz w:val="24"/>
          <w:szCs w:val="24"/>
        </w:rPr>
        <w:t>2023. gadā</w:t>
      </w:r>
      <w:r w:rsidRPr="000C57CF">
        <w:rPr>
          <w:rFonts w:cs="Times New Roman"/>
          <w:sz w:val="24"/>
          <w:szCs w:val="24"/>
        </w:rPr>
        <w:t xml:space="preserve"> kritās par 5,9%, īpaši tas atspoguļojās uz eksportu orientētajā apstrādes rūpniecības nozarē, kas samazinājās par 5,2%, kā arī transporta un uzglabāšanas nozarē (-7,8%), kuru vēl papildus ietekmēja Krievijas kravu tranzīta zaudēšana.</w:t>
      </w:r>
    </w:p>
    <w:p w14:paraId="3B9B6EA7" w14:textId="6636A898" w:rsidR="00594BC3" w:rsidRPr="000C57CF" w:rsidRDefault="00594BC3" w:rsidP="00594BC3">
      <w:pPr>
        <w:rPr>
          <w:rFonts w:cs="Times New Roman"/>
          <w:sz w:val="24"/>
          <w:szCs w:val="24"/>
        </w:rPr>
      </w:pPr>
      <w:r w:rsidRPr="000C57CF">
        <w:rPr>
          <w:rFonts w:cs="Times New Roman"/>
          <w:sz w:val="24"/>
          <w:szCs w:val="24"/>
        </w:rPr>
        <w:t xml:space="preserve">Tajā pašā laikā iekšzemes pieprasījums saglabājās salīdzinoši spēcīgs, īpaši strauji augot investīcijām un būvniecības nozarei, attiecīgi par 8,2% un 18,6%. Sabiedriskais patēriņš palielinājās par 7,0%, nozaru griezumā tas visvairāk saistās ar izglītības, kā arī mākslas, izklaides un atpūtas nozaru pieaugumu par attiecīgi 7,8% un 11,7%. Arī privātā patēriņa samazinājums 1,3% apmērā vērtējams kā salīdzinoši mērens, ņemot vērā krasi pieaugušo cenu līmeni, ko iedzīvotājiem palīdzēja kompensēt gan Covid-19 pandēmijas laikā izveidojušies uzkrājumi, gan valsts </w:t>
      </w:r>
      <w:proofErr w:type="spellStart"/>
      <w:r w:rsidRPr="000C57CF">
        <w:rPr>
          <w:rFonts w:cs="Times New Roman"/>
          <w:sz w:val="24"/>
          <w:szCs w:val="24"/>
        </w:rPr>
        <w:t>energoatbalsta</w:t>
      </w:r>
      <w:proofErr w:type="spellEnd"/>
      <w:r w:rsidRPr="000C57CF">
        <w:rPr>
          <w:rFonts w:cs="Times New Roman"/>
          <w:sz w:val="24"/>
          <w:szCs w:val="24"/>
        </w:rPr>
        <w:t xml:space="preserve"> pasākumi un straujāka pensiju indeksācija 2022.</w:t>
      </w:r>
      <w:r w:rsidR="000C57CF" w:rsidRPr="000C57CF">
        <w:rPr>
          <w:rFonts w:cs="Times New Roman"/>
          <w:sz w:val="24"/>
          <w:szCs w:val="24"/>
        </w:rPr>
        <w:t xml:space="preserve"> </w:t>
      </w:r>
      <w:r w:rsidRPr="000C57CF">
        <w:rPr>
          <w:rFonts w:cs="Times New Roman"/>
          <w:sz w:val="24"/>
          <w:szCs w:val="24"/>
        </w:rPr>
        <w:t>gada otrajā pusē. Izlietojuma puses komponenšu, tajā skaita eksporta, importa, investīciju un privātā un sabiedriskā patēriņa devumi IKP pieaugumā apkopoti 2.2. attēlā.</w:t>
      </w:r>
    </w:p>
    <w:p w14:paraId="54F0D814" w14:textId="77777777" w:rsidR="00594BC3" w:rsidRPr="00594BC3" w:rsidRDefault="00594BC3" w:rsidP="00594BC3">
      <w:pPr>
        <w:rPr>
          <w:rFonts w:cs="Times New Roman"/>
          <w:sz w:val="24"/>
          <w:szCs w:val="24"/>
          <w:highlight w:val="yellow"/>
        </w:rPr>
      </w:pPr>
    </w:p>
    <w:p w14:paraId="369E682F" w14:textId="77777777" w:rsidR="00594BC3" w:rsidRPr="000C57CF" w:rsidRDefault="00594BC3" w:rsidP="00594BC3">
      <w:pPr>
        <w:ind w:firstLine="0"/>
        <w:rPr>
          <w:rFonts w:cs="Times New Roman"/>
          <w:sz w:val="24"/>
          <w:szCs w:val="24"/>
        </w:rPr>
      </w:pPr>
      <w:r w:rsidRPr="000C57CF">
        <w:rPr>
          <w:noProof/>
        </w:rPr>
        <w:lastRenderedPageBreak/>
        <w:drawing>
          <wp:inline distT="0" distB="0" distL="0" distR="0" wp14:anchorId="1E3D2A00" wp14:editId="2B80F687">
            <wp:extent cx="5274310" cy="3531870"/>
            <wp:effectExtent l="0" t="0" r="2540" b="0"/>
            <wp:docPr id="1192585418" name="Chart 1">
              <a:extLst xmlns:a="http://schemas.openxmlformats.org/drawingml/2006/main">
                <a:ext uri="{FF2B5EF4-FFF2-40B4-BE49-F238E27FC236}">
                  <a16:creationId xmlns:a16="http://schemas.microsoft.com/office/drawing/2014/main" id="{EB46B9AF-A7DB-BB07-7CF5-C49E00796B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60FA2A5" w14:textId="4381D9F3" w:rsidR="00594BC3" w:rsidRPr="000C57CF" w:rsidRDefault="00594BC3" w:rsidP="00594BC3">
      <w:pPr>
        <w:pStyle w:val="Zpar"/>
        <w:spacing w:before="120" w:after="120"/>
        <w:ind w:left="0" w:right="-57" w:firstLine="0"/>
        <w:jc w:val="center"/>
        <w:rPr>
          <w:rFonts w:ascii="Times New Roman" w:hAnsi="Times New Roman"/>
          <w:b/>
          <w:noProof/>
          <w:sz w:val="24"/>
          <w:szCs w:val="24"/>
        </w:rPr>
      </w:pPr>
      <w:r w:rsidRPr="000C57CF">
        <w:rPr>
          <w:rFonts w:ascii="Times New Roman" w:hAnsi="Times New Roman"/>
          <w:b/>
          <w:noProof/>
          <w:sz w:val="24"/>
          <w:szCs w:val="24"/>
        </w:rPr>
        <w:t xml:space="preserve">2.2. att. Izlietojuma puses komponenšu devums IKP izaugsmē, </w:t>
      </w:r>
      <w:r w:rsidR="00796B1A">
        <w:rPr>
          <w:rFonts w:ascii="Times New Roman" w:hAnsi="Times New Roman"/>
          <w:b/>
          <w:noProof/>
          <w:sz w:val="24"/>
          <w:szCs w:val="24"/>
        </w:rPr>
        <w:t>procent</w:t>
      </w:r>
      <w:r w:rsidRPr="000C57CF">
        <w:rPr>
          <w:rFonts w:ascii="Times New Roman" w:hAnsi="Times New Roman"/>
          <w:b/>
          <w:noProof/>
          <w:sz w:val="24"/>
          <w:szCs w:val="24"/>
        </w:rPr>
        <w:t>punkti</w:t>
      </w:r>
    </w:p>
    <w:p w14:paraId="50DF9066" w14:textId="77777777" w:rsidR="00594BC3" w:rsidRPr="00594BC3" w:rsidRDefault="00594BC3" w:rsidP="00594BC3">
      <w:pPr>
        <w:rPr>
          <w:rFonts w:cs="Times New Roman"/>
          <w:sz w:val="24"/>
          <w:szCs w:val="24"/>
          <w:highlight w:val="yellow"/>
        </w:rPr>
      </w:pPr>
    </w:p>
    <w:p w14:paraId="2BB367A8" w14:textId="78FC7224" w:rsidR="00594BC3" w:rsidRPr="000C57CF" w:rsidRDefault="00594BC3" w:rsidP="00594BC3">
      <w:pPr>
        <w:rPr>
          <w:rFonts w:cs="Times New Roman"/>
          <w:sz w:val="24"/>
          <w:szCs w:val="24"/>
        </w:rPr>
      </w:pPr>
      <w:r w:rsidRPr="000C57CF">
        <w:rPr>
          <w:rFonts w:cs="Times New Roman"/>
          <w:sz w:val="24"/>
          <w:szCs w:val="24"/>
        </w:rPr>
        <w:t xml:space="preserve">Arī </w:t>
      </w:r>
      <w:r w:rsidR="00B4106A">
        <w:rPr>
          <w:rFonts w:cs="Times New Roman"/>
          <w:sz w:val="24"/>
          <w:szCs w:val="24"/>
        </w:rPr>
        <w:t>2024. gadā</w:t>
      </w:r>
      <w:r w:rsidRPr="000C57CF">
        <w:rPr>
          <w:rFonts w:cs="Times New Roman"/>
          <w:sz w:val="24"/>
          <w:szCs w:val="24"/>
        </w:rPr>
        <w:t xml:space="preserve"> Latvijas ekonomikas attīstību turpinās noteikt galvenokārt situācija ārējos tirgos, pirmām kārtām </w:t>
      </w:r>
      <w:proofErr w:type="spellStart"/>
      <w:r w:rsidRPr="000C57CF">
        <w:rPr>
          <w:rFonts w:cs="Times New Roman"/>
          <w:i/>
          <w:iCs/>
          <w:sz w:val="24"/>
          <w:szCs w:val="24"/>
        </w:rPr>
        <w:t>e</w:t>
      </w:r>
      <w:r w:rsidR="000C57CF" w:rsidRPr="000C57CF">
        <w:rPr>
          <w:rFonts w:cs="Times New Roman"/>
          <w:i/>
          <w:iCs/>
          <w:sz w:val="24"/>
          <w:szCs w:val="24"/>
        </w:rPr>
        <w:t>u</w:t>
      </w:r>
      <w:r w:rsidRPr="000C57CF">
        <w:rPr>
          <w:rFonts w:cs="Times New Roman"/>
          <w:i/>
          <w:iCs/>
          <w:sz w:val="24"/>
          <w:szCs w:val="24"/>
        </w:rPr>
        <w:t>ro</w:t>
      </w:r>
      <w:proofErr w:type="spellEnd"/>
      <w:r w:rsidR="000C57CF" w:rsidRPr="000C57CF">
        <w:rPr>
          <w:rFonts w:cs="Times New Roman"/>
          <w:sz w:val="24"/>
          <w:szCs w:val="24"/>
        </w:rPr>
        <w:t xml:space="preserve"> </w:t>
      </w:r>
      <w:r w:rsidRPr="000C57CF">
        <w:rPr>
          <w:rFonts w:cs="Times New Roman"/>
          <w:sz w:val="24"/>
          <w:szCs w:val="24"/>
        </w:rPr>
        <w:t xml:space="preserve">zonā, kur ekonomikas izaugsme prognozēta spēcīgāka nekā pērn, lai gan vēl joprojām tā ir vēsturiski zemā līmenī. Ekonomikas izaugsmi </w:t>
      </w:r>
      <w:proofErr w:type="spellStart"/>
      <w:r w:rsidRPr="000C57CF">
        <w:rPr>
          <w:rFonts w:cs="Times New Roman"/>
          <w:i/>
          <w:iCs/>
          <w:sz w:val="24"/>
          <w:szCs w:val="24"/>
        </w:rPr>
        <w:t>e</w:t>
      </w:r>
      <w:r w:rsidR="000C57CF" w:rsidRPr="000C57CF">
        <w:rPr>
          <w:rFonts w:cs="Times New Roman"/>
          <w:i/>
          <w:iCs/>
          <w:sz w:val="24"/>
          <w:szCs w:val="24"/>
        </w:rPr>
        <w:t>u</w:t>
      </w:r>
      <w:r w:rsidRPr="000C57CF">
        <w:rPr>
          <w:rFonts w:cs="Times New Roman"/>
          <w:i/>
          <w:iCs/>
          <w:sz w:val="24"/>
          <w:szCs w:val="24"/>
        </w:rPr>
        <w:t>ro</w:t>
      </w:r>
      <w:proofErr w:type="spellEnd"/>
      <w:r w:rsidR="000C57CF" w:rsidRPr="000C57CF">
        <w:rPr>
          <w:rFonts w:cs="Times New Roman"/>
          <w:sz w:val="24"/>
          <w:szCs w:val="24"/>
        </w:rPr>
        <w:t xml:space="preserve"> </w:t>
      </w:r>
      <w:r w:rsidRPr="000C57CF">
        <w:rPr>
          <w:rFonts w:cs="Times New Roman"/>
          <w:sz w:val="24"/>
          <w:szCs w:val="24"/>
        </w:rPr>
        <w:t xml:space="preserve">zonā pagaidām bremzē augstās procentu likmes, taču līdz ar inflācijas mazināšanos gaidāma arī procentu likmju pazemināšana, kas labvēlīgi ietekmēs </w:t>
      </w:r>
      <w:proofErr w:type="spellStart"/>
      <w:r w:rsidRPr="000C57CF">
        <w:rPr>
          <w:rFonts w:cs="Times New Roman"/>
          <w:i/>
          <w:iCs/>
          <w:sz w:val="24"/>
          <w:szCs w:val="24"/>
        </w:rPr>
        <w:t>e</w:t>
      </w:r>
      <w:r w:rsidR="000C57CF" w:rsidRPr="000C57CF">
        <w:rPr>
          <w:rFonts w:cs="Times New Roman"/>
          <w:i/>
          <w:iCs/>
          <w:sz w:val="24"/>
          <w:szCs w:val="24"/>
        </w:rPr>
        <w:t>u</w:t>
      </w:r>
      <w:r w:rsidRPr="000C57CF">
        <w:rPr>
          <w:rFonts w:cs="Times New Roman"/>
          <w:i/>
          <w:iCs/>
          <w:sz w:val="24"/>
          <w:szCs w:val="24"/>
        </w:rPr>
        <w:t>ro</w:t>
      </w:r>
      <w:proofErr w:type="spellEnd"/>
      <w:r w:rsidR="000C57CF" w:rsidRPr="000C57CF">
        <w:rPr>
          <w:rFonts w:cs="Times New Roman"/>
          <w:sz w:val="24"/>
          <w:szCs w:val="24"/>
        </w:rPr>
        <w:t xml:space="preserve"> </w:t>
      </w:r>
      <w:r w:rsidRPr="000C57CF">
        <w:rPr>
          <w:rFonts w:cs="Times New Roman"/>
          <w:sz w:val="24"/>
          <w:szCs w:val="24"/>
        </w:rPr>
        <w:t xml:space="preserve">zonas izaugsmi. Cenu pieaugumam apstājoties, Latvijā turpinās atjaunoties iedzīvotāju pirktspēja, algu pieauguma tempam jau būtiski pārsniedzot cenu pieaugumu un radot priekšnosacījumus privātā patēriņa palielinājumam. Būtiska loma būs arī lielo investīciju projektu realizācijai un </w:t>
      </w:r>
      <w:r w:rsidR="000C57CF" w:rsidRPr="000C57CF">
        <w:rPr>
          <w:rFonts w:cs="Times New Roman"/>
          <w:sz w:val="24"/>
          <w:szCs w:val="24"/>
        </w:rPr>
        <w:t>ES</w:t>
      </w:r>
      <w:r w:rsidRPr="000C57CF">
        <w:rPr>
          <w:rFonts w:cs="Times New Roman"/>
          <w:sz w:val="24"/>
          <w:szCs w:val="24"/>
        </w:rPr>
        <w:t xml:space="preserve"> fondu finansējuma kāpumam. </w:t>
      </w:r>
    </w:p>
    <w:p w14:paraId="1C9C6044" w14:textId="7467D311" w:rsidR="00594BC3" w:rsidRPr="000C57CF" w:rsidRDefault="00594BC3" w:rsidP="00594BC3">
      <w:pPr>
        <w:rPr>
          <w:rFonts w:cs="Times New Roman"/>
          <w:sz w:val="24"/>
          <w:szCs w:val="24"/>
        </w:rPr>
      </w:pPr>
      <w:r w:rsidRPr="000C57CF">
        <w:rPr>
          <w:rFonts w:cs="Times New Roman"/>
          <w:sz w:val="24"/>
          <w:szCs w:val="24"/>
        </w:rPr>
        <w:t xml:space="preserve">Vienlaikus jāatzīmē, ka joprojām saglabājas ļoti augsta nenoteiktība un ārējie riski, īpaši saistībā ar ģeopolitisko situāciju un karu Ukrainā, kā arī ar </w:t>
      </w:r>
      <w:proofErr w:type="spellStart"/>
      <w:r w:rsidRPr="000C57CF">
        <w:rPr>
          <w:rFonts w:cs="Times New Roman"/>
          <w:i/>
          <w:iCs/>
          <w:sz w:val="24"/>
          <w:szCs w:val="24"/>
        </w:rPr>
        <w:t>e</w:t>
      </w:r>
      <w:r w:rsidR="000C57CF" w:rsidRPr="000C57CF">
        <w:rPr>
          <w:rFonts w:cs="Times New Roman"/>
          <w:i/>
          <w:iCs/>
          <w:sz w:val="24"/>
          <w:szCs w:val="24"/>
        </w:rPr>
        <w:t>u</w:t>
      </w:r>
      <w:r w:rsidRPr="000C57CF">
        <w:rPr>
          <w:rFonts w:cs="Times New Roman"/>
          <w:i/>
          <w:iCs/>
          <w:sz w:val="24"/>
          <w:szCs w:val="24"/>
        </w:rPr>
        <w:t>ro</w:t>
      </w:r>
      <w:proofErr w:type="spellEnd"/>
      <w:r w:rsidR="000C57CF">
        <w:rPr>
          <w:rFonts w:cs="Times New Roman"/>
          <w:sz w:val="24"/>
          <w:szCs w:val="24"/>
        </w:rPr>
        <w:t xml:space="preserve"> </w:t>
      </w:r>
      <w:r w:rsidRPr="000C57CF">
        <w:rPr>
          <w:rFonts w:cs="Times New Roman"/>
          <w:sz w:val="24"/>
          <w:szCs w:val="24"/>
        </w:rPr>
        <w:t>zonas ekonomikas attīstību un situāciju pasaulē kopumā, kas kavē investīciju lēmumu pieņemšanu un mazina patērētāju konfidenci.</w:t>
      </w:r>
    </w:p>
    <w:p w14:paraId="3625C813" w14:textId="77777777" w:rsidR="00594BC3" w:rsidRPr="00BB63F1" w:rsidRDefault="00594BC3" w:rsidP="00594BC3">
      <w:pPr>
        <w:pStyle w:val="H4"/>
        <w:spacing w:before="240"/>
        <w:ind w:left="0" w:firstLine="720"/>
        <w:jc w:val="both"/>
        <w:rPr>
          <w:rFonts w:ascii="Times New Roman" w:hAnsi="Times New Roman"/>
          <w:iCs/>
          <w:sz w:val="24"/>
          <w:szCs w:val="24"/>
        </w:rPr>
      </w:pPr>
      <w:r w:rsidRPr="00BB63F1">
        <w:rPr>
          <w:rFonts w:ascii="Times New Roman" w:hAnsi="Times New Roman"/>
          <w:iCs/>
          <w:sz w:val="24"/>
          <w:szCs w:val="24"/>
        </w:rPr>
        <w:t xml:space="preserve">Nozaru attīstība </w:t>
      </w:r>
    </w:p>
    <w:p w14:paraId="627963A8" w14:textId="5A3174D9" w:rsidR="00594BC3" w:rsidRPr="00BB63F1" w:rsidRDefault="00594BC3" w:rsidP="00594BC3">
      <w:pPr>
        <w:rPr>
          <w:rFonts w:cs="Times New Roman"/>
          <w:bCs/>
          <w:sz w:val="24"/>
          <w:szCs w:val="24"/>
        </w:rPr>
      </w:pPr>
      <w:r w:rsidRPr="00BB63F1">
        <w:rPr>
          <w:rFonts w:cs="Times New Roman"/>
          <w:b/>
          <w:sz w:val="24"/>
          <w:szCs w:val="24"/>
        </w:rPr>
        <w:t>Rūpniecības nozares</w:t>
      </w:r>
      <w:r w:rsidRPr="00BB63F1">
        <w:rPr>
          <w:rFonts w:cs="Times New Roman"/>
          <w:bCs/>
          <w:sz w:val="24"/>
          <w:szCs w:val="24"/>
        </w:rPr>
        <w:t xml:space="preserve"> pievienotā vērtība salīdzināmajās cenās 2023. gadā sarukusi par 4,6%, savukārt apstrādes rūpniecības pievienotā vērtība, kas </w:t>
      </w:r>
      <w:r w:rsidR="00B4106A">
        <w:rPr>
          <w:rFonts w:cs="Times New Roman"/>
          <w:bCs/>
          <w:sz w:val="24"/>
          <w:szCs w:val="24"/>
        </w:rPr>
        <w:t>veido</w:t>
      </w:r>
      <w:r w:rsidRPr="00BB63F1">
        <w:rPr>
          <w:rFonts w:cs="Times New Roman"/>
          <w:bCs/>
          <w:sz w:val="24"/>
          <w:szCs w:val="24"/>
        </w:rPr>
        <w:t xml:space="preserve"> 81,5% no visas rūpniecības, samazinājusies par 5,2%. Samazinoties energoresursu cenām, ražotāju cenas 2023. gada pirmajā pusē vēl pieauga, taču otrajā pusgadā tās jau bija zemākas nekā gadu iepriekš. Nozares uzņēmumu darbību visvairāk ierobežojošais faktors 2023. gadā pārliecinoši bija nepietiekamais pieprasījums pēc Latvijas ražojumiem, ko noteica Eiropas vājā ekonomiskā izaugsme, kā arī joprojām augstās ražošanas izmaksas Latvijā. Liela daļa Latvijas eksporta produkcijas ir paredzēta Eiropas būvniecības nozarei, taču kredītu procentu likmju pieaugums vājina būvniecības pieprasījumu, Latvijas galveno eksporta partnervalstu iedzīvotājiem un uzņēmējiem atliekot būvniecības projektu realizāciju līdz brīdim, kad kreditēšanās nosacījumi kļūs izdevīgāki.</w:t>
      </w:r>
    </w:p>
    <w:p w14:paraId="65F10D4E" w14:textId="7CDB1913" w:rsidR="00594BC3" w:rsidRPr="004747D9" w:rsidRDefault="00594BC3" w:rsidP="00594BC3">
      <w:pPr>
        <w:rPr>
          <w:rFonts w:cs="Times New Roman"/>
          <w:bCs/>
          <w:sz w:val="24"/>
          <w:szCs w:val="24"/>
        </w:rPr>
      </w:pPr>
      <w:r w:rsidRPr="00BB63F1">
        <w:rPr>
          <w:rFonts w:cs="Times New Roman"/>
          <w:bCs/>
          <w:sz w:val="24"/>
          <w:szCs w:val="24"/>
        </w:rPr>
        <w:t xml:space="preserve">Gan rūpniecības, gan apstrādes rūpniecības izlaides apjomi 2023. gadā pret 2022. gadu ir samazinājušies par 4,5%, kas ir lielākais sarukums kopš 2009. gada. Ražošanas apjomi 2023. </w:t>
      </w:r>
      <w:r w:rsidRPr="00BB63F1">
        <w:rPr>
          <w:rFonts w:cs="Times New Roman"/>
          <w:bCs/>
          <w:sz w:val="24"/>
          <w:szCs w:val="24"/>
        </w:rPr>
        <w:lastRenderedPageBreak/>
        <w:t xml:space="preserve">gadā bijuši augstāki gada sākumā un gada beigās, bet vasaras mēnešos tie sarukuši visvairāk. Vislielāko negatīvo ietekmi atstāja lielākā Latvijas apstrādes rūpniecības </w:t>
      </w:r>
      <w:proofErr w:type="spellStart"/>
      <w:r w:rsidRPr="00BB63F1">
        <w:rPr>
          <w:rFonts w:cs="Times New Roman"/>
          <w:bCs/>
          <w:sz w:val="24"/>
          <w:szCs w:val="24"/>
        </w:rPr>
        <w:t>apakšnozare</w:t>
      </w:r>
      <w:proofErr w:type="spellEnd"/>
      <w:r w:rsidRPr="00BB63F1">
        <w:rPr>
          <w:rFonts w:cs="Times New Roman"/>
          <w:bCs/>
          <w:sz w:val="24"/>
          <w:szCs w:val="24"/>
        </w:rPr>
        <w:t xml:space="preserve"> – kokrūpniecība, kur sarukums </w:t>
      </w:r>
      <w:r w:rsidR="00B4106A">
        <w:rPr>
          <w:rFonts w:cs="Times New Roman"/>
          <w:bCs/>
          <w:sz w:val="24"/>
          <w:szCs w:val="24"/>
        </w:rPr>
        <w:t>2023. gadā</w:t>
      </w:r>
      <w:r w:rsidRPr="00BB63F1">
        <w:rPr>
          <w:rFonts w:cs="Times New Roman"/>
          <w:bCs/>
          <w:sz w:val="24"/>
          <w:szCs w:val="24"/>
        </w:rPr>
        <w:t xml:space="preserve"> bijis 7,8% apmērā. Arī citas lielās nozares kā nemetālisko minerālu un metālizstrādājumu ražošana samazinājās attiecīgi par 16,4% un 5,7%. Par 28,3% samazinājās arī poligrāfija un ierakstu reproducēšana, arī mēbeļu ražotājiem neklājās viegli un ražošanas apjomi saruka par 20,2%. Vienlaikus no tālāka krituma apstrādes rūpniecību atturēja pārtikas nozare (+4,5%), kur pieaugums bijis lielākais kopš 2017. gada. Pieauga arī datoru, elektronisko un optisko iekārtu ražošana (+16,7%), elektrisko iekārtu ražošana (+13,1%), citur nekvalificētu iekārtu, mehānismu un darba mašīnu ražošana (+5,3%), kā arī iekārtu un ierīču remonts un uzstādīšana (+27,1%). Tehniskie ražojumi, kā datori un elektriskās iekārtas visbiežāk ir ar augstu pievienoto vērtību, kas nodrošina lielāku pieprasījumu laikā, kad zemas </w:t>
      </w:r>
      <w:r w:rsidRPr="004747D9">
        <w:rPr>
          <w:rFonts w:cs="Times New Roman"/>
          <w:bCs/>
          <w:sz w:val="24"/>
          <w:szCs w:val="24"/>
        </w:rPr>
        <w:t>pievienotās vērtības precēm pieprasījums ir samazinājies.</w:t>
      </w:r>
    </w:p>
    <w:p w14:paraId="6B984B0A" w14:textId="77777777" w:rsidR="00594BC3" w:rsidRPr="004747D9" w:rsidRDefault="00594BC3" w:rsidP="00594BC3">
      <w:pPr>
        <w:rPr>
          <w:rFonts w:cs="Times New Roman"/>
          <w:bCs/>
          <w:sz w:val="24"/>
          <w:szCs w:val="24"/>
        </w:rPr>
      </w:pPr>
      <w:r w:rsidRPr="004747D9">
        <w:rPr>
          <w:rFonts w:cs="Times New Roman"/>
          <w:bCs/>
          <w:sz w:val="24"/>
          <w:szCs w:val="24"/>
        </w:rPr>
        <w:t>Elektroenerģijas un gāzes apgādes nozare, kuras īpatsvars visā rūpniecībā ir 15,7%, 2022. gadā elektroenerģijas un gāzes cenu kāpuma ietekmē saruka par 11,5%. Lai gan 2023. gadā energoresursu cenas samazinājās, tomēr patēriņš nepieauga un nozare samazinājās vēl par 0,8%. Tikmēr ieguves rūpniecība, kas aizņem vien 2,8% no visas rūpniecības, arī cietusi zemā pieprasījuma dēļ un ražošanas apjomi 2023. gadā ir samazinājušies par 19%.</w:t>
      </w:r>
    </w:p>
    <w:p w14:paraId="4C83B971" w14:textId="77777777" w:rsidR="00594BC3" w:rsidRPr="004747D9" w:rsidRDefault="00594BC3" w:rsidP="00594BC3">
      <w:pPr>
        <w:rPr>
          <w:rFonts w:cs="Times New Roman"/>
          <w:bCs/>
          <w:sz w:val="24"/>
          <w:szCs w:val="24"/>
        </w:rPr>
      </w:pPr>
      <w:r w:rsidRPr="004747D9">
        <w:rPr>
          <w:rFonts w:cs="Times New Roman"/>
          <w:bCs/>
          <w:sz w:val="24"/>
          <w:szCs w:val="24"/>
        </w:rPr>
        <w:t>Turpmākās tendences apstrādes rūpniecībā būs atkarīgas no ekonomikas izaugsmes tempiem Latvijas lielākajās tirdzniecības partnervalstīs. Ražotāji norāda uz izteikti zemu pieprasījumu, kas sāks atjaunoties līdz ar ekonomiskās situācijas straujāku uzlabošanos ES valstīs.</w:t>
      </w:r>
    </w:p>
    <w:p w14:paraId="746DF2CC" w14:textId="13F36102" w:rsidR="00594BC3" w:rsidRPr="004747D9" w:rsidRDefault="00594BC3" w:rsidP="00594BC3">
      <w:pPr>
        <w:rPr>
          <w:rFonts w:cs="Times New Roman"/>
          <w:bCs/>
          <w:sz w:val="24"/>
          <w:szCs w:val="24"/>
        </w:rPr>
      </w:pPr>
      <w:r w:rsidRPr="004747D9">
        <w:rPr>
          <w:rFonts w:cs="Times New Roman"/>
          <w:b/>
          <w:sz w:val="24"/>
          <w:szCs w:val="24"/>
        </w:rPr>
        <w:t>Būvniecības nozares</w:t>
      </w:r>
      <w:r w:rsidRPr="004747D9">
        <w:rPr>
          <w:rFonts w:cs="Times New Roman"/>
          <w:bCs/>
          <w:sz w:val="24"/>
          <w:szCs w:val="24"/>
        </w:rPr>
        <w:t xml:space="preserve"> straujā izaugsme 2023. gadā būtiski uzlaboja situāciju arī tautsaimniecībā kopumā. Pēc pievienotās vērtības samazinājumiem 2020. – 2022. gadā, 2023. gadā būvniecības nozares pievienotā vērtība ir pieaugusi par 18,6% salīdzināmās cenās. Nozare ir pārvarējusi laiku, kad strauji pieauga būvniecības izmaksas, kas nereti lika pārtraukt uzsāktos būvprojektus, pusēm nespējot vienoties par izmaiņām līgumu nosacījumos. Būvniecības apjomi pret iepriekšējo gadu (+18,9%) 2023. gadā pieauguši nedaudz vairāk nekā pievienotā vērtība un ir sasnieguši aptuveni 2019. – 2020. gada vidējo rādītāju, kad visaktīvāk tika </w:t>
      </w:r>
      <w:r w:rsidR="00B4106A">
        <w:rPr>
          <w:rFonts w:cs="Times New Roman"/>
          <w:bCs/>
          <w:sz w:val="24"/>
          <w:szCs w:val="24"/>
        </w:rPr>
        <w:t>ieguldīti</w:t>
      </w:r>
      <w:r w:rsidRPr="004747D9">
        <w:rPr>
          <w:rFonts w:cs="Times New Roman"/>
          <w:bCs/>
          <w:sz w:val="24"/>
          <w:szCs w:val="24"/>
        </w:rPr>
        <w:t xml:space="preserve"> ES fondu 2014. – 2020. gada cikla līdzekļi. Arī turpmākie būvniecības apjomi būs atkarīgi no spējas veiksmīgi izmantot nākamā fondu cikla (2021. – 2027.</w:t>
      </w:r>
      <w:r w:rsidR="004747D9" w:rsidRPr="004747D9">
        <w:rPr>
          <w:rFonts w:cs="Times New Roman"/>
          <w:bCs/>
          <w:sz w:val="24"/>
          <w:szCs w:val="24"/>
        </w:rPr>
        <w:t xml:space="preserve"> </w:t>
      </w:r>
      <w:r w:rsidRPr="004747D9">
        <w:rPr>
          <w:rFonts w:cs="Times New Roman"/>
          <w:bCs/>
          <w:sz w:val="24"/>
          <w:szCs w:val="24"/>
        </w:rPr>
        <w:t>g.) līdzekļus. Vienlaikus pie straujas ES fondu līdzekļu apguves var rasties nozares pārkaršanas riski, kas var izpausties kā darbaspēka trūkums.</w:t>
      </w:r>
    </w:p>
    <w:p w14:paraId="390878A4" w14:textId="516BCBC7" w:rsidR="00594BC3" w:rsidRPr="004747D9" w:rsidRDefault="00594BC3" w:rsidP="00594BC3">
      <w:pPr>
        <w:rPr>
          <w:rFonts w:eastAsia="Times New Roman" w:cs="Times New Roman"/>
          <w:bCs/>
          <w:sz w:val="24"/>
          <w:szCs w:val="24"/>
        </w:rPr>
      </w:pPr>
      <w:r w:rsidRPr="004747D9">
        <w:rPr>
          <w:rFonts w:eastAsia="Times New Roman" w:cs="Times New Roman"/>
          <w:b/>
          <w:sz w:val="24"/>
          <w:szCs w:val="24"/>
        </w:rPr>
        <w:t>Transporta un uzglabāšanas nozare</w:t>
      </w:r>
      <w:r w:rsidRPr="004747D9">
        <w:rPr>
          <w:rFonts w:eastAsia="Times New Roman" w:cs="Times New Roman"/>
          <w:bCs/>
          <w:sz w:val="24"/>
          <w:szCs w:val="24"/>
        </w:rPr>
        <w:t xml:space="preserve"> bija viena no pandēmijas smagāk skartajām nozarēm un arī Krievijas uzsāktais karš Ukrainā un tirdzniecības ierobežojumi šo nozari ietekmējuši spēcīgāk nekā pārējās. 2022.</w:t>
      </w:r>
      <w:r w:rsidR="004747D9" w:rsidRPr="004747D9">
        <w:rPr>
          <w:rFonts w:eastAsia="Times New Roman" w:cs="Times New Roman"/>
          <w:bCs/>
          <w:sz w:val="24"/>
          <w:szCs w:val="24"/>
        </w:rPr>
        <w:t xml:space="preserve"> </w:t>
      </w:r>
      <w:r w:rsidRPr="004747D9">
        <w:rPr>
          <w:rFonts w:eastAsia="Times New Roman" w:cs="Times New Roman"/>
          <w:bCs/>
          <w:sz w:val="24"/>
          <w:szCs w:val="24"/>
        </w:rPr>
        <w:t>gadā transporta nozares pieaugums sasniedza 3,0%, ko nodrošināja pasažieru pārvadājumu atjaunošanās pēc Covid-19 ierobežojumiem, bet 2023.</w:t>
      </w:r>
      <w:r w:rsidR="004747D9" w:rsidRPr="004747D9">
        <w:rPr>
          <w:rFonts w:eastAsia="Times New Roman" w:cs="Times New Roman"/>
          <w:bCs/>
          <w:sz w:val="24"/>
          <w:szCs w:val="24"/>
        </w:rPr>
        <w:t xml:space="preserve"> </w:t>
      </w:r>
      <w:r w:rsidRPr="004747D9">
        <w:rPr>
          <w:rFonts w:eastAsia="Times New Roman" w:cs="Times New Roman"/>
          <w:bCs/>
          <w:sz w:val="24"/>
          <w:szCs w:val="24"/>
        </w:rPr>
        <w:t>gadā nozare piedzīvoja 7,8% kritumu, pasažieru pārvadājumu pieaugumam vairs nespējot kompensēt zaudējumus kravu transportā, īpaši krītoties Krievijas kravu tranzītam dzelzceļā un ostās.</w:t>
      </w:r>
    </w:p>
    <w:p w14:paraId="15090139" w14:textId="49678F72" w:rsidR="00594BC3" w:rsidRPr="004747D9" w:rsidRDefault="00594BC3" w:rsidP="00594BC3">
      <w:pPr>
        <w:rPr>
          <w:rFonts w:eastAsia="Times New Roman" w:cs="Times New Roman"/>
          <w:bCs/>
          <w:sz w:val="24"/>
          <w:szCs w:val="24"/>
        </w:rPr>
      </w:pPr>
      <w:r w:rsidRPr="004747D9">
        <w:rPr>
          <w:rFonts w:eastAsia="Times New Roman" w:cs="Times New Roman"/>
          <w:bCs/>
          <w:sz w:val="24"/>
          <w:szCs w:val="24"/>
        </w:rPr>
        <w:t>Pasažieru skaits lidostā “Rīga” 2023. gadā, salīdzinot ar iepriekšējo gadu, palielinājās par 23,2% un sasniedza 6,6 milj</w:t>
      </w:r>
      <w:r w:rsidR="004747D9" w:rsidRPr="004747D9">
        <w:rPr>
          <w:rFonts w:eastAsia="Times New Roman" w:cs="Times New Roman"/>
          <w:bCs/>
          <w:sz w:val="24"/>
          <w:szCs w:val="24"/>
        </w:rPr>
        <w:t>.</w:t>
      </w:r>
      <w:r w:rsidRPr="004747D9">
        <w:rPr>
          <w:rFonts w:eastAsia="Times New Roman" w:cs="Times New Roman"/>
          <w:bCs/>
          <w:sz w:val="24"/>
          <w:szCs w:val="24"/>
        </w:rPr>
        <w:t>, tomēr vēl joprojām atpalika no 2018.</w:t>
      </w:r>
      <w:r w:rsidR="004747D9" w:rsidRPr="004747D9">
        <w:rPr>
          <w:rFonts w:eastAsia="Times New Roman" w:cs="Times New Roman"/>
          <w:bCs/>
          <w:sz w:val="24"/>
          <w:szCs w:val="24"/>
        </w:rPr>
        <w:t xml:space="preserve"> – </w:t>
      </w:r>
      <w:r w:rsidRPr="004747D9">
        <w:rPr>
          <w:rFonts w:eastAsia="Times New Roman" w:cs="Times New Roman"/>
          <w:bCs/>
          <w:sz w:val="24"/>
          <w:szCs w:val="24"/>
        </w:rPr>
        <w:t>2019.</w:t>
      </w:r>
      <w:r w:rsidR="004747D9" w:rsidRPr="004747D9">
        <w:rPr>
          <w:rFonts w:eastAsia="Times New Roman" w:cs="Times New Roman"/>
          <w:bCs/>
          <w:sz w:val="24"/>
          <w:szCs w:val="24"/>
        </w:rPr>
        <w:t xml:space="preserve"> </w:t>
      </w:r>
      <w:r w:rsidRPr="004747D9">
        <w:rPr>
          <w:rFonts w:eastAsia="Times New Roman" w:cs="Times New Roman"/>
          <w:bCs/>
          <w:sz w:val="24"/>
          <w:szCs w:val="24"/>
        </w:rPr>
        <w:t>gada līmeņa, kad pasažieru skaits lidostā bija pārsniedzis septiņus milj</w:t>
      </w:r>
      <w:r w:rsidR="004747D9" w:rsidRPr="004747D9">
        <w:rPr>
          <w:rFonts w:eastAsia="Times New Roman" w:cs="Times New Roman"/>
          <w:bCs/>
          <w:sz w:val="24"/>
          <w:szCs w:val="24"/>
        </w:rPr>
        <w:t>.</w:t>
      </w:r>
      <w:r w:rsidRPr="004747D9">
        <w:rPr>
          <w:rFonts w:eastAsia="Times New Roman" w:cs="Times New Roman"/>
          <w:bCs/>
          <w:sz w:val="24"/>
          <w:szCs w:val="24"/>
        </w:rPr>
        <w:t xml:space="preserve"> Pasažieru skaits sauszemes transportā pieauga par 15,4% un jūras ostās tika apkalpots par 1,4% vairāk pasažieru nekā 2022. gadā. </w:t>
      </w:r>
    </w:p>
    <w:p w14:paraId="1580B2CA" w14:textId="4B5038FA" w:rsidR="00594BC3" w:rsidRPr="004747D9" w:rsidRDefault="00594BC3" w:rsidP="00594BC3">
      <w:pPr>
        <w:rPr>
          <w:rFonts w:eastAsia="Times New Roman" w:cs="Times New Roman"/>
          <w:bCs/>
          <w:sz w:val="24"/>
          <w:szCs w:val="24"/>
        </w:rPr>
      </w:pPr>
      <w:r w:rsidRPr="004747D9">
        <w:rPr>
          <w:rFonts w:eastAsia="Times New Roman" w:cs="Times New Roman"/>
          <w:bCs/>
          <w:sz w:val="24"/>
          <w:szCs w:val="24"/>
        </w:rPr>
        <w:t xml:space="preserve">Tajā pašā laikā kravu apgrozījums ostās pērn saruka par 19,6% un kravu pārvadājumi dzelzceļā kritās par 27,5%. Kravu apjoma kritumu noteica galvenokārt Krievijas </w:t>
      </w:r>
      <w:proofErr w:type="spellStart"/>
      <w:r w:rsidRPr="004747D9">
        <w:rPr>
          <w:rFonts w:eastAsia="Times New Roman" w:cs="Times New Roman"/>
          <w:bCs/>
          <w:sz w:val="24"/>
          <w:szCs w:val="24"/>
        </w:rPr>
        <w:t>energoproduktu</w:t>
      </w:r>
      <w:proofErr w:type="spellEnd"/>
      <w:r w:rsidRPr="004747D9">
        <w:rPr>
          <w:rFonts w:eastAsia="Times New Roman" w:cs="Times New Roman"/>
          <w:bCs/>
          <w:sz w:val="24"/>
          <w:szCs w:val="24"/>
        </w:rPr>
        <w:t xml:space="preserve"> tranzīta zaudēšana, un kravu apgrozījums ostās ar 38,7 milj</w:t>
      </w:r>
      <w:r w:rsidR="004747D9" w:rsidRPr="004747D9">
        <w:rPr>
          <w:rFonts w:eastAsia="Times New Roman" w:cs="Times New Roman"/>
          <w:bCs/>
          <w:sz w:val="24"/>
          <w:szCs w:val="24"/>
        </w:rPr>
        <w:t>.</w:t>
      </w:r>
      <w:r w:rsidRPr="004747D9">
        <w:rPr>
          <w:rFonts w:eastAsia="Times New Roman" w:cs="Times New Roman"/>
          <w:bCs/>
          <w:sz w:val="24"/>
          <w:szCs w:val="24"/>
        </w:rPr>
        <w:t xml:space="preserve"> tonnu veidoja vairs tikai pusi no 2012. gada  līmeņa, kad pārkrauto kravu apjoms bija vislielākais. Dzelzceļā pārvadāto kravu apjoms saruka līdz 15,4 milj</w:t>
      </w:r>
      <w:r w:rsidR="004747D9" w:rsidRPr="004747D9">
        <w:rPr>
          <w:rFonts w:eastAsia="Times New Roman" w:cs="Times New Roman"/>
          <w:bCs/>
          <w:sz w:val="24"/>
          <w:szCs w:val="24"/>
        </w:rPr>
        <w:t>.</w:t>
      </w:r>
      <w:r w:rsidRPr="004747D9">
        <w:rPr>
          <w:rFonts w:eastAsia="Times New Roman" w:cs="Times New Roman"/>
          <w:bCs/>
          <w:sz w:val="24"/>
          <w:szCs w:val="24"/>
        </w:rPr>
        <w:t xml:space="preserve"> tonnu, kas atbilda vairs tikai vienai ceturtdaļai no 2012.</w:t>
      </w:r>
      <w:r w:rsidR="004747D9" w:rsidRPr="004747D9">
        <w:rPr>
          <w:rFonts w:eastAsia="Times New Roman" w:cs="Times New Roman"/>
          <w:bCs/>
          <w:sz w:val="24"/>
          <w:szCs w:val="24"/>
        </w:rPr>
        <w:t xml:space="preserve"> </w:t>
      </w:r>
      <w:r w:rsidRPr="004747D9">
        <w:rPr>
          <w:rFonts w:eastAsia="Times New Roman" w:cs="Times New Roman"/>
          <w:bCs/>
          <w:sz w:val="24"/>
          <w:szCs w:val="24"/>
        </w:rPr>
        <w:t>gada līmeņa. Kravu apgrozība autopārvadājumos 2023. gadā samazinājās par 3,5%, samazinoties starptautisko pārvadājumu apjomiem, kamēr iekšzemē kravu pārvadājumi turpināja pieaugt.</w:t>
      </w:r>
    </w:p>
    <w:p w14:paraId="0557A303" w14:textId="1A057186" w:rsidR="00594BC3" w:rsidRPr="005A4153" w:rsidRDefault="00594BC3" w:rsidP="00594BC3">
      <w:pPr>
        <w:rPr>
          <w:rFonts w:eastAsia="Times New Roman" w:cs="Times New Roman"/>
          <w:bCs/>
          <w:sz w:val="24"/>
          <w:szCs w:val="24"/>
        </w:rPr>
      </w:pPr>
      <w:r w:rsidRPr="004747D9">
        <w:rPr>
          <w:rFonts w:eastAsia="Times New Roman" w:cs="Times New Roman"/>
          <w:bCs/>
          <w:sz w:val="24"/>
          <w:szCs w:val="24"/>
        </w:rPr>
        <w:lastRenderedPageBreak/>
        <w:t>Līdzīga situācija saglabājas arī 2024. gada sākumā, kad pasažieru pārvadājumi turpina atjaunoties, bet kravu tranzīta apjomi krītas. Nozarei kopumā 2024.</w:t>
      </w:r>
      <w:r w:rsidR="004747D9" w:rsidRPr="004747D9">
        <w:rPr>
          <w:rFonts w:eastAsia="Times New Roman" w:cs="Times New Roman"/>
          <w:bCs/>
          <w:sz w:val="24"/>
          <w:szCs w:val="24"/>
        </w:rPr>
        <w:t xml:space="preserve"> </w:t>
      </w:r>
      <w:r w:rsidRPr="004747D9">
        <w:rPr>
          <w:rFonts w:eastAsia="Times New Roman" w:cs="Times New Roman"/>
          <w:bCs/>
          <w:sz w:val="24"/>
          <w:szCs w:val="24"/>
        </w:rPr>
        <w:t>gadā būs grūti uzrādīt vērā ņemamu pieaugumu, un tas var būt balstīts tikai uz iekšzemes pieprasījuma kāpumu. Janvārī pasažieru skaits lidostā “Rīga”, salīdzinot ar 2023.</w:t>
      </w:r>
      <w:r w:rsidR="004747D9" w:rsidRPr="004747D9">
        <w:rPr>
          <w:rFonts w:eastAsia="Times New Roman" w:cs="Times New Roman"/>
          <w:bCs/>
          <w:sz w:val="24"/>
          <w:szCs w:val="24"/>
        </w:rPr>
        <w:t xml:space="preserve"> </w:t>
      </w:r>
      <w:r w:rsidRPr="004747D9">
        <w:rPr>
          <w:rFonts w:eastAsia="Times New Roman" w:cs="Times New Roman"/>
          <w:bCs/>
          <w:sz w:val="24"/>
          <w:szCs w:val="24"/>
        </w:rPr>
        <w:t xml:space="preserve">gada janvāri, ir palielinājies par 1,3%, kravu </w:t>
      </w:r>
      <w:r w:rsidRPr="005A4153">
        <w:rPr>
          <w:rFonts w:eastAsia="Times New Roman" w:cs="Times New Roman"/>
          <w:bCs/>
          <w:sz w:val="24"/>
          <w:szCs w:val="24"/>
        </w:rPr>
        <w:t>apgrozījums ostās divos mēnešos bijis par 14,9% mazāks nekā pirms gada, bet dzelzceļā kravu pārvadājumi kritušies par 23,7%.</w:t>
      </w:r>
    </w:p>
    <w:p w14:paraId="0E156357" w14:textId="3D79751E" w:rsidR="00594BC3" w:rsidRPr="005A4153" w:rsidRDefault="00594BC3" w:rsidP="005A4153">
      <w:pPr>
        <w:shd w:val="clear" w:color="auto" w:fill="FFFFFF" w:themeFill="background1"/>
        <w:rPr>
          <w:rFonts w:eastAsia="Times New Roman" w:cs="Times New Roman"/>
          <w:bCs/>
          <w:sz w:val="24"/>
          <w:szCs w:val="24"/>
        </w:rPr>
      </w:pPr>
      <w:r w:rsidRPr="005A4153">
        <w:rPr>
          <w:rFonts w:eastAsia="Times New Roman" w:cs="Times New Roman"/>
          <w:b/>
          <w:sz w:val="24"/>
          <w:szCs w:val="24"/>
        </w:rPr>
        <w:t>Tirdzniecības nozari</w:t>
      </w:r>
      <w:r w:rsidRPr="005A4153">
        <w:rPr>
          <w:rFonts w:eastAsia="Times New Roman" w:cs="Times New Roman"/>
          <w:bCs/>
          <w:sz w:val="24"/>
          <w:szCs w:val="24"/>
        </w:rPr>
        <w:t xml:space="preserve"> 2023. gadā negatīvi ietekmēja galvenokārt apjomu samazinājums vairumtirdzniecībā, ko savukārt noteica apjomu samazinājumi rūpniecības nozarē, samazinoties eksporta apjomiem, kā arī ievērojami samazinājās tirdzniecības apjomi ar </w:t>
      </w:r>
      <w:proofErr w:type="spellStart"/>
      <w:r w:rsidRPr="005A4153">
        <w:rPr>
          <w:rFonts w:eastAsia="Times New Roman" w:cs="Times New Roman"/>
          <w:bCs/>
          <w:sz w:val="24"/>
          <w:szCs w:val="24"/>
        </w:rPr>
        <w:t>agresorvalstīm</w:t>
      </w:r>
      <w:proofErr w:type="spellEnd"/>
      <w:r w:rsidRPr="005A4153">
        <w:rPr>
          <w:rFonts w:eastAsia="Times New Roman" w:cs="Times New Roman"/>
          <w:bCs/>
          <w:sz w:val="24"/>
          <w:szCs w:val="24"/>
        </w:rPr>
        <w:t xml:space="preserve">. Savukārt papildus negatīvu iespaidu atstāja arī mazumtirdzniecības apjomu kritums, cenu pieaugumam pārsniedzot iedzīvotāju ienākumu pieaugumu. Vienlaikus mazākā auto/moto tirdzniecības nozare turpināja uzrādīt pieaugumu. Kopējā tirdzniecības nozares pievienotā vērtība salīdzināmās cenās, pēc 2022. gadā piedzīvotā krituma par 6,1%, pērn ir samazinājusies vēl par 5,1%. </w:t>
      </w:r>
    </w:p>
    <w:p w14:paraId="6590AB63" w14:textId="77777777" w:rsidR="00594BC3" w:rsidRPr="00F442E4" w:rsidRDefault="00594BC3" w:rsidP="005A4153">
      <w:pPr>
        <w:shd w:val="clear" w:color="auto" w:fill="FFFFFF" w:themeFill="background1"/>
        <w:rPr>
          <w:rFonts w:eastAsia="Times New Roman" w:cs="Times New Roman"/>
          <w:bCs/>
          <w:sz w:val="24"/>
          <w:szCs w:val="24"/>
        </w:rPr>
      </w:pPr>
      <w:r w:rsidRPr="005A4153">
        <w:rPr>
          <w:rFonts w:eastAsia="Times New Roman" w:cs="Times New Roman"/>
          <w:bCs/>
          <w:sz w:val="24"/>
          <w:szCs w:val="24"/>
        </w:rPr>
        <w:t xml:space="preserve">Vairumtirdzniecības apjomi 2023. gadā saruka par 11,3%, pēc 9,8% samazinājuma 2022. gadā, kad kritumu izraisīja galvenokārt lielo Krievijas partneru izslēgšana no Latvijas tirgus. </w:t>
      </w:r>
      <w:r w:rsidRPr="00F442E4">
        <w:rPr>
          <w:rFonts w:eastAsia="Times New Roman" w:cs="Times New Roman"/>
          <w:bCs/>
          <w:sz w:val="24"/>
          <w:szCs w:val="24"/>
        </w:rPr>
        <w:t>2023. gadā tālāku samazinājumu noteica zemā ekonomikas izaugsme Eiropā un Latvijā, samazinoties rūpniecības apjomiem, kā arī importam un eksportam.</w:t>
      </w:r>
    </w:p>
    <w:p w14:paraId="7A0BEA4D" w14:textId="77777777" w:rsidR="00594BC3" w:rsidRPr="00F442E4" w:rsidRDefault="00594BC3" w:rsidP="00594BC3">
      <w:pPr>
        <w:rPr>
          <w:rFonts w:eastAsia="Times New Roman" w:cs="Times New Roman"/>
          <w:bCs/>
          <w:sz w:val="24"/>
          <w:szCs w:val="24"/>
        </w:rPr>
      </w:pPr>
      <w:r w:rsidRPr="00F442E4">
        <w:rPr>
          <w:rFonts w:eastAsia="Times New Roman" w:cs="Times New Roman"/>
          <w:bCs/>
          <w:sz w:val="24"/>
          <w:szCs w:val="24"/>
        </w:rPr>
        <w:t>Mazumtirdzniecības apjomi 2023. gadā samazinājās par 1,9%, ko galvenokārt ietekmēja straujais cenu kāpums 2022. gada otrajā pusgadā, kas 2023. gadā gan vairs nebija tik straujš, taču algu pieauguma tempi bija krietni atpalikuši no cenu pieauguma, līdz ar to iedzīvotāji samazināja gan pārtikas, gan nepārtikas (bez degvielas) preču iegādi. Turpretī degvielas tirdzniecības apjomi ir pieauguši, ko citu faktoru starpā veicināja arī cenu kritums naftas produktiem. Papildus, iedzīvotāju tēriņus preču iegādei ierobežoja kredītu sadārdzināšanās un par finansiālās situācijas pasliktināšanos 2023. gadā liecināja arī mājsaimniecību noguldījumu samazināšanās.</w:t>
      </w:r>
    </w:p>
    <w:p w14:paraId="3628770C" w14:textId="32133264" w:rsidR="00594BC3" w:rsidRPr="00F442E4" w:rsidRDefault="00594BC3" w:rsidP="00594BC3">
      <w:pPr>
        <w:rPr>
          <w:rFonts w:eastAsia="Times New Roman" w:cs="Times New Roman"/>
          <w:bCs/>
          <w:sz w:val="24"/>
          <w:szCs w:val="24"/>
        </w:rPr>
      </w:pPr>
      <w:r w:rsidRPr="00F442E4">
        <w:rPr>
          <w:rFonts w:eastAsia="Times New Roman" w:cs="Times New Roman"/>
          <w:bCs/>
          <w:sz w:val="24"/>
          <w:szCs w:val="24"/>
        </w:rPr>
        <w:t>Tikmēr no vēl lielāka samazinājuma tirdzniecības nozari atturēja auto/moto tirdzniecība, 2023. gadā apjomiem pieaugot par 12,5%, kamēr 2022.</w:t>
      </w:r>
      <w:r w:rsidR="00F442E4" w:rsidRPr="00F442E4">
        <w:rPr>
          <w:rFonts w:eastAsia="Times New Roman" w:cs="Times New Roman"/>
          <w:bCs/>
          <w:sz w:val="24"/>
          <w:szCs w:val="24"/>
        </w:rPr>
        <w:t xml:space="preserve"> </w:t>
      </w:r>
      <w:r w:rsidRPr="00F442E4">
        <w:rPr>
          <w:rFonts w:eastAsia="Times New Roman" w:cs="Times New Roman"/>
          <w:bCs/>
          <w:sz w:val="24"/>
          <w:szCs w:val="24"/>
        </w:rPr>
        <w:t xml:space="preserve">gadā bija fiksēts 9,8% kāpums. </w:t>
      </w:r>
      <w:bookmarkStart w:id="14" w:name="_Hlk162352745"/>
      <w:r w:rsidRPr="00F442E4">
        <w:rPr>
          <w:rFonts w:eastAsia="Times New Roman" w:cs="Times New Roman"/>
          <w:bCs/>
          <w:sz w:val="24"/>
          <w:szCs w:val="24"/>
        </w:rPr>
        <w:t>Auto/moto tirdzniecības īpatsvars 2022. gadā bija 12%, kamēr lielāko daļu tirdzniecības nozares veidoja vairumtirdzniecība un mazumtirdzniecība aptuveni vienādās daļās.</w:t>
      </w:r>
      <w:bookmarkEnd w:id="14"/>
    </w:p>
    <w:p w14:paraId="496BD090" w14:textId="77777777" w:rsidR="00594BC3" w:rsidRPr="00F442E4" w:rsidRDefault="00594BC3" w:rsidP="00594BC3">
      <w:pPr>
        <w:rPr>
          <w:rFonts w:eastAsia="Times New Roman" w:cs="Times New Roman"/>
          <w:bCs/>
          <w:sz w:val="24"/>
          <w:szCs w:val="24"/>
        </w:rPr>
      </w:pPr>
      <w:r w:rsidRPr="00F442E4">
        <w:rPr>
          <w:rFonts w:eastAsia="Times New Roman" w:cs="Times New Roman"/>
          <w:bCs/>
          <w:sz w:val="24"/>
          <w:szCs w:val="24"/>
        </w:rPr>
        <w:t>2024. gadā vairumtirdzniecības attīstību var veicināt rūpniecības izaugsme, bet mazumtirdzniecības apjomus uzlabos iedzīvotāju pirktspējas palielināšanās 2024. gada otrajā pusē, kad samazināsies rēķini par mājokli, sāks sarukt kredītu maksājumi, kā arī algu pieaugums būs panācis iepriekš strauji augušās cenas.</w:t>
      </w:r>
    </w:p>
    <w:p w14:paraId="482D0FE9" w14:textId="1C9DFF4D" w:rsidR="00594BC3" w:rsidRPr="00F442E4" w:rsidRDefault="00594BC3" w:rsidP="00594BC3">
      <w:pPr>
        <w:rPr>
          <w:rFonts w:eastAsia="Times New Roman" w:cs="Times New Roman"/>
          <w:sz w:val="24"/>
          <w:szCs w:val="24"/>
          <w:shd w:val="clear" w:color="auto" w:fill="FFFFFF"/>
        </w:rPr>
      </w:pPr>
      <w:r w:rsidRPr="00F442E4">
        <w:rPr>
          <w:rFonts w:eastAsia="Times New Roman" w:cs="Times New Roman"/>
          <w:b/>
          <w:sz w:val="24"/>
          <w:szCs w:val="24"/>
        </w:rPr>
        <w:t>Izmitināšanas un ēdināšanas nozari</w:t>
      </w:r>
      <w:r w:rsidRPr="00F442E4">
        <w:rPr>
          <w:rFonts w:eastAsia="Times New Roman" w:cs="Times New Roman"/>
          <w:bCs/>
          <w:sz w:val="24"/>
          <w:szCs w:val="24"/>
        </w:rPr>
        <w:t xml:space="preserve"> pēdējos gados smagi </w:t>
      </w:r>
      <w:proofErr w:type="spellStart"/>
      <w:r w:rsidRPr="00F442E4">
        <w:rPr>
          <w:rFonts w:eastAsia="Times New Roman" w:cs="Times New Roman"/>
          <w:bCs/>
          <w:sz w:val="24"/>
          <w:szCs w:val="24"/>
        </w:rPr>
        <w:t>skāruši</w:t>
      </w:r>
      <w:proofErr w:type="spellEnd"/>
      <w:r w:rsidRPr="00F442E4">
        <w:rPr>
          <w:rFonts w:eastAsia="Times New Roman" w:cs="Times New Roman"/>
          <w:bCs/>
          <w:sz w:val="24"/>
          <w:szCs w:val="24"/>
        </w:rPr>
        <w:t xml:space="preserve"> gan pandēmijas laikā noteiktie ierobežojumi, gan Krievijas uzsāktais karš Ukrainā, samazinot ārvalstu tūristu skaitu gan no sankcijām pakļautajām </w:t>
      </w:r>
      <w:proofErr w:type="spellStart"/>
      <w:r w:rsidRPr="00F442E4">
        <w:rPr>
          <w:rFonts w:eastAsia="Times New Roman" w:cs="Times New Roman"/>
          <w:bCs/>
          <w:sz w:val="24"/>
          <w:szCs w:val="24"/>
        </w:rPr>
        <w:t>agresorvalstīm</w:t>
      </w:r>
      <w:proofErr w:type="spellEnd"/>
      <w:r w:rsidRPr="00F442E4">
        <w:rPr>
          <w:rFonts w:eastAsia="Times New Roman" w:cs="Times New Roman"/>
          <w:bCs/>
          <w:sz w:val="24"/>
          <w:szCs w:val="24"/>
        </w:rPr>
        <w:t>, gan tālākām rietumvalstīm, to ceļotājiem bažījoties par pieaugušajiem drošības riskiem.</w:t>
      </w:r>
      <w:r w:rsidRPr="00F442E4">
        <w:rPr>
          <w:rFonts w:eastAsia="Times New Roman" w:cs="Times New Roman"/>
          <w:sz w:val="24"/>
          <w:szCs w:val="24"/>
          <w:shd w:val="clear" w:color="auto" w:fill="FFFFFF"/>
        </w:rPr>
        <w:t xml:space="preserve"> 2022.</w:t>
      </w:r>
      <w:r w:rsidR="00F442E4" w:rsidRPr="00F442E4">
        <w:rPr>
          <w:rFonts w:eastAsia="Times New Roman" w:cs="Times New Roman"/>
          <w:sz w:val="24"/>
          <w:szCs w:val="24"/>
          <w:shd w:val="clear" w:color="auto" w:fill="FFFFFF"/>
        </w:rPr>
        <w:t xml:space="preserve"> </w:t>
      </w:r>
      <w:r w:rsidRPr="00F442E4">
        <w:rPr>
          <w:rFonts w:eastAsia="Times New Roman" w:cs="Times New Roman"/>
          <w:sz w:val="24"/>
          <w:szCs w:val="24"/>
          <w:shd w:val="clear" w:color="auto" w:fill="FFFFFF"/>
        </w:rPr>
        <w:t>gadā tūristu skaits pēc pandēmijas sāka atjaunoties un 2023.</w:t>
      </w:r>
      <w:r w:rsidR="00F442E4" w:rsidRPr="00F442E4">
        <w:rPr>
          <w:rFonts w:eastAsia="Times New Roman" w:cs="Times New Roman"/>
          <w:sz w:val="24"/>
          <w:szCs w:val="24"/>
          <w:shd w:val="clear" w:color="auto" w:fill="FFFFFF"/>
        </w:rPr>
        <w:t xml:space="preserve"> </w:t>
      </w:r>
      <w:r w:rsidRPr="00F442E4">
        <w:rPr>
          <w:rFonts w:eastAsia="Times New Roman" w:cs="Times New Roman"/>
          <w:sz w:val="24"/>
          <w:szCs w:val="24"/>
          <w:shd w:val="clear" w:color="auto" w:fill="FFFFFF"/>
        </w:rPr>
        <w:t xml:space="preserve">gadā pieaugums turpinājās, taču arvien lēnākos tempos un nozare joprojām nav atgriezusies </w:t>
      </w:r>
      <w:proofErr w:type="spellStart"/>
      <w:r w:rsidRPr="00F442E4">
        <w:rPr>
          <w:rFonts w:eastAsia="Times New Roman" w:cs="Times New Roman"/>
          <w:sz w:val="24"/>
          <w:szCs w:val="24"/>
          <w:shd w:val="clear" w:color="auto" w:fill="FFFFFF"/>
        </w:rPr>
        <w:t>pirmspandēmijas</w:t>
      </w:r>
      <w:proofErr w:type="spellEnd"/>
      <w:r w:rsidRPr="00F442E4">
        <w:rPr>
          <w:rFonts w:eastAsia="Times New Roman" w:cs="Times New Roman"/>
          <w:sz w:val="24"/>
          <w:szCs w:val="24"/>
          <w:shd w:val="clear" w:color="auto" w:fill="FFFFFF"/>
        </w:rPr>
        <w:t xml:space="preserve"> laika līmenī. Nozares pievienotā vērtība 2023.</w:t>
      </w:r>
      <w:r w:rsidR="00F442E4" w:rsidRPr="00F442E4">
        <w:rPr>
          <w:rFonts w:eastAsia="Times New Roman" w:cs="Times New Roman"/>
          <w:sz w:val="24"/>
          <w:szCs w:val="24"/>
          <w:shd w:val="clear" w:color="auto" w:fill="FFFFFF"/>
        </w:rPr>
        <w:t xml:space="preserve"> </w:t>
      </w:r>
      <w:r w:rsidRPr="00F442E4">
        <w:rPr>
          <w:rFonts w:eastAsia="Times New Roman" w:cs="Times New Roman"/>
          <w:sz w:val="24"/>
          <w:szCs w:val="24"/>
          <w:shd w:val="clear" w:color="auto" w:fill="FFFFFF"/>
        </w:rPr>
        <w:t>gadā, salīdzinot ar iepriekšējo gadu palielinājās par 7,4%, pēc tam, kad 2022.</w:t>
      </w:r>
      <w:r w:rsidR="00F442E4" w:rsidRPr="00F442E4">
        <w:rPr>
          <w:rFonts w:eastAsia="Times New Roman" w:cs="Times New Roman"/>
          <w:sz w:val="24"/>
          <w:szCs w:val="24"/>
          <w:shd w:val="clear" w:color="auto" w:fill="FFFFFF"/>
        </w:rPr>
        <w:t xml:space="preserve"> </w:t>
      </w:r>
      <w:r w:rsidRPr="00F442E4">
        <w:rPr>
          <w:rFonts w:eastAsia="Times New Roman" w:cs="Times New Roman"/>
          <w:sz w:val="24"/>
          <w:szCs w:val="24"/>
          <w:shd w:val="clear" w:color="auto" w:fill="FFFFFF"/>
        </w:rPr>
        <w:t xml:space="preserve">gadā tā bija augusi par 57,3%. </w:t>
      </w:r>
    </w:p>
    <w:p w14:paraId="03C83132" w14:textId="77777777" w:rsidR="00594BC3" w:rsidRPr="00F442E4" w:rsidRDefault="00594BC3" w:rsidP="00594BC3">
      <w:pPr>
        <w:rPr>
          <w:rFonts w:eastAsia="Times New Roman" w:cs="Times New Roman"/>
          <w:bCs/>
          <w:sz w:val="24"/>
          <w:szCs w:val="24"/>
        </w:rPr>
      </w:pPr>
      <w:r w:rsidRPr="00F442E4">
        <w:rPr>
          <w:rFonts w:eastAsia="Times New Roman" w:cs="Times New Roman"/>
          <w:sz w:val="24"/>
          <w:szCs w:val="24"/>
          <w:shd w:val="clear" w:color="auto" w:fill="FFFFFF"/>
        </w:rPr>
        <w:t>2023. gadā kopā Latvijas</w:t>
      </w:r>
      <w:r w:rsidRPr="00F442E4">
        <w:rPr>
          <w:rFonts w:eastAsia="Times New Roman" w:cs="Times New Roman"/>
          <w:bCs/>
          <w:sz w:val="24"/>
          <w:szCs w:val="24"/>
        </w:rPr>
        <w:t xml:space="preserve"> tūristu mītnēs vietējie un ārvalstu viesi pavadīja 4,4 milj. nakšu, kas bija par 12,6% vairāk nekā 2022. gadā. Tajā skaitā ārvalstu viesu pavadīto nakšu skaits pieauga par 22,0%, bet vietējo viesu nakšu skaits palielinājās par 1,3%. Tajā pašā laikā ārvalstu viesu pavadīto nakšu skaits joprojām bija par 33,1% mazāks nekā pirms pandēmijas, 2019. gadā, kamēr vietējo viesu pavadīto nakšu skaits šajā laikā pieaudzis par 8,1%.</w:t>
      </w:r>
    </w:p>
    <w:p w14:paraId="3213EC95" w14:textId="77777777" w:rsidR="00594BC3" w:rsidRPr="00F442E4" w:rsidRDefault="00594BC3" w:rsidP="00594BC3">
      <w:pPr>
        <w:rPr>
          <w:rFonts w:eastAsia="Times New Roman" w:cs="Times New Roman"/>
          <w:bCs/>
          <w:sz w:val="24"/>
          <w:szCs w:val="24"/>
        </w:rPr>
      </w:pPr>
      <w:r w:rsidRPr="00F442E4">
        <w:rPr>
          <w:rFonts w:eastAsia="Times New Roman" w:cs="Times New Roman"/>
          <w:b/>
          <w:sz w:val="24"/>
          <w:szCs w:val="24"/>
        </w:rPr>
        <w:t>Lauksaimniecības nozare</w:t>
      </w:r>
      <w:r w:rsidRPr="00F442E4">
        <w:rPr>
          <w:rFonts w:eastAsia="Times New Roman" w:cs="Times New Roman"/>
          <w:bCs/>
          <w:sz w:val="24"/>
          <w:szCs w:val="24"/>
        </w:rPr>
        <w:t xml:space="preserve"> 2023. gadā piedzīvoja pievienotās vērtības kritumu par 8,1%, ko noteica gan sala, gan sausuma radītie kaitējumi. Ražas novākšanu savukārt kavēja lietus un spēcīgās vētras, kas visvairāk negatīvi ietekmēja maza un vidēja izmēra saimniecības. </w:t>
      </w:r>
      <w:r w:rsidRPr="00F442E4">
        <w:rPr>
          <w:rFonts w:eastAsia="Times New Roman" w:cs="Times New Roman"/>
          <w:bCs/>
          <w:sz w:val="24"/>
          <w:szCs w:val="24"/>
        </w:rPr>
        <w:lastRenderedPageBreak/>
        <w:t>Traucējošie faktori atspoguļojās arī 2023. gada kviešu un rudzu eksportā, (-13,9% pret 2022. gadu) apjoma izteiksmē, kamēr sējumu platības kopš 2021. gada būtiski nav mainījušās, tām veidojot 1303 tūkst. hektāru.</w:t>
      </w:r>
    </w:p>
    <w:p w14:paraId="4167EA6B" w14:textId="77777777" w:rsidR="00594BC3" w:rsidRPr="0004201E" w:rsidRDefault="00594BC3" w:rsidP="00594BC3">
      <w:pPr>
        <w:pStyle w:val="H4"/>
        <w:spacing w:before="240"/>
        <w:ind w:left="0" w:firstLine="720"/>
        <w:jc w:val="both"/>
        <w:rPr>
          <w:rFonts w:ascii="Times New Roman" w:hAnsi="Times New Roman"/>
          <w:iCs/>
          <w:sz w:val="24"/>
          <w:szCs w:val="24"/>
        </w:rPr>
      </w:pPr>
      <w:r w:rsidRPr="0004201E">
        <w:rPr>
          <w:rFonts w:ascii="Times New Roman" w:hAnsi="Times New Roman"/>
          <w:iCs/>
          <w:sz w:val="24"/>
          <w:szCs w:val="24"/>
        </w:rPr>
        <w:t>Investīcijas</w:t>
      </w:r>
    </w:p>
    <w:p w14:paraId="4A98DFFD" w14:textId="7ADD558D" w:rsidR="00594BC3" w:rsidRPr="00F442E4" w:rsidRDefault="00594BC3" w:rsidP="00594BC3">
      <w:pPr>
        <w:rPr>
          <w:rFonts w:eastAsia="Calibri" w:cs="Arial"/>
          <w:color w:val="000000"/>
          <w:kern w:val="2"/>
          <w:sz w:val="24"/>
          <w:szCs w:val="24"/>
          <w14:ligatures w14:val="standardContextual"/>
        </w:rPr>
      </w:pPr>
      <w:r w:rsidRPr="00F442E4">
        <w:rPr>
          <w:rFonts w:eastAsia="Calibri" w:cs="Arial"/>
          <w:kern w:val="2"/>
          <w:sz w:val="24"/>
          <w:szCs w:val="24"/>
          <w14:ligatures w14:val="standardContextual"/>
        </w:rPr>
        <w:t xml:space="preserve">Augstas inflācijas un ārējā pieprasījuma krituma apstākļos, </w:t>
      </w:r>
      <w:r w:rsidRPr="00F442E4">
        <w:rPr>
          <w:rFonts w:eastAsia="Aptos" w:cs="Times New Roman"/>
          <w:kern w:val="2"/>
          <w:sz w:val="24"/>
          <w:szCs w:val="24"/>
          <w14:ligatures w14:val="standardContextual"/>
        </w:rPr>
        <w:t xml:space="preserve">sabiedriskajam patēriņam un investīcijām </w:t>
      </w:r>
      <w:r w:rsidRPr="00F442E4">
        <w:rPr>
          <w:rFonts w:eastAsia="Calibri" w:cs="Arial"/>
          <w:kern w:val="2"/>
          <w:sz w:val="24"/>
          <w:szCs w:val="24"/>
          <w14:ligatures w14:val="standardContextual"/>
        </w:rPr>
        <w:t>2023.</w:t>
      </w:r>
      <w:r w:rsidR="00F442E4" w:rsidRPr="00F442E4">
        <w:rPr>
          <w:rFonts w:eastAsia="Calibri" w:cs="Arial"/>
          <w:kern w:val="2"/>
          <w:sz w:val="24"/>
          <w:szCs w:val="24"/>
          <w14:ligatures w14:val="standardContextual"/>
        </w:rPr>
        <w:t xml:space="preserve"> </w:t>
      </w:r>
      <w:r w:rsidRPr="00F442E4">
        <w:rPr>
          <w:rFonts w:eastAsia="Calibri" w:cs="Arial"/>
          <w:kern w:val="2"/>
          <w:sz w:val="24"/>
          <w:szCs w:val="24"/>
          <w14:ligatures w14:val="standardContextual"/>
        </w:rPr>
        <w:t xml:space="preserve">gadā </w:t>
      </w:r>
      <w:r w:rsidRPr="00F442E4">
        <w:rPr>
          <w:rFonts w:eastAsia="Aptos" w:cs="Times New Roman"/>
          <w:kern w:val="2"/>
          <w:sz w:val="24"/>
          <w:szCs w:val="24"/>
          <w14:ligatures w14:val="standardContextual"/>
        </w:rPr>
        <w:t xml:space="preserve">bija būtiska </w:t>
      </w:r>
      <w:r w:rsidRPr="00F442E4">
        <w:rPr>
          <w:rFonts w:eastAsia="Calibri" w:cs="Arial"/>
          <w:kern w:val="2"/>
          <w:sz w:val="24"/>
          <w:szCs w:val="24"/>
          <w14:ligatures w14:val="standardContextual"/>
        </w:rPr>
        <w:t>loma ekonomiskās aktivitātes veicināšanā. Tieši investīciju pieaugums salīdzinājumā ar pārējām IKP sastāvdaļām bija visaugstākais. Pērnajā gadā</w:t>
      </w:r>
      <w:r w:rsidRPr="00F442E4">
        <w:rPr>
          <w:rFonts w:eastAsia="Aptos" w:cs="Times New Roman"/>
          <w:kern w:val="2"/>
          <w:sz w:val="24"/>
          <w:szCs w:val="24"/>
          <w14:ligatures w14:val="standardContextual"/>
        </w:rPr>
        <w:t xml:space="preserve"> investīciju apjoms Latvijā salīdzināmajās cenās palielinājās par 8,2% un kopumā veidoja 7</w:t>
      </w:r>
      <w:r w:rsidR="00B4106A">
        <w:rPr>
          <w:rFonts w:eastAsia="Aptos" w:cs="Times New Roman"/>
          <w:kern w:val="2"/>
          <w:sz w:val="24"/>
          <w:szCs w:val="24"/>
          <w14:ligatures w14:val="standardContextual"/>
        </w:rPr>
        <w:t xml:space="preserve"> </w:t>
      </w:r>
      <w:r w:rsidRPr="00F442E4">
        <w:rPr>
          <w:rFonts w:eastAsia="Aptos" w:cs="Times New Roman"/>
          <w:kern w:val="2"/>
          <w:sz w:val="24"/>
          <w:szCs w:val="24"/>
          <w14:ligatures w14:val="standardContextual"/>
        </w:rPr>
        <w:t xml:space="preserve">112 milj. </w:t>
      </w:r>
      <w:proofErr w:type="spellStart"/>
      <w:r w:rsidRPr="00F442E4">
        <w:rPr>
          <w:rFonts w:eastAsia="Aptos" w:cs="Times New Roman"/>
          <w:i/>
          <w:iCs/>
          <w:kern w:val="2"/>
          <w:sz w:val="24"/>
          <w:szCs w:val="24"/>
          <w14:ligatures w14:val="standardContextual"/>
        </w:rPr>
        <w:t>euro</w:t>
      </w:r>
      <w:proofErr w:type="spellEnd"/>
      <w:r w:rsidRPr="00F442E4">
        <w:rPr>
          <w:rFonts w:eastAsia="Aptos" w:cs="Times New Roman"/>
          <w:kern w:val="2"/>
          <w:sz w:val="24"/>
          <w:szCs w:val="24"/>
          <w14:ligatures w14:val="standardContextual"/>
        </w:rPr>
        <w:t xml:space="preserve">, </w:t>
      </w:r>
      <w:r w:rsidRPr="00F442E4">
        <w:rPr>
          <w:rFonts w:eastAsia="Calibri" w:cs="Arial"/>
          <w:kern w:val="2"/>
          <w:sz w:val="24"/>
          <w:szCs w:val="24"/>
          <w14:ligatures w14:val="standardContextual"/>
        </w:rPr>
        <w:t>nodrošinot 1,8 procentpunktus IKP pieaugumā, tādējādi nedaudz mīkstinot privātā patēriņa un eksporta krituma negatīvo ietekmi. Pateicoties straujajam kāpumam, investīciju īpatsvars IKP pieauga par 2,1 procentpunktiem - līdz 24,1%.</w:t>
      </w:r>
      <w:r w:rsidRPr="00F442E4">
        <w:rPr>
          <w:rFonts w:eastAsia="Calibri" w:cs="Arial"/>
          <w:color w:val="000000"/>
          <w:kern w:val="2"/>
          <w:sz w:val="24"/>
          <w:szCs w:val="24"/>
          <w14:ligatures w14:val="standardContextual"/>
        </w:rPr>
        <w:t xml:space="preserve"> Šāds investīciju apjoms ekonomikā ir lielāks gan salīdzinājumā ar ES vidējo līmeni, gan salīdzinājumā ar vidējo īpatsvaru Latvijas IKP pēdējos gados. Tas ir vērtējams pozitīvi, tomēr svarīgi uzturēt augstu investīciju īpatsvaru ekonomikā ilgtermiņā, lai veicinātu konkurētspēju un produktivitāti. </w:t>
      </w:r>
    </w:p>
    <w:p w14:paraId="65D5D3EF" w14:textId="77777777" w:rsidR="00594BC3" w:rsidRPr="00F442E4" w:rsidRDefault="00594BC3" w:rsidP="00594BC3">
      <w:pPr>
        <w:rPr>
          <w:rFonts w:eastAsia="Calibri" w:cs="Arial"/>
          <w:color w:val="000000"/>
          <w:kern w:val="2"/>
          <w:sz w:val="24"/>
          <w:szCs w:val="24"/>
          <w14:ligatures w14:val="standardContextual"/>
        </w:rPr>
      </w:pPr>
      <w:r w:rsidRPr="00F442E4">
        <w:rPr>
          <w:rFonts w:eastAsia="Calibri" w:cs="Arial"/>
          <w:kern w:val="2"/>
          <w:sz w:val="24"/>
          <w:szCs w:val="24"/>
          <w14:ligatures w14:val="standardContextual"/>
        </w:rPr>
        <w:t>Analizējot investīciju pārmaiņas pa pamatlīdzekļu veidiem, jāsecina, ka investīciju pieaugumu nodrošināja augstāka aktivitāte būvniecības sektorā. Savukārt investīciju apjoms pārējos pamatlīdzekļos ir samazinājies, kas liecina par tautsaimniecības nozaru nevienmērīgo attīstību pagājušā gadā.</w:t>
      </w:r>
    </w:p>
    <w:p w14:paraId="57306EA9" w14:textId="1827FB89" w:rsidR="00594BC3" w:rsidRPr="004620B8" w:rsidRDefault="00594BC3" w:rsidP="00594BC3">
      <w:pPr>
        <w:ind w:firstLine="709"/>
        <w:rPr>
          <w:rFonts w:eastAsia="Aptos" w:cs="Times New Roman"/>
          <w:kern w:val="2"/>
          <w:sz w:val="24"/>
          <w:szCs w:val="24"/>
          <w14:ligatures w14:val="standardContextual"/>
        </w:rPr>
      </w:pPr>
      <w:r w:rsidRPr="00F442E4">
        <w:rPr>
          <w:rFonts w:eastAsia="Calibri" w:cs="Arial"/>
          <w:kern w:val="2"/>
          <w:sz w:val="24"/>
          <w:szCs w:val="24"/>
          <w14:ligatures w14:val="standardContextual"/>
        </w:rPr>
        <w:t>2023.</w:t>
      </w:r>
      <w:r w:rsidR="00F442E4" w:rsidRPr="00F442E4">
        <w:rPr>
          <w:rFonts w:eastAsia="Calibri" w:cs="Arial"/>
          <w:kern w:val="2"/>
          <w:sz w:val="24"/>
          <w:szCs w:val="24"/>
          <w14:ligatures w14:val="standardContextual"/>
        </w:rPr>
        <w:t xml:space="preserve"> </w:t>
      </w:r>
      <w:r w:rsidRPr="00F442E4">
        <w:rPr>
          <w:rFonts w:eastAsia="Calibri" w:cs="Arial"/>
          <w:kern w:val="2"/>
          <w:sz w:val="24"/>
          <w:szCs w:val="24"/>
          <w14:ligatures w14:val="standardContextual"/>
        </w:rPr>
        <w:t xml:space="preserve">gadā investīcijas biroju, mājokļu, noliktavu un citu ēku būvniecībā, kā arī jau esošo ēku un būvju renovācijā pieauga par 18,9% jeb 495 milj. </w:t>
      </w:r>
      <w:proofErr w:type="spellStart"/>
      <w:r w:rsidRPr="00F442E4">
        <w:rPr>
          <w:rFonts w:eastAsia="Aptos" w:cs="Times New Roman"/>
          <w:i/>
          <w:iCs/>
          <w:kern w:val="2"/>
          <w:sz w:val="24"/>
          <w:szCs w:val="24"/>
          <w14:ligatures w14:val="standardContextual"/>
        </w:rPr>
        <w:t>euro</w:t>
      </w:r>
      <w:proofErr w:type="spellEnd"/>
      <w:r w:rsidRPr="00F442E4">
        <w:rPr>
          <w:rFonts w:eastAsia="Aptos" w:cs="Times New Roman"/>
          <w:i/>
          <w:iCs/>
          <w:kern w:val="2"/>
          <w:sz w:val="24"/>
          <w:szCs w:val="24"/>
          <w14:ligatures w14:val="standardContextual"/>
        </w:rPr>
        <w:t xml:space="preserve"> </w:t>
      </w:r>
      <w:r w:rsidRPr="00F442E4">
        <w:rPr>
          <w:rFonts w:eastAsia="Aptos" w:cs="Times New Roman"/>
          <w:kern w:val="2"/>
          <w:sz w:val="24"/>
          <w:szCs w:val="24"/>
          <w14:ligatures w14:val="standardContextual"/>
        </w:rPr>
        <w:t>salīdzināmajās cenās,</w:t>
      </w:r>
      <w:r w:rsidRPr="00F442E4">
        <w:rPr>
          <w:rFonts w:eastAsia="Aptos" w:cs="Times New Roman"/>
          <w:i/>
          <w:iCs/>
          <w:kern w:val="2"/>
          <w:sz w:val="24"/>
          <w:szCs w:val="24"/>
          <w14:ligatures w14:val="standardContextual"/>
        </w:rPr>
        <w:t xml:space="preserve"> </w:t>
      </w:r>
      <w:r w:rsidRPr="00F442E4">
        <w:rPr>
          <w:rFonts w:eastAsia="Aptos" w:cs="Times New Roman"/>
          <w:kern w:val="2"/>
          <w:sz w:val="24"/>
          <w:szCs w:val="24"/>
          <w14:ligatures w14:val="standardContextual"/>
        </w:rPr>
        <w:t>tādējādi pārtraucot investīciju kritumu šajos pamatlīdzekļos, kas bija vērojams kopš 2019.</w:t>
      </w:r>
      <w:r w:rsidR="00F442E4" w:rsidRPr="00F442E4">
        <w:rPr>
          <w:rFonts w:eastAsia="Aptos" w:cs="Times New Roman"/>
          <w:kern w:val="2"/>
          <w:sz w:val="24"/>
          <w:szCs w:val="24"/>
          <w14:ligatures w14:val="standardContextual"/>
        </w:rPr>
        <w:t xml:space="preserve"> </w:t>
      </w:r>
      <w:r w:rsidRPr="00F442E4">
        <w:rPr>
          <w:rFonts w:eastAsia="Aptos" w:cs="Times New Roman"/>
          <w:kern w:val="2"/>
          <w:sz w:val="24"/>
          <w:szCs w:val="24"/>
          <w14:ligatures w14:val="standardContextual"/>
        </w:rPr>
        <w:t>gada. Pērnajā gadā investīciju apjoms būvniecībā un renovācijā sasniedza 3</w:t>
      </w:r>
      <w:r w:rsidR="00B4106A">
        <w:rPr>
          <w:rFonts w:eastAsia="Aptos" w:cs="Times New Roman"/>
          <w:kern w:val="2"/>
          <w:sz w:val="24"/>
          <w:szCs w:val="24"/>
          <w14:ligatures w14:val="standardContextual"/>
        </w:rPr>
        <w:t xml:space="preserve"> </w:t>
      </w:r>
      <w:r w:rsidRPr="00F442E4">
        <w:rPr>
          <w:rFonts w:eastAsia="Aptos" w:cs="Times New Roman"/>
          <w:kern w:val="2"/>
          <w:sz w:val="24"/>
          <w:szCs w:val="24"/>
          <w14:ligatures w14:val="standardContextual"/>
        </w:rPr>
        <w:t xml:space="preserve">110 </w:t>
      </w:r>
      <w:r w:rsidRPr="00F442E4">
        <w:rPr>
          <w:rFonts w:eastAsia="Calibri" w:cs="Arial"/>
          <w:kern w:val="2"/>
          <w:sz w:val="24"/>
          <w:szCs w:val="24"/>
          <w14:ligatures w14:val="standardContextual"/>
        </w:rPr>
        <w:t xml:space="preserve">milj. </w:t>
      </w:r>
      <w:proofErr w:type="spellStart"/>
      <w:r w:rsidRPr="00F442E4">
        <w:rPr>
          <w:rFonts w:eastAsia="Aptos" w:cs="Times New Roman"/>
          <w:i/>
          <w:iCs/>
          <w:kern w:val="2"/>
          <w:sz w:val="24"/>
          <w:szCs w:val="24"/>
          <w14:ligatures w14:val="standardContextual"/>
        </w:rPr>
        <w:t>euro</w:t>
      </w:r>
      <w:proofErr w:type="spellEnd"/>
      <w:r w:rsidRPr="00F442E4">
        <w:rPr>
          <w:rFonts w:eastAsia="Aptos" w:cs="Times New Roman"/>
          <w:kern w:val="2"/>
          <w:sz w:val="24"/>
          <w:szCs w:val="24"/>
          <w14:ligatures w14:val="standardContextual"/>
        </w:rPr>
        <w:t>, līdz ar to pietuvojoties 2018.</w:t>
      </w:r>
      <w:r w:rsidR="00F442E4" w:rsidRPr="00F442E4">
        <w:rPr>
          <w:rFonts w:eastAsia="Aptos" w:cs="Times New Roman"/>
          <w:kern w:val="2"/>
          <w:sz w:val="24"/>
          <w:szCs w:val="24"/>
          <w14:ligatures w14:val="standardContextual"/>
        </w:rPr>
        <w:t xml:space="preserve"> </w:t>
      </w:r>
      <w:r w:rsidRPr="00F442E4">
        <w:rPr>
          <w:rFonts w:eastAsia="Aptos" w:cs="Times New Roman"/>
          <w:kern w:val="2"/>
          <w:sz w:val="24"/>
          <w:szCs w:val="24"/>
          <w14:ligatures w14:val="standardContextual"/>
        </w:rPr>
        <w:t>gada līmenim. Investīciju pieaugums šajos pamatlīdzekļos ir cieši saistīts ar būvniecības nozares aktivitāti, kur 2023.</w:t>
      </w:r>
      <w:r w:rsidR="00F442E4" w:rsidRPr="00F442E4">
        <w:rPr>
          <w:rFonts w:eastAsia="Aptos" w:cs="Times New Roman"/>
          <w:kern w:val="2"/>
          <w:sz w:val="24"/>
          <w:szCs w:val="24"/>
          <w14:ligatures w14:val="standardContextual"/>
        </w:rPr>
        <w:t xml:space="preserve"> </w:t>
      </w:r>
      <w:r w:rsidRPr="00F442E4">
        <w:rPr>
          <w:rFonts w:eastAsia="Aptos" w:cs="Times New Roman"/>
          <w:kern w:val="2"/>
          <w:sz w:val="24"/>
          <w:szCs w:val="24"/>
          <w14:ligatures w14:val="standardContextual"/>
        </w:rPr>
        <w:t xml:space="preserve">gadā produkcijas apjoms palielinājies par 18,9%. Straujo investīciju kāpumu būvniecībā, kā arī būvniecības produkcijas pieaugumu </w:t>
      </w:r>
      <w:r w:rsidRPr="004620B8">
        <w:rPr>
          <w:rFonts w:eastAsia="Aptos" w:cs="Times New Roman"/>
          <w:kern w:val="2"/>
          <w:sz w:val="24"/>
          <w:szCs w:val="24"/>
          <w14:ligatures w14:val="standardContextual"/>
        </w:rPr>
        <w:t>pērnajā gadā noteica vairāki faktori. Pirmkārt, 2022.</w:t>
      </w:r>
      <w:r w:rsidR="00F442E4" w:rsidRPr="004620B8">
        <w:rPr>
          <w:rFonts w:eastAsia="Aptos" w:cs="Times New Roman"/>
          <w:kern w:val="2"/>
          <w:sz w:val="24"/>
          <w:szCs w:val="24"/>
          <w14:ligatures w14:val="standardContextual"/>
        </w:rPr>
        <w:t xml:space="preserve"> </w:t>
      </w:r>
      <w:r w:rsidRPr="004620B8">
        <w:rPr>
          <w:rFonts w:eastAsia="Aptos" w:cs="Times New Roman"/>
          <w:kern w:val="2"/>
          <w:sz w:val="24"/>
          <w:szCs w:val="24"/>
          <w14:ligatures w14:val="standardContextual"/>
        </w:rPr>
        <w:t xml:space="preserve">gada zemā bāze iepriekšējo gadu vājās aktivitātes dēļ. Otrkārt, būtiski lielāks ES struktūrfondu investīciju un Eiropas Atveseļošanas fonda investīciju apjoms. Treškārt, būtiski palielinājās arī privātā sektora investīcijas. Atbilstoši </w:t>
      </w:r>
      <w:r w:rsidR="00F442E4" w:rsidRPr="004620B8">
        <w:rPr>
          <w:rFonts w:eastAsia="Aptos" w:cs="Times New Roman"/>
          <w:kern w:val="2"/>
          <w:sz w:val="24"/>
          <w:szCs w:val="24"/>
          <w14:ligatures w14:val="standardContextual"/>
        </w:rPr>
        <w:t>FM</w:t>
      </w:r>
      <w:r w:rsidRPr="004620B8">
        <w:rPr>
          <w:rFonts w:eastAsia="Aptos" w:cs="Times New Roman"/>
          <w:kern w:val="2"/>
          <w:sz w:val="24"/>
          <w:szCs w:val="24"/>
          <w14:ligatures w14:val="standardContextual"/>
        </w:rPr>
        <w:t xml:space="preserve"> novērtējumam, 2023.</w:t>
      </w:r>
      <w:r w:rsidR="00F442E4" w:rsidRPr="004620B8">
        <w:rPr>
          <w:rFonts w:eastAsia="Aptos" w:cs="Times New Roman"/>
          <w:kern w:val="2"/>
          <w:sz w:val="24"/>
          <w:szCs w:val="24"/>
          <w14:ligatures w14:val="standardContextual"/>
        </w:rPr>
        <w:t xml:space="preserve"> </w:t>
      </w:r>
      <w:r w:rsidRPr="004620B8">
        <w:rPr>
          <w:rFonts w:eastAsia="Aptos" w:cs="Times New Roman"/>
          <w:kern w:val="2"/>
          <w:sz w:val="24"/>
          <w:szCs w:val="24"/>
          <w14:ligatures w14:val="standardContextual"/>
        </w:rPr>
        <w:t>gadā vispārējās valdības bruto pamatkapitāla veidošanas jeb investīciju apjoms faktiskajās cenās sasniedza</w:t>
      </w:r>
      <w:r w:rsidR="007047D1">
        <w:rPr>
          <w:rFonts w:eastAsia="Aptos" w:cs="Times New Roman"/>
          <w:kern w:val="2"/>
          <w:sz w:val="24"/>
          <w:szCs w:val="24"/>
          <w14:ligatures w14:val="standardContextual"/>
        </w:rPr>
        <w:t xml:space="preserve"> </w:t>
      </w:r>
      <w:r w:rsidRPr="004620B8">
        <w:rPr>
          <w:rFonts w:eastAsia="Aptos" w:cs="Times New Roman"/>
          <w:kern w:val="2"/>
          <w:sz w:val="24"/>
          <w:szCs w:val="24"/>
          <w14:ligatures w14:val="standardContextual"/>
        </w:rPr>
        <w:t>1</w:t>
      </w:r>
      <w:r w:rsidR="007047D1">
        <w:rPr>
          <w:rFonts w:eastAsia="Aptos" w:cs="Times New Roman"/>
          <w:kern w:val="2"/>
          <w:sz w:val="24"/>
          <w:szCs w:val="24"/>
          <w14:ligatures w14:val="standardContextual"/>
        </w:rPr>
        <w:t xml:space="preserve"> </w:t>
      </w:r>
      <w:r w:rsidRPr="004620B8">
        <w:rPr>
          <w:rFonts w:eastAsia="Aptos" w:cs="Times New Roman"/>
          <w:kern w:val="2"/>
          <w:sz w:val="24"/>
          <w:szCs w:val="24"/>
          <w14:ligatures w14:val="standardContextual"/>
        </w:rPr>
        <w:t xml:space="preserve">643 </w:t>
      </w:r>
      <w:r w:rsidRPr="004620B8">
        <w:rPr>
          <w:rFonts w:eastAsia="Calibri" w:cs="Arial"/>
          <w:kern w:val="2"/>
          <w:sz w:val="24"/>
          <w:szCs w:val="24"/>
          <w14:ligatures w14:val="standardContextual"/>
        </w:rPr>
        <w:t xml:space="preserve">milj. </w:t>
      </w:r>
      <w:proofErr w:type="spellStart"/>
      <w:r w:rsidRPr="004620B8">
        <w:rPr>
          <w:rFonts w:eastAsia="Aptos" w:cs="Times New Roman"/>
          <w:i/>
          <w:iCs/>
          <w:kern w:val="2"/>
          <w:sz w:val="24"/>
          <w:szCs w:val="24"/>
          <w14:ligatures w14:val="standardContextual"/>
        </w:rPr>
        <w:t>euro</w:t>
      </w:r>
      <w:proofErr w:type="spellEnd"/>
      <w:r w:rsidRPr="004620B8">
        <w:rPr>
          <w:rFonts w:eastAsia="Aptos" w:cs="Times New Roman"/>
          <w:kern w:val="2"/>
          <w:sz w:val="24"/>
          <w:szCs w:val="24"/>
          <w14:ligatures w14:val="standardContextual"/>
        </w:rPr>
        <w:t>, kas bija par 8,5% vairāk nekā iepriekšējā gadā. Savukārt, privātā sektora un to uzņēmumu investīciju apjoms, kuri neietilpst vispārējās valdības sektorā, bet pieder valstij vai pašvaldībai, pieauga par 16,4%</w:t>
      </w:r>
      <w:r w:rsidRPr="004620B8">
        <w:rPr>
          <w:rFonts w:eastAsia="Aptos" w:cs="Times New Roman"/>
          <w:i/>
          <w:iCs/>
          <w:kern w:val="2"/>
          <w:sz w:val="24"/>
          <w:szCs w:val="24"/>
          <w14:ligatures w14:val="standardContextual"/>
        </w:rPr>
        <w:t>.</w:t>
      </w:r>
    </w:p>
    <w:p w14:paraId="78122661" w14:textId="5AEA9EBA" w:rsidR="00594BC3" w:rsidRPr="0004201E" w:rsidRDefault="00594BC3" w:rsidP="00594BC3">
      <w:pPr>
        <w:ind w:firstLine="709"/>
        <w:rPr>
          <w:rFonts w:eastAsia="Calibri" w:cs="Arial"/>
          <w:kern w:val="2"/>
          <w:sz w:val="24"/>
          <w:szCs w:val="24"/>
          <w14:ligatures w14:val="standardContextual"/>
        </w:rPr>
      </w:pPr>
      <w:r w:rsidRPr="004620B8">
        <w:rPr>
          <w:rFonts w:eastAsia="Aptos" w:cs="Times New Roman"/>
          <w:kern w:val="2"/>
          <w:sz w:val="24"/>
          <w:szCs w:val="24"/>
          <w14:ligatures w14:val="standardContextual"/>
        </w:rPr>
        <w:t xml:space="preserve">Sagaidāms, ka investīciju apjoms </w:t>
      </w:r>
      <w:r w:rsidRPr="004620B8">
        <w:rPr>
          <w:rFonts w:eastAsia="Calibri" w:cs="Arial"/>
          <w:kern w:val="2"/>
          <w:sz w:val="24"/>
          <w:szCs w:val="24"/>
          <w14:ligatures w14:val="standardContextual"/>
        </w:rPr>
        <w:t>biroju, mājokļu, noliktavu un citu ēku būvniecībā, kā arī jau esošo ēku un būvju renovācijā turpinās palielināties arī 2024.</w:t>
      </w:r>
      <w:r w:rsidR="004620B8" w:rsidRPr="004620B8">
        <w:rPr>
          <w:rFonts w:eastAsia="Calibri" w:cs="Arial"/>
          <w:kern w:val="2"/>
          <w:sz w:val="24"/>
          <w:szCs w:val="24"/>
          <w14:ligatures w14:val="standardContextual"/>
        </w:rPr>
        <w:t xml:space="preserve"> </w:t>
      </w:r>
      <w:r w:rsidRPr="004620B8">
        <w:rPr>
          <w:rFonts w:eastAsia="Calibri" w:cs="Arial"/>
          <w:kern w:val="2"/>
          <w:sz w:val="24"/>
          <w:szCs w:val="24"/>
          <w14:ligatures w14:val="standardContextual"/>
        </w:rPr>
        <w:t>gadā, bet mērenākā tempā nekā</w:t>
      </w:r>
      <w:r w:rsidR="004620B8" w:rsidRPr="004620B8">
        <w:rPr>
          <w:rFonts w:eastAsia="Calibri" w:cs="Arial"/>
          <w:kern w:val="2"/>
          <w:sz w:val="24"/>
          <w:szCs w:val="24"/>
          <w14:ligatures w14:val="standardContextual"/>
        </w:rPr>
        <w:t xml:space="preserve"> </w:t>
      </w:r>
      <w:r w:rsidRPr="004620B8">
        <w:rPr>
          <w:rFonts w:eastAsia="Calibri" w:cs="Arial"/>
          <w:kern w:val="2"/>
          <w:sz w:val="24"/>
          <w:szCs w:val="24"/>
          <w14:ligatures w14:val="standardContextual"/>
        </w:rPr>
        <w:t>2023.</w:t>
      </w:r>
      <w:r w:rsidR="004620B8" w:rsidRPr="004620B8">
        <w:rPr>
          <w:rFonts w:eastAsia="Calibri" w:cs="Arial"/>
          <w:kern w:val="2"/>
          <w:sz w:val="24"/>
          <w:szCs w:val="24"/>
          <w14:ligatures w14:val="standardContextual"/>
        </w:rPr>
        <w:t xml:space="preserve"> </w:t>
      </w:r>
      <w:r w:rsidRPr="004620B8">
        <w:rPr>
          <w:rFonts w:eastAsia="Calibri" w:cs="Arial"/>
          <w:kern w:val="2"/>
          <w:sz w:val="24"/>
          <w:szCs w:val="24"/>
          <w14:ligatures w14:val="standardContextual"/>
        </w:rPr>
        <w:t xml:space="preserve">gadā. Straujāku investoru aktivitāti biroju, mājokļu, noliktavu un citu ēku būvniecībā, kā arī jau esošo ēku un būvju renovācijā šogad varētu ierobežot vairāki faktori. Pirmkārt, joprojām augstās būvniecības izmaksas. Ražotāju un patērētāju cenu inflācija būtiski </w:t>
      </w:r>
      <w:r w:rsidRPr="00965F2A">
        <w:rPr>
          <w:rFonts w:eastAsia="Calibri" w:cs="Arial"/>
          <w:kern w:val="2"/>
          <w:sz w:val="24"/>
          <w:szCs w:val="24"/>
          <w14:ligatures w14:val="standardContextual"/>
        </w:rPr>
        <w:t>samazinājusies kopš 2022.</w:t>
      </w:r>
      <w:r w:rsidR="004620B8" w:rsidRPr="00965F2A">
        <w:rPr>
          <w:rFonts w:eastAsia="Calibri" w:cs="Arial"/>
          <w:kern w:val="2"/>
          <w:sz w:val="24"/>
          <w:szCs w:val="24"/>
          <w14:ligatures w14:val="standardContextual"/>
        </w:rPr>
        <w:t xml:space="preserve"> </w:t>
      </w:r>
      <w:r w:rsidRPr="00965F2A">
        <w:rPr>
          <w:rFonts w:eastAsia="Calibri" w:cs="Arial"/>
          <w:kern w:val="2"/>
          <w:sz w:val="24"/>
          <w:szCs w:val="24"/>
          <w14:ligatures w14:val="standardContextual"/>
        </w:rPr>
        <w:t>gada beigām, kad straujā izejvielu cenu kāpuma dēļ inflācija sasniedza ļoti augstu līmeni. Tam sekoja arī būvniecības izmaksas. 2023.</w:t>
      </w:r>
      <w:r w:rsidR="004620B8" w:rsidRPr="00965F2A">
        <w:rPr>
          <w:rFonts w:eastAsia="Calibri" w:cs="Arial"/>
          <w:kern w:val="2"/>
          <w:sz w:val="24"/>
          <w:szCs w:val="24"/>
          <w14:ligatures w14:val="standardContextual"/>
        </w:rPr>
        <w:t xml:space="preserve"> </w:t>
      </w:r>
      <w:r w:rsidRPr="00965F2A">
        <w:rPr>
          <w:rFonts w:eastAsia="Calibri" w:cs="Arial"/>
          <w:kern w:val="2"/>
          <w:sz w:val="24"/>
          <w:szCs w:val="24"/>
          <w14:ligatures w14:val="standardContextual"/>
        </w:rPr>
        <w:t>gadā būvniecības izmaksas pieauga par 5,8% pretstatā 19,7% kāpumam 2022.</w:t>
      </w:r>
      <w:r w:rsidR="004620B8" w:rsidRPr="00965F2A">
        <w:rPr>
          <w:rFonts w:eastAsia="Calibri" w:cs="Arial"/>
          <w:kern w:val="2"/>
          <w:sz w:val="24"/>
          <w:szCs w:val="24"/>
          <w14:ligatures w14:val="standardContextual"/>
        </w:rPr>
        <w:t xml:space="preserve"> </w:t>
      </w:r>
      <w:r w:rsidRPr="00965F2A">
        <w:rPr>
          <w:rFonts w:eastAsia="Calibri" w:cs="Arial"/>
          <w:kern w:val="2"/>
          <w:sz w:val="24"/>
          <w:szCs w:val="24"/>
          <w14:ligatures w14:val="standardContextual"/>
        </w:rPr>
        <w:t xml:space="preserve">gadā. Izmaksu kāpums </w:t>
      </w:r>
      <w:r w:rsidR="00B4106A">
        <w:rPr>
          <w:rFonts w:eastAsia="Calibri" w:cs="Arial"/>
          <w:kern w:val="2"/>
          <w:sz w:val="24"/>
          <w:szCs w:val="24"/>
          <w14:ligatures w14:val="standardContextual"/>
        </w:rPr>
        <w:t>2023.</w:t>
      </w:r>
      <w:r w:rsidRPr="00965F2A">
        <w:rPr>
          <w:rFonts w:eastAsia="Calibri" w:cs="Arial"/>
          <w:kern w:val="2"/>
          <w:sz w:val="24"/>
          <w:szCs w:val="24"/>
          <w14:ligatures w14:val="standardContextual"/>
        </w:rPr>
        <w:t xml:space="preserve"> gadā bija fiksēts visiem resursu veidiem. Tā, strādnieku darba samaksa pieauga par 7,7%, mašīnu un citu mehānismu uzturēšanas un ekspluatācijas izmaksas palielinājās par 7,1%, bet būvmateriālu </w:t>
      </w:r>
      <w:r w:rsidRPr="0004201E">
        <w:rPr>
          <w:rFonts w:eastAsia="Calibri" w:cs="Arial"/>
          <w:kern w:val="2"/>
          <w:sz w:val="24"/>
          <w:szCs w:val="24"/>
          <w14:ligatures w14:val="standardContextual"/>
        </w:rPr>
        <w:t>izmaksas pieauga par 4,6%, kas ir vairāk nekā piecas reizes zemāks kāpums nekā 2022.</w:t>
      </w:r>
      <w:r w:rsidR="00965F2A" w:rsidRPr="0004201E">
        <w:rPr>
          <w:rFonts w:eastAsia="Calibri" w:cs="Arial"/>
          <w:kern w:val="2"/>
          <w:sz w:val="24"/>
          <w:szCs w:val="24"/>
          <w14:ligatures w14:val="standardContextual"/>
        </w:rPr>
        <w:t xml:space="preserve"> </w:t>
      </w:r>
      <w:r w:rsidRPr="0004201E">
        <w:rPr>
          <w:rFonts w:eastAsia="Calibri" w:cs="Arial"/>
          <w:kern w:val="2"/>
          <w:sz w:val="24"/>
          <w:szCs w:val="24"/>
          <w14:ligatures w14:val="standardContextual"/>
        </w:rPr>
        <w:t>gadā. Vērtējot 2024.</w:t>
      </w:r>
      <w:r w:rsidR="00965F2A" w:rsidRPr="0004201E">
        <w:rPr>
          <w:rFonts w:eastAsia="Calibri" w:cs="Arial"/>
          <w:kern w:val="2"/>
          <w:sz w:val="24"/>
          <w:szCs w:val="24"/>
          <w14:ligatures w14:val="standardContextual"/>
        </w:rPr>
        <w:t xml:space="preserve"> </w:t>
      </w:r>
      <w:r w:rsidRPr="0004201E">
        <w:rPr>
          <w:rFonts w:eastAsia="Calibri" w:cs="Arial"/>
          <w:kern w:val="2"/>
          <w:sz w:val="24"/>
          <w:szCs w:val="24"/>
          <w14:ligatures w14:val="standardContextual"/>
        </w:rPr>
        <w:t xml:space="preserve">gada janvāra datus, jāsecina, ka kopējais būvniecības izmaksu pieauguma temps turpina samazināties, bet būvmateriālu sastāvdaļai bija fiksēta deflācija, kas vērtējams pozitīvi. Tomēr būvniecības izmaksu līmenis joprojām saglabājas augsts, un vispārējas ekonomiskās aktivitātes samazināšanās apstākļos tas joprojām ir šķērslis investīciju projektu realizēšanai. Otrkārt, tās ir augstās procentu likmes, kas uztur uzņēmumu kredītu apkalpošanas izmaksas augstā līmenī. Pašreiz pastāv visi priekšnosacījumi, lai </w:t>
      </w:r>
      <w:r w:rsidR="0004201E" w:rsidRPr="0004201E">
        <w:rPr>
          <w:rFonts w:eastAsia="Calibri" w:cs="Arial"/>
          <w:kern w:val="2"/>
          <w:sz w:val="24"/>
          <w:szCs w:val="24"/>
          <w14:ligatures w14:val="standardContextual"/>
        </w:rPr>
        <w:t xml:space="preserve">ECB </w:t>
      </w:r>
      <w:r w:rsidRPr="0004201E">
        <w:rPr>
          <w:rFonts w:eastAsia="Calibri" w:cs="Arial"/>
          <w:kern w:val="2"/>
          <w:sz w:val="24"/>
          <w:szCs w:val="24"/>
          <w14:ligatures w14:val="standardContextual"/>
        </w:rPr>
        <w:t>sāktu procentu likmju samazināšanu. Tomēr, pat ja tas notiks 2024.</w:t>
      </w:r>
      <w:r w:rsidR="00965F2A" w:rsidRPr="0004201E">
        <w:rPr>
          <w:rFonts w:eastAsia="Calibri" w:cs="Arial"/>
          <w:kern w:val="2"/>
          <w:sz w:val="24"/>
          <w:szCs w:val="24"/>
          <w14:ligatures w14:val="standardContextual"/>
        </w:rPr>
        <w:t xml:space="preserve"> </w:t>
      </w:r>
      <w:r w:rsidRPr="0004201E">
        <w:rPr>
          <w:rFonts w:eastAsia="Calibri" w:cs="Arial"/>
          <w:kern w:val="2"/>
          <w:sz w:val="24"/>
          <w:szCs w:val="24"/>
          <w14:ligatures w14:val="standardContextual"/>
        </w:rPr>
        <w:t xml:space="preserve">gada pirmajā pusē, galveno refinansēšanas </w:t>
      </w:r>
      <w:r w:rsidRPr="0004201E">
        <w:rPr>
          <w:rFonts w:eastAsia="Calibri" w:cs="Arial"/>
          <w:kern w:val="2"/>
          <w:sz w:val="24"/>
          <w:szCs w:val="24"/>
          <w14:ligatures w14:val="standardContextual"/>
        </w:rPr>
        <w:lastRenderedPageBreak/>
        <w:t>operāciju procentu likmju samazinājums būs mērens un pakāpenisks. Tādējādi arī 2024.</w:t>
      </w:r>
      <w:r w:rsidR="00965F2A" w:rsidRPr="0004201E">
        <w:rPr>
          <w:rFonts w:eastAsia="Calibri" w:cs="Arial"/>
          <w:kern w:val="2"/>
          <w:sz w:val="24"/>
          <w:szCs w:val="24"/>
          <w14:ligatures w14:val="standardContextual"/>
        </w:rPr>
        <w:t xml:space="preserve"> </w:t>
      </w:r>
      <w:r w:rsidRPr="0004201E">
        <w:rPr>
          <w:rFonts w:eastAsia="Calibri" w:cs="Arial"/>
          <w:kern w:val="2"/>
          <w:sz w:val="24"/>
          <w:szCs w:val="24"/>
          <w14:ligatures w14:val="standardContextual"/>
        </w:rPr>
        <w:t>gadu kopumā var droši raksturot kā augstu procentu likmju gadu. Treškārt, potenciāli lēnāka nekā prognozēts iepriekš, ES struktūrfondu investīciju plūsma jaunajā 2021.</w:t>
      </w:r>
      <w:r w:rsidR="00965F2A" w:rsidRPr="0004201E">
        <w:rPr>
          <w:rFonts w:eastAsia="Calibri" w:cs="Arial"/>
          <w:kern w:val="2"/>
          <w:sz w:val="24"/>
          <w:szCs w:val="24"/>
          <w14:ligatures w14:val="standardContextual"/>
        </w:rPr>
        <w:t xml:space="preserve"> – </w:t>
      </w:r>
      <w:r w:rsidRPr="0004201E">
        <w:rPr>
          <w:rFonts w:eastAsia="Calibri" w:cs="Arial"/>
          <w:kern w:val="2"/>
          <w:sz w:val="24"/>
          <w:szCs w:val="24"/>
          <w14:ligatures w14:val="standardContextual"/>
        </w:rPr>
        <w:t>2027.</w:t>
      </w:r>
      <w:r w:rsidR="00965F2A" w:rsidRPr="0004201E">
        <w:rPr>
          <w:rFonts w:eastAsia="Calibri" w:cs="Arial"/>
          <w:kern w:val="2"/>
          <w:sz w:val="24"/>
          <w:szCs w:val="24"/>
          <w14:ligatures w14:val="standardContextual"/>
        </w:rPr>
        <w:t xml:space="preserve"> </w:t>
      </w:r>
      <w:r w:rsidRPr="0004201E">
        <w:rPr>
          <w:rFonts w:eastAsia="Calibri" w:cs="Arial"/>
          <w:kern w:val="2"/>
          <w:sz w:val="24"/>
          <w:szCs w:val="24"/>
          <w14:ligatures w14:val="standardContextual"/>
        </w:rPr>
        <w:t>gada plānošanas periodā.</w:t>
      </w:r>
    </w:p>
    <w:p w14:paraId="6B574109" w14:textId="2F1230F0" w:rsidR="00594BC3" w:rsidRPr="00594BC3" w:rsidRDefault="00594BC3" w:rsidP="00594BC3">
      <w:pPr>
        <w:ind w:firstLine="709"/>
        <w:rPr>
          <w:rFonts w:eastAsia="Calibri" w:cs="Arial"/>
          <w:kern w:val="2"/>
          <w:sz w:val="24"/>
          <w:szCs w:val="24"/>
          <w:highlight w:val="yellow"/>
          <w14:ligatures w14:val="standardContextual"/>
        </w:rPr>
      </w:pPr>
      <w:r w:rsidRPr="0004201E">
        <w:rPr>
          <w:rFonts w:eastAsia="Calibri" w:cs="Arial"/>
          <w:kern w:val="2"/>
          <w:sz w:val="24"/>
          <w:szCs w:val="24"/>
          <w14:ligatures w14:val="standardContextual"/>
        </w:rPr>
        <w:t>Investīciju apjoms tehnoloģiskajās iekārtās un mašīnās 2023. gadā veidoja 3</w:t>
      </w:r>
      <w:r w:rsidR="00B4106A">
        <w:rPr>
          <w:rFonts w:eastAsia="Calibri" w:cs="Arial"/>
          <w:kern w:val="2"/>
          <w:sz w:val="24"/>
          <w:szCs w:val="24"/>
          <w14:ligatures w14:val="standardContextual"/>
        </w:rPr>
        <w:t xml:space="preserve"> </w:t>
      </w:r>
      <w:r w:rsidRPr="0004201E">
        <w:rPr>
          <w:rFonts w:eastAsia="Calibri" w:cs="Arial"/>
          <w:kern w:val="2"/>
          <w:sz w:val="24"/>
          <w:szCs w:val="24"/>
          <w14:ligatures w14:val="standardContextual"/>
        </w:rPr>
        <w:t xml:space="preserve">286 milj. </w:t>
      </w:r>
      <w:proofErr w:type="spellStart"/>
      <w:r w:rsidRPr="0004201E">
        <w:rPr>
          <w:rFonts w:eastAsia="Aptos" w:cs="Times New Roman"/>
          <w:i/>
          <w:iCs/>
          <w:kern w:val="2"/>
          <w:sz w:val="24"/>
          <w:szCs w:val="24"/>
          <w14:ligatures w14:val="standardContextual"/>
        </w:rPr>
        <w:t>euro</w:t>
      </w:r>
      <w:proofErr w:type="spellEnd"/>
      <w:r w:rsidRPr="0004201E">
        <w:rPr>
          <w:rFonts w:eastAsia="Aptos" w:cs="Times New Roman"/>
          <w:kern w:val="2"/>
          <w:sz w:val="24"/>
          <w:szCs w:val="24"/>
          <w14:ligatures w14:val="standardContextual"/>
        </w:rPr>
        <w:t xml:space="preserve"> salīdzināmajās cenās, kas bija par 0,3% mazāk nekā iepriekšējā gadā. </w:t>
      </w:r>
      <w:r w:rsidRPr="0004201E">
        <w:rPr>
          <w:rFonts w:eastAsia="Calibri" w:cs="Arial"/>
          <w:kern w:val="2"/>
          <w:sz w:val="24"/>
          <w:szCs w:val="24"/>
          <w14:ligatures w14:val="standardContextual"/>
        </w:rPr>
        <w:t>Informācija par investīciju struktūru šajos pamatlīdzekļos ir ierobežota un precīzi dati ir pieejami tikai par transportlīdzekļiem. Investīcijas transportlīdzekļos, kas veido nedaudz mazāk par trešdaļu no kopējām investīcijām šajā grupā, pērnajā gadā pieauga par 28,1%, kas vērtējams kā ļoti straujš kāpums. Balstoties uz šo informāciju, var secināt, ka investīcijas vai daļa no tām, tādos pamatlīdzekļos kā informācijas un komunikācijas iekārtas, ieroču sistēmas, kā arī pārējās tehnoloģiskās iekārtas, būtiski mazinājās. Atbilstoši ārējās tirdzniecības datiem, automobiļu, dzelzceļa un gaisa kuģu un citu mehānisko transportlīdzekļu imports 2023.</w:t>
      </w:r>
      <w:r w:rsidR="00965F2A" w:rsidRPr="0004201E">
        <w:rPr>
          <w:rFonts w:eastAsia="Calibri" w:cs="Arial"/>
          <w:kern w:val="2"/>
          <w:sz w:val="24"/>
          <w:szCs w:val="24"/>
          <w14:ligatures w14:val="standardContextual"/>
        </w:rPr>
        <w:t xml:space="preserve"> </w:t>
      </w:r>
      <w:r w:rsidRPr="0004201E">
        <w:rPr>
          <w:rFonts w:eastAsia="Calibri" w:cs="Arial"/>
          <w:kern w:val="2"/>
          <w:sz w:val="24"/>
          <w:szCs w:val="24"/>
          <w14:ligatures w14:val="standardContextual"/>
        </w:rPr>
        <w:t>gadā arī būtiski pieauga, kas kopumā izskaidro straujo investīciju kāpumu transportlīdzekļos. Neskatoties uz to, ka investīcijas būvniecības projektos būtiski palielinājušās, bet investīcijas tehnoloģiskajās iekārtās un mašīnās kritušās, investīciju apjoms iekārtās un mašīnās joprojām veido lielāko daļu jeb 46,2% no kopējām investīcijām, kamēr investīcijas ēkās un būv</w:t>
      </w:r>
      <w:r w:rsidR="00B4106A">
        <w:rPr>
          <w:rFonts w:eastAsia="Calibri" w:cs="Arial"/>
          <w:kern w:val="2"/>
          <w:sz w:val="24"/>
          <w:szCs w:val="24"/>
          <w14:ligatures w14:val="standardContextual"/>
        </w:rPr>
        <w:t>ē</w:t>
      </w:r>
      <w:r w:rsidRPr="0004201E">
        <w:rPr>
          <w:rFonts w:eastAsia="Calibri" w:cs="Arial"/>
          <w:kern w:val="2"/>
          <w:sz w:val="24"/>
          <w:szCs w:val="24"/>
          <w14:ligatures w14:val="standardContextual"/>
        </w:rPr>
        <w:t xml:space="preserve">s sastāda 43,7%. </w:t>
      </w:r>
    </w:p>
    <w:p w14:paraId="0D66E265" w14:textId="68F86FB8" w:rsidR="00594BC3" w:rsidRPr="00806C11" w:rsidRDefault="00594BC3" w:rsidP="00594BC3">
      <w:pPr>
        <w:ind w:firstLine="709"/>
        <w:rPr>
          <w:rFonts w:eastAsia="Calibri" w:cs="Arial"/>
          <w:kern w:val="2"/>
          <w:sz w:val="24"/>
          <w:szCs w:val="24"/>
          <w14:ligatures w14:val="standardContextual"/>
        </w:rPr>
      </w:pPr>
      <w:r w:rsidRPr="0004201E">
        <w:rPr>
          <w:rFonts w:eastAsia="Calibri" w:cs="Arial"/>
          <w:kern w:val="2"/>
          <w:sz w:val="24"/>
          <w:szCs w:val="24"/>
          <w14:ligatures w14:val="standardContextual"/>
        </w:rPr>
        <w:t>Aktuālākie apstrādes rūpniecības nozarē strādājošo uzņēmēju aptaujas dati rāda, ka 33,1% no plānotajām investīcijām 2024. gadā būs vērstas uz ražošanas paplašināšanu. Tas ir zīmīgs skaitlis, jo tas ir augstākais rādītājs, kopš tika uzsākta šādas statistikas apkopošana jeb kopš 2004.</w:t>
      </w:r>
      <w:r w:rsidR="00965F2A" w:rsidRPr="0004201E">
        <w:rPr>
          <w:rFonts w:eastAsia="Calibri" w:cs="Arial"/>
          <w:kern w:val="2"/>
          <w:sz w:val="24"/>
          <w:szCs w:val="24"/>
          <w14:ligatures w14:val="standardContextual"/>
        </w:rPr>
        <w:t xml:space="preserve"> </w:t>
      </w:r>
      <w:r w:rsidRPr="0004201E">
        <w:rPr>
          <w:rFonts w:eastAsia="Calibri" w:cs="Arial"/>
          <w:kern w:val="2"/>
          <w:sz w:val="24"/>
          <w:szCs w:val="24"/>
          <w14:ligatures w14:val="standardContextual"/>
        </w:rPr>
        <w:t>gada. Papildus tam svarīgi atzīmēt arī to, ka pirmo reizi 21 gad</w:t>
      </w:r>
      <w:r w:rsidR="00B4106A">
        <w:rPr>
          <w:rFonts w:eastAsia="Calibri" w:cs="Arial"/>
          <w:kern w:val="2"/>
          <w:sz w:val="24"/>
          <w:szCs w:val="24"/>
          <w14:ligatures w14:val="standardContextual"/>
        </w:rPr>
        <w:t>a</w:t>
      </w:r>
      <w:r w:rsidRPr="0004201E">
        <w:rPr>
          <w:rFonts w:eastAsia="Calibri" w:cs="Arial"/>
          <w:kern w:val="2"/>
          <w:sz w:val="24"/>
          <w:szCs w:val="24"/>
          <w14:ligatures w14:val="standardContextual"/>
        </w:rPr>
        <w:t xml:space="preserve"> periodā investīciju apjoms, kas paredzēts tieši uzņēmumu paplašināšanai, veido lielāko daļu no plānotajām investīcijām. Līdz 2024.</w:t>
      </w:r>
      <w:r w:rsidR="00965F2A" w:rsidRPr="0004201E">
        <w:rPr>
          <w:rFonts w:eastAsia="Calibri" w:cs="Arial"/>
          <w:kern w:val="2"/>
          <w:sz w:val="24"/>
          <w:szCs w:val="24"/>
          <w14:ligatures w14:val="standardContextual"/>
        </w:rPr>
        <w:t xml:space="preserve"> </w:t>
      </w:r>
      <w:r w:rsidRPr="0004201E">
        <w:rPr>
          <w:rFonts w:eastAsia="Calibri" w:cs="Arial"/>
          <w:kern w:val="2"/>
          <w:sz w:val="24"/>
          <w:szCs w:val="24"/>
          <w14:ligatures w14:val="standardContextual"/>
        </w:rPr>
        <w:t xml:space="preserve">gadam lielākā daļa no investīcijām bija vērsta uz veco iekārtu aizvietošanu, sastādot gandrīz 40% no visām paredzētajām investīcijām. Šogad šis īpatsvars samazinājies līdz 32%. Pozitīvi vērtējams arī tas, ka palielinājās tā investīciju daļa, kas vērsta uz racionalizāciju. Lai arī dati uzrāda pozitīvu tendenci, kas varētu liecināt par apstrādes rūpniecības nozares attīstību, tomēr šādus datus jāvērtē piesardzīgi, jo tie atspoguļo tikai nodomu par investīciju veikšanu, nevis faktiski veiktas investīcijas. Investīciju veikšanas kontekstā svarīgs jautājums ir efektivitāte un produktivitāte. Lai strauji celtu produktivitāti, investīciju apjoms, kuras paredzētas ražošanas procesa </w:t>
      </w:r>
      <w:proofErr w:type="spellStart"/>
      <w:r w:rsidRPr="0004201E">
        <w:rPr>
          <w:rFonts w:eastAsia="Calibri" w:cs="Arial"/>
          <w:kern w:val="2"/>
          <w:sz w:val="24"/>
          <w:szCs w:val="24"/>
          <w14:ligatures w14:val="standardContextual"/>
        </w:rPr>
        <w:t>efektivizācijai</w:t>
      </w:r>
      <w:proofErr w:type="spellEnd"/>
      <w:r w:rsidRPr="0004201E">
        <w:rPr>
          <w:rFonts w:eastAsia="Calibri" w:cs="Arial"/>
          <w:kern w:val="2"/>
          <w:sz w:val="24"/>
          <w:szCs w:val="24"/>
          <w14:ligatures w14:val="standardContextual"/>
        </w:rPr>
        <w:t xml:space="preserve">, jāturpina palielināt. Tādās valstīs kā Vācija un Čehija, kur IKP uz vienu iedzīvotāju ir būtiski augstāks nekā Latvijā, </w:t>
      </w:r>
      <w:r w:rsidRPr="00806C11">
        <w:rPr>
          <w:rFonts w:eastAsia="Calibri" w:cs="Arial"/>
          <w:kern w:val="2"/>
          <w:sz w:val="24"/>
          <w:szCs w:val="24"/>
          <w14:ligatures w14:val="standardContextual"/>
        </w:rPr>
        <w:t xml:space="preserve">apstrādes rūpniecības uzņēmumi ražošanas procesu racionalizācijai </w:t>
      </w:r>
      <w:proofErr w:type="spellStart"/>
      <w:r w:rsidRPr="00806C11">
        <w:rPr>
          <w:rFonts w:eastAsia="Calibri" w:cs="Arial"/>
          <w:kern w:val="2"/>
          <w:sz w:val="24"/>
          <w:szCs w:val="24"/>
          <w14:ligatures w14:val="standardContextual"/>
        </w:rPr>
        <w:t>atvēl</w:t>
      </w:r>
      <w:proofErr w:type="spellEnd"/>
      <w:r w:rsidRPr="00806C11">
        <w:rPr>
          <w:rFonts w:eastAsia="Calibri" w:cs="Arial"/>
          <w:kern w:val="2"/>
          <w:sz w:val="24"/>
          <w:szCs w:val="24"/>
          <w14:ligatures w14:val="standardContextual"/>
        </w:rPr>
        <w:t xml:space="preserve"> vairāk nekā trešdaļu no veiktajām investīcijām.</w:t>
      </w:r>
    </w:p>
    <w:p w14:paraId="3F07F45D" w14:textId="77777777" w:rsidR="00594BC3" w:rsidRPr="00806C11" w:rsidRDefault="00594BC3" w:rsidP="00594BC3">
      <w:pPr>
        <w:pStyle w:val="H4"/>
        <w:spacing w:before="240"/>
        <w:ind w:left="0" w:firstLine="720"/>
        <w:jc w:val="both"/>
        <w:rPr>
          <w:rFonts w:ascii="Times New Roman" w:hAnsi="Times New Roman"/>
          <w:iCs/>
          <w:sz w:val="24"/>
          <w:szCs w:val="24"/>
        </w:rPr>
      </w:pPr>
      <w:r w:rsidRPr="00806C11">
        <w:rPr>
          <w:rFonts w:ascii="Times New Roman" w:hAnsi="Times New Roman"/>
          <w:iCs/>
          <w:sz w:val="24"/>
          <w:szCs w:val="24"/>
        </w:rPr>
        <w:t>Ārējā tirdzniecība</w:t>
      </w:r>
    </w:p>
    <w:p w14:paraId="2F366C0D" w14:textId="3B6BFA79" w:rsidR="00594BC3" w:rsidRPr="00806C11" w:rsidRDefault="00594BC3" w:rsidP="00594BC3">
      <w:pPr>
        <w:ind w:firstLine="709"/>
        <w:rPr>
          <w:rFonts w:eastAsia="Aptos" w:cs="Times New Roman"/>
          <w:kern w:val="2"/>
          <w:sz w:val="24"/>
          <w:szCs w:val="24"/>
          <w14:ligatures w14:val="standardContextual"/>
        </w:rPr>
      </w:pPr>
      <w:r w:rsidRPr="00806C11">
        <w:rPr>
          <w:rFonts w:eastAsia="Aptos" w:cs="Times New Roman"/>
          <w:kern w:val="2"/>
          <w:sz w:val="24"/>
          <w:szCs w:val="24"/>
          <w14:ligatures w14:val="standardContextual"/>
        </w:rPr>
        <w:t xml:space="preserve">Ārējās tirdzniecības aktivitātes kritums </w:t>
      </w:r>
      <w:r w:rsidR="00B4106A">
        <w:rPr>
          <w:rFonts w:eastAsia="Aptos" w:cs="Times New Roman"/>
          <w:kern w:val="2"/>
          <w:sz w:val="24"/>
          <w:szCs w:val="24"/>
          <w14:ligatures w14:val="standardContextual"/>
        </w:rPr>
        <w:t>2023.</w:t>
      </w:r>
      <w:r w:rsidRPr="00806C11">
        <w:rPr>
          <w:rFonts w:eastAsia="Aptos" w:cs="Times New Roman"/>
          <w:kern w:val="2"/>
          <w:sz w:val="24"/>
          <w:szCs w:val="24"/>
          <w14:ligatures w14:val="standardContextual"/>
        </w:rPr>
        <w:t xml:space="preserve"> gadā bija vērojams visā pasaulē, tostarp arī </w:t>
      </w:r>
      <w:r w:rsidR="00806C11" w:rsidRPr="00806C11">
        <w:rPr>
          <w:rFonts w:eastAsia="Aptos" w:cs="Times New Roman"/>
          <w:kern w:val="2"/>
          <w:sz w:val="24"/>
          <w:szCs w:val="24"/>
          <w14:ligatures w14:val="standardContextual"/>
        </w:rPr>
        <w:t>ES</w:t>
      </w:r>
      <w:r w:rsidRPr="00806C11">
        <w:rPr>
          <w:rFonts w:eastAsia="Aptos" w:cs="Times New Roman"/>
          <w:kern w:val="2"/>
          <w:sz w:val="24"/>
          <w:szCs w:val="24"/>
          <w14:ligatures w14:val="standardContextual"/>
        </w:rPr>
        <w:t xml:space="preserve"> jeb galvenajā Latvijas preču un pakalpojumu eksporta tirgū. Vārgā ekonomikas izaugsme ES, ko vienlaicīgi negatīvi ietekmēja gan augstā inflācija, gan augstās procentu likmes, gan citi ekonomiskie un ģeopolitiskie faktori, būtiski mazināja ekonomisko aktivitāti, kā rezultātā Latvijas eksportētajiem mazinājās ārējais pieprasījums nozīmīgākajos ES noieta tirgos. Tā rezultātā Latvijas preču un pakalpojumu eksports 2023.</w:t>
      </w:r>
      <w:r w:rsidR="00965F2A" w:rsidRPr="00806C11">
        <w:rPr>
          <w:rFonts w:eastAsia="Aptos" w:cs="Times New Roman"/>
          <w:kern w:val="2"/>
          <w:sz w:val="24"/>
          <w:szCs w:val="24"/>
          <w14:ligatures w14:val="standardContextual"/>
        </w:rPr>
        <w:t xml:space="preserve"> </w:t>
      </w:r>
      <w:r w:rsidRPr="00806C11">
        <w:rPr>
          <w:rFonts w:eastAsia="Aptos" w:cs="Times New Roman"/>
          <w:kern w:val="2"/>
          <w:sz w:val="24"/>
          <w:szCs w:val="24"/>
          <w14:ligatures w14:val="standardContextual"/>
        </w:rPr>
        <w:t>gadā pirmo reizi kopš 2010.</w:t>
      </w:r>
      <w:r w:rsidR="00965F2A" w:rsidRPr="00806C11">
        <w:rPr>
          <w:rFonts w:eastAsia="Aptos" w:cs="Times New Roman"/>
          <w:kern w:val="2"/>
          <w:sz w:val="24"/>
          <w:szCs w:val="24"/>
          <w14:ligatures w14:val="standardContextual"/>
        </w:rPr>
        <w:t xml:space="preserve"> </w:t>
      </w:r>
      <w:r w:rsidRPr="00806C11">
        <w:rPr>
          <w:rFonts w:eastAsia="Aptos" w:cs="Times New Roman"/>
          <w:kern w:val="2"/>
          <w:sz w:val="24"/>
          <w:szCs w:val="24"/>
          <w14:ligatures w14:val="standardContextual"/>
        </w:rPr>
        <w:t xml:space="preserve">gada ir samazinājies. </w:t>
      </w:r>
      <w:r w:rsidRPr="00806C11">
        <w:rPr>
          <w:rFonts w:eastAsia="Aptos" w:cs="Times New Roman"/>
          <w:b/>
          <w:bCs/>
          <w:kern w:val="2"/>
          <w:sz w:val="24"/>
          <w:szCs w:val="24"/>
          <w14:ligatures w14:val="standardContextual"/>
        </w:rPr>
        <w:t>Kopējā eksporta vērtība</w:t>
      </w:r>
      <w:r w:rsidRPr="00806C11">
        <w:rPr>
          <w:rFonts w:eastAsia="Aptos" w:cs="Times New Roman"/>
          <w:kern w:val="2"/>
          <w:sz w:val="24"/>
          <w:szCs w:val="24"/>
          <w14:ligatures w14:val="standardContextual"/>
        </w:rPr>
        <w:t xml:space="preserve"> 2023.</w:t>
      </w:r>
      <w:r w:rsidR="00965F2A" w:rsidRPr="00806C11">
        <w:rPr>
          <w:rFonts w:eastAsia="Aptos" w:cs="Times New Roman"/>
          <w:kern w:val="2"/>
          <w:sz w:val="24"/>
          <w:szCs w:val="24"/>
          <w14:ligatures w14:val="standardContextual"/>
        </w:rPr>
        <w:t xml:space="preserve"> </w:t>
      </w:r>
      <w:r w:rsidRPr="00806C11">
        <w:rPr>
          <w:rFonts w:eastAsia="Aptos" w:cs="Times New Roman"/>
          <w:kern w:val="2"/>
          <w:sz w:val="24"/>
          <w:szCs w:val="24"/>
          <w14:ligatures w14:val="standardContextual"/>
        </w:rPr>
        <w:t>gadā veidoja 19</w:t>
      </w:r>
      <w:r w:rsidR="007047D1">
        <w:rPr>
          <w:rFonts w:eastAsia="Aptos" w:cs="Times New Roman"/>
          <w:kern w:val="2"/>
          <w:sz w:val="24"/>
          <w:szCs w:val="24"/>
          <w14:ligatures w14:val="standardContextual"/>
        </w:rPr>
        <w:t xml:space="preserve"> </w:t>
      </w:r>
      <w:r w:rsidRPr="00806C11">
        <w:rPr>
          <w:rFonts w:eastAsia="Aptos" w:cs="Times New Roman"/>
          <w:kern w:val="2"/>
          <w:sz w:val="24"/>
          <w:szCs w:val="24"/>
          <w14:ligatures w14:val="standardContextual"/>
        </w:rPr>
        <w:t xml:space="preserve">667 </w:t>
      </w:r>
      <w:r w:rsidRPr="00806C11">
        <w:rPr>
          <w:rFonts w:eastAsia="Calibri" w:cs="Arial"/>
          <w:kern w:val="2"/>
          <w:sz w:val="24"/>
          <w:szCs w:val="24"/>
          <w14:ligatures w14:val="standardContextual"/>
        </w:rPr>
        <w:t xml:space="preserve">milj. </w:t>
      </w:r>
      <w:proofErr w:type="spellStart"/>
      <w:r w:rsidRPr="00806C11">
        <w:rPr>
          <w:rFonts w:eastAsia="Aptos" w:cs="Times New Roman"/>
          <w:i/>
          <w:iCs/>
          <w:kern w:val="2"/>
          <w:sz w:val="24"/>
          <w:szCs w:val="24"/>
          <w14:ligatures w14:val="standardContextual"/>
        </w:rPr>
        <w:t>euro</w:t>
      </w:r>
      <w:proofErr w:type="spellEnd"/>
      <w:r w:rsidRPr="00806C11">
        <w:rPr>
          <w:rFonts w:eastAsia="Aptos" w:cs="Times New Roman"/>
          <w:i/>
          <w:iCs/>
          <w:kern w:val="2"/>
          <w:sz w:val="24"/>
          <w:szCs w:val="24"/>
          <w14:ligatures w14:val="standardContextual"/>
        </w:rPr>
        <w:t xml:space="preserve"> </w:t>
      </w:r>
      <w:r w:rsidRPr="00806C11">
        <w:rPr>
          <w:rFonts w:eastAsia="Aptos" w:cs="Times New Roman"/>
          <w:kern w:val="2"/>
          <w:sz w:val="24"/>
          <w:szCs w:val="24"/>
          <w14:ligatures w14:val="standardContextual"/>
        </w:rPr>
        <w:t xml:space="preserve">salīdzināmās cenās, kas bija par 5,9% mazāk nekā iepriekšējā gadā. Šāds eksporta kritums bija viens no straujākajiem ES dalībvalstu vidū. Vēl straujāks preču un pakalpojumu eksporta kritums pērnajā gadā bija tikai Igaunijā  - par 6,9%. Savukārt Lietuvas eksporta vērtība samazinājās par 4,8%. Tas apliecina, ka Baltijas valstis </w:t>
      </w:r>
      <w:r w:rsidR="00B4106A">
        <w:rPr>
          <w:rFonts w:eastAsia="Aptos" w:cs="Times New Roman"/>
          <w:kern w:val="2"/>
          <w:sz w:val="24"/>
          <w:szCs w:val="24"/>
          <w14:ligatures w14:val="standardContextual"/>
        </w:rPr>
        <w:t>2023.</w:t>
      </w:r>
      <w:r w:rsidRPr="00806C11">
        <w:rPr>
          <w:rFonts w:eastAsia="Aptos" w:cs="Times New Roman"/>
          <w:kern w:val="2"/>
          <w:sz w:val="24"/>
          <w:szCs w:val="24"/>
          <w14:ligatures w14:val="standardContextual"/>
        </w:rPr>
        <w:t xml:space="preserve"> gadā visasāk izjuta ārējā pieprasījuma kritumu. Papildus tam jānorāda, ka visām Baltijas valstīm pagājušajā gadā samazinājās arī </w:t>
      </w:r>
      <w:r w:rsidR="00806C11" w:rsidRPr="00806C11">
        <w:rPr>
          <w:rFonts w:eastAsia="Aptos" w:cs="Times New Roman"/>
          <w:kern w:val="2"/>
          <w:sz w:val="24"/>
          <w:szCs w:val="24"/>
          <w14:ligatures w14:val="standardContextual"/>
        </w:rPr>
        <w:t>IKP</w:t>
      </w:r>
      <w:r w:rsidRPr="00806C11">
        <w:rPr>
          <w:rFonts w:eastAsia="Aptos" w:cs="Times New Roman"/>
          <w:kern w:val="2"/>
          <w:sz w:val="24"/>
          <w:szCs w:val="24"/>
          <w14:ligatures w14:val="standardContextual"/>
        </w:rPr>
        <w:t xml:space="preserve">, ko lielā mērā noteica tieši eksporta kritums. </w:t>
      </w:r>
    </w:p>
    <w:p w14:paraId="55DC0783" w14:textId="37225924" w:rsidR="00594BC3" w:rsidRPr="00806C11" w:rsidRDefault="00B4106A" w:rsidP="00594BC3">
      <w:pPr>
        <w:ind w:firstLine="709"/>
        <w:rPr>
          <w:rFonts w:eastAsia="Calibri" w:cs="Arial"/>
          <w:noProof/>
          <w:kern w:val="2"/>
          <w:sz w:val="24"/>
          <w:szCs w:val="24"/>
          <w14:ligatures w14:val="standardContextual"/>
        </w:rPr>
      </w:pPr>
      <w:r>
        <w:rPr>
          <w:rFonts w:eastAsia="Aptos" w:cs="Times New Roman"/>
          <w:kern w:val="2"/>
          <w:sz w:val="24"/>
          <w:szCs w:val="24"/>
          <w14:ligatures w14:val="standardContextual"/>
        </w:rPr>
        <w:t>2023.</w:t>
      </w:r>
      <w:r w:rsidR="00594BC3" w:rsidRPr="00806C11">
        <w:rPr>
          <w:rFonts w:eastAsia="Aptos" w:cs="Times New Roman"/>
          <w:kern w:val="2"/>
          <w:sz w:val="24"/>
          <w:szCs w:val="24"/>
          <w14:ligatures w14:val="standardContextual"/>
        </w:rPr>
        <w:t xml:space="preserve"> gadā samazinājusies arī Latvijas preču un pakalpojumu importa vērtība </w:t>
      </w:r>
      <w:r w:rsidR="00806C11" w:rsidRPr="00806C11">
        <w:rPr>
          <w:rFonts w:eastAsia="Aptos" w:cs="Times New Roman"/>
          <w:kern w:val="2"/>
          <w:sz w:val="24"/>
          <w:szCs w:val="24"/>
          <w14:ligatures w14:val="standardContextual"/>
        </w:rPr>
        <w:t>–</w:t>
      </w:r>
      <w:r w:rsidR="00594BC3" w:rsidRPr="00806C11">
        <w:rPr>
          <w:rFonts w:eastAsia="Aptos" w:cs="Times New Roman"/>
          <w:kern w:val="2"/>
          <w:sz w:val="24"/>
          <w:szCs w:val="24"/>
          <w14:ligatures w14:val="standardContextual"/>
        </w:rPr>
        <w:t xml:space="preserve"> par 2,9%, ko noteica starppatēriņa preču importa kritums zemākas apstrādes rūpniecības aktivitātes dēļ. </w:t>
      </w:r>
      <w:r w:rsidR="00594BC3" w:rsidRPr="00806C11">
        <w:rPr>
          <w:rFonts w:eastAsia="Calibri" w:cs="Arial"/>
          <w:noProof/>
          <w:kern w:val="2"/>
          <w:sz w:val="24"/>
          <w:szCs w:val="24"/>
          <w14:ligatures w14:val="standardContextual"/>
        </w:rPr>
        <w:t xml:space="preserve">Ņemot vērā, ka preču un pakalpojumu eksports ir samazinājies straujāk nekā imports, ārējās </w:t>
      </w:r>
      <w:r w:rsidR="00594BC3" w:rsidRPr="00806C11">
        <w:rPr>
          <w:rFonts w:eastAsia="Calibri" w:cs="Arial"/>
          <w:noProof/>
          <w:kern w:val="2"/>
          <w:sz w:val="24"/>
          <w:szCs w:val="24"/>
          <w14:ligatures w14:val="standardContextual"/>
        </w:rPr>
        <w:lastRenderedPageBreak/>
        <w:t>tirdzniecības bilance 2023. gadā ir pasliktinājusies. Tādējādi ārējās tirdzniecības devums IKP pieaugumā bija negatīvs jeb -2,1 procentpunkti, kas ir būtiski vairāk nekā 2022. gadā, kad neto eksporta devums bija -0,9 procentpunkti. Eksporta un importa kritums pērnajā gadā bijis straujāks nekā IKP samazinājums, līdz ar to ārējās tirdzniecības nozīme tautsaimniecībā samazinājusies. Eksporta īpatsvars nominālajā IKP 2023. gadā samazinājās par 8,8 procentpunktiem un sasniedza 64,1%. Savukārt importa īpatsvars valsts ekonomikā pērnajā gadā veidoja 68,0%, samazinoties par 9,5 procentpunktiem salīdzinājumā ar 2022. gadu.</w:t>
      </w:r>
    </w:p>
    <w:p w14:paraId="75190FCB" w14:textId="58C8F6D1" w:rsidR="00594BC3" w:rsidRPr="00806C11" w:rsidRDefault="00594BC3" w:rsidP="00594BC3">
      <w:pPr>
        <w:ind w:firstLine="709"/>
        <w:rPr>
          <w:rFonts w:eastAsia="Calibri" w:cs="Times New Roman"/>
          <w:kern w:val="2"/>
          <w:sz w:val="24"/>
          <w:szCs w:val="24"/>
          <w14:ligatures w14:val="standardContextual"/>
        </w:rPr>
      </w:pPr>
      <w:r w:rsidRPr="00806C11">
        <w:rPr>
          <w:rFonts w:eastAsia="Calibri" w:cs="Arial"/>
          <w:noProof/>
          <w:kern w:val="2"/>
          <w:sz w:val="24"/>
          <w:szCs w:val="24"/>
          <w14:ligatures w14:val="standardContextual"/>
        </w:rPr>
        <w:t>Vērtējot Latvijas eksporta attīstību 2023.</w:t>
      </w:r>
      <w:r w:rsidR="00965F2A" w:rsidRPr="00806C11">
        <w:rPr>
          <w:rFonts w:eastAsia="Calibri" w:cs="Arial"/>
          <w:noProof/>
          <w:kern w:val="2"/>
          <w:sz w:val="24"/>
          <w:szCs w:val="24"/>
          <w14:ligatures w14:val="standardContextual"/>
        </w:rPr>
        <w:t xml:space="preserve"> </w:t>
      </w:r>
      <w:r w:rsidRPr="00806C11">
        <w:rPr>
          <w:rFonts w:eastAsia="Calibri" w:cs="Arial"/>
          <w:noProof/>
          <w:kern w:val="2"/>
          <w:sz w:val="24"/>
          <w:szCs w:val="24"/>
          <w14:ligatures w14:val="standardContextual"/>
        </w:rPr>
        <w:t xml:space="preserve">gadā </w:t>
      </w:r>
      <w:r w:rsidRPr="00806C11">
        <w:rPr>
          <w:rFonts w:eastAsia="Calibri" w:cs="Arial"/>
          <w:b/>
          <w:bCs/>
          <w:noProof/>
          <w:kern w:val="2"/>
          <w:sz w:val="24"/>
          <w:szCs w:val="24"/>
          <w14:ligatures w14:val="standardContextual"/>
        </w:rPr>
        <w:t>pa preču grupām</w:t>
      </w:r>
      <w:r w:rsidRPr="00806C11">
        <w:rPr>
          <w:rFonts w:eastAsia="Calibri" w:cs="Arial"/>
          <w:noProof/>
          <w:kern w:val="2"/>
          <w:sz w:val="24"/>
          <w:szCs w:val="24"/>
          <w14:ligatures w14:val="standardContextual"/>
        </w:rPr>
        <w:t>, jāsecina, ka</w:t>
      </w:r>
      <w:r w:rsidRPr="00806C11">
        <w:rPr>
          <w:rFonts w:eastAsia="Calibri" w:cs="Arial"/>
          <w:kern w:val="2"/>
          <w:sz w:val="24"/>
          <w:szCs w:val="24"/>
          <w14:ligatures w14:val="standardContextual"/>
        </w:rPr>
        <w:t xml:space="preserve"> kritums bija fiksēts lielākajai daļai eksporta grupu. Kopumā preču eksporta vērtība faktiskajās cenās pērnajā gadā samazinājās par 10,9%. Noteicošā loma eksporta samazinājumā bija </w:t>
      </w:r>
      <w:proofErr w:type="spellStart"/>
      <w:r w:rsidRPr="00806C11">
        <w:rPr>
          <w:rFonts w:eastAsia="Calibri" w:cs="Arial"/>
          <w:kern w:val="2"/>
          <w:sz w:val="24"/>
          <w:szCs w:val="24"/>
          <w14:ligatures w14:val="standardContextual"/>
        </w:rPr>
        <w:t>minerālproduktu</w:t>
      </w:r>
      <w:proofErr w:type="spellEnd"/>
      <w:r w:rsidR="00806C11" w:rsidRPr="00806C11">
        <w:rPr>
          <w:rFonts w:eastAsia="Calibri" w:cs="Arial"/>
          <w:kern w:val="2"/>
          <w:sz w:val="24"/>
          <w:szCs w:val="24"/>
          <w14:ligatures w14:val="standardContextual"/>
        </w:rPr>
        <w:t xml:space="preserve">, </w:t>
      </w:r>
      <w:r w:rsidRPr="00806C11">
        <w:rPr>
          <w:rFonts w:eastAsia="Calibri" w:cs="Arial"/>
          <w:kern w:val="2"/>
          <w:sz w:val="24"/>
          <w:szCs w:val="24"/>
          <w14:ligatures w14:val="standardContextual"/>
        </w:rPr>
        <w:t>koka un koksnes izstrādājumu grupām. Šo preču grupu eksporta kritums pērnajā gadā izskaidro 88% no kopējā preču eksporta krituma. Tieši šīs preču grupas bija vienas no galvenajiem eksporta dzinējspēkiem 2022.</w:t>
      </w:r>
      <w:r w:rsidR="00806C11" w:rsidRPr="00806C11">
        <w:rPr>
          <w:rFonts w:eastAsia="Calibri" w:cs="Arial"/>
          <w:kern w:val="2"/>
          <w:sz w:val="24"/>
          <w:szCs w:val="24"/>
          <w14:ligatures w14:val="standardContextual"/>
        </w:rPr>
        <w:t xml:space="preserve"> </w:t>
      </w:r>
      <w:r w:rsidRPr="00806C11">
        <w:rPr>
          <w:rFonts w:eastAsia="Calibri" w:cs="Arial"/>
          <w:kern w:val="2"/>
          <w:sz w:val="24"/>
          <w:szCs w:val="24"/>
          <w14:ligatures w14:val="standardContextual"/>
        </w:rPr>
        <w:t>gadā, ko veicināja augstās naftas, gāzes un koksnes cenas. Savukārt 2023.</w:t>
      </w:r>
      <w:r w:rsidR="00806C11" w:rsidRPr="00806C11">
        <w:rPr>
          <w:rFonts w:eastAsia="Calibri" w:cs="Arial"/>
          <w:kern w:val="2"/>
          <w:sz w:val="24"/>
          <w:szCs w:val="24"/>
          <w14:ligatures w14:val="standardContextual"/>
        </w:rPr>
        <w:t xml:space="preserve"> </w:t>
      </w:r>
      <w:r w:rsidRPr="00806C11">
        <w:rPr>
          <w:rFonts w:eastAsia="Calibri" w:cs="Arial"/>
          <w:kern w:val="2"/>
          <w:sz w:val="24"/>
          <w:szCs w:val="24"/>
          <w14:ligatures w14:val="standardContextual"/>
        </w:rPr>
        <w:t xml:space="preserve">gadā šo izejvielu cenas būtiski samazinājās, līdz ar to samazinot arī šo preču eksporta vērtību. Tā, </w:t>
      </w:r>
      <w:proofErr w:type="spellStart"/>
      <w:r w:rsidRPr="00806C11">
        <w:rPr>
          <w:rFonts w:eastAsia="Calibri" w:cs="Arial"/>
          <w:kern w:val="2"/>
          <w:sz w:val="24"/>
          <w:szCs w:val="24"/>
          <w14:ligatures w14:val="standardContextual"/>
        </w:rPr>
        <w:t>minerālproduktu</w:t>
      </w:r>
      <w:proofErr w:type="spellEnd"/>
      <w:r w:rsidRPr="00806C11">
        <w:rPr>
          <w:rFonts w:eastAsia="Calibri" w:cs="Arial"/>
          <w:kern w:val="2"/>
          <w:sz w:val="24"/>
          <w:szCs w:val="24"/>
          <w14:ligatures w14:val="standardContextual"/>
        </w:rPr>
        <w:t xml:space="preserve"> eksporta vērtība </w:t>
      </w:r>
      <w:r w:rsidRPr="00806C11">
        <w:rPr>
          <w:rFonts w:eastAsia="Calibri" w:cs="Times New Roman"/>
          <w:kern w:val="2"/>
          <w:sz w:val="24"/>
          <w:szCs w:val="24"/>
          <w14:ligatures w14:val="standardContextual"/>
        </w:rPr>
        <w:t>2023.</w:t>
      </w:r>
      <w:r w:rsidR="00806C11" w:rsidRPr="00806C11">
        <w:rPr>
          <w:rFonts w:eastAsia="Calibri" w:cs="Times New Roman"/>
          <w:kern w:val="2"/>
          <w:sz w:val="24"/>
          <w:szCs w:val="24"/>
          <w14:ligatures w14:val="standardContextual"/>
        </w:rPr>
        <w:t xml:space="preserve"> </w:t>
      </w:r>
      <w:r w:rsidRPr="00806C11">
        <w:rPr>
          <w:rFonts w:eastAsia="Calibri" w:cs="Times New Roman"/>
          <w:kern w:val="2"/>
          <w:sz w:val="24"/>
          <w:szCs w:val="24"/>
          <w14:ligatures w14:val="standardContextual"/>
        </w:rPr>
        <w:t>gadā samazinājās par 45% jeb 1</w:t>
      </w:r>
      <w:r w:rsidR="007047D1">
        <w:rPr>
          <w:rFonts w:eastAsia="Calibri" w:cs="Times New Roman"/>
          <w:kern w:val="2"/>
          <w:sz w:val="24"/>
          <w:szCs w:val="24"/>
          <w14:ligatures w14:val="standardContextual"/>
        </w:rPr>
        <w:t xml:space="preserve"> </w:t>
      </w:r>
      <w:r w:rsidRPr="00806C11">
        <w:rPr>
          <w:rFonts w:eastAsia="Calibri" w:cs="Times New Roman"/>
          <w:kern w:val="2"/>
          <w:sz w:val="24"/>
          <w:szCs w:val="24"/>
          <w14:ligatures w14:val="standardContextual"/>
        </w:rPr>
        <w:t xml:space="preserve">240 milj. </w:t>
      </w:r>
      <w:proofErr w:type="spellStart"/>
      <w:r w:rsidRPr="00806C11">
        <w:rPr>
          <w:rFonts w:eastAsia="Aptos" w:cs="Times New Roman"/>
          <w:i/>
          <w:iCs/>
          <w:kern w:val="2"/>
          <w:sz w:val="24"/>
          <w:szCs w:val="24"/>
          <w14:ligatures w14:val="standardContextual"/>
        </w:rPr>
        <w:t>euro</w:t>
      </w:r>
      <w:proofErr w:type="spellEnd"/>
      <w:r w:rsidRPr="00806C11">
        <w:rPr>
          <w:rFonts w:eastAsia="Calibri" w:cs="Times New Roman"/>
          <w:kern w:val="2"/>
          <w:sz w:val="24"/>
          <w:szCs w:val="24"/>
          <w14:ligatures w14:val="standardContextual"/>
        </w:rPr>
        <w:t xml:space="preserve">, ko noteica naftas produktu un gāzes reeksporta samazinājums attiecīgi par 42% (186 milj. </w:t>
      </w:r>
      <w:proofErr w:type="spellStart"/>
      <w:r w:rsidRPr="00806C11">
        <w:rPr>
          <w:rFonts w:eastAsia="Aptos" w:cs="Times New Roman"/>
          <w:i/>
          <w:iCs/>
          <w:kern w:val="2"/>
          <w:sz w:val="24"/>
          <w:szCs w:val="24"/>
          <w14:ligatures w14:val="standardContextual"/>
        </w:rPr>
        <w:t>euro</w:t>
      </w:r>
      <w:proofErr w:type="spellEnd"/>
      <w:r w:rsidRPr="00806C11">
        <w:rPr>
          <w:rFonts w:eastAsia="Calibri" w:cs="Times New Roman"/>
          <w:kern w:val="2"/>
          <w:sz w:val="24"/>
          <w:szCs w:val="24"/>
          <w14:ligatures w14:val="standardContextual"/>
        </w:rPr>
        <w:t xml:space="preserve">) un 55% (655 milj. </w:t>
      </w:r>
      <w:proofErr w:type="spellStart"/>
      <w:r w:rsidRPr="00806C11">
        <w:rPr>
          <w:rFonts w:eastAsia="Aptos" w:cs="Times New Roman"/>
          <w:i/>
          <w:iCs/>
          <w:kern w:val="2"/>
          <w:sz w:val="24"/>
          <w:szCs w:val="24"/>
          <w14:ligatures w14:val="standardContextual"/>
        </w:rPr>
        <w:t>euro</w:t>
      </w:r>
      <w:proofErr w:type="spellEnd"/>
      <w:r w:rsidRPr="00806C11">
        <w:rPr>
          <w:rFonts w:eastAsia="Calibri" w:cs="Times New Roman"/>
          <w:kern w:val="2"/>
          <w:sz w:val="24"/>
          <w:szCs w:val="24"/>
          <w14:ligatures w14:val="standardContextual"/>
        </w:rPr>
        <w:t xml:space="preserve">), kā arī elektroenerģijas eksporta kritums par 55% (374 milj. </w:t>
      </w:r>
      <w:proofErr w:type="spellStart"/>
      <w:r w:rsidRPr="00806C11">
        <w:rPr>
          <w:rFonts w:eastAsia="Aptos" w:cs="Times New Roman"/>
          <w:i/>
          <w:iCs/>
          <w:kern w:val="2"/>
          <w:sz w:val="24"/>
          <w:szCs w:val="24"/>
          <w14:ligatures w14:val="standardContextual"/>
        </w:rPr>
        <w:t>euro</w:t>
      </w:r>
      <w:proofErr w:type="spellEnd"/>
      <w:r w:rsidRPr="00806C11">
        <w:rPr>
          <w:rFonts w:eastAsia="Calibri" w:cs="Times New Roman"/>
          <w:kern w:val="2"/>
          <w:sz w:val="24"/>
          <w:szCs w:val="24"/>
          <w14:ligatures w14:val="standardContextual"/>
        </w:rPr>
        <w:t>). Šo energoresursu eksporta lielākais samazinājums bija fiksēts tādos eksporta tirgos kā Lietuva, Igaunija un Somija.</w:t>
      </w:r>
    </w:p>
    <w:p w14:paraId="5D7FCB77" w14:textId="77777777" w:rsidR="00594BC3" w:rsidRPr="00806C11" w:rsidRDefault="00594BC3" w:rsidP="00594BC3">
      <w:pPr>
        <w:ind w:firstLine="709"/>
        <w:rPr>
          <w:rFonts w:eastAsia="Aptos" w:cs="Times New Roman"/>
          <w:kern w:val="2"/>
          <w:sz w:val="24"/>
          <w:szCs w:val="24"/>
          <w14:ligatures w14:val="standardContextual"/>
        </w:rPr>
      </w:pPr>
      <w:r w:rsidRPr="00806C11">
        <w:rPr>
          <w:rFonts w:eastAsia="Calibri" w:cs="Times New Roman"/>
          <w:kern w:val="2"/>
          <w:sz w:val="24"/>
          <w:szCs w:val="24"/>
          <w14:ligatures w14:val="standardContextual"/>
        </w:rPr>
        <w:t xml:space="preserve">Koksnes un koka izstrādājumu eksports pērn samazinājies par 22% (806 milj. </w:t>
      </w:r>
      <w:proofErr w:type="spellStart"/>
      <w:r w:rsidRPr="00806C11">
        <w:rPr>
          <w:rFonts w:eastAsia="Aptos" w:cs="Times New Roman"/>
          <w:i/>
          <w:iCs/>
          <w:kern w:val="2"/>
          <w:sz w:val="24"/>
          <w:szCs w:val="24"/>
          <w14:ligatures w14:val="standardContextual"/>
        </w:rPr>
        <w:t>euro</w:t>
      </w:r>
      <w:proofErr w:type="spellEnd"/>
      <w:r w:rsidRPr="00806C11">
        <w:rPr>
          <w:rFonts w:eastAsia="Calibri" w:cs="Times New Roman"/>
          <w:kern w:val="2"/>
          <w:sz w:val="24"/>
          <w:szCs w:val="24"/>
          <w14:ligatures w14:val="standardContextual"/>
        </w:rPr>
        <w:t xml:space="preserve">). Lai arī šīs grupas eksporta kritums ir mazāks nekā </w:t>
      </w:r>
      <w:proofErr w:type="spellStart"/>
      <w:r w:rsidRPr="00806C11">
        <w:rPr>
          <w:rFonts w:eastAsia="Calibri" w:cs="Times New Roman"/>
          <w:kern w:val="2"/>
          <w:sz w:val="24"/>
          <w:szCs w:val="24"/>
          <w14:ligatures w14:val="standardContextual"/>
        </w:rPr>
        <w:t>minerālproduktiem</w:t>
      </w:r>
      <w:proofErr w:type="spellEnd"/>
      <w:r w:rsidRPr="00806C11">
        <w:rPr>
          <w:rFonts w:eastAsia="Calibri" w:cs="Times New Roman"/>
          <w:kern w:val="2"/>
          <w:sz w:val="24"/>
          <w:szCs w:val="24"/>
          <w14:ligatures w14:val="standardContextual"/>
        </w:rPr>
        <w:t xml:space="preserve">, tomēr tā negatīvā ietekme uz ekonomiku kopumā un it īpaši uz apstrādes rūpniecības nozari ir lielāka. Tas ir saistīts arī to, ka koksnes un koka izstrādājumu eksports balstās uz vietējo ražošanu, izmantojot vietējos darbaspēka un izejvielu resursus, kamēr </w:t>
      </w:r>
      <w:proofErr w:type="spellStart"/>
      <w:r w:rsidRPr="00806C11">
        <w:rPr>
          <w:rFonts w:eastAsia="Calibri" w:cs="Times New Roman"/>
          <w:kern w:val="2"/>
          <w:sz w:val="24"/>
          <w:szCs w:val="24"/>
          <w14:ligatures w14:val="standardContextual"/>
        </w:rPr>
        <w:t>minerālproduktiem</w:t>
      </w:r>
      <w:proofErr w:type="spellEnd"/>
      <w:r w:rsidRPr="00806C11">
        <w:rPr>
          <w:rFonts w:eastAsia="Calibri" w:cs="Times New Roman"/>
          <w:kern w:val="2"/>
          <w:sz w:val="24"/>
          <w:szCs w:val="24"/>
          <w14:ligatures w14:val="standardContextual"/>
        </w:rPr>
        <w:t xml:space="preserve"> lielākoties tiek </w:t>
      </w:r>
      <w:proofErr w:type="spellStart"/>
      <w:r w:rsidRPr="00806C11">
        <w:rPr>
          <w:rFonts w:eastAsia="Calibri" w:cs="Times New Roman"/>
          <w:kern w:val="2"/>
          <w:sz w:val="24"/>
          <w:szCs w:val="24"/>
          <w14:ligatures w14:val="standardContextual"/>
        </w:rPr>
        <w:t>reeksportētas</w:t>
      </w:r>
      <w:proofErr w:type="spellEnd"/>
      <w:r w:rsidRPr="00806C11">
        <w:rPr>
          <w:rFonts w:eastAsia="Calibri" w:cs="Times New Roman"/>
          <w:kern w:val="2"/>
          <w:sz w:val="24"/>
          <w:szCs w:val="24"/>
          <w14:ligatures w14:val="standardContextual"/>
        </w:rPr>
        <w:t xml:space="preserve"> izejvielas, kas sākotnēji ievestas no citām valstīm. </w:t>
      </w:r>
      <w:r w:rsidRPr="00806C11">
        <w:rPr>
          <w:rFonts w:eastAsia="Aptos" w:cs="Times New Roman"/>
          <w:kern w:val="2"/>
          <w:sz w:val="24"/>
          <w:szCs w:val="24"/>
          <w14:ligatures w14:val="standardContextual"/>
        </w:rPr>
        <w:t xml:space="preserve">Negatīvi vērtējams, ka </w:t>
      </w:r>
      <w:r w:rsidRPr="00806C11">
        <w:rPr>
          <w:rFonts w:eastAsia="Calibri" w:cs="Times New Roman"/>
          <w:kern w:val="2"/>
          <w:sz w:val="24"/>
          <w:szCs w:val="24"/>
          <w14:ligatures w14:val="standardContextual"/>
        </w:rPr>
        <w:t>koksnes un koka izstrādājumu</w:t>
      </w:r>
      <w:r w:rsidRPr="00806C11">
        <w:rPr>
          <w:rFonts w:eastAsia="Aptos" w:cs="Times New Roman"/>
          <w:kern w:val="2"/>
          <w:sz w:val="24"/>
          <w:szCs w:val="24"/>
          <w14:ligatures w14:val="standardContextual"/>
        </w:rPr>
        <w:t xml:space="preserve"> eksporta kritums ir visaptverošs un fiksēts visās apakšgrupās  - apstrādātiem un neapstrādātiem kokmateriāliem, </w:t>
      </w:r>
      <w:proofErr w:type="spellStart"/>
      <w:r w:rsidRPr="00806C11">
        <w:rPr>
          <w:rFonts w:eastAsia="Aptos" w:cs="Times New Roman"/>
          <w:kern w:val="2"/>
          <w:sz w:val="24"/>
          <w:szCs w:val="24"/>
          <w14:ligatures w14:val="standardContextual"/>
        </w:rPr>
        <w:t>kokskaidu</w:t>
      </w:r>
      <w:proofErr w:type="spellEnd"/>
      <w:r w:rsidRPr="00806C11">
        <w:rPr>
          <w:rFonts w:eastAsia="Aptos" w:cs="Times New Roman"/>
          <w:kern w:val="2"/>
          <w:sz w:val="24"/>
          <w:szCs w:val="24"/>
          <w14:ligatures w14:val="standardContextual"/>
        </w:rPr>
        <w:t xml:space="preserve"> plātnēm, saplāksnim un citiem izstrādājumiem. Arī eksporta tirgu griezumā, </w:t>
      </w:r>
      <w:r w:rsidRPr="00806C11">
        <w:rPr>
          <w:rFonts w:eastAsia="Calibri" w:cs="Times New Roman"/>
          <w:kern w:val="2"/>
          <w:sz w:val="24"/>
          <w:szCs w:val="24"/>
          <w14:ligatures w14:val="standardContextual"/>
        </w:rPr>
        <w:t>koksnes un koka izstrādājumu</w:t>
      </w:r>
      <w:r w:rsidRPr="00806C11">
        <w:rPr>
          <w:rFonts w:eastAsia="Aptos" w:cs="Times New Roman"/>
          <w:kern w:val="2"/>
          <w:sz w:val="24"/>
          <w:szCs w:val="24"/>
          <w14:ligatures w14:val="standardContextual"/>
        </w:rPr>
        <w:t xml:space="preserve"> eksporta samazinājums ir visaptverošs, jo kritums ir fiksēts visos lielākajos noieta tirgos, tajā skaitā eksportā uz Apvienoto Karalisti, Igauniju, Lietuvu, Poliju, Nīderlandi, Vāciju, Zviedriju un Somiju.</w:t>
      </w:r>
    </w:p>
    <w:p w14:paraId="0AAD83A7" w14:textId="1BF1B6C0" w:rsidR="00594BC3" w:rsidRPr="00806C11" w:rsidRDefault="00594BC3" w:rsidP="00594BC3">
      <w:pPr>
        <w:ind w:firstLine="709"/>
        <w:rPr>
          <w:rFonts w:eastAsia="Aptos" w:cs="Times New Roman"/>
          <w:kern w:val="2"/>
          <w:sz w:val="24"/>
          <w:szCs w:val="24"/>
          <w14:ligatures w14:val="standardContextual"/>
        </w:rPr>
      </w:pPr>
      <w:r w:rsidRPr="00806C11">
        <w:rPr>
          <w:rFonts w:eastAsia="Aptos" w:cs="Times New Roman"/>
          <w:kern w:val="2"/>
          <w:sz w:val="24"/>
          <w:szCs w:val="24"/>
          <w14:ligatures w14:val="standardContextual"/>
        </w:rPr>
        <w:t>Būtisks eksporta samazinājums bija vērojams arī metāliem un to izstrādājumiem, kuru eksporta vērtība 2023.</w:t>
      </w:r>
      <w:r w:rsidR="00806C11" w:rsidRPr="00806C11">
        <w:rPr>
          <w:rFonts w:eastAsia="Aptos" w:cs="Times New Roman"/>
          <w:kern w:val="2"/>
          <w:sz w:val="24"/>
          <w:szCs w:val="24"/>
          <w14:ligatures w14:val="standardContextual"/>
        </w:rPr>
        <w:t xml:space="preserve"> </w:t>
      </w:r>
      <w:r w:rsidRPr="00806C11">
        <w:rPr>
          <w:rFonts w:eastAsia="Aptos" w:cs="Times New Roman"/>
          <w:kern w:val="2"/>
          <w:sz w:val="24"/>
          <w:szCs w:val="24"/>
          <w14:ligatures w14:val="standardContextual"/>
        </w:rPr>
        <w:t>gadā bija par 16% (227</w:t>
      </w:r>
      <w:r w:rsidRPr="00806C11">
        <w:rPr>
          <w:rFonts w:eastAsia="Calibri" w:cs="Times New Roman"/>
          <w:kern w:val="2"/>
          <w:sz w:val="24"/>
          <w:szCs w:val="24"/>
          <w14:ligatures w14:val="standardContextual"/>
        </w:rPr>
        <w:t xml:space="preserve"> milj. </w:t>
      </w:r>
      <w:proofErr w:type="spellStart"/>
      <w:r w:rsidRPr="00806C11">
        <w:rPr>
          <w:rFonts w:eastAsia="Aptos" w:cs="Times New Roman"/>
          <w:i/>
          <w:iCs/>
          <w:kern w:val="2"/>
          <w:sz w:val="24"/>
          <w:szCs w:val="24"/>
          <w14:ligatures w14:val="standardContextual"/>
        </w:rPr>
        <w:t>euro</w:t>
      </w:r>
      <w:proofErr w:type="spellEnd"/>
      <w:r w:rsidRPr="00806C11">
        <w:rPr>
          <w:rFonts w:eastAsia="Aptos" w:cs="Times New Roman"/>
          <w:kern w:val="2"/>
          <w:sz w:val="24"/>
          <w:szCs w:val="24"/>
          <w14:ligatures w14:val="standardContextual"/>
        </w:rPr>
        <w:t>) mazāka nekā 2022.</w:t>
      </w:r>
      <w:r w:rsidR="00806C11" w:rsidRPr="00806C11">
        <w:rPr>
          <w:rFonts w:eastAsia="Aptos" w:cs="Times New Roman"/>
          <w:kern w:val="2"/>
          <w:sz w:val="24"/>
          <w:szCs w:val="24"/>
          <w14:ligatures w14:val="standardContextual"/>
        </w:rPr>
        <w:t xml:space="preserve"> </w:t>
      </w:r>
      <w:r w:rsidRPr="00806C11">
        <w:rPr>
          <w:rFonts w:eastAsia="Aptos" w:cs="Times New Roman"/>
          <w:kern w:val="2"/>
          <w:sz w:val="24"/>
          <w:szCs w:val="24"/>
          <w14:ligatures w14:val="standardContextual"/>
        </w:rPr>
        <w:t xml:space="preserve">gadā. Arī šajā preču grupā eksporta kritums ir visaptverošs un fiksēts gan dzelzs atkritumiem, gan dzelzs un tēraudam, gan arī metālu izstrādājumiem. </w:t>
      </w:r>
    </w:p>
    <w:p w14:paraId="3DA054F7" w14:textId="7FB42214" w:rsidR="00594BC3" w:rsidRPr="00806C11" w:rsidRDefault="00594BC3" w:rsidP="00594BC3">
      <w:pPr>
        <w:ind w:firstLine="709"/>
        <w:rPr>
          <w:rFonts w:eastAsia="Calibri" w:cs="Arial"/>
          <w:kern w:val="2"/>
          <w:sz w:val="24"/>
          <w:szCs w:val="24"/>
          <w14:ligatures w14:val="standardContextual"/>
        </w:rPr>
      </w:pPr>
      <w:r w:rsidRPr="00806C11">
        <w:rPr>
          <w:rFonts w:eastAsia="Calibri" w:cs="Arial"/>
          <w:kern w:val="2"/>
          <w:sz w:val="24"/>
          <w:szCs w:val="24"/>
          <w14:ligatures w14:val="standardContextual"/>
        </w:rPr>
        <w:t xml:space="preserve">Latvijas preču eksporta struktūrā dominējošā loma ir precēm ar zemu pievienoto vērtību, piemēram, </w:t>
      </w:r>
      <w:proofErr w:type="spellStart"/>
      <w:r w:rsidRPr="00806C11">
        <w:rPr>
          <w:rFonts w:eastAsia="Calibri" w:cs="Arial"/>
          <w:kern w:val="2"/>
          <w:sz w:val="24"/>
          <w:szCs w:val="24"/>
          <w14:ligatures w14:val="standardContextual"/>
        </w:rPr>
        <w:t>minerālproduktiem</w:t>
      </w:r>
      <w:proofErr w:type="spellEnd"/>
      <w:r w:rsidRPr="00806C11">
        <w:rPr>
          <w:rFonts w:eastAsia="Calibri" w:cs="Arial"/>
          <w:kern w:val="2"/>
          <w:sz w:val="24"/>
          <w:szCs w:val="24"/>
          <w14:ligatures w14:val="standardContextual"/>
        </w:rPr>
        <w:t>, koksnei un koka izstrādājumiem, dzelzs atkritumiem un lūžņiem, graudaugiem, kuru cenas pasaules tirgos var būtiski svārstīties. Tādējādi tas pakļauj arī kopējo Latvijas preču eksportu būtiskām svārstībām, k</w:t>
      </w:r>
      <w:r w:rsidR="006D3117">
        <w:rPr>
          <w:rFonts w:eastAsia="Calibri" w:cs="Arial"/>
          <w:kern w:val="2"/>
          <w:sz w:val="24"/>
          <w:szCs w:val="24"/>
          <w14:ligatures w14:val="standardContextual"/>
        </w:rPr>
        <w:t xml:space="preserve">as tika novērots </w:t>
      </w:r>
      <w:r w:rsidRPr="00806C11">
        <w:rPr>
          <w:rFonts w:eastAsia="Calibri" w:cs="Arial"/>
          <w:kern w:val="2"/>
          <w:sz w:val="24"/>
          <w:szCs w:val="24"/>
          <w14:ligatures w14:val="standardContextual"/>
        </w:rPr>
        <w:t>pēdējos gados.</w:t>
      </w:r>
    </w:p>
    <w:p w14:paraId="4AE86384" w14:textId="77777777" w:rsidR="00594BC3" w:rsidRPr="00806C11" w:rsidRDefault="00594BC3" w:rsidP="00594BC3">
      <w:pPr>
        <w:ind w:firstLine="709"/>
        <w:rPr>
          <w:rFonts w:eastAsia="Aptos" w:cs="Times New Roman"/>
          <w:kern w:val="2"/>
          <w:sz w:val="24"/>
          <w:szCs w:val="24"/>
          <w14:ligatures w14:val="standardContextual"/>
        </w:rPr>
      </w:pPr>
      <w:r w:rsidRPr="00806C11">
        <w:rPr>
          <w:rFonts w:eastAsia="Calibri" w:cs="Arial"/>
          <w:kern w:val="2"/>
          <w:sz w:val="24"/>
          <w:szCs w:val="24"/>
          <w14:ligatures w14:val="standardContextual"/>
        </w:rPr>
        <w:t>No lielajām preču eksporta grupām jāatzīmē lauksaimniecības preču un pārtikas, kā arī mehānisko iekārtu un elektroierīču eksporta pieaugums attiecīgi par 1,2% (53</w:t>
      </w:r>
      <w:r w:rsidRPr="00806C11">
        <w:rPr>
          <w:rFonts w:eastAsia="Calibri" w:cs="Times New Roman"/>
          <w:kern w:val="2"/>
          <w:sz w:val="24"/>
          <w:szCs w:val="24"/>
          <w14:ligatures w14:val="standardContextual"/>
        </w:rPr>
        <w:t xml:space="preserve"> milj. </w:t>
      </w:r>
      <w:proofErr w:type="spellStart"/>
      <w:r w:rsidRPr="00806C11">
        <w:rPr>
          <w:rFonts w:eastAsia="Aptos" w:cs="Times New Roman"/>
          <w:i/>
          <w:iCs/>
          <w:kern w:val="2"/>
          <w:sz w:val="24"/>
          <w:szCs w:val="24"/>
          <w14:ligatures w14:val="standardContextual"/>
        </w:rPr>
        <w:t>euro</w:t>
      </w:r>
      <w:proofErr w:type="spellEnd"/>
      <w:r w:rsidRPr="00806C11">
        <w:rPr>
          <w:rFonts w:eastAsia="Aptos" w:cs="Times New Roman"/>
          <w:kern w:val="2"/>
          <w:sz w:val="24"/>
          <w:szCs w:val="24"/>
          <w14:ligatures w14:val="standardContextual"/>
        </w:rPr>
        <w:t xml:space="preserve">) un 1,2% (35 </w:t>
      </w:r>
      <w:r w:rsidRPr="00806C11">
        <w:rPr>
          <w:rFonts w:eastAsia="Calibri" w:cs="Times New Roman"/>
          <w:kern w:val="2"/>
          <w:sz w:val="24"/>
          <w:szCs w:val="24"/>
          <w14:ligatures w14:val="standardContextual"/>
        </w:rPr>
        <w:t xml:space="preserve">milj. </w:t>
      </w:r>
      <w:proofErr w:type="spellStart"/>
      <w:r w:rsidRPr="00806C11">
        <w:rPr>
          <w:rFonts w:eastAsia="Aptos" w:cs="Times New Roman"/>
          <w:i/>
          <w:iCs/>
          <w:kern w:val="2"/>
          <w:sz w:val="24"/>
          <w:szCs w:val="24"/>
          <w14:ligatures w14:val="standardContextual"/>
        </w:rPr>
        <w:t>euro</w:t>
      </w:r>
      <w:proofErr w:type="spellEnd"/>
      <w:r w:rsidRPr="00806C11">
        <w:rPr>
          <w:rFonts w:eastAsia="Aptos" w:cs="Times New Roman"/>
          <w:kern w:val="2"/>
          <w:sz w:val="24"/>
          <w:szCs w:val="24"/>
          <w14:ligatures w14:val="standardContextual"/>
        </w:rPr>
        <w:t xml:space="preserve">), tādējādi nedaudz mazinot kopējo eksporta kritumu. </w:t>
      </w:r>
    </w:p>
    <w:p w14:paraId="503EAC59" w14:textId="50D1EBC4" w:rsidR="00594BC3" w:rsidRPr="00806C11" w:rsidRDefault="00594BC3" w:rsidP="00594BC3">
      <w:pPr>
        <w:ind w:firstLine="709"/>
        <w:rPr>
          <w:rFonts w:eastAsia="Aptos" w:cs="Times New Roman"/>
          <w:kern w:val="2"/>
          <w:sz w:val="24"/>
          <w:szCs w:val="24"/>
          <w14:ligatures w14:val="standardContextual"/>
        </w:rPr>
      </w:pPr>
      <w:r w:rsidRPr="00806C11">
        <w:rPr>
          <w:rFonts w:eastAsia="Calibri" w:cs="Arial"/>
          <w:noProof/>
          <w:kern w:val="2"/>
          <w:sz w:val="24"/>
          <w:szCs w:val="24"/>
          <w14:ligatures w14:val="standardContextual"/>
        </w:rPr>
        <w:t xml:space="preserve">Atšķirībā no preču eksporta, </w:t>
      </w:r>
      <w:r w:rsidRPr="00806C11">
        <w:rPr>
          <w:rFonts w:eastAsia="Calibri" w:cs="Arial"/>
          <w:b/>
          <w:bCs/>
          <w:noProof/>
          <w:kern w:val="2"/>
          <w:sz w:val="24"/>
          <w:szCs w:val="24"/>
          <w14:ligatures w14:val="standardContextual"/>
        </w:rPr>
        <w:t>pakalpojumu eksports</w:t>
      </w:r>
      <w:r w:rsidRPr="00806C11">
        <w:rPr>
          <w:rFonts w:eastAsia="Calibri" w:cs="Arial"/>
          <w:noProof/>
          <w:kern w:val="2"/>
          <w:sz w:val="24"/>
          <w:szCs w:val="24"/>
          <w14:ligatures w14:val="standardContextual"/>
        </w:rPr>
        <w:t xml:space="preserve"> 2023.</w:t>
      </w:r>
      <w:r w:rsidR="00806C11" w:rsidRPr="00806C11">
        <w:rPr>
          <w:rFonts w:eastAsia="Calibri" w:cs="Arial"/>
          <w:noProof/>
          <w:kern w:val="2"/>
          <w:sz w:val="24"/>
          <w:szCs w:val="24"/>
          <w14:ligatures w14:val="standardContextual"/>
        </w:rPr>
        <w:t xml:space="preserve"> </w:t>
      </w:r>
      <w:r w:rsidRPr="00806C11">
        <w:rPr>
          <w:rFonts w:eastAsia="Calibri" w:cs="Arial"/>
          <w:noProof/>
          <w:kern w:val="2"/>
          <w:sz w:val="24"/>
          <w:szCs w:val="24"/>
          <w14:ligatures w14:val="standardContextual"/>
        </w:rPr>
        <w:t xml:space="preserve">gadā turpināja attīstību, lai arī mērenāku nekā 2022. gadā. 2023. gada pakalpojumu eksporta vērtība faktiskajās cenās bija par 3,8% jeb 273 </w:t>
      </w:r>
      <w:r w:rsidRPr="00806C11">
        <w:rPr>
          <w:rFonts w:eastAsia="Calibri" w:cs="Times New Roman"/>
          <w:kern w:val="2"/>
          <w:sz w:val="24"/>
          <w:szCs w:val="24"/>
          <w14:ligatures w14:val="standardContextual"/>
        </w:rPr>
        <w:t xml:space="preserve">milj. </w:t>
      </w:r>
      <w:proofErr w:type="spellStart"/>
      <w:r w:rsidRPr="00806C11">
        <w:rPr>
          <w:rFonts w:eastAsia="Aptos" w:cs="Times New Roman"/>
          <w:i/>
          <w:iCs/>
          <w:kern w:val="2"/>
          <w:sz w:val="24"/>
          <w:szCs w:val="24"/>
          <w14:ligatures w14:val="standardContextual"/>
        </w:rPr>
        <w:t>euro</w:t>
      </w:r>
      <w:proofErr w:type="spellEnd"/>
      <w:r w:rsidRPr="00806C11">
        <w:rPr>
          <w:rFonts w:eastAsia="Aptos" w:cs="Times New Roman"/>
          <w:i/>
          <w:iCs/>
          <w:kern w:val="2"/>
          <w:sz w:val="24"/>
          <w:szCs w:val="24"/>
          <w14:ligatures w14:val="standardContextual"/>
        </w:rPr>
        <w:t xml:space="preserve"> </w:t>
      </w:r>
      <w:r w:rsidRPr="00806C11">
        <w:rPr>
          <w:rFonts w:eastAsia="Aptos" w:cs="Times New Roman"/>
          <w:kern w:val="2"/>
          <w:sz w:val="24"/>
          <w:szCs w:val="24"/>
          <w14:ligatures w14:val="standardContextual"/>
        </w:rPr>
        <w:t>augstāka nekā 2022.</w:t>
      </w:r>
      <w:r w:rsidR="00806C11" w:rsidRPr="00806C11">
        <w:rPr>
          <w:rFonts w:eastAsia="Aptos" w:cs="Times New Roman"/>
          <w:kern w:val="2"/>
          <w:sz w:val="24"/>
          <w:szCs w:val="24"/>
          <w14:ligatures w14:val="standardContextual"/>
        </w:rPr>
        <w:t xml:space="preserve"> </w:t>
      </w:r>
      <w:r w:rsidRPr="00806C11">
        <w:rPr>
          <w:rFonts w:eastAsia="Aptos" w:cs="Times New Roman"/>
          <w:kern w:val="2"/>
          <w:sz w:val="24"/>
          <w:szCs w:val="24"/>
          <w14:ligatures w14:val="standardContextual"/>
        </w:rPr>
        <w:t xml:space="preserve">gadā. </w:t>
      </w:r>
    </w:p>
    <w:p w14:paraId="0F66B3AB" w14:textId="1334E1B3" w:rsidR="00594BC3" w:rsidRPr="00F30D8C" w:rsidRDefault="00594BC3" w:rsidP="00594BC3">
      <w:pPr>
        <w:ind w:firstLine="709"/>
        <w:rPr>
          <w:rFonts w:eastAsia="Aptos" w:cs="Times New Roman"/>
          <w:kern w:val="2"/>
          <w:sz w:val="24"/>
          <w:szCs w:val="24"/>
          <w14:ligatures w14:val="standardContextual"/>
        </w:rPr>
      </w:pPr>
      <w:r w:rsidRPr="00806C11">
        <w:rPr>
          <w:rFonts w:eastAsia="Calibri" w:cs="Arial"/>
          <w:noProof/>
          <w:kern w:val="2"/>
          <w:sz w:val="24"/>
          <w:szCs w:val="24"/>
          <w14:ligatures w14:val="standardContextual"/>
        </w:rPr>
        <w:t>No visiem ārvalstniekiem sniegtajiem pakalpojumiem straujākais pieaugums bija tūrisma pakalpojumos. Ārvalstu tūristu izdevumi Latvijā 2023.</w:t>
      </w:r>
      <w:r w:rsidR="00806C11" w:rsidRPr="00806C11">
        <w:rPr>
          <w:rFonts w:eastAsia="Calibri" w:cs="Arial"/>
          <w:noProof/>
          <w:kern w:val="2"/>
          <w:sz w:val="24"/>
          <w:szCs w:val="24"/>
          <w14:ligatures w14:val="standardContextual"/>
        </w:rPr>
        <w:t xml:space="preserve"> </w:t>
      </w:r>
      <w:r w:rsidRPr="00806C11">
        <w:rPr>
          <w:rFonts w:eastAsia="Calibri" w:cs="Arial"/>
          <w:noProof/>
          <w:kern w:val="2"/>
          <w:sz w:val="24"/>
          <w:szCs w:val="24"/>
          <w14:ligatures w14:val="standardContextual"/>
        </w:rPr>
        <w:t>gadā pieauga par 15,5%. Tik strauju izaugsmi noteica gan lielāks ārvalstu tūristu skaits, ko labvēlīgi ietekmēja pasaules hokeja čempionāta norise Rīgā, gan tūrisma nozares atkopšanās no pandēmijas, gan augstā inflācija, sadārdzinot pakalpojumu cenas. Apkalpoto ārvalstu viesu skaits Latvijas viesnīcās un citās tūristu mītnes pērnajā gadā sasniedza gandrīz 1,4 milj</w:t>
      </w:r>
      <w:r w:rsidR="00806C11" w:rsidRPr="00806C11">
        <w:rPr>
          <w:rFonts w:eastAsia="Calibri" w:cs="Arial"/>
          <w:noProof/>
          <w:kern w:val="2"/>
          <w:sz w:val="24"/>
          <w:szCs w:val="24"/>
          <w14:ligatures w14:val="standardContextual"/>
        </w:rPr>
        <w:t>.</w:t>
      </w:r>
      <w:r w:rsidRPr="00806C11">
        <w:rPr>
          <w:rFonts w:eastAsia="Calibri" w:cs="Arial"/>
          <w:noProof/>
          <w:kern w:val="2"/>
          <w:sz w:val="24"/>
          <w:szCs w:val="24"/>
          <w14:ligatures w14:val="standardContextual"/>
        </w:rPr>
        <w:t>, kas bija par 22% vairāk nekā 2022.</w:t>
      </w:r>
      <w:r w:rsidR="00806C11" w:rsidRPr="00806C11">
        <w:rPr>
          <w:rFonts w:eastAsia="Calibri" w:cs="Arial"/>
          <w:noProof/>
          <w:kern w:val="2"/>
          <w:sz w:val="24"/>
          <w:szCs w:val="24"/>
          <w14:ligatures w14:val="standardContextual"/>
        </w:rPr>
        <w:t xml:space="preserve"> </w:t>
      </w:r>
      <w:r w:rsidRPr="00806C11">
        <w:rPr>
          <w:rFonts w:eastAsia="Calibri" w:cs="Arial"/>
          <w:noProof/>
          <w:kern w:val="2"/>
          <w:sz w:val="24"/>
          <w:szCs w:val="24"/>
          <w14:ligatures w14:val="standardContextual"/>
        </w:rPr>
        <w:lastRenderedPageBreak/>
        <w:t>gadā. Tomēr ārvalstu tūristu skaits joprojām aptuveni par trešdaļu atpaliek no pirmspandēmijas līmeņa</w:t>
      </w:r>
      <w:r w:rsidRPr="00F30D8C">
        <w:rPr>
          <w:rFonts w:eastAsia="Calibri" w:cs="Arial"/>
          <w:noProof/>
          <w:kern w:val="2"/>
          <w:sz w:val="24"/>
          <w:szCs w:val="24"/>
          <w14:ligatures w14:val="standardContextual"/>
        </w:rPr>
        <w:t xml:space="preserve">. </w:t>
      </w:r>
    </w:p>
    <w:p w14:paraId="720758B9" w14:textId="77777777" w:rsidR="00594BC3" w:rsidRPr="00F30D8C" w:rsidRDefault="00594BC3" w:rsidP="00594BC3">
      <w:pPr>
        <w:ind w:firstLine="709"/>
        <w:rPr>
          <w:rFonts w:eastAsia="Calibri" w:cs="Arial"/>
          <w:noProof/>
          <w:kern w:val="2"/>
          <w:sz w:val="24"/>
          <w:szCs w:val="24"/>
          <w14:ligatures w14:val="standardContextual"/>
        </w:rPr>
      </w:pPr>
      <w:r w:rsidRPr="00F30D8C">
        <w:rPr>
          <w:rFonts w:eastAsia="Calibri" w:cs="Arial"/>
          <w:noProof/>
          <w:kern w:val="2"/>
          <w:sz w:val="24"/>
          <w:szCs w:val="24"/>
          <w14:ligatures w14:val="standardContextual"/>
        </w:rPr>
        <w:t xml:space="preserve">Palielinājies arī transporta pakalpojumu eksports, kopumā par 2,1%. Tomēr arī šajā pakalpojumu grupā izaugsmi nodrošināja tikai uz tūrismu orientēta darbība. No </w:t>
      </w:r>
      <w:r w:rsidRPr="00F30D8C">
        <w:rPr>
          <w:rFonts w:eastAsia="Calibri" w:cs="Arial"/>
          <w:noProof/>
          <w:color w:val="000000"/>
          <w:kern w:val="2"/>
          <w:sz w:val="24"/>
          <w:szCs w:val="24"/>
          <w14:ligatures w14:val="standardContextual"/>
        </w:rPr>
        <w:t xml:space="preserve">visiem ārvalstniekiem sniegtajiem </w:t>
      </w:r>
      <w:r w:rsidRPr="00F30D8C">
        <w:rPr>
          <w:rFonts w:eastAsia="Calibri" w:cs="Arial"/>
          <w:noProof/>
          <w:kern w:val="2"/>
          <w:sz w:val="24"/>
          <w:szCs w:val="24"/>
          <w14:ligatures w14:val="standardContextual"/>
        </w:rPr>
        <w:t xml:space="preserve">transporta pakalpojumiem pieauga tikai gaisa transporta pakalpojumu eksports, kopumā par 31,3%. Savukārt jūras un dzelzceļa transporta pakalpojumu eksports samazinājās attiecīgi par 28,8% un 14,7%. Autotransporta pakalpojumu eksports, kas pēc īpatsvara ir lielākā grupa transporta pakalpojumu eksportā, samazinājies par 7,1%. No citiem pakalpojumu veidiem var atzīmēt informācijas un datorpakalpojumu eksporta kāpumu par 2,3%, kā arī būvniecības pakalpojumu eksporta pieaugumu par 8,5%. Savukārt finanšu pakalpojumu eksports samazinājies par 13,5%.   </w:t>
      </w:r>
    </w:p>
    <w:p w14:paraId="1EE3947D" w14:textId="794E7862" w:rsidR="00594BC3" w:rsidRPr="000F0C01" w:rsidRDefault="00594BC3" w:rsidP="00594BC3">
      <w:pPr>
        <w:ind w:firstLine="709"/>
        <w:rPr>
          <w:rFonts w:eastAsia="Aptos" w:cs="Times New Roman"/>
          <w:kern w:val="2"/>
          <w:sz w:val="24"/>
          <w:szCs w:val="24"/>
          <w14:ligatures w14:val="standardContextual"/>
        </w:rPr>
      </w:pPr>
      <w:r w:rsidRPr="000F0C01">
        <w:rPr>
          <w:rFonts w:eastAsia="Calibri" w:cs="Times New Roman"/>
          <w:kern w:val="2"/>
          <w:sz w:val="24"/>
          <w:szCs w:val="24"/>
          <w14:ligatures w14:val="standardContextual"/>
        </w:rPr>
        <w:t>Vērtējot Latvijas eksporta attīstības perspektīvas 2024.</w:t>
      </w:r>
      <w:r w:rsidR="000F0C01" w:rsidRPr="000F0C01">
        <w:rPr>
          <w:rFonts w:eastAsia="Calibri" w:cs="Times New Roman"/>
          <w:kern w:val="2"/>
          <w:sz w:val="24"/>
          <w:szCs w:val="24"/>
          <w14:ligatures w14:val="standardContextual"/>
        </w:rPr>
        <w:t xml:space="preserve"> </w:t>
      </w:r>
      <w:r w:rsidRPr="000F0C01">
        <w:rPr>
          <w:rFonts w:eastAsia="Calibri" w:cs="Times New Roman"/>
          <w:kern w:val="2"/>
          <w:sz w:val="24"/>
          <w:szCs w:val="24"/>
          <w14:ligatures w14:val="standardContextual"/>
        </w:rPr>
        <w:t xml:space="preserve">gadā, jāatzīmē vairākas lietas. Pirmkārt, </w:t>
      </w:r>
      <w:r w:rsidRPr="000F0C01">
        <w:rPr>
          <w:rFonts w:eastAsia="Aptos" w:cs="Times New Roman"/>
          <w:kern w:val="2"/>
          <w:sz w:val="24"/>
          <w:szCs w:val="24"/>
          <w14:ligatures w14:val="standardContextual"/>
        </w:rPr>
        <w:t xml:space="preserve">izejvielu cenas pasaulē ir stabilizējušās, līdz ar to šim faktoram ir bijusi pārejoša ietekme uz Latvijas preču eksportu. Tomēr negatīva cenu ietekme uz eksportu varētu būt jūtama šā gada sākumā bāzes efektu dēļ. Otrkārt, būtiska sastāvdaļa turpmākajā eksporta attīstībā ir Latvijas tirdzniecības partnervalstu ekonomiskā izaugsme. </w:t>
      </w:r>
      <w:r w:rsidRPr="000F0C01">
        <w:rPr>
          <w:rFonts w:eastAsia="Aptos" w:cs="Times New Roman"/>
          <w:color w:val="000000"/>
          <w:kern w:val="2"/>
          <w:sz w:val="24"/>
          <w:szCs w:val="24"/>
          <w14:ligatures w14:val="standardContextual"/>
        </w:rPr>
        <w:t xml:space="preserve">Vārgā ekonomikas izaugsme ES mazina ārējo pieprasījumu kopumā. Jaunākās, </w:t>
      </w:r>
      <w:r w:rsidRPr="000F0C01">
        <w:rPr>
          <w:rFonts w:eastAsia="Aptos" w:cs="Times New Roman"/>
          <w:kern w:val="2"/>
          <w:sz w:val="24"/>
          <w:szCs w:val="24"/>
          <w14:ligatures w14:val="standardContextual"/>
        </w:rPr>
        <w:t xml:space="preserve">šī gada februārī aktualizētās, </w:t>
      </w:r>
      <w:r w:rsidR="000F0C01" w:rsidRPr="000F0C01">
        <w:rPr>
          <w:rFonts w:eastAsia="Aptos" w:cs="Times New Roman"/>
          <w:kern w:val="2"/>
          <w:sz w:val="24"/>
          <w:szCs w:val="24"/>
          <w14:ligatures w14:val="standardContextual"/>
        </w:rPr>
        <w:t>EK</w:t>
      </w:r>
      <w:r w:rsidRPr="000F0C01">
        <w:rPr>
          <w:rFonts w:eastAsia="Aptos" w:cs="Times New Roman"/>
          <w:kern w:val="2"/>
          <w:sz w:val="24"/>
          <w:szCs w:val="24"/>
          <w14:ligatures w14:val="standardContextual"/>
        </w:rPr>
        <w:t xml:space="preserve"> makroekonomiskās prognozes liecina, ka ES </w:t>
      </w:r>
      <w:r w:rsidR="000F0C01" w:rsidRPr="000F0C01">
        <w:rPr>
          <w:rFonts w:eastAsia="Aptos" w:cs="Times New Roman"/>
          <w:kern w:val="2"/>
          <w:sz w:val="24"/>
          <w:szCs w:val="24"/>
          <w14:ligatures w14:val="standardContextual"/>
        </w:rPr>
        <w:t>IKP</w:t>
      </w:r>
      <w:r w:rsidRPr="000F0C01">
        <w:rPr>
          <w:rFonts w:eastAsia="Aptos" w:cs="Times New Roman"/>
          <w:kern w:val="2"/>
          <w:sz w:val="24"/>
          <w:szCs w:val="24"/>
          <w14:ligatures w14:val="standardContextual"/>
        </w:rPr>
        <w:t xml:space="preserve"> 2024.</w:t>
      </w:r>
      <w:r w:rsidR="000F0C01" w:rsidRPr="000F0C01">
        <w:rPr>
          <w:rFonts w:eastAsia="Aptos" w:cs="Times New Roman"/>
          <w:kern w:val="2"/>
          <w:sz w:val="24"/>
          <w:szCs w:val="24"/>
          <w14:ligatures w14:val="standardContextual"/>
        </w:rPr>
        <w:t xml:space="preserve"> </w:t>
      </w:r>
      <w:r w:rsidRPr="000F0C01">
        <w:rPr>
          <w:rFonts w:eastAsia="Aptos" w:cs="Times New Roman"/>
          <w:kern w:val="2"/>
          <w:sz w:val="24"/>
          <w:szCs w:val="24"/>
          <w14:ligatures w14:val="standardContextual"/>
        </w:rPr>
        <w:t>gadā palielināsies par 0,9%. ES tirgus veido trīs ceturtdaļas no kopējā Latvijas preču eksporta, līdz ar to ekonomiskā aktivitāte lielākajā eksporta tirgū ir svarīgs indikators, vērtējot turpmāko eksporta attīstību. Ekonomiskā izaugsme ES 2024.</w:t>
      </w:r>
      <w:r w:rsidR="000F0C01" w:rsidRPr="000F0C01">
        <w:rPr>
          <w:rFonts w:eastAsia="Aptos" w:cs="Times New Roman"/>
          <w:kern w:val="2"/>
          <w:sz w:val="24"/>
          <w:szCs w:val="24"/>
          <w14:ligatures w14:val="standardContextual"/>
        </w:rPr>
        <w:t xml:space="preserve"> </w:t>
      </w:r>
      <w:r w:rsidRPr="000F0C01">
        <w:rPr>
          <w:rFonts w:eastAsia="Aptos" w:cs="Times New Roman"/>
          <w:kern w:val="2"/>
          <w:sz w:val="24"/>
          <w:szCs w:val="24"/>
          <w14:ligatures w14:val="standardContextual"/>
        </w:rPr>
        <w:t xml:space="preserve">gadā prognozēta augstāka nekā iepriekšējā gadā, tomēr mazākā apmērā, salīdzinot ar iepriekšējām </w:t>
      </w:r>
      <w:r w:rsidR="000F0C01" w:rsidRPr="000F0C01">
        <w:rPr>
          <w:rFonts w:eastAsia="Aptos" w:cs="Times New Roman"/>
          <w:kern w:val="2"/>
          <w:sz w:val="24"/>
          <w:szCs w:val="24"/>
          <w14:ligatures w14:val="standardContextual"/>
        </w:rPr>
        <w:t>EK</w:t>
      </w:r>
      <w:r w:rsidRPr="000F0C01">
        <w:rPr>
          <w:rFonts w:eastAsia="Aptos" w:cs="Times New Roman"/>
          <w:kern w:val="2"/>
          <w:sz w:val="24"/>
          <w:szCs w:val="24"/>
          <w14:ligatures w14:val="standardContextual"/>
        </w:rPr>
        <w:t xml:space="preserve"> prognozēm. Tas liecina, ka augstās inflācijas sekas, kā arī ģeopolitiskie satricinājumi turpina ietekmēt Eiropas ekonomiku. Sagaidāms, ka </w:t>
      </w:r>
      <w:r w:rsidR="000F0C01" w:rsidRPr="000F0C01">
        <w:rPr>
          <w:rFonts w:eastAsia="Aptos" w:cs="Times New Roman"/>
          <w:kern w:val="2"/>
          <w:sz w:val="24"/>
          <w:szCs w:val="24"/>
          <w14:ligatures w14:val="standardContextual"/>
        </w:rPr>
        <w:t>ECB</w:t>
      </w:r>
      <w:r w:rsidRPr="000F0C01">
        <w:rPr>
          <w:rFonts w:eastAsia="Aptos" w:cs="Times New Roman"/>
          <w:kern w:val="2"/>
          <w:sz w:val="24"/>
          <w:szCs w:val="24"/>
          <w14:ligatures w14:val="standardContextual"/>
        </w:rPr>
        <w:t xml:space="preserve"> varētu arī uzsākt procentu likmju samazinājumu tieši gada otrajā pusē, kas varētu atstāt pozitīvu ietekmi uz mājsaimniecību un uzņēmēju aktivitāti. Vērtējot aktuālākos ES ekonomikas konfidences rādītājus, jāsecina, ka tie saglabājas zemā līmenī. ES ekonomikas sentimenta indikatora vērtība kopš 2022.</w:t>
      </w:r>
      <w:r w:rsidR="000F0C01" w:rsidRPr="000F0C01">
        <w:rPr>
          <w:rFonts w:eastAsia="Aptos" w:cs="Times New Roman"/>
          <w:kern w:val="2"/>
          <w:sz w:val="24"/>
          <w:szCs w:val="24"/>
          <w14:ligatures w14:val="standardContextual"/>
        </w:rPr>
        <w:t xml:space="preserve"> </w:t>
      </w:r>
      <w:r w:rsidRPr="000F0C01">
        <w:rPr>
          <w:rFonts w:eastAsia="Aptos" w:cs="Times New Roman"/>
          <w:kern w:val="2"/>
          <w:sz w:val="24"/>
          <w:szCs w:val="24"/>
          <w14:ligatures w14:val="standardContextual"/>
        </w:rPr>
        <w:t xml:space="preserve">gada jūlija atrodas zem 100 punktiem. Uzņēmēju un patērētāju novērtējums par ekonomisko aktivitāti ir pesimistisks praktiski visās ES dalībvalstīs, kā arī visās jomās, tajā skaitā rūpniecībā un būvniecībā, kas ir svarīgākās tieši Latvijas eksportētājiem. Līdz ar to var secināt, ka Latvijas preču eksports šā gada pirmajā ceturksnī saglabāsies tuvu pērnā gada līmenim. Sākot ar otro ceturksni, ir sagaidāms neliels eksports pieaugums, galvenokārt </w:t>
      </w:r>
      <w:r w:rsidR="006D3117">
        <w:rPr>
          <w:rFonts w:eastAsia="Aptos" w:cs="Times New Roman"/>
          <w:kern w:val="2"/>
          <w:sz w:val="24"/>
          <w:szCs w:val="24"/>
          <w14:ligatures w14:val="standardContextual"/>
        </w:rPr>
        <w:t>2023.</w:t>
      </w:r>
      <w:r w:rsidRPr="000F0C01">
        <w:rPr>
          <w:rFonts w:eastAsia="Aptos" w:cs="Times New Roman"/>
          <w:kern w:val="2"/>
          <w:sz w:val="24"/>
          <w:szCs w:val="24"/>
          <w14:ligatures w14:val="standardContextual"/>
        </w:rPr>
        <w:t xml:space="preserve"> gada zemās bāzes dēļ, bet 2024.</w:t>
      </w:r>
      <w:r w:rsidR="000F0C01" w:rsidRPr="000F0C01">
        <w:rPr>
          <w:rFonts w:eastAsia="Aptos" w:cs="Times New Roman"/>
          <w:kern w:val="2"/>
          <w:sz w:val="24"/>
          <w:szCs w:val="24"/>
          <w14:ligatures w14:val="standardContextual"/>
        </w:rPr>
        <w:t xml:space="preserve"> </w:t>
      </w:r>
      <w:r w:rsidRPr="000F0C01">
        <w:rPr>
          <w:rFonts w:eastAsia="Aptos" w:cs="Times New Roman"/>
          <w:kern w:val="2"/>
          <w:sz w:val="24"/>
          <w:szCs w:val="24"/>
          <w14:ligatures w14:val="standardContextual"/>
        </w:rPr>
        <w:t>gada otrajā pusē preču eksporta pieaugums varētu paātrināties.</w:t>
      </w:r>
    </w:p>
    <w:p w14:paraId="1BC44CD0" w14:textId="71A1E222" w:rsidR="00594BC3" w:rsidRPr="000F0C01" w:rsidRDefault="00594BC3" w:rsidP="00594BC3">
      <w:pPr>
        <w:ind w:firstLine="709"/>
        <w:rPr>
          <w:rFonts w:eastAsia="Calibri" w:cs="Arial"/>
          <w:noProof/>
          <w:kern w:val="2"/>
          <w:sz w:val="24"/>
          <w:szCs w:val="24"/>
          <w14:ligatures w14:val="standardContextual"/>
        </w:rPr>
      </w:pPr>
      <w:r w:rsidRPr="000F0C01">
        <w:rPr>
          <w:rFonts w:eastAsia="Calibri" w:cs="Arial"/>
          <w:noProof/>
          <w:kern w:val="2"/>
          <w:sz w:val="24"/>
          <w:szCs w:val="24"/>
          <w14:ligatures w14:val="standardContextual"/>
        </w:rPr>
        <w:t xml:space="preserve">Analizējot </w:t>
      </w:r>
      <w:r w:rsidRPr="000F0C01">
        <w:rPr>
          <w:rFonts w:eastAsia="Calibri" w:cs="Arial"/>
          <w:b/>
          <w:bCs/>
          <w:noProof/>
          <w:kern w:val="2"/>
          <w:sz w:val="24"/>
          <w:szCs w:val="24"/>
          <w14:ligatures w14:val="standardContextual"/>
        </w:rPr>
        <w:t>preču importa</w:t>
      </w:r>
      <w:r w:rsidRPr="000F0C01">
        <w:rPr>
          <w:rFonts w:eastAsia="Calibri" w:cs="Arial"/>
          <w:noProof/>
          <w:kern w:val="2"/>
          <w:sz w:val="24"/>
          <w:szCs w:val="24"/>
          <w14:ligatures w14:val="standardContextual"/>
        </w:rPr>
        <w:t xml:space="preserve"> dinamiku 2023.</w:t>
      </w:r>
      <w:r w:rsidR="000F0C01" w:rsidRPr="000F0C01">
        <w:rPr>
          <w:rFonts w:eastAsia="Calibri" w:cs="Arial"/>
          <w:noProof/>
          <w:kern w:val="2"/>
          <w:sz w:val="24"/>
          <w:szCs w:val="24"/>
          <w14:ligatures w14:val="standardContextual"/>
        </w:rPr>
        <w:t xml:space="preserve"> </w:t>
      </w:r>
      <w:r w:rsidRPr="000F0C01">
        <w:rPr>
          <w:rFonts w:eastAsia="Calibri" w:cs="Arial"/>
          <w:noProof/>
          <w:kern w:val="2"/>
          <w:sz w:val="24"/>
          <w:szCs w:val="24"/>
          <w14:ligatures w14:val="standardContextual"/>
        </w:rPr>
        <w:t xml:space="preserve">gadā, var secināt, ka tā bija līdzīga preču eksporta dinamikai. Ja vēl </w:t>
      </w:r>
      <w:r w:rsidR="006D3117">
        <w:rPr>
          <w:rFonts w:eastAsia="Calibri" w:cs="Arial"/>
          <w:noProof/>
          <w:kern w:val="2"/>
          <w:sz w:val="24"/>
          <w:szCs w:val="24"/>
          <w14:ligatures w14:val="standardContextual"/>
        </w:rPr>
        <w:t>2023.</w:t>
      </w:r>
      <w:r w:rsidRPr="000F0C01">
        <w:rPr>
          <w:rFonts w:eastAsia="Calibri" w:cs="Arial"/>
          <w:noProof/>
          <w:kern w:val="2"/>
          <w:sz w:val="24"/>
          <w:szCs w:val="24"/>
          <w14:ligatures w14:val="standardContextual"/>
        </w:rPr>
        <w:t xml:space="preserve"> gada sākumā preču importā bija fiksēts kāpums, tad kopš 2023.</w:t>
      </w:r>
      <w:r w:rsidR="000F0C01" w:rsidRPr="000F0C01">
        <w:rPr>
          <w:rFonts w:eastAsia="Calibri" w:cs="Arial"/>
          <w:noProof/>
          <w:kern w:val="2"/>
          <w:sz w:val="24"/>
          <w:szCs w:val="24"/>
          <w14:ligatures w14:val="standardContextual"/>
        </w:rPr>
        <w:t xml:space="preserve"> </w:t>
      </w:r>
      <w:r w:rsidRPr="000F0C01">
        <w:rPr>
          <w:rFonts w:eastAsia="Calibri" w:cs="Arial"/>
          <w:noProof/>
          <w:kern w:val="2"/>
          <w:sz w:val="24"/>
          <w:szCs w:val="24"/>
          <w14:ligatures w14:val="standardContextual"/>
        </w:rPr>
        <w:t>gada marta preču imports gada izteiksmē uzrāda kritumu. Kopumā 2023. gadā preču imports faktiskajās cenās ir samazinājies par 12,3%. Būtiskākais negatīvais devums preču importa kritumā bija minerālproduktu importa samazinājumam par 52,2% jeb 2</w:t>
      </w:r>
      <w:r w:rsidR="007047D1">
        <w:rPr>
          <w:rFonts w:eastAsia="Calibri" w:cs="Arial"/>
          <w:noProof/>
          <w:kern w:val="2"/>
          <w:sz w:val="24"/>
          <w:szCs w:val="24"/>
          <w14:ligatures w14:val="standardContextual"/>
        </w:rPr>
        <w:t xml:space="preserve"> </w:t>
      </w:r>
      <w:r w:rsidRPr="000F0C01">
        <w:rPr>
          <w:rFonts w:eastAsia="Calibri" w:cs="Arial"/>
          <w:noProof/>
          <w:kern w:val="2"/>
          <w:sz w:val="24"/>
          <w:szCs w:val="24"/>
          <w14:ligatures w14:val="standardContextual"/>
        </w:rPr>
        <w:t xml:space="preserve">899 milj. </w:t>
      </w:r>
      <w:r w:rsidRPr="000F0C01">
        <w:rPr>
          <w:rFonts w:eastAsia="Calibri" w:cs="Arial"/>
          <w:i/>
          <w:iCs/>
          <w:noProof/>
          <w:kern w:val="2"/>
          <w:sz w:val="24"/>
          <w:szCs w:val="24"/>
          <w14:ligatures w14:val="standardContextual"/>
        </w:rPr>
        <w:t>euro</w:t>
      </w:r>
      <w:r w:rsidRPr="000F0C01">
        <w:rPr>
          <w:rFonts w:eastAsia="Calibri" w:cs="Arial"/>
          <w:noProof/>
          <w:kern w:val="2"/>
          <w:sz w:val="24"/>
          <w:szCs w:val="24"/>
          <w14:ligatures w14:val="standardContextual"/>
        </w:rPr>
        <w:t xml:space="preserve">, ko noteica gan zemākas energoresursu cenas, gan mazāks dabasgāzes patēriņš. Būtisks importa samazinājums bija arī metāliem un metālu izstrādājumiem, kā arī koka un koksnes izstrādājumiem, attiecīgi par 18,5% jeb 333 milj. </w:t>
      </w:r>
      <w:r w:rsidRPr="000F0C01">
        <w:rPr>
          <w:rFonts w:eastAsia="Calibri" w:cs="Arial"/>
          <w:i/>
          <w:iCs/>
          <w:noProof/>
          <w:kern w:val="2"/>
          <w:sz w:val="24"/>
          <w:szCs w:val="24"/>
          <w14:ligatures w14:val="standardContextual"/>
        </w:rPr>
        <w:t>euro</w:t>
      </w:r>
      <w:r w:rsidRPr="000F0C01">
        <w:rPr>
          <w:rFonts w:eastAsia="Calibri" w:cs="Arial"/>
          <w:noProof/>
          <w:kern w:val="2"/>
          <w:sz w:val="24"/>
          <w:szCs w:val="24"/>
          <w14:ligatures w14:val="standardContextual"/>
        </w:rPr>
        <w:t xml:space="preserve"> un 36,8% jeb 332 milj. </w:t>
      </w:r>
      <w:r w:rsidRPr="000F0C01">
        <w:rPr>
          <w:rFonts w:eastAsia="Calibri" w:cs="Arial"/>
          <w:i/>
          <w:iCs/>
          <w:noProof/>
          <w:kern w:val="2"/>
          <w:sz w:val="24"/>
          <w:szCs w:val="24"/>
          <w14:ligatures w14:val="standardContextual"/>
        </w:rPr>
        <w:t>euro</w:t>
      </w:r>
      <w:r w:rsidRPr="000F0C01">
        <w:rPr>
          <w:rFonts w:eastAsia="Calibri" w:cs="Arial"/>
          <w:noProof/>
          <w:kern w:val="2"/>
          <w:sz w:val="24"/>
          <w:szCs w:val="24"/>
          <w14:ligatures w14:val="standardContextual"/>
        </w:rPr>
        <w:t>.</w:t>
      </w:r>
    </w:p>
    <w:p w14:paraId="54C39364" w14:textId="5C36F28C" w:rsidR="00594BC3" w:rsidRPr="000F0C01" w:rsidRDefault="00594BC3" w:rsidP="00594BC3">
      <w:pPr>
        <w:ind w:firstLine="709"/>
        <w:rPr>
          <w:rFonts w:eastAsia="Calibri" w:cs="Arial"/>
          <w:noProof/>
          <w:kern w:val="2"/>
          <w:sz w:val="24"/>
          <w:szCs w:val="24"/>
          <w14:ligatures w14:val="standardContextual"/>
        </w:rPr>
      </w:pPr>
      <w:r w:rsidRPr="000F0C01">
        <w:rPr>
          <w:rFonts w:eastAsia="Calibri" w:cs="Arial"/>
          <w:noProof/>
          <w:kern w:val="2"/>
          <w:sz w:val="24"/>
          <w:szCs w:val="24"/>
          <w14:ligatures w14:val="standardContextual"/>
        </w:rPr>
        <w:t>Vienlaicīgi, 2023.</w:t>
      </w:r>
      <w:r w:rsidR="000F0C01" w:rsidRPr="000F0C01">
        <w:rPr>
          <w:rFonts w:eastAsia="Calibri" w:cs="Arial"/>
          <w:noProof/>
          <w:kern w:val="2"/>
          <w:sz w:val="24"/>
          <w:szCs w:val="24"/>
          <w14:ligatures w14:val="standardContextual"/>
        </w:rPr>
        <w:t xml:space="preserve"> </w:t>
      </w:r>
      <w:r w:rsidRPr="000F0C01">
        <w:rPr>
          <w:rFonts w:eastAsia="Calibri" w:cs="Arial"/>
          <w:noProof/>
          <w:kern w:val="2"/>
          <w:sz w:val="24"/>
          <w:szCs w:val="24"/>
          <w14:ligatures w14:val="standardContextual"/>
        </w:rPr>
        <w:t>gadā būtiski pieauga lauksaimniecības un pārtikas preču importa vērtība, kopumā par 10,2%, ko noteica alkoholisko dzērienu, gaļas produktu, dārzenu, labību un citu pārtikas preču importa pieaugums. Par 17,5% pieauga satiksmes preču, t.i., automobiļu, traktoru un vilcienu imports.</w:t>
      </w:r>
    </w:p>
    <w:p w14:paraId="6DFA3645" w14:textId="77777777" w:rsidR="00594BC3" w:rsidRPr="000F0C01" w:rsidRDefault="00594BC3" w:rsidP="00594BC3">
      <w:pPr>
        <w:ind w:firstLine="709"/>
        <w:rPr>
          <w:rFonts w:eastAsia="Calibri" w:cs="Arial"/>
          <w:noProof/>
          <w:kern w:val="2"/>
          <w:sz w:val="24"/>
          <w:szCs w:val="24"/>
          <w14:ligatures w14:val="standardContextual"/>
        </w:rPr>
      </w:pPr>
      <w:r w:rsidRPr="000F0C01">
        <w:rPr>
          <w:rFonts w:eastAsia="Calibri" w:cs="Arial"/>
          <w:b/>
          <w:bCs/>
          <w:noProof/>
          <w:kern w:val="2"/>
          <w:sz w:val="24"/>
          <w:szCs w:val="24"/>
          <w14:ligatures w14:val="standardContextual"/>
        </w:rPr>
        <w:t>Pakalpojumu importa</w:t>
      </w:r>
      <w:r w:rsidRPr="000F0C01">
        <w:rPr>
          <w:rFonts w:eastAsia="Calibri" w:cs="Arial"/>
          <w:noProof/>
          <w:kern w:val="2"/>
          <w:sz w:val="24"/>
          <w:szCs w:val="24"/>
          <w14:ligatures w14:val="standardContextual"/>
        </w:rPr>
        <w:t xml:space="preserve"> vērtība 2023. gadā pieauga par 8,6%, ko veicināja gandrīz visi nozīmīgākie pakalpojumu veidi. Gaisa un autotransporta pakalpojumu importa pieauguma rezultātā transporta pakalpojumu importa vērtība palielinājās par 5,1%. Latvijas iedzīvotāju izdevumi ārvalstīs palielinājās par 18,6% jeb par 179 milj. </w:t>
      </w:r>
      <w:r w:rsidRPr="000F0C01">
        <w:rPr>
          <w:rFonts w:eastAsia="Calibri" w:cs="Arial"/>
          <w:i/>
          <w:iCs/>
          <w:noProof/>
          <w:kern w:val="2"/>
          <w:sz w:val="24"/>
          <w:szCs w:val="24"/>
          <w14:ligatures w14:val="standardContextual"/>
        </w:rPr>
        <w:t>euro</w:t>
      </w:r>
      <w:r w:rsidRPr="000F0C01">
        <w:rPr>
          <w:rFonts w:eastAsia="Calibri" w:cs="Arial"/>
          <w:noProof/>
          <w:kern w:val="2"/>
          <w:sz w:val="24"/>
          <w:szCs w:val="24"/>
          <w14:ligatures w14:val="standardContextual"/>
        </w:rPr>
        <w:t>, kas bija lielākais kāpums starp visiem pakalpojumu veidiem. Būtisks importa pieaugums bija fiksēts būvniecības un finanšu pakalpojumiem, kā arī telesakaru un datorpakalpojumiem, attiecīgi par 30,4%, 13,4% un 7,7%.</w:t>
      </w:r>
    </w:p>
    <w:p w14:paraId="3300F831" w14:textId="77777777" w:rsidR="00594BC3" w:rsidRPr="008667BF" w:rsidRDefault="00594BC3" w:rsidP="00594BC3">
      <w:pPr>
        <w:pStyle w:val="H4"/>
        <w:spacing w:before="240"/>
        <w:ind w:left="0" w:firstLine="720"/>
        <w:jc w:val="both"/>
        <w:rPr>
          <w:rFonts w:ascii="Times New Roman" w:hAnsi="Times New Roman"/>
          <w:iCs/>
          <w:sz w:val="24"/>
          <w:szCs w:val="24"/>
        </w:rPr>
      </w:pPr>
      <w:r w:rsidRPr="008667BF">
        <w:rPr>
          <w:rFonts w:ascii="Times New Roman" w:hAnsi="Times New Roman"/>
          <w:iCs/>
          <w:sz w:val="24"/>
          <w:szCs w:val="24"/>
        </w:rPr>
        <w:lastRenderedPageBreak/>
        <w:t>Tekošais konts</w:t>
      </w:r>
    </w:p>
    <w:p w14:paraId="3AE3F287" w14:textId="7549F165" w:rsidR="00594BC3" w:rsidRPr="008667BF" w:rsidRDefault="00594BC3" w:rsidP="00FA14BF">
      <w:pPr>
        <w:ind w:firstLine="709"/>
        <w:rPr>
          <w:rFonts w:eastAsia="Calibri" w:cs="Arial"/>
          <w:noProof/>
          <w:kern w:val="2"/>
          <w:sz w:val="24"/>
          <w:szCs w:val="24"/>
          <w14:ligatures w14:val="standardContextual"/>
        </w:rPr>
      </w:pPr>
      <w:r w:rsidRPr="008667BF">
        <w:rPr>
          <w:rFonts w:eastAsia="Calibri" w:cs="Arial"/>
          <w:noProof/>
          <w:kern w:val="2"/>
          <w:sz w:val="24"/>
          <w:szCs w:val="24"/>
          <w14:ligatures w14:val="standardContextual"/>
        </w:rPr>
        <w:t>2023.</w:t>
      </w:r>
      <w:r w:rsidR="008667BF" w:rsidRPr="008667BF">
        <w:rPr>
          <w:rFonts w:eastAsia="Calibri" w:cs="Arial"/>
          <w:noProof/>
          <w:kern w:val="2"/>
          <w:sz w:val="24"/>
          <w:szCs w:val="24"/>
          <w14:ligatures w14:val="standardContextual"/>
        </w:rPr>
        <w:t xml:space="preserve"> </w:t>
      </w:r>
      <w:r w:rsidRPr="008667BF">
        <w:rPr>
          <w:rFonts w:eastAsia="Calibri" w:cs="Arial"/>
          <w:noProof/>
          <w:kern w:val="2"/>
          <w:sz w:val="24"/>
          <w:szCs w:val="24"/>
          <w14:ligatures w14:val="standardContextual"/>
        </w:rPr>
        <w:t>gadā maksājumu bilances tekošā konta deficīts salīdzinājumā ar iepriekšējo gadu ir samazinājies, tomēr saglabājies augsts. Pērnajā gadā tekošā konta deficīts veidoja 1</w:t>
      </w:r>
      <w:r w:rsidR="007047D1">
        <w:rPr>
          <w:rFonts w:eastAsia="Calibri" w:cs="Arial"/>
          <w:noProof/>
          <w:kern w:val="2"/>
          <w:sz w:val="24"/>
          <w:szCs w:val="24"/>
          <w14:ligatures w14:val="standardContextual"/>
        </w:rPr>
        <w:t xml:space="preserve"> </w:t>
      </w:r>
      <w:r w:rsidRPr="008667BF">
        <w:rPr>
          <w:rFonts w:eastAsia="Calibri" w:cs="Arial"/>
          <w:noProof/>
          <w:kern w:val="2"/>
          <w:sz w:val="24"/>
          <w:szCs w:val="24"/>
          <w14:ligatures w14:val="standardContextual"/>
        </w:rPr>
        <w:t xml:space="preserve">617 milj.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 xml:space="preserve"> jeb 4,0% no IKP pretstatā 4,7% no IKP 2022.</w:t>
      </w:r>
      <w:r w:rsidR="00C45227" w:rsidRPr="008667BF">
        <w:rPr>
          <w:rFonts w:eastAsia="Calibri" w:cs="Arial"/>
          <w:noProof/>
          <w:kern w:val="2"/>
          <w:sz w:val="24"/>
          <w:szCs w:val="24"/>
          <w14:ligatures w14:val="standardContextual"/>
        </w:rPr>
        <w:t xml:space="preserve"> </w:t>
      </w:r>
      <w:r w:rsidRPr="008667BF">
        <w:rPr>
          <w:rFonts w:eastAsia="Calibri" w:cs="Arial"/>
          <w:noProof/>
          <w:kern w:val="2"/>
          <w:sz w:val="24"/>
          <w:szCs w:val="24"/>
          <w14:ligatures w14:val="standardContextual"/>
        </w:rPr>
        <w:t xml:space="preserve">gadā. Tekošā konta bilances uzlabojumu noteica otrreizējo ienākumu konta pārpalikuma pieaugums un preču konta deficīta samazinājums. Pateicoties augstākiem ienākumiem no ārvalstīm, ko saņēma gan uzņēmēji, gan mājsaimniecības, kā arī augstākai </w:t>
      </w:r>
      <w:r w:rsidR="008667BF" w:rsidRPr="008667BF">
        <w:rPr>
          <w:rFonts w:eastAsia="Calibri" w:cs="Arial"/>
          <w:noProof/>
          <w:kern w:val="2"/>
          <w:sz w:val="24"/>
          <w:szCs w:val="24"/>
          <w14:ligatures w14:val="standardContextual"/>
        </w:rPr>
        <w:t>ES</w:t>
      </w:r>
      <w:r w:rsidRPr="008667BF">
        <w:rPr>
          <w:rFonts w:eastAsia="Calibri" w:cs="Arial"/>
          <w:noProof/>
          <w:kern w:val="2"/>
          <w:sz w:val="24"/>
          <w:szCs w:val="24"/>
          <w14:ligatures w14:val="standardContextual"/>
        </w:rPr>
        <w:t xml:space="preserve"> struktūrfondu investīciju plūsmai, otrreizējo ienākumu konta pārpalikums pieauga par 380 milj.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 xml:space="preserve"> līdz 885 milj.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 xml:space="preserve">. Pagājušajā gadā samazinājusies gan preču eksporta, gan importa vērtība. Tomēr preču importa kritums bijis nedaudz lielāks, kas labvēlīgi ietekmēja šī konta bilanci, samazinot deficītu par 357 milj.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 xml:space="preserve"> līdz 3</w:t>
      </w:r>
      <w:r w:rsidR="006D3117">
        <w:rPr>
          <w:rFonts w:eastAsia="Calibri" w:cs="Arial"/>
          <w:noProof/>
          <w:kern w:val="2"/>
          <w:sz w:val="24"/>
          <w:szCs w:val="24"/>
          <w14:ligatures w14:val="standardContextual"/>
        </w:rPr>
        <w:t xml:space="preserve"> </w:t>
      </w:r>
      <w:r w:rsidRPr="008667BF">
        <w:rPr>
          <w:rFonts w:eastAsia="Calibri" w:cs="Arial"/>
          <w:noProof/>
          <w:kern w:val="2"/>
          <w:sz w:val="24"/>
          <w:szCs w:val="24"/>
          <w14:ligatures w14:val="standardContextual"/>
        </w:rPr>
        <w:t xml:space="preserve">736 milj.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 xml:space="preserve">. Lai arī tas vērtējams pozitīvi, tomēr preču konta deficīts saglabājas būtisks, kas arī nosaka tekošā konta lielo deficītu. </w:t>
      </w:r>
      <w:r w:rsidR="008667BF" w:rsidRPr="008667BF">
        <w:rPr>
          <w:rFonts w:eastAsia="Calibri" w:cs="Arial"/>
          <w:noProof/>
          <w:kern w:val="2"/>
          <w:sz w:val="24"/>
          <w:szCs w:val="24"/>
          <w14:ligatures w14:val="standardContextual"/>
        </w:rPr>
        <w:t>P</w:t>
      </w:r>
      <w:r w:rsidRPr="008667BF">
        <w:rPr>
          <w:rFonts w:eastAsia="Calibri" w:cs="Arial"/>
          <w:noProof/>
          <w:kern w:val="2"/>
          <w:sz w:val="24"/>
          <w:szCs w:val="24"/>
          <w14:ligatures w14:val="standardContextual"/>
        </w:rPr>
        <w:t>reču konta deficīts 2023.</w:t>
      </w:r>
      <w:r w:rsidR="008667BF" w:rsidRPr="008667BF">
        <w:rPr>
          <w:rFonts w:eastAsia="Calibri" w:cs="Arial"/>
          <w:noProof/>
          <w:kern w:val="2"/>
          <w:sz w:val="24"/>
          <w:szCs w:val="24"/>
          <w14:ligatures w14:val="standardContextual"/>
        </w:rPr>
        <w:t xml:space="preserve"> </w:t>
      </w:r>
      <w:r w:rsidRPr="008667BF">
        <w:rPr>
          <w:rFonts w:eastAsia="Calibri" w:cs="Arial"/>
          <w:noProof/>
          <w:kern w:val="2"/>
          <w:sz w:val="24"/>
          <w:szCs w:val="24"/>
          <w14:ligatures w14:val="standardContextual"/>
        </w:rPr>
        <w:t>gadā bija par 1 m</w:t>
      </w:r>
      <w:r w:rsidR="008667BF" w:rsidRPr="008667BF">
        <w:rPr>
          <w:rFonts w:eastAsia="Calibri" w:cs="Arial"/>
          <w:noProof/>
          <w:kern w:val="2"/>
          <w:sz w:val="24"/>
          <w:szCs w:val="24"/>
          <w14:ligatures w14:val="standardContextual"/>
        </w:rPr>
        <w:t>ljrd.</w:t>
      </w:r>
      <w:r w:rsidRPr="008667BF">
        <w:rPr>
          <w:rFonts w:eastAsia="Calibri" w:cs="Arial"/>
          <w:noProof/>
          <w:kern w:val="2"/>
          <w:sz w:val="24"/>
          <w:szCs w:val="24"/>
          <w14:ligatures w14:val="standardContextual"/>
        </w:rPr>
        <w:t xml:space="preserve">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 xml:space="preserve"> augstāks nekā 2021.</w:t>
      </w:r>
      <w:r w:rsidR="00C45227" w:rsidRPr="008667BF">
        <w:rPr>
          <w:rFonts w:eastAsia="Calibri" w:cs="Arial"/>
          <w:noProof/>
          <w:kern w:val="2"/>
          <w:sz w:val="24"/>
          <w:szCs w:val="24"/>
          <w14:ligatures w14:val="standardContextual"/>
        </w:rPr>
        <w:t xml:space="preserve"> </w:t>
      </w:r>
      <w:r w:rsidRPr="008667BF">
        <w:rPr>
          <w:rFonts w:eastAsia="Calibri" w:cs="Arial"/>
          <w:noProof/>
          <w:kern w:val="2"/>
          <w:sz w:val="24"/>
          <w:szCs w:val="24"/>
          <w14:ligatures w14:val="standardContextual"/>
        </w:rPr>
        <w:t>gadā un par vairāk nekā 2 m</w:t>
      </w:r>
      <w:r w:rsidR="00C45227" w:rsidRPr="008667BF">
        <w:rPr>
          <w:rFonts w:eastAsia="Calibri" w:cs="Arial"/>
          <w:noProof/>
          <w:kern w:val="2"/>
          <w:sz w:val="24"/>
          <w:szCs w:val="24"/>
          <w14:ligatures w14:val="standardContextual"/>
        </w:rPr>
        <w:t xml:space="preserve">ljrd.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 xml:space="preserve"> lielāks salīdzinājumā ar 2020.</w:t>
      </w:r>
      <w:r w:rsidR="00C45227" w:rsidRPr="008667BF">
        <w:rPr>
          <w:rFonts w:eastAsia="Calibri" w:cs="Arial"/>
          <w:noProof/>
          <w:kern w:val="2"/>
          <w:sz w:val="24"/>
          <w:szCs w:val="24"/>
          <w14:ligatures w14:val="standardContextual"/>
        </w:rPr>
        <w:t xml:space="preserve"> </w:t>
      </w:r>
      <w:r w:rsidRPr="008667BF">
        <w:rPr>
          <w:rFonts w:eastAsia="Calibri" w:cs="Arial"/>
          <w:noProof/>
          <w:kern w:val="2"/>
          <w:sz w:val="24"/>
          <w:szCs w:val="24"/>
          <w14:ligatures w14:val="standardContextual"/>
        </w:rPr>
        <w:t>gadu. Preču konta deficītu pēdējos gados nosaka augstā importa vērtība, ko izraisījis straujais cenu lēciens, it īpaši energoresursiem, kurus Latvija lielākoties importē.</w:t>
      </w:r>
    </w:p>
    <w:p w14:paraId="55DBF9A3" w14:textId="77777777" w:rsidR="00594BC3" w:rsidRPr="008667BF" w:rsidRDefault="00594BC3" w:rsidP="00594BC3">
      <w:pPr>
        <w:ind w:firstLine="709"/>
        <w:rPr>
          <w:rFonts w:eastAsia="Calibri" w:cs="Arial"/>
          <w:noProof/>
          <w:kern w:val="2"/>
          <w:sz w:val="24"/>
          <w:szCs w:val="24"/>
          <w14:ligatures w14:val="standardContextual"/>
        </w:rPr>
      </w:pPr>
      <w:r w:rsidRPr="008667BF">
        <w:rPr>
          <w:rFonts w:eastAsia="Calibri" w:cs="Arial"/>
          <w:noProof/>
          <w:kern w:val="2"/>
          <w:sz w:val="24"/>
          <w:szCs w:val="24"/>
          <w14:ligatures w14:val="standardContextual"/>
        </w:rPr>
        <w:t xml:space="preserve"> </w:t>
      </w:r>
      <w:r w:rsidRPr="008667BF">
        <w:rPr>
          <w:noProof/>
        </w:rPr>
        <w:drawing>
          <wp:inline distT="0" distB="0" distL="0" distR="0" wp14:anchorId="0D7E592F" wp14:editId="43302622">
            <wp:extent cx="5760085" cy="3644900"/>
            <wp:effectExtent l="0" t="0" r="0" b="0"/>
            <wp:docPr id="1732225029" name="Chart 1">
              <a:extLst xmlns:a="http://schemas.openxmlformats.org/drawingml/2006/main">
                <a:ext uri="{FF2B5EF4-FFF2-40B4-BE49-F238E27FC236}">
                  <a16:creationId xmlns:a16="http://schemas.microsoft.com/office/drawing/2014/main" id="{00000000-0008-0000-2F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304BED3" w14:textId="77777777" w:rsidR="00594BC3" w:rsidRPr="008667BF" w:rsidRDefault="00594BC3" w:rsidP="00594BC3">
      <w:pPr>
        <w:pStyle w:val="Zpar"/>
        <w:spacing w:after="120"/>
        <w:ind w:left="0" w:right="-57" w:firstLine="0"/>
        <w:jc w:val="center"/>
        <w:rPr>
          <w:rFonts w:ascii="Times New Roman" w:hAnsi="Times New Roman"/>
          <w:b/>
          <w:noProof/>
          <w:sz w:val="24"/>
          <w:szCs w:val="24"/>
        </w:rPr>
      </w:pPr>
      <w:r w:rsidRPr="008667BF">
        <w:rPr>
          <w:rFonts w:ascii="Times New Roman" w:hAnsi="Times New Roman"/>
          <w:b/>
          <w:noProof/>
          <w:sz w:val="24"/>
          <w:szCs w:val="24"/>
        </w:rPr>
        <w:t xml:space="preserve">2.3. att. Latvijas maksājumu bilances tekošā konta komponentes (milj. euro) un tekošais un kapitāla konts procentos no IKP </w:t>
      </w:r>
    </w:p>
    <w:p w14:paraId="181991FA" w14:textId="77777777" w:rsidR="00594BC3" w:rsidRPr="008667BF" w:rsidRDefault="00594BC3" w:rsidP="00594BC3">
      <w:pPr>
        <w:ind w:firstLine="709"/>
        <w:rPr>
          <w:rFonts w:eastAsia="Calibri" w:cs="Arial"/>
          <w:noProof/>
          <w:kern w:val="2"/>
          <w:sz w:val="24"/>
          <w:szCs w:val="24"/>
          <w14:ligatures w14:val="standardContextual"/>
        </w:rPr>
      </w:pPr>
    </w:p>
    <w:p w14:paraId="2801D7E6" w14:textId="1790DBDC" w:rsidR="00594BC3" w:rsidRPr="00594BC3" w:rsidRDefault="00594BC3" w:rsidP="00FA14BF">
      <w:pPr>
        <w:rPr>
          <w:rFonts w:eastAsia="Calibri" w:cs="Arial"/>
          <w:noProof/>
          <w:kern w:val="2"/>
          <w:sz w:val="24"/>
          <w:szCs w:val="24"/>
          <w:highlight w:val="yellow"/>
          <w14:ligatures w14:val="standardContextual"/>
        </w:rPr>
      </w:pPr>
      <w:r w:rsidRPr="008667BF">
        <w:rPr>
          <w:rFonts w:eastAsia="Calibri" w:cs="Arial"/>
          <w:noProof/>
          <w:kern w:val="2"/>
          <w:sz w:val="24"/>
          <w:szCs w:val="24"/>
          <w14:ligatures w14:val="standardContextual"/>
        </w:rPr>
        <w:t xml:space="preserve">Pakalpojumu konta un sākotnējo ienākumu konta bilance </w:t>
      </w:r>
      <w:r w:rsidR="006D3117">
        <w:rPr>
          <w:rFonts w:eastAsia="Calibri" w:cs="Arial"/>
          <w:noProof/>
          <w:kern w:val="2"/>
          <w:sz w:val="24"/>
          <w:szCs w:val="24"/>
          <w14:ligatures w14:val="standardContextual"/>
        </w:rPr>
        <w:t>2023.</w:t>
      </w:r>
      <w:r w:rsidRPr="008667BF">
        <w:rPr>
          <w:rFonts w:eastAsia="Calibri" w:cs="Arial"/>
          <w:noProof/>
          <w:kern w:val="2"/>
          <w:sz w:val="24"/>
          <w:szCs w:val="24"/>
          <w14:ligatures w14:val="standardContextual"/>
        </w:rPr>
        <w:t xml:space="preserve"> gadā pasliktinājusies. Neskatoties uz to, ka </w:t>
      </w:r>
      <w:r w:rsidR="006D3117">
        <w:rPr>
          <w:rFonts w:eastAsia="Calibri" w:cs="Arial"/>
          <w:noProof/>
          <w:kern w:val="2"/>
          <w:sz w:val="24"/>
          <w:szCs w:val="24"/>
          <w14:ligatures w14:val="standardContextual"/>
        </w:rPr>
        <w:t>2023.</w:t>
      </w:r>
      <w:r w:rsidRPr="008667BF">
        <w:rPr>
          <w:rFonts w:eastAsia="Calibri" w:cs="Arial"/>
          <w:noProof/>
          <w:kern w:val="2"/>
          <w:sz w:val="24"/>
          <w:szCs w:val="24"/>
          <w14:ligatures w14:val="standardContextual"/>
        </w:rPr>
        <w:t xml:space="preserve"> gadā turpinājās pakalpojumu eksporta pieaugums, pakalpojumu imports ir pieaudzis straujāk, tādējādi samazinot konta pārpalikumu par 150 milj.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 xml:space="preserve"> līdz  2</w:t>
      </w:r>
      <w:r w:rsidR="007047D1">
        <w:rPr>
          <w:rFonts w:eastAsia="Calibri" w:cs="Arial"/>
          <w:noProof/>
          <w:kern w:val="2"/>
          <w:sz w:val="24"/>
          <w:szCs w:val="24"/>
          <w14:ligatures w14:val="standardContextual"/>
        </w:rPr>
        <w:t xml:space="preserve"> </w:t>
      </w:r>
      <w:r w:rsidRPr="008667BF">
        <w:rPr>
          <w:rFonts w:eastAsia="Calibri" w:cs="Arial"/>
          <w:noProof/>
          <w:kern w:val="2"/>
          <w:sz w:val="24"/>
          <w:szCs w:val="24"/>
          <w14:ligatures w14:val="standardContextual"/>
        </w:rPr>
        <w:t xml:space="preserve">182 milj.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 Vērtējot kopējo ārējās tirdzniecības vērtību, jāsecina, ka preču un pakalpojumu kopējā ārējās tirdzniecības bilance 2023.</w:t>
      </w:r>
      <w:r w:rsidR="00C45227" w:rsidRPr="008667BF">
        <w:rPr>
          <w:rFonts w:eastAsia="Calibri" w:cs="Arial"/>
          <w:noProof/>
          <w:kern w:val="2"/>
          <w:sz w:val="24"/>
          <w:szCs w:val="24"/>
          <w14:ligatures w14:val="standardContextual"/>
        </w:rPr>
        <w:t xml:space="preserve"> </w:t>
      </w:r>
      <w:r w:rsidRPr="008667BF">
        <w:rPr>
          <w:rFonts w:eastAsia="Calibri" w:cs="Arial"/>
          <w:noProof/>
          <w:kern w:val="2"/>
          <w:sz w:val="24"/>
          <w:szCs w:val="24"/>
          <w14:ligatures w14:val="standardContextual"/>
        </w:rPr>
        <w:t>gadā ir nedaudz uzlabojusies, gan nominālā izteiksmē, gan attiecībā pret IKP. Kopējais preču un pakalpojumu ārējās tirdzniecības deficīts sasniedza 1</w:t>
      </w:r>
      <w:r w:rsidR="007047D1">
        <w:rPr>
          <w:rFonts w:eastAsia="Calibri" w:cs="Arial"/>
          <w:noProof/>
          <w:kern w:val="2"/>
          <w:sz w:val="24"/>
          <w:szCs w:val="24"/>
          <w14:ligatures w14:val="standardContextual"/>
        </w:rPr>
        <w:t xml:space="preserve"> </w:t>
      </w:r>
      <w:r w:rsidRPr="008667BF">
        <w:rPr>
          <w:rFonts w:eastAsia="Calibri" w:cs="Arial"/>
          <w:noProof/>
          <w:kern w:val="2"/>
          <w:sz w:val="24"/>
          <w:szCs w:val="24"/>
          <w14:ligatures w14:val="standardContextual"/>
        </w:rPr>
        <w:t xml:space="preserve">554 milj.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 xml:space="preserve"> jeb 3,9% no IKP. Sākotnējo ienākumu konta bilanci negatīvi ietekmēja augstākas ārvalstu investoriem izmaksātas dividendes, kā arī citi maksājumi ārvalstīs saistībā ar augstākiem kredītu maksājumiem. Tā rezultātā šī konta deficīts pieauga par 372 milj.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 xml:space="preserve"> līdz 949 milj. </w:t>
      </w:r>
      <w:r w:rsidRPr="008667BF">
        <w:rPr>
          <w:rFonts w:eastAsia="Calibri" w:cs="Arial"/>
          <w:i/>
          <w:iCs/>
          <w:noProof/>
          <w:kern w:val="2"/>
          <w:sz w:val="24"/>
          <w:szCs w:val="24"/>
          <w14:ligatures w14:val="standardContextual"/>
        </w:rPr>
        <w:t>euro</w:t>
      </w:r>
      <w:r w:rsidRPr="008667BF">
        <w:rPr>
          <w:rFonts w:eastAsia="Calibri" w:cs="Arial"/>
          <w:noProof/>
          <w:kern w:val="2"/>
          <w:sz w:val="24"/>
          <w:szCs w:val="24"/>
          <w14:ligatures w14:val="standardContextual"/>
        </w:rPr>
        <w:t>.</w:t>
      </w:r>
    </w:p>
    <w:p w14:paraId="69C44F3F" w14:textId="77777777" w:rsidR="00594BC3" w:rsidRPr="004E1AAD" w:rsidRDefault="00594BC3" w:rsidP="00594BC3">
      <w:pPr>
        <w:pStyle w:val="H4"/>
        <w:spacing w:before="240"/>
        <w:ind w:left="0" w:firstLine="720"/>
        <w:jc w:val="both"/>
        <w:rPr>
          <w:rFonts w:ascii="Times New Roman" w:hAnsi="Times New Roman"/>
          <w:iCs/>
          <w:sz w:val="24"/>
          <w:szCs w:val="24"/>
        </w:rPr>
      </w:pPr>
      <w:r w:rsidRPr="004E1AAD">
        <w:rPr>
          <w:rFonts w:ascii="Times New Roman" w:hAnsi="Times New Roman"/>
          <w:iCs/>
          <w:sz w:val="24"/>
          <w:szCs w:val="24"/>
        </w:rPr>
        <w:lastRenderedPageBreak/>
        <w:t>Inflācija</w:t>
      </w:r>
    </w:p>
    <w:p w14:paraId="2B2102AC" w14:textId="45D62989" w:rsidR="00594BC3" w:rsidRPr="004E1AAD" w:rsidRDefault="00594BC3" w:rsidP="00FA14BF">
      <w:pPr>
        <w:rPr>
          <w:rFonts w:eastAsia="Aptos" w:cs="Times New Roman"/>
          <w:kern w:val="2"/>
          <w:sz w:val="24"/>
          <w:szCs w:val="24"/>
          <w14:ligatures w14:val="standardContextual"/>
        </w:rPr>
      </w:pPr>
      <w:r w:rsidRPr="004E1AAD">
        <w:rPr>
          <w:rFonts w:eastAsia="Aptos" w:cs="Times New Roman"/>
          <w:kern w:val="2"/>
          <w:sz w:val="24"/>
          <w:szCs w:val="24"/>
          <w14:ligatures w14:val="standardContextual"/>
        </w:rPr>
        <w:t>Pagājušajā gadā inflācijai bija pievērsta pastiprināta uzmanība gan Latvijā, gan arī citās pasaules valstīs, jo straujais patēriņa cenu pieaugums, kas aizsākās vēl 2022.</w:t>
      </w:r>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 xml:space="preserve">gadā, būtiski ietekmēja pasaules ekonomikas attīstību un mazināja iedzīvotāju pirktspēju. </w:t>
      </w:r>
    </w:p>
    <w:p w14:paraId="2C7051B5" w14:textId="437F7B23" w:rsidR="00594BC3" w:rsidRPr="00594BC3" w:rsidRDefault="00594BC3" w:rsidP="00FA14BF">
      <w:pPr>
        <w:rPr>
          <w:rFonts w:eastAsia="Aptos" w:cs="Times New Roman"/>
          <w:kern w:val="2"/>
          <w:sz w:val="24"/>
          <w:szCs w:val="24"/>
          <w:highlight w:val="yellow"/>
          <w14:ligatures w14:val="standardContextual"/>
        </w:rPr>
      </w:pPr>
      <w:r w:rsidRPr="004E1AAD">
        <w:rPr>
          <w:rFonts w:eastAsia="Aptos" w:cs="Times New Roman"/>
          <w:kern w:val="2"/>
          <w:sz w:val="24"/>
          <w:szCs w:val="24"/>
          <w14:ligatures w14:val="standardContextual"/>
        </w:rPr>
        <w:t>2023.</w:t>
      </w:r>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 xml:space="preserve">gada janvārī un februārī Latvija bija vienīgā </w:t>
      </w:r>
      <w:proofErr w:type="spellStart"/>
      <w:r w:rsidRPr="004E1AAD">
        <w:rPr>
          <w:rFonts w:eastAsia="Aptos" w:cs="Times New Roman"/>
          <w:i/>
          <w:iCs/>
          <w:kern w:val="2"/>
          <w:sz w:val="24"/>
          <w:szCs w:val="24"/>
          <w14:ligatures w14:val="standardContextual"/>
        </w:rPr>
        <w:t>e</w:t>
      </w:r>
      <w:r w:rsidR="004E1AAD" w:rsidRPr="004E1AAD">
        <w:rPr>
          <w:rFonts w:eastAsia="Aptos" w:cs="Times New Roman"/>
          <w:i/>
          <w:iCs/>
          <w:kern w:val="2"/>
          <w:sz w:val="24"/>
          <w:szCs w:val="24"/>
          <w14:ligatures w14:val="standardContextual"/>
        </w:rPr>
        <w:t>u</w:t>
      </w:r>
      <w:r w:rsidRPr="004E1AAD">
        <w:rPr>
          <w:rFonts w:eastAsia="Aptos" w:cs="Times New Roman"/>
          <w:i/>
          <w:iCs/>
          <w:kern w:val="2"/>
          <w:sz w:val="24"/>
          <w:szCs w:val="24"/>
          <w14:ligatures w14:val="standardContextual"/>
        </w:rPr>
        <w:t>ro</w:t>
      </w:r>
      <w:proofErr w:type="spellEnd"/>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 xml:space="preserve">zonas valsts, kur gada inflācija pārsniedza 20%, tādējādi ievērojami pārsniedzot vidējo inflāciju </w:t>
      </w:r>
      <w:proofErr w:type="spellStart"/>
      <w:r w:rsidRPr="004E1AAD">
        <w:rPr>
          <w:rFonts w:eastAsia="Aptos" w:cs="Times New Roman"/>
          <w:i/>
          <w:iCs/>
          <w:kern w:val="2"/>
          <w:sz w:val="24"/>
          <w:szCs w:val="24"/>
          <w14:ligatures w14:val="standardContextual"/>
        </w:rPr>
        <w:t>e</w:t>
      </w:r>
      <w:r w:rsidR="004E1AAD" w:rsidRPr="004E1AAD">
        <w:rPr>
          <w:rFonts w:eastAsia="Aptos" w:cs="Times New Roman"/>
          <w:i/>
          <w:iCs/>
          <w:kern w:val="2"/>
          <w:sz w:val="24"/>
          <w:szCs w:val="24"/>
          <w14:ligatures w14:val="standardContextual"/>
        </w:rPr>
        <w:t>u</w:t>
      </w:r>
      <w:r w:rsidRPr="004E1AAD">
        <w:rPr>
          <w:rFonts w:eastAsia="Aptos" w:cs="Times New Roman"/>
          <w:i/>
          <w:iCs/>
          <w:kern w:val="2"/>
          <w:sz w:val="24"/>
          <w:szCs w:val="24"/>
          <w14:ligatures w14:val="standardContextual"/>
        </w:rPr>
        <w:t>ro</w:t>
      </w:r>
      <w:proofErr w:type="spellEnd"/>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 xml:space="preserve">zonā. Taču 2023. gads bija zīmīgs ar to, ka patēriņa cenu kāpums gan </w:t>
      </w:r>
      <w:proofErr w:type="spellStart"/>
      <w:r w:rsidRPr="004E1AAD">
        <w:rPr>
          <w:rFonts w:eastAsia="Aptos" w:cs="Times New Roman"/>
          <w:i/>
          <w:iCs/>
          <w:kern w:val="2"/>
          <w:sz w:val="24"/>
          <w:szCs w:val="24"/>
          <w14:ligatures w14:val="standardContextual"/>
        </w:rPr>
        <w:t>e</w:t>
      </w:r>
      <w:r w:rsidR="004E1AAD" w:rsidRPr="004E1AAD">
        <w:rPr>
          <w:rFonts w:eastAsia="Aptos" w:cs="Times New Roman"/>
          <w:i/>
          <w:iCs/>
          <w:kern w:val="2"/>
          <w:sz w:val="24"/>
          <w:szCs w:val="24"/>
          <w14:ligatures w14:val="standardContextual"/>
        </w:rPr>
        <w:t>u</w:t>
      </w:r>
      <w:r w:rsidRPr="004E1AAD">
        <w:rPr>
          <w:rFonts w:eastAsia="Aptos" w:cs="Times New Roman"/>
          <w:i/>
          <w:iCs/>
          <w:kern w:val="2"/>
          <w:sz w:val="24"/>
          <w:szCs w:val="24"/>
          <w14:ligatures w14:val="standardContextual"/>
        </w:rPr>
        <w:t>ro</w:t>
      </w:r>
      <w:proofErr w:type="spellEnd"/>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 xml:space="preserve">zonā, gan Latvijā kopš gada sākuma ar katru mēnesi palēninājās. Tādējādi saskaņotais patēriņa cenu indekss (SPCI) Latvijā samazinājās no 21,4% janvārī līdz 0,9% decembrī. Savukārt vidējā inflācija </w:t>
      </w:r>
      <w:proofErr w:type="spellStart"/>
      <w:r w:rsidRPr="004E1AAD">
        <w:rPr>
          <w:rFonts w:eastAsia="Aptos" w:cs="Times New Roman"/>
          <w:i/>
          <w:iCs/>
          <w:kern w:val="2"/>
          <w:sz w:val="24"/>
          <w:szCs w:val="24"/>
          <w14:ligatures w14:val="standardContextual"/>
        </w:rPr>
        <w:t>e</w:t>
      </w:r>
      <w:r w:rsidR="004E1AAD" w:rsidRPr="004E1AAD">
        <w:rPr>
          <w:rFonts w:eastAsia="Aptos" w:cs="Times New Roman"/>
          <w:i/>
          <w:iCs/>
          <w:kern w:val="2"/>
          <w:sz w:val="24"/>
          <w:szCs w:val="24"/>
          <w14:ligatures w14:val="standardContextual"/>
        </w:rPr>
        <w:t>u</w:t>
      </w:r>
      <w:r w:rsidRPr="004E1AAD">
        <w:rPr>
          <w:rFonts w:eastAsia="Aptos" w:cs="Times New Roman"/>
          <w:i/>
          <w:iCs/>
          <w:kern w:val="2"/>
          <w:sz w:val="24"/>
          <w:szCs w:val="24"/>
          <w14:ligatures w14:val="standardContextual"/>
        </w:rPr>
        <w:t>ro</w:t>
      </w:r>
      <w:proofErr w:type="spellEnd"/>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zonā 2023. gada janvārī bija 8,6%, bet decembrī – 2,9%. Tādējādi vidējā inflācija (SPCI) Latvijā 2023.</w:t>
      </w:r>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 xml:space="preserve">gadā bija 9,1%, savukārt </w:t>
      </w:r>
      <w:proofErr w:type="spellStart"/>
      <w:r w:rsidRPr="004E1AAD">
        <w:rPr>
          <w:rFonts w:eastAsia="Aptos" w:cs="Times New Roman"/>
          <w:i/>
          <w:iCs/>
          <w:kern w:val="2"/>
          <w:sz w:val="24"/>
          <w:szCs w:val="24"/>
          <w14:ligatures w14:val="standardContextual"/>
        </w:rPr>
        <w:t>e</w:t>
      </w:r>
      <w:r w:rsidR="004E1AAD" w:rsidRPr="004E1AAD">
        <w:rPr>
          <w:rFonts w:eastAsia="Aptos" w:cs="Times New Roman"/>
          <w:i/>
          <w:iCs/>
          <w:kern w:val="2"/>
          <w:sz w:val="24"/>
          <w:szCs w:val="24"/>
          <w14:ligatures w14:val="standardContextual"/>
        </w:rPr>
        <w:t>u</w:t>
      </w:r>
      <w:r w:rsidRPr="004E1AAD">
        <w:rPr>
          <w:rFonts w:eastAsia="Aptos" w:cs="Times New Roman"/>
          <w:i/>
          <w:iCs/>
          <w:kern w:val="2"/>
          <w:sz w:val="24"/>
          <w:szCs w:val="24"/>
          <w14:ligatures w14:val="standardContextual"/>
        </w:rPr>
        <w:t>ro</w:t>
      </w:r>
      <w:proofErr w:type="spellEnd"/>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zonā tā bija 5,4%. Kopumā jāsecina, ka inflācijas bremzēšanās Latvijā 2023.</w:t>
      </w:r>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 xml:space="preserve">gada nogalē bija būtiski straujāka nekā vidēji </w:t>
      </w:r>
      <w:proofErr w:type="spellStart"/>
      <w:r w:rsidRPr="004E1AAD">
        <w:rPr>
          <w:rFonts w:eastAsia="Aptos" w:cs="Times New Roman"/>
          <w:i/>
          <w:iCs/>
          <w:kern w:val="2"/>
          <w:sz w:val="24"/>
          <w:szCs w:val="24"/>
          <w14:ligatures w14:val="standardContextual"/>
        </w:rPr>
        <w:t>e</w:t>
      </w:r>
      <w:r w:rsidR="004E1AAD" w:rsidRPr="004E1AAD">
        <w:rPr>
          <w:rFonts w:eastAsia="Aptos" w:cs="Times New Roman"/>
          <w:i/>
          <w:iCs/>
          <w:kern w:val="2"/>
          <w:sz w:val="24"/>
          <w:szCs w:val="24"/>
          <w14:ligatures w14:val="standardContextual"/>
        </w:rPr>
        <w:t>u</w:t>
      </w:r>
      <w:r w:rsidRPr="004E1AAD">
        <w:rPr>
          <w:rFonts w:eastAsia="Aptos" w:cs="Times New Roman"/>
          <w:i/>
          <w:iCs/>
          <w:kern w:val="2"/>
          <w:sz w:val="24"/>
          <w:szCs w:val="24"/>
          <w14:ligatures w14:val="standardContextual"/>
        </w:rPr>
        <w:t>ro</w:t>
      </w:r>
      <w:proofErr w:type="spellEnd"/>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zonā, tādējādi ierindojot Latviju valstu grupā ar zemāko inflāciju. Jāatzīmē, ka tik straujš inflācijas samazinājums lielā mērā ir saistīts ar bāzes efektiem, jo 2022.</w:t>
      </w:r>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 xml:space="preserve">gada nogalē patēriņa cenu pieaugums Latvijā bija viens no augstākajiem </w:t>
      </w:r>
      <w:proofErr w:type="spellStart"/>
      <w:r w:rsidRPr="004E1AAD">
        <w:rPr>
          <w:rFonts w:eastAsia="Aptos" w:cs="Times New Roman"/>
          <w:i/>
          <w:iCs/>
          <w:kern w:val="2"/>
          <w:sz w:val="24"/>
          <w:szCs w:val="24"/>
          <w14:ligatures w14:val="standardContextual"/>
        </w:rPr>
        <w:t>e</w:t>
      </w:r>
      <w:r w:rsidR="004E1AAD" w:rsidRPr="004E1AAD">
        <w:rPr>
          <w:rFonts w:eastAsia="Aptos" w:cs="Times New Roman"/>
          <w:i/>
          <w:iCs/>
          <w:kern w:val="2"/>
          <w:sz w:val="24"/>
          <w:szCs w:val="24"/>
          <w14:ligatures w14:val="standardContextual"/>
        </w:rPr>
        <w:t>u</w:t>
      </w:r>
      <w:r w:rsidRPr="004E1AAD">
        <w:rPr>
          <w:rFonts w:eastAsia="Aptos" w:cs="Times New Roman"/>
          <w:i/>
          <w:iCs/>
          <w:kern w:val="2"/>
          <w:sz w:val="24"/>
          <w:szCs w:val="24"/>
          <w14:ligatures w14:val="standardContextual"/>
        </w:rPr>
        <w:t>ro</w:t>
      </w:r>
      <w:proofErr w:type="spellEnd"/>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 xml:space="preserve">zonā. Saskaņotā patēriņa cenu indeksa pārmaiņas ES dalībvalstīs ir atspoguļotas 2.4. attēlā. </w:t>
      </w:r>
    </w:p>
    <w:p w14:paraId="6BFB62B2" w14:textId="77777777" w:rsidR="00594BC3" w:rsidRPr="00594BC3" w:rsidRDefault="00594BC3" w:rsidP="00594BC3">
      <w:pPr>
        <w:ind w:firstLine="0"/>
        <w:jc w:val="left"/>
        <w:rPr>
          <w:rFonts w:eastAsia="Aptos" w:cs="Times New Roman"/>
          <w:kern w:val="2"/>
          <w:sz w:val="24"/>
          <w:szCs w:val="24"/>
          <w:highlight w:val="yellow"/>
          <w14:ligatures w14:val="standardContextual"/>
        </w:rPr>
      </w:pPr>
    </w:p>
    <w:p w14:paraId="26062D9E" w14:textId="77777777" w:rsidR="00594BC3" w:rsidRPr="004E1AAD" w:rsidRDefault="00594BC3" w:rsidP="00594BC3">
      <w:pPr>
        <w:ind w:firstLine="0"/>
        <w:jc w:val="left"/>
        <w:rPr>
          <w:rFonts w:eastAsia="Aptos" w:cs="Times New Roman"/>
          <w:kern w:val="2"/>
          <w:sz w:val="24"/>
          <w:szCs w:val="24"/>
          <w14:ligatures w14:val="standardContextual"/>
        </w:rPr>
      </w:pPr>
      <w:r w:rsidRPr="004E1AAD">
        <w:rPr>
          <w:rFonts w:eastAsia="Aptos" w:cs="Times New Roman"/>
          <w:noProof/>
          <w:kern w:val="2"/>
          <w:sz w:val="24"/>
          <w:szCs w:val="24"/>
          <w14:ligatures w14:val="standardContextual"/>
        </w:rPr>
        <w:drawing>
          <wp:inline distT="0" distB="0" distL="0" distR="0" wp14:anchorId="2933B9D3" wp14:editId="406C9477">
            <wp:extent cx="5760085" cy="3116580"/>
            <wp:effectExtent l="0" t="0" r="0" b="7620"/>
            <wp:docPr id="1887060179" name="Chart 1">
              <a:extLst xmlns:a="http://schemas.openxmlformats.org/drawingml/2006/main">
                <a:ext uri="{FF2B5EF4-FFF2-40B4-BE49-F238E27FC236}">
                  <a16:creationId xmlns:a16="http://schemas.microsoft.com/office/drawing/2014/main" id="{E53CCF87-C251-45B7-64D3-0810B1A624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10D00D" w14:textId="2E620F70" w:rsidR="00594BC3" w:rsidRPr="004E1AAD" w:rsidRDefault="00594BC3" w:rsidP="00594BC3">
      <w:pPr>
        <w:spacing w:after="120"/>
        <w:ind w:firstLine="0"/>
        <w:jc w:val="center"/>
        <w:rPr>
          <w:rFonts w:eastAsia="Calibri" w:cs="Times New Roman"/>
          <w:b/>
          <w:i/>
          <w:iCs/>
          <w:noProof/>
          <w:color w:val="000000"/>
          <w:kern w:val="2"/>
          <w:sz w:val="24"/>
          <w:szCs w:val="24"/>
          <w14:ligatures w14:val="standardContextual"/>
        </w:rPr>
      </w:pPr>
      <w:r w:rsidRPr="004E1AAD">
        <w:rPr>
          <w:rFonts w:eastAsia="Calibri" w:cs="Times New Roman"/>
          <w:b/>
          <w:i/>
          <w:iCs/>
          <w:noProof/>
          <w:kern w:val="2"/>
          <w:sz w:val="24"/>
          <w:szCs w:val="24"/>
          <w14:ligatures w14:val="standardContextual"/>
        </w:rPr>
        <w:t>2.4. att. Saskaņotā</w:t>
      </w:r>
      <w:r w:rsidRPr="004E1AAD">
        <w:rPr>
          <w:rFonts w:eastAsia="Calibri" w:cs="Times New Roman"/>
          <w:b/>
          <w:i/>
          <w:iCs/>
          <w:noProof/>
          <w:color w:val="000000"/>
          <w:kern w:val="2"/>
          <w:sz w:val="24"/>
          <w:szCs w:val="24"/>
          <w14:ligatures w14:val="standardContextual"/>
        </w:rPr>
        <w:t xml:space="preserve"> patēriņa cenu indeksa pārmaiņas 2021.</w:t>
      </w:r>
      <w:r w:rsidR="004E1AAD" w:rsidRPr="004E1AAD">
        <w:rPr>
          <w:rFonts w:eastAsia="Calibri" w:cs="Times New Roman"/>
          <w:b/>
          <w:i/>
          <w:iCs/>
          <w:noProof/>
          <w:color w:val="000000"/>
          <w:kern w:val="2"/>
          <w:sz w:val="24"/>
          <w:szCs w:val="24"/>
          <w14:ligatures w14:val="standardContextual"/>
        </w:rPr>
        <w:t xml:space="preserve"> </w:t>
      </w:r>
      <w:r w:rsidRPr="004E1AAD">
        <w:rPr>
          <w:rFonts w:eastAsia="Calibri" w:cs="Times New Roman"/>
          <w:b/>
          <w:i/>
          <w:iCs/>
          <w:noProof/>
          <w:color w:val="000000"/>
          <w:kern w:val="2"/>
          <w:sz w:val="24"/>
          <w:szCs w:val="24"/>
          <w14:ligatures w14:val="standardContextual"/>
        </w:rPr>
        <w:t>gadā, 2022. gadā, 2023. gadā ES dalībvalstīs vidēji, %</w:t>
      </w:r>
      <w:r w:rsidR="00B03F19">
        <w:rPr>
          <w:rFonts w:eastAsia="Calibri" w:cs="Times New Roman"/>
          <w:b/>
          <w:i/>
          <w:iCs/>
          <w:noProof/>
          <w:color w:val="000000"/>
          <w:kern w:val="2"/>
          <w:sz w:val="24"/>
          <w:szCs w:val="24"/>
          <w14:ligatures w14:val="standardContextual"/>
        </w:rPr>
        <w:t xml:space="preserve"> (</w:t>
      </w:r>
      <w:r w:rsidR="00B03F19" w:rsidRPr="00B03F19">
        <w:rPr>
          <w:rFonts w:eastAsia="Calibri" w:cs="Times New Roman"/>
          <w:b/>
          <w:i/>
          <w:iCs/>
          <w:noProof/>
          <w:color w:val="000000"/>
          <w:kern w:val="2"/>
          <w:sz w:val="24"/>
          <w:szCs w:val="24"/>
          <w14:ligatures w14:val="standardContextual"/>
        </w:rPr>
        <w:t>Datu avots: Eurostat, FM</w:t>
      </w:r>
      <w:r w:rsidR="00B03F19">
        <w:rPr>
          <w:rFonts w:eastAsia="Calibri" w:cs="Times New Roman"/>
          <w:b/>
          <w:i/>
          <w:iCs/>
          <w:noProof/>
          <w:color w:val="000000"/>
          <w:kern w:val="2"/>
          <w:sz w:val="24"/>
          <w:szCs w:val="24"/>
          <w14:ligatures w14:val="standardContextual"/>
        </w:rPr>
        <w:t>)</w:t>
      </w:r>
    </w:p>
    <w:p w14:paraId="5E0A71C4" w14:textId="77777777" w:rsidR="00594BC3" w:rsidRPr="004E1AAD" w:rsidRDefault="00594BC3" w:rsidP="00594BC3">
      <w:pPr>
        <w:ind w:firstLine="709"/>
        <w:rPr>
          <w:rFonts w:eastAsia="Aptos" w:cs="Times New Roman"/>
          <w:kern w:val="2"/>
          <w:sz w:val="24"/>
          <w:szCs w:val="24"/>
          <w14:ligatures w14:val="standardContextual"/>
        </w:rPr>
      </w:pPr>
    </w:p>
    <w:p w14:paraId="51BB4D62" w14:textId="03609269" w:rsidR="00594BC3" w:rsidRPr="004E1AAD" w:rsidRDefault="00594BC3" w:rsidP="00594BC3">
      <w:pPr>
        <w:ind w:firstLine="709"/>
        <w:rPr>
          <w:rFonts w:eastAsia="Aptos" w:cs="Times New Roman"/>
          <w:kern w:val="2"/>
          <w:sz w:val="24"/>
          <w:szCs w:val="24"/>
          <w14:ligatures w14:val="standardContextual"/>
        </w:rPr>
      </w:pPr>
      <w:r w:rsidRPr="004E1AAD">
        <w:rPr>
          <w:rFonts w:eastAsia="Aptos" w:cs="Times New Roman"/>
          <w:kern w:val="2"/>
          <w:sz w:val="24"/>
          <w:szCs w:val="24"/>
          <w14:ligatures w14:val="standardContextual"/>
        </w:rPr>
        <w:t xml:space="preserve">Vērtējot patēriņa cenu dinamiku </w:t>
      </w:r>
      <w:r w:rsidR="006D3117">
        <w:rPr>
          <w:rFonts w:eastAsia="Aptos" w:cs="Times New Roman"/>
          <w:kern w:val="2"/>
          <w:sz w:val="24"/>
          <w:szCs w:val="24"/>
          <w14:ligatures w14:val="standardContextual"/>
        </w:rPr>
        <w:t>2023.</w:t>
      </w:r>
      <w:r w:rsidRPr="004E1AAD">
        <w:rPr>
          <w:rFonts w:eastAsia="Aptos" w:cs="Times New Roman"/>
          <w:kern w:val="2"/>
          <w:sz w:val="24"/>
          <w:szCs w:val="24"/>
          <w14:ligatures w14:val="standardContextual"/>
        </w:rPr>
        <w:t xml:space="preserve"> gadā, atbilstoši </w:t>
      </w:r>
      <w:r w:rsidR="004E1AAD" w:rsidRPr="004E1AAD">
        <w:rPr>
          <w:rFonts w:eastAsia="Aptos" w:cs="Times New Roman"/>
          <w:kern w:val="2"/>
          <w:sz w:val="24"/>
          <w:szCs w:val="24"/>
          <w14:ligatures w14:val="standardContextual"/>
        </w:rPr>
        <w:t>CSP</w:t>
      </w:r>
      <w:r w:rsidRPr="004E1AAD">
        <w:rPr>
          <w:rFonts w:eastAsia="Aptos" w:cs="Times New Roman"/>
          <w:kern w:val="2"/>
          <w:sz w:val="24"/>
          <w:szCs w:val="24"/>
          <w14:ligatures w14:val="standardContextual"/>
        </w:rPr>
        <w:t xml:space="preserve"> datiem, patēriņa cenas Latvijā 2023.</w:t>
      </w:r>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gadā pieauga par 8,9%, kas bija gandrīz divas reizes mazāks kāpums nekā iepriekšējā gadā. Tāpat kā 2022.</w:t>
      </w:r>
      <w:r w:rsidR="004E1AAD" w:rsidRPr="004E1AAD">
        <w:rPr>
          <w:rFonts w:eastAsia="Aptos" w:cs="Times New Roman"/>
          <w:kern w:val="2"/>
          <w:sz w:val="24"/>
          <w:szCs w:val="24"/>
          <w14:ligatures w14:val="standardContextual"/>
        </w:rPr>
        <w:t xml:space="preserve"> </w:t>
      </w:r>
      <w:r w:rsidRPr="004E1AAD">
        <w:rPr>
          <w:rFonts w:eastAsia="Aptos" w:cs="Times New Roman"/>
          <w:kern w:val="2"/>
          <w:sz w:val="24"/>
          <w:szCs w:val="24"/>
          <w14:ligatures w14:val="standardContextual"/>
        </w:rPr>
        <w:t xml:space="preserve">gadā, arī </w:t>
      </w:r>
      <w:r w:rsidR="006D3117">
        <w:rPr>
          <w:rFonts w:eastAsia="Aptos" w:cs="Times New Roman"/>
          <w:kern w:val="2"/>
          <w:sz w:val="24"/>
          <w:szCs w:val="24"/>
          <w14:ligatures w14:val="standardContextual"/>
        </w:rPr>
        <w:t>2023.</w:t>
      </w:r>
      <w:r w:rsidRPr="004E1AAD">
        <w:rPr>
          <w:rFonts w:eastAsia="Aptos" w:cs="Times New Roman"/>
          <w:kern w:val="2"/>
          <w:sz w:val="24"/>
          <w:szCs w:val="24"/>
          <w14:ligatures w14:val="standardContextual"/>
        </w:rPr>
        <w:t xml:space="preserve"> gadā galvenie inflāciju ietekmējoši faktori bija saistīti ar energoresursu un pārtikas cenu svārstībām. </w:t>
      </w:r>
    </w:p>
    <w:p w14:paraId="199498FF" w14:textId="53BBF1E8" w:rsidR="00594BC3" w:rsidRPr="004E1AAD" w:rsidRDefault="00594BC3" w:rsidP="00594BC3">
      <w:pPr>
        <w:ind w:firstLine="709"/>
        <w:rPr>
          <w:rFonts w:eastAsia="Aptos" w:cs="Times New Roman"/>
          <w:color w:val="000000"/>
          <w:kern w:val="2"/>
          <w:sz w:val="24"/>
          <w:szCs w:val="24"/>
          <w14:ligatures w14:val="standardContextual"/>
        </w:rPr>
      </w:pPr>
      <w:r w:rsidRPr="004E1AAD">
        <w:rPr>
          <w:rFonts w:eastAsia="Aptos" w:cs="Times New Roman"/>
          <w:color w:val="000000"/>
          <w:kern w:val="2"/>
          <w:sz w:val="24"/>
          <w:szCs w:val="24"/>
          <w14:ligatures w14:val="standardContextual"/>
        </w:rPr>
        <w:t>Lielākais devums patēriņa cenu kāpumā 2023.</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gadā bija pārtikas un bezalkoholisko dzērienu sadārdzinājumam par 13,2%, tādējādi izskaidrojot vairāk nekā trešdaļu no kopējās inflācijas. Pārtikas cenām ir būtiska ietekme uz vidējo inflāciju, jo tai mājsaimniecības patēriņa grozā ir vislielākais īpatsvars starp visām precēm un pakalpojumiem - 26,2%. Pārtikas cenu pieaugums 2023.</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gada laikā, tāpat kā vidējā inflācija, bremzējās, tomēr pārtikas inflācija visā gad</w:t>
      </w:r>
      <w:r w:rsidR="004E1AAD" w:rsidRPr="004E1AAD">
        <w:rPr>
          <w:rFonts w:eastAsia="Aptos" w:cs="Times New Roman"/>
          <w:color w:val="000000"/>
          <w:kern w:val="2"/>
          <w:sz w:val="24"/>
          <w:szCs w:val="24"/>
          <w14:ligatures w14:val="standardContextual"/>
        </w:rPr>
        <w:t>a</w:t>
      </w:r>
      <w:r w:rsidRPr="004E1AAD">
        <w:rPr>
          <w:rFonts w:eastAsia="Aptos" w:cs="Times New Roman"/>
          <w:color w:val="000000"/>
          <w:kern w:val="2"/>
          <w:sz w:val="24"/>
          <w:szCs w:val="24"/>
          <w14:ligatures w14:val="standardContextual"/>
        </w:rPr>
        <w:t xml:space="preserve"> garumā bija augstāka par vidējo inflāciju. Tas radīja būtisku spiedienu uz mājsaimniecību izdevumiem, it īpaši mājsaimniecībām ar zemiem ienākumiem.</w:t>
      </w:r>
    </w:p>
    <w:p w14:paraId="74BE33CB" w14:textId="4C07BF4E" w:rsidR="00684187" w:rsidRDefault="00594BC3" w:rsidP="00594BC3">
      <w:pPr>
        <w:ind w:firstLine="709"/>
        <w:rPr>
          <w:rFonts w:eastAsia="Aptos" w:cs="Times New Roman"/>
          <w:color w:val="000000"/>
          <w:kern w:val="2"/>
          <w:sz w:val="24"/>
          <w:szCs w:val="24"/>
          <w14:ligatures w14:val="standardContextual"/>
        </w:rPr>
      </w:pPr>
      <w:r w:rsidRPr="004E1AAD">
        <w:rPr>
          <w:rFonts w:eastAsia="Aptos" w:cs="Times New Roman"/>
          <w:color w:val="000000"/>
          <w:kern w:val="2"/>
          <w:sz w:val="24"/>
          <w:szCs w:val="24"/>
          <w14:ligatures w14:val="standardContextual"/>
        </w:rPr>
        <w:lastRenderedPageBreak/>
        <w:t>2023.</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 xml:space="preserve">gadā palielinājās arī ar mājokļa apsaimniekošanu saistīto pakalpojumu cenas. </w:t>
      </w:r>
      <w:r w:rsidR="004E1AAD" w:rsidRPr="004E1AAD">
        <w:rPr>
          <w:rFonts w:eastAsia="Aptos" w:cs="Times New Roman"/>
          <w:color w:val="000000"/>
          <w:kern w:val="2"/>
          <w:sz w:val="24"/>
          <w:szCs w:val="24"/>
          <w14:ligatures w14:val="standardContextual"/>
        </w:rPr>
        <w:t>S</w:t>
      </w:r>
      <w:r w:rsidRPr="004E1AAD">
        <w:rPr>
          <w:rFonts w:eastAsia="Aptos" w:cs="Times New Roman"/>
          <w:color w:val="000000"/>
          <w:kern w:val="2"/>
          <w:sz w:val="24"/>
          <w:szCs w:val="24"/>
          <w14:ligatures w14:val="standardContextual"/>
        </w:rPr>
        <w:t>iltumenerģijas cena pieauga par 19,6%. Savukārt elektroenerģija un gāze sadārdzinājās attiecīgi par 12,5% un 2,7%. Lai arī šāds cenu pieaugums komunālajiem pakalpojumiem ir pietiekoši augsts, tomēr tas ir vairākas reizes mazāks nekā 2022.</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gadā. Šo pakalpojumu cenu pieaugums pērnā gada pirmajā pusē bija ļoti augsts, tomēr otrajā pusgadā, būtiski samazinoties dabasgāzes cenām Eiropā, samazinājās arī elektroenerģijas, gāzes un siltumenerģijas tarifi Latvijā. Ja 2023.</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gada janvārī elektroenerģijas, gāzes un siltumenerģijas cenu pieaugums gada griezumā veidoja attiecīgi 89,8%, 65,7% un 69,6%, 2023.</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 xml:space="preserve">gada decembrī šiem pakalpojumiem bija fiksēts cenu kritums attiecīgi par 12,2%, 20,4% un 19,7%, tādējādi mazinot arī kopējo cenu kāpumu. </w:t>
      </w:r>
      <w:r w:rsidR="006D3117">
        <w:rPr>
          <w:rFonts w:eastAsia="Aptos" w:cs="Times New Roman"/>
          <w:color w:val="000000"/>
          <w:kern w:val="2"/>
          <w:sz w:val="24"/>
          <w:szCs w:val="24"/>
          <w14:ligatures w14:val="standardContextual"/>
        </w:rPr>
        <w:t>2023.</w:t>
      </w:r>
      <w:r w:rsidRPr="004E1AAD">
        <w:rPr>
          <w:rFonts w:eastAsia="Aptos" w:cs="Times New Roman"/>
          <w:color w:val="000000"/>
          <w:kern w:val="2"/>
          <w:sz w:val="24"/>
          <w:szCs w:val="24"/>
          <w14:ligatures w14:val="standardContextual"/>
        </w:rPr>
        <w:t xml:space="preserve"> gadā samazinājās arī degvielas cena, kopumā par 9,2%. Dīzeļdegvielas vidējā cena 2023.</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 xml:space="preserve">gadā bija 1,589 </w:t>
      </w:r>
      <w:proofErr w:type="spellStart"/>
      <w:r w:rsidRPr="004E1AAD">
        <w:rPr>
          <w:rFonts w:eastAsia="Aptos" w:cs="Times New Roman"/>
          <w:i/>
          <w:iCs/>
          <w:color w:val="000000"/>
          <w:kern w:val="2"/>
          <w:sz w:val="24"/>
          <w:szCs w:val="24"/>
          <w14:ligatures w14:val="standardContextual"/>
        </w:rPr>
        <w:t>euro</w:t>
      </w:r>
      <w:proofErr w:type="spellEnd"/>
      <w:r w:rsidRPr="004E1AAD">
        <w:rPr>
          <w:rFonts w:eastAsia="Aptos" w:cs="Times New Roman"/>
          <w:i/>
          <w:iCs/>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 xml:space="preserve">par litru, kas bija par 18,3 </w:t>
      </w:r>
      <w:proofErr w:type="spellStart"/>
      <w:r w:rsidRPr="004E1AAD">
        <w:rPr>
          <w:rFonts w:eastAsia="Aptos" w:cs="Times New Roman"/>
          <w:i/>
          <w:iCs/>
          <w:color w:val="000000"/>
          <w:kern w:val="2"/>
          <w:sz w:val="24"/>
          <w:szCs w:val="24"/>
          <w14:ligatures w14:val="standardContextual"/>
        </w:rPr>
        <w:t>euro</w:t>
      </w:r>
      <w:proofErr w:type="spellEnd"/>
      <w:r w:rsidRPr="004E1AAD">
        <w:rPr>
          <w:rFonts w:eastAsia="Aptos" w:cs="Times New Roman"/>
          <w:color w:val="000000"/>
          <w:kern w:val="2"/>
          <w:sz w:val="24"/>
          <w:szCs w:val="24"/>
          <w14:ligatures w14:val="standardContextual"/>
        </w:rPr>
        <w:t xml:space="preserve"> centiem mazāk nekā 2022.</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gadā. Savukārt 95.</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markas benzīna cena 2023.</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 xml:space="preserve">gadā samazinājās par 14,2 </w:t>
      </w:r>
      <w:proofErr w:type="spellStart"/>
      <w:r w:rsidRPr="004E1AAD">
        <w:rPr>
          <w:rFonts w:eastAsia="Aptos" w:cs="Times New Roman"/>
          <w:i/>
          <w:iCs/>
          <w:color w:val="000000"/>
          <w:kern w:val="2"/>
          <w:sz w:val="24"/>
          <w:szCs w:val="24"/>
          <w14:ligatures w14:val="standardContextual"/>
        </w:rPr>
        <w:t>euro</w:t>
      </w:r>
      <w:proofErr w:type="spellEnd"/>
      <w:r w:rsidRPr="004E1AAD">
        <w:rPr>
          <w:rFonts w:eastAsia="Aptos" w:cs="Times New Roman"/>
          <w:color w:val="000000"/>
          <w:kern w:val="2"/>
          <w:sz w:val="24"/>
          <w:szCs w:val="24"/>
          <w14:ligatures w14:val="standardContextual"/>
        </w:rPr>
        <w:t xml:space="preserve"> centiem līdz 1,637 </w:t>
      </w:r>
      <w:proofErr w:type="spellStart"/>
      <w:r w:rsidRPr="004E1AAD">
        <w:rPr>
          <w:rFonts w:eastAsia="Aptos" w:cs="Times New Roman"/>
          <w:i/>
          <w:iCs/>
          <w:color w:val="000000"/>
          <w:kern w:val="2"/>
          <w:sz w:val="24"/>
          <w:szCs w:val="24"/>
          <w14:ligatures w14:val="standardContextual"/>
        </w:rPr>
        <w:t>euro</w:t>
      </w:r>
      <w:proofErr w:type="spellEnd"/>
      <w:r w:rsidRPr="004E1AAD">
        <w:rPr>
          <w:rFonts w:eastAsia="Aptos" w:cs="Times New Roman"/>
          <w:color w:val="000000"/>
          <w:kern w:val="2"/>
          <w:sz w:val="24"/>
          <w:szCs w:val="24"/>
          <w14:ligatures w14:val="standardContextual"/>
        </w:rPr>
        <w:t xml:space="preserve"> par litru. Šo preču un pakalpojumu cenu dinamika un devums vidējā inflācijā spilgti redzams </w:t>
      </w:r>
      <w:r w:rsidRPr="004E1AAD">
        <w:rPr>
          <w:rFonts w:eastAsia="Aptos" w:cs="Times New Roman"/>
          <w:kern w:val="2"/>
          <w:sz w:val="24"/>
          <w:szCs w:val="24"/>
          <w14:ligatures w14:val="standardContextual"/>
        </w:rPr>
        <w:t>2.5. attēlā</w:t>
      </w:r>
      <w:r w:rsidRPr="004E1AAD">
        <w:rPr>
          <w:rFonts w:eastAsia="Aptos" w:cs="Times New Roman"/>
          <w:color w:val="000000"/>
          <w:kern w:val="2"/>
          <w:sz w:val="24"/>
          <w:szCs w:val="24"/>
          <w14:ligatures w14:val="standardContextual"/>
        </w:rPr>
        <w:t xml:space="preserve">, enerģijas sadaļā. </w:t>
      </w:r>
      <w:r w:rsidRPr="004E1AAD">
        <w:rPr>
          <w:rFonts w:eastAsia="Aptos" w:cs="Times New Roman"/>
          <w:kern w:val="2"/>
          <w:sz w:val="24"/>
          <w:szCs w:val="24"/>
          <w14:ligatures w14:val="standardContextual"/>
        </w:rPr>
        <w:t xml:space="preserve">Par spīti ģeopolitiskās situācijas eskalācijai </w:t>
      </w:r>
      <w:r w:rsidRPr="004E1AAD">
        <w:rPr>
          <w:rFonts w:eastAsia="Aptos" w:cs="Times New Roman"/>
          <w:color w:val="000000"/>
          <w:kern w:val="2"/>
          <w:sz w:val="24"/>
          <w:szCs w:val="24"/>
          <w14:ligatures w14:val="standardContextual"/>
        </w:rPr>
        <w:t>Tuvajos Austrumos 2023.</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gada oktobrī, reģionā, kuram ir būtiska nozīme gāzes un naftas tirgū, gan gāzes, gan naftas cenas pērnā gada nogalē turpināja samazināties. Kopumā dabasgāzes cena Eiropā 2023.</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 xml:space="preserve">gadā samazinājusies 3,3 reizes, sasniedzot 40,2 </w:t>
      </w:r>
      <w:proofErr w:type="spellStart"/>
      <w:r w:rsidRPr="004E1AAD">
        <w:rPr>
          <w:rFonts w:eastAsia="Aptos" w:cs="Times New Roman"/>
          <w:i/>
          <w:iCs/>
          <w:color w:val="000000"/>
          <w:kern w:val="2"/>
          <w:sz w:val="24"/>
          <w:szCs w:val="24"/>
          <w14:ligatures w14:val="standardContextual"/>
        </w:rPr>
        <w:t>euro</w:t>
      </w:r>
      <w:proofErr w:type="spellEnd"/>
      <w:r w:rsidRPr="004E1AAD">
        <w:rPr>
          <w:rFonts w:eastAsia="Aptos" w:cs="Times New Roman"/>
          <w:color w:val="000000"/>
          <w:kern w:val="2"/>
          <w:sz w:val="24"/>
          <w:szCs w:val="24"/>
          <w14:ligatures w14:val="standardContextual"/>
        </w:rPr>
        <w:t>/</w:t>
      </w:r>
      <w:proofErr w:type="spellStart"/>
      <w:r w:rsidRPr="004E1AAD">
        <w:rPr>
          <w:rFonts w:eastAsia="Aptos" w:cs="Times New Roman"/>
          <w:color w:val="000000"/>
          <w:kern w:val="2"/>
          <w:sz w:val="24"/>
          <w:szCs w:val="24"/>
          <w14:ligatures w14:val="standardContextual"/>
        </w:rPr>
        <w:t>Mh</w:t>
      </w:r>
      <w:proofErr w:type="spellEnd"/>
      <w:r w:rsidRPr="004E1AAD">
        <w:rPr>
          <w:rFonts w:eastAsia="Aptos" w:cs="Times New Roman"/>
          <w:color w:val="000000"/>
          <w:kern w:val="2"/>
          <w:sz w:val="24"/>
          <w:szCs w:val="24"/>
          <w14:ligatures w14:val="standardContextual"/>
        </w:rPr>
        <w:t>, kas bija pat nedaudz zemāk nekā 2021.</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 xml:space="preserve">gadā. Savukārt </w:t>
      </w:r>
      <w:proofErr w:type="spellStart"/>
      <w:r w:rsidRPr="004E1AAD">
        <w:rPr>
          <w:rFonts w:eastAsia="Aptos" w:cs="Times New Roman"/>
          <w:i/>
          <w:iCs/>
          <w:color w:val="000000"/>
          <w:kern w:val="2"/>
          <w:sz w:val="24"/>
          <w:szCs w:val="24"/>
          <w14:ligatures w14:val="standardContextual"/>
        </w:rPr>
        <w:t>Brent</w:t>
      </w:r>
      <w:proofErr w:type="spellEnd"/>
      <w:r w:rsidRPr="004E1AAD">
        <w:rPr>
          <w:rFonts w:eastAsia="Aptos" w:cs="Times New Roman"/>
          <w:color w:val="000000"/>
          <w:kern w:val="2"/>
          <w:sz w:val="24"/>
          <w:szCs w:val="24"/>
          <w14:ligatures w14:val="standardContextual"/>
        </w:rPr>
        <w:t xml:space="preserve"> markas jēlnaftas cena 2023.</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gadā bija 82,5 ASV dolāri par barelu, kas bija par 18,2% mazāk nekā 2022.</w:t>
      </w:r>
      <w:r w:rsidR="004E1AAD" w:rsidRPr="004E1AAD">
        <w:rPr>
          <w:rFonts w:eastAsia="Aptos" w:cs="Times New Roman"/>
          <w:color w:val="000000"/>
          <w:kern w:val="2"/>
          <w:sz w:val="24"/>
          <w:szCs w:val="24"/>
          <w14:ligatures w14:val="standardContextual"/>
        </w:rPr>
        <w:t xml:space="preserve"> </w:t>
      </w:r>
      <w:r w:rsidRPr="004E1AAD">
        <w:rPr>
          <w:rFonts w:eastAsia="Aptos" w:cs="Times New Roman"/>
          <w:color w:val="000000"/>
          <w:kern w:val="2"/>
          <w:sz w:val="24"/>
          <w:szCs w:val="24"/>
          <w14:ligatures w14:val="standardContextual"/>
        </w:rPr>
        <w:t>gadā. Pērnajā gadā šo izejvielu cenu dinamiku ietekmēja virkne dažādu faktoru, bet viens no galvenajiem bija pasaules ekonomikas attīstības tempu samazinājums un tā rezultātā arī mazāks naftas un gāzes patēriņš.</w:t>
      </w:r>
    </w:p>
    <w:p w14:paraId="25767232" w14:textId="3BB9CF3B" w:rsidR="00594BC3" w:rsidRPr="00684187" w:rsidRDefault="00684187" w:rsidP="00684187">
      <w:pPr>
        <w:spacing w:after="160" w:line="259" w:lineRule="auto"/>
        <w:ind w:firstLine="0"/>
        <w:jc w:val="left"/>
        <w:rPr>
          <w:rFonts w:eastAsia="Aptos" w:cs="Times New Roman"/>
          <w:color w:val="000000"/>
          <w:kern w:val="2"/>
          <w:sz w:val="24"/>
          <w:szCs w:val="24"/>
          <w14:ligatures w14:val="standardContextual"/>
        </w:rPr>
      </w:pPr>
      <w:r>
        <w:rPr>
          <w:rFonts w:eastAsia="Aptos" w:cs="Times New Roman"/>
          <w:color w:val="000000"/>
          <w:kern w:val="2"/>
          <w:sz w:val="24"/>
          <w:szCs w:val="24"/>
          <w14:ligatures w14:val="standardContextual"/>
        </w:rPr>
        <w:br w:type="page"/>
      </w:r>
    </w:p>
    <w:p w14:paraId="3FD5E5B0" w14:textId="77777777" w:rsidR="00594BC3" w:rsidRPr="00594BC3" w:rsidRDefault="00594BC3" w:rsidP="00594BC3">
      <w:pPr>
        <w:ind w:firstLine="0"/>
        <w:rPr>
          <w:rFonts w:eastAsia="Aptos" w:cs="Times New Roman"/>
          <w:kern w:val="2"/>
          <w:sz w:val="24"/>
          <w:szCs w:val="24"/>
          <w:highlight w:val="yellow"/>
          <w14:ligatures w14:val="standardContextual"/>
        </w:rPr>
      </w:pPr>
    </w:p>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64"/>
      </w:tblGrid>
      <w:tr w:rsidR="00594BC3" w:rsidRPr="00594BC3" w14:paraId="723B323C" w14:textId="77777777" w:rsidTr="000E7B7F">
        <w:trPr>
          <w:trHeight w:val="6519"/>
        </w:trPr>
        <w:tc>
          <w:tcPr>
            <w:tcW w:w="4656" w:type="dxa"/>
          </w:tcPr>
          <w:p w14:paraId="0BD95CFE" w14:textId="77777777" w:rsidR="00594BC3" w:rsidRPr="004E1AAD" w:rsidRDefault="00594BC3" w:rsidP="000E7B7F">
            <w:pPr>
              <w:ind w:firstLine="0"/>
              <w:jc w:val="left"/>
              <w:rPr>
                <w:rFonts w:eastAsia="Aptos"/>
                <w:sz w:val="24"/>
              </w:rPr>
            </w:pPr>
            <w:r w:rsidRPr="004E1AAD">
              <w:rPr>
                <w:rFonts w:eastAsia="Aptos"/>
                <w:noProof/>
                <w:sz w:val="24"/>
              </w:rPr>
              <mc:AlternateContent>
                <mc:Choice Requires="wps">
                  <w:drawing>
                    <wp:anchor distT="0" distB="0" distL="114300" distR="114300" simplePos="0" relativeHeight="251714560" behindDoc="0" locked="0" layoutInCell="1" allowOverlap="1" wp14:anchorId="208877A4" wp14:editId="38EF8758">
                      <wp:simplePos x="0" y="0"/>
                      <wp:positionH relativeFrom="column">
                        <wp:posOffset>99060</wp:posOffset>
                      </wp:positionH>
                      <wp:positionV relativeFrom="paragraph">
                        <wp:posOffset>3756660</wp:posOffset>
                      </wp:positionV>
                      <wp:extent cx="2590800" cy="361950"/>
                      <wp:effectExtent l="0" t="0" r="0" b="0"/>
                      <wp:wrapNone/>
                      <wp:docPr id="730499746" name="Text Box 2"/>
                      <wp:cNvGraphicFramePr/>
                      <a:graphic xmlns:a="http://schemas.openxmlformats.org/drawingml/2006/main">
                        <a:graphicData uri="http://schemas.microsoft.com/office/word/2010/wordprocessingShape">
                          <wps:wsp>
                            <wps:cNvSpPr txBox="1"/>
                            <wps:spPr>
                              <a:xfrm>
                                <a:off x="0" y="0"/>
                                <a:ext cx="2590800" cy="361950"/>
                              </a:xfrm>
                              <a:prstGeom prst="rect">
                                <a:avLst/>
                              </a:prstGeom>
                              <a:solidFill>
                                <a:sysClr val="window" lastClr="FFFFFF"/>
                              </a:solidFill>
                              <a:ln w="6350">
                                <a:noFill/>
                              </a:ln>
                            </wps:spPr>
                            <wps:txbx>
                              <w:txbxContent>
                                <w:p w14:paraId="3311EAA0" w14:textId="77777777" w:rsidR="00594BC3" w:rsidRPr="007D593C" w:rsidRDefault="00594BC3" w:rsidP="004E1AAD">
                                  <w:pPr>
                                    <w:ind w:firstLine="0"/>
                                    <w:rPr>
                                      <w:rFonts w:cs="Times New Roman"/>
                                      <w:sz w:val="18"/>
                                      <w:szCs w:val="18"/>
                                    </w:rPr>
                                  </w:pPr>
                                  <w:r w:rsidRPr="00263074">
                                    <w:rPr>
                                      <w:rFonts w:ascii="Calibri" w:hAnsi="Calibri" w:cs="Calibri"/>
                                      <w:sz w:val="16"/>
                                      <w:szCs w:val="16"/>
                                    </w:rPr>
                                    <w:t>*</w:t>
                                  </w:r>
                                  <w:r w:rsidRPr="007D593C">
                                    <w:rPr>
                                      <w:rFonts w:cs="Times New Roman"/>
                                      <w:sz w:val="18"/>
                                      <w:szCs w:val="18"/>
                                    </w:rPr>
                                    <w:t>Enerģijas grupā ietilpst elektroenerģija, gāze, siltumenerģija, cietais kurināmais</w:t>
                                  </w:r>
                                </w:p>
                                <w:p w14:paraId="5162C76D" w14:textId="77777777" w:rsidR="00594BC3" w:rsidRDefault="00594BC3" w:rsidP="00594B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208877A4" id="Text Box 2" o:spid="_x0000_s1033" type="#_x0000_t202" style="position:absolute;margin-left:7.8pt;margin-top:295.8pt;width:204pt;height:28.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kIOwIAAGwEAAAOAAAAZHJzL2Uyb0RvYy54bWysVE1v2zAMvQ/YfxB0X+2kTdYGdYosRYYB&#10;QVsgHXpWZLk2IIuapMTOfv2e5KTtup2G+SCTIs2P90hf3/StZnvlfEOm4KOznDNlJJWNeS7498fV&#10;p0vOfBCmFJqMKvhBeX4z//jhurMzNaaadKkcQxDjZ50teB2CnWWZl7VqhT8jqwyMFblWBKjuOSud&#10;6BC91dk4z6dZR660jqTyHre3g5HPU/yqUjLcV5VXgemCo7aQTpfObTyz+bWYPTth60YeyxD/UEUr&#10;GoOkL6FuRRBs55o/QrWNdOSpCmeS2oyqqpEq9YBuRvm7bja1sCr1AnC8fYHJ/7+w8m6/sQ+Ohf4L&#10;9SAwAtJZP/O4jP30lWvjG5Uy2AHh4QU21QcmcTmeXOWXOUwStvPp6GqScM1ev7bOh6+KWhaFgjvQ&#10;ktAS+7UPyAjXk0tM5kk35arROikHv9SO7QUYBPEldZxp4QMuC75KTywaIX77TBvWFXx6jlpiFEMx&#10;3uCnDdxfm4xS6Lc9a0qUfwJgS+UBuDgaRsZbuWpQ/BqZH4TDjKBfzH24x1FpQi46SpzV5H7+7T76&#10;gzpYOeswcwX3P3bCKTT0zYDUq9HFRRzSpFxMPo+huLeW7VuL2bVLAigjbJiVSYz+QZ/EylH7hPVY&#10;xKwwCSORu+DhJC7DsAlYL6kWi+SEsbQirM3Gyhg6YhepeeyfhLNH/gKYv6PTdIrZOxoH3wH1xS5Q&#10;1SSOI84Dqkf4MdKJt+P6xZ15qyev15/E/BcAAAD//wMAUEsDBBQABgAIAAAAIQChUzba4QAAAAoB&#10;AAAPAAAAZHJzL2Rvd25yZXYueG1sTI9BS8NAEIXvgv9hGcGb3bS2ocZsioiiBUPbKHjdZsckmp0N&#10;2W0T++sdT3p7j/l48166Gm0rjtj7xpGC6SQCgVQ601Cl4O318WoJwgdNRreOUME3elhl52epTowb&#10;aIfHIlSCQ8gnWkEdQpdI6csarfYT1yHx7cP1Vge2fSVNrwcOt62cRVEsrW6IP9S6w/say6/iYBW8&#10;D8VTv1mvP7fdc37anIr8BR9ypS4vxrtbEAHH8AfDb32uDhl32rsDGS9a9ouYSQWLmykLBuazaxZ7&#10;BfF8GYPMUvl/QvYDAAD//wMAUEsBAi0AFAAGAAgAAAAhALaDOJL+AAAA4QEAABMAAAAAAAAAAAAA&#10;AAAAAAAAAFtDb250ZW50X1R5cGVzXS54bWxQSwECLQAUAAYACAAAACEAOP0h/9YAAACUAQAACwAA&#10;AAAAAAAAAAAAAAAvAQAAX3JlbHMvLnJlbHNQSwECLQAUAAYACAAAACEAkGIJCDsCAABsBAAADgAA&#10;AAAAAAAAAAAAAAAuAgAAZHJzL2Uyb0RvYy54bWxQSwECLQAUAAYACAAAACEAoVM22uEAAAAKAQAA&#10;DwAAAAAAAAAAAAAAAACVBAAAZHJzL2Rvd25yZXYueG1sUEsFBgAAAAAEAAQA8wAAAKMFAAAAAA==&#10;" fillcolor="window" stroked="f" strokeweight=".5pt">
                      <v:textbox>
                        <w:txbxContent>
                          <w:p w14:paraId="3311EAA0" w14:textId="77777777" w:rsidR="00594BC3" w:rsidRPr="007D593C" w:rsidRDefault="00594BC3" w:rsidP="004E1AAD">
                            <w:pPr>
                              <w:ind w:firstLine="0"/>
                              <w:rPr>
                                <w:rFonts w:cs="Times New Roman"/>
                                <w:sz w:val="18"/>
                                <w:szCs w:val="18"/>
                              </w:rPr>
                            </w:pPr>
                            <w:r w:rsidRPr="00263074">
                              <w:rPr>
                                <w:rFonts w:ascii="Calibri" w:hAnsi="Calibri" w:cs="Calibri"/>
                                <w:sz w:val="16"/>
                                <w:szCs w:val="16"/>
                              </w:rPr>
                              <w:t>*</w:t>
                            </w:r>
                            <w:r w:rsidRPr="007D593C">
                              <w:rPr>
                                <w:rFonts w:cs="Times New Roman"/>
                                <w:sz w:val="18"/>
                                <w:szCs w:val="18"/>
                              </w:rPr>
                              <w:t>Enerģijas grupā ietilpst elektroenerģija, gāze, siltumenerģija, cietais kurināmais</w:t>
                            </w:r>
                          </w:p>
                          <w:p w14:paraId="5162C76D" w14:textId="77777777" w:rsidR="00594BC3" w:rsidRDefault="00594BC3" w:rsidP="00594BC3"/>
                        </w:txbxContent>
                      </v:textbox>
                    </v:shape>
                  </w:pict>
                </mc:Fallback>
              </mc:AlternateContent>
            </w:r>
            <w:r w:rsidRPr="004E1AAD">
              <w:rPr>
                <w:rFonts w:eastAsia="Aptos"/>
                <w:noProof/>
                <w:sz w:val="24"/>
              </w:rPr>
              <w:drawing>
                <wp:inline distT="0" distB="0" distL="0" distR="0" wp14:anchorId="19206B57" wp14:editId="590C716F">
                  <wp:extent cx="2819400" cy="3863340"/>
                  <wp:effectExtent l="0" t="0" r="0" b="3810"/>
                  <wp:docPr id="1937824853" name="Chart 1">
                    <a:extLst xmlns:a="http://schemas.openxmlformats.org/drawingml/2006/main">
                      <a:ext uri="{FF2B5EF4-FFF2-40B4-BE49-F238E27FC236}">
                        <a16:creationId xmlns:a16="http://schemas.microsoft.com/office/drawing/2014/main" id="{FFA86425-C97F-48BA-8572-9367CDE6AC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405" w:type="dxa"/>
          </w:tcPr>
          <w:p w14:paraId="2CD13DC3" w14:textId="77777777" w:rsidR="00594BC3" w:rsidRPr="004E1AAD" w:rsidRDefault="00594BC3" w:rsidP="000E7B7F">
            <w:pPr>
              <w:ind w:firstLine="0"/>
              <w:jc w:val="left"/>
              <w:rPr>
                <w:rFonts w:eastAsia="Aptos"/>
                <w:sz w:val="24"/>
              </w:rPr>
            </w:pPr>
            <w:r w:rsidRPr="004E1AAD">
              <w:rPr>
                <w:rFonts w:eastAsia="Aptos"/>
                <w:noProof/>
                <w:sz w:val="24"/>
              </w:rPr>
              <w:drawing>
                <wp:inline distT="0" distB="0" distL="0" distR="0" wp14:anchorId="4599CFE7" wp14:editId="12C1D13F">
                  <wp:extent cx="2854960" cy="3489960"/>
                  <wp:effectExtent l="0" t="0" r="2540" b="0"/>
                  <wp:docPr id="1651489783" name="Chart 1">
                    <a:extLst xmlns:a="http://schemas.openxmlformats.org/drawingml/2006/main">
                      <a:ext uri="{FF2B5EF4-FFF2-40B4-BE49-F238E27FC236}">
                        <a16:creationId xmlns:a16="http://schemas.microsoft.com/office/drawing/2014/main" id="{0897786B-C29D-430C-9FA1-D68EB2723E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594BC3" w:rsidRPr="00803C11" w14:paraId="10CFDC74" w14:textId="77777777" w:rsidTr="000E7B7F">
        <w:trPr>
          <w:trHeight w:val="850"/>
        </w:trPr>
        <w:tc>
          <w:tcPr>
            <w:tcW w:w="4656" w:type="dxa"/>
          </w:tcPr>
          <w:p w14:paraId="6403242D" w14:textId="410662F7" w:rsidR="00594BC3" w:rsidRPr="00803C11" w:rsidRDefault="00594BC3" w:rsidP="00126B8A">
            <w:pPr>
              <w:ind w:firstLine="0"/>
              <w:jc w:val="center"/>
              <w:rPr>
                <w:rFonts w:eastAsia="Aptos"/>
                <w:i/>
                <w:iCs/>
                <w:sz w:val="24"/>
              </w:rPr>
            </w:pPr>
            <w:r w:rsidRPr="00803C11">
              <w:rPr>
                <w:rFonts w:eastAsia="Calibri"/>
                <w:b/>
                <w:i/>
                <w:iCs/>
                <w:noProof/>
                <w:sz w:val="24"/>
              </w:rPr>
              <w:t xml:space="preserve">2.5. att. Devums gada inflācijā pēc izcelsmes avota (procentpunkti) un </w:t>
            </w:r>
            <w:r w:rsidRPr="00803C11">
              <w:rPr>
                <w:rFonts w:eastAsia="Aptos"/>
                <w:b/>
                <w:bCs/>
                <w:i/>
                <w:iCs/>
                <w:sz w:val="24"/>
              </w:rPr>
              <w:t>vidējās patēriņa cenu pārmaiņas (</w:t>
            </w:r>
            <w:r w:rsidRPr="00803C11">
              <w:rPr>
                <w:rFonts w:eastAsia="Calibri"/>
                <w:b/>
                <w:i/>
                <w:iCs/>
                <w:noProof/>
                <w:sz w:val="24"/>
              </w:rPr>
              <w:t>PCI, %)</w:t>
            </w:r>
            <w:r w:rsidR="00126B8A">
              <w:rPr>
                <w:rFonts w:eastAsia="Calibri"/>
                <w:b/>
                <w:i/>
                <w:iCs/>
                <w:noProof/>
                <w:sz w:val="24"/>
              </w:rPr>
              <w:t xml:space="preserve"> (Datu avots: CSP, FM)</w:t>
            </w:r>
          </w:p>
        </w:tc>
        <w:tc>
          <w:tcPr>
            <w:tcW w:w="4405" w:type="dxa"/>
          </w:tcPr>
          <w:p w14:paraId="678FC044" w14:textId="630351BB" w:rsidR="00594BC3" w:rsidRPr="00803C11" w:rsidRDefault="00594BC3" w:rsidP="00126B8A">
            <w:pPr>
              <w:ind w:firstLine="0"/>
              <w:jc w:val="center"/>
              <w:rPr>
                <w:rFonts w:eastAsia="Aptos"/>
                <w:i/>
                <w:iCs/>
                <w:sz w:val="24"/>
              </w:rPr>
            </w:pPr>
            <w:r w:rsidRPr="00803C11">
              <w:rPr>
                <w:rFonts w:eastAsia="Calibri"/>
                <w:b/>
                <w:i/>
                <w:iCs/>
                <w:noProof/>
                <w:sz w:val="24"/>
              </w:rPr>
              <w:t xml:space="preserve">2.6. att. Devums gada inflācijā pēc izcelsmes avota (procentpunkti) un </w:t>
            </w:r>
            <w:r w:rsidRPr="00803C11">
              <w:rPr>
                <w:rFonts w:eastAsia="Aptos"/>
                <w:b/>
                <w:bCs/>
                <w:i/>
                <w:iCs/>
                <w:sz w:val="24"/>
              </w:rPr>
              <w:t>vidējās patēriņa cenu pārmaiņas (</w:t>
            </w:r>
            <w:r w:rsidRPr="00803C11">
              <w:rPr>
                <w:rFonts w:eastAsia="Calibri"/>
                <w:b/>
                <w:i/>
                <w:iCs/>
                <w:noProof/>
                <w:sz w:val="24"/>
              </w:rPr>
              <w:t>PCI, %)</w:t>
            </w:r>
            <w:r w:rsidR="00126B8A">
              <w:rPr>
                <w:rFonts w:eastAsia="Calibri"/>
                <w:b/>
                <w:i/>
                <w:iCs/>
                <w:noProof/>
                <w:sz w:val="24"/>
              </w:rPr>
              <w:t xml:space="preserve"> </w:t>
            </w:r>
            <w:r w:rsidR="00126B8A" w:rsidRPr="00126B8A">
              <w:rPr>
                <w:rFonts w:eastAsia="Calibri"/>
                <w:b/>
                <w:i/>
                <w:iCs/>
                <w:noProof/>
                <w:sz w:val="24"/>
              </w:rPr>
              <w:t>(Datu avots: CSP, FM)</w:t>
            </w:r>
          </w:p>
        </w:tc>
      </w:tr>
    </w:tbl>
    <w:p w14:paraId="11490943" w14:textId="77777777" w:rsidR="00594BC3" w:rsidRPr="00803C11" w:rsidRDefault="00594BC3" w:rsidP="00594BC3">
      <w:pPr>
        <w:ind w:firstLine="0"/>
        <w:jc w:val="left"/>
        <w:rPr>
          <w:rFonts w:eastAsia="Aptos" w:cs="Times New Roman"/>
          <w:kern w:val="2"/>
          <w:sz w:val="24"/>
          <w:szCs w:val="24"/>
          <w14:ligatures w14:val="standardContextual"/>
        </w:rPr>
      </w:pPr>
    </w:p>
    <w:p w14:paraId="39F50EE1" w14:textId="679EDD26" w:rsidR="00594BC3" w:rsidRPr="00803C11" w:rsidRDefault="00594BC3" w:rsidP="00594BC3">
      <w:pPr>
        <w:ind w:firstLine="709"/>
        <w:rPr>
          <w:rFonts w:eastAsia="Aptos" w:cs="Times New Roman"/>
          <w:kern w:val="2"/>
          <w:sz w:val="24"/>
          <w:szCs w:val="24"/>
          <w14:ligatures w14:val="standardContextual"/>
        </w:rPr>
      </w:pPr>
      <w:r w:rsidRPr="00803C11">
        <w:rPr>
          <w:rFonts w:eastAsia="Aptos" w:cs="Times New Roman"/>
          <w:kern w:val="2"/>
          <w:sz w:val="24"/>
          <w:szCs w:val="24"/>
          <w14:ligatures w14:val="standardContextual"/>
        </w:rPr>
        <w:t>Pateicoties energoresursu cenu kritumam gada otrajā pusē, 2023.</w:t>
      </w:r>
      <w:r w:rsidR="00803C11" w:rsidRPr="00803C11">
        <w:rPr>
          <w:rFonts w:eastAsia="Aptos" w:cs="Times New Roman"/>
          <w:kern w:val="2"/>
          <w:sz w:val="24"/>
          <w:szCs w:val="24"/>
          <w14:ligatures w14:val="standardContextual"/>
        </w:rPr>
        <w:t xml:space="preserve"> </w:t>
      </w:r>
      <w:r w:rsidRPr="00803C11">
        <w:rPr>
          <w:rFonts w:eastAsia="Aptos" w:cs="Times New Roman"/>
          <w:kern w:val="2"/>
          <w:sz w:val="24"/>
          <w:szCs w:val="24"/>
          <w14:ligatures w14:val="standardContextual"/>
        </w:rPr>
        <w:t>gadā būtiski mazinājusies importētā inflācija</w:t>
      </w:r>
      <w:r w:rsidRPr="00803C11">
        <w:rPr>
          <w:rFonts w:eastAsia="Aptos" w:cs="Times New Roman"/>
          <w:color w:val="000000"/>
          <w:kern w:val="2"/>
          <w:sz w:val="24"/>
          <w:szCs w:val="24"/>
          <w14:ligatures w14:val="standardContextual"/>
        </w:rPr>
        <w:t xml:space="preserve">, kas raksturo energoresursu un pārtikas cenu pārmaiņu ietekmi. Savukārt pamatinflācija, kas raksturo vietējo faktoru ietekmi uz cenu dinamiku, pērnajā gadā bija noturīga un tikai nedaudz pazeminājusies. Atbilstoši </w:t>
      </w:r>
      <w:r w:rsidR="00803C11" w:rsidRPr="00803C11">
        <w:rPr>
          <w:rFonts w:eastAsia="Aptos" w:cs="Times New Roman"/>
          <w:color w:val="000000"/>
          <w:kern w:val="2"/>
          <w:sz w:val="24"/>
          <w:szCs w:val="24"/>
          <w14:ligatures w14:val="standardContextual"/>
        </w:rPr>
        <w:t>FM</w:t>
      </w:r>
      <w:r w:rsidRPr="00803C11">
        <w:rPr>
          <w:rFonts w:eastAsia="Aptos" w:cs="Times New Roman"/>
          <w:color w:val="000000"/>
          <w:kern w:val="2"/>
          <w:sz w:val="24"/>
          <w:szCs w:val="24"/>
          <w14:ligatures w14:val="standardContextual"/>
        </w:rPr>
        <w:t xml:space="preserve"> novērtējumam, pamatinflācijas pieaugums 2023.</w:t>
      </w:r>
      <w:r w:rsidR="00803C11" w:rsidRPr="00803C11">
        <w:rPr>
          <w:rFonts w:eastAsia="Aptos" w:cs="Times New Roman"/>
          <w:color w:val="000000"/>
          <w:kern w:val="2"/>
          <w:sz w:val="24"/>
          <w:szCs w:val="24"/>
          <w14:ligatures w14:val="standardContextual"/>
        </w:rPr>
        <w:t xml:space="preserve"> </w:t>
      </w:r>
      <w:r w:rsidRPr="00803C11">
        <w:rPr>
          <w:rFonts w:eastAsia="Aptos" w:cs="Times New Roman"/>
          <w:color w:val="000000"/>
          <w:kern w:val="2"/>
          <w:sz w:val="24"/>
          <w:szCs w:val="24"/>
          <w14:ligatures w14:val="standardContextual"/>
        </w:rPr>
        <w:t>gadā veidoja 9,4% pretstatā 11,0% 2022.</w:t>
      </w:r>
      <w:r w:rsidR="00803C11" w:rsidRPr="00803C11">
        <w:rPr>
          <w:rFonts w:eastAsia="Aptos" w:cs="Times New Roman"/>
          <w:color w:val="000000"/>
          <w:kern w:val="2"/>
          <w:sz w:val="24"/>
          <w:szCs w:val="24"/>
          <w14:ligatures w14:val="standardContextual"/>
        </w:rPr>
        <w:t xml:space="preserve"> </w:t>
      </w:r>
      <w:r w:rsidRPr="00803C11">
        <w:rPr>
          <w:rFonts w:eastAsia="Aptos" w:cs="Times New Roman"/>
          <w:color w:val="000000"/>
          <w:kern w:val="2"/>
          <w:sz w:val="24"/>
          <w:szCs w:val="24"/>
          <w14:ligatures w14:val="standardContextual"/>
        </w:rPr>
        <w:t xml:space="preserve">gadā. Augsto pamatinflāciju nosaka otrreizējie efekti strauja energoresursu un pārtikas cenu pieauguma dēļ, kā arī saspringtā situācija darba tirgū un spiediens, ko rada darbaspēka izmaksu pieaugums. Pamatinflācijas dinamika un tās devums kopējā inflācijā ir </w:t>
      </w:r>
      <w:r w:rsidRPr="00803C11">
        <w:rPr>
          <w:rFonts w:eastAsia="Aptos" w:cs="Times New Roman"/>
          <w:kern w:val="2"/>
          <w:sz w:val="24"/>
          <w:szCs w:val="24"/>
          <w14:ligatures w14:val="standardContextual"/>
        </w:rPr>
        <w:t xml:space="preserve">atspoguļots 2.6. attēlā. </w:t>
      </w:r>
    </w:p>
    <w:p w14:paraId="0948A8C8" w14:textId="0C108D62" w:rsidR="00594BC3" w:rsidRPr="00803C11" w:rsidRDefault="00594BC3" w:rsidP="00594BC3">
      <w:pPr>
        <w:ind w:firstLine="709"/>
        <w:rPr>
          <w:rFonts w:eastAsia="Aptos" w:cs="Times New Roman"/>
          <w:kern w:val="2"/>
          <w:sz w:val="24"/>
          <w:szCs w:val="24"/>
          <w14:ligatures w14:val="standardContextual"/>
        </w:rPr>
      </w:pPr>
      <w:r w:rsidRPr="00803C11">
        <w:rPr>
          <w:rFonts w:eastAsia="Aptos" w:cs="Times New Roman"/>
          <w:kern w:val="2"/>
          <w:sz w:val="24"/>
          <w:szCs w:val="24"/>
          <w14:ligatures w14:val="standardContextual"/>
        </w:rPr>
        <w:t xml:space="preserve">Lai arī pērnajā gadā inflācija bija būtiski mazāka nekā 2022. gadā, tomēr to joprojām var uzskatīt par ļoti augstu un tādu, kas bremzē tautsaimniecības attīstību. Dati par </w:t>
      </w:r>
      <w:r w:rsidR="00803C11" w:rsidRPr="00803C11">
        <w:rPr>
          <w:rFonts w:eastAsia="Aptos" w:cs="Times New Roman"/>
          <w:kern w:val="2"/>
          <w:sz w:val="24"/>
          <w:szCs w:val="24"/>
          <w14:ligatures w14:val="standardContextual"/>
        </w:rPr>
        <w:t xml:space="preserve">IKP </w:t>
      </w:r>
      <w:r w:rsidRPr="00803C11">
        <w:rPr>
          <w:rFonts w:eastAsia="Aptos" w:cs="Times New Roman"/>
          <w:kern w:val="2"/>
          <w:sz w:val="24"/>
          <w:szCs w:val="24"/>
          <w14:ligatures w14:val="standardContextual"/>
        </w:rPr>
        <w:t>liecina, ka ekonomikas apjoms 2023.</w:t>
      </w:r>
      <w:r w:rsidR="00803C11" w:rsidRPr="00803C11">
        <w:rPr>
          <w:rFonts w:eastAsia="Aptos" w:cs="Times New Roman"/>
          <w:kern w:val="2"/>
          <w:sz w:val="24"/>
          <w:szCs w:val="24"/>
          <w14:ligatures w14:val="standardContextual"/>
        </w:rPr>
        <w:t xml:space="preserve"> </w:t>
      </w:r>
      <w:r w:rsidRPr="00803C11">
        <w:rPr>
          <w:rFonts w:eastAsia="Aptos" w:cs="Times New Roman"/>
          <w:kern w:val="2"/>
          <w:sz w:val="24"/>
          <w:szCs w:val="24"/>
          <w14:ligatures w14:val="standardContextual"/>
        </w:rPr>
        <w:t xml:space="preserve">gadā samazinājies par 0,3%, kas lielā mērā ir saistīts ar augstās inflācijas radītajām sekām, negatīvi ietekmējot mājsaimniecības pirktspēju un uzņēmēju </w:t>
      </w:r>
      <w:proofErr w:type="spellStart"/>
      <w:r w:rsidRPr="00803C11">
        <w:rPr>
          <w:rFonts w:eastAsia="Aptos" w:cs="Times New Roman"/>
          <w:kern w:val="2"/>
          <w:sz w:val="24"/>
          <w:szCs w:val="24"/>
          <w14:ligatures w14:val="standardContextual"/>
        </w:rPr>
        <w:t>pelnītspēju</w:t>
      </w:r>
      <w:proofErr w:type="spellEnd"/>
      <w:r w:rsidRPr="00803C11">
        <w:rPr>
          <w:rFonts w:eastAsia="Aptos" w:cs="Times New Roman"/>
          <w:kern w:val="2"/>
          <w:sz w:val="24"/>
          <w:szCs w:val="24"/>
          <w14:ligatures w14:val="standardContextual"/>
        </w:rPr>
        <w:t xml:space="preserve"> gan Latvijā, gan arī Latvijas lielākajās tirdzniecības partnervalstīs. 2023.</w:t>
      </w:r>
      <w:r w:rsidR="00803C11" w:rsidRPr="00803C11">
        <w:rPr>
          <w:rFonts w:eastAsia="Aptos" w:cs="Times New Roman"/>
          <w:kern w:val="2"/>
          <w:sz w:val="24"/>
          <w:szCs w:val="24"/>
          <w14:ligatures w14:val="standardContextual"/>
        </w:rPr>
        <w:t xml:space="preserve"> </w:t>
      </w:r>
      <w:r w:rsidRPr="00803C11">
        <w:rPr>
          <w:rFonts w:eastAsia="Aptos" w:cs="Times New Roman"/>
          <w:kern w:val="2"/>
          <w:sz w:val="24"/>
          <w:szCs w:val="24"/>
          <w14:ligatures w14:val="standardContextual"/>
        </w:rPr>
        <w:t>gadā ir atjaunojies iedzīvotāju reālās algas pieaugums. Mēneša vidējās bruto darba samaksas pieaugums pērn bija 11,9%, kas par 3 procentpunktiem pārsniedza patēriņa cenu pieaugumu. Tomēr vērtējot datus par pēdējiem diviem gadiem kopumā, jāsecina, ka iedzīvotāju pirktspēja joprojām nav atjaunojusies, kas tikai apliecina, ka patēriņa cenu pieaugums 2022.</w:t>
      </w:r>
      <w:r w:rsidR="00803C11" w:rsidRPr="00803C11">
        <w:rPr>
          <w:rFonts w:eastAsia="Aptos" w:cs="Times New Roman"/>
          <w:kern w:val="2"/>
          <w:sz w:val="24"/>
          <w:szCs w:val="24"/>
          <w14:ligatures w14:val="standardContextual"/>
        </w:rPr>
        <w:t xml:space="preserve"> – </w:t>
      </w:r>
      <w:r w:rsidRPr="00803C11">
        <w:rPr>
          <w:rFonts w:eastAsia="Aptos" w:cs="Times New Roman"/>
          <w:kern w:val="2"/>
          <w:sz w:val="24"/>
          <w:szCs w:val="24"/>
          <w14:ligatures w14:val="standardContextual"/>
        </w:rPr>
        <w:t>2023.gadā bijis ļoti spēcīgs. Vienlaicīgi jāatzīmē, ka, inflācijai stabilizējoties salīdzinoši zemā līmenī, iedzīvotāju pirktspēja kļūst spēcīgāka. Vērtējot aktuālākos datus par pērnā gada ceturto ceturksni, situācija ir krietni uzlabojusies, jo vidējās darba samaksas pieaugums</w:t>
      </w:r>
      <w:r w:rsidR="00803C11" w:rsidRPr="00803C11">
        <w:rPr>
          <w:rFonts w:eastAsia="Aptos" w:cs="Times New Roman"/>
          <w:kern w:val="2"/>
          <w:sz w:val="24"/>
          <w:szCs w:val="24"/>
          <w14:ligatures w14:val="standardContextual"/>
        </w:rPr>
        <w:t xml:space="preserve"> – </w:t>
      </w:r>
      <w:r w:rsidRPr="00803C11">
        <w:rPr>
          <w:rFonts w:eastAsia="Aptos" w:cs="Times New Roman"/>
          <w:kern w:val="2"/>
          <w:sz w:val="24"/>
          <w:szCs w:val="24"/>
          <w14:ligatures w14:val="standardContextual"/>
        </w:rPr>
        <w:t>11,6% salīdzinājumā ar 2022.</w:t>
      </w:r>
      <w:r w:rsidR="00803C11" w:rsidRPr="00803C11">
        <w:rPr>
          <w:rFonts w:eastAsia="Aptos" w:cs="Times New Roman"/>
          <w:kern w:val="2"/>
          <w:sz w:val="24"/>
          <w:szCs w:val="24"/>
          <w14:ligatures w14:val="standardContextual"/>
        </w:rPr>
        <w:t xml:space="preserve"> </w:t>
      </w:r>
      <w:r w:rsidRPr="00803C11">
        <w:rPr>
          <w:rFonts w:eastAsia="Aptos" w:cs="Times New Roman"/>
          <w:kern w:val="2"/>
          <w:sz w:val="24"/>
          <w:szCs w:val="24"/>
          <w14:ligatures w14:val="standardContextual"/>
        </w:rPr>
        <w:t xml:space="preserve">gada ceturto ceturksni </w:t>
      </w:r>
      <w:r w:rsidR="00803C11" w:rsidRPr="00803C11">
        <w:rPr>
          <w:rFonts w:eastAsia="Aptos" w:cs="Times New Roman"/>
          <w:kern w:val="2"/>
          <w:sz w:val="24"/>
          <w:szCs w:val="24"/>
          <w14:ligatures w14:val="standardContextual"/>
        </w:rPr>
        <w:t>–</w:t>
      </w:r>
      <w:r w:rsidRPr="00803C11">
        <w:rPr>
          <w:rFonts w:eastAsia="Aptos" w:cs="Times New Roman"/>
          <w:kern w:val="2"/>
          <w:sz w:val="24"/>
          <w:szCs w:val="24"/>
          <w14:ligatures w14:val="standardContextual"/>
        </w:rPr>
        <w:t xml:space="preserve"> ir  bijis krietni straujāks par patēriņa cenu </w:t>
      </w:r>
      <w:r w:rsidRPr="00803C11">
        <w:rPr>
          <w:rFonts w:eastAsia="Aptos" w:cs="Times New Roman"/>
          <w:kern w:val="2"/>
          <w:sz w:val="24"/>
          <w:szCs w:val="24"/>
          <w14:ligatures w14:val="standardContextual"/>
        </w:rPr>
        <w:lastRenderedPageBreak/>
        <w:t>pieaugumu 1,2% apmērā attiecīgajā laika periodā. Sagaidāms, ka 2024.</w:t>
      </w:r>
      <w:r w:rsidR="00803C11" w:rsidRPr="00803C11">
        <w:rPr>
          <w:rFonts w:eastAsia="Aptos" w:cs="Times New Roman"/>
          <w:kern w:val="2"/>
          <w:sz w:val="24"/>
          <w:szCs w:val="24"/>
          <w14:ligatures w14:val="standardContextual"/>
        </w:rPr>
        <w:t xml:space="preserve"> </w:t>
      </w:r>
      <w:r w:rsidRPr="00803C11">
        <w:rPr>
          <w:rFonts w:eastAsia="Aptos" w:cs="Times New Roman"/>
          <w:kern w:val="2"/>
          <w:sz w:val="24"/>
          <w:szCs w:val="24"/>
          <w14:ligatures w14:val="standardContextual"/>
        </w:rPr>
        <w:t>gadā iedzīvotāju pirktspēja turpinās uzlaboties.</w:t>
      </w:r>
    </w:p>
    <w:p w14:paraId="437FA85E" w14:textId="5CF2D0B0" w:rsidR="00594BC3" w:rsidRPr="00803C11" w:rsidRDefault="00594BC3" w:rsidP="00594BC3">
      <w:pPr>
        <w:ind w:firstLine="709"/>
        <w:rPr>
          <w:rFonts w:eastAsia="Aptos" w:cs="Times New Roman"/>
          <w:color w:val="000000"/>
          <w:kern w:val="2"/>
          <w:sz w:val="24"/>
          <w:szCs w:val="24"/>
          <w14:ligatures w14:val="standardContextual"/>
        </w:rPr>
      </w:pPr>
      <w:r w:rsidRPr="00803C11">
        <w:rPr>
          <w:rFonts w:eastAsia="Aptos" w:cs="Times New Roman"/>
          <w:color w:val="000000"/>
          <w:kern w:val="2"/>
          <w:sz w:val="24"/>
          <w:szCs w:val="24"/>
          <w14:ligatures w14:val="standardContextual"/>
        </w:rPr>
        <w:t>2024.</w:t>
      </w:r>
      <w:r w:rsidR="00803C11" w:rsidRPr="00803C11">
        <w:rPr>
          <w:rFonts w:eastAsia="Aptos" w:cs="Times New Roman"/>
          <w:color w:val="000000"/>
          <w:kern w:val="2"/>
          <w:sz w:val="24"/>
          <w:szCs w:val="24"/>
          <w14:ligatures w14:val="standardContextual"/>
        </w:rPr>
        <w:t xml:space="preserve"> </w:t>
      </w:r>
      <w:r w:rsidRPr="00803C11">
        <w:rPr>
          <w:rFonts w:eastAsia="Aptos" w:cs="Times New Roman"/>
          <w:color w:val="000000"/>
          <w:kern w:val="2"/>
          <w:sz w:val="24"/>
          <w:szCs w:val="24"/>
          <w14:ligatures w14:val="standardContextual"/>
        </w:rPr>
        <w:t xml:space="preserve">gada sākumā inflācija Latvijā ir stabilizējusies zemā līmenī. </w:t>
      </w:r>
      <w:r w:rsidR="006D3117">
        <w:rPr>
          <w:rFonts w:eastAsia="Aptos" w:cs="Times New Roman"/>
          <w:color w:val="000000"/>
          <w:kern w:val="2"/>
          <w:sz w:val="24"/>
          <w:szCs w:val="24"/>
          <w14:ligatures w14:val="standardContextual"/>
        </w:rPr>
        <w:t>2024.</w:t>
      </w:r>
      <w:r w:rsidRPr="00803C11">
        <w:rPr>
          <w:rFonts w:eastAsia="Aptos" w:cs="Times New Roman"/>
          <w:color w:val="000000"/>
          <w:kern w:val="2"/>
          <w:sz w:val="24"/>
          <w:szCs w:val="24"/>
          <w14:ligatures w14:val="standardContextual"/>
        </w:rPr>
        <w:t xml:space="preserve"> gada janvārī un februārī patēriņa cenu pieaugums gada griezumā bija attiecīgi 0,9% un 0,4%. Tāpat kā iepriekšējos mēnešos, inflāciju aizvien turpina ietekmēt pārtikas cenas, kuru pieaugums joprojām pārsniedz vidējo inflāciju. Papildus tam, patēriņa cenas turpina būtiski ietekmēt arī veselības aprūpes pakalpojumu, atpūtas un kultūras, kā arī ēdināšanas pakalpojumu sadārdzināšanās, ko lielā mērā nosaka saspringtā situācija darba tirgū un darbaspēka izmaksu pieaugums. </w:t>
      </w:r>
    </w:p>
    <w:p w14:paraId="136B0255" w14:textId="692878CC" w:rsidR="00594BC3" w:rsidRPr="00C27B88" w:rsidRDefault="00594BC3" w:rsidP="00594BC3">
      <w:pPr>
        <w:ind w:firstLine="709"/>
        <w:rPr>
          <w:rFonts w:eastAsia="Aptos" w:cs="Times New Roman"/>
          <w:color w:val="000000"/>
          <w:kern w:val="2"/>
          <w:sz w:val="24"/>
          <w:szCs w:val="24"/>
          <w14:ligatures w14:val="standardContextual"/>
        </w:rPr>
      </w:pPr>
      <w:r w:rsidRPr="00803C11">
        <w:rPr>
          <w:rFonts w:eastAsia="Aptos" w:cs="Times New Roman"/>
          <w:kern w:val="2"/>
          <w:sz w:val="24"/>
          <w:szCs w:val="24"/>
          <w14:ligatures w14:val="standardContextual"/>
        </w:rPr>
        <w:t>Pateicoties būtiski zemākām gāzes cenām pasaules tirgos, siltumenerģijas un gāzes tarifi 2024.</w:t>
      </w:r>
      <w:r w:rsidR="00803C11" w:rsidRPr="00803C11">
        <w:rPr>
          <w:rFonts w:eastAsia="Aptos" w:cs="Times New Roman"/>
          <w:kern w:val="2"/>
          <w:sz w:val="24"/>
          <w:szCs w:val="24"/>
          <w14:ligatures w14:val="standardContextual"/>
        </w:rPr>
        <w:t xml:space="preserve"> </w:t>
      </w:r>
      <w:r w:rsidRPr="00803C11">
        <w:rPr>
          <w:rFonts w:eastAsia="Aptos" w:cs="Times New Roman"/>
          <w:kern w:val="2"/>
          <w:sz w:val="24"/>
          <w:szCs w:val="24"/>
          <w14:ligatures w14:val="standardContextual"/>
        </w:rPr>
        <w:t xml:space="preserve">gadā būs zemāki nekā pērn. Izvērtējot pašvaldību apstiprināto un iesniegto siltumenerģijas tarifu projektus, jāsecina, ka kopumā siltumenerģijas tarifi Latvijā šogad būs zemāki nekā pērn. Siltumenerģijas tarifi ir decentralizēti, līdz ar to situācija katrā pašvaldībā </w:t>
      </w:r>
      <w:r w:rsidRPr="00803C11">
        <w:rPr>
          <w:rFonts w:eastAsia="Aptos" w:cs="Times New Roman"/>
          <w:color w:val="000000"/>
          <w:kern w:val="2"/>
          <w:sz w:val="24"/>
          <w:szCs w:val="24"/>
          <w14:ligatures w14:val="standardContextual"/>
        </w:rPr>
        <w:t xml:space="preserve">var būt atšķirīga, ko noteiks gan </w:t>
      </w:r>
      <w:r w:rsidRPr="00C27B88">
        <w:rPr>
          <w:rFonts w:eastAsia="Aptos" w:cs="Times New Roman"/>
          <w:color w:val="000000"/>
          <w:kern w:val="2"/>
          <w:sz w:val="24"/>
          <w:szCs w:val="24"/>
          <w14:ligatures w14:val="standardContextual"/>
        </w:rPr>
        <w:t>siltumenerģijas ražošanai izmantotā izejviela, gan tarifa spēkā stāšanās brīdis.</w:t>
      </w:r>
    </w:p>
    <w:p w14:paraId="0B4524BD" w14:textId="5347B0D9" w:rsidR="00594BC3" w:rsidRPr="00C27B88" w:rsidRDefault="00594BC3" w:rsidP="00594BC3">
      <w:pPr>
        <w:ind w:firstLine="709"/>
        <w:rPr>
          <w:rFonts w:eastAsia="Aptos" w:cs="Times New Roman"/>
          <w:color w:val="000000"/>
          <w:kern w:val="2"/>
          <w:sz w:val="24"/>
          <w:szCs w:val="24"/>
          <w14:ligatures w14:val="standardContextual"/>
        </w:rPr>
      </w:pPr>
      <w:r w:rsidRPr="00C27B88">
        <w:rPr>
          <w:rFonts w:eastAsia="Aptos" w:cs="Times New Roman"/>
          <w:kern w:val="2"/>
          <w:sz w:val="24"/>
          <w:szCs w:val="24"/>
          <w14:ligatures w14:val="standardContextual"/>
        </w:rPr>
        <w:t>Atbilstoši aktualizētajām makroekonomikas prognozēm, 2024.</w:t>
      </w:r>
      <w:r w:rsidR="00803C11" w:rsidRPr="00C27B88">
        <w:rPr>
          <w:rFonts w:eastAsia="Aptos" w:cs="Times New Roman"/>
          <w:kern w:val="2"/>
          <w:sz w:val="24"/>
          <w:szCs w:val="24"/>
          <w14:ligatures w14:val="standardContextual"/>
        </w:rPr>
        <w:t xml:space="preserve"> </w:t>
      </w:r>
      <w:r w:rsidRPr="00C27B88">
        <w:rPr>
          <w:rFonts w:eastAsia="Aptos" w:cs="Times New Roman"/>
          <w:kern w:val="2"/>
          <w:sz w:val="24"/>
          <w:szCs w:val="24"/>
          <w14:ligatures w14:val="standardContextual"/>
        </w:rPr>
        <w:t>gadā vidējā inflācija Latvijā būs 1,6%. Šogad inflāciju paaugstinošie faktori galvenokārt būs saistīti ar iekšējiem ekonomikas procesiem, ko ietekmēs darba tirgus attīstība, it īpaši pakalpojumu nozarēs. Savukārt ārējiem faktoriem drīzāk būs pazeminoša ietekme, ko noteiks energoresursu cenu stabilizēšanās. Neliela inflāciju paaugstinoša ietekme 2024.</w:t>
      </w:r>
      <w:r w:rsidR="00803C11" w:rsidRPr="00C27B88">
        <w:rPr>
          <w:rFonts w:eastAsia="Aptos" w:cs="Times New Roman"/>
          <w:kern w:val="2"/>
          <w:sz w:val="24"/>
          <w:szCs w:val="24"/>
          <w14:ligatures w14:val="standardContextual"/>
        </w:rPr>
        <w:t xml:space="preserve"> </w:t>
      </w:r>
      <w:r w:rsidRPr="00C27B88">
        <w:rPr>
          <w:rFonts w:eastAsia="Aptos" w:cs="Times New Roman"/>
          <w:kern w:val="2"/>
          <w:sz w:val="24"/>
          <w:szCs w:val="24"/>
          <w14:ligatures w14:val="standardContextual"/>
        </w:rPr>
        <w:t xml:space="preserve">gadā būs nodokļu likmju pieaugumam. No </w:t>
      </w:r>
      <w:r w:rsidR="006D3117">
        <w:rPr>
          <w:rFonts w:eastAsia="Aptos" w:cs="Times New Roman"/>
          <w:kern w:val="2"/>
          <w:sz w:val="24"/>
          <w:szCs w:val="24"/>
          <w14:ligatures w14:val="standardContextual"/>
        </w:rPr>
        <w:t>2024.</w:t>
      </w:r>
      <w:r w:rsidRPr="00C27B88">
        <w:rPr>
          <w:rFonts w:eastAsia="Aptos" w:cs="Times New Roman"/>
          <w:kern w:val="2"/>
          <w:sz w:val="24"/>
          <w:szCs w:val="24"/>
          <w14:ligatures w14:val="standardContextual"/>
        </w:rPr>
        <w:t xml:space="preserve"> gada 1.</w:t>
      </w:r>
      <w:r w:rsidR="00803C11" w:rsidRPr="00C27B88">
        <w:rPr>
          <w:rFonts w:eastAsia="Aptos" w:cs="Times New Roman"/>
          <w:kern w:val="2"/>
          <w:sz w:val="24"/>
          <w:szCs w:val="24"/>
          <w14:ligatures w14:val="standardContextual"/>
        </w:rPr>
        <w:t xml:space="preserve"> </w:t>
      </w:r>
      <w:r w:rsidRPr="00C27B88">
        <w:rPr>
          <w:rFonts w:eastAsia="Aptos" w:cs="Times New Roman"/>
          <w:kern w:val="2"/>
          <w:sz w:val="24"/>
          <w:szCs w:val="24"/>
          <w14:ligatures w14:val="standardContextual"/>
        </w:rPr>
        <w:t>janvāra no 5% līdz 12% palielināts pievienotās vērtības nodoklis</w:t>
      </w:r>
      <w:r w:rsidR="00C27B88">
        <w:rPr>
          <w:rFonts w:eastAsia="Aptos" w:cs="Times New Roman"/>
          <w:kern w:val="2"/>
          <w:sz w:val="24"/>
          <w:szCs w:val="24"/>
          <w14:ligatures w14:val="standardContextual"/>
        </w:rPr>
        <w:t xml:space="preserve"> </w:t>
      </w:r>
      <w:r w:rsidR="00C27B88" w:rsidRPr="00C27B88">
        <w:rPr>
          <w:rFonts w:eastAsia="Aptos" w:cs="Times New Roman"/>
          <w:kern w:val="2"/>
          <w:sz w:val="24"/>
          <w:szCs w:val="24"/>
          <w14:ligatures w14:val="standardContextual"/>
        </w:rPr>
        <w:t>(PVN)</w:t>
      </w:r>
      <w:r w:rsidRPr="00C27B88">
        <w:rPr>
          <w:rFonts w:eastAsia="Aptos" w:cs="Times New Roman"/>
          <w:kern w:val="2"/>
          <w:sz w:val="24"/>
          <w:szCs w:val="24"/>
          <w14:ligatures w14:val="standardContextual"/>
        </w:rPr>
        <w:t xml:space="preserve"> Latvijai raksturīgiem svaigiem augļiem, dārzeņiem un ogām. Savukārt no 1. marta paaugstināts akcīzes nodoklis alkoholiskajiem dzērieniem, tabakas izstrādājumiem, tabakas aizstājējproduktiem un elektroniskajām smēķēšanas ierīcēm.</w:t>
      </w:r>
    </w:p>
    <w:p w14:paraId="769F206D" w14:textId="77777777" w:rsidR="00594BC3" w:rsidRPr="00C27B88" w:rsidRDefault="00594BC3" w:rsidP="00594BC3">
      <w:pPr>
        <w:pStyle w:val="H4"/>
        <w:spacing w:before="240"/>
        <w:ind w:left="0" w:firstLine="720"/>
        <w:jc w:val="both"/>
        <w:rPr>
          <w:rFonts w:ascii="Times New Roman" w:hAnsi="Times New Roman"/>
          <w:iCs/>
          <w:sz w:val="24"/>
          <w:szCs w:val="24"/>
        </w:rPr>
      </w:pPr>
      <w:r w:rsidRPr="00C27B88">
        <w:rPr>
          <w:rFonts w:ascii="Times New Roman" w:hAnsi="Times New Roman"/>
          <w:iCs/>
          <w:sz w:val="24"/>
          <w:szCs w:val="24"/>
        </w:rPr>
        <w:t>Darba tirgus</w:t>
      </w:r>
    </w:p>
    <w:p w14:paraId="51ABF786" w14:textId="6F8542C9" w:rsidR="00594BC3" w:rsidRPr="00C27B88" w:rsidRDefault="00594BC3" w:rsidP="00594BC3">
      <w:pPr>
        <w:autoSpaceDE w:val="0"/>
        <w:autoSpaceDN w:val="0"/>
        <w:adjustRightInd w:val="0"/>
        <w:rPr>
          <w:rFonts w:eastAsia="Times New Roman" w:cs="Times New Roman"/>
          <w:sz w:val="24"/>
          <w:szCs w:val="24"/>
          <w:lang w:eastAsia="lv-LV"/>
        </w:rPr>
      </w:pPr>
      <w:bookmarkStart w:id="15" w:name="_Toc5196196"/>
      <w:bookmarkStart w:id="16" w:name="_Toc38637020"/>
      <w:bookmarkStart w:id="17" w:name="_Toc68334995"/>
      <w:r w:rsidRPr="00C27B88">
        <w:rPr>
          <w:rFonts w:eastAsia="Times New Roman" w:cs="Times New Roman"/>
          <w:sz w:val="24"/>
          <w:szCs w:val="24"/>
          <w:lang w:eastAsia="lv-LV"/>
        </w:rPr>
        <w:t xml:space="preserve">Līdz ar stabilo ekonomikas izaugsmi laikā līdz 2019. gadam bezdarba līmenis Latvijā strauji samazinājās, atsevišķās nozarēs un profesijās jau robežojoties ar darbaspēka trūkumu. 2020. gadā šo dinamiku pārtrauca </w:t>
      </w:r>
      <w:r w:rsidR="00C27B88" w:rsidRPr="00C27B88">
        <w:rPr>
          <w:rFonts w:eastAsia="Times New Roman" w:cs="Times New Roman"/>
          <w:sz w:val="24"/>
          <w:szCs w:val="24"/>
          <w:lang w:eastAsia="lv-LV"/>
        </w:rPr>
        <w:t xml:space="preserve">Covid-19 </w:t>
      </w:r>
      <w:r w:rsidRPr="00C27B88">
        <w:rPr>
          <w:rFonts w:eastAsia="Times New Roman" w:cs="Times New Roman"/>
          <w:sz w:val="24"/>
          <w:szCs w:val="24"/>
          <w:lang w:eastAsia="lv-LV"/>
        </w:rPr>
        <w:t>izraisītā krīze, tomēr tās ietekme darba tirgū izrādījās ļoti ierobežota, tajā skaitā pateicoties valsts atbalsta pasākumiem. Nodarbinātības situāciju nemainīja arī Krievijas sāktais karš Ukrainā 2022. gada februārī, un bezdarba līmenis pastāvīgi un visai strauji turpināja samazināties.</w:t>
      </w:r>
    </w:p>
    <w:p w14:paraId="4D43A852" w14:textId="66601613" w:rsidR="00594BC3" w:rsidRPr="00C27B88" w:rsidRDefault="00594BC3" w:rsidP="00594BC3">
      <w:pPr>
        <w:autoSpaceDE w:val="0"/>
        <w:autoSpaceDN w:val="0"/>
        <w:adjustRightInd w:val="0"/>
        <w:rPr>
          <w:rFonts w:eastAsia="Times New Roman" w:cs="Times New Roman"/>
          <w:sz w:val="24"/>
          <w:szCs w:val="24"/>
          <w:lang w:eastAsia="lv-LV"/>
        </w:rPr>
      </w:pPr>
      <w:r w:rsidRPr="00C27B88">
        <w:rPr>
          <w:rFonts w:eastAsia="Times New Roman" w:cs="Times New Roman"/>
          <w:sz w:val="24"/>
          <w:szCs w:val="24"/>
          <w:lang w:eastAsia="lv-LV"/>
        </w:rPr>
        <w:t xml:space="preserve">Pēc īslaicīgā pieauguma līdz 8,1% 2020. gadā, bezdarba līmenis pēc darbaspēka </w:t>
      </w:r>
      <w:proofErr w:type="spellStart"/>
      <w:r w:rsidRPr="00C27B88">
        <w:rPr>
          <w:rFonts w:eastAsia="Times New Roman" w:cs="Times New Roman"/>
          <w:sz w:val="24"/>
          <w:szCs w:val="24"/>
          <w:lang w:eastAsia="lv-LV"/>
        </w:rPr>
        <w:t>apsekojuma</w:t>
      </w:r>
      <w:proofErr w:type="spellEnd"/>
      <w:r w:rsidRPr="00C27B88">
        <w:rPr>
          <w:rFonts w:eastAsia="Times New Roman" w:cs="Times New Roman"/>
          <w:sz w:val="24"/>
          <w:szCs w:val="24"/>
          <w:lang w:eastAsia="lv-LV"/>
        </w:rPr>
        <w:t xml:space="preserve"> jau 2021. gadā samazinājās līdz 7,6% un 2022. gadā noslīdēja līdz 6,9%.</w:t>
      </w:r>
      <w:r w:rsidRPr="00C27B88">
        <w:rPr>
          <w:rFonts w:eastAsia="Times New Roman" w:cs="Times New Roman"/>
          <w:color w:val="000000"/>
          <w:sz w:val="24"/>
          <w:szCs w:val="24"/>
          <w:lang w:eastAsia="lv-LV"/>
        </w:rPr>
        <w:t xml:space="preserve"> 2023.</w:t>
      </w:r>
      <w:r w:rsidR="00C27B88" w:rsidRPr="00C27B88">
        <w:rPr>
          <w:rFonts w:eastAsia="Times New Roman" w:cs="Times New Roman"/>
          <w:color w:val="000000"/>
          <w:sz w:val="24"/>
          <w:szCs w:val="24"/>
          <w:lang w:eastAsia="lv-LV"/>
        </w:rPr>
        <w:t xml:space="preserve"> </w:t>
      </w:r>
      <w:r w:rsidRPr="00C27B88">
        <w:rPr>
          <w:rFonts w:eastAsia="Times New Roman" w:cs="Times New Roman"/>
          <w:color w:val="000000"/>
          <w:sz w:val="24"/>
          <w:szCs w:val="24"/>
          <w:lang w:eastAsia="lv-LV"/>
        </w:rPr>
        <w:t>gadā, n</w:t>
      </w:r>
      <w:r w:rsidRPr="00C27B88">
        <w:rPr>
          <w:rFonts w:eastAsia="Times New Roman" w:cs="Times New Roman"/>
          <w:sz w:val="24"/>
          <w:szCs w:val="24"/>
          <w:lang w:eastAsia="lv-LV"/>
        </w:rPr>
        <w:t>eskatoties uz ekonomiskās izaugsmes bremzēšanos un atsevišķos ceturkšņos piedzīvoto kritumu, bezdarba līmenis turpināja pazemināties, salīdzinājumā ar iepriekšējo gadu noslīdot par 0,4 procentpunktiem līdz 6,5%.</w:t>
      </w:r>
    </w:p>
    <w:p w14:paraId="379D270F" w14:textId="0F3BB6E4" w:rsidR="00594BC3" w:rsidRPr="00C27B88" w:rsidRDefault="00594BC3" w:rsidP="00594BC3">
      <w:pPr>
        <w:autoSpaceDE w:val="0"/>
        <w:autoSpaceDN w:val="0"/>
        <w:adjustRightInd w:val="0"/>
        <w:rPr>
          <w:rFonts w:eastAsia="Times New Roman" w:cs="Times New Roman"/>
          <w:sz w:val="24"/>
          <w:szCs w:val="24"/>
          <w:lang w:eastAsia="lv-LV"/>
        </w:rPr>
      </w:pPr>
      <w:r w:rsidRPr="00C27B88">
        <w:rPr>
          <w:rFonts w:eastAsia="Times New Roman" w:cs="Times New Roman"/>
          <w:color w:val="000000"/>
          <w:sz w:val="24"/>
          <w:szCs w:val="24"/>
          <w:lang w:eastAsia="lv-LV"/>
        </w:rPr>
        <w:t xml:space="preserve">Bezdarba līmeņa mazināšanos līdzās ekonomikas attīstībai būtiski ietekmē arī demogrāfiskā situācija, kad jau kopš 2015. gada darba tirgū ienākošo jauniešu skaits ir mazāks nekā darba tirgu atstājošo </w:t>
      </w:r>
      <w:proofErr w:type="spellStart"/>
      <w:r w:rsidRPr="00C27B88">
        <w:rPr>
          <w:rFonts w:eastAsia="Times New Roman" w:cs="Times New Roman"/>
          <w:color w:val="000000"/>
          <w:sz w:val="24"/>
          <w:szCs w:val="24"/>
          <w:lang w:eastAsia="lv-LV"/>
        </w:rPr>
        <w:t>sešdesmitgadnieku</w:t>
      </w:r>
      <w:proofErr w:type="spellEnd"/>
      <w:r w:rsidRPr="00C27B88">
        <w:rPr>
          <w:rFonts w:eastAsia="Times New Roman" w:cs="Times New Roman"/>
          <w:color w:val="000000"/>
          <w:sz w:val="24"/>
          <w:szCs w:val="24"/>
          <w:lang w:eastAsia="lv-LV"/>
        </w:rPr>
        <w:t xml:space="preserve"> skaits un kopējais darbspējas vecuma iedzīvotāju skaits ir pastāvīgi samazinājies, ar izņēmumu 2022.</w:t>
      </w:r>
      <w:r w:rsidR="00C27B88" w:rsidRPr="00C27B88">
        <w:rPr>
          <w:rFonts w:eastAsia="Times New Roman" w:cs="Times New Roman"/>
          <w:color w:val="000000"/>
          <w:sz w:val="24"/>
          <w:szCs w:val="24"/>
          <w:lang w:eastAsia="lv-LV"/>
        </w:rPr>
        <w:t xml:space="preserve"> </w:t>
      </w:r>
      <w:r w:rsidRPr="00C27B88">
        <w:rPr>
          <w:rFonts w:eastAsia="Times New Roman" w:cs="Times New Roman"/>
          <w:color w:val="000000"/>
          <w:sz w:val="24"/>
          <w:szCs w:val="24"/>
          <w:lang w:eastAsia="lv-LV"/>
        </w:rPr>
        <w:t>gadā, kad Latvijā tika uzņemti Ukrainas kara bēgļi.</w:t>
      </w:r>
    </w:p>
    <w:p w14:paraId="22F0390D" w14:textId="2C2D5446" w:rsidR="00594BC3" w:rsidRPr="00C27B88" w:rsidRDefault="00594BC3" w:rsidP="00594BC3">
      <w:pPr>
        <w:autoSpaceDE w:val="0"/>
        <w:autoSpaceDN w:val="0"/>
        <w:adjustRightInd w:val="0"/>
        <w:rPr>
          <w:rFonts w:eastAsia="Times New Roman" w:cs="Times New Roman"/>
          <w:sz w:val="24"/>
          <w:szCs w:val="24"/>
          <w:lang w:eastAsia="lv-LV"/>
        </w:rPr>
      </w:pPr>
      <w:r w:rsidRPr="00C27B88">
        <w:rPr>
          <w:rFonts w:eastAsia="Times New Roman" w:cs="Times New Roman"/>
          <w:sz w:val="24"/>
          <w:szCs w:val="24"/>
          <w:lang w:eastAsia="lv-LV"/>
        </w:rPr>
        <w:t>2023.</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gada pēdējos mēnešos ekonomikas krituma negatīvā ietekme darba tirgū tomēr ir sākusi atspoguļoties, lai arī ar ļoti lielu laika nobīdi un tikai ļoti mēreni. 2023.</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gada ceturtajā ceturksnī bezdarbs ir palielinājies līdz 6,8% no ekonomiski aktīvajiem iedzīvotājiem, salīdzinot ar 6,5% trešajā ceturksnī. Daļēji šāds pieaugums ir saistīts ar sezonālo bezdarba kāpumu ziemas mēnešos, tomēr ceturtajā ceturksnī bezdarbs ir bijis arī nedaudz</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par 0,1 procentpunktu</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augstāks nekā attiecīgajā laika posmā pirms gada. Augšupejošu tendenci parāda arī nedaudz operatīvākie mēnešu dati, kad 2024.</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gada janvārī bezdarba līmenis bija sasniedzis 7,1% un jau bija par 0,7 procentpunktiem augstāks nekā attiecīgajā mēnesī pirms gada.</w:t>
      </w:r>
    </w:p>
    <w:p w14:paraId="74C96FF3" w14:textId="5980CF1E" w:rsidR="00594BC3" w:rsidRPr="00C27B88" w:rsidRDefault="00594BC3" w:rsidP="00594BC3">
      <w:pPr>
        <w:autoSpaceDE w:val="0"/>
        <w:autoSpaceDN w:val="0"/>
        <w:adjustRightInd w:val="0"/>
        <w:rPr>
          <w:rFonts w:eastAsia="Times New Roman" w:cs="Times New Roman"/>
          <w:sz w:val="24"/>
          <w:szCs w:val="24"/>
          <w:lang w:eastAsia="lv-LV"/>
        </w:rPr>
      </w:pPr>
      <w:r w:rsidRPr="00C27B88">
        <w:rPr>
          <w:rFonts w:eastAsia="Times New Roman" w:cs="Times New Roman"/>
          <w:sz w:val="24"/>
          <w:szCs w:val="24"/>
          <w:lang w:eastAsia="lv-LV"/>
        </w:rPr>
        <w:lastRenderedPageBreak/>
        <w:t>Nelielu bezdarba pieaugumu 2023.</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gada beigās un 2024.</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gada sākumā uzrāda arī reģistrētā bezdarba dati, kad Nodarbinātības valsts aģentūrā reģistrēto bezdarbnieku skaits no 47 tūkst</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minimuma pagājušā gada oktobrī ir palielinājies līdz 52 tūkst</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 xml:space="preserve">marta sākumā. Tomēr šis pieaugums ziemas mēnešos gan atbilst regulārajām sezonālajām svārstībām un, atšķirībā no </w:t>
      </w:r>
      <w:proofErr w:type="spellStart"/>
      <w:r w:rsidRPr="00C27B88">
        <w:rPr>
          <w:rFonts w:eastAsia="Times New Roman" w:cs="Times New Roman"/>
          <w:sz w:val="24"/>
          <w:szCs w:val="24"/>
          <w:lang w:eastAsia="lv-LV"/>
        </w:rPr>
        <w:t>apsekojuma</w:t>
      </w:r>
      <w:proofErr w:type="spellEnd"/>
      <w:r w:rsidRPr="00C27B88">
        <w:rPr>
          <w:rFonts w:eastAsia="Times New Roman" w:cs="Times New Roman"/>
          <w:sz w:val="24"/>
          <w:szCs w:val="24"/>
          <w:lang w:eastAsia="lv-LV"/>
        </w:rPr>
        <w:t xml:space="preserve"> datiem, joprojām uzrāda bezdarba kritumu pret iepriekšējā gada attiecīgo periodu. Marta tālāko nedēļu dati jau atkal </w:t>
      </w:r>
      <w:r w:rsidR="006D3117">
        <w:rPr>
          <w:rFonts w:eastAsia="Times New Roman" w:cs="Times New Roman"/>
          <w:sz w:val="24"/>
          <w:szCs w:val="24"/>
          <w:lang w:eastAsia="lv-LV"/>
        </w:rPr>
        <w:t>uz</w:t>
      </w:r>
      <w:r w:rsidRPr="00C27B88">
        <w:rPr>
          <w:rFonts w:eastAsia="Times New Roman" w:cs="Times New Roman"/>
          <w:sz w:val="24"/>
          <w:szCs w:val="24"/>
          <w:lang w:eastAsia="lv-LV"/>
        </w:rPr>
        <w:t>rāda bezdarbnieku skaita samazināšanos līdzīgi kā citos gados līdz ar ziemas sezonas beigām, un arī 2024.</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gadā kopumā, lai arī bezdarba kritums īslaicīgi ir piebremzējies, tomēr arī pieaugums nav prognozējams.</w:t>
      </w:r>
    </w:p>
    <w:p w14:paraId="6ED8C160" w14:textId="4879CF3D" w:rsidR="00594BC3" w:rsidRPr="00C27B88" w:rsidRDefault="00594BC3" w:rsidP="00594BC3">
      <w:pPr>
        <w:autoSpaceDE w:val="0"/>
        <w:autoSpaceDN w:val="0"/>
        <w:adjustRightInd w:val="0"/>
        <w:rPr>
          <w:rFonts w:eastAsia="Times New Roman" w:cs="Times New Roman"/>
          <w:sz w:val="24"/>
          <w:szCs w:val="24"/>
          <w:lang w:eastAsia="lv-LV"/>
        </w:rPr>
      </w:pPr>
      <w:r w:rsidRPr="00C27B88">
        <w:rPr>
          <w:rFonts w:eastAsia="Times New Roman" w:cs="Times New Roman"/>
          <w:sz w:val="24"/>
          <w:szCs w:val="24"/>
          <w:lang w:eastAsia="lv-LV"/>
        </w:rPr>
        <w:t xml:space="preserve">Tautsaimniecībā nodarbināto iedzīvotāju skaits pagājušajā gadā kopumā samazinājies par 0,2% jeb </w:t>
      </w:r>
      <w:r w:rsidR="00C27B88" w:rsidRPr="00C27B88">
        <w:rPr>
          <w:rFonts w:eastAsia="Times New Roman" w:cs="Times New Roman"/>
          <w:sz w:val="24"/>
          <w:szCs w:val="24"/>
          <w:lang w:eastAsia="lv-LV"/>
        </w:rPr>
        <w:t>2</w:t>
      </w:r>
      <w:r w:rsidRPr="00C27B88">
        <w:rPr>
          <w:rFonts w:eastAsia="Times New Roman" w:cs="Times New Roman"/>
          <w:sz w:val="24"/>
          <w:szCs w:val="24"/>
          <w:lang w:eastAsia="lv-LV"/>
        </w:rPr>
        <w:t xml:space="preserve"> tūkst</w:t>
      </w:r>
      <w:r w:rsidR="00C27B88" w:rsidRPr="00C27B88">
        <w:rPr>
          <w:rFonts w:eastAsia="Times New Roman" w:cs="Times New Roman"/>
          <w:sz w:val="24"/>
          <w:szCs w:val="24"/>
          <w:lang w:eastAsia="lv-LV"/>
        </w:rPr>
        <w:t>.</w:t>
      </w:r>
      <w:r w:rsidRPr="00C27B88">
        <w:rPr>
          <w:rFonts w:eastAsia="Times New Roman" w:cs="Times New Roman"/>
          <w:sz w:val="24"/>
          <w:szCs w:val="24"/>
          <w:lang w:eastAsia="lv-LV"/>
        </w:rPr>
        <w:t xml:space="preserve"> līdz 884,2 tūkst. Ceturtajā ceturksnī nodarbināto skaits bijis par 1,4% jeb 12,9 tūkst</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mazāks nekā 2022.</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gada attiecīgajā ceturksnī, un nodarbināto skaita kritums vienlaikus ar bezdarba pieaugumu gada beigās nedaudz mazina bažas par akūtu darbaspēka trūkuma problēmu, ko izraisa iedzīvotāju skaita samazināšanās. Vienlaikus arī uzņēmēju aptauju dati rāda, ka starp uzņēmējdarbību traucējošajiem faktoriem joprojām daudz būtiskāks ir nepietiekams pieprasījums, nevis darbaspēka trūkums, īpaši apstrādes rūpniecībā, kas joprojām izjūt zemo pieprasījumu ārējos tirgos.</w:t>
      </w:r>
    </w:p>
    <w:p w14:paraId="0C7F62B5" w14:textId="3B692353" w:rsidR="00594BC3" w:rsidRPr="00C27B88" w:rsidRDefault="00594BC3" w:rsidP="00594BC3">
      <w:pPr>
        <w:autoSpaceDE w:val="0"/>
        <w:autoSpaceDN w:val="0"/>
        <w:adjustRightInd w:val="0"/>
        <w:rPr>
          <w:rFonts w:eastAsia="Times New Roman" w:cs="Times New Roman"/>
          <w:sz w:val="24"/>
          <w:szCs w:val="24"/>
          <w:lang w:eastAsia="lv-LV"/>
        </w:rPr>
      </w:pPr>
      <w:r w:rsidRPr="00C27B88">
        <w:rPr>
          <w:rFonts w:eastAsia="Times New Roman" w:cs="Times New Roman"/>
          <w:sz w:val="24"/>
          <w:szCs w:val="24"/>
          <w:lang w:eastAsia="lv-LV"/>
        </w:rPr>
        <w:t>2024. un 2025.</w:t>
      </w:r>
      <w:r w:rsidR="00C27B88" w:rsidRPr="00C27B88">
        <w:rPr>
          <w:rFonts w:eastAsia="Times New Roman" w:cs="Times New Roman"/>
          <w:sz w:val="24"/>
          <w:szCs w:val="24"/>
          <w:lang w:eastAsia="lv-LV"/>
        </w:rPr>
        <w:t xml:space="preserve"> </w:t>
      </w:r>
      <w:r w:rsidRPr="00C27B88">
        <w:rPr>
          <w:rFonts w:eastAsia="Times New Roman" w:cs="Times New Roman"/>
          <w:sz w:val="24"/>
          <w:szCs w:val="24"/>
          <w:lang w:eastAsia="lv-LV"/>
        </w:rPr>
        <w:t>gadā līdz ar straujāku ekonomiskās izaugsmes atjaunošanos nodarbināto skaits varētu nesamazināties, saglabājoties pagājušā gada līmenī, bet nākamajos gados sagaidāms neliels nodarbināto skaita kritums, ko pamatā noteiks darbspējas vecuma iedzīvotāju skaita samazināšanās demogrāfijas tendenču rezultātā.</w:t>
      </w:r>
    </w:p>
    <w:p w14:paraId="0DFA83B6" w14:textId="77777777" w:rsidR="00594BC3" w:rsidRPr="00C27B88" w:rsidRDefault="00594BC3" w:rsidP="00594BC3">
      <w:pPr>
        <w:autoSpaceDE w:val="0"/>
        <w:autoSpaceDN w:val="0"/>
        <w:adjustRightInd w:val="0"/>
        <w:rPr>
          <w:rFonts w:eastAsia="Times New Roman" w:cs="Times New Roman"/>
          <w:sz w:val="24"/>
          <w:szCs w:val="24"/>
          <w:lang w:eastAsia="lv-LV"/>
        </w:rPr>
      </w:pPr>
    </w:p>
    <w:p w14:paraId="5E9B9B4E" w14:textId="77777777" w:rsidR="00594BC3" w:rsidRPr="00C27B88" w:rsidRDefault="00594BC3" w:rsidP="00594BC3">
      <w:pPr>
        <w:autoSpaceDE w:val="0"/>
        <w:autoSpaceDN w:val="0"/>
        <w:adjustRightInd w:val="0"/>
        <w:ind w:firstLine="0"/>
        <w:jc w:val="center"/>
        <w:rPr>
          <w:rFonts w:eastAsia="Times New Roman" w:cs="Times New Roman"/>
          <w:b/>
          <w:i/>
          <w:noProof/>
          <w:color w:val="000000"/>
          <w:sz w:val="24"/>
          <w:szCs w:val="24"/>
          <w:lang w:eastAsia="lv-LV"/>
        </w:rPr>
      </w:pPr>
      <w:r w:rsidRPr="00C27B88">
        <w:rPr>
          <w:rFonts w:eastAsia="Times New Roman" w:cs="Times New Roman"/>
          <w:noProof/>
          <w:color w:val="000000"/>
          <w:sz w:val="24"/>
          <w:szCs w:val="24"/>
          <w:lang w:eastAsia="lv-LV"/>
        </w:rPr>
        <w:drawing>
          <wp:inline distT="0" distB="0" distL="0" distR="0" wp14:anchorId="2AF0AE6D" wp14:editId="42106337">
            <wp:extent cx="5274310" cy="2933700"/>
            <wp:effectExtent l="0" t="0" r="2540" b="698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37D039" w14:textId="59FF7B1B" w:rsidR="00C27B88" w:rsidRPr="00C27B88" w:rsidRDefault="00C27B88" w:rsidP="00C27B88">
      <w:pPr>
        <w:keepNext/>
        <w:spacing w:after="60"/>
        <w:ind w:left="720" w:right="-57"/>
        <w:rPr>
          <w:rFonts w:eastAsia="Times New Roman" w:cs="Times New Roman"/>
          <w:bCs/>
          <w:iCs/>
          <w:noProof/>
          <w:sz w:val="20"/>
          <w:szCs w:val="20"/>
        </w:rPr>
      </w:pPr>
      <w:r w:rsidRPr="00C27B88">
        <w:rPr>
          <w:rFonts w:eastAsia="Times New Roman" w:cs="Times New Roman"/>
          <w:bCs/>
          <w:iCs/>
          <w:sz w:val="20"/>
          <w:szCs w:val="20"/>
        </w:rPr>
        <w:t>* FM prognoze</w:t>
      </w:r>
    </w:p>
    <w:p w14:paraId="12A1F666" w14:textId="3DC26C88" w:rsidR="00594BC3" w:rsidRPr="00C27B88" w:rsidRDefault="00594BC3" w:rsidP="00822805">
      <w:pPr>
        <w:keepNext/>
        <w:spacing w:before="120"/>
        <w:ind w:right="-57" w:firstLine="0"/>
        <w:jc w:val="center"/>
        <w:rPr>
          <w:rFonts w:eastAsia="Times New Roman" w:cs="Times New Roman"/>
          <w:b/>
          <w:i/>
          <w:sz w:val="24"/>
          <w:szCs w:val="24"/>
        </w:rPr>
      </w:pPr>
      <w:r w:rsidRPr="00C27B88">
        <w:rPr>
          <w:rFonts w:eastAsia="Times New Roman" w:cs="Times New Roman"/>
          <w:b/>
          <w:i/>
          <w:noProof/>
          <w:sz w:val="24"/>
          <w:szCs w:val="24"/>
        </w:rPr>
        <w:t>2.7. att.</w:t>
      </w:r>
      <w:r w:rsidRPr="00C27B88">
        <w:rPr>
          <w:rFonts w:eastAsia="Times New Roman" w:cs="Times New Roman"/>
          <w:b/>
          <w:i/>
          <w:sz w:val="24"/>
          <w:szCs w:val="24"/>
        </w:rPr>
        <w:t xml:space="preserve"> Nodarbinātība un bezdarbs 2008.</w:t>
      </w:r>
      <w:r w:rsidR="00D54795">
        <w:rPr>
          <w:rFonts w:eastAsia="Times New Roman" w:cs="Times New Roman"/>
          <w:b/>
          <w:i/>
          <w:sz w:val="24"/>
          <w:szCs w:val="24"/>
        </w:rPr>
        <w:t xml:space="preserve"> – </w:t>
      </w:r>
      <w:r w:rsidRPr="00C27B88">
        <w:rPr>
          <w:rFonts w:eastAsia="Times New Roman" w:cs="Times New Roman"/>
          <w:b/>
          <w:i/>
          <w:sz w:val="24"/>
          <w:szCs w:val="24"/>
        </w:rPr>
        <w:t>2028. gadā</w:t>
      </w:r>
    </w:p>
    <w:p w14:paraId="6A767295" w14:textId="77777777" w:rsidR="00594BC3" w:rsidRPr="00822805" w:rsidRDefault="00594BC3" w:rsidP="00594BC3">
      <w:pPr>
        <w:autoSpaceDE w:val="0"/>
        <w:autoSpaceDN w:val="0"/>
        <w:adjustRightInd w:val="0"/>
        <w:rPr>
          <w:rFonts w:eastAsia="Times New Roman" w:cs="Times New Roman"/>
          <w:sz w:val="24"/>
          <w:szCs w:val="24"/>
          <w:lang w:eastAsia="lv-LV"/>
        </w:rPr>
      </w:pPr>
    </w:p>
    <w:p w14:paraId="5D169B90" w14:textId="3D9693AF" w:rsidR="00594BC3" w:rsidRPr="00822805" w:rsidRDefault="00594BC3" w:rsidP="00594BC3">
      <w:pPr>
        <w:autoSpaceDE w:val="0"/>
        <w:autoSpaceDN w:val="0"/>
        <w:adjustRightInd w:val="0"/>
        <w:rPr>
          <w:rFonts w:eastAsia="Times New Roman" w:cs="Times New Roman"/>
          <w:sz w:val="24"/>
          <w:szCs w:val="24"/>
          <w:lang w:eastAsia="lv-LV"/>
        </w:rPr>
      </w:pPr>
      <w:r w:rsidRPr="00822805">
        <w:rPr>
          <w:rFonts w:eastAsia="Times New Roman" w:cs="Times New Roman"/>
          <w:sz w:val="24"/>
          <w:szCs w:val="24"/>
          <w:lang w:eastAsia="lv-LV"/>
        </w:rPr>
        <w:t>Neskatoties uz ekonomiskās situācijas pasliktināšanos gan Covid-19 pandēmijas, gan Krievijas uzsāktā kara ietekmē, iedzīvotāju ienākumi un darba samaksa visus pēdējos gadus turpināja spēcīgi palielināties. Mēneša vidējā bruto darba samaksa 2022.</w:t>
      </w:r>
      <w:r w:rsidR="00822805" w:rsidRPr="00822805">
        <w:rPr>
          <w:rFonts w:eastAsia="Times New Roman" w:cs="Times New Roman"/>
          <w:sz w:val="24"/>
          <w:szCs w:val="24"/>
          <w:lang w:eastAsia="lv-LV"/>
        </w:rPr>
        <w:t xml:space="preserve"> </w:t>
      </w:r>
      <w:r w:rsidRPr="00822805">
        <w:rPr>
          <w:rFonts w:eastAsia="Times New Roman" w:cs="Times New Roman"/>
          <w:sz w:val="24"/>
          <w:szCs w:val="24"/>
          <w:lang w:eastAsia="lv-LV"/>
        </w:rPr>
        <w:t>gadā pieauga par 7,5%, bet 2023.</w:t>
      </w:r>
      <w:r w:rsidR="00822805" w:rsidRPr="00822805">
        <w:rPr>
          <w:rFonts w:eastAsia="Times New Roman" w:cs="Times New Roman"/>
          <w:sz w:val="24"/>
          <w:szCs w:val="24"/>
          <w:lang w:eastAsia="lv-LV"/>
        </w:rPr>
        <w:t xml:space="preserve"> </w:t>
      </w:r>
      <w:r w:rsidRPr="00822805">
        <w:rPr>
          <w:rFonts w:eastAsia="Times New Roman" w:cs="Times New Roman"/>
          <w:sz w:val="24"/>
          <w:szCs w:val="24"/>
          <w:lang w:eastAsia="lv-LV"/>
        </w:rPr>
        <w:t>gadā pieaugums vēl paātrinājās līdz 11,9%, mēneša vidējai bruto darba samaksai sasniedzot 1</w:t>
      </w:r>
      <w:r w:rsidR="006D3117">
        <w:rPr>
          <w:rFonts w:eastAsia="Times New Roman" w:cs="Times New Roman"/>
          <w:sz w:val="24"/>
          <w:szCs w:val="24"/>
          <w:lang w:eastAsia="lv-LV"/>
        </w:rPr>
        <w:t xml:space="preserve"> </w:t>
      </w:r>
      <w:r w:rsidRPr="00822805">
        <w:rPr>
          <w:rFonts w:eastAsia="Times New Roman" w:cs="Times New Roman"/>
          <w:sz w:val="24"/>
          <w:szCs w:val="24"/>
          <w:lang w:eastAsia="lv-LV"/>
        </w:rPr>
        <w:t xml:space="preserve">537 </w:t>
      </w:r>
      <w:proofErr w:type="spellStart"/>
      <w:r w:rsidRPr="00822805">
        <w:rPr>
          <w:rFonts w:eastAsia="Times New Roman" w:cs="Times New Roman"/>
          <w:i/>
          <w:iCs/>
          <w:sz w:val="24"/>
          <w:szCs w:val="24"/>
          <w:lang w:eastAsia="lv-LV"/>
        </w:rPr>
        <w:t>euro</w:t>
      </w:r>
      <w:proofErr w:type="spellEnd"/>
      <w:r w:rsidRPr="00822805">
        <w:rPr>
          <w:rFonts w:eastAsia="Times New Roman" w:cs="Times New Roman"/>
          <w:sz w:val="24"/>
          <w:szCs w:val="24"/>
          <w:lang w:eastAsia="lv-LV"/>
        </w:rPr>
        <w:t xml:space="preserve">. </w:t>
      </w:r>
    </w:p>
    <w:p w14:paraId="475AD08F" w14:textId="2C48F1A0" w:rsidR="00594BC3" w:rsidRPr="00822805" w:rsidRDefault="00594BC3" w:rsidP="00594BC3">
      <w:pPr>
        <w:autoSpaceDE w:val="0"/>
        <w:autoSpaceDN w:val="0"/>
        <w:adjustRightInd w:val="0"/>
        <w:rPr>
          <w:rFonts w:eastAsia="Times New Roman" w:cs="Times New Roman"/>
          <w:sz w:val="24"/>
          <w:szCs w:val="24"/>
          <w:lang w:eastAsia="lv-LV"/>
        </w:rPr>
      </w:pPr>
      <w:r w:rsidRPr="00822805">
        <w:rPr>
          <w:rFonts w:eastAsia="Times New Roman" w:cs="Times New Roman"/>
          <w:sz w:val="24"/>
          <w:szCs w:val="24"/>
          <w:lang w:eastAsia="lv-LV"/>
        </w:rPr>
        <w:t>Straujo algu kāpumu 2023.</w:t>
      </w:r>
      <w:r w:rsidR="00822805" w:rsidRPr="00822805">
        <w:rPr>
          <w:rFonts w:eastAsia="Times New Roman" w:cs="Times New Roman"/>
          <w:sz w:val="24"/>
          <w:szCs w:val="24"/>
          <w:lang w:eastAsia="lv-LV"/>
        </w:rPr>
        <w:t xml:space="preserve"> </w:t>
      </w:r>
      <w:r w:rsidRPr="00822805">
        <w:rPr>
          <w:rFonts w:eastAsia="Times New Roman" w:cs="Times New Roman"/>
          <w:sz w:val="24"/>
          <w:szCs w:val="24"/>
          <w:lang w:eastAsia="lv-LV"/>
        </w:rPr>
        <w:t xml:space="preserve">gadā noteica gan būtiskais minimālās darba samaksas paaugstinājums no 500 līdz 620 </w:t>
      </w:r>
      <w:proofErr w:type="spellStart"/>
      <w:r w:rsidRPr="00822805">
        <w:rPr>
          <w:rFonts w:eastAsia="Times New Roman" w:cs="Times New Roman"/>
          <w:i/>
          <w:iCs/>
          <w:sz w:val="24"/>
          <w:szCs w:val="24"/>
          <w:lang w:eastAsia="lv-LV"/>
        </w:rPr>
        <w:t>euro</w:t>
      </w:r>
      <w:proofErr w:type="spellEnd"/>
      <w:r w:rsidRPr="00822805">
        <w:rPr>
          <w:rFonts w:eastAsia="Times New Roman" w:cs="Times New Roman"/>
          <w:sz w:val="24"/>
          <w:szCs w:val="24"/>
          <w:lang w:eastAsia="lv-LV"/>
        </w:rPr>
        <w:t xml:space="preserve">, gan valsts budžeta izdevumu pieaugums sabiedriskā sektora darbinieku algām, gan privāto uzņēmumu sniegtais </w:t>
      </w:r>
      <w:proofErr w:type="spellStart"/>
      <w:r w:rsidRPr="00822805">
        <w:rPr>
          <w:rFonts w:eastAsia="Times New Roman" w:cs="Times New Roman"/>
          <w:sz w:val="24"/>
          <w:szCs w:val="24"/>
          <w:lang w:eastAsia="lv-LV"/>
        </w:rPr>
        <w:t>energoatbalsts</w:t>
      </w:r>
      <w:proofErr w:type="spellEnd"/>
      <w:r w:rsidRPr="00822805">
        <w:rPr>
          <w:rFonts w:eastAsia="Times New Roman" w:cs="Times New Roman"/>
          <w:sz w:val="24"/>
          <w:szCs w:val="24"/>
          <w:lang w:eastAsia="lv-LV"/>
        </w:rPr>
        <w:t xml:space="preserve"> saviem darbiniekiem un augstais inflācijas līmenis. Nedaudz straujāks algas pieaugums </w:t>
      </w:r>
      <w:r w:rsidR="00F27F04">
        <w:rPr>
          <w:rFonts w:eastAsia="Times New Roman" w:cs="Times New Roman"/>
          <w:sz w:val="24"/>
          <w:szCs w:val="24"/>
          <w:lang w:eastAsia="lv-LV"/>
        </w:rPr>
        <w:t>2023. gadā</w:t>
      </w:r>
      <w:r w:rsidRPr="00822805">
        <w:rPr>
          <w:rFonts w:eastAsia="Times New Roman" w:cs="Times New Roman"/>
          <w:sz w:val="24"/>
          <w:szCs w:val="24"/>
          <w:lang w:eastAsia="lv-LV"/>
        </w:rPr>
        <w:t xml:space="preserve"> bija sabiedriskajā </w:t>
      </w:r>
      <w:r w:rsidRPr="00822805">
        <w:rPr>
          <w:rFonts w:eastAsia="Times New Roman" w:cs="Times New Roman"/>
          <w:sz w:val="24"/>
          <w:szCs w:val="24"/>
          <w:lang w:eastAsia="lv-LV"/>
        </w:rPr>
        <w:lastRenderedPageBreak/>
        <w:t>sektorā, kur mēneša vidējā bruto darba samaksa palielinājās par 13,1% līdz 1</w:t>
      </w:r>
      <w:r w:rsidR="007047D1">
        <w:rPr>
          <w:rFonts w:eastAsia="Times New Roman" w:cs="Times New Roman"/>
          <w:sz w:val="24"/>
          <w:szCs w:val="24"/>
          <w:lang w:eastAsia="lv-LV"/>
        </w:rPr>
        <w:t xml:space="preserve"> </w:t>
      </w:r>
      <w:r w:rsidRPr="00822805">
        <w:rPr>
          <w:rFonts w:eastAsia="Times New Roman" w:cs="Times New Roman"/>
          <w:sz w:val="24"/>
          <w:szCs w:val="24"/>
          <w:lang w:eastAsia="lv-LV"/>
        </w:rPr>
        <w:t xml:space="preserve">553 </w:t>
      </w:r>
      <w:proofErr w:type="spellStart"/>
      <w:r w:rsidRPr="00822805">
        <w:rPr>
          <w:rFonts w:eastAsia="Times New Roman" w:cs="Times New Roman"/>
          <w:i/>
          <w:iCs/>
          <w:sz w:val="24"/>
          <w:szCs w:val="24"/>
          <w:lang w:eastAsia="lv-LV"/>
        </w:rPr>
        <w:t>euro</w:t>
      </w:r>
      <w:proofErr w:type="spellEnd"/>
      <w:r w:rsidRPr="00822805">
        <w:rPr>
          <w:rFonts w:eastAsia="Times New Roman" w:cs="Times New Roman"/>
          <w:sz w:val="24"/>
          <w:szCs w:val="24"/>
          <w:lang w:eastAsia="lv-LV"/>
        </w:rPr>
        <w:t>, bet privātajā sektorā vidējā alga pieauga par 11,5% līdz 1</w:t>
      </w:r>
      <w:r w:rsidR="007047D1">
        <w:rPr>
          <w:rFonts w:eastAsia="Times New Roman" w:cs="Times New Roman"/>
          <w:sz w:val="24"/>
          <w:szCs w:val="24"/>
          <w:lang w:eastAsia="lv-LV"/>
        </w:rPr>
        <w:t xml:space="preserve"> </w:t>
      </w:r>
      <w:r w:rsidRPr="00822805">
        <w:rPr>
          <w:rFonts w:eastAsia="Times New Roman" w:cs="Times New Roman"/>
          <w:sz w:val="24"/>
          <w:szCs w:val="24"/>
          <w:lang w:eastAsia="lv-LV"/>
        </w:rPr>
        <w:t xml:space="preserve">533 </w:t>
      </w:r>
      <w:proofErr w:type="spellStart"/>
      <w:r w:rsidRPr="00822805">
        <w:rPr>
          <w:rFonts w:eastAsia="Times New Roman" w:cs="Times New Roman"/>
          <w:i/>
          <w:iCs/>
          <w:sz w:val="24"/>
          <w:szCs w:val="24"/>
          <w:lang w:eastAsia="lv-LV"/>
        </w:rPr>
        <w:t>euro</w:t>
      </w:r>
      <w:proofErr w:type="spellEnd"/>
      <w:r w:rsidRPr="00822805">
        <w:rPr>
          <w:rFonts w:eastAsia="Times New Roman" w:cs="Times New Roman"/>
          <w:sz w:val="24"/>
          <w:szCs w:val="24"/>
          <w:lang w:eastAsia="lv-LV"/>
        </w:rPr>
        <w:t>.</w:t>
      </w:r>
    </w:p>
    <w:p w14:paraId="01FFD159" w14:textId="1A2FB5D4" w:rsidR="00594BC3" w:rsidRPr="00822805" w:rsidRDefault="00594BC3" w:rsidP="00594BC3">
      <w:pPr>
        <w:autoSpaceDE w:val="0"/>
        <w:autoSpaceDN w:val="0"/>
        <w:adjustRightInd w:val="0"/>
        <w:rPr>
          <w:rFonts w:eastAsia="Times New Roman" w:cs="Times New Roman"/>
          <w:sz w:val="24"/>
          <w:szCs w:val="24"/>
          <w:lang w:eastAsia="lv-LV"/>
        </w:rPr>
      </w:pPr>
      <w:r w:rsidRPr="00822805">
        <w:rPr>
          <w:rFonts w:eastAsia="Times New Roman" w:cs="Times New Roman"/>
          <w:color w:val="000000"/>
          <w:sz w:val="24"/>
          <w:szCs w:val="24"/>
          <w:lang w:eastAsia="lv-LV"/>
        </w:rPr>
        <w:t>Nozaru griezumā vidējā alga visstraujāk augusi lauksaimniecības un mežsaimniecības nozarē, kur tā 2023.</w:t>
      </w:r>
      <w:r w:rsidR="00822805" w:rsidRPr="00822805">
        <w:rPr>
          <w:rFonts w:eastAsia="Times New Roman" w:cs="Times New Roman"/>
          <w:color w:val="000000"/>
          <w:sz w:val="24"/>
          <w:szCs w:val="24"/>
          <w:lang w:eastAsia="lv-LV"/>
        </w:rPr>
        <w:t xml:space="preserve"> </w:t>
      </w:r>
      <w:r w:rsidRPr="00822805">
        <w:rPr>
          <w:rFonts w:eastAsia="Times New Roman" w:cs="Times New Roman"/>
          <w:color w:val="000000"/>
          <w:sz w:val="24"/>
          <w:szCs w:val="24"/>
          <w:lang w:eastAsia="lv-LV"/>
        </w:rPr>
        <w:t>gadā palielinājās par 18,2%, enerģētikā - par 17,5% un transporta un uzglabāšanas nozarē - par 15,6%</w:t>
      </w:r>
      <w:r w:rsidR="00822805" w:rsidRPr="00822805">
        <w:rPr>
          <w:rFonts w:eastAsia="Times New Roman" w:cs="Times New Roman"/>
          <w:color w:val="000000"/>
          <w:sz w:val="24"/>
          <w:szCs w:val="24"/>
          <w:lang w:eastAsia="lv-LV"/>
        </w:rPr>
        <w:t xml:space="preserve">. </w:t>
      </w:r>
      <w:r w:rsidRPr="00822805">
        <w:rPr>
          <w:rFonts w:eastAsia="Times New Roman" w:cs="Times New Roman"/>
          <w:color w:val="000000"/>
          <w:sz w:val="24"/>
          <w:szCs w:val="24"/>
          <w:lang w:eastAsia="lv-LV"/>
        </w:rPr>
        <w:t>Savukārt zemākais pieaugums bijis veselības un sociālās aprūpes nozarē, kur mēneša vidējā darba samaksa palielinājusies tikai par 3,9%, ko noteica Covid-19 piemaksu atcelšana veselības aprūpē. Augstākais darba samaksas līmenis joprojām saglabājies finanšu pakalpojumu nozarē – 2</w:t>
      </w:r>
      <w:r w:rsidR="007047D1">
        <w:rPr>
          <w:rFonts w:eastAsia="Times New Roman" w:cs="Times New Roman"/>
          <w:color w:val="000000"/>
          <w:sz w:val="24"/>
          <w:szCs w:val="24"/>
          <w:lang w:eastAsia="lv-LV"/>
        </w:rPr>
        <w:t xml:space="preserve"> </w:t>
      </w:r>
      <w:r w:rsidRPr="00822805">
        <w:rPr>
          <w:rFonts w:eastAsia="Times New Roman" w:cs="Times New Roman"/>
          <w:color w:val="000000"/>
          <w:sz w:val="24"/>
          <w:szCs w:val="24"/>
          <w:lang w:eastAsia="lv-LV"/>
        </w:rPr>
        <w:t xml:space="preserve">678 </w:t>
      </w:r>
      <w:proofErr w:type="spellStart"/>
      <w:r w:rsidRPr="00822805">
        <w:rPr>
          <w:rFonts w:eastAsia="Times New Roman" w:cs="Times New Roman"/>
          <w:i/>
          <w:iCs/>
          <w:color w:val="000000"/>
          <w:sz w:val="24"/>
          <w:szCs w:val="24"/>
          <w:lang w:eastAsia="lv-LV"/>
        </w:rPr>
        <w:t>euro</w:t>
      </w:r>
      <w:proofErr w:type="spellEnd"/>
      <w:r w:rsidRPr="00822805">
        <w:rPr>
          <w:rFonts w:eastAsia="Times New Roman" w:cs="Times New Roman"/>
          <w:color w:val="000000"/>
          <w:sz w:val="24"/>
          <w:szCs w:val="24"/>
          <w:lang w:eastAsia="lv-LV"/>
        </w:rPr>
        <w:t xml:space="preserve"> un informācijas un komunikācijas pakalpojumu nozarē – 2</w:t>
      </w:r>
      <w:r w:rsidR="007047D1">
        <w:rPr>
          <w:rFonts w:eastAsia="Times New Roman" w:cs="Times New Roman"/>
          <w:color w:val="000000"/>
          <w:sz w:val="24"/>
          <w:szCs w:val="24"/>
          <w:lang w:eastAsia="lv-LV"/>
        </w:rPr>
        <w:t xml:space="preserve"> </w:t>
      </w:r>
      <w:r w:rsidRPr="00822805">
        <w:rPr>
          <w:rFonts w:eastAsia="Times New Roman" w:cs="Times New Roman"/>
          <w:color w:val="000000"/>
          <w:sz w:val="24"/>
          <w:szCs w:val="24"/>
          <w:lang w:eastAsia="lv-LV"/>
        </w:rPr>
        <w:t xml:space="preserve">549 </w:t>
      </w:r>
      <w:proofErr w:type="spellStart"/>
      <w:r w:rsidRPr="00822805">
        <w:rPr>
          <w:rFonts w:eastAsia="Times New Roman" w:cs="Times New Roman"/>
          <w:i/>
          <w:iCs/>
          <w:color w:val="000000"/>
          <w:sz w:val="24"/>
          <w:szCs w:val="24"/>
          <w:lang w:eastAsia="lv-LV"/>
        </w:rPr>
        <w:t>euro</w:t>
      </w:r>
      <w:proofErr w:type="spellEnd"/>
      <w:r w:rsidRPr="00822805">
        <w:rPr>
          <w:rFonts w:eastAsia="Times New Roman" w:cs="Times New Roman"/>
          <w:color w:val="000000"/>
          <w:sz w:val="24"/>
          <w:szCs w:val="24"/>
          <w:lang w:eastAsia="lv-LV"/>
        </w:rPr>
        <w:t xml:space="preserve">, kamēr zemākās algas ir izmitināšanā un ēdināšanā – 993 </w:t>
      </w:r>
      <w:proofErr w:type="spellStart"/>
      <w:r w:rsidRPr="00822805">
        <w:rPr>
          <w:rFonts w:eastAsia="Times New Roman" w:cs="Times New Roman"/>
          <w:i/>
          <w:iCs/>
          <w:color w:val="000000"/>
          <w:sz w:val="24"/>
          <w:szCs w:val="24"/>
          <w:lang w:eastAsia="lv-LV"/>
        </w:rPr>
        <w:t>euro</w:t>
      </w:r>
      <w:proofErr w:type="spellEnd"/>
      <w:r w:rsidRPr="00822805">
        <w:rPr>
          <w:rFonts w:eastAsia="Times New Roman" w:cs="Times New Roman"/>
          <w:color w:val="000000"/>
          <w:sz w:val="24"/>
          <w:szCs w:val="24"/>
          <w:lang w:eastAsia="lv-LV"/>
        </w:rPr>
        <w:t xml:space="preserve"> un izglītībā – 1</w:t>
      </w:r>
      <w:r w:rsidR="007047D1">
        <w:rPr>
          <w:rFonts w:eastAsia="Times New Roman" w:cs="Times New Roman"/>
          <w:color w:val="000000"/>
          <w:sz w:val="24"/>
          <w:szCs w:val="24"/>
          <w:lang w:eastAsia="lv-LV"/>
        </w:rPr>
        <w:t xml:space="preserve"> </w:t>
      </w:r>
      <w:r w:rsidRPr="00822805">
        <w:rPr>
          <w:rFonts w:eastAsia="Times New Roman" w:cs="Times New Roman"/>
          <w:color w:val="000000"/>
          <w:sz w:val="24"/>
          <w:szCs w:val="24"/>
          <w:lang w:eastAsia="lv-LV"/>
        </w:rPr>
        <w:t xml:space="preserve">247 </w:t>
      </w:r>
      <w:proofErr w:type="spellStart"/>
      <w:r w:rsidRPr="00822805">
        <w:rPr>
          <w:rFonts w:eastAsia="Times New Roman" w:cs="Times New Roman"/>
          <w:i/>
          <w:iCs/>
          <w:color w:val="000000"/>
          <w:sz w:val="24"/>
          <w:szCs w:val="24"/>
          <w:lang w:eastAsia="lv-LV"/>
        </w:rPr>
        <w:t>euro</w:t>
      </w:r>
      <w:proofErr w:type="spellEnd"/>
      <w:r w:rsidRPr="00822805">
        <w:rPr>
          <w:rFonts w:eastAsia="Times New Roman" w:cs="Times New Roman"/>
          <w:color w:val="000000"/>
          <w:sz w:val="24"/>
          <w:szCs w:val="24"/>
          <w:lang w:eastAsia="lv-LV"/>
        </w:rPr>
        <w:t xml:space="preserve"> mēnesī (skat. 2.8</w:t>
      </w:r>
      <w:r w:rsidR="00822805" w:rsidRPr="00822805">
        <w:rPr>
          <w:rFonts w:eastAsia="Times New Roman" w:cs="Times New Roman"/>
          <w:color w:val="000000"/>
          <w:sz w:val="24"/>
          <w:szCs w:val="24"/>
          <w:lang w:eastAsia="lv-LV"/>
        </w:rPr>
        <w:t>.</w:t>
      </w:r>
      <w:r w:rsidRPr="00822805">
        <w:rPr>
          <w:rFonts w:eastAsia="Times New Roman" w:cs="Times New Roman"/>
          <w:color w:val="000000"/>
          <w:sz w:val="24"/>
          <w:szCs w:val="24"/>
          <w:lang w:eastAsia="lv-LV"/>
        </w:rPr>
        <w:t xml:space="preserve"> attēlu).</w:t>
      </w:r>
    </w:p>
    <w:p w14:paraId="4E0EFD2D" w14:textId="77777777" w:rsidR="00594BC3" w:rsidRPr="00822805" w:rsidRDefault="00594BC3" w:rsidP="00594BC3">
      <w:pPr>
        <w:autoSpaceDE w:val="0"/>
        <w:autoSpaceDN w:val="0"/>
        <w:adjustRightInd w:val="0"/>
        <w:rPr>
          <w:rFonts w:eastAsia="Times New Roman" w:cs="Times New Roman"/>
          <w:sz w:val="24"/>
          <w:szCs w:val="24"/>
          <w:lang w:eastAsia="lv-LV"/>
        </w:rPr>
      </w:pPr>
    </w:p>
    <w:p w14:paraId="301389E2" w14:textId="77777777" w:rsidR="00594BC3" w:rsidRPr="00822805" w:rsidRDefault="00594BC3" w:rsidP="00822805">
      <w:pPr>
        <w:autoSpaceDE w:val="0"/>
        <w:autoSpaceDN w:val="0"/>
        <w:adjustRightInd w:val="0"/>
        <w:ind w:firstLine="0"/>
        <w:jc w:val="center"/>
        <w:rPr>
          <w:rFonts w:eastAsia="Times New Roman" w:cs="Times New Roman"/>
          <w:sz w:val="24"/>
          <w:szCs w:val="24"/>
          <w:lang w:eastAsia="lv-LV"/>
        </w:rPr>
      </w:pPr>
      <w:r w:rsidRPr="00822805">
        <w:rPr>
          <w:rFonts w:eastAsia="Times New Roman" w:cs="Times New Roman"/>
          <w:noProof/>
          <w:sz w:val="24"/>
          <w:szCs w:val="24"/>
          <w:lang w:eastAsia="lv-LV"/>
        </w:rPr>
        <w:drawing>
          <wp:inline distT="0" distB="0" distL="0" distR="0" wp14:anchorId="0257146B" wp14:editId="61B6ED77">
            <wp:extent cx="4958490" cy="5098136"/>
            <wp:effectExtent l="0" t="0" r="0" b="7620"/>
            <wp:docPr id="1693399046" name="Chart 1693399046">
              <a:extLst xmlns:a="http://schemas.openxmlformats.org/drawingml/2006/main">
                <a:ext uri="{FF2B5EF4-FFF2-40B4-BE49-F238E27FC236}">
                  <a16:creationId xmlns:a16="http://schemas.microsoft.com/office/drawing/2014/main" id="{55CBE899-ABF7-4CDF-8EF4-B1B3AC6D6E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89D681B" w14:textId="430B0DAF" w:rsidR="00594BC3" w:rsidRPr="00822805" w:rsidRDefault="00594BC3" w:rsidP="00594BC3">
      <w:pPr>
        <w:keepNext/>
        <w:spacing w:before="120" w:after="120"/>
        <w:ind w:right="-57" w:firstLine="0"/>
        <w:jc w:val="center"/>
        <w:rPr>
          <w:rFonts w:eastAsia="Times New Roman" w:cs="Times New Roman"/>
          <w:b/>
          <w:i/>
          <w:sz w:val="24"/>
          <w:szCs w:val="24"/>
        </w:rPr>
      </w:pPr>
      <w:r w:rsidRPr="00822805">
        <w:rPr>
          <w:rFonts w:eastAsia="Times New Roman" w:cs="Times New Roman"/>
          <w:b/>
          <w:i/>
          <w:noProof/>
          <w:sz w:val="24"/>
          <w:szCs w:val="24"/>
        </w:rPr>
        <w:t>2.8. att.</w:t>
      </w:r>
      <w:r w:rsidRPr="00822805">
        <w:rPr>
          <w:rFonts w:eastAsia="Times New Roman" w:cs="Times New Roman"/>
          <w:b/>
          <w:i/>
          <w:sz w:val="24"/>
          <w:szCs w:val="24"/>
        </w:rPr>
        <w:t xml:space="preserve"> Mēneša vidējā bruto darba samaksa pa nozarēm, </w:t>
      </w:r>
      <w:proofErr w:type="spellStart"/>
      <w:r w:rsidRPr="00822805">
        <w:rPr>
          <w:rFonts w:eastAsia="Times New Roman" w:cs="Times New Roman"/>
          <w:b/>
          <w:i/>
          <w:sz w:val="24"/>
          <w:szCs w:val="24"/>
        </w:rPr>
        <w:t>e</w:t>
      </w:r>
      <w:r w:rsidR="00822805" w:rsidRPr="00822805">
        <w:rPr>
          <w:rFonts w:eastAsia="Times New Roman" w:cs="Times New Roman"/>
          <w:b/>
          <w:i/>
          <w:sz w:val="24"/>
          <w:szCs w:val="24"/>
        </w:rPr>
        <w:t>u</w:t>
      </w:r>
      <w:r w:rsidRPr="00822805">
        <w:rPr>
          <w:rFonts w:eastAsia="Times New Roman" w:cs="Times New Roman"/>
          <w:b/>
          <w:i/>
          <w:sz w:val="24"/>
          <w:szCs w:val="24"/>
        </w:rPr>
        <w:t>ro</w:t>
      </w:r>
      <w:proofErr w:type="spellEnd"/>
      <w:r w:rsidRPr="00822805">
        <w:rPr>
          <w:rFonts w:eastAsia="Times New Roman" w:cs="Times New Roman"/>
          <w:b/>
          <w:i/>
          <w:sz w:val="24"/>
          <w:szCs w:val="24"/>
        </w:rPr>
        <w:t xml:space="preserve"> un izmaiņas %</w:t>
      </w:r>
    </w:p>
    <w:p w14:paraId="49AFDF2D" w14:textId="77777777" w:rsidR="00594BC3" w:rsidRPr="00822805" w:rsidRDefault="00594BC3" w:rsidP="00594BC3">
      <w:pPr>
        <w:autoSpaceDE w:val="0"/>
        <w:autoSpaceDN w:val="0"/>
        <w:adjustRightInd w:val="0"/>
        <w:rPr>
          <w:rFonts w:eastAsia="Times New Roman" w:cs="Times New Roman"/>
          <w:sz w:val="24"/>
          <w:szCs w:val="24"/>
          <w:lang w:eastAsia="lv-LV"/>
        </w:rPr>
      </w:pPr>
    </w:p>
    <w:p w14:paraId="7B11957D" w14:textId="33D625ED" w:rsidR="00594BC3" w:rsidRPr="00317AF9" w:rsidRDefault="00594BC3" w:rsidP="00594BC3">
      <w:pPr>
        <w:autoSpaceDE w:val="0"/>
        <w:autoSpaceDN w:val="0"/>
        <w:adjustRightInd w:val="0"/>
        <w:rPr>
          <w:rFonts w:eastAsia="Times New Roman" w:cs="Times New Roman"/>
          <w:sz w:val="24"/>
          <w:szCs w:val="24"/>
          <w:lang w:eastAsia="lv-LV"/>
        </w:rPr>
      </w:pPr>
      <w:r w:rsidRPr="00317AF9">
        <w:rPr>
          <w:rFonts w:eastAsia="Times New Roman" w:cs="Times New Roman"/>
          <w:sz w:val="24"/>
          <w:szCs w:val="24"/>
          <w:lang w:eastAsia="lv-LV"/>
        </w:rPr>
        <w:t>Strādājošo reālā neto darba samaksa, kas parāda ienākumus, atskaitot inflācijas ietekmi un precīzāk raksturo strādājošo pirktspējas izmaiņas, augstās inflācijas dēļ 2022.</w:t>
      </w:r>
      <w:r w:rsidR="00822805" w:rsidRPr="00317AF9">
        <w:rPr>
          <w:rFonts w:eastAsia="Times New Roman" w:cs="Times New Roman"/>
          <w:sz w:val="24"/>
          <w:szCs w:val="24"/>
          <w:lang w:eastAsia="lv-LV"/>
        </w:rPr>
        <w:t xml:space="preserve"> </w:t>
      </w:r>
      <w:r w:rsidRPr="00317AF9">
        <w:rPr>
          <w:rFonts w:eastAsia="Times New Roman" w:cs="Times New Roman"/>
          <w:sz w:val="24"/>
          <w:szCs w:val="24"/>
          <w:lang w:eastAsia="lv-LV"/>
        </w:rPr>
        <w:t>gadā bija samazinājusies par 8,7%, piedzīvojot pirmo kritumu kopš pagājušās finanšu krīzes 2009.</w:t>
      </w:r>
      <w:r w:rsidR="007047D1" w:rsidRPr="00317AF9">
        <w:rPr>
          <w:rFonts w:eastAsia="Times New Roman" w:cs="Times New Roman"/>
          <w:sz w:val="24"/>
          <w:szCs w:val="24"/>
          <w:lang w:eastAsia="lv-LV"/>
        </w:rPr>
        <w:t xml:space="preserve"> – </w:t>
      </w:r>
      <w:r w:rsidRPr="00317AF9">
        <w:rPr>
          <w:rFonts w:eastAsia="Times New Roman" w:cs="Times New Roman"/>
          <w:sz w:val="24"/>
          <w:szCs w:val="24"/>
          <w:lang w:eastAsia="lv-LV"/>
        </w:rPr>
        <w:t>2010. gadā. 2023.</w:t>
      </w:r>
      <w:r w:rsidR="00822805" w:rsidRPr="00317AF9">
        <w:rPr>
          <w:rFonts w:eastAsia="Times New Roman" w:cs="Times New Roman"/>
          <w:sz w:val="24"/>
          <w:szCs w:val="24"/>
          <w:lang w:eastAsia="lv-LV"/>
        </w:rPr>
        <w:t xml:space="preserve"> </w:t>
      </w:r>
      <w:r w:rsidRPr="00317AF9">
        <w:rPr>
          <w:rFonts w:eastAsia="Times New Roman" w:cs="Times New Roman"/>
          <w:sz w:val="24"/>
          <w:szCs w:val="24"/>
          <w:lang w:eastAsia="lv-LV"/>
        </w:rPr>
        <w:t>gadā, patēriņa cenu pieaugumam mazinoties un darba samaksai palielinoties straujāk, algu pirktspēja pakāpeniski sāk atjaunoties, un gadā kopumā reālā neto darba samaksa ir pieaugusi par 2,2%. Tomēr, lai arī strādājošo pirktspēja pret iepriekšējo gadu sākusi atjaunoties, šogad tā vēl nebūs atgriezusies līmenī, kādā tā bija pirms straujā cenu kāpuma, un pilnībā to varētu sasniegt tikai 2025. gadā.</w:t>
      </w:r>
    </w:p>
    <w:p w14:paraId="6CA0DBF0" w14:textId="6FAFB3CB" w:rsidR="00594BC3" w:rsidRDefault="00594BC3" w:rsidP="00594BC3">
      <w:pPr>
        <w:autoSpaceDE w:val="0"/>
        <w:autoSpaceDN w:val="0"/>
        <w:adjustRightInd w:val="0"/>
        <w:rPr>
          <w:rFonts w:eastAsia="Times New Roman" w:cs="Times New Roman"/>
          <w:sz w:val="24"/>
          <w:szCs w:val="24"/>
          <w:lang w:eastAsia="lv-LV"/>
        </w:rPr>
      </w:pPr>
      <w:r w:rsidRPr="00317AF9">
        <w:rPr>
          <w:rFonts w:eastAsia="Times New Roman" w:cs="Times New Roman"/>
          <w:sz w:val="24"/>
          <w:szCs w:val="24"/>
          <w:lang w:eastAsia="lv-LV"/>
        </w:rPr>
        <w:lastRenderedPageBreak/>
        <w:t>Sagaidāms, ka mēneša vidējā darba samaksa šogad</w:t>
      </w:r>
      <w:r w:rsidRPr="00822805">
        <w:rPr>
          <w:rFonts w:eastAsia="Times New Roman" w:cs="Times New Roman"/>
          <w:sz w:val="24"/>
          <w:szCs w:val="24"/>
          <w:lang w:eastAsia="lv-LV"/>
        </w:rPr>
        <w:t xml:space="preserve"> turpinās palielināties, ko ietekmēs gan cenu līmeņa pieaugums, gan minimālās darba samaksas kāpums no 620 līdz 700 </w:t>
      </w:r>
      <w:proofErr w:type="spellStart"/>
      <w:r w:rsidRPr="00822805">
        <w:rPr>
          <w:rFonts w:eastAsia="Times New Roman" w:cs="Times New Roman"/>
          <w:i/>
          <w:iCs/>
          <w:sz w:val="24"/>
          <w:szCs w:val="24"/>
          <w:lang w:eastAsia="lv-LV"/>
        </w:rPr>
        <w:t>euro</w:t>
      </w:r>
      <w:proofErr w:type="spellEnd"/>
      <w:r w:rsidRPr="00822805">
        <w:rPr>
          <w:rFonts w:eastAsia="Times New Roman" w:cs="Times New Roman"/>
          <w:sz w:val="24"/>
          <w:szCs w:val="24"/>
          <w:lang w:eastAsia="lv-LV"/>
        </w:rPr>
        <w:t xml:space="preserve">, gan valsts budžeta izdevumu pieaugums sabiedriskā sektora darbinieku algām, tostarp veselības, aizsardzības un izglītības nozarēs, tomēr algu pieauguma temps kļūs būtiski lēnāks. </w:t>
      </w:r>
      <w:r w:rsidR="00822805" w:rsidRPr="00822805">
        <w:rPr>
          <w:rFonts w:eastAsia="Times New Roman" w:cs="Times New Roman"/>
          <w:sz w:val="24"/>
          <w:szCs w:val="24"/>
          <w:lang w:eastAsia="lv-LV"/>
        </w:rPr>
        <w:t>FM</w:t>
      </w:r>
      <w:r w:rsidRPr="00822805">
        <w:rPr>
          <w:rFonts w:eastAsia="Times New Roman" w:cs="Times New Roman"/>
          <w:sz w:val="24"/>
          <w:szCs w:val="24"/>
          <w:lang w:eastAsia="lv-LV"/>
        </w:rPr>
        <w:t xml:space="preserve"> prognozē, ka mēneša vidējā bruto darba samaksa šogad palielināsies par 7,5%, pārsniedzot 1650 </w:t>
      </w:r>
      <w:proofErr w:type="spellStart"/>
      <w:r w:rsidRPr="00822805">
        <w:rPr>
          <w:rFonts w:eastAsia="Times New Roman" w:cs="Times New Roman"/>
          <w:i/>
          <w:iCs/>
          <w:sz w:val="24"/>
          <w:szCs w:val="24"/>
          <w:lang w:eastAsia="lv-LV"/>
        </w:rPr>
        <w:t>euro</w:t>
      </w:r>
      <w:proofErr w:type="spellEnd"/>
      <w:r w:rsidRPr="00822805">
        <w:rPr>
          <w:rFonts w:eastAsia="Times New Roman" w:cs="Times New Roman"/>
          <w:sz w:val="24"/>
          <w:szCs w:val="24"/>
          <w:lang w:eastAsia="lv-LV"/>
        </w:rPr>
        <w:t>, bet nākamajos gados algu pieauguma temps kļūs lēnāks, pakāpeniski pietuvojoties produktivitātes pieauguma tempam un stabilizējoties 5% līmenī.</w:t>
      </w:r>
    </w:p>
    <w:p w14:paraId="392E0DB8" w14:textId="77777777" w:rsidR="00D17884" w:rsidRPr="00822805" w:rsidRDefault="00D17884" w:rsidP="00594BC3">
      <w:pPr>
        <w:autoSpaceDE w:val="0"/>
        <w:autoSpaceDN w:val="0"/>
        <w:adjustRightInd w:val="0"/>
        <w:rPr>
          <w:rFonts w:eastAsia="Times New Roman" w:cs="Times New Roman"/>
          <w:sz w:val="24"/>
          <w:szCs w:val="24"/>
          <w:lang w:eastAsia="lv-LV"/>
        </w:rPr>
      </w:pPr>
    </w:p>
    <w:p w14:paraId="72226605" w14:textId="77777777" w:rsidR="00594BC3" w:rsidRPr="00822805" w:rsidRDefault="00594BC3" w:rsidP="004F034A">
      <w:pPr>
        <w:pStyle w:val="Heading2"/>
        <w:numPr>
          <w:ilvl w:val="1"/>
          <w:numId w:val="14"/>
        </w:numPr>
        <w:ind w:left="0" w:firstLine="0"/>
        <w:rPr>
          <w:sz w:val="28"/>
          <w:szCs w:val="24"/>
        </w:rPr>
      </w:pPr>
      <w:bookmarkStart w:id="18" w:name="_Toc99981159"/>
      <w:bookmarkStart w:id="19" w:name="_Toc164679817"/>
      <w:r w:rsidRPr="00822805">
        <w:rPr>
          <w:sz w:val="28"/>
          <w:szCs w:val="24"/>
        </w:rPr>
        <w:t>Makroekonomiskās attīstības scenārijs</w:t>
      </w:r>
      <w:bookmarkEnd w:id="15"/>
      <w:bookmarkEnd w:id="16"/>
      <w:bookmarkEnd w:id="17"/>
      <w:bookmarkEnd w:id="18"/>
      <w:bookmarkEnd w:id="19"/>
    </w:p>
    <w:p w14:paraId="2CB0B3F2" w14:textId="77777777" w:rsidR="00594BC3" w:rsidRPr="00594BC3" w:rsidRDefault="00594BC3" w:rsidP="00594BC3">
      <w:pPr>
        <w:rPr>
          <w:highlight w:val="yellow"/>
        </w:rPr>
      </w:pPr>
    </w:p>
    <w:p w14:paraId="11F41492" w14:textId="19761E83" w:rsidR="00594BC3" w:rsidRPr="00796B1A" w:rsidRDefault="00594BC3" w:rsidP="00594BC3">
      <w:pPr>
        <w:rPr>
          <w:rFonts w:cs="Times New Roman"/>
          <w:sz w:val="24"/>
        </w:rPr>
      </w:pPr>
      <w:r w:rsidRPr="00796B1A">
        <w:rPr>
          <w:rFonts w:eastAsia="Times New Roman" w:cs="Times New Roman"/>
          <w:color w:val="000000"/>
          <w:sz w:val="24"/>
          <w:szCs w:val="23"/>
          <w:lang w:eastAsia="lv-LV"/>
        </w:rPr>
        <w:t>Makroekonomiskās attīstības scenārijs vidējam termiņam 2024.</w:t>
      </w:r>
      <w:r w:rsidR="00803C11" w:rsidRPr="00796B1A">
        <w:rPr>
          <w:rFonts w:eastAsia="Times New Roman" w:cs="Times New Roman"/>
          <w:color w:val="000000"/>
          <w:sz w:val="24"/>
          <w:szCs w:val="23"/>
          <w:lang w:eastAsia="lv-LV"/>
        </w:rPr>
        <w:t xml:space="preserve"> – </w:t>
      </w:r>
      <w:r w:rsidRPr="00796B1A">
        <w:rPr>
          <w:rFonts w:eastAsia="Times New Roman" w:cs="Times New Roman"/>
          <w:color w:val="000000"/>
          <w:sz w:val="24"/>
          <w:szCs w:val="23"/>
          <w:lang w:eastAsia="lv-LV"/>
        </w:rPr>
        <w:t xml:space="preserve">2028. gadam izstrādāts 2024. gada februārī, balstoties uz pieejamo makroekonomisko informāciju par periodu līdz 2023. gada beigām, tajā skaitā par </w:t>
      </w:r>
      <w:r w:rsidR="00796B1A" w:rsidRPr="00796B1A">
        <w:rPr>
          <w:rFonts w:eastAsia="Times New Roman" w:cs="Times New Roman"/>
          <w:color w:val="000000"/>
          <w:sz w:val="24"/>
          <w:szCs w:val="23"/>
          <w:lang w:eastAsia="lv-LV"/>
        </w:rPr>
        <w:t>IKP</w:t>
      </w:r>
      <w:r w:rsidRPr="00796B1A">
        <w:rPr>
          <w:rFonts w:eastAsia="Times New Roman" w:cs="Times New Roman"/>
          <w:color w:val="000000"/>
          <w:sz w:val="24"/>
          <w:szCs w:val="23"/>
          <w:lang w:eastAsia="lv-LV"/>
        </w:rPr>
        <w:t xml:space="preserve"> ātro novērtējumu par 2023. gada 4. ceturksni. Savukārt kā bāze ārējai ekonomiskajai videi, kas ir pamatā Latvijas eksporta prognozēm, izmantotas </w:t>
      </w:r>
      <w:r w:rsidR="00803C11" w:rsidRPr="00796B1A">
        <w:rPr>
          <w:rFonts w:eastAsia="Times New Roman" w:cs="Times New Roman"/>
          <w:color w:val="000000"/>
          <w:sz w:val="24"/>
          <w:szCs w:val="23"/>
          <w:lang w:eastAsia="lv-LV"/>
        </w:rPr>
        <w:t>EK</w:t>
      </w:r>
      <w:r w:rsidRPr="00796B1A">
        <w:rPr>
          <w:rFonts w:eastAsia="Times New Roman" w:cs="Times New Roman"/>
          <w:color w:val="000000"/>
          <w:sz w:val="24"/>
          <w:szCs w:val="23"/>
          <w:lang w:eastAsia="lv-LV"/>
        </w:rPr>
        <w:t xml:space="preserve"> un </w:t>
      </w:r>
      <w:r w:rsidR="00803C11" w:rsidRPr="00796B1A">
        <w:rPr>
          <w:rFonts w:eastAsia="Times New Roman" w:cs="Times New Roman"/>
          <w:color w:val="000000"/>
          <w:sz w:val="24"/>
          <w:szCs w:val="23"/>
          <w:lang w:eastAsia="lv-LV"/>
        </w:rPr>
        <w:t>SVF</w:t>
      </w:r>
      <w:r w:rsidRPr="00796B1A">
        <w:rPr>
          <w:rFonts w:eastAsia="Times New Roman" w:cs="Times New Roman"/>
          <w:color w:val="000000"/>
          <w:sz w:val="24"/>
          <w:szCs w:val="23"/>
          <w:lang w:eastAsia="lv-LV"/>
        </w:rPr>
        <w:t xml:space="preserve"> jaunākās, 2024. gada ziemas</w:t>
      </w:r>
      <w:r w:rsidR="00796B1A" w:rsidRPr="00796B1A">
        <w:rPr>
          <w:rFonts w:eastAsia="Times New Roman" w:cs="Times New Roman"/>
          <w:color w:val="000000"/>
          <w:sz w:val="24"/>
          <w:szCs w:val="23"/>
          <w:lang w:eastAsia="lv-LV"/>
        </w:rPr>
        <w:t>,</w:t>
      </w:r>
      <w:r w:rsidRPr="00796B1A">
        <w:rPr>
          <w:rFonts w:eastAsia="Times New Roman" w:cs="Times New Roman"/>
          <w:color w:val="000000"/>
          <w:sz w:val="24"/>
          <w:szCs w:val="23"/>
          <w:lang w:eastAsia="lv-LV"/>
        </w:rPr>
        <w:t xml:space="preserve"> prognozes. Izstrādājot makroekonomisko rādītāju prognozes, </w:t>
      </w:r>
      <w:r w:rsidR="00803C11" w:rsidRPr="00796B1A">
        <w:rPr>
          <w:rFonts w:eastAsia="Times New Roman" w:cs="Times New Roman"/>
          <w:color w:val="000000"/>
          <w:sz w:val="24"/>
          <w:szCs w:val="23"/>
          <w:lang w:eastAsia="lv-LV"/>
        </w:rPr>
        <w:t>FM</w:t>
      </w:r>
      <w:r w:rsidRPr="00796B1A">
        <w:rPr>
          <w:rFonts w:eastAsia="Times New Roman" w:cs="Times New Roman"/>
          <w:color w:val="000000"/>
          <w:sz w:val="24"/>
          <w:szCs w:val="23"/>
          <w:lang w:eastAsia="lv-LV"/>
        </w:rPr>
        <w:t xml:space="preserve"> ir konsultējusies ar Latvijas Bankas</w:t>
      </w:r>
      <w:r w:rsidR="007047D1">
        <w:rPr>
          <w:rFonts w:eastAsia="Times New Roman" w:cs="Times New Roman"/>
          <w:color w:val="000000"/>
          <w:sz w:val="24"/>
          <w:szCs w:val="23"/>
          <w:lang w:eastAsia="lv-LV"/>
        </w:rPr>
        <w:t xml:space="preserve"> (LB)</w:t>
      </w:r>
      <w:r w:rsidRPr="00796B1A">
        <w:rPr>
          <w:rFonts w:eastAsia="Times New Roman" w:cs="Times New Roman"/>
          <w:color w:val="000000"/>
          <w:sz w:val="24"/>
          <w:szCs w:val="23"/>
          <w:lang w:eastAsia="lv-LV"/>
        </w:rPr>
        <w:t xml:space="preserve"> un Ekonomikas ministrijas</w:t>
      </w:r>
      <w:r w:rsidR="007047D1">
        <w:rPr>
          <w:rFonts w:eastAsia="Times New Roman" w:cs="Times New Roman"/>
          <w:color w:val="000000"/>
          <w:sz w:val="24"/>
          <w:szCs w:val="23"/>
          <w:lang w:eastAsia="lv-LV"/>
        </w:rPr>
        <w:t xml:space="preserve"> (EM)</w:t>
      </w:r>
      <w:r w:rsidRPr="00796B1A">
        <w:rPr>
          <w:rFonts w:eastAsia="Times New Roman" w:cs="Times New Roman"/>
          <w:color w:val="000000"/>
          <w:sz w:val="24"/>
          <w:szCs w:val="23"/>
          <w:lang w:eastAsia="lv-LV"/>
        </w:rPr>
        <w:t xml:space="preserve">, kā arī EK un SVF ekspertiem. Makroekonomisko rādītāju prognozes ir apstiprinājusi Fiskālās disciplīnas padome </w:t>
      </w:r>
      <w:r w:rsidR="007047D1">
        <w:rPr>
          <w:rFonts w:eastAsia="Times New Roman" w:cs="Times New Roman"/>
          <w:color w:val="000000"/>
          <w:sz w:val="24"/>
          <w:szCs w:val="23"/>
          <w:lang w:eastAsia="lv-LV"/>
        </w:rPr>
        <w:t xml:space="preserve">(FDP) </w:t>
      </w:r>
      <w:r w:rsidRPr="00796B1A">
        <w:rPr>
          <w:rFonts w:eastAsia="Times New Roman" w:cs="Times New Roman"/>
          <w:color w:val="000000"/>
          <w:sz w:val="24"/>
          <w:szCs w:val="23"/>
          <w:lang w:eastAsia="lv-LV"/>
        </w:rPr>
        <w:t>2024. gada 12. februārī, publicējot savu atzinumu.</w:t>
      </w:r>
    </w:p>
    <w:p w14:paraId="5BC5EDB8" w14:textId="77777777" w:rsidR="00594BC3" w:rsidRPr="00B958F5" w:rsidRDefault="00594BC3" w:rsidP="00594BC3">
      <w:pPr>
        <w:pStyle w:val="H4"/>
        <w:ind w:left="0" w:firstLine="720"/>
        <w:jc w:val="both"/>
        <w:rPr>
          <w:rFonts w:ascii="Times New Roman" w:hAnsi="Times New Roman"/>
          <w:iCs/>
          <w:sz w:val="24"/>
          <w:szCs w:val="22"/>
        </w:rPr>
      </w:pPr>
      <w:r w:rsidRPr="00B958F5">
        <w:rPr>
          <w:rFonts w:ascii="Times New Roman" w:hAnsi="Times New Roman"/>
          <w:iCs/>
          <w:sz w:val="24"/>
          <w:szCs w:val="22"/>
        </w:rPr>
        <w:t>Bāzes scenārijs</w:t>
      </w:r>
    </w:p>
    <w:p w14:paraId="533D8D06" w14:textId="01E916A2" w:rsidR="00594BC3" w:rsidRPr="00B958F5" w:rsidRDefault="00594BC3" w:rsidP="00594BC3">
      <w:pPr>
        <w:rPr>
          <w:rFonts w:cs="Times New Roman"/>
          <w:sz w:val="24"/>
        </w:rPr>
      </w:pPr>
      <w:r w:rsidRPr="00B958F5">
        <w:rPr>
          <w:rFonts w:cs="Times New Roman"/>
          <w:sz w:val="24"/>
        </w:rPr>
        <w:t xml:space="preserve">Saskaņā ar </w:t>
      </w:r>
      <w:r w:rsidR="00317AF9">
        <w:rPr>
          <w:rFonts w:cs="Times New Roman"/>
          <w:sz w:val="24"/>
        </w:rPr>
        <w:t xml:space="preserve">2024. </w:t>
      </w:r>
      <w:r w:rsidRPr="00B958F5">
        <w:rPr>
          <w:rFonts w:cs="Times New Roman"/>
          <w:sz w:val="24"/>
        </w:rPr>
        <w:t xml:space="preserve">gada februārī izstrādāto scenāriju, Latvijas </w:t>
      </w:r>
      <w:r w:rsidR="00B958F5" w:rsidRPr="00B958F5">
        <w:rPr>
          <w:rFonts w:cs="Times New Roman"/>
          <w:sz w:val="24"/>
        </w:rPr>
        <w:t>IKP</w:t>
      </w:r>
      <w:r w:rsidRPr="00B958F5">
        <w:rPr>
          <w:rFonts w:cs="Times New Roman"/>
          <w:sz w:val="24"/>
        </w:rPr>
        <w:t xml:space="preserve"> 2024.</w:t>
      </w:r>
      <w:r w:rsidR="00796B1A" w:rsidRPr="00B958F5">
        <w:rPr>
          <w:rFonts w:cs="Times New Roman"/>
          <w:sz w:val="24"/>
        </w:rPr>
        <w:t xml:space="preserve"> </w:t>
      </w:r>
      <w:r w:rsidRPr="00B958F5">
        <w:rPr>
          <w:rFonts w:cs="Times New Roman"/>
          <w:sz w:val="24"/>
        </w:rPr>
        <w:t>gadā palielināsies par 1,4%, bet 2025.</w:t>
      </w:r>
      <w:r w:rsidR="00796B1A" w:rsidRPr="00B958F5">
        <w:rPr>
          <w:rFonts w:cs="Times New Roman"/>
          <w:sz w:val="24"/>
        </w:rPr>
        <w:t xml:space="preserve"> </w:t>
      </w:r>
      <w:r w:rsidRPr="00B958F5">
        <w:rPr>
          <w:rFonts w:cs="Times New Roman"/>
          <w:sz w:val="24"/>
        </w:rPr>
        <w:t>gadā gaidāma ekonomikas izaugsmes paātrināšanās līdz 2,9%. Salīdzinot ar iepriekšējām, 2023.</w:t>
      </w:r>
      <w:r w:rsidR="00796B1A" w:rsidRPr="00B958F5">
        <w:rPr>
          <w:rFonts w:cs="Times New Roman"/>
          <w:sz w:val="24"/>
        </w:rPr>
        <w:t xml:space="preserve"> </w:t>
      </w:r>
      <w:r w:rsidRPr="00B958F5">
        <w:rPr>
          <w:rFonts w:cs="Times New Roman"/>
          <w:sz w:val="24"/>
        </w:rPr>
        <w:t>gada jūnija sākumā izstrādātajām prognozēm, IKP pieauguma prognoze 2024.</w:t>
      </w:r>
      <w:r w:rsidR="00B958F5" w:rsidRPr="00B958F5">
        <w:rPr>
          <w:rFonts w:cs="Times New Roman"/>
          <w:sz w:val="24"/>
        </w:rPr>
        <w:t xml:space="preserve"> </w:t>
      </w:r>
      <w:r w:rsidRPr="00B958F5">
        <w:rPr>
          <w:rFonts w:cs="Times New Roman"/>
          <w:sz w:val="24"/>
        </w:rPr>
        <w:t>gadam ir samazināta par 1,1 procentpunktu, bet 2025.</w:t>
      </w:r>
      <w:r w:rsidR="00796B1A" w:rsidRPr="00B958F5">
        <w:rPr>
          <w:rFonts w:cs="Times New Roman"/>
          <w:sz w:val="24"/>
        </w:rPr>
        <w:t xml:space="preserve"> </w:t>
      </w:r>
      <w:r w:rsidRPr="00B958F5">
        <w:rPr>
          <w:rFonts w:cs="Times New Roman"/>
          <w:sz w:val="24"/>
        </w:rPr>
        <w:t>gadam prognoze nav mainīta. Nākamajos trīs gados ekonomikas izaugsme nedaudz palēnināsies, 2026.</w:t>
      </w:r>
      <w:r w:rsidR="00796B1A" w:rsidRPr="00B958F5">
        <w:rPr>
          <w:rFonts w:cs="Times New Roman"/>
          <w:sz w:val="24"/>
        </w:rPr>
        <w:t xml:space="preserve"> </w:t>
      </w:r>
      <w:r w:rsidRPr="00B958F5">
        <w:rPr>
          <w:rFonts w:cs="Times New Roman"/>
          <w:sz w:val="24"/>
        </w:rPr>
        <w:t>gadā veidojot 2,5% un līdz 2028.</w:t>
      </w:r>
      <w:r w:rsidR="00B958F5" w:rsidRPr="00B958F5">
        <w:rPr>
          <w:rFonts w:cs="Times New Roman"/>
          <w:sz w:val="24"/>
        </w:rPr>
        <w:t xml:space="preserve"> </w:t>
      </w:r>
      <w:r w:rsidRPr="00B958F5">
        <w:rPr>
          <w:rFonts w:cs="Times New Roman"/>
          <w:sz w:val="24"/>
        </w:rPr>
        <w:t>gadam palēninoties līdz 2,3%.</w:t>
      </w:r>
    </w:p>
    <w:p w14:paraId="7B580F92" w14:textId="0355E73C" w:rsidR="00594BC3" w:rsidRPr="00B958F5" w:rsidRDefault="00594BC3" w:rsidP="00594BC3">
      <w:pPr>
        <w:rPr>
          <w:rFonts w:cs="Times New Roman"/>
          <w:sz w:val="24"/>
        </w:rPr>
      </w:pPr>
      <w:r w:rsidRPr="00B958F5">
        <w:rPr>
          <w:rFonts w:cs="Times New Roman"/>
          <w:sz w:val="24"/>
        </w:rPr>
        <w:t>Zemāku ekonomikas izaugsmes prognozi 2024.</w:t>
      </w:r>
      <w:r w:rsidR="00796B1A" w:rsidRPr="00B958F5">
        <w:rPr>
          <w:rFonts w:cs="Times New Roman"/>
          <w:sz w:val="24"/>
        </w:rPr>
        <w:t xml:space="preserve"> </w:t>
      </w:r>
      <w:r w:rsidRPr="00B958F5">
        <w:rPr>
          <w:rFonts w:cs="Times New Roman"/>
          <w:sz w:val="24"/>
        </w:rPr>
        <w:t xml:space="preserve">gadam lielā mērā noteica pagājušā gada dinamika, jo IKP pieaugums nesasniedza prognozēto. Tā iemesls bija </w:t>
      </w:r>
      <w:r w:rsidR="00B958F5" w:rsidRPr="00B958F5">
        <w:rPr>
          <w:rFonts w:cs="Times New Roman"/>
          <w:sz w:val="24"/>
        </w:rPr>
        <w:t>sarūkošs</w:t>
      </w:r>
      <w:r w:rsidRPr="00B958F5">
        <w:rPr>
          <w:rFonts w:cs="Times New Roman"/>
          <w:sz w:val="24"/>
        </w:rPr>
        <w:t xml:space="preserve"> pieprasījums ārējā tirgū un augstais cenu līmenis, kavējot privātā patēriņa izaugsmi Latvijā. 2023. gadā Latvijas ekonomika saruka par 0,3%, ko visbūtiskāk ietekmēja eksporta un privātā patēriņa kritums, kamēr pozitīvi devumi bija investīciju un sabiedriskā patēriņa kāpumam.</w:t>
      </w:r>
    </w:p>
    <w:p w14:paraId="7C5A3F8F" w14:textId="00188AD1" w:rsidR="00594BC3" w:rsidRPr="00B958F5" w:rsidRDefault="00594BC3" w:rsidP="00594BC3">
      <w:pPr>
        <w:rPr>
          <w:rFonts w:cs="Times New Roman"/>
          <w:sz w:val="24"/>
        </w:rPr>
      </w:pPr>
      <w:r w:rsidRPr="00B958F5">
        <w:rPr>
          <w:rFonts w:cs="Times New Roman"/>
          <w:sz w:val="24"/>
        </w:rPr>
        <w:t>Vienlaikus jau no 2024. gada otrās puses, Eiropas ekonomikai sākot augt straujāk un arvien mazinoties nesenā krasā cenu kāpuma negatīvajai ietekmei uz Latvijas iedzīvotāju pirktspēju, arī Latvijas ekonomikas izaugsme kļūs straujāka, 2025.</w:t>
      </w:r>
      <w:r w:rsidR="00B958F5" w:rsidRPr="00B958F5">
        <w:rPr>
          <w:rFonts w:cs="Times New Roman"/>
          <w:sz w:val="24"/>
        </w:rPr>
        <w:t xml:space="preserve"> </w:t>
      </w:r>
      <w:r w:rsidRPr="00B958F5">
        <w:rPr>
          <w:rFonts w:cs="Times New Roman"/>
          <w:sz w:val="24"/>
        </w:rPr>
        <w:t xml:space="preserve">gadā paātrinoties līdz 2,9%. Būtiska loma šeit būs arī lielo investīciju projektu realizācijai un </w:t>
      </w:r>
      <w:r w:rsidR="00B958F5" w:rsidRPr="00B958F5">
        <w:rPr>
          <w:rFonts w:cs="Times New Roman"/>
          <w:sz w:val="24"/>
        </w:rPr>
        <w:t>ES</w:t>
      </w:r>
      <w:r w:rsidRPr="00B958F5">
        <w:rPr>
          <w:rFonts w:cs="Times New Roman"/>
          <w:sz w:val="24"/>
        </w:rPr>
        <w:t xml:space="preserve"> fondu finansējuma pieaugumam.</w:t>
      </w:r>
    </w:p>
    <w:p w14:paraId="2D4543F7" w14:textId="38CE0A82" w:rsidR="00594BC3" w:rsidRPr="00B958F5" w:rsidRDefault="00594BC3" w:rsidP="00594BC3">
      <w:pPr>
        <w:rPr>
          <w:rFonts w:cs="Times New Roman"/>
          <w:sz w:val="24"/>
        </w:rPr>
      </w:pPr>
      <w:r w:rsidRPr="00B958F5">
        <w:rPr>
          <w:rFonts w:cs="Times New Roman"/>
          <w:sz w:val="24"/>
        </w:rPr>
        <w:t xml:space="preserve">Investīciju (bruto pamatkapitāla veidošanas) pieaugums 2024. un 2025. gadā prognozēts ap 4% apmērā, kas ir par attiecīgi par 0,7 un 1,3 procentpunktiem vairāk nekā prognozēts 2023. gada jūnijā. </w:t>
      </w:r>
      <w:r w:rsidR="00CF68A1" w:rsidRPr="00CF68A1">
        <w:rPr>
          <w:rFonts w:cs="Times New Roman"/>
          <w:sz w:val="24"/>
        </w:rPr>
        <w:t>Pieaugumu noteiks gaidāmais ES līdzekļu izmantošanas pieaugums, ko veicinās sagaidāmais ANM noslēgums 2026. gadā</w:t>
      </w:r>
      <w:r w:rsidRPr="00B958F5">
        <w:rPr>
          <w:rFonts w:cs="Times New Roman"/>
          <w:sz w:val="24"/>
        </w:rPr>
        <w:t>. Savukārt nākamajos gados investīciju pieaugums būs ap 3%, pieņemot, ka investīciju vide, tajā skaitā cenu stabilitāte un uzņēmēju konfidence nepasliktināsies.</w:t>
      </w:r>
    </w:p>
    <w:p w14:paraId="554D2DAD" w14:textId="207CE56C" w:rsidR="00594BC3" w:rsidRPr="00B958F5" w:rsidRDefault="00594BC3" w:rsidP="00594BC3">
      <w:pPr>
        <w:rPr>
          <w:rFonts w:cs="Times New Roman"/>
          <w:sz w:val="24"/>
        </w:rPr>
      </w:pPr>
      <w:r w:rsidRPr="00B958F5">
        <w:rPr>
          <w:rFonts w:cs="Times New Roman"/>
          <w:sz w:val="24"/>
        </w:rPr>
        <w:t xml:space="preserve">Ārējo tirdzniecību 2023. gadā ietekmēja tirdzniecības apjomu samazinājums ar Krieviju un vēl lielākā mērā energoresursu cenu kritums. Kopumā ES un </w:t>
      </w:r>
      <w:proofErr w:type="spellStart"/>
      <w:r w:rsidRPr="00B958F5">
        <w:rPr>
          <w:rFonts w:cs="Times New Roman"/>
          <w:i/>
          <w:iCs/>
          <w:sz w:val="24"/>
        </w:rPr>
        <w:t>e</w:t>
      </w:r>
      <w:r w:rsidR="00B958F5" w:rsidRPr="00B958F5">
        <w:rPr>
          <w:rFonts w:cs="Times New Roman"/>
          <w:i/>
          <w:iCs/>
          <w:sz w:val="24"/>
        </w:rPr>
        <w:t>ur</w:t>
      </w:r>
      <w:r w:rsidRPr="00B958F5">
        <w:rPr>
          <w:rFonts w:cs="Times New Roman"/>
          <w:i/>
          <w:iCs/>
          <w:sz w:val="24"/>
        </w:rPr>
        <w:t>o</w:t>
      </w:r>
      <w:proofErr w:type="spellEnd"/>
      <w:r w:rsidR="00B958F5" w:rsidRPr="00B958F5">
        <w:rPr>
          <w:rFonts w:cs="Times New Roman"/>
          <w:sz w:val="24"/>
        </w:rPr>
        <w:t xml:space="preserve"> </w:t>
      </w:r>
      <w:r w:rsidRPr="00B958F5">
        <w:rPr>
          <w:rFonts w:cs="Times New Roman"/>
          <w:sz w:val="24"/>
        </w:rPr>
        <w:t>zonai šim gadam gan ir prognozēti augstāki izaugsmes tempi nekā 2023.</w:t>
      </w:r>
      <w:r w:rsidR="00B958F5" w:rsidRPr="00B958F5">
        <w:rPr>
          <w:rFonts w:cs="Times New Roman"/>
          <w:sz w:val="24"/>
        </w:rPr>
        <w:t xml:space="preserve"> </w:t>
      </w:r>
      <w:r w:rsidRPr="00B958F5">
        <w:rPr>
          <w:rFonts w:cs="Times New Roman"/>
          <w:sz w:val="24"/>
        </w:rPr>
        <w:t xml:space="preserve">gadā, tomēr tie joprojām ir vēsturiski zemā līmenī. Joprojām saglabājas visai augsta nenoteiktība gan saistībā ar Krievijas sākto karu Ukrainā, gan ECB politiku un prognozēm par iespējamu procentu likmju pazemināšanas sākšanu </w:t>
      </w:r>
      <w:r w:rsidR="00CF6C5C">
        <w:rPr>
          <w:rFonts w:cs="Times New Roman"/>
          <w:sz w:val="24"/>
        </w:rPr>
        <w:t>2024.</w:t>
      </w:r>
      <w:r w:rsidRPr="00B958F5">
        <w:rPr>
          <w:rFonts w:cs="Times New Roman"/>
          <w:sz w:val="24"/>
        </w:rPr>
        <w:t xml:space="preserve"> gada laikā. Tāpēc prognožu periodā gaidāms, ka, stabilizējoties ārējam </w:t>
      </w:r>
      <w:r w:rsidRPr="00B958F5">
        <w:rPr>
          <w:rFonts w:cs="Times New Roman"/>
          <w:sz w:val="24"/>
        </w:rPr>
        <w:lastRenderedPageBreak/>
        <w:t>pieprasījumam, eksporta pieaugums atjaunosies 4% apmērā, tomēr bāzes efektu dēļ 2024.</w:t>
      </w:r>
      <w:r w:rsidR="00B958F5" w:rsidRPr="00B958F5">
        <w:rPr>
          <w:rFonts w:cs="Times New Roman"/>
          <w:sz w:val="24"/>
        </w:rPr>
        <w:t xml:space="preserve"> </w:t>
      </w:r>
      <w:r w:rsidRPr="00B958F5">
        <w:rPr>
          <w:rFonts w:cs="Times New Roman"/>
          <w:sz w:val="24"/>
        </w:rPr>
        <w:t>gadā būs vērojams 0,8% samazinājums.</w:t>
      </w:r>
    </w:p>
    <w:p w14:paraId="0CDE229D" w14:textId="04D39462" w:rsidR="00594BC3" w:rsidRPr="00B958F5" w:rsidRDefault="00594BC3" w:rsidP="00594BC3">
      <w:pPr>
        <w:rPr>
          <w:rFonts w:cs="Times New Roman"/>
          <w:sz w:val="24"/>
        </w:rPr>
      </w:pPr>
      <w:r w:rsidRPr="00B958F5">
        <w:rPr>
          <w:rFonts w:cs="Times New Roman"/>
          <w:sz w:val="24"/>
        </w:rPr>
        <w:t>Līdz ar straujo energoresursu un citu izejvielu cenu kritumu pasaules tirgos, kas atstāj stabilizējošu ietekmi arī uz pārējo preču cenām, kā arī ECB realizēto stingro inflācijas ierobežošanas politiku, Latvijas inflācijas prognoze 2024.</w:t>
      </w:r>
      <w:r w:rsidR="00B958F5" w:rsidRPr="00B958F5">
        <w:rPr>
          <w:rFonts w:cs="Times New Roman"/>
          <w:sz w:val="24"/>
        </w:rPr>
        <w:t xml:space="preserve"> </w:t>
      </w:r>
      <w:r w:rsidRPr="00B958F5">
        <w:rPr>
          <w:rFonts w:cs="Times New Roman"/>
          <w:sz w:val="24"/>
        </w:rPr>
        <w:t>gadam ir samazināta līdz 1,6%. Iepriekšējās, 2023.</w:t>
      </w:r>
      <w:r w:rsidR="00B958F5" w:rsidRPr="00B958F5">
        <w:rPr>
          <w:rFonts w:cs="Times New Roman"/>
          <w:sz w:val="24"/>
        </w:rPr>
        <w:t xml:space="preserve"> </w:t>
      </w:r>
      <w:r w:rsidRPr="00B958F5">
        <w:rPr>
          <w:rFonts w:cs="Times New Roman"/>
          <w:sz w:val="24"/>
        </w:rPr>
        <w:t xml:space="preserve">gada jūnijā sagatavotajās prognozēs </w:t>
      </w:r>
      <w:r w:rsidR="00B958F5" w:rsidRPr="00B958F5">
        <w:rPr>
          <w:rFonts w:cs="Times New Roman"/>
          <w:sz w:val="24"/>
        </w:rPr>
        <w:t>FM</w:t>
      </w:r>
      <w:r w:rsidRPr="00B958F5">
        <w:rPr>
          <w:rFonts w:cs="Times New Roman"/>
          <w:sz w:val="24"/>
        </w:rPr>
        <w:t xml:space="preserve"> šim gadam bija prognozējusi cenu pieaugumu 2,2% apmērā. Vidējā termiņā, laikā līdz 2028.</w:t>
      </w:r>
      <w:r w:rsidR="00B958F5" w:rsidRPr="00B958F5">
        <w:rPr>
          <w:rFonts w:cs="Times New Roman"/>
          <w:sz w:val="24"/>
        </w:rPr>
        <w:t xml:space="preserve"> </w:t>
      </w:r>
      <w:r w:rsidRPr="00B958F5">
        <w:rPr>
          <w:rFonts w:cs="Times New Roman"/>
          <w:sz w:val="24"/>
        </w:rPr>
        <w:t>gadam prognozējama inflācijas stabilizēšanās ap 2,5%, kas atbilst konverģējošas valsts cenu pieauguma līmenim.</w:t>
      </w:r>
    </w:p>
    <w:p w14:paraId="40E28F91" w14:textId="1F858AD9" w:rsidR="00594BC3" w:rsidRPr="00B958F5" w:rsidRDefault="00594BC3" w:rsidP="00594BC3">
      <w:pPr>
        <w:rPr>
          <w:rFonts w:cs="Times New Roman"/>
          <w:sz w:val="24"/>
        </w:rPr>
      </w:pPr>
      <w:r w:rsidRPr="00B958F5">
        <w:rPr>
          <w:rFonts w:cs="Times New Roman"/>
          <w:sz w:val="24"/>
        </w:rPr>
        <w:t>Ekonomiskās izaugsmes palēnināšanās un pēdējos ceturkšņos arī kritums līdz šim praktiski nav atstājis ietekmi uz bezdarba un nodarbinātības rādītājiem, kas, salīdzinot ar iepriekšējām prognozēm nav būtiski koriģēti. Pēc FM prognozēm, bezdarba līmenis šogad varētu nedaudz samazināties (par 0,1 procentpunktu salīdzinājumā ar 2023. gadu) līdz 6,4%, bet pēc tam straujākas ekonomikas izaugsmes un demogrāfiskās situācijas ietekmē līdz 2028.</w:t>
      </w:r>
      <w:r w:rsidR="00B958F5" w:rsidRPr="00B958F5">
        <w:rPr>
          <w:rFonts w:cs="Times New Roman"/>
          <w:sz w:val="24"/>
        </w:rPr>
        <w:t xml:space="preserve"> </w:t>
      </w:r>
      <w:r w:rsidRPr="00B958F5">
        <w:rPr>
          <w:rFonts w:cs="Times New Roman"/>
          <w:sz w:val="24"/>
        </w:rPr>
        <w:t>gadam pakāpeniski noslīdēt līdz 5% līmenim. Tautsaimniecībā nodarbināto iedzīvotāju skaits saglabāsies stabils, 884 tūkst</w:t>
      </w:r>
      <w:r w:rsidR="00B958F5" w:rsidRPr="00B958F5">
        <w:rPr>
          <w:rFonts w:cs="Times New Roman"/>
          <w:sz w:val="24"/>
        </w:rPr>
        <w:t xml:space="preserve">. </w:t>
      </w:r>
      <w:r w:rsidRPr="00B958F5">
        <w:rPr>
          <w:rFonts w:cs="Times New Roman"/>
          <w:sz w:val="24"/>
        </w:rPr>
        <w:t>līmenī, ar nelielu lejupvērstu tendenci.</w:t>
      </w:r>
    </w:p>
    <w:p w14:paraId="7DF591F1" w14:textId="7AC53E7C" w:rsidR="00594BC3" w:rsidRPr="00B958F5" w:rsidRDefault="00594BC3" w:rsidP="00364C12">
      <w:pPr>
        <w:rPr>
          <w:rFonts w:cs="Times New Roman"/>
          <w:sz w:val="24"/>
        </w:rPr>
      </w:pPr>
      <w:r w:rsidRPr="00B958F5">
        <w:rPr>
          <w:rFonts w:cs="Times New Roman"/>
          <w:sz w:val="24"/>
        </w:rPr>
        <w:t xml:space="preserve">Mēneša vidējā darba samaksa </w:t>
      </w:r>
      <w:r w:rsidR="00CF6C5C">
        <w:rPr>
          <w:rFonts w:cs="Times New Roman"/>
          <w:sz w:val="24"/>
        </w:rPr>
        <w:t>2024. gadā</w:t>
      </w:r>
      <w:r w:rsidRPr="00B958F5">
        <w:rPr>
          <w:rFonts w:cs="Times New Roman"/>
          <w:sz w:val="24"/>
        </w:rPr>
        <w:t xml:space="preserve"> turpinās palielināties, ko ietekmēs gan cenu līmeņa pieaugums, gan minimālās darba samaksas kāpums no 620 līdz 700 </w:t>
      </w:r>
      <w:proofErr w:type="spellStart"/>
      <w:r w:rsidRPr="00B958F5">
        <w:rPr>
          <w:rFonts w:cs="Times New Roman"/>
          <w:i/>
          <w:iCs/>
          <w:sz w:val="24"/>
        </w:rPr>
        <w:t>euro</w:t>
      </w:r>
      <w:proofErr w:type="spellEnd"/>
      <w:r w:rsidRPr="00B958F5">
        <w:rPr>
          <w:rFonts w:cs="Times New Roman"/>
          <w:sz w:val="24"/>
        </w:rPr>
        <w:t>, gan valsts budžeta izdevumu pieaugums sabiedriskā sektora darbinieku algām, tostarp veselības, aizsardzības un izglītības nozarēs. FM prognozē, ka mēneša vidējā bruto darba samaksa šogad palielināsies par 7,5%, sasniedzot 1</w:t>
      </w:r>
      <w:r w:rsidR="007047D1">
        <w:rPr>
          <w:rFonts w:cs="Times New Roman"/>
          <w:sz w:val="24"/>
        </w:rPr>
        <w:t xml:space="preserve"> </w:t>
      </w:r>
      <w:r w:rsidRPr="00B958F5">
        <w:rPr>
          <w:rFonts w:cs="Times New Roman"/>
          <w:sz w:val="24"/>
        </w:rPr>
        <w:t xml:space="preserve">652 </w:t>
      </w:r>
      <w:proofErr w:type="spellStart"/>
      <w:r w:rsidRPr="00B958F5">
        <w:rPr>
          <w:rFonts w:cs="Times New Roman"/>
          <w:i/>
          <w:iCs/>
          <w:sz w:val="24"/>
        </w:rPr>
        <w:t>euro</w:t>
      </w:r>
      <w:proofErr w:type="spellEnd"/>
      <w:r w:rsidRPr="00B958F5">
        <w:rPr>
          <w:rFonts w:cs="Times New Roman"/>
          <w:sz w:val="24"/>
        </w:rPr>
        <w:t>, bet nākamajos gados algu pieauguma temps kļūs lēnāks, pakāpeniski pietuvojoties produktivitātes pieauguma tempam un stabilizējoties 5% līmenī.</w:t>
      </w:r>
    </w:p>
    <w:p w14:paraId="50ECCCC7" w14:textId="733B2C66" w:rsidR="00594BC3" w:rsidRPr="00B958F5" w:rsidRDefault="00594BC3" w:rsidP="00594BC3">
      <w:pPr>
        <w:pStyle w:val="ListParagraph"/>
        <w:spacing w:after="120"/>
        <w:ind w:left="780" w:firstLine="0"/>
        <w:jc w:val="right"/>
        <w:rPr>
          <w:rFonts w:cs="Times New Roman"/>
          <w:b/>
          <w:i/>
          <w:sz w:val="24"/>
          <w:szCs w:val="24"/>
        </w:rPr>
      </w:pPr>
      <w:r w:rsidRPr="00B958F5">
        <w:rPr>
          <w:rFonts w:cs="Times New Roman"/>
          <w:b/>
          <w:i/>
          <w:sz w:val="24"/>
          <w:szCs w:val="24"/>
        </w:rPr>
        <w:t>2.1.</w:t>
      </w:r>
      <w:r w:rsidR="007047D1">
        <w:rPr>
          <w:rFonts w:cs="Times New Roman"/>
          <w:b/>
          <w:i/>
          <w:sz w:val="24"/>
          <w:szCs w:val="24"/>
        </w:rPr>
        <w:t xml:space="preserve"> </w:t>
      </w:r>
      <w:r w:rsidRPr="00B958F5">
        <w:rPr>
          <w:rFonts w:cs="Times New Roman"/>
          <w:b/>
          <w:i/>
          <w:sz w:val="24"/>
          <w:szCs w:val="24"/>
        </w:rPr>
        <w:t>tabula. Izaugsme un ar to saistītie faktori</w:t>
      </w:r>
    </w:p>
    <w:tbl>
      <w:tblPr>
        <w:tblStyle w:val="GridTable6Colorful-Accent1"/>
        <w:tblW w:w="8926" w:type="dxa"/>
        <w:jc w:val="center"/>
        <w:tblLayout w:type="fixed"/>
        <w:tblCellMar>
          <w:left w:w="28" w:type="dxa"/>
          <w:right w:w="28" w:type="dxa"/>
        </w:tblCellMar>
        <w:tblLook w:val="04A0" w:firstRow="1" w:lastRow="0" w:firstColumn="1" w:lastColumn="0" w:noHBand="0" w:noVBand="1"/>
      </w:tblPr>
      <w:tblGrid>
        <w:gridCol w:w="3256"/>
        <w:gridCol w:w="850"/>
        <w:gridCol w:w="851"/>
        <w:gridCol w:w="661"/>
        <w:gridCol w:w="662"/>
        <w:gridCol w:w="661"/>
        <w:gridCol w:w="662"/>
        <w:gridCol w:w="661"/>
        <w:gridCol w:w="662"/>
      </w:tblGrid>
      <w:tr w:rsidR="00594BC3" w:rsidRPr="00B958F5" w14:paraId="50324A4D" w14:textId="77777777" w:rsidTr="000E7B7F">
        <w:trPr>
          <w:cnfStyle w:val="100000000000" w:firstRow="1" w:lastRow="0" w:firstColumn="0" w:lastColumn="0" w:oddVBand="0" w:evenVBand="0" w:oddHBand="0"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3256" w:type="dxa"/>
            <w:vMerge w:val="restart"/>
            <w:vAlign w:val="center"/>
            <w:hideMark/>
          </w:tcPr>
          <w:p w14:paraId="2778BC72" w14:textId="77777777" w:rsidR="00594BC3" w:rsidRPr="00B958F5" w:rsidRDefault="00594BC3" w:rsidP="000E7B7F">
            <w:pPr>
              <w:jc w:val="center"/>
              <w:rPr>
                <w:rFonts w:cs="Times New Roman"/>
                <w:b w:val="0"/>
                <w:color w:val="auto"/>
                <w:sz w:val="18"/>
                <w:szCs w:val="18"/>
              </w:rPr>
            </w:pPr>
          </w:p>
        </w:tc>
        <w:tc>
          <w:tcPr>
            <w:tcW w:w="850" w:type="dxa"/>
            <w:vMerge w:val="restart"/>
            <w:noWrap/>
            <w:vAlign w:val="center"/>
            <w:hideMark/>
          </w:tcPr>
          <w:p w14:paraId="5DE22632" w14:textId="77777777" w:rsidR="00594BC3" w:rsidRPr="00B958F5" w:rsidRDefault="00594BC3" w:rsidP="000E7B7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auto"/>
                <w:sz w:val="18"/>
                <w:szCs w:val="18"/>
              </w:rPr>
            </w:pPr>
            <w:r w:rsidRPr="00B958F5">
              <w:rPr>
                <w:rFonts w:cs="Times New Roman"/>
                <w:b w:val="0"/>
                <w:color w:val="auto"/>
                <w:sz w:val="18"/>
                <w:szCs w:val="18"/>
              </w:rPr>
              <w:t>EKS Kods</w:t>
            </w:r>
          </w:p>
        </w:tc>
        <w:tc>
          <w:tcPr>
            <w:tcW w:w="851" w:type="dxa"/>
            <w:noWrap/>
            <w:vAlign w:val="center"/>
            <w:hideMark/>
          </w:tcPr>
          <w:p w14:paraId="47E042A0" w14:textId="77777777" w:rsidR="00594BC3" w:rsidRPr="00B958F5" w:rsidRDefault="00594BC3" w:rsidP="000E7B7F">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auto"/>
                <w:sz w:val="18"/>
                <w:szCs w:val="18"/>
              </w:rPr>
            </w:pPr>
            <w:r w:rsidRPr="00B958F5">
              <w:rPr>
                <w:rFonts w:cs="Times New Roman"/>
                <w:bCs w:val="0"/>
                <w:color w:val="auto"/>
                <w:sz w:val="18"/>
                <w:szCs w:val="18"/>
              </w:rPr>
              <w:t>2023*</w:t>
            </w:r>
          </w:p>
        </w:tc>
        <w:tc>
          <w:tcPr>
            <w:tcW w:w="661" w:type="dxa"/>
            <w:noWrap/>
            <w:vAlign w:val="center"/>
          </w:tcPr>
          <w:p w14:paraId="0168D4A3" w14:textId="77777777" w:rsidR="00594BC3" w:rsidRPr="00B958F5" w:rsidRDefault="00594BC3" w:rsidP="000E7B7F">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auto"/>
                <w:sz w:val="18"/>
                <w:szCs w:val="18"/>
              </w:rPr>
            </w:pPr>
            <w:r w:rsidRPr="00B958F5">
              <w:rPr>
                <w:rFonts w:cs="Times New Roman"/>
                <w:bCs w:val="0"/>
                <w:color w:val="auto"/>
                <w:sz w:val="18"/>
                <w:szCs w:val="18"/>
              </w:rPr>
              <w:t>2023*</w:t>
            </w:r>
          </w:p>
        </w:tc>
        <w:tc>
          <w:tcPr>
            <w:tcW w:w="662" w:type="dxa"/>
            <w:noWrap/>
            <w:vAlign w:val="center"/>
          </w:tcPr>
          <w:p w14:paraId="2DB222E5" w14:textId="77777777" w:rsidR="00594BC3" w:rsidRPr="00B958F5" w:rsidRDefault="00594BC3" w:rsidP="000E7B7F">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auto"/>
                <w:sz w:val="18"/>
                <w:szCs w:val="18"/>
              </w:rPr>
            </w:pPr>
            <w:r w:rsidRPr="00B958F5">
              <w:rPr>
                <w:rFonts w:cs="Times New Roman"/>
                <w:bCs w:val="0"/>
                <w:color w:val="auto"/>
                <w:sz w:val="18"/>
                <w:szCs w:val="18"/>
              </w:rPr>
              <w:t>2024</w:t>
            </w:r>
          </w:p>
        </w:tc>
        <w:tc>
          <w:tcPr>
            <w:tcW w:w="661" w:type="dxa"/>
            <w:noWrap/>
            <w:vAlign w:val="center"/>
          </w:tcPr>
          <w:p w14:paraId="25F16F14" w14:textId="77777777" w:rsidR="00594BC3" w:rsidRPr="00B958F5" w:rsidRDefault="00594BC3" w:rsidP="000E7B7F">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auto"/>
                <w:sz w:val="18"/>
                <w:szCs w:val="18"/>
              </w:rPr>
            </w:pPr>
            <w:r w:rsidRPr="00B958F5">
              <w:rPr>
                <w:rFonts w:cs="Times New Roman"/>
                <w:bCs w:val="0"/>
                <w:color w:val="auto"/>
                <w:sz w:val="18"/>
                <w:szCs w:val="18"/>
              </w:rPr>
              <w:t>2025</w:t>
            </w:r>
          </w:p>
        </w:tc>
        <w:tc>
          <w:tcPr>
            <w:tcW w:w="662" w:type="dxa"/>
            <w:noWrap/>
            <w:vAlign w:val="center"/>
          </w:tcPr>
          <w:p w14:paraId="3A3F26F9" w14:textId="77777777" w:rsidR="00594BC3" w:rsidRPr="00B958F5" w:rsidRDefault="00594BC3" w:rsidP="000E7B7F">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auto"/>
                <w:sz w:val="18"/>
                <w:szCs w:val="18"/>
              </w:rPr>
            </w:pPr>
            <w:r w:rsidRPr="00B958F5">
              <w:rPr>
                <w:rFonts w:cs="Times New Roman"/>
                <w:bCs w:val="0"/>
                <w:color w:val="auto"/>
                <w:sz w:val="18"/>
                <w:szCs w:val="18"/>
              </w:rPr>
              <w:t>2026</w:t>
            </w:r>
          </w:p>
        </w:tc>
        <w:tc>
          <w:tcPr>
            <w:tcW w:w="661" w:type="dxa"/>
            <w:noWrap/>
            <w:vAlign w:val="center"/>
          </w:tcPr>
          <w:p w14:paraId="23C6F257" w14:textId="77777777" w:rsidR="00594BC3" w:rsidRPr="00B958F5" w:rsidRDefault="00594BC3" w:rsidP="000E7B7F">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auto"/>
                <w:sz w:val="18"/>
                <w:szCs w:val="18"/>
              </w:rPr>
            </w:pPr>
            <w:r w:rsidRPr="00B958F5">
              <w:rPr>
                <w:rFonts w:cs="Times New Roman"/>
                <w:bCs w:val="0"/>
                <w:color w:val="auto"/>
                <w:sz w:val="18"/>
                <w:szCs w:val="18"/>
              </w:rPr>
              <w:t>2027</w:t>
            </w:r>
          </w:p>
        </w:tc>
        <w:tc>
          <w:tcPr>
            <w:tcW w:w="662" w:type="dxa"/>
            <w:vAlign w:val="center"/>
          </w:tcPr>
          <w:p w14:paraId="224BC787" w14:textId="77777777" w:rsidR="00594BC3" w:rsidRPr="00B958F5" w:rsidRDefault="00594BC3" w:rsidP="000E7B7F">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auto"/>
                <w:sz w:val="18"/>
                <w:szCs w:val="18"/>
              </w:rPr>
            </w:pPr>
            <w:r w:rsidRPr="00B958F5">
              <w:rPr>
                <w:rFonts w:cs="Times New Roman"/>
                <w:bCs w:val="0"/>
                <w:color w:val="auto"/>
                <w:sz w:val="18"/>
                <w:szCs w:val="18"/>
              </w:rPr>
              <w:t>2028</w:t>
            </w:r>
          </w:p>
        </w:tc>
      </w:tr>
      <w:tr w:rsidR="00B958F5" w:rsidRPr="00B958F5" w14:paraId="5FB7D8D5" w14:textId="77777777" w:rsidTr="0078105C">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3256" w:type="dxa"/>
            <w:vMerge/>
            <w:vAlign w:val="center"/>
            <w:hideMark/>
          </w:tcPr>
          <w:p w14:paraId="34595805" w14:textId="77777777" w:rsidR="00B958F5" w:rsidRPr="00B958F5" w:rsidRDefault="00B958F5" w:rsidP="000E7B7F">
            <w:pPr>
              <w:jc w:val="center"/>
              <w:rPr>
                <w:rFonts w:cs="Times New Roman"/>
                <w:b w:val="0"/>
                <w:color w:val="auto"/>
                <w:sz w:val="18"/>
                <w:szCs w:val="18"/>
              </w:rPr>
            </w:pPr>
          </w:p>
        </w:tc>
        <w:tc>
          <w:tcPr>
            <w:tcW w:w="850" w:type="dxa"/>
            <w:vMerge/>
            <w:vAlign w:val="center"/>
            <w:hideMark/>
          </w:tcPr>
          <w:p w14:paraId="62928ECE" w14:textId="77777777" w:rsidR="00B958F5" w:rsidRPr="00B958F5" w:rsidRDefault="00B958F5" w:rsidP="000E7B7F">
            <w:pPr>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p>
        </w:tc>
        <w:tc>
          <w:tcPr>
            <w:tcW w:w="851" w:type="dxa"/>
            <w:noWrap/>
            <w:vAlign w:val="center"/>
            <w:hideMark/>
          </w:tcPr>
          <w:p w14:paraId="2B7D709E" w14:textId="77777777" w:rsidR="00B958F5" w:rsidRPr="00B958F5" w:rsidRDefault="00B958F5"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B958F5">
              <w:rPr>
                <w:rFonts w:cs="Times New Roman"/>
                <w:color w:val="auto"/>
                <w:sz w:val="18"/>
                <w:szCs w:val="18"/>
              </w:rPr>
              <w:t xml:space="preserve">milj. </w:t>
            </w:r>
            <w:proofErr w:type="spellStart"/>
            <w:r w:rsidRPr="00B958F5">
              <w:rPr>
                <w:rFonts w:cs="Times New Roman"/>
                <w:i/>
                <w:iCs/>
                <w:color w:val="auto"/>
                <w:sz w:val="18"/>
                <w:szCs w:val="18"/>
              </w:rPr>
              <w:t>euro</w:t>
            </w:r>
            <w:proofErr w:type="spellEnd"/>
          </w:p>
        </w:tc>
        <w:tc>
          <w:tcPr>
            <w:tcW w:w="3969" w:type="dxa"/>
            <w:gridSpan w:val="6"/>
            <w:noWrap/>
            <w:vAlign w:val="center"/>
            <w:hideMark/>
          </w:tcPr>
          <w:p w14:paraId="34F96C2D" w14:textId="349CF294" w:rsidR="00B958F5" w:rsidRPr="00B958F5" w:rsidRDefault="00B958F5" w:rsidP="00B958F5">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958F5">
              <w:rPr>
                <w:rFonts w:cs="Times New Roman"/>
                <w:color w:val="auto"/>
                <w:sz w:val="18"/>
                <w:szCs w:val="18"/>
              </w:rPr>
              <w:t>Pieaugums %</w:t>
            </w:r>
          </w:p>
        </w:tc>
      </w:tr>
      <w:tr w:rsidR="00594BC3" w:rsidRPr="00B958F5" w14:paraId="6BAEC11B" w14:textId="77777777" w:rsidTr="000E7B7F">
        <w:trPr>
          <w:trHeight w:val="168"/>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2B063F18" w14:textId="77777777" w:rsidR="00594BC3" w:rsidRPr="00B958F5" w:rsidRDefault="00594BC3" w:rsidP="000E7B7F">
            <w:pPr>
              <w:ind w:firstLine="0"/>
              <w:jc w:val="left"/>
              <w:rPr>
                <w:rFonts w:cs="Times New Roman"/>
                <w:b w:val="0"/>
                <w:color w:val="auto"/>
                <w:sz w:val="18"/>
                <w:szCs w:val="18"/>
              </w:rPr>
            </w:pPr>
            <w:r w:rsidRPr="00B958F5">
              <w:rPr>
                <w:rFonts w:cs="Times New Roman"/>
                <w:b w:val="0"/>
                <w:color w:val="auto"/>
                <w:sz w:val="18"/>
                <w:szCs w:val="18"/>
              </w:rPr>
              <w:t>1.IKP faktiskajās cenās</w:t>
            </w:r>
          </w:p>
        </w:tc>
        <w:tc>
          <w:tcPr>
            <w:tcW w:w="850" w:type="dxa"/>
            <w:noWrap/>
            <w:vAlign w:val="center"/>
            <w:hideMark/>
          </w:tcPr>
          <w:p w14:paraId="29AF3BC9"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B958F5">
              <w:rPr>
                <w:rFonts w:cs="Times New Roman"/>
                <w:color w:val="auto"/>
                <w:sz w:val="18"/>
                <w:szCs w:val="18"/>
              </w:rPr>
              <w:t>B1*g</w:t>
            </w:r>
          </w:p>
        </w:tc>
        <w:tc>
          <w:tcPr>
            <w:tcW w:w="851" w:type="dxa"/>
            <w:noWrap/>
            <w:vAlign w:val="center"/>
          </w:tcPr>
          <w:p w14:paraId="42954D1C"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40 348</w:t>
            </w:r>
          </w:p>
        </w:tc>
        <w:tc>
          <w:tcPr>
            <w:tcW w:w="661" w:type="dxa"/>
            <w:noWrap/>
            <w:vAlign w:val="center"/>
          </w:tcPr>
          <w:p w14:paraId="74BC02C3"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958F5">
              <w:rPr>
                <w:rFonts w:eastAsia="Times New Roman" w:cs="Times New Roman"/>
                <w:color w:val="auto"/>
                <w:sz w:val="18"/>
                <w:szCs w:val="18"/>
                <w:lang w:eastAsia="lv-LV"/>
              </w:rPr>
              <w:t>5,1</w:t>
            </w:r>
          </w:p>
        </w:tc>
        <w:tc>
          <w:tcPr>
            <w:tcW w:w="662" w:type="dxa"/>
            <w:noWrap/>
            <w:vAlign w:val="center"/>
          </w:tcPr>
          <w:p w14:paraId="6BC2D9A4"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958F5">
              <w:rPr>
                <w:color w:val="000000"/>
                <w:sz w:val="18"/>
                <w:szCs w:val="18"/>
              </w:rPr>
              <w:t>4,1</w:t>
            </w:r>
          </w:p>
        </w:tc>
        <w:tc>
          <w:tcPr>
            <w:tcW w:w="661" w:type="dxa"/>
            <w:noWrap/>
            <w:vAlign w:val="center"/>
          </w:tcPr>
          <w:p w14:paraId="2D244A83"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958F5">
              <w:rPr>
                <w:color w:val="000000"/>
                <w:sz w:val="18"/>
                <w:szCs w:val="18"/>
              </w:rPr>
              <w:t>6,0</w:t>
            </w:r>
          </w:p>
        </w:tc>
        <w:tc>
          <w:tcPr>
            <w:tcW w:w="662" w:type="dxa"/>
            <w:noWrap/>
            <w:vAlign w:val="center"/>
          </w:tcPr>
          <w:p w14:paraId="644B46A6"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958F5">
              <w:rPr>
                <w:color w:val="000000"/>
                <w:sz w:val="18"/>
                <w:szCs w:val="18"/>
              </w:rPr>
              <w:t>5,3</w:t>
            </w:r>
          </w:p>
        </w:tc>
        <w:tc>
          <w:tcPr>
            <w:tcW w:w="661" w:type="dxa"/>
            <w:noWrap/>
            <w:vAlign w:val="center"/>
          </w:tcPr>
          <w:p w14:paraId="36E23DF3"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958F5">
              <w:rPr>
                <w:color w:val="000000"/>
                <w:sz w:val="18"/>
                <w:szCs w:val="18"/>
              </w:rPr>
              <w:t>5,1</w:t>
            </w:r>
          </w:p>
        </w:tc>
        <w:tc>
          <w:tcPr>
            <w:tcW w:w="662" w:type="dxa"/>
            <w:vAlign w:val="center"/>
          </w:tcPr>
          <w:p w14:paraId="206F5F7B"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5,1</w:t>
            </w:r>
          </w:p>
        </w:tc>
      </w:tr>
      <w:tr w:rsidR="00594BC3" w:rsidRPr="00B958F5" w14:paraId="552342D6" w14:textId="77777777" w:rsidTr="000E7B7F">
        <w:trPr>
          <w:cnfStyle w:val="000000100000" w:firstRow="0" w:lastRow="0" w:firstColumn="0" w:lastColumn="0" w:oddVBand="0" w:evenVBand="0" w:oddHBand="1"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2A331754" w14:textId="77777777" w:rsidR="00594BC3" w:rsidRPr="00B958F5" w:rsidRDefault="00594BC3" w:rsidP="000E7B7F">
            <w:pPr>
              <w:ind w:firstLine="0"/>
              <w:jc w:val="left"/>
              <w:rPr>
                <w:rFonts w:cs="Times New Roman"/>
                <w:b w:val="0"/>
                <w:color w:val="auto"/>
                <w:sz w:val="18"/>
                <w:szCs w:val="18"/>
              </w:rPr>
            </w:pPr>
            <w:r w:rsidRPr="00B958F5">
              <w:rPr>
                <w:rFonts w:cs="Times New Roman"/>
                <w:b w:val="0"/>
                <w:color w:val="auto"/>
                <w:sz w:val="18"/>
                <w:szCs w:val="18"/>
              </w:rPr>
              <w:t>2.IKP 2015. gada cenās</w:t>
            </w:r>
          </w:p>
        </w:tc>
        <w:tc>
          <w:tcPr>
            <w:tcW w:w="850" w:type="dxa"/>
            <w:noWrap/>
            <w:vAlign w:val="center"/>
            <w:hideMark/>
          </w:tcPr>
          <w:p w14:paraId="0512C85D"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B958F5">
              <w:rPr>
                <w:rFonts w:cs="Times New Roman"/>
                <w:color w:val="auto"/>
                <w:sz w:val="18"/>
                <w:szCs w:val="18"/>
              </w:rPr>
              <w:t>B1*g</w:t>
            </w:r>
          </w:p>
        </w:tc>
        <w:tc>
          <w:tcPr>
            <w:tcW w:w="851" w:type="dxa"/>
            <w:noWrap/>
            <w:vAlign w:val="center"/>
          </w:tcPr>
          <w:p w14:paraId="3C9D38E7"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28 739</w:t>
            </w:r>
          </w:p>
        </w:tc>
        <w:tc>
          <w:tcPr>
            <w:tcW w:w="661" w:type="dxa"/>
            <w:noWrap/>
            <w:vAlign w:val="bottom"/>
          </w:tcPr>
          <w:p w14:paraId="769CDAB2"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-0,3</w:t>
            </w:r>
          </w:p>
        </w:tc>
        <w:tc>
          <w:tcPr>
            <w:tcW w:w="662" w:type="dxa"/>
            <w:noWrap/>
            <w:vAlign w:val="bottom"/>
          </w:tcPr>
          <w:p w14:paraId="7A7EC443"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1,4</w:t>
            </w:r>
          </w:p>
        </w:tc>
        <w:tc>
          <w:tcPr>
            <w:tcW w:w="661" w:type="dxa"/>
            <w:noWrap/>
            <w:vAlign w:val="bottom"/>
          </w:tcPr>
          <w:p w14:paraId="6C3C4A3B"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2,9</w:t>
            </w:r>
          </w:p>
        </w:tc>
        <w:tc>
          <w:tcPr>
            <w:tcW w:w="662" w:type="dxa"/>
            <w:noWrap/>
            <w:vAlign w:val="bottom"/>
          </w:tcPr>
          <w:p w14:paraId="5FF89811"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2,5</w:t>
            </w:r>
          </w:p>
        </w:tc>
        <w:tc>
          <w:tcPr>
            <w:tcW w:w="661" w:type="dxa"/>
            <w:noWrap/>
            <w:vAlign w:val="bottom"/>
          </w:tcPr>
          <w:p w14:paraId="5EEEADE6"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2,3</w:t>
            </w:r>
          </w:p>
        </w:tc>
        <w:tc>
          <w:tcPr>
            <w:tcW w:w="662" w:type="dxa"/>
            <w:vAlign w:val="bottom"/>
          </w:tcPr>
          <w:p w14:paraId="059235B6"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2,3</w:t>
            </w:r>
          </w:p>
        </w:tc>
      </w:tr>
      <w:tr w:rsidR="00594BC3" w:rsidRPr="00B958F5" w14:paraId="5BB696DF" w14:textId="77777777" w:rsidTr="000E7B7F">
        <w:trPr>
          <w:trHeight w:val="118"/>
          <w:jc w:val="center"/>
        </w:trPr>
        <w:tc>
          <w:tcPr>
            <w:cnfStyle w:val="001000000000" w:firstRow="0" w:lastRow="0" w:firstColumn="1" w:lastColumn="0" w:oddVBand="0" w:evenVBand="0" w:oddHBand="0" w:evenHBand="0" w:firstRowFirstColumn="0" w:firstRowLastColumn="0" w:lastRowFirstColumn="0" w:lastRowLastColumn="0"/>
            <w:tcW w:w="4957" w:type="dxa"/>
            <w:gridSpan w:val="3"/>
            <w:noWrap/>
            <w:vAlign w:val="center"/>
            <w:hideMark/>
          </w:tcPr>
          <w:p w14:paraId="44C7DCAA" w14:textId="77777777" w:rsidR="00594BC3" w:rsidRPr="00B958F5" w:rsidRDefault="00594BC3" w:rsidP="000E7B7F">
            <w:pPr>
              <w:ind w:firstLine="0"/>
              <w:jc w:val="center"/>
              <w:rPr>
                <w:rFonts w:eastAsia="Times New Roman" w:cs="Times New Roman"/>
                <w:b w:val="0"/>
                <w:i/>
                <w:iCs/>
                <w:color w:val="auto"/>
                <w:sz w:val="18"/>
                <w:szCs w:val="18"/>
                <w:lang w:eastAsia="lv-LV"/>
              </w:rPr>
            </w:pPr>
            <w:r w:rsidRPr="00B958F5">
              <w:rPr>
                <w:rFonts w:eastAsia="Times New Roman" w:cs="Times New Roman"/>
                <w:b w:val="0"/>
                <w:i/>
                <w:iCs/>
                <w:color w:val="auto"/>
                <w:sz w:val="18"/>
                <w:szCs w:val="18"/>
                <w:lang w:eastAsia="lv-LV"/>
              </w:rPr>
              <w:t>IKP pēc izlietojuma 2015. gada cenās</w:t>
            </w:r>
          </w:p>
        </w:tc>
        <w:tc>
          <w:tcPr>
            <w:tcW w:w="3969" w:type="dxa"/>
            <w:gridSpan w:val="6"/>
          </w:tcPr>
          <w:p w14:paraId="42694631"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8"/>
                <w:szCs w:val="18"/>
                <w:lang w:eastAsia="lv-LV"/>
              </w:rPr>
            </w:pPr>
          </w:p>
        </w:tc>
      </w:tr>
      <w:tr w:rsidR="00594BC3" w:rsidRPr="00B958F5" w14:paraId="6EFBDA62" w14:textId="77777777" w:rsidTr="000E7B7F">
        <w:trPr>
          <w:cnfStyle w:val="000000100000" w:firstRow="0" w:lastRow="0" w:firstColumn="0" w:lastColumn="0" w:oddVBand="0" w:evenVBand="0" w:oddHBand="1"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06C6D763" w14:textId="77777777" w:rsidR="00594BC3" w:rsidRPr="00B958F5" w:rsidRDefault="00594BC3" w:rsidP="000E7B7F">
            <w:pPr>
              <w:ind w:firstLine="0"/>
              <w:jc w:val="left"/>
              <w:rPr>
                <w:rFonts w:cs="Times New Roman"/>
                <w:b w:val="0"/>
                <w:color w:val="auto"/>
                <w:sz w:val="18"/>
                <w:szCs w:val="18"/>
              </w:rPr>
            </w:pPr>
            <w:r w:rsidRPr="00B958F5">
              <w:rPr>
                <w:rFonts w:cs="Times New Roman"/>
                <w:b w:val="0"/>
                <w:color w:val="auto"/>
                <w:sz w:val="18"/>
                <w:szCs w:val="18"/>
              </w:rPr>
              <w:t>3.Privātais patēriņš</w:t>
            </w:r>
          </w:p>
        </w:tc>
        <w:tc>
          <w:tcPr>
            <w:tcW w:w="850" w:type="dxa"/>
            <w:noWrap/>
            <w:vAlign w:val="center"/>
            <w:hideMark/>
          </w:tcPr>
          <w:p w14:paraId="1541936F"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B958F5">
              <w:rPr>
                <w:rFonts w:cs="Times New Roman"/>
                <w:color w:val="auto"/>
                <w:sz w:val="18"/>
                <w:szCs w:val="18"/>
              </w:rPr>
              <w:t>P3</w:t>
            </w:r>
          </w:p>
        </w:tc>
        <w:tc>
          <w:tcPr>
            <w:tcW w:w="851" w:type="dxa"/>
            <w:noWrap/>
            <w:vAlign w:val="bottom"/>
            <w:hideMark/>
          </w:tcPr>
          <w:p w14:paraId="0FC1D215"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17 539</w:t>
            </w:r>
          </w:p>
        </w:tc>
        <w:tc>
          <w:tcPr>
            <w:tcW w:w="661" w:type="dxa"/>
            <w:noWrap/>
            <w:vAlign w:val="center"/>
          </w:tcPr>
          <w:p w14:paraId="19A5316B"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958F5">
              <w:rPr>
                <w:rFonts w:eastAsia="Times New Roman" w:cs="Times New Roman"/>
                <w:color w:val="auto"/>
                <w:sz w:val="18"/>
                <w:szCs w:val="18"/>
                <w:lang w:eastAsia="lv-LV"/>
              </w:rPr>
              <w:t>-1,3</w:t>
            </w:r>
          </w:p>
        </w:tc>
        <w:tc>
          <w:tcPr>
            <w:tcW w:w="662" w:type="dxa"/>
            <w:noWrap/>
            <w:vAlign w:val="center"/>
            <w:hideMark/>
          </w:tcPr>
          <w:p w14:paraId="71659BC7"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958F5">
              <w:rPr>
                <w:color w:val="000000"/>
                <w:sz w:val="18"/>
                <w:szCs w:val="18"/>
              </w:rPr>
              <w:t>1,9</w:t>
            </w:r>
          </w:p>
        </w:tc>
        <w:tc>
          <w:tcPr>
            <w:tcW w:w="661" w:type="dxa"/>
            <w:noWrap/>
            <w:vAlign w:val="center"/>
            <w:hideMark/>
          </w:tcPr>
          <w:p w14:paraId="62160D30"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958F5">
              <w:rPr>
                <w:color w:val="000000"/>
                <w:sz w:val="18"/>
                <w:szCs w:val="18"/>
              </w:rPr>
              <w:t>2,5</w:t>
            </w:r>
          </w:p>
        </w:tc>
        <w:tc>
          <w:tcPr>
            <w:tcW w:w="662" w:type="dxa"/>
            <w:noWrap/>
            <w:vAlign w:val="center"/>
            <w:hideMark/>
          </w:tcPr>
          <w:p w14:paraId="0304D9DC"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958F5">
              <w:rPr>
                <w:color w:val="000000"/>
                <w:sz w:val="18"/>
                <w:szCs w:val="18"/>
              </w:rPr>
              <w:t>2,7</w:t>
            </w:r>
          </w:p>
        </w:tc>
        <w:tc>
          <w:tcPr>
            <w:tcW w:w="661" w:type="dxa"/>
            <w:noWrap/>
            <w:vAlign w:val="center"/>
            <w:hideMark/>
          </w:tcPr>
          <w:p w14:paraId="6C268437"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958F5">
              <w:rPr>
                <w:color w:val="000000"/>
                <w:sz w:val="18"/>
                <w:szCs w:val="18"/>
              </w:rPr>
              <w:t>2,5</w:t>
            </w:r>
          </w:p>
        </w:tc>
        <w:tc>
          <w:tcPr>
            <w:tcW w:w="662" w:type="dxa"/>
            <w:vAlign w:val="center"/>
          </w:tcPr>
          <w:p w14:paraId="1CAB3423"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2,5</w:t>
            </w:r>
          </w:p>
        </w:tc>
      </w:tr>
      <w:tr w:rsidR="00594BC3" w:rsidRPr="00B958F5" w14:paraId="57DEA5F7" w14:textId="77777777" w:rsidTr="000E7B7F">
        <w:trPr>
          <w:trHeight w:val="209"/>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4EF5E03B" w14:textId="77777777" w:rsidR="00594BC3" w:rsidRPr="00B958F5" w:rsidRDefault="00594BC3" w:rsidP="000E7B7F">
            <w:pPr>
              <w:ind w:firstLine="0"/>
              <w:jc w:val="left"/>
              <w:rPr>
                <w:rFonts w:cs="Times New Roman"/>
                <w:b w:val="0"/>
                <w:color w:val="auto"/>
                <w:sz w:val="18"/>
                <w:szCs w:val="18"/>
              </w:rPr>
            </w:pPr>
            <w:r w:rsidRPr="00B958F5">
              <w:rPr>
                <w:rFonts w:cs="Times New Roman"/>
                <w:b w:val="0"/>
                <w:color w:val="auto"/>
                <w:sz w:val="18"/>
                <w:szCs w:val="18"/>
              </w:rPr>
              <w:t>4.Sabiedriskais patēriņš</w:t>
            </w:r>
          </w:p>
        </w:tc>
        <w:tc>
          <w:tcPr>
            <w:tcW w:w="850" w:type="dxa"/>
            <w:noWrap/>
            <w:vAlign w:val="center"/>
            <w:hideMark/>
          </w:tcPr>
          <w:p w14:paraId="49A81060"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B958F5">
              <w:rPr>
                <w:rFonts w:cs="Times New Roman"/>
                <w:color w:val="auto"/>
                <w:sz w:val="18"/>
                <w:szCs w:val="18"/>
              </w:rPr>
              <w:t>P3</w:t>
            </w:r>
          </w:p>
        </w:tc>
        <w:tc>
          <w:tcPr>
            <w:tcW w:w="851" w:type="dxa"/>
            <w:noWrap/>
            <w:vAlign w:val="bottom"/>
            <w:hideMark/>
          </w:tcPr>
          <w:p w14:paraId="4F88FDA7"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5 862</w:t>
            </w:r>
          </w:p>
        </w:tc>
        <w:tc>
          <w:tcPr>
            <w:tcW w:w="661" w:type="dxa"/>
            <w:noWrap/>
            <w:vAlign w:val="center"/>
          </w:tcPr>
          <w:p w14:paraId="5577D425"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7,0</w:t>
            </w:r>
          </w:p>
        </w:tc>
        <w:tc>
          <w:tcPr>
            <w:tcW w:w="662" w:type="dxa"/>
            <w:noWrap/>
            <w:vAlign w:val="center"/>
            <w:hideMark/>
          </w:tcPr>
          <w:p w14:paraId="71127F88"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6,7</w:t>
            </w:r>
          </w:p>
        </w:tc>
        <w:tc>
          <w:tcPr>
            <w:tcW w:w="661" w:type="dxa"/>
            <w:noWrap/>
            <w:vAlign w:val="center"/>
            <w:hideMark/>
          </w:tcPr>
          <w:p w14:paraId="6DB37A6A"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5,8</w:t>
            </w:r>
          </w:p>
        </w:tc>
        <w:tc>
          <w:tcPr>
            <w:tcW w:w="662" w:type="dxa"/>
            <w:noWrap/>
            <w:vAlign w:val="center"/>
            <w:hideMark/>
          </w:tcPr>
          <w:p w14:paraId="196C3802"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3,1</w:t>
            </w:r>
          </w:p>
        </w:tc>
        <w:tc>
          <w:tcPr>
            <w:tcW w:w="661" w:type="dxa"/>
            <w:noWrap/>
            <w:vAlign w:val="center"/>
            <w:hideMark/>
          </w:tcPr>
          <w:p w14:paraId="67AD762C"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3,0</w:t>
            </w:r>
          </w:p>
        </w:tc>
        <w:tc>
          <w:tcPr>
            <w:tcW w:w="662" w:type="dxa"/>
            <w:vAlign w:val="center"/>
          </w:tcPr>
          <w:p w14:paraId="049B60D6"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3,0</w:t>
            </w:r>
          </w:p>
        </w:tc>
      </w:tr>
      <w:tr w:rsidR="00594BC3" w:rsidRPr="00B958F5" w14:paraId="1DB75DAB" w14:textId="77777777" w:rsidTr="000E7B7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1391E5BA" w14:textId="77777777" w:rsidR="00594BC3" w:rsidRPr="00B958F5" w:rsidRDefault="00594BC3" w:rsidP="000E7B7F">
            <w:pPr>
              <w:tabs>
                <w:tab w:val="left" w:pos="248"/>
              </w:tabs>
              <w:ind w:firstLine="0"/>
              <w:jc w:val="left"/>
              <w:rPr>
                <w:rFonts w:cs="Times New Roman"/>
                <w:b w:val="0"/>
                <w:color w:val="auto"/>
                <w:sz w:val="18"/>
                <w:szCs w:val="18"/>
              </w:rPr>
            </w:pPr>
            <w:r w:rsidRPr="00B958F5">
              <w:rPr>
                <w:rFonts w:cs="Times New Roman"/>
                <w:b w:val="0"/>
                <w:color w:val="auto"/>
                <w:sz w:val="18"/>
                <w:szCs w:val="18"/>
              </w:rPr>
              <w:t>5.Kopējā pamatkapitāla veidošana</w:t>
            </w:r>
          </w:p>
        </w:tc>
        <w:tc>
          <w:tcPr>
            <w:tcW w:w="850" w:type="dxa"/>
            <w:noWrap/>
            <w:vAlign w:val="center"/>
            <w:hideMark/>
          </w:tcPr>
          <w:p w14:paraId="5F26C0BF"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B958F5">
              <w:rPr>
                <w:rFonts w:cs="Times New Roman"/>
                <w:color w:val="auto"/>
                <w:sz w:val="18"/>
                <w:szCs w:val="18"/>
              </w:rPr>
              <w:t>P51</w:t>
            </w:r>
          </w:p>
        </w:tc>
        <w:tc>
          <w:tcPr>
            <w:tcW w:w="851" w:type="dxa"/>
            <w:noWrap/>
            <w:vAlign w:val="bottom"/>
            <w:hideMark/>
          </w:tcPr>
          <w:p w14:paraId="6CBD57B8"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7 110</w:t>
            </w:r>
          </w:p>
        </w:tc>
        <w:tc>
          <w:tcPr>
            <w:tcW w:w="661" w:type="dxa"/>
            <w:noWrap/>
            <w:vAlign w:val="center"/>
          </w:tcPr>
          <w:p w14:paraId="36DB231B"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8,2</w:t>
            </w:r>
          </w:p>
        </w:tc>
        <w:tc>
          <w:tcPr>
            <w:tcW w:w="662" w:type="dxa"/>
            <w:noWrap/>
            <w:vAlign w:val="center"/>
            <w:hideMark/>
          </w:tcPr>
          <w:p w14:paraId="0FDEA6FE"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3,8</w:t>
            </w:r>
          </w:p>
        </w:tc>
        <w:tc>
          <w:tcPr>
            <w:tcW w:w="661" w:type="dxa"/>
            <w:noWrap/>
            <w:vAlign w:val="center"/>
            <w:hideMark/>
          </w:tcPr>
          <w:p w14:paraId="6BB90C21"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4,2</w:t>
            </w:r>
          </w:p>
        </w:tc>
        <w:tc>
          <w:tcPr>
            <w:tcW w:w="662" w:type="dxa"/>
            <w:noWrap/>
            <w:vAlign w:val="center"/>
            <w:hideMark/>
          </w:tcPr>
          <w:p w14:paraId="35132E1F"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2,8</w:t>
            </w:r>
          </w:p>
        </w:tc>
        <w:tc>
          <w:tcPr>
            <w:tcW w:w="661" w:type="dxa"/>
            <w:noWrap/>
            <w:vAlign w:val="center"/>
            <w:hideMark/>
          </w:tcPr>
          <w:p w14:paraId="3BDD36E6"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2,8</w:t>
            </w:r>
          </w:p>
        </w:tc>
        <w:tc>
          <w:tcPr>
            <w:tcW w:w="662" w:type="dxa"/>
            <w:vAlign w:val="center"/>
          </w:tcPr>
          <w:p w14:paraId="308FF504"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2,8</w:t>
            </w:r>
          </w:p>
        </w:tc>
      </w:tr>
      <w:tr w:rsidR="00594BC3" w:rsidRPr="00B958F5" w14:paraId="1B3A45C0" w14:textId="77777777" w:rsidTr="000E7B7F">
        <w:trPr>
          <w:trHeight w:val="248"/>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1E9119FA" w14:textId="77777777" w:rsidR="00594BC3" w:rsidRPr="00B958F5" w:rsidRDefault="00594BC3" w:rsidP="000E7B7F">
            <w:pPr>
              <w:ind w:firstLine="0"/>
              <w:jc w:val="left"/>
              <w:rPr>
                <w:rFonts w:cs="Times New Roman"/>
                <w:b w:val="0"/>
                <w:color w:val="auto"/>
                <w:sz w:val="18"/>
                <w:szCs w:val="18"/>
              </w:rPr>
            </w:pPr>
            <w:r w:rsidRPr="00B958F5">
              <w:rPr>
                <w:rFonts w:cs="Times New Roman"/>
                <w:b w:val="0"/>
                <w:color w:val="auto"/>
                <w:sz w:val="18"/>
                <w:szCs w:val="18"/>
              </w:rPr>
              <w:t>6.Krājumu pārmaiņas un vērtslietu iegāde</w:t>
            </w:r>
          </w:p>
        </w:tc>
        <w:tc>
          <w:tcPr>
            <w:tcW w:w="850" w:type="dxa"/>
            <w:noWrap/>
            <w:vAlign w:val="center"/>
            <w:hideMark/>
          </w:tcPr>
          <w:p w14:paraId="3F9E4FC8"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B958F5">
              <w:rPr>
                <w:rFonts w:cs="Times New Roman"/>
                <w:color w:val="auto"/>
                <w:sz w:val="18"/>
                <w:szCs w:val="18"/>
              </w:rPr>
              <w:t>P52+P53</w:t>
            </w:r>
          </w:p>
        </w:tc>
        <w:tc>
          <w:tcPr>
            <w:tcW w:w="851" w:type="dxa"/>
            <w:noWrap/>
            <w:vAlign w:val="bottom"/>
            <w:hideMark/>
          </w:tcPr>
          <w:p w14:paraId="37677BD5"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1 428</w:t>
            </w:r>
          </w:p>
        </w:tc>
        <w:tc>
          <w:tcPr>
            <w:tcW w:w="661" w:type="dxa"/>
            <w:noWrap/>
            <w:vAlign w:val="center"/>
          </w:tcPr>
          <w:p w14:paraId="18065B7F"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w:t>
            </w:r>
          </w:p>
        </w:tc>
        <w:tc>
          <w:tcPr>
            <w:tcW w:w="662" w:type="dxa"/>
            <w:noWrap/>
            <w:vAlign w:val="center"/>
          </w:tcPr>
          <w:p w14:paraId="46F0C4B1"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w:t>
            </w:r>
          </w:p>
        </w:tc>
        <w:tc>
          <w:tcPr>
            <w:tcW w:w="661" w:type="dxa"/>
            <w:noWrap/>
            <w:vAlign w:val="center"/>
          </w:tcPr>
          <w:p w14:paraId="1DB6A4ED"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w:t>
            </w:r>
          </w:p>
        </w:tc>
        <w:tc>
          <w:tcPr>
            <w:tcW w:w="662" w:type="dxa"/>
            <w:noWrap/>
            <w:vAlign w:val="center"/>
          </w:tcPr>
          <w:p w14:paraId="02E1DDC9"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w:t>
            </w:r>
          </w:p>
        </w:tc>
        <w:tc>
          <w:tcPr>
            <w:tcW w:w="661" w:type="dxa"/>
            <w:noWrap/>
            <w:vAlign w:val="center"/>
          </w:tcPr>
          <w:p w14:paraId="2E0618A6"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w:t>
            </w:r>
          </w:p>
        </w:tc>
        <w:tc>
          <w:tcPr>
            <w:tcW w:w="662" w:type="dxa"/>
            <w:vAlign w:val="center"/>
          </w:tcPr>
          <w:p w14:paraId="3AEC6DBA"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w:t>
            </w:r>
          </w:p>
        </w:tc>
      </w:tr>
      <w:tr w:rsidR="00594BC3" w:rsidRPr="00B958F5" w14:paraId="2F6A1113" w14:textId="77777777" w:rsidTr="000E7B7F">
        <w:trPr>
          <w:cnfStyle w:val="000000100000" w:firstRow="0" w:lastRow="0" w:firstColumn="0" w:lastColumn="0" w:oddVBand="0" w:evenVBand="0" w:oddHBand="1" w:evenHBand="0" w:firstRowFirstColumn="0" w:firstRowLastColumn="0" w:lastRowFirstColumn="0" w:lastRowLastColumn="0"/>
          <w:trHeight w:val="155"/>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25928DAD" w14:textId="77777777" w:rsidR="00594BC3" w:rsidRPr="00B958F5" w:rsidRDefault="00594BC3" w:rsidP="000E7B7F">
            <w:pPr>
              <w:ind w:firstLine="0"/>
              <w:jc w:val="left"/>
              <w:rPr>
                <w:rFonts w:cs="Times New Roman"/>
                <w:b w:val="0"/>
                <w:color w:val="auto"/>
                <w:sz w:val="18"/>
                <w:szCs w:val="18"/>
              </w:rPr>
            </w:pPr>
            <w:r w:rsidRPr="00B958F5">
              <w:rPr>
                <w:rFonts w:cs="Times New Roman"/>
                <w:b w:val="0"/>
                <w:color w:val="auto"/>
                <w:sz w:val="18"/>
                <w:szCs w:val="18"/>
              </w:rPr>
              <w:t>7.Eksports</w:t>
            </w:r>
          </w:p>
        </w:tc>
        <w:tc>
          <w:tcPr>
            <w:tcW w:w="850" w:type="dxa"/>
            <w:noWrap/>
            <w:vAlign w:val="center"/>
            <w:hideMark/>
          </w:tcPr>
          <w:p w14:paraId="0251DECC"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B958F5">
              <w:rPr>
                <w:rFonts w:cs="Times New Roman"/>
                <w:color w:val="auto"/>
                <w:sz w:val="18"/>
                <w:szCs w:val="18"/>
              </w:rPr>
              <w:t>P6</w:t>
            </w:r>
          </w:p>
        </w:tc>
        <w:tc>
          <w:tcPr>
            <w:tcW w:w="851" w:type="dxa"/>
            <w:noWrap/>
            <w:vAlign w:val="bottom"/>
            <w:hideMark/>
          </w:tcPr>
          <w:p w14:paraId="19DCED63"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19 665</w:t>
            </w:r>
          </w:p>
        </w:tc>
        <w:tc>
          <w:tcPr>
            <w:tcW w:w="661" w:type="dxa"/>
            <w:noWrap/>
            <w:vAlign w:val="center"/>
          </w:tcPr>
          <w:p w14:paraId="4B8BA810"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-5,9</w:t>
            </w:r>
          </w:p>
        </w:tc>
        <w:tc>
          <w:tcPr>
            <w:tcW w:w="662" w:type="dxa"/>
            <w:noWrap/>
            <w:vAlign w:val="center"/>
            <w:hideMark/>
          </w:tcPr>
          <w:p w14:paraId="47BB4807"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-0,8</w:t>
            </w:r>
          </w:p>
        </w:tc>
        <w:tc>
          <w:tcPr>
            <w:tcW w:w="661" w:type="dxa"/>
            <w:noWrap/>
            <w:vAlign w:val="center"/>
            <w:hideMark/>
          </w:tcPr>
          <w:p w14:paraId="76C702B1"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3,3</w:t>
            </w:r>
          </w:p>
        </w:tc>
        <w:tc>
          <w:tcPr>
            <w:tcW w:w="662" w:type="dxa"/>
            <w:noWrap/>
            <w:vAlign w:val="center"/>
            <w:hideMark/>
          </w:tcPr>
          <w:p w14:paraId="4BBF2B73"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4,1</w:t>
            </w:r>
          </w:p>
        </w:tc>
        <w:tc>
          <w:tcPr>
            <w:tcW w:w="661" w:type="dxa"/>
            <w:noWrap/>
            <w:vAlign w:val="center"/>
            <w:hideMark/>
          </w:tcPr>
          <w:p w14:paraId="7FF2AB06"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4,0</w:t>
            </w:r>
          </w:p>
        </w:tc>
        <w:tc>
          <w:tcPr>
            <w:tcW w:w="662" w:type="dxa"/>
            <w:vAlign w:val="center"/>
          </w:tcPr>
          <w:p w14:paraId="1B97F3A0"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4,0</w:t>
            </w:r>
          </w:p>
        </w:tc>
      </w:tr>
      <w:tr w:rsidR="00594BC3" w:rsidRPr="00B958F5" w14:paraId="63EEEA7B" w14:textId="77777777" w:rsidTr="000E7B7F">
        <w:trPr>
          <w:trHeight w:val="201"/>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131DD87A" w14:textId="77777777" w:rsidR="00594BC3" w:rsidRPr="00B958F5" w:rsidRDefault="00594BC3" w:rsidP="000E7B7F">
            <w:pPr>
              <w:ind w:firstLine="0"/>
              <w:jc w:val="left"/>
              <w:rPr>
                <w:rFonts w:cs="Times New Roman"/>
                <w:b w:val="0"/>
                <w:color w:val="auto"/>
                <w:sz w:val="18"/>
                <w:szCs w:val="18"/>
              </w:rPr>
            </w:pPr>
            <w:r w:rsidRPr="00B958F5">
              <w:rPr>
                <w:rFonts w:cs="Times New Roman"/>
                <w:b w:val="0"/>
                <w:color w:val="auto"/>
                <w:sz w:val="18"/>
                <w:szCs w:val="18"/>
              </w:rPr>
              <w:t>8.Imports</w:t>
            </w:r>
          </w:p>
        </w:tc>
        <w:tc>
          <w:tcPr>
            <w:tcW w:w="850" w:type="dxa"/>
            <w:noWrap/>
            <w:vAlign w:val="center"/>
            <w:hideMark/>
          </w:tcPr>
          <w:p w14:paraId="7B067A3D"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B958F5">
              <w:rPr>
                <w:rFonts w:cs="Times New Roman"/>
                <w:color w:val="auto"/>
                <w:sz w:val="18"/>
                <w:szCs w:val="18"/>
              </w:rPr>
              <w:t>P7</w:t>
            </w:r>
          </w:p>
        </w:tc>
        <w:tc>
          <w:tcPr>
            <w:tcW w:w="851" w:type="dxa"/>
            <w:noWrap/>
            <w:vAlign w:val="bottom"/>
            <w:hideMark/>
          </w:tcPr>
          <w:p w14:paraId="428C5FA9"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22 865</w:t>
            </w:r>
          </w:p>
        </w:tc>
        <w:tc>
          <w:tcPr>
            <w:tcW w:w="661" w:type="dxa"/>
            <w:noWrap/>
            <w:vAlign w:val="center"/>
          </w:tcPr>
          <w:p w14:paraId="1E3EA6A5"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-2,9</w:t>
            </w:r>
          </w:p>
        </w:tc>
        <w:tc>
          <w:tcPr>
            <w:tcW w:w="662" w:type="dxa"/>
            <w:noWrap/>
            <w:vAlign w:val="center"/>
            <w:hideMark/>
          </w:tcPr>
          <w:p w14:paraId="648BD005"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1,9</w:t>
            </w:r>
          </w:p>
        </w:tc>
        <w:tc>
          <w:tcPr>
            <w:tcW w:w="661" w:type="dxa"/>
            <w:noWrap/>
            <w:vAlign w:val="center"/>
            <w:hideMark/>
          </w:tcPr>
          <w:p w14:paraId="62B845FA"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3,9</w:t>
            </w:r>
          </w:p>
        </w:tc>
        <w:tc>
          <w:tcPr>
            <w:tcW w:w="662" w:type="dxa"/>
            <w:noWrap/>
            <w:vAlign w:val="center"/>
            <w:hideMark/>
          </w:tcPr>
          <w:p w14:paraId="526172D1"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4,0</w:t>
            </w:r>
          </w:p>
        </w:tc>
        <w:tc>
          <w:tcPr>
            <w:tcW w:w="661" w:type="dxa"/>
            <w:noWrap/>
            <w:vAlign w:val="center"/>
            <w:hideMark/>
          </w:tcPr>
          <w:p w14:paraId="7F7EA472"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4,0</w:t>
            </w:r>
          </w:p>
        </w:tc>
        <w:tc>
          <w:tcPr>
            <w:tcW w:w="662" w:type="dxa"/>
            <w:vAlign w:val="center"/>
          </w:tcPr>
          <w:p w14:paraId="3877B887"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4,0</w:t>
            </w:r>
          </w:p>
        </w:tc>
      </w:tr>
      <w:tr w:rsidR="00594BC3" w:rsidRPr="00B958F5" w14:paraId="5FA46586" w14:textId="77777777" w:rsidTr="000E7B7F">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4957" w:type="dxa"/>
            <w:gridSpan w:val="3"/>
            <w:noWrap/>
            <w:vAlign w:val="center"/>
            <w:hideMark/>
          </w:tcPr>
          <w:p w14:paraId="5FA66FE9" w14:textId="77777777" w:rsidR="00594BC3" w:rsidRPr="00B958F5" w:rsidRDefault="00594BC3" w:rsidP="000E7B7F">
            <w:pPr>
              <w:ind w:firstLine="0"/>
              <w:jc w:val="center"/>
              <w:rPr>
                <w:rFonts w:eastAsia="Times New Roman" w:cs="Times New Roman"/>
                <w:b w:val="0"/>
                <w:i/>
                <w:iCs/>
                <w:color w:val="auto"/>
                <w:sz w:val="18"/>
                <w:szCs w:val="18"/>
                <w:lang w:eastAsia="lv-LV"/>
              </w:rPr>
            </w:pPr>
            <w:r w:rsidRPr="00B958F5">
              <w:rPr>
                <w:rFonts w:eastAsia="Times New Roman" w:cs="Times New Roman"/>
                <w:b w:val="0"/>
                <w:i/>
                <w:iCs/>
                <w:color w:val="auto"/>
                <w:sz w:val="18"/>
                <w:szCs w:val="18"/>
                <w:lang w:eastAsia="lv-LV"/>
              </w:rPr>
              <w:t>Ieguldījums IKP izaugsmē</w:t>
            </w:r>
          </w:p>
        </w:tc>
        <w:tc>
          <w:tcPr>
            <w:tcW w:w="3969" w:type="dxa"/>
            <w:gridSpan w:val="6"/>
          </w:tcPr>
          <w:p w14:paraId="0F2027D2"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8"/>
                <w:szCs w:val="18"/>
                <w:lang w:eastAsia="lv-LV"/>
              </w:rPr>
            </w:pPr>
          </w:p>
        </w:tc>
      </w:tr>
      <w:tr w:rsidR="00594BC3" w:rsidRPr="00B958F5" w14:paraId="604A6B6F" w14:textId="77777777" w:rsidTr="000E7B7F">
        <w:trPr>
          <w:trHeight w:val="149"/>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40D7B566" w14:textId="77777777" w:rsidR="00594BC3" w:rsidRPr="00B958F5" w:rsidRDefault="00594BC3" w:rsidP="000E7B7F">
            <w:pPr>
              <w:ind w:firstLine="0"/>
              <w:jc w:val="left"/>
              <w:rPr>
                <w:rFonts w:cs="Times New Roman"/>
                <w:b w:val="0"/>
                <w:color w:val="auto"/>
                <w:sz w:val="18"/>
                <w:szCs w:val="18"/>
              </w:rPr>
            </w:pPr>
            <w:r w:rsidRPr="00B958F5">
              <w:rPr>
                <w:rFonts w:cs="Times New Roman"/>
                <w:b w:val="0"/>
                <w:color w:val="auto"/>
                <w:sz w:val="18"/>
                <w:szCs w:val="18"/>
              </w:rPr>
              <w:t>9.Kopējais iekšzemes pieprasījums</w:t>
            </w:r>
          </w:p>
        </w:tc>
        <w:tc>
          <w:tcPr>
            <w:tcW w:w="850" w:type="dxa"/>
            <w:noWrap/>
            <w:vAlign w:val="center"/>
            <w:hideMark/>
          </w:tcPr>
          <w:p w14:paraId="2E56DD3A"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B958F5">
              <w:rPr>
                <w:rFonts w:cs="Times New Roman"/>
                <w:color w:val="auto"/>
                <w:sz w:val="18"/>
                <w:szCs w:val="18"/>
              </w:rPr>
              <w:t>P3+P51</w:t>
            </w:r>
          </w:p>
        </w:tc>
        <w:tc>
          <w:tcPr>
            <w:tcW w:w="851" w:type="dxa"/>
            <w:noWrap/>
            <w:vAlign w:val="center"/>
            <w:hideMark/>
          </w:tcPr>
          <w:p w14:paraId="5571C55F" w14:textId="77777777" w:rsidR="00594BC3" w:rsidRPr="00B958F5" w:rsidRDefault="00594BC3" w:rsidP="000E7B7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p>
        </w:tc>
        <w:tc>
          <w:tcPr>
            <w:tcW w:w="661" w:type="dxa"/>
            <w:noWrap/>
            <w:vAlign w:val="center"/>
          </w:tcPr>
          <w:p w14:paraId="08ADBC69"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2,4</w:t>
            </w:r>
          </w:p>
        </w:tc>
        <w:tc>
          <w:tcPr>
            <w:tcW w:w="662" w:type="dxa"/>
            <w:noWrap/>
            <w:vAlign w:val="center"/>
            <w:hideMark/>
          </w:tcPr>
          <w:p w14:paraId="0C21B508"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3,5</w:t>
            </w:r>
          </w:p>
        </w:tc>
        <w:tc>
          <w:tcPr>
            <w:tcW w:w="661" w:type="dxa"/>
            <w:noWrap/>
            <w:vAlign w:val="center"/>
            <w:hideMark/>
          </w:tcPr>
          <w:p w14:paraId="042A9FD1"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3,9</w:t>
            </w:r>
          </w:p>
        </w:tc>
        <w:tc>
          <w:tcPr>
            <w:tcW w:w="662" w:type="dxa"/>
            <w:noWrap/>
            <w:vAlign w:val="center"/>
            <w:hideMark/>
          </w:tcPr>
          <w:p w14:paraId="7241D955"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3,0</w:t>
            </w:r>
          </w:p>
        </w:tc>
        <w:tc>
          <w:tcPr>
            <w:tcW w:w="661" w:type="dxa"/>
            <w:noWrap/>
            <w:vAlign w:val="center"/>
            <w:hideMark/>
          </w:tcPr>
          <w:p w14:paraId="633B8BDC"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2,9</w:t>
            </w:r>
          </w:p>
        </w:tc>
        <w:tc>
          <w:tcPr>
            <w:tcW w:w="662" w:type="dxa"/>
            <w:vAlign w:val="center"/>
          </w:tcPr>
          <w:p w14:paraId="7E716C08"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2,9</w:t>
            </w:r>
          </w:p>
        </w:tc>
      </w:tr>
      <w:tr w:rsidR="00594BC3" w:rsidRPr="00B958F5" w14:paraId="3DF67F6C" w14:textId="77777777" w:rsidTr="000E7B7F">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22087D55" w14:textId="77777777" w:rsidR="00594BC3" w:rsidRPr="00B958F5" w:rsidRDefault="00594BC3" w:rsidP="000E7B7F">
            <w:pPr>
              <w:ind w:firstLine="0"/>
              <w:jc w:val="left"/>
              <w:rPr>
                <w:rFonts w:cs="Times New Roman"/>
                <w:b w:val="0"/>
                <w:color w:val="auto"/>
                <w:sz w:val="18"/>
                <w:szCs w:val="18"/>
              </w:rPr>
            </w:pPr>
            <w:r w:rsidRPr="00B958F5">
              <w:rPr>
                <w:rFonts w:cs="Times New Roman"/>
                <w:b w:val="0"/>
                <w:color w:val="auto"/>
                <w:sz w:val="18"/>
                <w:szCs w:val="18"/>
              </w:rPr>
              <w:t>10.Krājumu pārmaiņas un vērtslietu iegāde</w:t>
            </w:r>
          </w:p>
        </w:tc>
        <w:tc>
          <w:tcPr>
            <w:tcW w:w="850" w:type="dxa"/>
            <w:noWrap/>
            <w:vAlign w:val="center"/>
            <w:hideMark/>
          </w:tcPr>
          <w:p w14:paraId="3ABCF0F5"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B958F5">
              <w:rPr>
                <w:rFonts w:cs="Times New Roman"/>
                <w:color w:val="auto"/>
                <w:sz w:val="18"/>
                <w:szCs w:val="18"/>
              </w:rPr>
              <w:t>P52+P53</w:t>
            </w:r>
          </w:p>
        </w:tc>
        <w:tc>
          <w:tcPr>
            <w:tcW w:w="851" w:type="dxa"/>
            <w:noWrap/>
            <w:vAlign w:val="center"/>
            <w:hideMark/>
          </w:tcPr>
          <w:p w14:paraId="7D74C0FD" w14:textId="77777777" w:rsidR="00594BC3" w:rsidRPr="00B958F5" w:rsidRDefault="00594BC3" w:rsidP="000E7B7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p>
        </w:tc>
        <w:tc>
          <w:tcPr>
            <w:tcW w:w="661" w:type="dxa"/>
            <w:noWrap/>
            <w:vAlign w:val="center"/>
          </w:tcPr>
          <w:p w14:paraId="031CAFE3"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-0,7</w:t>
            </w:r>
          </w:p>
        </w:tc>
        <w:tc>
          <w:tcPr>
            <w:tcW w:w="662" w:type="dxa"/>
            <w:noWrap/>
            <w:vAlign w:val="center"/>
            <w:hideMark/>
          </w:tcPr>
          <w:p w14:paraId="7E94423F"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0,0</w:t>
            </w:r>
          </w:p>
        </w:tc>
        <w:tc>
          <w:tcPr>
            <w:tcW w:w="661" w:type="dxa"/>
            <w:noWrap/>
            <w:vAlign w:val="center"/>
            <w:hideMark/>
          </w:tcPr>
          <w:p w14:paraId="18BE603B"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0,0</w:t>
            </w:r>
          </w:p>
        </w:tc>
        <w:tc>
          <w:tcPr>
            <w:tcW w:w="662" w:type="dxa"/>
            <w:noWrap/>
            <w:vAlign w:val="center"/>
            <w:hideMark/>
          </w:tcPr>
          <w:p w14:paraId="5A7E6CDB"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0,0</w:t>
            </w:r>
          </w:p>
        </w:tc>
        <w:tc>
          <w:tcPr>
            <w:tcW w:w="661" w:type="dxa"/>
            <w:noWrap/>
            <w:vAlign w:val="center"/>
            <w:hideMark/>
          </w:tcPr>
          <w:p w14:paraId="3F22FAF4"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0,0</w:t>
            </w:r>
          </w:p>
        </w:tc>
        <w:tc>
          <w:tcPr>
            <w:tcW w:w="662" w:type="dxa"/>
            <w:vAlign w:val="center"/>
          </w:tcPr>
          <w:p w14:paraId="3C0243F9" w14:textId="77777777" w:rsidR="00594BC3" w:rsidRPr="00B958F5" w:rsidRDefault="00594BC3" w:rsidP="000E7B7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B958F5">
              <w:rPr>
                <w:color w:val="000000"/>
                <w:sz w:val="18"/>
                <w:szCs w:val="18"/>
              </w:rPr>
              <w:t>0,0</w:t>
            </w:r>
          </w:p>
        </w:tc>
      </w:tr>
      <w:tr w:rsidR="00594BC3" w:rsidRPr="00B958F5" w14:paraId="19624BAC" w14:textId="77777777" w:rsidTr="000E7B7F">
        <w:trPr>
          <w:trHeight w:val="227"/>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34833584" w14:textId="77777777" w:rsidR="00594BC3" w:rsidRPr="00B958F5" w:rsidRDefault="00594BC3" w:rsidP="000E7B7F">
            <w:pPr>
              <w:ind w:firstLine="0"/>
              <w:jc w:val="left"/>
              <w:rPr>
                <w:rFonts w:cs="Times New Roman"/>
                <w:b w:val="0"/>
                <w:color w:val="auto"/>
                <w:sz w:val="18"/>
                <w:szCs w:val="18"/>
              </w:rPr>
            </w:pPr>
            <w:r w:rsidRPr="00B958F5">
              <w:rPr>
                <w:rFonts w:cs="Times New Roman"/>
                <w:b w:val="0"/>
                <w:color w:val="auto"/>
                <w:sz w:val="18"/>
                <w:szCs w:val="18"/>
              </w:rPr>
              <w:t>11.Eksporta-importa bilance</w:t>
            </w:r>
          </w:p>
        </w:tc>
        <w:tc>
          <w:tcPr>
            <w:tcW w:w="850" w:type="dxa"/>
            <w:noWrap/>
            <w:vAlign w:val="center"/>
            <w:hideMark/>
          </w:tcPr>
          <w:p w14:paraId="28A8D648"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B958F5">
              <w:rPr>
                <w:rFonts w:cs="Times New Roman"/>
                <w:color w:val="auto"/>
                <w:sz w:val="18"/>
                <w:szCs w:val="18"/>
              </w:rPr>
              <w:t>B11</w:t>
            </w:r>
          </w:p>
        </w:tc>
        <w:tc>
          <w:tcPr>
            <w:tcW w:w="851" w:type="dxa"/>
            <w:noWrap/>
            <w:vAlign w:val="center"/>
            <w:hideMark/>
          </w:tcPr>
          <w:p w14:paraId="70314D03" w14:textId="77777777" w:rsidR="00594BC3" w:rsidRPr="00B958F5" w:rsidRDefault="00594BC3" w:rsidP="000E7B7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p>
        </w:tc>
        <w:tc>
          <w:tcPr>
            <w:tcW w:w="661" w:type="dxa"/>
            <w:noWrap/>
            <w:vAlign w:val="center"/>
          </w:tcPr>
          <w:p w14:paraId="2E646985"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rFonts w:cs="Times New Roman"/>
                <w:color w:val="000000"/>
                <w:sz w:val="18"/>
                <w:szCs w:val="18"/>
              </w:rPr>
              <w:t>-2,0</w:t>
            </w:r>
          </w:p>
        </w:tc>
        <w:tc>
          <w:tcPr>
            <w:tcW w:w="662" w:type="dxa"/>
            <w:noWrap/>
            <w:vAlign w:val="center"/>
            <w:hideMark/>
          </w:tcPr>
          <w:p w14:paraId="5D30EFDA"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-2,1</w:t>
            </w:r>
          </w:p>
        </w:tc>
        <w:tc>
          <w:tcPr>
            <w:tcW w:w="661" w:type="dxa"/>
            <w:noWrap/>
            <w:vAlign w:val="center"/>
            <w:hideMark/>
          </w:tcPr>
          <w:p w14:paraId="396E648C"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-0,9</w:t>
            </w:r>
          </w:p>
        </w:tc>
        <w:tc>
          <w:tcPr>
            <w:tcW w:w="662" w:type="dxa"/>
            <w:noWrap/>
            <w:vAlign w:val="center"/>
            <w:hideMark/>
          </w:tcPr>
          <w:p w14:paraId="5B142D58"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-0,5</w:t>
            </w:r>
          </w:p>
        </w:tc>
        <w:tc>
          <w:tcPr>
            <w:tcW w:w="661" w:type="dxa"/>
            <w:noWrap/>
            <w:vAlign w:val="center"/>
            <w:hideMark/>
          </w:tcPr>
          <w:p w14:paraId="301C64AF"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-0,6</w:t>
            </w:r>
          </w:p>
        </w:tc>
        <w:tc>
          <w:tcPr>
            <w:tcW w:w="662" w:type="dxa"/>
            <w:vAlign w:val="center"/>
          </w:tcPr>
          <w:p w14:paraId="4C4F4DA3" w14:textId="77777777" w:rsidR="00594BC3" w:rsidRPr="00B958F5" w:rsidRDefault="00594BC3" w:rsidP="000E7B7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B958F5">
              <w:rPr>
                <w:color w:val="000000"/>
                <w:sz w:val="18"/>
                <w:szCs w:val="18"/>
              </w:rPr>
              <w:t>-0,6</w:t>
            </w:r>
          </w:p>
        </w:tc>
      </w:tr>
    </w:tbl>
    <w:p w14:paraId="6AFDB6B6" w14:textId="612C6ACA" w:rsidR="00594BC3" w:rsidRPr="00B958F5" w:rsidRDefault="00594BC3" w:rsidP="00594BC3">
      <w:pPr>
        <w:ind w:firstLine="0"/>
        <w:rPr>
          <w:i/>
          <w:iCs/>
          <w:sz w:val="18"/>
          <w:szCs w:val="14"/>
        </w:rPr>
      </w:pPr>
      <w:r w:rsidRPr="00B958F5">
        <w:rPr>
          <w:rFonts w:cs="Times New Roman"/>
          <w:i/>
          <w:iCs/>
          <w:sz w:val="18"/>
          <w:szCs w:val="16"/>
        </w:rPr>
        <w:t> * 2023. gada dati – CSP uz</w:t>
      </w:r>
      <w:r w:rsidR="00B958F5" w:rsidRPr="00B958F5">
        <w:rPr>
          <w:rFonts w:cs="Times New Roman"/>
          <w:i/>
          <w:iCs/>
          <w:sz w:val="18"/>
          <w:szCs w:val="16"/>
        </w:rPr>
        <w:t xml:space="preserve"> </w:t>
      </w:r>
      <w:r w:rsidRPr="00B958F5">
        <w:rPr>
          <w:i/>
          <w:iCs/>
          <w:sz w:val="18"/>
          <w:szCs w:val="14"/>
        </w:rPr>
        <w:t>25.03.2024.</w:t>
      </w:r>
    </w:p>
    <w:p w14:paraId="22574AEC" w14:textId="77777777" w:rsidR="00594BC3" w:rsidRPr="00B958F5" w:rsidRDefault="00594BC3" w:rsidP="00594BC3">
      <w:pPr>
        <w:ind w:firstLine="0"/>
        <w:rPr>
          <w:rFonts w:cs="Times New Roman"/>
          <w:i/>
          <w:iCs/>
          <w:sz w:val="18"/>
          <w:szCs w:val="16"/>
        </w:rPr>
      </w:pPr>
    </w:p>
    <w:p w14:paraId="09E1FB4E" w14:textId="77777777" w:rsidR="00594BC3" w:rsidRPr="00B958F5" w:rsidRDefault="00594BC3" w:rsidP="00594BC3">
      <w:pPr>
        <w:pStyle w:val="H4"/>
        <w:spacing w:before="240"/>
        <w:ind w:left="0" w:firstLine="720"/>
        <w:jc w:val="both"/>
        <w:rPr>
          <w:rFonts w:ascii="Times New Roman" w:hAnsi="Times New Roman"/>
          <w:iCs/>
          <w:sz w:val="24"/>
          <w:szCs w:val="24"/>
        </w:rPr>
      </w:pPr>
      <w:r w:rsidRPr="00B958F5">
        <w:rPr>
          <w:rFonts w:ascii="Times New Roman" w:hAnsi="Times New Roman"/>
          <w:iCs/>
          <w:sz w:val="24"/>
          <w:szCs w:val="24"/>
        </w:rPr>
        <w:t>Ekonomikas cikliskā attīstība</w:t>
      </w:r>
    </w:p>
    <w:p w14:paraId="3D72A253" w14:textId="18FCA6D4" w:rsidR="00594BC3" w:rsidRPr="00B958F5" w:rsidRDefault="00594BC3" w:rsidP="006D5A60">
      <w:pPr>
        <w:rPr>
          <w:rFonts w:cs="Times New Roman"/>
          <w:sz w:val="24"/>
          <w:szCs w:val="24"/>
        </w:rPr>
      </w:pPr>
      <w:r w:rsidRPr="00B958F5">
        <w:rPr>
          <w:rFonts w:cs="Times New Roman"/>
          <w:sz w:val="24"/>
          <w:szCs w:val="24"/>
        </w:rPr>
        <w:t xml:space="preserve">Latvijas ekonomika, pateicoties iekšējam un ārējam pieprasījumam, laikā no 2011. gada (pirmā pēc-recesijas gada) līdz 2019. gadam auga vidēji par 3% gadā, iezīmējot ekonomiskā cikla kāpuma posmu. </w:t>
      </w:r>
      <w:bookmarkStart w:id="20" w:name="_Hlk130205473"/>
      <w:r w:rsidRPr="00B958F5">
        <w:rPr>
          <w:rFonts w:cs="Times New Roman"/>
          <w:sz w:val="24"/>
          <w:szCs w:val="24"/>
        </w:rPr>
        <w:t>Beidzoties ES fondu ciklam, 2019. gadā sāka iezīmēties ekonomikas cikliskā bremzēšanās un investīciju pieauguma tempi mazinājās līdz 0,6%, salīdzinājumam 2017.</w:t>
      </w:r>
      <w:r w:rsidR="00B958F5" w:rsidRPr="00B958F5">
        <w:rPr>
          <w:rFonts w:cs="Times New Roman"/>
          <w:sz w:val="24"/>
          <w:szCs w:val="24"/>
        </w:rPr>
        <w:t xml:space="preserve"> – </w:t>
      </w:r>
      <w:r w:rsidRPr="00B958F5">
        <w:rPr>
          <w:rFonts w:cs="Times New Roman"/>
          <w:sz w:val="24"/>
          <w:szCs w:val="24"/>
        </w:rPr>
        <w:t>2018. gadā tie bija vidēji 3,7%</w:t>
      </w:r>
      <w:bookmarkEnd w:id="20"/>
      <w:r w:rsidRPr="00B958F5">
        <w:rPr>
          <w:rFonts w:cs="Times New Roman"/>
          <w:sz w:val="24"/>
          <w:szCs w:val="24"/>
        </w:rPr>
        <w:t xml:space="preserve">. Savukārt jau 2020. gadā ekonomiskā cikla bremzēšanos pastiprināja Covid-19 pandēmija, ietekmējot visu ekonomikas nozaru attīstību un dažās, ar tūrismu saistītajās nozarēs atstājot jūtamas sekas uz potenciālā </w:t>
      </w:r>
      <w:r w:rsidR="00B958F5" w:rsidRPr="00B958F5">
        <w:rPr>
          <w:rFonts w:cs="Times New Roman"/>
          <w:sz w:val="24"/>
          <w:szCs w:val="24"/>
        </w:rPr>
        <w:t>IKP</w:t>
      </w:r>
      <w:r w:rsidRPr="00B958F5">
        <w:rPr>
          <w:rFonts w:cs="Times New Roman"/>
          <w:sz w:val="24"/>
          <w:szCs w:val="24"/>
        </w:rPr>
        <w:t xml:space="preserve"> pieaugumu un strauji samazinot izveidojušos pozitīvo izlaižu starpību. Rezultātā IKP 2022. gadā samazinājās par 3,5% un izlaižu starpība, kas kopš 2015. gada bija pozitīva, 2020. gadā kļuva negatīva. Pēc Covid</w:t>
      </w:r>
      <w:r w:rsidRPr="00B958F5">
        <w:rPr>
          <w:rFonts w:cs="Times New Roman"/>
          <w:sz w:val="24"/>
          <w:szCs w:val="24"/>
        </w:rPr>
        <w:noBreakHyphen/>
        <w:t xml:space="preserve">19 ierobežojumu pakāpeniskas atcelšanas 2021. gadā ekonomikai bija iespēja atgriezties </w:t>
      </w:r>
      <w:r w:rsidRPr="00B958F5">
        <w:rPr>
          <w:rFonts w:cs="Times New Roman"/>
          <w:sz w:val="24"/>
          <w:szCs w:val="24"/>
        </w:rPr>
        <w:lastRenderedPageBreak/>
        <w:t>kāpuma posmā, taču Krievijas uzsāktais karš Ukrainā no jauna palēnināja potenciālā IKP attīstību un ekonomika atkal iegāja lejupslīdē.</w:t>
      </w:r>
    </w:p>
    <w:p w14:paraId="71CA0C76" w14:textId="166B2F6E" w:rsidR="00594BC3" w:rsidRPr="00B958F5" w:rsidRDefault="00594BC3" w:rsidP="006D5A60">
      <w:pPr>
        <w:rPr>
          <w:rFonts w:cs="Times New Roman"/>
          <w:sz w:val="24"/>
          <w:szCs w:val="24"/>
        </w:rPr>
      </w:pPr>
      <w:r w:rsidRPr="00B958F5">
        <w:rPr>
          <w:rFonts w:cs="Times New Roman"/>
          <w:sz w:val="24"/>
          <w:szCs w:val="24"/>
        </w:rPr>
        <w:t xml:space="preserve">Atbilstoši 2024. gada februāra scenārijam, negatīvā izlaižu starpība izzustu triju gadu laikā, līdz ekonomika atgrieztos potenciālajā izaugsmes līmenī un no 2026. gada turpinātu </w:t>
      </w:r>
      <w:r w:rsidR="00CF6C5C">
        <w:rPr>
          <w:rFonts w:cs="Times New Roman"/>
          <w:sz w:val="24"/>
          <w:szCs w:val="24"/>
        </w:rPr>
        <w:t xml:space="preserve">attīstību </w:t>
      </w:r>
      <w:r w:rsidRPr="00B958F5">
        <w:rPr>
          <w:rFonts w:cs="Times New Roman"/>
          <w:sz w:val="24"/>
          <w:szCs w:val="24"/>
        </w:rPr>
        <w:t xml:space="preserve">ar </w:t>
      </w:r>
      <w:r w:rsidR="00CF6C5C">
        <w:rPr>
          <w:rFonts w:cs="Times New Roman"/>
          <w:sz w:val="24"/>
          <w:szCs w:val="24"/>
        </w:rPr>
        <w:t xml:space="preserve">pieaugumu </w:t>
      </w:r>
      <w:r w:rsidRPr="00B958F5">
        <w:rPr>
          <w:rFonts w:cs="Times New Roman"/>
          <w:sz w:val="24"/>
          <w:szCs w:val="24"/>
        </w:rPr>
        <w:t>nedaudz virs 2%. Kopumā līdzīgs vidēja termiņa izlaižu starpības novērtējums ir arī EK 2023. gada rudens prognozēs.</w:t>
      </w:r>
    </w:p>
    <w:p w14:paraId="6F4D018D" w14:textId="77777777" w:rsidR="00594BC3" w:rsidRPr="00B958F5" w:rsidRDefault="00594BC3" w:rsidP="00594BC3">
      <w:pPr>
        <w:spacing w:after="120"/>
        <w:rPr>
          <w:rFonts w:cs="Times New Roman"/>
          <w:sz w:val="24"/>
          <w:szCs w:val="24"/>
        </w:rPr>
      </w:pPr>
    </w:p>
    <w:p w14:paraId="784173A2" w14:textId="77777777" w:rsidR="00594BC3" w:rsidRPr="00B958F5" w:rsidRDefault="00594BC3" w:rsidP="00594BC3">
      <w:pPr>
        <w:spacing w:after="120"/>
        <w:ind w:firstLine="0"/>
        <w:jc w:val="center"/>
        <w:rPr>
          <w:rFonts w:cs="Times New Roman"/>
          <w:sz w:val="24"/>
          <w:szCs w:val="24"/>
        </w:rPr>
      </w:pPr>
      <w:r w:rsidRPr="00B958F5">
        <w:rPr>
          <w:rFonts w:cs="Times New Roman"/>
          <w:noProof/>
          <w:sz w:val="24"/>
          <w:szCs w:val="24"/>
        </w:rPr>
        <w:drawing>
          <wp:inline distT="0" distB="0" distL="0" distR="0" wp14:anchorId="41C0C899" wp14:editId="1BDC6250">
            <wp:extent cx="5486400" cy="2446020"/>
            <wp:effectExtent l="0" t="0" r="0" b="0"/>
            <wp:docPr id="838583168" name="Chart 838583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B958F5">
        <w:rPr>
          <w:rFonts w:cs="Times New Roman"/>
          <w:sz w:val="24"/>
          <w:szCs w:val="24"/>
        </w:rPr>
        <w:br/>
      </w:r>
      <w:r w:rsidRPr="00B958F5">
        <w:rPr>
          <w:rFonts w:cs="Times New Roman"/>
          <w:b/>
          <w:i/>
          <w:sz w:val="24"/>
          <w:szCs w:val="24"/>
        </w:rPr>
        <w:t>2.9. att. Izlaižu starpība, %</w:t>
      </w:r>
    </w:p>
    <w:p w14:paraId="01FDFFF9" w14:textId="77777777" w:rsidR="00594BC3" w:rsidRPr="00B958F5" w:rsidRDefault="00594BC3" w:rsidP="006D5A60">
      <w:pPr>
        <w:rPr>
          <w:rFonts w:cs="Times New Roman"/>
          <w:sz w:val="24"/>
          <w:szCs w:val="24"/>
        </w:rPr>
      </w:pPr>
    </w:p>
    <w:p w14:paraId="08519926" w14:textId="4D702621" w:rsidR="00594BC3" w:rsidRPr="00B958F5" w:rsidRDefault="00594BC3" w:rsidP="00594BC3">
      <w:pPr>
        <w:rPr>
          <w:rFonts w:cs="Times New Roman"/>
          <w:sz w:val="24"/>
          <w:szCs w:val="24"/>
        </w:rPr>
      </w:pPr>
      <w:r w:rsidRPr="00B958F5">
        <w:rPr>
          <w:rFonts w:cs="Times New Roman"/>
          <w:sz w:val="24"/>
          <w:szCs w:val="24"/>
        </w:rPr>
        <w:t xml:space="preserve">IKP potenciālo izaugsmi prognožu periodā pamatā noteiks kopējais produktivitātes pieaugums ap 1,4 procentpunktiem, kāds bija raksturīgs ekonomikas kāpuma posmā laikā līdz 2019. gadam. Pārējo potenciālā </w:t>
      </w:r>
      <w:r w:rsidR="00B958F5" w:rsidRPr="00B958F5">
        <w:rPr>
          <w:rFonts w:cs="Times New Roman"/>
          <w:sz w:val="24"/>
          <w:szCs w:val="24"/>
        </w:rPr>
        <w:t>IKP</w:t>
      </w:r>
      <w:r w:rsidRPr="00B958F5">
        <w:rPr>
          <w:rFonts w:cs="Times New Roman"/>
          <w:sz w:val="24"/>
          <w:szCs w:val="24"/>
        </w:rPr>
        <w:t xml:space="preserve"> pieaugumu nodrošinās kapitāla devums, kas ir aptuveni viens procentpunkts, kamēr darbaspēka devums būs nedaudz negatīvs demogrāfiskās situācijas dēļ, ko kompensēs produktivitātes straujāka izaugsme. Saskaņā ar FM aprēķiniem, potenciālā </w:t>
      </w:r>
      <w:r w:rsidR="00B958F5" w:rsidRPr="00B958F5">
        <w:rPr>
          <w:rFonts w:cs="Times New Roman"/>
          <w:sz w:val="24"/>
          <w:szCs w:val="24"/>
        </w:rPr>
        <w:t>IKP</w:t>
      </w:r>
      <w:r w:rsidRPr="00B958F5">
        <w:rPr>
          <w:rFonts w:cs="Times New Roman"/>
          <w:sz w:val="24"/>
          <w:szCs w:val="24"/>
        </w:rPr>
        <w:t xml:space="preserve"> izaugsme vidējā termiņā būs virs 2%.</w:t>
      </w:r>
    </w:p>
    <w:p w14:paraId="3D6D084B" w14:textId="77777777" w:rsidR="00594BC3" w:rsidRPr="00B958F5" w:rsidRDefault="00594BC3" w:rsidP="00594BC3">
      <w:pPr>
        <w:rPr>
          <w:rFonts w:cs="Times New Roman"/>
          <w:sz w:val="24"/>
          <w:szCs w:val="24"/>
        </w:rPr>
      </w:pPr>
    </w:p>
    <w:p w14:paraId="1AE40CA4" w14:textId="6754FFA7" w:rsidR="00594BC3" w:rsidRPr="00B958F5" w:rsidRDefault="00594BC3" w:rsidP="00594BC3">
      <w:pPr>
        <w:ind w:firstLine="0"/>
        <w:jc w:val="center"/>
        <w:rPr>
          <w:rFonts w:cs="Times New Roman"/>
          <w:b/>
          <w:i/>
          <w:sz w:val="24"/>
          <w:szCs w:val="24"/>
        </w:rPr>
      </w:pPr>
      <w:r w:rsidRPr="00B958F5">
        <w:rPr>
          <w:rFonts w:cs="Times New Roman"/>
          <w:noProof/>
          <w:sz w:val="24"/>
          <w:szCs w:val="24"/>
        </w:rPr>
        <w:drawing>
          <wp:inline distT="0" distB="0" distL="0" distR="0" wp14:anchorId="70B44A89" wp14:editId="4F9C61CE">
            <wp:extent cx="5486400" cy="1883391"/>
            <wp:effectExtent l="0" t="0" r="0" b="3175"/>
            <wp:docPr id="162001486" name="Chart 1620014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B958F5">
        <w:rPr>
          <w:rFonts w:cs="Times New Roman"/>
          <w:b/>
          <w:i/>
          <w:sz w:val="24"/>
          <w:szCs w:val="24"/>
        </w:rPr>
        <w:br/>
        <w:t xml:space="preserve">2.10. att. Potenciālā </w:t>
      </w:r>
      <w:r w:rsidR="00B958F5">
        <w:rPr>
          <w:rFonts w:cs="Times New Roman"/>
          <w:b/>
          <w:i/>
          <w:sz w:val="24"/>
          <w:szCs w:val="24"/>
        </w:rPr>
        <w:t>IKP</w:t>
      </w:r>
      <w:r w:rsidRPr="00B958F5">
        <w:rPr>
          <w:rFonts w:cs="Times New Roman"/>
          <w:b/>
          <w:i/>
          <w:sz w:val="24"/>
          <w:szCs w:val="24"/>
        </w:rPr>
        <w:t xml:space="preserve"> izaugsme un komponenšu devums, %</w:t>
      </w:r>
    </w:p>
    <w:p w14:paraId="5BAFF28A" w14:textId="077BFB7D" w:rsidR="00A120D9" w:rsidRPr="00B958F5" w:rsidRDefault="00910F58" w:rsidP="00910F58">
      <w:pPr>
        <w:spacing w:after="160" w:line="259" w:lineRule="auto"/>
        <w:ind w:firstLine="0"/>
        <w:jc w:val="left"/>
        <w:rPr>
          <w:rFonts w:cs="Times New Roman"/>
          <w:b/>
          <w:i/>
          <w:sz w:val="24"/>
          <w:szCs w:val="24"/>
        </w:rPr>
      </w:pPr>
      <w:r w:rsidRPr="00B958F5">
        <w:rPr>
          <w:rFonts w:cs="Times New Roman"/>
          <w:b/>
          <w:i/>
          <w:sz w:val="24"/>
          <w:szCs w:val="24"/>
        </w:rPr>
        <w:br w:type="page"/>
      </w:r>
    </w:p>
    <w:p w14:paraId="6301D5B7" w14:textId="6C72EA3E" w:rsidR="00BF4753" w:rsidRPr="00B558EE" w:rsidRDefault="00BF4753" w:rsidP="00A37D1E">
      <w:pPr>
        <w:pStyle w:val="Heading1"/>
        <w:spacing w:before="0" w:after="240"/>
        <w:rPr>
          <w:sz w:val="32"/>
          <w:szCs w:val="32"/>
        </w:rPr>
      </w:pPr>
      <w:bookmarkStart w:id="21" w:name="_Toc164679818"/>
      <w:r w:rsidRPr="00B558EE">
        <w:rPr>
          <w:sz w:val="32"/>
          <w:szCs w:val="32"/>
        </w:rPr>
        <w:lastRenderedPageBreak/>
        <w:t>3. Vispārējās valdības budžeta bilance un parāds</w:t>
      </w:r>
      <w:bookmarkEnd w:id="6"/>
      <w:bookmarkEnd w:id="7"/>
      <w:bookmarkEnd w:id="21"/>
    </w:p>
    <w:p w14:paraId="5870A9CA" w14:textId="1BEFE3A9" w:rsidR="00BF4753" w:rsidRPr="00B558EE" w:rsidRDefault="00BF4753" w:rsidP="00BF4753">
      <w:pPr>
        <w:pStyle w:val="Heading2"/>
        <w:numPr>
          <w:ilvl w:val="0"/>
          <w:numId w:val="0"/>
        </w:numPr>
        <w:spacing w:before="240" w:after="240"/>
        <w:ind w:left="578"/>
        <w:rPr>
          <w:rFonts w:eastAsia="Times New Roman"/>
          <w:sz w:val="28"/>
          <w:szCs w:val="24"/>
        </w:rPr>
      </w:pPr>
      <w:bookmarkStart w:id="22" w:name="_Toc164679819"/>
      <w:r w:rsidRPr="00B558EE">
        <w:rPr>
          <w:rFonts w:eastAsia="Times New Roman"/>
          <w:sz w:val="28"/>
          <w:szCs w:val="24"/>
        </w:rPr>
        <w:t>3.1. Fiskālās politikas stratēģija un vidēja termiņa mērķi</w:t>
      </w:r>
      <w:bookmarkEnd w:id="22"/>
    </w:p>
    <w:p w14:paraId="1D1BE3FC" w14:textId="2174758E" w:rsidR="000D2388" w:rsidRPr="00B558EE" w:rsidRDefault="008A7D6A" w:rsidP="008A7D6A">
      <w:pPr>
        <w:pStyle w:val="Heading3"/>
        <w:numPr>
          <w:ilvl w:val="0"/>
          <w:numId w:val="0"/>
        </w:numPr>
        <w:spacing w:before="240" w:after="240"/>
        <w:jc w:val="center"/>
        <w:rPr>
          <w:sz w:val="24"/>
          <w:szCs w:val="20"/>
        </w:rPr>
      </w:pPr>
      <w:bookmarkStart w:id="23" w:name="_Toc98250545"/>
      <w:bookmarkStart w:id="24" w:name="_Toc164679820"/>
      <w:r w:rsidRPr="00B558EE">
        <w:rPr>
          <w:sz w:val="24"/>
          <w:szCs w:val="20"/>
        </w:rPr>
        <w:t>3.1.1.</w:t>
      </w:r>
      <w:r w:rsidR="00C226AF">
        <w:rPr>
          <w:sz w:val="24"/>
          <w:szCs w:val="20"/>
        </w:rPr>
        <w:t xml:space="preserve"> </w:t>
      </w:r>
      <w:r w:rsidR="000D2388" w:rsidRPr="00B558EE">
        <w:rPr>
          <w:sz w:val="24"/>
          <w:szCs w:val="20"/>
        </w:rPr>
        <w:t>Fiskālās politikas stratēģija</w:t>
      </w:r>
      <w:bookmarkEnd w:id="23"/>
      <w:bookmarkEnd w:id="24"/>
    </w:p>
    <w:p w14:paraId="2329148D" w14:textId="3A008B0E" w:rsidR="00CF6C5C" w:rsidRPr="00B558EE" w:rsidRDefault="00CF6C5C" w:rsidP="00CF6C5C">
      <w:pPr>
        <w:rPr>
          <w:rFonts w:eastAsia="Times New Roman" w:cs="Times New Roman"/>
          <w:sz w:val="24"/>
          <w:szCs w:val="24"/>
        </w:rPr>
      </w:pPr>
      <w:bookmarkStart w:id="25" w:name="_Toc98250548"/>
      <w:r w:rsidRPr="00B558EE">
        <w:rPr>
          <w:rFonts w:eastAsia="Times New Roman" w:cs="Times New Roman"/>
          <w:sz w:val="24"/>
          <w:szCs w:val="24"/>
        </w:rPr>
        <w:t>Stabilitātes programma tiek sagatavota laikā, kad Eiropā joprojām notiek karš, papildus tam ir</w:t>
      </w:r>
      <w:r w:rsidRPr="00B558EE">
        <w:rPr>
          <w:rFonts w:eastAsia="Aptos" w:cs="Times New Roman"/>
          <w:kern w:val="2"/>
          <w:sz w:val="24"/>
          <w:szCs w:val="24"/>
          <w14:ligatures w14:val="standardContextual"/>
        </w:rPr>
        <w:t xml:space="preserve"> </w:t>
      </w:r>
      <w:proofErr w:type="spellStart"/>
      <w:r w:rsidRPr="00B558EE">
        <w:rPr>
          <w:rFonts w:eastAsia="Aptos" w:cs="Times New Roman"/>
          <w:kern w:val="2"/>
          <w:sz w:val="24"/>
          <w:szCs w:val="24"/>
          <w14:ligatures w14:val="standardContextual"/>
        </w:rPr>
        <w:t>eskalējusies</w:t>
      </w:r>
      <w:proofErr w:type="spellEnd"/>
      <w:r w:rsidRPr="00B558EE">
        <w:rPr>
          <w:rFonts w:eastAsia="Aptos" w:cs="Times New Roman"/>
          <w:kern w:val="2"/>
          <w:sz w:val="24"/>
          <w:szCs w:val="24"/>
          <w14:ligatures w14:val="standardContextual"/>
        </w:rPr>
        <w:t xml:space="preserve"> </w:t>
      </w:r>
      <w:r w:rsidRPr="00B558EE">
        <w:rPr>
          <w:rFonts w:eastAsia="Times New Roman" w:cs="Times New Roman"/>
          <w:sz w:val="24"/>
          <w:szCs w:val="24"/>
        </w:rPr>
        <w:t xml:space="preserve">ģeopolitiskā situācija Tuvajos Austrumos. Lai gan kara Ukrainā ietekmē pieaugušās energoresursu cenas ir stabilizējušās un Latvijas ekonomika spēj samērā veiksmīgi pielāgoties izaicinājumiem, tomēr tikai vidējā termiņā var sagaidīt stabilu ekonomikas izaugsmi pie nosacījuma, ka pieaugs pieprasījums ārējā tirgū, notiks gaidāmā inflācijas mazināšanās un arī procentu likmju pazemināšana, kas labvēlīgi ietekmēs ne tikai publiskās finanses, bet arī Latvijas ekonomiku kopumā. Vienlaicīgi saglabājas ļoti augsta nenoteiktība un ārējie riski. </w:t>
      </w:r>
    </w:p>
    <w:p w14:paraId="7A061EEA" w14:textId="26BF6CCE" w:rsidR="00CF6C5C" w:rsidRPr="00B558EE" w:rsidRDefault="00CF6C5C" w:rsidP="00CF6C5C">
      <w:pPr>
        <w:rPr>
          <w:rFonts w:eastAsia="Times New Roman" w:cs="Times New Roman"/>
          <w:sz w:val="24"/>
          <w:szCs w:val="24"/>
        </w:rPr>
      </w:pPr>
      <w:r w:rsidRPr="00B558EE">
        <w:rPr>
          <w:rFonts w:eastAsia="Times New Roman" w:cs="Times New Roman"/>
          <w:sz w:val="24"/>
          <w:szCs w:val="24"/>
        </w:rPr>
        <w:t xml:space="preserve">2024. gads ir zīmīgs ar to, ka līdz ar </w:t>
      </w:r>
      <w:r w:rsidR="00365213">
        <w:rPr>
          <w:rFonts w:eastAsia="Times New Roman" w:cs="Times New Roman"/>
          <w:sz w:val="24"/>
          <w:szCs w:val="24"/>
        </w:rPr>
        <w:t xml:space="preserve">ES </w:t>
      </w:r>
      <w:r w:rsidRPr="00B558EE">
        <w:rPr>
          <w:rFonts w:eastAsia="Times New Roman" w:cs="Times New Roman"/>
          <w:sz w:val="24"/>
          <w:szCs w:val="24"/>
        </w:rPr>
        <w:t xml:space="preserve">vispārējās izņēmuma klauzulas darbības pārtraukšanu, no viena puses, tika atjaunota ES fiskālo noteikumu piemērošana, kas nozīmē pārmērīga budžeta deficīta novēršanas procedūras ierosināšanu 2024. gada pavasarī, pamatojoties uz 2023. gada rezultātiem saskaņā ar spēkā esošajiem ES tiesību aktiem, no otras puses, 2024. gada pavasarī panākta provizoriska politiska vienošanās par ES ekonomikas pārvaldības ietvara reformas </w:t>
      </w:r>
      <w:proofErr w:type="spellStart"/>
      <w:r w:rsidRPr="00B558EE">
        <w:rPr>
          <w:rFonts w:eastAsia="Times New Roman" w:cs="Times New Roman"/>
          <w:sz w:val="24"/>
          <w:szCs w:val="24"/>
        </w:rPr>
        <w:t>pakotni</w:t>
      </w:r>
      <w:proofErr w:type="spellEnd"/>
      <w:r w:rsidRPr="00B558EE">
        <w:rPr>
          <w:rStyle w:val="FootnoteReference"/>
          <w:rFonts w:ascii="Times New Roman" w:eastAsia="Times New Roman" w:hAnsi="Times New Roman" w:cs="Times New Roman"/>
          <w:sz w:val="24"/>
          <w:szCs w:val="32"/>
        </w:rPr>
        <w:footnoteReference w:id="2"/>
      </w:r>
      <w:r w:rsidR="00522933">
        <w:rPr>
          <w:rFonts w:eastAsia="Times New Roman" w:cs="Times New Roman"/>
          <w:sz w:val="24"/>
          <w:szCs w:val="24"/>
        </w:rPr>
        <w:t xml:space="preserve"> (jaunie ES fiskālie noteikumi)</w:t>
      </w:r>
      <w:r w:rsidRPr="00B558EE">
        <w:rPr>
          <w:rFonts w:eastAsia="Times New Roman" w:cs="Times New Roman"/>
          <w:sz w:val="24"/>
          <w:szCs w:val="24"/>
        </w:rPr>
        <w:t xml:space="preserve">, kas </w:t>
      </w:r>
      <w:r w:rsidR="00365213">
        <w:rPr>
          <w:rFonts w:eastAsia="Times New Roman" w:cs="Times New Roman"/>
          <w:sz w:val="24"/>
          <w:szCs w:val="24"/>
        </w:rPr>
        <w:t>indikatīvi</w:t>
      </w:r>
      <w:r w:rsidR="00365213" w:rsidRPr="00B558EE">
        <w:rPr>
          <w:rFonts w:eastAsia="Times New Roman" w:cs="Times New Roman"/>
          <w:sz w:val="24"/>
          <w:szCs w:val="24"/>
        </w:rPr>
        <w:t xml:space="preserve"> </w:t>
      </w:r>
      <w:r w:rsidRPr="00B558EE">
        <w:rPr>
          <w:rFonts w:eastAsia="Times New Roman" w:cs="Times New Roman"/>
          <w:sz w:val="24"/>
          <w:szCs w:val="24"/>
        </w:rPr>
        <w:t xml:space="preserve">stāsies spēkā </w:t>
      </w:r>
      <w:r w:rsidR="00365213">
        <w:rPr>
          <w:rFonts w:eastAsia="Times New Roman" w:cs="Times New Roman"/>
          <w:sz w:val="24"/>
          <w:szCs w:val="24"/>
        </w:rPr>
        <w:t xml:space="preserve">š.g. </w:t>
      </w:r>
      <w:r w:rsidRPr="00B558EE">
        <w:rPr>
          <w:rFonts w:eastAsia="Times New Roman" w:cs="Times New Roman"/>
          <w:sz w:val="24"/>
          <w:szCs w:val="24"/>
        </w:rPr>
        <w:t xml:space="preserve">maijā, t.i. neilgi pēc </w:t>
      </w:r>
      <w:r w:rsidR="00365213">
        <w:rPr>
          <w:rFonts w:eastAsia="Times New Roman" w:cs="Times New Roman"/>
          <w:sz w:val="24"/>
          <w:szCs w:val="24"/>
        </w:rPr>
        <w:t xml:space="preserve">šīs </w:t>
      </w:r>
      <w:r w:rsidRPr="00B558EE">
        <w:rPr>
          <w:rFonts w:eastAsia="Times New Roman" w:cs="Times New Roman"/>
          <w:sz w:val="24"/>
          <w:szCs w:val="24"/>
        </w:rPr>
        <w:t xml:space="preserve">Stabilitātes programmas iesniegšanas EK. </w:t>
      </w:r>
    </w:p>
    <w:p w14:paraId="57DCF1F7" w14:textId="477DA3C2" w:rsidR="00CF6C5C" w:rsidRPr="00CF6C5C" w:rsidRDefault="00CF6C5C" w:rsidP="00CF6C5C">
      <w:pPr>
        <w:rPr>
          <w:rFonts w:eastAsia="Times New Roman" w:cs="Times New Roman"/>
          <w:sz w:val="24"/>
          <w:szCs w:val="24"/>
          <w:highlight w:val="yellow"/>
        </w:rPr>
      </w:pPr>
      <w:r w:rsidRPr="00B558EE">
        <w:rPr>
          <w:rFonts w:eastAsia="Times New Roman" w:cs="Times New Roman"/>
          <w:sz w:val="24"/>
          <w:szCs w:val="24"/>
        </w:rPr>
        <w:t xml:space="preserve">Vienlaikus jāatzīmē, ka 2023. gada 14. jūlijā ir apstiprinātas Padomes ES dalībvalstīm specifiskās rekomendācijas, kurās ir integrēta fiskālā komponente. </w:t>
      </w:r>
      <w:bookmarkStart w:id="26" w:name="_Hlk148513700"/>
      <w:r w:rsidRPr="00B558EE">
        <w:rPr>
          <w:rFonts w:eastAsia="Times New Roman" w:cs="Times New Roman"/>
          <w:sz w:val="24"/>
          <w:szCs w:val="24"/>
        </w:rPr>
        <w:t>Saskaņā ar rekomendāciju</w:t>
      </w:r>
      <w:r w:rsidR="00522933" w:rsidRPr="00B558EE">
        <w:rPr>
          <w:rFonts w:eastAsia="Times New Roman" w:cs="Times New Roman"/>
          <w:sz w:val="24"/>
          <w:szCs w:val="24"/>
          <w:vertAlign w:val="superscript"/>
        </w:rPr>
        <w:footnoteReference w:id="3"/>
      </w:r>
      <w:r w:rsidR="00522933" w:rsidRPr="00B558EE">
        <w:rPr>
          <w:rFonts w:eastAsia="Times New Roman" w:cs="Times New Roman"/>
          <w:sz w:val="24"/>
          <w:szCs w:val="24"/>
        </w:rPr>
        <w:t xml:space="preserve"> </w:t>
      </w:r>
      <w:r w:rsidRPr="00B558EE">
        <w:rPr>
          <w:rFonts w:eastAsia="Times New Roman" w:cs="Times New Roman"/>
          <w:sz w:val="24"/>
          <w:szCs w:val="24"/>
        </w:rPr>
        <w:t xml:space="preserve"> Latvijai</w:t>
      </w:r>
      <w:r w:rsidR="00365213">
        <w:rPr>
          <w:rFonts w:eastAsia="Times New Roman" w:cs="Times New Roman"/>
          <w:sz w:val="24"/>
          <w:szCs w:val="24"/>
        </w:rPr>
        <w:t xml:space="preserve"> </w:t>
      </w:r>
      <w:r w:rsidRPr="00B558EE">
        <w:rPr>
          <w:rFonts w:eastAsia="Times New Roman" w:cs="Times New Roman"/>
          <w:sz w:val="24"/>
          <w:szCs w:val="24"/>
        </w:rPr>
        <w:t>2024. gadā ir jānodrošina piesardzīga fiskālā politika, ierobežojot valsts finansēto neto primāro izdevumu nominālo pieaugumu tādā apmērā, lai tas atbilstu ikgadējam strukturālās budžeta bilances uzlabojumam vismaz 0,5% apmērā no IKP 2024. gadā.</w:t>
      </w:r>
      <w:bookmarkEnd w:id="26"/>
      <w:r w:rsidRPr="00B558EE">
        <w:rPr>
          <w:rFonts w:eastAsia="Times New Roman" w:cs="Times New Roman"/>
          <w:sz w:val="24"/>
          <w:szCs w:val="24"/>
        </w:rPr>
        <w:t xml:space="preserve"> Minētās rekomendācijas fiskālā komponente ir zināmā mērā pārejas posms uz reformēto ES fiskālo noteikumu piemērošanu, kas ietver sevī valstij specifiskas fiskālās trajektorijas noteikšanu (valsts finansētiem neto primāriem izdevumiem</w:t>
      </w:r>
      <w:r w:rsidRPr="006D5A60">
        <w:rPr>
          <w:rStyle w:val="FootnoteReference"/>
          <w:rFonts w:ascii="Times New Roman" w:eastAsia="Times New Roman" w:hAnsi="Times New Roman" w:cs="Times New Roman"/>
          <w:sz w:val="24"/>
          <w:szCs w:val="32"/>
        </w:rPr>
        <w:footnoteReference w:id="4"/>
      </w:r>
      <w:r w:rsidRPr="00B558EE">
        <w:rPr>
          <w:rFonts w:eastAsia="Times New Roman" w:cs="Times New Roman"/>
          <w:sz w:val="24"/>
          <w:szCs w:val="24"/>
        </w:rPr>
        <w:t xml:space="preserve">) četriem gadiem strukturālās </w:t>
      </w:r>
      <w:r w:rsidR="00C1161E" w:rsidRPr="00B558EE">
        <w:rPr>
          <w:rFonts w:eastAsia="Times New Roman" w:cs="Times New Roman"/>
          <w:sz w:val="24"/>
          <w:szCs w:val="24"/>
        </w:rPr>
        <w:t xml:space="preserve">primārās </w:t>
      </w:r>
      <w:r w:rsidRPr="00B558EE">
        <w:rPr>
          <w:rFonts w:eastAsia="Times New Roman" w:cs="Times New Roman"/>
          <w:sz w:val="24"/>
          <w:szCs w:val="24"/>
        </w:rPr>
        <w:t xml:space="preserve">bilances izmaiņu izteiksmē. Fiskālās jeb valsts finansēto neto primāro izdevumu trajektorija jānosaka </w:t>
      </w:r>
      <w:r w:rsidR="00522933">
        <w:rPr>
          <w:rFonts w:eastAsia="Times New Roman" w:cs="Times New Roman"/>
          <w:sz w:val="24"/>
          <w:szCs w:val="24"/>
        </w:rPr>
        <w:t>FSP</w:t>
      </w:r>
      <w:r w:rsidRPr="00B558EE">
        <w:rPr>
          <w:rFonts w:eastAsia="Times New Roman" w:cs="Times New Roman"/>
          <w:sz w:val="24"/>
          <w:szCs w:val="24"/>
        </w:rPr>
        <w:t>, kas ES dalībvalstīm</w:t>
      </w:r>
      <w:r w:rsidR="00522933">
        <w:rPr>
          <w:rFonts w:eastAsia="Times New Roman" w:cs="Times New Roman"/>
          <w:sz w:val="24"/>
          <w:szCs w:val="24"/>
        </w:rPr>
        <w:t>, t.sk. Latvijai,</w:t>
      </w:r>
      <w:r w:rsidRPr="00B558EE">
        <w:rPr>
          <w:rFonts w:eastAsia="Times New Roman" w:cs="Times New Roman"/>
          <w:sz w:val="24"/>
          <w:szCs w:val="24"/>
        </w:rPr>
        <w:t xml:space="preserve"> jāsagatavo līdz 2024. gada 20. septembrim, </w:t>
      </w:r>
      <w:r w:rsidR="00365213">
        <w:rPr>
          <w:rFonts w:eastAsia="Times New Roman" w:cs="Times New Roman"/>
          <w:sz w:val="24"/>
          <w:szCs w:val="24"/>
        </w:rPr>
        <w:t xml:space="preserve">bet dalībvalstis </w:t>
      </w:r>
      <w:r w:rsidRPr="00B558EE">
        <w:rPr>
          <w:rFonts w:eastAsia="Times New Roman" w:cs="Times New Roman"/>
          <w:sz w:val="24"/>
          <w:szCs w:val="24"/>
        </w:rPr>
        <w:t xml:space="preserve">ar EK </w:t>
      </w:r>
      <w:r w:rsidR="00365213">
        <w:rPr>
          <w:rFonts w:eastAsia="Times New Roman" w:cs="Times New Roman"/>
          <w:sz w:val="24"/>
          <w:szCs w:val="24"/>
        </w:rPr>
        <w:t>var vienoties</w:t>
      </w:r>
      <w:r w:rsidRPr="00B558EE">
        <w:rPr>
          <w:rFonts w:eastAsia="Times New Roman" w:cs="Times New Roman"/>
          <w:sz w:val="24"/>
          <w:szCs w:val="24"/>
        </w:rPr>
        <w:t xml:space="preserve"> par  plāna</w:t>
      </w:r>
      <w:r w:rsidR="00522933">
        <w:rPr>
          <w:rFonts w:eastAsia="Times New Roman" w:cs="Times New Roman"/>
          <w:sz w:val="24"/>
          <w:szCs w:val="24"/>
        </w:rPr>
        <w:t xml:space="preserve"> iesniegšanas</w:t>
      </w:r>
      <w:r w:rsidRPr="00B558EE">
        <w:rPr>
          <w:rFonts w:eastAsia="Times New Roman" w:cs="Times New Roman"/>
          <w:sz w:val="24"/>
          <w:szCs w:val="24"/>
        </w:rPr>
        <w:t xml:space="preserve"> termiņa pagarinājumu</w:t>
      </w:r>
      <w:r w:rsidR="00522933" w:rsidRPr="006D5A60">
        <w:rPr>
          <w:rStyle w:val="FootnoteReference"/>
          <w:rFonts w:ascii="Times New Roman" w:eastAsia="Times New Roman" w:hAnsi="Times New Roman" w:cs="Times New Roman"/>
          <w:sz w:val="24"/>
          <w:szCs w:val="24"/>
        </w:rPr>
        <w:footnoteReference w:id="5"/>
      </w:r>
      <w:r w:rsidRPr="00B558EE">
        <w:rPr>
          <w:rFonts w:eastAsia="Times New Roman" w:cs="Times New Roman"/>
          <w:sz w:val="24"/>
          <w:szCs w:val="24"/>
        </w:rPr>
        <w:t xml:space="preserve">. Attiecīgi nākamais likumprojekts par </w:t>
      </w:r>
      <w:r w:rsidR="00B558EE" w:rsidRPr="00B558EE">
        <w:rPr>
          <w:rFonts w:eastAsia="Times New Roman" w:cs="Times New Roman"/>
          <w:sz w:val="24"/>
          <w:szCs w:val="24"/>
        </w:rPr>
        <w:t>“</w:t>
      </w:r>
      <w:r w:rsidRPr="00B558EE">
        <w:rPr>
          <w:rFonts w:eastAsia="Times New Roman" w:cs="Times New Roman"/>
          <w:sz w:val="24"/>
          <w:szCs w:val="24"/>
        </w:rPr>
        <w:t>Par valsts budžetu 2025. gadam un budžeta ietvaru 2025., 2026. un 2027. gadam</w:t>
      </w:r>
      <w:r w:rsidR="00B558EE" w:rsidRPr="00B558EE">
        <w:rPr>
          <w:rFonts w:eastAsia="Times New Roman" w:cs="Times New Roman"/>
          <w:sz w:val="24"/>
          <w:szCs w:val="24"/>
        </w:rPr>
        <w:t>”</w:t>
      </w:r>
      <w:r w:rsidRPr="00B558EE">
        <w:rPr>
          <w:rFonts w:eastAsia="Times New Roman" w:cs="Times New Roman"/>
          <w:sz w:val="24"/>
          <w:szCs w:val="24"/>
        </w:rPr>
        <w:t xml:space="preserve"> būs jāizstrādā, ņemot vērā ne tikai FDL, bet arī stājušos spēkā ES ekonomikas pārvaldības ietvara reformas </w:t>
      </w:r>
      <w:proofErr w:type="spellStart"/>
      <w:r w:rsidRPr="00B558EE">
        <w:rPr>
          <w:rFonts w:eastAsia="Times New Roman" w:cs="Times New Roman"/>
          <w:sz w:val="24"/>
          <w:szCs w:val="24"/>
        </w:rPr>
        <w:t>pakotni</w:t>
      </w:r>
      <w:proofErr w:type="spellEnd"/>
      <w:r w:rsidRPr="00B558EE">
        <w:rPr>
          <w:rFonts w:eastAsia="Times New Roman" w:cs="Times New Roman"/>
          <w:sz w:val="24"/>
          <w:szCs w:val="24"/>
        </w:rPr>
        <w:t xml:space="preserve">, kā arī valsts finansēto neto primāro izdevumu trajektoriju. </w:t>
      </w:r>
    </w:p>
    <w:p w14:paraId="523B6D6A" w14:textId="4A0C60C2" w:rsidR="00CF6C5C" w:rsidRPr="00B558EE" w:rsidRDefault="00CF6C5C" w:rsidP="00CF6C5C">
      <w:pPr>
        <w:rPr>
          <w:rFonts w:eastAsia="Times New Roman" w:cs="Times New Roman"/>
          <w:sz w:val="24"/>
          <w:szCs w:val="24"/>
        </w:rPr>
      </w:pPr>
      <w:bookmarkStart w:id="27" w:name="_Hlk148513748"/>
      <w:r w:rsidRPr="00B558EE">
        <w:rPr>
          <w:rFonts w:eastAsia="Times New Roman" w:cs="Times New Roman"/>
          <w:sz w:val="24"/>
          <w:szCs w:val="24"/>
        </w:rPr>
        <w:t>Ņemot vērā paredzēto ES fiskālo noteikumu piemērošanas atjaunošanu sākot ar 2024. gadu, pasākumu, kas saskaņā ar Fiskālās politikas stratēģiju</w:t>
      </w:r>
      <w:r w:rsidRPr="002A24ED">
        <w:rPr>
          <w:rStyle w:val="FootnoteReference"/>
          <w:rFonts w:ascii="Times New Roman" w:eastAsia="Times New Roman" w:hAnsi="Times New Roman" w:cs="Times New Roman"/>
          <w:sz w:val="24"/>
          <w:szCs w:val="24"/>
        </w:rPr>
        <w:footnoteReference w:id="6"/>
      </w:r>
      <w:r w:rsidRPr="00B558EE">
        <w:rPr>
          <w:rFonts w:eastAsia="Times New Roman" w:cs="Times New Roman"/>
          <w:sz w:val="24"/>
          <w:szCs w:val="24"/>
        </w:rPr>
        <w:t xml:space="preserve"> tiek uzskatīti par vienreizējiem, </w:t>
      </w:r>
      <w:r w:rsidRPr="00B558EE">
        <w:rPr>
          <w:rFonts w:eastAsia="Times New Roman" w:cs="Times New Roman"/>
          <w:sz w:val="24"/>
          <w:szCs w:val="24"/>
        </w:rPr>
        <w:lastRenderedPageBreak/>
        <w:t>finansēšana jāveic fiskālās disciplīnas noteikumu ietvaros, proti, tādā apmērā, lai nepieļautu vispārējās valdības budžeta deficīta 3%</w:t>
      </w:r>
      <w:r w:rsidR="00522933">
        <w:rPr>
          <w:rFonts w:eastAsia="Times New Roman" w:cs="Times New Roman"/>
          <w:sz w:val="24"/>
          <w:szCs w:val="24"/>
        </w:rPr>
        <w:t xml:space="preserve"> no IKP</w:t>
      </w:r>
      <w:r w:rsidRPr="00B558EE">
        <w:rPr>
          <w:rFonts w:eastAsia="Times New Roman" w:cs="Times New Roman"/>
          <w:sz w:val="24"/>
          <w:szCs w:val="24"/>
        </w:rPr>
        <w:t xml:space="preserve"> robežvērtības pārsniegumu. Vienlaicīgi netiek atcelts pieminētās Fiskālās politikas stratēģijas pamatprincips, ka vienreizējie pasākumi tiek izslēgti no nacionālā vispārējās valdības budžeta strukturālās bilances mērķa. </w:t>
      </w:r>
    </w:p>
    <w:p w14:paraId="4CE16FCC" w14:textId="77777777" w:rsidR="00CF6C5C" w:rsidRPr="00575359" w:rsidRDefault="00CF6C5C" w:rsidP="00CF6C5C">
      <w:pPr>
        <w:rPr>
          <w:rFonts w:eastAsia="Times New Roman" w:cs="Times New Roman"/>
          <w:sz w:val="24"/>
          <w:szCs w:val="24"/>
        </w:rPr>
      </w:pPr>
      <w:r w:rsidRPr="00575359">
        <w:rPr>
          <w:rFonts w:eastAsia="Times New Roman" w:cs="Times New Roman"/>
          <w:sz w:val="24"/>
          <w:szCs w:val="24"/>
        </w:rPr>
        <w:t>Vienreizējo pasākumu tvērums atrunāts likuma “Par valsts budžetu 2024. gadam un budžeta ietvaru 2024., 2025. un 2026. gadam”</w:t>
      </w:r>
      <w:bookmarkEnd w:id="27"/>
      <w:r w:rsidRPr="00575359">
        <w:rPr>
          <w:rFonts w:eastAsia="Times New Roman" w:cs="Times New Roman"/>
          <w:sz w:val="24"/>
          <w:szCs w:val="24"/>
        </w:rPr>
        <w:t xml:space="preserve"> 5. pantā: </w:t>
      </w:r>
    </w:p>
    <w:p w14:paraId="7F8ABB59" w14:textId="77777777" w:rsidR="00CF6C5C" w:rsidRPr="00575359" w:rsidRDefault="00CF6C5C" w:rsidP="004F034A">
      <w:pPr>
        <w:pStyle w:val="ListParagraph"/>
        <w:numPr>
          <w:ilvl w:val="0"/>
          <w:numId w:val="29"/>
        </w:numPr>
        <w:ind w:left="426" w:hanging="426"/>
        <w:rPr>
          <w:rFonts w:eastAsia="Times New Roman" w:cs="Times New Roman"/>
          <w:sz w:val="24"/>
          <w:szCs w:val="24"/>
        </w:rPr>
      </w:pPr>
      <w:r w:rsidRPr="00575359">
        <w:rPr>
          <w:rFonts w:eastAsia="Times New Roman" w:cs="Times New Roman"/>
          <w:sz w:val="24"/>
          <w:szCs w:val="24"/>
        </w:rPr>
        <w:t>vienreizējie izdevumi, kas saistīti ar Covid-19 pandēmijas negatīvo seku mazināšanu;</w:t>
      </w:r>
    </w:p>
    <w:p w14:paraId="08424829" w14:textId="77777777" w:rsidR="00CF6C5C" w:rsidRPr="00575359" w:rsidRDefault="00CF6C5C" w:rsidP="004F034A">
      <w:pPr>
        <w:pStyle w:val="ListParagraph"/>
        <w:numPr>
          <w:ilvl w:val="0"/>
          <w:numId w:val="29"/>
        </w:numPr>
        <w:ind w:left="426" w:hanging="426"/>
        <w:rPr>
          <w:rFonts w:eastAsia="Times New Roman" w:cs="Times New Roman"/>
          <w:sz w:val="24"/>
          <w:szCs w:val="24"/>
        </w:rPr>
      </w:pPr>
      <w:r w:rsidRPr="00575359">
        <w:rPr>
          <w:rFonts w:eastAsia="Times New Roman" w:cs="Times New Roman"/>
          <w:sz w:val="24"/>
          <w:szCs w:val="24"/>
        </w:rPr>
        <w:t>vienreizējie izdevumi enerģijas cenu būtiskā pieauguma kompensācijai;</w:t>
      </w:r>
    </w:p>
    <w:p w14:paraId="71D70610" w14:textId="77777777" w:rsidR="00CF6C5C" w:rsidRPr="00575359" w:rsidRDefault="00CF6C5C" w:rsidP="004F034A">
      <w:pPr>
        <w:pStyle w:val="ListParagraph"/>
        <w:numPr>
          <w:ilvl w:val="0"/>
          <w:numId w:val="29"/>
        </w:numPr>
        <w:ind w:left="426" w:hanging="426"/>
        <w:rPr>
          <w:rFonts w:eastAsia="Times New Roman" w:cs="Times New Roman"/>
          <w:sz w:val="24"/>
          <w:szCs w:val="24"/>
        </w:rPr>
      </w:pPr>
      <w:r w:rsidRPr="00575359">
        <w:rPr>
          <w:rFonts w:eastAsia="Times New Roman" w:cs="Times New Roman"/>
          <w:sz w:val="24"/>
          <w:szCs w:val="24"/>
        </w:rPr>
        <w:t>vienreizējie izdevumi valsts aizsardzībai un iekšējai drošībai:</w:t>
      </w:r>
    </w:p>
    <w:p w14:paraId="6110845A" w14:textId="77777777" w:rsidR="00CF6C5C" w:rsidRPr="00575359" w:rsidRDefault="00CF6C5C" w:rsidP="004F034A">
      <w:pPr>
        <w:pStyle w:val="ListParagraph"/>
        <w:numPr>
          <w:ilvl w:val="1"/>
          <w:numId w:val="30"/>
        </w:numPr>
        <w:spacing w:after="120"/>
        <w:ind w:left="851" w:hanging="426"/>
        <w:rPr>
          <w:rFonts w:eastAsia="Times New Roman" w:cs="Times New Roman"/>
          <w:sz w:val="24"/>
          <w:szCs w:val="24"/>
        </w:rPr>
      </w:pPr>
      <w:r w:rsidRPr="00575359">
        <w:rPr>
          <w:rFonts w:eastAsia="Times New Roman" w:cs="Times New Roman"/>
          <w:sz w:val="24"/>
          <w:szCs w:val="24"/>
        </w:rPr>
        <w:t>investīcijām valsts sabiedrības ar ierobežotu atbildību “Latvijas Televīzija” darbības nepārtrauktības nodrošināšanai valsts ārējā apdraudējuma gadījumā;</w:t>
      </w:r>
    </w:p>
    <w:p w14:paraId="51B26A4E" w14:textId="77777777" w:rsidR="00CF6C5C" w:rsidRPr="00575359" w:rsidRDefault="00CF6C5C" w:rsidP="004F034A">
      <w:pPr>
        <w:pStyle w:val="ListParagraph"/>
        <w:numPr>
          <w:ilvl w:val="1"/>
          <w:numId w:val="30"/>
        </w:numPr>
        <w:spacing w:after="120"/>
        <w:ind w:left="851" w:hanging="426"/>
        <w:rPr>
          <w:rFonts w:eastAsia="Times New Roman" w:cs="Times New Roman"/>
          <w:sz w:val="24"/>
          <w:szCs w:val="24"/>
        </w:rPr>
      </w:pPr>
      <w:r w:rsidRPr="00575359">
        <w:rPr>
          <w:rFonts w:eastAsia="Times New Roman" w:cs="Times New Roman"/>
          <w:sz w:val="24"/>
          <w:szCs w:val="24"/>
        </w:rPr>
        <w:t>valsts ārējās robežas infrastruktūras izveidei un nostiprināšanai un investīcijām valsts drošības iestāžu stiprināšanā;</w:t>
      </w:r>
    </w:p>
    <w:p w14:paraId="44A5049B" w14:textId="77777777" w:rsidR="00CF6C5C" w:rsidRPr="00575359" w:rsidRDefault="00CF6C5C" w:rsidP="004F034A">
      <w:pPr>
        <w:pStyle w:val="ListParagraph"/>
        <w:numPr>
          <w:ilvl w:val="1"/>
          <w:numId w:val="30"/>
        </w:numPr>
        <w:spacing w:after="120"/>
        <w:ind w:left="851" w:hanging="426"/>
        <w:rPr>
          <w:rFonts w:eastAsia="Times New Roman" w:cs="Times New Roman"/>
          <w:sz w:val="24"/>
          <w:szCs w:val="24"/>
        </w:rPr>
      </w:pPr>
      <w:r w:rsidRPr="00575359">
        <w:rPr>
          <w:rFonts w:eastAsia="Times New Roman" w:cs="Times New Roman"/>
          <w:sz w:val="24"/>
          <w:szCs w:val="24"/>
        </w:rPr>
        <w:t>valsts aizsardzības spēju stiprināšanai;</w:t>
      </w:r>
    </w:p>
    <w:p w14:paraId="09AE9916" w14:textId="77777777" w:rsidR="00CF6C5C" w:rsidRPr="00575359" w:rsidRDefault="00CF6C5C" w:rsidP="004F034A">
      <w:pPr>
        <w:pStyle w:val="ListParagraph"/>
        <w:numPr>
          <w:ilvl w:val="1"/>
          <w:numId w:val="30"/>
        </w:numPr>
        <w:spacing w:after="120"/>
        <w:ind w:left="851" w:hanging="426"/>
        <w:rPr>
          <w:rFonts w:eastAsia="Times New Roman" w:cs="Times New Roman"/>
          <w:sz w:val="24"/>
          <w:szCs w:val="24"/>
        </w:rPr>
      </w:pPr>
      <w:r w:rsidRPr="00575359">
        <w:rPr>
          <w:rFonts w:eastAsia="Times New Roman" w:cs="Times New Roman"/>
          <w:sz w:val="24"/>
          <w:szCs w:val="24"/>
        </w:rPr>
        <w:t>speciālo ugunsdzēsības un glābšanas transportlīdzekļu iegādei;</w:t>
      </w:r>
    </w:p>
    <w:p w14:paraId="0A338E41" w14:textId="77777777" w:rsidR="00CF6C5C" w:rsidRPr="00575359" w:rsidRDefault="00CF6C5C" w:rsidP="004F034A">
      <w:pPr>
        <w:pStyle w:val="ListParagraph"/>
        <w:numPr>
          <w:ilvl w:val="1"/>
          <w:numId w:val="30"/>
        </w:numPr>
        <w:spacing w:after="120"/>
        <w:ind w:left="851" w:hanging="426"/>
        <w:rPr>
          <w:rFonts w:eastAsia="Times New Roman" w:cs="Times New Roman"/>
          <w:sz w:val="24"/>
          <w:szCs w:val="24"/>
        </w:rPr>
      </w:pPr>
      <w:r w:rsidRPr="00575359">
        <w:rPr>
          <w:rFonts w:eastAsia="Times New Roman" w:cs="Times New Roman"/>
          <w:sz w:val="24"/>
          <w:szCs w:val="24"/>
        </w:rPr>
        <w:t>Valsts ugunsdzēsības un glābšanas dienesta depo - katastrofu pārvaldības centru izbūvei;</w:t>
      </w:r>
    </w:p>
    <w:p w14:paraId="76E4FBFF" w14:textId="77777777" w:rsidR="00CF6C5C" w:rsidRPr="00575359" w:rsidRDefault="00CF6C5C" w:rsidP="004F034A">
      <w:pPr>
        <w:pStyle w:val="ListParagraph"/>
        <w:numPr>
          <w:ilvl w:val="1"/>
          <w:numId w:val="30"/>
        </w:numPr>
        <w:spacing w:after="120"/>
        <w:ind w:left="851" w:hanging="426"/>
        <w:rPr>
          <w:rFonts w:eastAsia="Times New Roman" w:cs="Times New Roman"/>
          <w:sz w:val="24"/>
          <w:szCs w:val="24"/>
        </w:rPr>
      </w:pPr>
      <w:r w:rsidRPr="00575359">
        <w:rPr>
          <w:rFonts w:eastAsia="Times New Roman" w:cs="Times New Roman"/>
          <w:sz w:val="24"/>
          <w:szCs w:val="24"/>
        </w:rPr>
        <w:t>iedzīvotāju nodrošināšanai ar pirmās nepieciešamības rūpniecības precēm valsts apdraudējuma gadījumā;</w:t>
      </w:r>
    </w:p>
    <w:p w14:paraId="49A4622B" w14:textId="77777777" w:rsidR="00CF6C5C" w:rsidRPr="00575359" w:rsidRDefault="00CF6C5C" w:rsidP="004F034A">
      <w:pPr>
        <w:pStyle w:val="ListParagraph"/>
        <w:numPr>
          <w:ilvl w:val="1"/>
          <w:numId w:val="30"/>
        </w:numPr>
        <w:spacing w:after="120"/>
        <w:ind w:left="851" w:hanging="426"/>
        <w:rPr>
          <w:rFonts w:eastAsia="Times New Roman" w:cs="Times New Roman"/>
          <w:sz w:val="24"/>
          <w:szCs w:val="24"/>
        </w:rPr>
      </w:pPr>
      <w:proofErr w:type="spellStart"/>
      <w:r w:rsidRPr="00575359">
        <w:rPr>
          <w:rFonts w:eastAsia="Times New Roman" w:cs="Times New Roman"/>
          <w:sz w:val="24"/>
          <w:szCs w:val="24"/>
        </w:rPr>
        <w:t>kiberdrošības</w:t>
      </w:r>
      <w:proofErr w:type="spellEnd"/>
      <w:r w:rsidRPr="00575359">
        <w:rPr>
          <w:rFonts w:eastAsia="Times New Roman" w:cs="Times New Roman"/>
          <w:sz w:val="24"/>
          <w:szCs w:val="24"/>
        </w:rPr>
        <w:t xml:space="preserve"> stiprināšanai;</w:t>
      </w:r>
    </w:p>
    <w:p w14:paraId="4256E144" w14:textId="77777777" w:rsidR="00CF6C5C" w:rsidRPr="00575359" w:rsidRDefault="00CF6C5C" w:rsidP="004F034A">
      <w:pPr>
        <w:pStyle w:val="ListParagraph"/>
        <w:numPr>
          <w:ilvl w:val="1"/>
          <w:numId w:val="30"/>
        </w:numPr>
        <w:spacing w:after="120"/>
        <w:ind w:left="851" w:hanging="426"/>
        <w:rPr>
          <w:rFonts w:eastAsia="Times New Roman" w:cs="Times New Roman"/>
          <w:sz w:val="24"/>
          <w:szCs w:val="24"/>
        </w:rPr>
      </w:pPr>
      <w:r w:rsidRPr="00575359">
        <w:rPr>
          <w:rFonts w:eastAsia="Times New Roman" w:cs="Times New Roman"/>
          <w:sz w:val="24"/>
          <w:szCs w:val="24"/>
        </w:rPr>
        <w:t xml:space="preserve">Valsts policijas Rīgas reģiona pārvaldes struktūrvienību nodrošināšanai ar atbilstošām telpām;  </w:t>
      </w:r>
    </w:p>
    <w:p w14:paraId="1A0CB8C9" w14:textId="77777777" w:rsidR="00CF6C5C" w:rsidRPr="00575359" w:rsidRDefault="00CF6C5C" w:rsidP="004F034A">
      <w:pPr>
        <w:pStyle w:val="ListParagraph"/>
        <w:numPr>
          <w:ilvl w:val="0"/>
          <w:numId w:val="29"/>
        </w:numPr>
        <w:ind w:left="426" w:hanging="426"/>
        <w:rPr>
          <w:rFonts w:eastAsia="Times New Roman" w:cs="Times New Roman"/>
          <w:sz w:val="24"/>
          <w:szCs w:val="24"/>
        </w:rPr>
      </w:pPr>
      <w:r w:rsidRPr="00575359">
        <w:rPr>
          <w:rFonts w:eastAsia="Times New Roman" w:cs="Times New Roman"/>
          <w:sz w:val="24"/>
          <w:szCs w:val="24"/>
        </w:rPr>
        <w:t>vienreizējie izdevumi Ukrainas civiliedzīvotāju atbalstam Latvijā;</w:t>
      </w:r>
    </w:p>
    <w:p w14:paraId="7519AAA4" w14:textId="77777777" w:rsidR="00CF6C5C" w:rsidRPr="00575359" w:rsidRDefault="00CF6C5C" w:rsidP="004F034A">
      <w:pPr>
        <w:pStyle w:val="ListParagraph"/>
        <w:numPr>
          <w:ilvl w:val="0"/>
          <w:numId w:val="29"/>
        </w:numPr>
        <w:ind w:left="426" w:hanging="426"/>
        <w:rPr>
          <w:rFonts w:eastAsia="Times New Roman" w:cs="Times New Roman"/>
          <w:sz w:val="24"/>
          <w:szCs w:val="24"/>
        </w:rPr>
      </w:pPr>
      <w:r w:rsidRPr="00575359">
        <w:rPr>
          <w:rFonts w:eastAsia="Times New Roman" w:cs="Times New Roman"/>
          <w:sz w:val="24"/>
          <w:szCs w:val="24"/>
        </w:rPr>
        <w:t>vienreizēji izdevumi Ukrainas atbalstam;</w:t>
      </w:r>
    </w:p>
    <w:p w14:paraId="74B45B8C" w14:textId="77777777" w:rsidR="00CF6C5C" w:rsidRPr="00575359" w:rsidRDefault="00CF6C5C" w:rsidP="00575359">
      <w:pPr>
        <w:pStyle w:val="ListParagraph"/>
        <w:numPr>
          <w:ilvl w:val="0"/>
          <w:numId w:val="29"/>
        </w:numPr>
        <w:spacing w:after="120"/>
        <w:ind w:left="425" w:hanging="425"/>
        <w:rPr>
          <w:rFonts w:eastAsia="Times New Roman" w:cs="Times New Roman"/>
          <w:sz w:val="24"/>
          <w:szCs w:val="24"/>
        </w:rPr>
      </w:pPr>
      <w:r w:rsidRPr="00575359">
        <w:rPr>
          <w:rFonts w:eastAsia="Times New Roman" w:cs="Times New Roman"/>
          <w:sz w:val="24"/>
          <w:szCs w:val="24"/>
        </w:rPr>
        <w:t xml:space="preserve">valsts aizsardzības bāzes izdevumu pieaugums pret iepriekšējo gadu 100% apmērā. Pirmajā gadā pēc pieauguma 80% apmērā, otrajā gadā pēc pieauguma 60% apmērā, trešajā gadā pēc pieauguma 40% apmērā un ceturtajā gadā pēc pieauguma 20% apmērā. </w:t>
      </w:r>
    </w:p>
    <w:p w14:paraId="4629015F" w14:textId="77777777" w:rsidR="00CF6C5C" w:rsidRPr="00575359" w:rsidRDefault="00CF6C5C" w:rsidP="00CF6C5C">
      <w:pPr>
        <w:ind w:firstLine="709"/>
        <w:rPr>
          <w:rFonts w:eastAsia="Calibri" w:cs="Times New Roman"/>
          <w:color w:val="000000"/>
          <w:sz w:val="24"/>
        </w:rPr>
      </w:pPr>
      <w:r w:rsidRPr="00575359">
        <w:rPr>
          <w:rFonts w:eastAsia="Calibri" w:cs="Times New Roman"/>
          <w:color w:val="000000"/>
          <w:sz w:val="24"/>
        </w:rPr>
        <w:t xml:space="preserve">Šīs Stabilitātes programmas sagatavošanā tiek ņemta vērā 3.1. tabulā norādītā vienreizējo pasākumu fiskālā ietekme. </w:t>
      </w:r>
    </w:p>
    <w:p w14:paraId="2E266890" w14:textId="77777777" w:rsidR="00CF6C5C" w:rsidRPr="002B160A" w:rsidRDefault="00CF6C5C" w:rsidP="00CF6C5C">
      <w:pPr>
        <w:spacing w:before="240" w:after="120"/>
        <w:ind w:firstLine="0"/>
        <w:jc w:val="right"/>
        <w:rPr>
          <w:rFonts w:eastAsia="Calibri" w:cs="Times New Roman"/>
          <w:b/>
          <w:bCs/>
          <w:i/>
          <w:iCs/>
          <w:color w:val="000000"/>
          <w:sz w:val="24"/>
        </w:rPr>
      </w:pPr>
      <w:r w:rsidRPr="002B160A">
        <w:rPr>
          <w:rFonts w:eastAsia="Calibri" w:cs="Times New Roman"/>
          <w:b/>
          <w:bCs/>
          <w:i/>
          <w:iCs/>
          <w:color w:val="000000"/>
          <w:sz w:val="24"/>
        </w:rPr>
        <w:t>3.1. tabula. Vienreizējie pasākumi (</w:t>
      </w:r>
      <w:proofErr w:type="spellStart"/>
      <w:r w:rsidRPr="002B160A">
        <w:rPr>
          <w:rFonts w:eastAsia="Calibri" w:cs="Times New Roman"/>
          <w:b/>
          <w:bCs/>
          <w:i/>
          <w:iCs/>
          <w:color w:val="000000"/>
          <w:sz w:val="24"/>
        </w:rPr>
        <w:t>one-off</w:t>
      </w:r>
      <w:proofErr w:type="spellEnd"/>
      <w:r w:rsidRPr="002B160A">
        <w:rPr>
          <w:rFonts w:eastAsia="Calibri" w:cs="Times New Roman"/>
          <w:b/>
          <w:bCs/>
          <w:i/>
          <w:iCs/>
          <w:color w:val="000000"/>
          <w:sz w:val="24"/>
        </w:rPr>
        <w:t xml:space="preserve">), milj. </w:t>
      </w:r>
      <w:proofErr w:type="spellStart"/>
      <w:r w:rsidRPr="002B160A">
        <w:rPr>
          <w:rFonts w:eastAsia="Calibri" w:cs="Times New Roman"/>
          <w:b/>
          <w:bCs/>
          <w:i/>
          <w:iCs/>
          <w:color w:val="000000"/>
          <w:sz w:val="24"/>
        </w:rPr>
        <w:t>euro</w:t>
      </w:r>
      <w:proofErr w:type="spellEnd"/>
      <w:r w:rsidRPr="002B160A">
        <w:rPr>
          <w:rFonts w:eastAsia="Calibri" w:cs="Times New Roman"/>
          <w:b/>
          <w:bCs/>
          <w:i/>
          <w:iCs/>
          <w:color w:val="000000"/>
          <w:sz w:val="24"/>
        </w:rPr>
        <w:t>/% no IKP</w:t>
      </w:r>
    </w:p>
    <w:tbl>
      <w:tblPr>
        <w:tblW w:w="10143" w:type="dxa"/>
        <w:jc w:val="cente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1980"/>
        <w:gridCol w:w="907"/>
        <w:gridCol w:w="907"/>
        <w:gridCol w:w="907"/>
        <w:gridCol w:w="907"/>
        <w:gridCol w:w="907"/>
        <w:gridCol w:w="907"/>
        <w:gridCol w:w="907"/>
        <w:gridCol w:w="907"/>
        <w:gridCol w:w="907"/>
      </w:tblGrid>
      <w:tr w:rsidR="00CF6C5C" w:rsidRPr="00575359" w14:paraId="7255CFAB" w14:textId="77777777" w:rsidTr="002E0152">
        <w:trPr>
          <w:trHeight w:val="312"/>
          <w:tblHeader/>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128627FE" w14:textId="77777777" w:rsidR="00CF6C5C" w:rsidRPr="00575359" w:rsidRDefault="00CF6C5C" w:rsidP="0011009A">
            <w:pPr>
              <w:ind w:firstLine="0"/>
              <w:jc w:val="center"/>
              <w:rPr>
                <w:rFonts w:eastAsia="Times New Roman" w:cs="Times New Roman"/>
                <w:color w:val="000000"/>
                <w:sz w:val="18"/>
                <w:szCs w:val="18"/>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3FB90048"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374CAF29"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2021</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13E88C0B"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5B5134CC"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2023</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556355CB"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2024</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5EDF24DC"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2025</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3195FD24"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621D1329"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2027</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1074F7DF"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2028</w:t>
            </w:r>
          </w:p>
        </w:tc>
      </w:tr>
      <w:tr w:rsidR="00CF6C5C" w:rsidRPr="00575359" w14:paraId="2CD42955"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610CD306" w14:textId="77777777" w:rsidR="00CF6C5C" w:rsidRPr="00575359" w:rsidRDefault="00CF6C5C" w:rsidP="0011009A">
            <w:pPr>
              <w:ind w:firstLine="0"/>
              <w:jc w:val="left"/>
              <w:rPr>
                <w:rFonts w:eastAsia="Times New Roman" w:cs="Times New Roman"/>
                <w:color w:val="000000"/>
                <w:sz w:val="18"/>
                <w:szCs w:val="18"/>
                <w:lang w:eastAsia="lv-LV"/>
              </w:rPr>
            </w:pPr>
            <w:r w:rsidRPr="00575359">
              <w:rPr>
                <w:rFonts w:eastAsia="Times New Roman" w:cs="Times New Roman"/>
                <w:color w:val="000000"/>
                <w:sz w:val="18"/>
                <w:szCs w:val="18"/>
                <w:lang w:eastAsia="lv-LV"/>
              </w:rPr>
              <w:t xml:space="preserve">IKP, milj. </w:t>
            </w:r>
            <w:proofErr w:type="spellStart"/>
            <w:r w:rsidRPr="00575359">
              <w:rPr>
                <w:rFonts w:eastAsia="Times New Roman" w:cs="Times New Roman"/>
                <w:i/>
                <w:iCs/>
                <w:color w:val="000000"/>
                <w:sz w:val="18"/>
                <w:szCs w:val="18"/>
                <w:lang w:eastAsia="lv-LV"/>
              </w:rPr>
              <w:t>euro</w:t>
            </w:r>
            <w:proofErr w:type="spellEnd"/>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4408696B"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b/>
                <w:bCs/>
                <w:sz w:val="20"/>
                <w:szCs w:val="20"/>
              </w:rPr>
              <w:t>30 109</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11C0F85A"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b/>
                <w:bCs/>
                <w:sz w:val="20"/>
                <w:szCs w:val="20"/>
              </w:rPr>
              <w:t>33 349</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33045D4D"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b/>
                <w:bCs/>
                <w:sz w:val="20"/>
                <w:szCs w:val="20"/>
              </w:rPr>
              <w:t>38 386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497C2D30"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b/>
                <w:bCs/>
                <w:sz w:val="20"/>
                <w:szCs w:val="20"/>
              </w:rPr>
              <w:t>40 348</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3BDE5897"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b/>
                <w:bCs/>
                <w:sz w:val="20"/>
                <w:szCs w:val="20"/>
              </w:rPr>
              <w:t>42 008</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5BF95DA3"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b/>
                <w:bCs/>
                <w:sz w:val="20"/>
                <w:szCs w:val="20"/>
              </w:rPr>
              <w:t>44 548</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bottom"/>
          </w:tcPr>
          <w:p w14:paraId="088A2CAE"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b/>
                <w:bCs/>
                <w:sz w:val="20"/>
                <w:szCs w:val="20"/>
              </w:rPr>
              <w:t>46 904</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bottom"/>
          </w:tcPr>
          <w:p w14:paraId="37E0C95B"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b/>
                <w:bCs/>
                <w:sz w:val="20"/>
                <w:szCs w:val="20"/>
              </w:rPr>
              <w:t>49 281</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bottom"/>
          </w:tcPr>
          <w:p w14:paraId="45998019"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b/>
                <w:bCs/>
                <w:sz w:val="20"/>
                <w:szCs w:val="20"/>
              </w:rPr>
              <w:t>51 779</w:t>
            </w:r>
          </w:p>
        </w:tc>
      </w:tr>
      <w:tr w:rsidR="00CF6C5C" w:rsidRPr="00575359" w14:paraId="6E9BD92D"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tcPr>
          <w:p w14:paraId="62426B15" w14:textId="77777777" w:rsidR="00CF6C5C" w:rsidRPr="00575359" w:rsidRDefault="00CF6C5C" w:rsidP="0011009A">
            <w:pPr>
              <w:ind w:firstLine="0"/>
              <w:jc w:val="left"/>
              <w:rPr>
                <w:rFonts w:eastAsia="Times New Roman" w:cs="Times New Roman"/>
                <w:color w:val="000000"/>
                <w:sz w:val="18"/>
                <w:szCs w:val="18"/>
                <w:lang w:eastAsia="lv-LV"/>
              </w:rPr>
            </w:pPr>
          </w:p>
        </w:tc>
        <w:tc>
          <w:tcPr>
            <w:tcW w:w="4535" w:type="dxa"/>
            <w:gridSpan w:val="5"/>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912F03A" w14:textId="77777777" w:rsidR="00CF6C5C" w:rsidRPr="00575359" w:rsidRDefault="00CF6C5C" w:rsidP="0011009A">
            <w:pPr>
              <w:ind w:firstLine="0"/>
              <w:jc w:val="center"/>
              <w:rPr>
                <w:b/>
                <w:bCs/>
                <w:sz w:val="20"/>
                <w:szCs w:val="20"/>
              </w:rPr>
            </w:pPr>
            <w:r w:rsidRPr="00575359">
              <w:rPr>
                <w:rFonts w:eastAsia="Times New Roman" w:cs="Times New Roman"/>
                <w:color w:val="000000"/>
                <w:sz w:val="18"/>
                <w:szCs w:val="18"/>
                <w:lang w:eastAsia="lv-LV"/>
              </w:rPr>
              <w:t>fakts/novērtējums</w:t>
            </w:r>
          </w:p>
        </w:tc>
        <w:tc>
          <w:tcPr>
            <w:tcW w:w="3628" w:type="dxa"/>
            <w:gridSpan w:val="4"/>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696B49D" w14:textId="77777777" w:rsidR="00CF6C5C" w:rsidRPr="00575359" w:rsidRDefault="00CF6C5C" w:rsidP="0011009A">
            <w:pPr>
              <w:ind w:firstLine="0"/>
              <w:jc w:val="center"/>
              <w:rPr>
                <w:b/>
                <w:bCs/>
                <w:sz w:val="20"/>
                <w:szCs w:val="20"/>
              </w:rPr>
            </w:pPr>
            <w:r w:rsidRPr="00575359">
              <w:rPr>
                <w:rFonts w:eastAsia="Times New Roman" w:cs="Times New Roman"/>
                <w:color w:val="000000"/>
                <w:sz w:val="18"/>
                <w:szCs w:val="18"/>
                <w:lang w:eastAsia="lv-LV"/>
              </w:rPr>
              <w:t>prognoze</w:t>
            </w:r>
          </w:p>
        </w:tc>
      </w:tr>
      <w:tr w:rsidR="00CF6C5C" w:rsidRPr="00575359" w14:paraId="0B141DB8"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bottom"/>
            <w:hideMark/>
          </w:tcPr>
          <w:p w14:paraId="6BE793FF" w14:textId="77777777" w:rsidR="00CF6C5C" w:rsidRPr="00575359" w:rsidRDefault="00CF6C5C" w:rsidP="0011009A">
            <w:pPr>
              <w:ind w:firstLine="0"/>
              <w:jc w:val="left"/>
              <w:rPr>
                <w:rFonts w:eastAsia="Times New Roman" w:cs="Times New Roman"/>
                <w:b/>
                <w:bCs/>
                <w:color w:val="000000"/>
                <w:sz w:val="18"/>
                <w:szCs w:val="18"/>
                <w:lang w:eastAsia="lv-LV"/>
              </w:rPr>
            </w:pPr>
            <w:proofErr w:type="spellStart"/>
            <w:r w:rsidRPr="00575359">
              <w:rPr>
                <w:rFonts w:eastAsia="Times New Roman" w:cs="Times New Roman"/>
                <w:b/>
                <w:bCs/>
                <w:i/>
                <w:iCs/>
                <w:color w:val="000000"/>
                <w:sz w:val="18"/>
                <w:szCs w:val="18"/>
                <w:lang w:eastAsia="lv-LV"/>
              </w:rPr>
              <w:t>one-off</w:t>
            </w:r>
            <w:proofErr w:type="spellEnd"/>
            <w:r w:rsidRPr="00575359">
              <w:rPr>
                <w:rFonts w:eastAsia="Times New Roman" w:cs="Times New Roman"/>
                <w:b/>
                <w:bCs/>
                <w:color w:val="000000"/>
                <w:sz w:val="18"/>
                <w:szCs w:val="18"/>
                <w:lang w:eastAsia="lv-LV"/>
              </w:rPr>
              <w:t xml:space="preserve"> un citi īslaicīgie pasākumi, milj. </w:t>
            </w:r>
            <w:proofErr w:type="spellStart"/>
            <w:r w:rsidRPr="00575359">
              <w:rPr>
                <w:rFonts w:eastAsia="Times New Roman" w:cs="Times New Roman"/>
                <w:b/>
                <w:bCs/>
                <w:i/>
                <w:iCs/>
                <w:color w:val="000000"/>
                <w:sz w:val="18"/>
                <w:szCs w:val="18"/>
                <w:lang w:eastAsia="lv-LV"/>
              </w:rPr>
              <w:t>euro</w:t>
            </w:r>
            <w:proofErr w:type="spellEnd"/>
            <w:r w:rsidRPr="00575359">
              <w:rPr>
                <w:rFonts w:eastAsia="Times New Roman" w:cs="Times New Roman"/>
                <w:b/>
                <w:bCs/>
                <w:color w:val="000000"/>
                <w:sz w:val="18"/>
                <w:szCs w:val="18"/>
                <w:lang w:eastAsia="lv-LV"/>
              </w:rPr>
              <w:t>, tai skaitā</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2E259932"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sz w:val="20"/>
                <w:szCs w:val="20"/>
              </w:rPr>
              <w:t>-1 018,1</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7372DADE"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sz w:val="20"/>
                <w:szCs w:val="20"/>
              </w:rPr>
              <w:t>-2 054,7</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18437056"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sz w:val="20"/>
                <w:szCs w:val="20"/>
              </w:rPr>
              <w:t>-1 878,6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6E39461E"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sz w:val="20"/>
                <w:szCs w:val="20"/>
              </w:rPr>
              <w:t>-819,2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2643D38D"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sz w:val="20"/>
                <w:szCs w:val="20"/>
              </w:rPr>
              <w:t>-693,5</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13179C5F"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sz w:val="20"/>
                <w:szCs w:val="20"/>
              </w:rPr>
              <w:t>-704,0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0BD69B51"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sz w:val="20"/>
                <w:szCs w:val="20"/>
              </w:rPr>
              <w:t>-771,3</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43112BBF" w14:textId="77777777" w:rsidR="00CF6C5C" w:rsidRPr="00575359" w:rsidRDefault="00CF6C5C" w:rsidP="0011009A">
            <w:pPr>
              <w:ind w:firstLine="0"/>
              <w:jc w:val="center"/>
              <w:rPr>
                <w:b/>
                <w:bCs/>
                <w:color w:val="000000"/>
                <w:sz w:val="20"/>
                <w:szCs w:val="20"/>
              </w:rPr>
            </w:pPr>
            <w:r w:rsidRPr="00575359">
              <w:rPr>
                <w:b/>
                <w:bCs/>
                <w:sz w:val="20"/>
                <w:szCs w:val="20"/>
              </w:rPr>
              <w:t>-729,0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04C81682" w14:textId="77777777" w:rsidR="00CF6C5C" w:rsidRPr="00575359" w:rsidRDefault="00CF6C5C" w:rsidP="0011009A">
            <w:pPr>
              <w:ind w:firstLine="0"/>
              <w:jc w:val="center"/>
              <w:rPr>
                <w:b/>
                <w:bCs/>
                <w:color w:val="000000"/>
                <w:sz w:val="20"/>
                <w:szCs w:val="20"/>
              </w:rPr>
            </w:pPr>
            <w:r w:rsidRPr="00575359">
              <w:rPr>
                <w:b/>
                <w:bCs/>
                <w:sz w:val="20"/>
                <w:szCs w:val="20"/>
              </w:rPr>
              <w:t>-680,1</w:t>
            </w:r>
          </w:p>
        </w:tc>
      </w:tr>
      <w:tr w:rsidR="00CF6C5C" w:rsidRPr="00575359" w14:paraId="2D673B19"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1DC4E0EE" w14:textId="77777777" w:rsidR="00CF6C5C" w:rsidRPr="00575359" w:rsidRDefault="00CF6C5C" w:rsidP="0011009A">
            <w:pPr>
              <w:ind w:firstLine="0"/>
              <w:jc w:val="left"/>
              <w:rPr>
                <w:rFonts w:eastAsia="Times New Roman" w:cs="Times New Roman"/>
                <w:color w:val="000000"/>
                <w:sz w:val="18"/>
                <w:szCs w:val="18"/>
                <w:lang w:eastAsia="lv-LV"/>
              </w:rPr>
            </w:pPr>
            <w:r w:rsidRPr="00575359">
              <w:rPr>
                <w:color w:val="000000"/>
                <w:sz w:val="16"/>
                <w:szCs w:val="16"/>
              </w:rPr>
              <w:t>COVID -19 pandēmijas mazināšanas pasākumi</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4F5D012"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-960,8</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53C1291"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-2 102,8</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CA0F7D9"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-796,4</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651425B"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-65,3</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66B8716"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-8,9</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62A0B5F"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-5,3</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1602EDB7"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-5,3</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96653C9" w14:textId="77777777" w:rsidR="00CF6C5C" w:rsidRPr="00575359" w:rsidRDefault="00CF6C5C" w:rsidP="0011009A">
            <w:pPr>
              <w:ind w:firstLine="0"/>
              <w:jc w:val="center"/>
              <w:rPr>
                <w:color w:val="000000"/>
                <w:sz w:val="20"/>
                <w:szCs w:val="20"/>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5A8F261" w14:textId="77777777" w:rsidR="00CF6C5C" w:rsidRPr="00575359" w:rsidRDefault="00CF6C5C" w:rsidP="0011009A">
            <w:pPr>
              <w:ind w:firstLine="0"/>
              <w:jc w:val="center"/>
              <w:rPr>
                <w:color w:val="000000"/>
                <w:sz w:val="20"/>
                <w:szCs w:val="20"/>
              </w:rPr>
            </w:pPr>
          </w:p>
        </w:tc>
      </w:tr>
      <w:tr w:rsidR="00CF6C5C" w:rsidRPr="00575359" w14:paraId="5DDCDCE5"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6C52E8F9" w14:textId="77777777" w:rsidR="00CF6C5C" w:rsidRPr="00575359" w:rsidRDefault="00CF6C5C" w:rsidP="0011009A">
            <w:pPr>
              <w:ind w:firstLine="0"/>
              <w:jc w:val="left"/>
              <w:rPr>
                <w:rFonts w:eastAsia="Times New Roman" w:cs="Times New Roman"/>
                <w:color w:val="000000"/>
                <w:sz w:val="18"/>
                <w:szCs w:val="18"/>
                <w:lang w:eastAsia="lv-LV"/>
              </w:rPr>
            </w:pPr>
            <w:r w:rsidRPr="00575359">
              <w:rPr>
                <w:color w:val="000000"/>
                <w:sz w:val="16"/>
                <w:szCs w:val="16"/>
              </w:rPr>
              <w:t>enerģijas cenas pieauguma mazināšanas pasākumi</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43C08FD1"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4D5A2C67"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-1,9</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7663F57"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-1 001,2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4898B0DD"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-399,3</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4C5FA55"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A2165DF"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4E4DF16E"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F33E580"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4F81F7E" w14:textId="77777777" w:rsidR="00CF6C5C" w:rsidRPr="00575359" w:rsidRDefault="00CF6C5C" w:rsidP="0011009A">
            <w:pPr>
              <w:ind w:firstLine="0"/>
              <w:jc w:val="center"/>
              <w:rPr>
                <w:rFonts w:eastAsia="Times New Roman" w:cs="Times New Roman"/>
                <w:color w:val="000000"/>
                <w:sz w:val="20"/>
                <w:szCs w:val="20"/>
                <w:lang w:eastAsia="lv-LV"/>
              </w:rPr>
            </w:pPr>
          </w:p>
        </w:tc>
      </w:tr>
      <w:tr w:rsidR="00CF6C5C" w:rsidRPr="00575359" w14:paraId="1CC13C46"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7D1318E6" w14:textId="77777777" w:rsidR="00CF6C5C" w:rsidRPr="00575359" w:rsidRDefault="00CF6C5C" w:rsidP="0011009A">
            <w:pPr>
              <w:ind w:firstLine="0"/>
              <w:jc w:val="left"/>
              <w:rPr>
                <w:rFonts w:eastAsia="Times New Roman" w:cs="Times New Roman"/>
                <w:color w:val="000000"/>
                <w:sz w:val="18"/>
                <w:szCs w:val="18"/>
                <w:lang w:eastAsia="lv-LV"/>
              </w:rPr>
            </w:pPr>
            <w:r w:rsidRPr="00575359">
              <w:rPr>
                <w:color w:val="000000"/>
                <w:sz w:val="16"/>
                <w:szCs w:val="16"/>
              </w:rPr>
              <w:t>aizsardzības un iekšējās drošības finansējums</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0AF3C58"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DAAE17F"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F99A3B2"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429C659"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-218,2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1AB0046"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-330,6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48366342"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-380,4</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698AAF1E"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-488,5</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86D116E" w14:textId="77777777" w:rsidR="00CF6C5C" w:rsidRPr="00575359" w:rsidRDefault="00CF6C5C" w:rsidP="0011009A">
            <w:pPr>
              <w:ind w:firstLine="0"/>
              <w:jc w:val="center"/>
              <w:rPr>
                <w:sz w:val="20"/>
                <w:szCs w:val="20"/>
              </w:rPr>
            </w:pPr>
            <w:r w:rsidRPr="00575359">
              <w:rPr>
                <w:sz w:val="20"/>
                <w:szCs w:val="20"/>
              </w:rPr>
              <w:t>-435,3</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B426248" w14:textId="77777777" w:rsidR="00CF6C5C" w:rsidRPr="00575359" w:rsidRDefault="00CF6C5C" w:rsidP="0011009A">
            <w:pPr>
              <w:ind w:firstLine="0"/>
              <w:jc w:val="center"/>
              <w:rPr>
                <w:sz w:val="20"/>
                <w:szCs w:val="20"/>
              </w:rPr>
            </w:pPr>
            <w:r w:rsidRPr="00575359">
              <w:rPr>
                <w:sz w:val="20"/>
                <w:szCs w:val="20"/>
              </w:rPr>
              <w:t>-355,2</w:t>
            </w:r>
          </w:p>
        </w:tc>
      </w:tr>
      <w:tr w:rsidR="00CF6C5C" w:rsidRPr="00575359" w14:paraId="4888B7E9"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3C321449" w14:textId="77777777" w:rsidR="00CF6C5C" w:rsidRPr="00575359" w:rsidRDefault="00CF6C5C" w:rsidP="0011009A">
            <w:pPr>
              <w:ind w:firstLine="0"/>
              <w:jc w:val="left"/>
              <w:rPr>
                <w:rFonts w:eastAsia="Times New Roman" w:cs="Times New Roman"/>
                <w:color w:val="000000"/>
                <w:sz w:val="18"/>
                <w:szCs w:val="18"/>
                <w:lang w:eastAsia="lv-LV"/>
              </w:rPr>
            </w:pPr>
            <w:r w:rsidRPr="00575359">
              <w:rPr>
                <w:color w:val="000000"/>
                <w:sz w:val="16"/>
                <w:szCs w:val="16"/>
              </w:rPr>
              <w:t>atbalsts bēgļiem no Ukrainas</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840F99A"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FB474EB"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8F62B64"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-81,0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46EB9B3B"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-67,9</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7AF0298"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-70,0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0036B17"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4E304472"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CBEA341"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889C649" w14:textId="77777777" w:rsidR="00CF6C5C" w:rsidRPr="00575359" w:rsidRDefault="00CF6C5C" w:rsidP="0011009A">
            <w:pPr>
              <w:ind w:firstLine="0"/>
              <w:jc w:val="center"/>
              <w:rPr>
                <w:rFonts w:eastAsia="Times New Roman" w:cs="Times New Roman"/>
                <w:color w:val="000000"/>
                <w:sz w:val="20"/>
                <w:szCs w:val="20"/>
                <w:lang w:eastAsia="lv-LV"/>
              </w:rPr>
            </w:pPr>
          </w:p>
        </w:tc>
      </w:tr>
      <w:tr w:rsidR="00CF6C5C" w:rsidRPr="00575359" w14:paraId="564C7E97"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400433DF" w14:textId="77777777" w:rsidR="00CF6C5C" w:rsidRPr="00575359" w:rsidRDefault="00CF6C5C" w:rsidP="0011009A">
            <w:pPr>
              <w:ind w:firstLine="0"/>
              <w:jc w:val="left"/>
              <w:rPr>
                <w:rFonts w:eastAsia="Times New Roman" w:cs="Times New Roman"/>
                <w:color w:val="000000"/>
                <w:sz w:val="18"/>
                <w:szCs w:val="18"/>
                <w:lang w:eastAsia="lv-LV"/>
              </w:rPr>
            </w:pPr>
            <w:r w:rsidRPr="00575359">
              <w:rPr>
                <w:color w:val="000000"/>
                <w:sz w:val="16"/>
                <w:szCs w:val="16"/>
              </w:rPr>
              <w:t xml:space="preserve">citi/vienreizējie izdevumi valsts aizsardzībai un iekšējai drošībai </w:t>
            </w:r>
            <w:r w:rsidRPr="00575359">
              <w:rPr>
                <w:color w:val="000000"/>
                <w:sz w:val="16"/>
                <w:szCs w:val="16"/>
              </w:rPr>
              <w:br/>
              <w:t>(18.pr + % maksājumi par aizdevumu UA)</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C46BDC3"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-57,3</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40EAD42E"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49,9</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BDAC9BF"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37A607A"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-68,6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8D41C15"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-284,0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C4643D2"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-318,3</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1EA4A23D"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-277,6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CF0B48F"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-293,8</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94BA6D8"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-324,9</w:t>
            </w:r>
          </w:p>
        </w:tc>
      </w:tr>
      <w:tr w:rsidR="00CF6C5C" w:rsidRPr="00575359" w14:paraId="0D811744"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tcPr>
          <w:p w14:paraId="4FA143B1" w14:textId="77777777" w:rsidR="00CF6C5C" w:rsidRPr="00575359" w:rsidRDefault="00CF6C5C" w:rsidP="0011009A">
            <w:pPr>
              <w:ind w:firstLine="0"/>
              <w:jc w:val="left"/>
              <w:rPr>
                <w:rFonts w:eastAsia="Times New Roman" w:cs="Times New Roman"/>
                <w:color w:val="000000"/>
                <w:sz w:val="18"/>
                <w:szCs w:val="18"/>
                <w:lang w:eastAsia="lv-LV"/>
              </w:rPr>
            </w:pPr>
          </w:p>
        </w:tc>
        <w:tc>
          <w:tcPr>
            <w:tcW w:w="4535" w:type="dxa"/>
            <w:gridSpan w:val="5"/>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8AEB929" w14:textId="77777777" w:rsidR="00CF6C5C" w:rsidRPr="00575359" w:rsidRDefault="00CF6C5C" w:rsidP="0011009A">
            <w:pPr>
              <w:ind w:firstLine="0"/>
              <w:jc w:val="center"/>
              <w:rPr>
                <w:b/>
                <w:bCs/>
                <w:sz w:val="20"/>
                <w:szCs w:val="20"/>
              </w:rPr>
            </w:pPr>
            <w:r w:rsidRPr="00575359">
              <w:rPr>
                <w:rFonts w:eastAsia="Times New Roman" w:cs="Times New Roman"/>
                <w:color w:val="000000"/>
                <w:sz w:val="18"/>
                <w:szCs w:val="18"/>
                <w:lang w:eastAsia="lv-LV"/>
              </w:rPr>
              <w:t>fakts/novērtējums</w:t>
            </w:r>
          </w:p>
        </w:tc>
        <w:tc>
          <w:tcPr>
            <w:tcW w:w="3628" w:type="dxa"/>
            <w:gridSpan w:val="4"/>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2024E42" w14:textId="77777777" w:rsidR="00CF6C5C" w:rsidRPr="00575359" w:rsidRDefault="00CF6C5C" w:rsidP="0011009A">
            <w:pPr>
              <w:ind w:firstLine="0"/>
              <w:jc w:val="center"/>
              <w:rPr>
                <w:b/>
                <w:bCs/>
                <w:sz w:val="20"/>
                <w:szCs w:val="20"/>
              </w:rPr>
            </w:pPr>
            <w:r w:rsidRPr="00575359">
              <w:rPr>
                <w:rFonts w:eastAsia="Times New Roman" w:cs="Times New Roman"/>
                <w:color w:val="000000"/>
                <w:sz w:val="18"/>
                <w:szCs w:val="18"/>
                <w:lang w:eastAsia="lv-LV"/>
              </w:rPr>
              <w:t>prognoze</w:t>
            </w:r>
          </w:p>
        </w:tc>
      </w:tr>
      <w:tr w:rsidR="00CF6C5C" w:rsidRPr="00575359" w14:paraId="33804027"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bottom"/>
            <w:hideMark/>
          </w:tcPr>
          <w:p w14:paraId="2C6644A6" w14:textId="77777777" w:rsidR="00CF6C5C" w:rsidRPr="00575359" w:rsidRDefault="00CF6C5C" w:rsidP="0011009A">
            <w:pPr>
              <w:ind w:firstLine="0"/>
              <w:jc w:val="left"/>
              <w:rPr>
                <w:rFonts w:eastAsia="Times New Roman" w:cs="Times New Roman"/>
                <w:b/>
                <w:bCs/>
                <w:color w:val="000000"/>
                <w:sz w:val="18"/>
                <w:szCs w:val="18"/>
                <w:lang w:eastAsia="lv-LV"/>
              </w:rPr>
            </w:pPr>
            <w:proofErr w:type="spellStart"/>
            <w:r w:rsidRPr="00575359">
              <w:rPr>
                <w:rFonts w:eastAsia="Times New Roman" w:cs="Times New Roman"/>
                <w:b/>
                <w:bCs/>
                <w:i/>
                <w:iCs/>
                <w:color w:val="000000"/>
                <w:sz w:val="18"/>
                <w:szCs w:val="18"/>
                <w:lang w:eastAsia="lv-LV"/>
              </w:rPr>
              <w:t>one-off</w:t>
            </w:r>
            <w:proofErr w:type="spellEnd"/>
            <w:r w:rsidRPr="00575359">
              <w:rPr>
                <w:rFonts w:eastAsia="Times New Roman" w:cs="Times New Roman"/>
                <w:b/>
                <w:bCs/>
                <w:color w:val="000000"/>
                <w:sz w:val="18"/>
                <w:szCs w:val="18"/>
                <w:lang w:eastAsia="lv-LV"/>
              </w:rPr>
              <w:t xml:space="preserve"> un citi īslaicīgie pasākumi, % no IKP, tai skaitā</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6A646FF1"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sz w:val="20"/>
                <w:szCs w:val="20"/>
              </w:rPr>
              <w:t>-3,4</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2A275003"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sz w:val="20"/>
                <w:szCs w:val="20"/>
              </w:rPr>
              <w:t>-6,2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4135464D"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color w:val="000000"/>
                <w:sz w:val="20"/>
                <w:szCs w:val="20"/>
              </w:rPr>
              <w:t>-4,9</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33D6CF31"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color w:val="000000"/>
                <w:sz w:val="20"/>
                <w:szCs w:val="20"/>
              </w:rPr>
              <w:t>-2,0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52D74EC3"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color w:val="000000"/>
                <w:sz w:val="20"/>
                <w:szCs w:val="20"/>
              </w:rPr>
              <w:t>-1,7</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28F55F04"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color w:val="000000"/>
                <w:sz w:val="20"/>
                <w:szCs w:val="20"/>
              </w:rPr>
              <w:t>-1,6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684ADD90" w14:textId="77777777" w:rsidR="00CF6C5C" w:rsidRPr="00575359" w:rsidRDefault="00CF6C5C" w:rsidP="0011009A">
            <w:pPr>
              <w:ind w:firstLine="0"/>
              <w:jc w:val="center"/>
              <w:rPr>
                <w:rFonts w:eastAsia="Times New Roman" w:cs="Times New Roman"/>
                <w:b/>
                <w:bCs/>
                <w:color w:val="000000"/>
                <w:sz w:val="20"/>
                <w:szCs w:val="20"/>
                <w:lang w:eastAsia="lv-LV"/>
              </w:rPr>
            </w:pPr>
            <w:r w:rsidRPr="00575359">
              <w:rPr>
                <w:b/>
                <w:bCs/>
                <w:color w:val="000000"/>
                <w:sz w:val="20"/>
                <w:szCs w:val="20"/>
              </w:rPr>
              <w:t>-1,6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1B22D799" w14:textId="77777777" w:rsidR="00CF6C5C" w:rsidRPr="00575359" w:rsidRDefault="00CF6C5C" w:rsidP="0011009A">
            <w:pPr>
              <w:ind w:firstLine="0"/>
              <w:jc w:val="center"/>
              <w:rPr>
                <w:b/>
                <w:bCs/>
                <w:color w:val="000000"/>
                <w:sz w:val="20"/>
                <w:szCs w:val="20"/>
              </w:rPr>
            </w:pPr>
            <w:r w:rsidRPr="00575359">
              <w:rPr>
                <w:b/>
                <w:bCs/>
                <w:color w:val="000000"/>
                <w:sz w:val="20"/>
                <w:szCs w:val="20"/>
              </w:rPr>
              <w:t>-1,5</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22B5CCD8" w14:textId="77777777" w:rsidR="00CF6C5C" w:rsidRPr="00575359" w:rsidRDefault="00CF6C5C" w:rsidP="0011009A">
            <w:pPr>
              <w:ind w:firstLine="0"/>
              <w:jc w:val="center"/>
              <w:rPr>
                <w:b/>
                <w:bCs/>
                <w:color w:val="000000"/>
                <w:sz w:val="20"/>
                <w:szCs w:val="20"/>
              </w:rPr>
            </w:pPr>
            <w:r w:rsidRPr="00575359">
              <w:rPr>
                <w:b/>
                <w:bCs/>
                <w:color w:val="000000"/>
                <w:sz w:val="20"/>
                <w:szCs w:val="20"/>
              </w:rPr>
              <w:t>-1,3</w:t>
            </w:r>
          </w:p>
        </w:tc>
      </w:tr>
      <w:tr w:rsidR="00CF6C5C" w:rsidRPr="00575359" w14:paraId="3E868055"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5A29EF29" w14:textId="77777777" w:rsidR="00CF6C5C" w:rsidRPr="00575359" w:rsidRDefault="00CF6C5C" w:rsidP="0011009A">
            <w:pPr>
              <w:ind w:firstLine="0"/>
              <w:jc w:val="left"/>
              <w:rPr>
                <w:rFonts w:eastAsia="Times New Roman" w:cs="Times New Roman"/>
                <w:color w:val="000000"/>
                <w:sz w:val="18"/>
                <w:szCs w:val="18"/>
                <w:lang w:eastAsia="lv-LV"/>
              </w:rPr>
            </w:pPr>
            <w:r w:rsidRPr="00575359">
              <w:rPr>
                <w:color w:val="000000"/>
                <w:sz w:val="16"/>
                <w:szCs w:val="16"/>
              </w:rPr>
              <w:t>COVID -19 pandēmijas mazināšanas pasākumi</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5C8CD51"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-3,2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3795299"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-6,3</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0629DEE"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-2,1</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251B850"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4188A7C"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C85A472"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4E026462"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CD1DB91" w14:textId="77777777" w:rsidR="00CF6C5C" w:rsidRPr="00575359" w:rsidRDefault="00CF6C5C" w:rsidP="0011009A">
            <w:pPr>
              <w:ind w:firstLine="0"/>
              <w:jc w:val="center"/>
              <w:rPr>
                <w:sz w:val="20"/>
                <w:szCs w:val="20"/>
              </w:rPr>
            </w:pPr>
            <w:r w:rsidRPr="00575359">
              <w:rPr>
                <w:sz w:val="20"/>
                <w:szCs w:val="20"/>
              </w:rPr>
              <w:t>0,0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9E12CF5" w14:textId="77777777" w:rsidR="00CF6C5C" w:rsidRPr="00575359" w:rsidRDefault="00CF6C5C" w:rsidP="0011009A">
            <w:pPr>
              <w:ind w:firstLine="0"/>
              <w:jc w:val="center"/>
              <w:rPr>
                <w:sz w:val="20"/>
                <w:szCs w:val="20"/>
              </w:rPr>
            </w:pPr>
            <w:r w:rsidRPr="00575359">
              <w:rPr>
                <w:sz w:val="20"/>
                <w:szCs w:val="20"/>
              </w:rPr>
              <w:t>0,0</w:t>
            </w:r>
          </w:p>
        </w:tc>
      </w:tr>
      <w:tr w:rsidR="00CF6C5C" w:rsidRPr="00575359" w14:paraId="063A01AB"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48F601BD" w14:textId="77777777" w:rsidR="00CF6C5C" w:rsidRPr="00575359" w:rsidRDefault="00CF6C5C" w:rsidP="0011009A">
            <w:pPr>
              <w:ind w:firstLine="0"/>
              <w:jc w:val="left"/>
              <w:rPr>
                <w:rFonts w:eastAsia="Times New Roman" w:cs="Times New Roman"/>
                <w:color w:val="000000"/>
                <w:sz w:val="18"/>
                <w:szCs w:val="18"/>
                <w:lang w:eastAsia="lv-LV"/>
              </w:rPr>
            </w:pPr>
            <w:r w:rsidRPr="00575359">
              <w:rPr>
                <w:color w:val="000000"/>
                <w:sz w:val="16"/>
                <w:szCs w:val="16"/>
              </w:rPr>
              <w:lastRenderedPageBreak/>
              <w:t>enerģijas cenas pieauguma mazināšanas pasākumi</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0AD86BB"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C1669F5"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42EBB46B"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-2,6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7755398"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-1,0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B14EF8C"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D3694F8"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01FDB009"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C56F6BF" w14:textId="77777777" w:rsidR="00CF6C5C" w:rsidRPr="00575359" w:rsidRDefault="00CF6C5C" w:rsidP="0011009A">
            <w:pPr>
              <w:ind w:firstLine="0"/>
              <w:jc w:val="center"/>
              <w:rPr>
                <w:color w:val="000000"/>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F450769" w14:textId="77777777" w:rsidR="00CF6C5C" w:rsidRPr="00575359" w:rsidRDefault="00CF6C5C" w:rsidP="0011009A">
            <w:pPr>
              <w:ind w:firstLine="0"/>
              <w:jc w:val="center"/>
              <w:rPr>
                <w:color w:val="000000"/>
              </w:rPr>
            </w:pPr>
          </w:p>
        </w:tc>
      </w:tr>
      <w:tr w:rsidR="00CF6C5C" w:rsidRPr="00575359" w14:paraId="3BD90D29"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7A5EAB46" w14:textId="77777777" w:rsidR="00CF6C5C" w:rsidRPr="00575359" w:rsidRDefault="00CF6C5C" w:rsidP="0011009A">
            <w:pPr>
              <w:ind w:firstLine="0"/>
              <w:jc w:val="left"/>
              <w:rPr>
                <w:rFonts w:eastAsia="Times New Roman" w:cs="Times New Roman"/>
                <w:color w:val="000000"/>
                <w:sz w:val="18"/>
                <w:szCs w:val="18"/>
                <w:lang w:eastAsia="lv-LV"/>
              </w:rPr>
            </w:pPr>
            <w:r w:rsidRPr="00575359">
              <w:rPr>
                <w:color w:val="000000"/>
                <w:sz w:val="16"/>
                <w:szCs w:val="16"/>
              </w:rPr>
              <w:t>aizsardzības un iekšējās drošības finansējums</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CDD9870"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C2DCBD6"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3F1D811"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FFAB972"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-0,5</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0A9503D"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-0,8</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A77F784"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-0,9</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675F8E78"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-1,0</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7E97F36" w14:textId="77777777" w:rsidR="00CF6C5C" w:rsidRPr="00575359" w:rsidRDefault="00CF6C5C" w:rsidP="0011009A">
            <w:pPr>
              <w:ind w:firstLine="0"/>
              <w:jc w:val="center"/>
              <w:rPr>
                <w:sz w:val="20"/>
                <w:szCs w:val="20"/>
              </w:rPr>
            </w:pPr>
            <w:r w:rsidRPr="00575359">
              <w:rPr>
                <w:sz w:val="20"/>
                <w:szCs w:val="20"/>
              </w:rPr>
              <w:t>-0,9</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3C230DB" w14:textId="77777777" w:rsidR="00CF6C5C" w:rsidRPr="00575359" w:rsidRDefault="00CF6C5C" w:rsidP="0011009A">
            <w:pPr>
              <w:ind w:firstLine="0"/>
              <w:jc w:val="center"/>
              <w:rPr>
                <w:sz w:val="20"/>
                <w:szCs w:val="20"/>
              </w:rPr>
            </w:pPr>
            <w:r w:rsidRPr="00575359">
              <w:rPr>
                <w:sz w:val="20"/>
                <w:szCs w:val="20"/>
              </w:rPr>
              <w:t>-0,7</w:t>
            </w:r>
          </w:p>
        </w:tc>
      </w:tr>
      <w:tr w:rsidR="00CF6C5C" w:rsidRPr="00575359" w14:paraId="7C48F82D"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10DAC24D" w14:textId="77777777" w:rsidR="00CF6C5C" w:rsidRPr="00575359" w:rsidRDefault="00CF6C5C" w:rsidP="0011009A">
            <w:pPr>
              <w:ind w:firstLine="0"/>
              <w:jc w:val="left"/>
              <w:rPr>
                <w:rFonts w:eastAsia="Times New Roman" w:cs="Times New Roman"/>
                <w:color w:val="000000"/>
                <w:sz w:val="18"/>
                <w:szCs w:val="18"/>
                <w:lang w:eastAsia="lv-LV"/>
              </w:rPr>
            </w:pPr>
            <w:r w:rsidRPr="00575359">
              <w:rPr>
                <w:color w:val="000000"/>
                <w:sz w:val="16"/>
                <w:szCs w:val="16"/>
              </w:rPr>
              <w:t>atbalsts bēgļiem no Ukrainas</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35CC6BC"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940EE12"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AF9DEDD"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EE79235"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4E0F7DD"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5918F76"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0C3961DC"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06BED0C" w14:textId="77777777" w:rsidR="00CF6C5C" w:rsidRPr="00575359" w:rsidRDefault="00CF6C5C" w:rsidP="0011009A">
            <w:pPr>
              <w:ind w:firstLine="0"/>
              <w:jc w:val="center"/>
              <w:rPr>
                <w:color w:val="000000"/>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7719AB6" w14:textId="77777777" w:rsidR="00CF6C5C" w:rsidRPr="00575359" w:rsidRDefault="00CF6C5C" w:rsidP="0011009A">
            <w:pPr>
              <w:ind w:firstLine="0"/>
              <w:jc w:val="center"/>
              <w:rPr>
                <w:color w:val="000000"/>
              </w:rPr>
            </w:pPr>
          </w:p>
        </w:tc>
      </w:tr>
      <w:tr w:rsidR="00CF6C5C" w:rsidRPr="00575359" w14:paraId="69969EA5" w14:textId="77777777" w:rsidTr="0011009A">
        <w:trPr>
          <w:trHeight w:val="312"/>
          <w:jc w:val="center"/>
        </w:trPr>
        <w:tc>
          <w:tcPr>
            <w:tcW w:w="19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1665E22B" w14:textId="77777777" w:rsidR="00CF6C5C" w:rsidRPr="00575359" w:rsidRDefault="00CF6C5C" w:rsidP="0011009A">
            <w:pPr>
              <w:ind w:firstLine="0"/>
              <w:jc w:val="left"/>
              <w:rPr>
                <w:rFonts w:eastAsia="Times New Roman" w:cs="Times New Roman"/>
                <w:color w:val="000000"/>
                <w:sz w:val="18"/>
                <w:szCs w:val="18"/>
                <w:lang w:eastAsia="lv-LV"/>
              </w:rPr>
            </w:pPr>
            <w:r w:rsidRPr="00575359">
              <w:rPr>
                <w:color w:val="000000"/>
                <w:sz w:val="16"/>
                <w:szCs w:val="16"/>
              </w:rPr>
              <w:t xml:space="preserve">citi/vienreizējie izdevumi valsts aizsardzībai un iekšējai drošībai </w:t>
            </w:r>
            <w:r w:rsidRPr="00575359">
              <w:rPr>
                <w:color w:val="000000"/>
                <w:sz w:val="16"/>
                <w:szCs w:val="16"/>
              </w:rPr>
              <w:br/>
              <w:t>(18.pr + % maksājumi par aizdevumu UA)</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DA23CFF"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color w:val="000000"/>
                <w:sz w:val="20"/>
                <w:szCs w:val="20"/>
              </w:rPr>
              <w:t>-0,2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40AF760"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color w:val="000000"/>
                <w:sz w:val="20"/>
                <w:szCs w:val="20"/>
              </w:rPr>
              <w:t>0,1</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3C0F791" w14:textId="77777777" w:rsidR="00CF6C5C" w:rsidRPr="00575359" w:rsidRDefault="00CF6C5C" w:rsidP="0011009A">
            <w:pPr>
              <w:ind w:firstLine="0"/>
              <w:jc w:val="center"/>
              <w:rPr>
                <w:rFonts w:eastAsia="Times New Roman" w:cs="Times New Roman"/>
                <w:color w:val="000000"/>
                <w:sz w:val="20"/>
                <w:szCs w:val="20"/>
                <w:lang w:eastAsia="lv-LV"/>
              </w:rPr>
            </w:pP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CE63969"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-0,2</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73552C6"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-0,7</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3B569C6"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-0,7</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61A77D5C" w14:textId="77777777" w:rsidR="00CF6C5C" w:rsidRPr="00575359" w:rsidRDefault="00CF6C5C" w:rsidP="0011009A">
            <w:pPr>
              <w:ind w:firstLine="0"/>
              <w:jc w:val="center"/>
              <w:rPr>
                <w:rFonts w:eastAsia="Times New Roman" w:cs="Times New Roman"/>
                <w:color w:val="000000"/>
                <w:sz w:val="20"/>
                <w:szCs w:val="20"/>
                <w:lang w:eastAsia="lv-LV"/>
              </w:rPr>
            </w:pPr>
            <w:r w:rsidRPr="00575359">
              <w:rPr>
                <w:sz w:val="20"/>
                <w:szCs w:val="20"/>
              </w:rPr>
              <w:t>-0,6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181279B" w14:textId="77777777" w:rsidR="00CF6C5C" w:rsidRPr="00575359" w:rsidRDefault="00CF6C5C" w:rsidP="0011009A">
            <w:pPr>
              <w:ind w:firstLine="0"/>
              <w:jc w:val="center"/>
              <w:rPr>
                <w:color w:val="000000"/>
              </w:rPr>
            </w:pPr>
            <w:r w:rsidRPr="00575359">
              <w:rPr>
                <w:sz w:val="20"/>
                <w:szCs w:val="20"/>
              </w:rPr>
              <w:t>-0,6</w:t>
            </w:r>
          </w:p>
        </w:tc>
        <w:tc>
          <w:tcPr>
            <w:tcW w:w="9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2D968D0" w14:textId="77777777" w:rsidR="00CF6C5C" w:rsidRPr="00575359" w:rsidRDefault="00CF6C5C" w:rsidP="0011009A">
            <w:pPr>
              <w:ind w:firstLine="0"/>
              <w:jc w:val="center"/>
              <w:rPr>
                <w:color w:val="000000"/>
              </w:rPr>
            </w:pPr>
            <w:r w:rsidRPr="00575359">
              <w:rPr>
                <w:sz w:val="20"/>
                <w:szCs w:val="20"/>
              </w:rPr>
              <w:t>-0,6</w:t>
            </w:r>
          </w:p>
        </w:tc>
      </w:tr>
    </w:tbl>
    <w:p w14:paraId="52510ACA" w14:textId="77777777" w:rsidR="00CF6C5C" w:rsidRPr="00575359" w:rsidRDefault="00CF6C5C" w:rsidP="00CF6C5C">
      <w:pPr>
        <w:ind w:firstLine="709"/>
        <w:rPr>
          <w:rFonts w:eastAsia="Calibri" w:cs="Times New Roman"/>
          <w:color w:val="000000"/>
          <w:sz w:val="24"/>
        </w:rPr>
      </w:pPr>
    </w:p>
    <w:p w14:paraId="0A17D8FA" w14:textId="77777777" w:rsidR="00CF6C5C" w:rsidRPr="00575359" w:rsidRDefault="00CF6C5C" w:rsidP="00CF6C5C">
      <w:pPr>
        <w:spacing w:after="120"/>
        <w:ind w:firstLine="0"/>
        <w:rPr>
          <w:rFonts w:eastAsia="Calibri" w:cs="Times New Roman"/>
          <w:color w:val="000000"/>
          <w:sz w:val="24"/>
        </w:rPr>
      </w:pPr>
      <w:r w:rsidRPr="00575359">
        <w:rPr>
          <w:rFonts w:eastAsia="Calibri" w:cs="Times New Roman"/>
          <w:color w:val="000000"/>
          <w:sz w:val="24"/>
        </w:rPr>
        <w:tab/>
        <w:t xml:space="preserve"> </w:t>
      </w:r>
      <w:r w:rsidRPr="00575359">
        <w:rPr>
          <w:rFonts w:eastAsia="Calibri" w:cs="Times New Roman"/>
          <w:b/>
          <w:bCs/>
          <w:color w:val="000000"/>
          <w:sz w:val="24"/>
        </w:rPr>
        <w:t>Uzkrāto bilanču starpības</w:t>
      </w:r>
    </w:p>
    <w:p w14:paraId="53614C19" w14:textId="3A0013CE" w:rsidR="00A07F53" w:rsidRPr="00A07F53" w:rsidRDefault="00CF6C5C" w:rsidP="00A07F53">
      <w:pPr>
        <w:ind w:firstLine="709"/>
        <w:rPr>
          <w:rFonts w:eastAsia="Calibri" w:cs="Times New Roman"/>
          <w:color w:val="000000"/>
          <w:sz w:val="24"/>
        </w:rPr>
      </w:pPr>
      <w:r w:rsidRPr="00575359">
        <w:rPr>
          <w:rFonts w:eastAsia="Calibri" w:cs="Times New Roman"/>
          <w:color w:val="000000"/>
          <w:sz w:val="24"/>
        </w:rPr>
        <w:t xml:space="preserve">FDL 11. pants nosaka automātisko </w:t>
      </w:r>
      <w:proofErr w:type="spellStart"/>
      <w:r w:rsidRPr="00575359">
        <w:rPr>
          <w:rFonts w:eastAsia="Calibri" w:cs="Times New Roman"/>
          <w:i/>
          <w:iCs/>
          <w:color w:val="000000"/>
          <w:sz w:val="24"/>
        </w:rPr>
        <w:t>ex</w:t>
      </w:r>
      <w:proofErr w:type="spellEnd"/>
      <w:r w:rsidRPr="00575359">
        <w:rPr>
          <w:rFonts w:eastAsia="Calibri" w:cs="Times New Roman"/>
          <w:i/>
          <w:iCs/>
          <w:color w:val="000000"/>
          <w:sz w:val="24"/>
        </w:rPr>
        <w:t>-post</w:t>
      </w:r>
      <w:r w:rsidRPr="00575359">
        <w:rPr>
          <w:rFonts w:eastAsia="Calibri" w:cs="Times New Roman"/>
          <w:color w:val="000000"/>
          <w:sz w:val="24"/>
        </w:rPr>
        <w:t xml:space="preserve"> korekcijas mehānismu, t.i. minimālās plānojamās vispārējās valdības budžeta strukturālās bilances koriģēšanu, lai nodrošinātu to, ka iepriekšējo gadu faktiskās novirzes no bilances nosacījuma (FDL  10. pants) neietekmē budžeta sabalansētību. </w:t>
      </w:r>
      <w:r w:rsidR="00A07F53" w:rsidRPr="00F9587B">
        <w:rPr>
          <w:rFonts w:eastAsia="Calibri" w:cs="Times New Roman"/>
          <w:color w:val="000000"/>
          <w:sz w:val="24"/>
        </w:rPr>
        <w:t xml:space="preserve">Ja budžeta izpildes gaitā tiek konstatēts, ka uzkrātā faktisko strukturālo bilanču novirze no plānoto bilanču apmēra ir negatīva un sasniedz vismaz 0,5% no </w:t>
      </w:r>
      <w:r w:rsidR="00A07F53">
        <w:rPr>
          <w:rFonts w:eastAsia="Calibri" w:cs="Times New Roman"/>
          <w:color w:val="000000"/>
          <w:sz w:val="24"/>
        </w:rPr>
        <w:t>IKP</w:t>
      </w:r>
      <w:r w:rsidR="00A07F53" w:rsidRPr="00F9587B">
        <w:rPr>
          <w:rFonts w:eastAsia="Calibri" w:cs="Times New Roman"/>
          <w:color w:val="000000"/>
          <w:sz w:val="24"/>
        </w:rPr>
        <w:t xml:space="preserve">, nākamā vidēja termiņa budžeta trešajā gadā vispārējās valdības budžeta strukturālās bilances mērķi nosaka par 0,5% no </w:t>
      </w:r>
      <w:r w:rsidR="00A07F53">
        <w:rPr>
          <w:rFonts w:eastAsia="Calibri" w:cs="Times New Roman"/>
          <w:color w:val="000000"/>
          <w:sz w:val="24"/>
        </w:rPr>
        <w:t>IKP</w:t>
      </w:r>
      <w:r w:rsidR="00A07F53" w:rsidRPr="00F9587B">
        <w:rPr>
          <w:rFonts w:eastAsia="Calibri" w:cs="Times New Roman"/>
          <w:color w:val="000000"/>
          <w:sz w:val="24"/>
        </w:rPr>
        <w:t xml:space="preserve"> lielāku. </w:t>
      </w:r>
      <w:r w:rsidR="00A07F53" w:rsidRPr="00A07F53">
        <w:rPr>
          <w:rFonts w:eastAsia="Calibri" w:cs="Times New Roman"/>
          <w:color w:val="000000"/>
          <w:sz w:val="24"/>
        </w:rPr>
        <w:t>Uzkrātās bilanču starpības ir  attēlotas 3.2. tabulā</w:t>
      </w:r>
      <w:r w:rsidR="0083156D">
        <w:rPr>
          <w:rFonts w:eastAsia="Calibri" w:cs="Times New Roman"/>
          <w:color w:val="000000"/>
          <w:sz w:val="24"/>
        </w:rPr>
        <w:t xml:space="preserve"> un ņemot vērā </w:t>
      </w:r>
      <w:r w:rsidR="0083156D" w:rsidRPr="00F9587B">
        <w:rPr>
          <w:rFonts w:eastAsia="Calibri" w:cs="Times New Roman"/>
          <w:color w:val="000000"/>
          <w:sz w:val="24"/>
        </w:rPr>
        <w:t>uzkrātā</w:t>
      </w:r>
      <w:r w:rsidR="0083156D">
        <w:rPr>
          <w:rFonts w:eastAsia="Calibri" w:cs="Times New Roman"/>
          <w:color w:val="000000"/>
          <w:sz w:val="24"/>
        </w:rPr>
        <w:t>s</w:t>
      </w:r>
      <w:r w:rsidR="0083156D" w:rsidRPr="00F9587B">
        <w:rPr>
          <w:rFonts w:eastAsia="Calibri" w:cs="Times New Roman"/>
          <w:color w:val="000000"/>
          <w:sz w:val="24"/>
        </w:rPr>
        <w:t xml:space="preserve"> faktisko strukturālo bilanču novirze</w:t>
      </w:r>
      <w:r w:rsidR="0083156D">
        <w:rPr>
          <w:rFonts w:eastAsia="Calibri" w:cs="Times New Roman"/>
          <w:color w:val="000000"/>
          <w:sz w:val="24"/>
        </w:rPr>
        <w:t xml:space="preserve">s vērtību </w:t>
      </w:r>
      <w:r w:rsidR="00805D3C">
        <w:rPr>
          <w:rFonts w:eastAsia="Calibri" w:cs="Times New Roman"/>
          <w:color w:val="000000"/>
          <w:sz w:val="24"/>
        </w:rPr>
        <w:t>4</w:t>
      </w:r>
      <w:r w:rsidR="0083156D">
        <w:rPr>
          <w:rFonts w:eastAsia="Calibri" w:cs="Times New Roman"/>
          <w:color w:val="000000"/>
          <w:sz w:val="24"/>
        </w:rPr>
        <w:t>,5</w:t>
      </w:r>
      <w:r w:rsidR="003603B9">
        <w:rPr>
          <w:rFonts w:eastAsia="Calibri" w:cs="Times New Roman"/>
          <w:color w:val="000000"/>
          <w:sz w:val="24"/>
        </w:rPr>
        <w:t>%</w:t>
      </w:r>
      <w:r w:rsidR="00522933">
        <w:rPr>
          <w:rFonts w:eastAsia="Calibri" w:cs="Times New Roman"/>
          <w:color w:val="000000"/>
          <w:sz w:val="24"/>
        </w:rPr>
        <w:t xml:space="preserve"> no IKP</w:t>
      </w:r>
      <w:r w:rsidR="0083156D">
        <w:rPr>
          <w:rFonts w:eastAsia="Calibri" w:cs="Times New Roman"/>
          <w:color w:val="000000"/>
          <w:sz w:val="24"/>
        </w:rPr>
        <w:t xml:space="preserve">, </w:t>
      </w:r>
      <w:r w:rsidR="0083156D" w:rsidRPr="00575359">
        <w:rPr>
          <w:rFonts w:eastAsia="Calibri" w:cs="Times New Roman"/>
          <w:color w:val="000000"/>
          <w:sz w:val="24"/>
        </w:rPr>
        <w:t>vispārējās valdības budžeta strukturālās bilances koriģēšan</w:t>
      </w:r>
      <w:r w:rsidR="0083156D">
        <w:rPr>
          <w:rFonts w:eastAsia="Calibri" w:cs="Times New Roman"/>
          <w:color w:val="000000"/>
          <w:sz w:val="24"/>
        </w:rPr>
        <w:t>a nav jāveic</w:t>
      </w:r>
      <w:r w:rsidR="00A07F53" w:rsidRPr="00A07F53">
        <w:rPr>
          <w:rFonts w:eastAsia="Calibri" w:cs="Times New Roman"/>
          <w:color w:val="000000"/>
          <w:sz w:val="24"/>
        </w:rPr>
        <w:t>.</w:t>
      </w:r>
    </w:p>
    <w:p w14:paraId="1FDA76F8" w14:textId="77777777" w:rsidR="00CF6C5C" w:rsidRPr="00B5630F" w:rsidRDefault="00CF6C5C" w:rsidP="00CF6C5C">
      <w:pPr>
        <w:spacing w:before="240" w:after="120"/>
        <w:ind w:firstLine="0"/>
        <w:jc w:val="right"/>
        <w:rPr>
          <w:rFonts w:eastAsia="Calibri" w:cs="Times New Roman"/>
          <w:b/>
          <w:bCs/>
          <w:i/>
          <w:iCs/>
          <w:color w:val="000000" w:themeColor="text1"/>
          <w:sz w:val="24"/>
        </w:rPr>
      </w:pPr>
      <w:r w:rsidRPr="00B5630F">
        <w:rPr>
          <w:rFonts w:eastAsia="Calibri" w:cs="Times New Roman"/>
          <w:b/>
          <w:bCs/>
          <w:i/>
          <w:iCs/>
          <w:color w:val="000000" w:themeColor="text1"/>
          <w:sz w:val="24"/>
        </w:rPr>
        <w:t>3.2. tabula. Uzkrāto bilanču starpības</w:t>
      </w:r>
    </w:p>
    <w:tbl>
      <w:tblPr>
        <w:tblStyle w:val="GridTable6Colorful-Accent1131"/>
        <w:tblW w:w="9776" w:type="dxa"/>
        <w:jc w:val="center"/>
        <w:tblLayout w:type="fixed"/>
        <w:tblLook w:val="04A0" w:firstRow="1" w:lastRow="0" w:firstColumn="1" w:lastColumn="0" w:noHBand="0" w:noVBand="1"/>
      </w:tblPr>
      <w:tblGrid>
        <w:gridCol w:w="704"/>
        <w:gridCol w:w="1418"/>
        <w:gridCol w:w="680"/>
        <w:gridCol w:w="680"/>
        <w:gridCol w:w="680"/>
        <w:gridCol w:w="680"/>
        <w:gridCol w:w="680"/>
        <w:gridCol w:w="680"/>
        <w:gridCol w:w="680"/>
        <w:gridCol w:w="680"/>
        <w:gridCol w:w="680"/>
        <w:gridCol w:w="684"/>
        <w:gridCol w:w="850"/>
      </w:tblGrid>
      <w:tr w:rsidR="00A07F53" w:rsidRPr="00A07F53" w14:paraId="004B1C44" w14:textId="6EF7F6D5" w:rsidTr="00B5630F">
        <w:trPr>
          <w:cnfStyle w:val="100000000000" w:firstRow="1" w:lastRow="0" w:firstColumn="0" w:lastColumn="0" w:oddVBand="0" w:evenVBand="0" w:oddHBand="0" w:evenHBand="0" w:firstRowFirstColumn="0" w:firstRowLastColumn="0" w:lastRowFirstColumn="0" w:lastRowLastColumn="0"/>
          <w:trHeight w:val="294"/>
          <w:tblHeader/>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1B12D9FE" w14:textId="77777777" w:rsidR="00A07F53" w:rsidRPr="00A07F53" w:rsidRDefault="00A07F53" w:rsidP="0011009A">
            <w:pPr>
              <w:ind w:firstLine="0"/>
              <w:jc w:val="center"/>
              <w:rPr>
                <w:rFonts w:eastAsia="Times New Roman" w:cs="Times New Roman"/>
                <w:b w:val="0"/>
                <w:bCs w:val="0"/>
                <w:i/>
                <w:iCs/>
                <w:color w:val="000000" w:themeColor="text1"/>
                <w:sz w:val="16"/>
                <w:szCs w:val="16"/>
                <w:lang w:eastAsia="lv-LV"/>
              </w:rPr>
            </w:pPr>
            <w:r w:rsidRPr="00A07F53">
              <w:rPr>
                <w:rFonts w:eastAsia="Times New Roman" w:cs="Times New Roman"/>
                <w:i/>
                <w:iCs/>
                <w:color w:val="000000" w:themeColor="text1"/>
                <w:sz w:val="16"/>
                <w:szCs w:val="16"/>
                <w:lang w:eastAsia="lv-LV"/>
              </w:rPr>
              <w:t> </w:t>
            </w:r>
          </w:p>
        </w:tc>
        <w:tc>
          <w:tcPr>
            <w:tcW w:w="1418" w:type="dxa"/>
            <w:hideMark/>
          </w:tcPr>
          <w:p w14:paraId="3D41AD35" w14:textId="77777777" w:rsidR="00A07F53" w:rsidRPr="00A07F53" w:rsidRDefault="00A07F53" w:rsidP="0011009A">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18"/>
                <w:szCs w:val="18"/>
                <w:lang w:eastAsia="lv-LV"/>
              </w:rPr>
            </w:pPr>
            <w:r w:rsidRPr="00A07F53">
              <w:rPr>
                <w:rFonts w:eastAsia="Times New Roman" w:cs="Times New Roman"/>
                <w:color w:val="000000" w:themeColor="text1"/>
                <w:sz w:val="18"/>
                <w:szCs w:val="18"/>
                <w:lang w:eastAsia="lv-LV"/>
              </w:rPr>
              <w:t> </w:t>
            </w:r>
          </w:p>
        </w:tc>
        <w:tc>
          <w:tcPr>
            <w:tcW w:w="680" w:type="dxa"/>
            <w:hideMark/>
          </w:tcPr>
          <w:p w14:paraId="1B9E8C1E" w14:textId="77777777" w:rsidR="00A07F53" w:rsidRPr="00A07F53" w:rsidRDefault="00A07F53" w:rsidP="0011009A">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A07F53">
              <w:rPr>
                <w:rFonts w:eastAsia="Times New Roman" w:cs="Times New Roman"/>
                <w:color w:val="000000" w:themeColor="text1"/>
                <w:sz w:val="18"/>
                <w:szCs w:val="18"/>
                <w:lang w:eastAsia="lv-LV"/>
              </w:rPr>
              <w:t>2013</w:t>
            </w:r>
          </w:p>
        </w:tc>
        <w:tc>
          <w:tcPr>
            <w:tcW w:w="680" w:type="dxa"/>
            <w:hideMark/>
          </w:tcPr>
          <w:p w14:paraId="2C7227C7" w14:textId="77777777" w:rsidR="00A07F53" w:rsidRPr="00A07F53" w:rsidRDefault="00A07F53" w:rsidP="0011009A">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A07F53">
              <w:rPr>
                <w:rFonts w:eastAsia="Times New Roman" w:cs="Times New Roman"/>
                <w:color w:val="000000" w:themeColor="text1"/>
                <w:sz w:val="18"/>
                <w:szCs w:val="18"/>
                <w:lang w:eastAsia="lv-LV"/>
              </w:rPr>
              <w:t>2014</w:t>
            </w:r>
          </w:p>
        </w:tc>
        <w:tc>
          <w:tcPr>
            <w:tcW w:w="680" w:type="dxa"/>
            <w:hideMark/>
          </w:tcPr>
          <w:p w14:paraId="326CBEB5" w14:textId="77777777" w:rsidR="00A07F53" w:rsidRPr="00A07F53" w:rsidRDefault="00A07F53" w:rsidP="0011009A">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A07F53">
              <w:rPr>
                <w:rFonts w:eastAsia="Times New Roman" w:cs="Times New Roman"/>
                <w:color w:val="000000" w:themeColor="text1"/>
                <w:sz w:val="18"/>
                <w:szCs w:val="18"/>
                <w:lang w:eastAsia="lv-LV"/>
              </w:rPr>
              <w:t>2015</w:t>
            </w:r>
          </w:p>
        </w:tc>
        <w:tc>
          <w:tcPr>
            <w:tcW w:w="680" w:type="dxa"/>
            <w:hideMark/>
          </w:tcPr>
          <w:p w14:paraId="10DCEF30" w14:textId="77777777" w:rsidR="00A07F53" w:rsidRPr="00A07F53" w:rsidRDefault="00A07F53" w:rsidP="0011009A">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A07F53">
              <w:rPr>
                <w:rFonts w:eastAsia="Times New Roman" w:cs="Times New Roman"/>
                <w:color w:val="000000" w:themeColor="text1"/>
                <w:sz w:val="18"/>
                <w:szCs w:val="18"/>
                <w:lang w:eastAsia="lv-LV"/>
              </w:rPr>
              <w:t>2016</w:t>
            </w:r>
          </w:p>
        </w:tc>
        <w:tc>
          <w:tcPr>
            <w:tcW w:w="680" w:type="dxa"/>
            <w:hideMark/>
          </w:tcPr>
          <w:p w14:paraId="06D0B837" w14:textId="77777777" w:rsidR="00A07F53" w:rsidRPr="00A07F53" w:rsidRDefault="00A07F53" w:rsidP="0011009A">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A07F53">
              <w:rPr>
                <w:rFonts w:eastAsia="Times New Roman" w:cs="Times New Roman"/>
                <w:color w:val="000000" w:themeColor="text1"/>
                <w:sz w:val="18"/>
                <w:szCs w:val="18"/>
                <w:lang w:eastAsia="lv-LV"/>
              </w:rPr>
              <w:t>2017</w:t>
            </w:r>
          </w:p>
        </w:tc>
        <w:tc>
          <w:tcPr>
            <w:tcW w:w="680" w:type="dxa"/>
            <w:hideMark/>
          </w:tcPr>
          <w:p w14:paraId="1037DD2A" w14:textId="77777777" w:rsidR="00A07F53" w:rsidRPr="00A07F53" w:rsidRDefault="00A07F53" w:rsidP="0011009A">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A07F53">
              <w:rPr>
                <w:rFonts w:eastAsia="Times New Roman" w:cs="Times New Roman"/>
                <w:color w:val="000000" w:themeColor="text1"/>
                <w:sz w:val="18"/>
                <w:szCs w:val="18"/>
                <w:lang w:eastAsia="lv-LV"/>
              </w:rPr>
              <w:t>2018</w:t>
            </w:r>
          </w:p>
        </w:tc>
        <w:tc>
          <w:tcPr>
            <w:tcW w:w="680" w:type="dxa"/>
            <w:hideMark/>
          </w:tcPr>
          <w:p w14:paraId="4A2C5D2A" w14:textId="77777777" w:rsidR="00A07F53" w:rsidRPr="00A07F53" w:rsidRDefault="00A07F53" w:rsidP="0011009A">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A07F53">
              <w:rPr>
                <w:rFonts w:eastAsia="Times New Roman" w:cs="Times New Roman"/>
                <w:color w:val="000000" w:themeColor="text1"/>
                <w:sz w:val="18"/>
                <w:szCs w:val="18"/>
                <w:lang w:eastAsia="lv-LV"/>
              </w:rPr>
              <w:t>2019</w:t>
            </w:r>
          </w:p>
        </w:tc>
        <w:tc>
          <w:tcPr>
            <w:tcW w:w="680" w:type="dxa"/>
            <w:hideMark/>
          </w:tcPr>
          <w:p w14:paraId="22FEE3FC" w14:textId="77777777" w:rsidR="00A07F53" w:rsidRPr="00A07F53" w:rsidRDefault="00A07F53" w:rsidP="0011009A">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A07F53">
              <w:rPr>
                <w:rFonts w:eastAsia="Times New Roman" w:cs="Times New Roman"/>
                <w:color w:val="000000" w:themeColor="text1"/>
                <w:sz w:val="18"/>
                <w:szCs w:val="18"/>
                <w:lang w:eastAsia="lv-LV"/>
              </w:rPr>
              <w:t>2020</w:t>
            </w:r>
          </w:p>
        </w:tc>
        <w:tc>
          <w:tcPr>
            <w:tcW w:w="680" w:type="dxa"/>
          </w:tcPr>
          <w:p w14:paraId="277CF837" w14:textId="77777777" w:rsidR="00A07F53" w:rsidRPr="00A07F53" w:rsidRDefault="00A07F53" w:rsidP="0011009A">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A07F53">
              <w:rPr>
                <w:rFonts w:eastAsia="Times New Roman" w:cs="Times New Roman"/>
                <w:color w:val="000000" w:themeColor="text1"/>
                <w:sz w:val="18"/>
                <w:szCs w:val="18"/>
                <w:lang w:eastAsia="lv-LV"/>
              </w:rPr>
              <w:t>2021</w:t>
            </w:r>
          </w:p>
        </w:tc>
        <w:tc>
          <w:tcPr>
            <w:tcW w:w="684" w:type="dxa"/>
          </w:tcPr>
          <w:p w14:paraId="43C9E0EB" w14:textId="231ECFE6" w:rsidR="00A07F53" w:rsidRPr="00A07F53" w:rsidRDefault="00A07F53" w:rsidP="0011009A">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18"/>
                <w:szCs w:val="18"/>
                <w:lang w:eastAsia="lv-LV"/>
              </w:rPr>
            </w:pPr>
            <w:r w:rsidRPr="00A07F53">
              <w:rPr>
                <w:rFonts w:eastAsia="Times New Roman" w:cs="Times New Roman"/>
                <w:color w:val="000000" w:themeColor="text1"/>
                <w:sz w:val="18"/>
                <w:szCs w:val="18"/>
                <w:lang w:eastAsia="lv-LV"/>
              </w:rPr>
              <w:t>202</w:t>
            </w:r>
            <w:r>
              <w:rPr>
                <w:rFonts w:eastAsia="Times New Roman" w:cs="Times New Roman"/>
                <w:color w:val="000000" w:themeColor="text1"/>
                <w:sz w:val="18"/>
                <w:szCs w:val="18"/>
                <w:lang w:eastAsia="lv-LV"/>
              </w:rPr>
              <w:t>2</w:t>
            </w:r>
          </w:p>
        </w:tc>
        <w:tc>
          <w:tcPr>
            <w:tcW w:w="850" w:type="dxa"/>
          </w:tcPr>
          <w:p w14:paraId="39C52B29" w14:textId="314286D9" w:rsidR="00A07F53" w:rsidRPr="00A07F53" w:rsidRDefault="00A07F53" w:rsidP="0011009A">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18"/>
                <w:szCs w:val="18"/>
                <w:lang w:eastAsia="lv-LV"/>
              </w:rPr>
            </w:pPr>
            <w:r w:rsidRPr="00A07F53">
              <w:rPr>
                <w:rFonts w:eastAsia="Times New Roman" w:cs="Times New Roman"/>
                <w:color w:val="000000" w:themeColor="text1"/>
                <w:sz w:val="18"/>
                <w:szCs w:val="18"/>
                <w:lang w:eastAsia="lv-LV"/>
              </w:rPr>
              <w:t>202</w:t>
            </w:r>
            <w:r>
              <w:rPr>
                <w:rFonts w:eastAsia="Times New Roman" w:cs="Times New Roman"/>
                <w:color w:val="000000" w:themeColor="text1"/>
                <w:sz w:val="18"/>
                <w:szCs w:val="18"/>
                <w:lang w:eastAsia="lv-LV"/>
              </w:rPr>
              <w:t>3</w:t>
            </w:r>
          </w:p>
        </w:tc>
      </w:tr>
      <w:tr w:rsidR="00A07F53" w:rsidRPr="00A07F53" w14:paraId="5F3B9D06" w14:textId="5C159F61" w:rsidTr="0008652D">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5C881EB7" w14:textId="77777777" w:rsidR="00A07F53" w:rsidRPr="00A07F53" w:rsidRDefault="00A07F53" w:rsidP="00A07F53">
            <w:pPr>
              <w:ind w:firstLine="0"/>
              <w:jc w:val="right"/>
              <w:rPr>
                <w:rFonts w:eastAsia="Times New Roman" w:cs="Times New Roman"/>
                <w:i/>
                <w:iCs/>
                <w:color w:val="000000" w:themeColor="text1"/>
                <w:sz w:val="16"/>
                <w:szCs w:val="16"/>
                <w:lang w:eastAsia="lv-LV"/>
              </w:rPr>
            </w:pPr>
            <w:r w:rsidRPr="00A07F53">
              <w:rPr>
                <w:rFonts w:eastAsia="Times New Roman" w:cs="Times New Roman"/>
                <w:i/>
                <w:iCs/>
                <w:color w:val="000000" w:themeColor="text1"/>
                <w:sz w:val="16"/>
                <w:szCs w:val="16"/>
                <w:lang w:eastAsia="lv-LV"/>
              </w:rPr>
              <w:t>1</w:t>
            </w:r>
          </w:p>
        </w:tc>
        <w:tc>
          <w:tcPr>
            <w:tcW w:w="1418" w:type="dxa"/>
            <w:hideMark/>
          </w:tcPr>
          <w:p w14:paraId="6D0F2D4B" w14:textId="77777777" w:rsidR="00A07F53" w:rsidRPr="002E0152" w:rsidRDefault="00A07F53" w:rsidP="00A07F53">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8"/>
                <w:szCs w:val="18"/>
                <w:lang w:eastAsia="lv-LV"/>
              </w:rPr>
            </w:pPr>
            <w:r w:rsidRPr="002E0152">
              <w:rPr>
                <w:rFonts w:eastAsia="Times New Roman" w:cs="Times New Roman"/>
                <w:color w:val="000000" w:themeColor="text1"/>
                <w:sz w:val="18"/>
                <w:szCs w:val="18"/>
                <w:lang w:eastAsia="lv-LV"/>
              </w:rPr>
              <w:t xml:space="preserve">IKP (faktiskajās cenās), milj. </w:t>
            </w:r>
            <w:proofErr w:type="spellStart"/>
            <w:r w:rsidRPr="002E0152">
              <w:rPr>
                <w:rFonts w:eastAsia="Times New Roman" w:cs="Times New Roman"/>
                <w:i/>
                <w:iCs/>
                <w:color w:val="000000" w:themeColor="text1"/>
                <w:sz w:val="18"/>
                <w:szCs w:val="18"/>
                <w:lang w:eastAsia="lv-LV"/>
              </w:rPr>
              <w:t>euro</w:t>
            </w:r>
            <w:proofErr w:type="spellEnd"/>
          </w:p>
        </w:tc>
        <w:tc>
          <w:tcPr>
            <w:tcW w:w="680" w:type="dxa"/>
            <w:vAlign w:val="center"/>
          </w:tcPr>
          <w:p w14:paraId="7A49842A" w14:textId="6C4D6BFD" w:rsidR="00A07F53" w:rsidRPr="00975B5B" w:rsidRDefault="00A07F53" w:rsidP="00A07F5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975B5B">
              <w:rPr>
                <w:color w:val="auto"/>
                <w:sz w:val="16"/>
                <w:szCs w:val="16"/>
              </w:rPr>
              <w:t>22 749</w:t>
            </w:r>
          </w:p>
        </w:tc>
        <w:tc>
          <w:tcPr>
            <w:tcW w:w="680" w:type="dxa"/>
            <w:vAlign w:val="center"/>
          </w:tcPr>
          <w:p w14:paraId="71602B14" w14:textId="117BAAA1" w:rsidR="00A07F53" w:rsidRPr="00975B5B" w:rsidRDefault="00A07F53" w:rsidP="00A07F5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975B5B">
              <w:rPr>
                <w:color w:val="auto"/>
                <w:sz w:val="16"/>
                <w:szCs w:val="16"/>
              </w:rPr>
              <w:t>23 626</w:t>
            </w:r>
          </w:p>
        </w:tc>
        <w:tc>
          <w:tcPr>
            <w:tcW w:w="680" w:type="dxa"/>
            <w:vAlign w:val="center"/>
          </w:tcPr>
          <w:p w14:paraId="116186CB" w14:textId="4D3F623A" w:rsidR="00A07F53" w:rsidRPr="00975B5B" w:rsidRDefault="00A07F53" w:rsidP="00A07F5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975B5B">
              <w:rPr>
                <w:color w:val="auto"/>
                <w:sz w:val="16"/>
                <w:szCs w:val="16"/>
              </w:rPr>
              <w:t>24 572</w:t>
            </w:r>
          </w:p>
        </w:tc>
        <w:tc>
          <w:tcPr>
            <w:tcW w:w="680" w:type="dxa"/>
            <w:vAlign w:val="center"/>
          </w:tcPr>
          <w:p w14:paraId="657CDC35" w14:textId="35F0010F" w:rsidR="00A07F53" w:rsidRPr="00975B5B" w:rsidRDefault="00A07F53" w:rsidP="00A07F5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975B5B">
              <w:rPr>
                <w:color w:val="auto"/>
                <w:sz w:val="16"/>
                <w:szCs w:val="16"/>
              </w:rPr>
              <w:t>25 371</w:t>
            </w:r>
          </w:p>
        </w:tc>
        <w:tc>
          <w:tcPr>
            <w:tcW w:w="680" w:type="dxa"/>
            <w:vAlign w:val="center"/>
          </w:tcPr>
          <w:p w14:paraId="0218BB85" w14:textId="7283F413" w:rsidR="00A07F53" w:rsidRPr="00975B5B" w:rsidRDefault="00A07F53" w:rsidP="00A07F5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975B5B">
              <w:rPr>
                <w:color w:val="auto"/>
                <w:sz w:val="16"/>
                <w:szCs w:val="16"/>
              </w:rPr>
              <w:t>26 984</w:t>
            </w:r>
          </w:p>
        </w:tc>
        <w:tc>
          <w:tcPr>
            <w:tcW w:w="680" w:type="dxa"/>
            <w:vAlign w:val="center"/>
          </w:tcPr>
          <w:p w14:paraId="09DE7DC4" w14:textId="29A213C0" w:rsidR="00A07F53" w:rsidRPr="00975B5B" w:rsidRDefault="00A07F53" w:rsidP="00A07F5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975B5B">
              <w:rPr>
                <w:color w:val="auto"/>
                <w:sz w:val="16"/>
                <w:szCs w:val="16"/>
              </w:rPr>
              <w:t>29 154</w:t>
            </w:r>
          </w:p>
        </w:tc>
        <w:tc>
          <w:tcPr>
            <w:tcW w:w="680" w:type="dxa"/>
            <w:vAlign w:val="center"/>
          </w:tcPr>
          <w:p w14:paraId="378B6E45" w14:textId="271F3A56" w:rsidR="00A07F53" w:rsidRPr="00975B5B" w:rsidRDefault="00A07F53" w:rsidP="00A07F5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975B5B">
              <w:rPr>
                <w:color w:val="auto"/>
                <w:sz w:val="16"/>
                <w:szCs w:val="16"/>
              </w:rPr>
              <w:t>30 573</w:t>
            </w:r>
          </w:p>
        </w:tc>
        <w:tc>
          <w:tcPr>
            <w:tcW w:w="680" w:type="dxa"/>
            <w:vAlign w:val="center"/>
          </w:tcPr>
          <w:p w14:paraId="7B122206" w14:textId="50D6C9E9" w:rsidR="00A07F53" w:rsidRPr="00975B5B" w:rsidRDefault="00A07F53" w:rsidP="00A07F5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975B5B">
              <w:rPr>
                <w:color w:val="auto"/>
                <w:sz w:val="16"/>
                <w:szCs w:val="16"/>
              </w:rPr>
              <w:t>30 109</w:t>
            </w:r>
          </w:p>
        </w:tc>
        <w:tc>
          <w:tcPr>
            <w:tcW w:w="680" w:type="dxa"/>
            <w:vAlign w:val="center"/>
          </w:tcPr>
          <w:p w14:paraId="01B0305A" w14:textId="18717F7E" w:rsidR="00A07F53" w:rsidRPr="00975B5B" w:rsidRDefault="00A07F53" w:rsidP="00A07F5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975B5B">
              <w:rPr>
                <w:color w:val="auto"/>
                <w:sz w:val="16"/>
                <w:szCs w:val="16"/>
              </w:rPr>
              <w:t>33 349</w:t>
            </w:r>
          </w:p>
        </w:tc>
        <w:tc>
          <w:tcPr>
            <w:tcW w:w="684" w:type="dxa"/>
            <w:vAlign w:val="center"/>
          </w:tcPr>
          <w:p w14:paraId="00B8A464" w14:textId="5534C1D7" w:rsidR="00A07F53" w:rsidRPr="00975B5B" w:rsidRDefault="00A07F53" w:rsidP="00A07F53">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6"/>
                <w:szCs w:val="16"/>
              </w:rPr>
            </w:pPr>
            <w:r w:rsidRPr="00975B5B">
              <w:rPr>
                <w:color w:val="auto"/>
                <w:sz w:val="16"/>
                <w:szCs w:val="16"/>
              </w:rPr>
              <w:t>38 386</w:t>
            </w:r>
          </w:p>
        </w:tc>
        <w:tc>
          <w:tcPr>
            <w:tcW w:w="850" w:type="dxa"/>
            <w:vAlign w:val="center"/>
          </w:tcPr>
          <w:p w14:paraId="44904420" w14:textId="63FD305E" w:rsidR="00A07F53" w:rsidRPr="00975B5B" w:rsidRDefault="00A07F53" w:rsidP="00A07F53">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6"/>
                <w:szCs w:val="16"/>
              </w:rPr>
            </w:pPr>
            <w:r w:rsidRPr="00975B5B">
              <w:rPr>
                <w:color w:val="auto"/>
                <w:sz w:val="16"/>
                <w:szCs w:val="16"/>
              </w:rPr>
              <w:t>40 348</w:t>
            </w:r>
          </w:p>
        </w:tc>
      </w:tr>
      <w:tr w:rsidR="00805D3C" w:rsidRPr="00805D3C" w14:paraId="2BF804D7" w14:textId="6D924B13" w:rsidTr="0008652D">
        <w:trPr>
          <w:trHeight w:val="680"/>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0D03CF18"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2</w:t>
            </w:r>
          </w:p>
        </w:tc>
        <w:tc>
          <w:tcPr>
            <w:tcW w:w="1418" w:type="dxa"/>
            <w:hideMark/>
          </w:tcPr>
          <w:p w14:paraId="662C8304" w14:textId="77777777" w:rsidR="00805D3C" w:rsidRPr="002E0152" w:rsidRDefault="00805D3C" w:rsidP="00805D3C">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2E0152">
              <w:rPr>
                <w:rFonts w:eastAsia="Times New Roman" w:cs="Times New Roman"/>
                <w:color w:val="auto"/>
                <w:sz w:val="18"/>
                <w:szCs w:val="18"/>
                <w:lang w:eastAsia="lv-LV"/>
              </w:rPr>
              <w:t>Faktiskā vispārējās valdības budžeta strukturālā bilance, % no IKP</w:t>
            </w:r>
          </w:p>
        </w:tc>
        <w:tc>
          <w:tcPr>
            <w:tcW w:w="680" w:type="dxa"/>
          </w:tcPr>
          <w:p w14:paraId="54AB0C3D" w14:textId="0CEC1C77"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-0,3</w:t>
            </w:r>
          </w:p>
        </w:tc>
        <w:tc>
          <w:tcPr>
            <w:tcW w:w="680" w:type="dxa"/>
          </w:tcPr>
          <w:p w14:paraId="41016D8E" w14:textId="57BC9294"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-0,8</w:t>
            </w:r>
          </w:p>
        </w:tc>
        <w:tc>
          <w:tcPr>
            <w:tcW w:w="680" w:type="dxa"/>
          </w:tcPr>
          <w:p w14:paraId="6ED4C1EA" w14:textId="36580F99"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-1,4</w:t>
            </w:r>
          </w:p>
        </w:tc>
        <w:tc>
          <w:tcPr>
            <w:tcW w:w="680" w:type="dxa"/>
          </w:tcPr>
          <w:p w14:paraId="73202C56" w14:textId="23A9AC42"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-0,4</w:t>
            </w:r>
          </w:p>
        </w:tc>
        <w:tc>
          <w:tcPr>
            <w:tcW w:w="680" w:type="dxa"/>
          </w:tcPr>
          <w:p w14:paraId="3451C2AC" w14:textId="653617B5"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-1,0</w:t>
            </w:r>
          </w:p>
        </w:tc>
        <w:tc>
          <w:tcPr>
            <w:tcW w:w="680" w:type="dxa"/>
          </w:tcPr>
          <w:p w14:paraId="3FA61BD3" w14:textId="796DC1BB"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-2,1</w:t>
            </w:r>
          </w:p>
        </w:tc>
        <w:tc>
          <w:tcPr>
            <w:tcW w:w="680" w:type="dxa"/>
          </w:tcPr>
          <w:p w14:paraId="6286313C" w14:textId="6A3F6D39"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-0,8</w:t>
            </w:r>
          </w:p>
        </w:tc>
        <w:tc>
          <w:tcPr>
            <w:tcW w:w="680" w:type="dxa"/>
          </w:tcPr>
          <w:p w14:paraId="511BC4DB" w14:textId="341B48F8"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0,3</w:t>
            </w:r>
          </w:p>
        </w:tc>
        <w:tc>
          <w:tcPr>
            <w:tcW w:w="680" w:type="dxa"/>
          </w:tcPr>
          <w:p w14:paraId="315BDB47" w14:textId="2F97B388"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-1,3</w:t>
            </w:r>
          </w:p>
        </w:tc>
        <w:tc>
          <w:tcPr>
            <w:tcW w:w="684" w:type="dxa"/>
          </w:tcPr>
          <w:p w14:paraId="4C837B8E" w14:textId="4BA6A52B"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auto"/>
                <w:sz w:val="16"/>
                <w:szCs w:val="16"/>
              </w:rPr>
            </w:pPr>
            <w:r w:rsidRPr="00805D3C">
              <w:rPr>
                <w:rFonts w:cs="Times New Roman"/>
                <w:color w:val="auto"/>
                <w:sz w:val="16"/>
                <w:szCs w:val="16"/>
              </w:rPr>
              <w:t>-0,6</w:t>
            </w:r>
          </w:p>
        </w:tc>
        <w:tc>
          <w:tcPr>
            <w:tcW w:w="850" w:type="dxa"/>
          </w:tcPr>
          <w:p w14:paraId="205714BC" w14:textId="554D5F29"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auto"/>
                <w:sz w:val="16"/>
                <w:szCs w:val="16"/>
              </w:rPr>
            </w:pPr>
            <w:r w:rsidRPr="00805D3C">
              <w:rPr>
                <w:rFonts w:cs="Times New Roman"/>
                <w:color w:val="auto"/>
                <w:sz w:val="16"/>
                <w:szCs w:val="16"/>
              </w:rPr>
              <w:t>-0,1</w:t>
            </w:r>
          </w:p>
        </w:tc>
      </w:tr>
      <w:tr w:rsidR="00805D3C" w:rsidRPr="00805D3C" w14:paraId="5EC25BA5" w14:textId="47C33B73" w:rsidTr="0008652D">
        <w:trPr>
          <w:cnfStyle w:val="000000100000" w:firstRow="0" w:lastRow="0" w:firstColumn="0" w:lastColumn="0" w:oddVBand="0" w:evenVBand="0" w:oddHBand="1" w:evenHBand="0" w:firstRowFirstColumn="0" w:firstRowLastColumn="0" w:lastRowFirstColumn="0" w:lastRowLastColumn="0"/>
          <w:trHeight w:val="686"/>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64DE81F9"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3.</w:t>
            </w:r>
          </w:p>
          <w:p w14:paraId="472D0D71"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(1.×2.)</w:t>
            </w:r>
          </w:p>
        </w:tc>
        <w:tc>
          <w:tcPr>
            <w:tcW w:w="1418" w:type="dxa"/>
            <w:hideMark/>
          </w:tcPr>
          <w:p w14:paraId="266975AE" w14:textId="77777777" w:rsidR="00805D3C" w:rsidRPr="002E0152" w:rsidRDefault="00805D3C" w:rsidP="00805D3C">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2E0152">
              <w:rPr>
                <w:rFonts w:eastAsia="Times New Roman" w:cs="Times New Roman"/>
                <w:color w:val="auto"/>
                <w:sz w:val="18"/>
                <w:szCs w:val="18"/>
                <w:lang w:eastAsia="lv-LV"/>
              </w:rPr>
              <w:t xml:space="preserve">Faktiskā vispārējās valdības budžeta strukturālā bilance, milj. </w:t>
            </w:r>
            <w:proofErr w:type="spellStart"/>
            <w:r w:rsidRPr="002E0152">
              <w:rPr>
                <w:rFonts w:eastAsia="Times New Roman" w:cs="Times New Roman"/>
                <w:i/>
                <w:iCs/>
                <w:color w:val="auto"/>
                <w:sz w:val="18"/>
                <w:szCs w:val="18"/>
                <w:lang w:eastAsia="lv-LV"/>
              </w:rPr>
              <w:t>euro</w:t>
            </w:r>
            <w:proofErr w:type="spellEnd"/>
          </w:p>
        </w:tc>
        <w:tc>
          <w:tcPr>
            <w:tcW w:w="680" w:type="dxa"/>
          </w:tcPr>
          <w:p w14:paraId="36D44E95" w14:textId="3F467CB5"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-66,3</w:t>
            </w:r>
          </w:p>
        </w:tc>
        <w:tc>
          <w:tcPr>
            <w:tcW w:w="680" w:type="dxa"/>
          </w:tcPr>
          <w:p w14:paraId="09D770B7" w14:textId="22A7F3B9"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-185,2</w:t>
            </w:r>
          </w:p>
        </w:tc>
        <w:tc>
          <w:tcPr>
            <w:tcW w:w="680" w:type="dxa"/>
          </w:tcPr>
          <w:p w14:paraId="290BD401" w14:textId="7B034828"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-345,3</w:t>
            </w:r>
          </w:p>
        </w:tc>
        <w:tc>
          <w:tcPr>
            <w:tcW w:w="680" w:type="dxa"/>
          </w:tcPr>
          <w:p w14:paraId="45D0F4B1" w14:textId="7A3FE5E8"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-95,8</w:t>
            </w:r>
          </w:p>
        </w:tc>
        <w:tc>
          <w:tcPr>
            <w:tcW w:w="680" w:type="dxa"/>
          </w:tcPr>
          <w:p w14:paraId="7C480B54" w14:textId="13D09EC3"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-258,6</w:t>
            </w:r>
          </w:p>
        </w:tc>
        <w:tc>
          <w:tcPr>
            <w:tcW w:w="680" w:type="dxa"/>
          </w:tcPr>
          <w:p w14:paraId="72E79E55" w14:textId="29E75548"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-604,2</w:t>
            </w:r>
          </w:p>
        </w:tc>
        <w:tc>
          <w:tcPr>
            <w:tcW w:w="680" w:type="dxa"/>
          </w:tcPr>
          <w:p w14:paraId="3AB216CB" w14:textId="10413D9B"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-234,0</w:t>
            </w:r>
          </w:p>
        </w:tc>
        <w:tc>
          <w:tcPr>
            <w:tcW w:w="680" w:type="dxa"/>
          </w:tcPr>
          <w:p w14:paraId="5D214395" w14:textId="3D03EA8E"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77,9</w:t>
            </w:r>
          </w:p>
        </w:tc>
        <w:tc>
          <w:tcPr>
            <w:tcW w:w="680" w:type="dxa"/>
          </w:tcPr>
          <w:p w14:paraId="602AA32A" w14:textId="66A8BC03"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-449,6</w:t>
            </w:r>
          </w:p>
        </w:tc>
        <w:tc>
          <w:tcPr>
            <w:tcW w:w="684" w:type="dxa"/>
          </w:tcPr>
          <w:p w14:paraId="7117BB68" w14:textId="5D940617"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6"/>
                <w:szCs w:val="16"/>
              </w:rPr>
            </w:pPr>
            <w:r w:rsidRPr="00805D3C">
              <w:rPr>
                <w:rFonts w:cs="Times New Roman"/>
                <w:color w:val="auto"/>
                <w:sz w:val="16"/>
                <w:szCs w:val="16"/>
              </w:rPr>
              <w:t>-214,2</w:t>
            </w:r>
          </w:p>
        </w:tc>
        <w:tc>
          <w:tcPr>
            <w:tcW w:w="850" w:type="dxa"/>
          </w:tcPr>
          <w:p w14:paraId="27CC8BBD" w14:textId="1B3E702D"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6"/>
                <w:szCs w:val="16"/>
              </w:rPr>
            </w:pPr>
            <w:r w:rsidRPr="00805D3C">
              <w:rPr>
                <w:rFonts w:cs="Times New Roman"/>
                <w:color w:val="auto"/>
                <w:sz w:val="16"/>
                <w:szCs w:val="16"/>
              </w:rPr>
              <w:t>-40,6</w:t>
            </w:r>
          </w:p>
        </w:tc>
      </w:tr>
      <w:tr w:rsidR="00805D3C" w:rsidRPr="00805D3C" w14:paraId="36105886" w14:textId="6D1986C8" w:rsidTr="0008652D">
        <w:trPr>
          <w:trHeight w:val="686"/>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6142BD87"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4</w:t>
            </w:r>
          </w:p>
        </w:tc>
        <w:tc>
          <w:tcPr>
            <w:tcW w:w="1418" w:type="dxa"/>
            <w:hideMark/>
          </w:tcPr>
          <w:p w14:paraId="586DD628" w14:textId="77777777" w:rsidR="00805D3C" w:rsidRPr="002E0152" w:rsidRDefault="00805D3C" w:rsidP="00805D3C">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2E0152">
              <w:rPr>
                <w:rFonts w:eastAsia="Times New Roman" w:cs="Times New Roman"/>
                <w:color w:val="auto"/>
                <w:sz w:val="18"/>
                <w:szCs w:val="18"/>
                <w:lang w:eastAsia="lv-LV"/>
              </w:rPr>
              <w:t>Minimālā plānojamā vispārējās valdības budžeta strukturālā bilance, % no IKP</w:t>
            </w:r>
          </w:p>
        </w:tc>
        <w:tc>
          <w:tcPr>
            <w:tcW w:w="680" w:type="dxa"/>
          </w:tcPr>
          <w:p w14:paraId="08BDAEE0" w14:textId="64F6FC70"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-1,3</w:t>
            </w:r>
          </w:p>
        </w:tc>
        <w:tc>
          <w:tcPr>
            <w:tcW w:w="680" w:type="dxa"/>
          </w:tcPr>
          <w:p w14:paraId="6FEA81E4" w14:textId="7F1C295D"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-1,0</w:t>
            </w:r>
          </w:p>
        </w:tc>
        <w:tc>
          <w:tcPr>
            <w:tcW w:w="680" w:type="dxa"/>
          </w:tcPr>
          <w:p w14:paraId="128602B7" w14:textId="217AC3CC"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-1,0</w:t>
            </w:r>
          </w:p>
        </w:tc>
        <w:tc>
          <w:tcPr>
            <w:tcW w:w="680" w:type="dxa"/>
          </w:tcPr>
          <w:p w14:paraId="3A22D5C3" w14:textId="51F44FD0"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-0,9</w:t>
            </w:r>
          </w:p>
        </w:tc>
        <w:tc>
          <w:tcPr>
            <w:tcW w:w="680" w:type="dxa"/>
          </w:tcPr>
          <w:p w14:paraId="656F64EB" w14:textId="2DBA7989"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-1,0</w:t>
            </w:r>
          </w:p>
        </w:tc>
        <w:tc>
          <w:tcPr>
            <w:tcW w:w="680" w:type="dxa"/>
          </w:tcPr>
          <w:p w14:paraId="7D7F655B" w14:textId="4320BF16"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-1,2</w:t>
            </w:r>
          </w:p>
        </w:tc>
        <w:tc>
          <w:tcPr>
            <w:tcW w:w="680" w:type="dxa"/>
          </w:tcPr>
          <w:p w14:paraId="1B605A08" w14:textId="399A1588"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-0,6</w:t>
            </w:r>
          </w:p>
        </w:tc>
        <w:tc>
          <w:tcPr>
            <w:tcW w:w="680" w:type="dxa"/>
          </w:tcPr>
          <w:p w14:paraId="5A6AB60D" w14:textId="0BF5E819"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-0,5</w:t>
            </w:r>
          </w:p>
        </w:tc>
        <w:tc>
          <w:tcPr>
            <w:tcW w:w="680" w:type="dxa"/>
          </w:tcPr>
          <w:p w14:paraId="4AD7060F" w14:textId="3DC24032"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-1,6</w:t>
            </w:r>
          </w:p>
        </w:tc>
        <w:tc>
          <w:tcPr>
            <w:tcW w:w="684" w:type="dxa"/>
          </w:tcPr>
          <w:p w14:paraId="051C2F10" w14:textId="6025A0C5"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auto"/>
                <w:sz w:val="16"/>
                <w:szCs w:val="16"/>
              </w:rPr>
            </w:pPr>
            <w:r w:rsidRPr="00805D3C">
              <w:rPr>
                <w:rFonts w:cs="Times New Roman"/>
                <w:color w:val="auto"/>
                <w:sz w:val="16"/>
                <w:szCs w:val="16"/>
              </w:rPr>
              <w:t>-4,0</w:t>
            </w:r>
          </w:p>
        </w:tc>
        <w:tc>
          <w:tcPr>
            <w:tcW w:w="850" w:type="dxa"/>
          </w:tcPr>
          <w:p w14:paraId="07549E8C" w14:textId="43BA1622"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auto"/>
                <w:sz w:val="16"/>
                <w:szCs w:val="16"/>
              </w:rPr>
            </w:pPr>
            <w:r w:rsidRPr="00805D3C">
              <w:rPr>
                <w:rFonts w:cs="Times New Roman"/>
                <w:color w:val="auto"/>
                <w:sz w:val="16"/>
                <w:szCs w:val="16"/>
              </w:rPr>
              <w:t>-0,5</w:t>
            </w:r>
          </w:p>
        </w:tc>
      </w:tr>
      <w:tr w:rsidR="00805D3C" w:rsidRPr="00805D3C" w14:paraId="00B4846C" w14:textId="545305F3" w:rsidTr="0008652D">
        <w:trPr>
          <w:cnfStyle w:val="000000100000" w:firstRow="0" w:lastRow="0" w:firstColumn="0" w:lastColumn="0" w:oddVBand="0" w:evenVBand="0" w:oddHBand="1" w:evenHBand="0" w:firstRowFirstColumn="0" w:firstRowLastColumn="0" w:lastRowFirstColumn="0" w:lastRowLastColumn="0"/>
          <w:trHeight w:val="686"/>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2C20D5D0"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5.</w:t>
            </w:r>
          </w:p>
          <w:p w14:paraId="02B74AD5"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(1.×4.)</w:t>
            </w:r>
          </w:p>
        </w:tc>
        <w:tc>
          <w:tcPr>
            <w:tcW w:w="1418" w:type="dxa"/>
            <w:hideMark/>
          </w:tcPr>
          <w:p w14:paraId="4CBE7EAE" w14:textId="77777777" w:rsidR="00805D3C" w:rsidRPr="002E0152" w:rsidRDefault="00805D3C" w:rsidP="00805D3C">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2E0152">
              <w:rPr>
                <w:rFonts w:eastAsia="Times New Roman" w:cs="Times New Roman"/>
                <w:color w:val="auto"/>
                <w:sz w:val="18"/>
                <w:szCs w:val="18"/>
                <w:lang w:eastAsia="lv-LV"/>
              </w:rPr>
              <w:t xml:space="preserve">Minimālā plānojamā vispārējās valdības budžeta strukturālā bilance, milj. </w:t>
            </w:r>
            <w:proofErr w:type="spellStart"/>
            <w:r w:rsidRPr="002E0152">
              <w:rPr>
                <w:rFonts w:eastAsia="Times New Roman" w:cs="Times New Roman"/>
                <w:i/>
                <w:iCs/>
                <w:color w:val="auto"/>
                <w:sz w:val="18"/>
                <w:szCs w:val="18"/>
                <w:lang w:eastAsia="lv-LV"/>
              </w:rPr>
              <w:t>euro</w:t>
            </w:r>
            <w:proofErr w:type="spellEnd"/>
          </w:p>
        </w:tc>
        <w:tc>
          <w:tcPr>
            <w:tcW w:w="680" w:type="dxa"/>
          </w:tcPr>
          <w:p w14:paraId="430EC6FC" w14:textId="1656BD06"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-295,7</w:t>
            </w:r>
          </w:p>
        </w:tc>
        <w:tc>
          <w:tcPr>
            <w:tcW w:w="680" w:type="dxa"/>
          </w:tcPr>
          <w:p w14:paraId="28F48000" w14:textId="0C7B212B"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-236,3</w:t>
            </w:r>
          </w:p>
        </w:tc>
        <w:tc>
          <w:tcPr>
            <w:tcW w:w="680" w:type="dxa"/>
          </w:tcPr>
          <w:p w14:paraId="46DF3A4B" w14:textId="1E10CDCA"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-245,7</w:t>
            </w:r>
          </w:p>
        </w:tc>
        <w:tc>
          <w:tcPr>
            <w:tcW w:w="680" w:type="dxa"/>
          </w:tcPr>
          <w:p w14:paraId="7CCC3538" w14:textId="4FB69B82"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-228,3</w:t>
            </w:r>
          </w:p>
        </w:tc>
        <w:tc>
          <w:tcPr>
            <w:tcW w:w="680" w:type="dxa"/>
          </w:tcPr>
          <w:p w14:paraId="4122ADB7" w14:textId="4EA26D31"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-269,8</w:t>
            </w:r>
          </w:p>
        </w:tc>
        <w:tc>
          <w:tcPr>
            <w:tcW w:w="680" w:type="dxa"/>
          </w:tcPr>
          <w:p w14:paraId="6A6F0F6F" w14:textId="6C73FF3B"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-349,8</w:t>
            </w:r>
          </w:p>
        </w:tc>
        <w:tc>
          <w:tcPr>
            <w:tcW w:w="680" w:type="dxa"/>
          </w:tcPr>
          <w:p w14:paraId="41AFF9E1" w14:textId="3777BD73"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-173,2</w:t>
            </w:r>
          </w:p>
        </w:tc>
        <w:tc>
          <w:tcPr>
            <w:tcW w:w="680" w:type="dxa"/>
          </w:tcPr>
          <w:p w14:paraId="1711FD70" w14:textId="63719CEC"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-140,0</w:t>
            </w:r>
          </w:p>
        </w:tc>
        <w:tc>
          <w:tcPr>
            <w:tcW w:w="680" w:type="dxa"/>
          </w:tcPr>
          <w:p w14:paraId="28347D38" w14:textId="7D752175"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-537,2</w:t>
            </w:r>
          </w:p>
        </w:tc>
        <w:tc>
          <w:tcPr>
            <w:tcW w:w="684" w:type="dxa"/>
          </w:tcPr>
          <w:p w14:paraId="0D74A335" w14:textId="15E5EC89"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4"/>
                <w:szCs w:val="14"/>
              </w:rPr>
            </w:pPr>
            <w:r w:rsidRPr="00805D3C">
              <w:rPr>
                <w:rFonts w:cs="Times New Roman"/>
                <w:color w:val="auto"/>
                <w:sz w:val="14"/>
                <w:szCs w:val="14"/>
              </w:rPr>
              <w:t>-1 541,0</w:t>
            </w:r>
          </w:p>
        </w:tc>
        <w:tc>
          <w:tcPr>
            <w:tcW w:w="850" w:type="dxa"/>
          </w:tcPr>
          <w:p w14:paraId="101811BF" w14:textId="6D41F44D"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6"/>
                <w:szCs w:val="16"/>
              </w:rPr>
            </w:pPr>
            <w:r w:rsidRPr="00805D3C">
              <w:rPr>
                <w:rFonts w:cs="Times New Roman"/>
                <w:color w:val="auto"/>
                <w:sz w:val="16"/>
                <w:szCs w:val="16"/>
              </w:rPr>
              <w:t>-201,7</w:t>
            </w:r>
          </w:p>
        </w:tc>
      </w:tr>
      <w:tr w:rsidR="00805D3C" w:rsidRPr="00805D3C" w14:paraId="7CEE7A84" w14:textId="066D9765" w:rsidTr="0008652D">
        <w:trPr>
          <w:trHeight w:val="460"/>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2848C3C1"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6.</w:t>
            </w:r>
          </w:p>
          <w:p w14:paraId="0A8A9683"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(3.-5.)</w:t>
            </w:r>
          </w:p>
        </w:tc>
        <w:tc>
          <w:tcPr>
            <w:tcW w:w="1418" w:type="dxa"/>
            <w:hideMark/>
          </w:tcPr>
          <w:p w14:paraId="01BCE4F1" w14:textId="77777777" w:rsidR="00805D3C" w:rsidRPr="002E0152" w:rsidRDefault="00805D3C" w:rsidP="00805D3C">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2E0152">
              <w:rPr>
                <w:rFonts w:eastAsia="Times New Roman" w:cs="Times New Roman"/>
                <w:color w:val="auto"/>
                <w:sz w:val="18"/>
                <w:szCs w:val="18"/>
                <w:lang w:eastAsia="lv-LV"/>
              </w:rPr>
              <w:t xml:space="preserve">Saimnieciskā gada bilanču starpība, milj. </w:t>
            </w:r>
            <w:proofErr w:type="spellStart"/>
            <w:r w:rsidRPr="002E0152">
              <w:rPr>
                <w:rFonts w:eastAsia="Times New Roman" w:cs="Times New Roman"/>
                <w:i/>
                <w:iCs/>
                <w:color w:val="auto"/>
                <w:sz w:val="18"/>
                <w:szCs w:val="18"/>
                <w:lang w:eastAsia="lv-LV"/>
              </w:rPr>
              <w:t>euro</w:t>
            </w:r>
            <w:proofErr w:type="spellEnd"/>
            <w:r w:rsidRPr="002E0152">
              <w:rPr>
                <w:rFonts w:eastAsia="Times New Roman" w:cs="Times New Roman"/>
                <w:color w:val="auto"/>
                <w:sz w:val="18"/>
                <w:szCs w:val="18"/>
                <w:lang w:eastAsia="lv-LV"/>
              </w:rPr>
              <w:t xml:space="preserve"> </w:t>
            </w:r>
          </w:p>
        </w:tc>
        <w:tc>
          <w:tcPr>
            <w:tcW w:w="680" w:type="dxa"/>
          </w:tcPr>
          <w:p w14:paraId="46A79601" w14:textId="1BCB3884"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229,4</w:t>
            </w:r>
          </w:p>
        </w:tc>
        <w:tc>
          <w:tcPr>
            <w:tcW w:w="680" w:type="dxa"/>
          </w:tcPr>
          <w:p w14:paraId="26327926" w14:textId="6D157D7B"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51,0</w:t>
            </w:r>
          </w:p>
        </w:tc>
        <w:tc>
          <w:tcPr>
            <w:tcW w:w="680" w:type="dxa"/>
          </w:tcPr>
          <w:p w14:paraId="795E7241" w14:textId="64B4610B"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-99,6</w:t>
            </w:r>
          </w:p>
        </w:tc>
        <w:tc>
          <w:tcPr>
            <w:tcW w:w="680" w:type="dxa"/>
          </w:tcPr>
          <w:p w14:paraId="37522472" w14:textId="33B321F7"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132,6</w:t>
            </w:r>
          </w:p>
        </w:tc>
        <w:tc>
          <w:tcPr>
            <w:tcW w:w="680" w:type="dxa"/>
          </w:tcPr>
          <w:p w14:paraId="654CF491" w14:textId="5807709C"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11,3</w:t>
            </w:r>
          </w:p>
        </w:tc>
        <w:tc>
          <w:tcPr>
            <w:tcW w:w="680" w:type="dxa"/>
          </w:tcPr>
          <w:p w14:paraId="544F3FA2" w14:textId="02B47D8B"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-254,3</w:t>
            </w:r>
          </w:p>
        </w:tc>
        <w:tc>
          <w:tcPr>
            <w:tcW w:w="680" w:type="dxa"/>
          </w:tcPr>
          <w:p w14:paraId="7F490556" w14:textId="12A01B30"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-60,8</w:t>
            </w:r>
          </w:p>
        </w:tc>
        <w:tc>
          <w:tcPr>
            <w:tcW w:w="680" w:type="dxa"/>
          </w:tcPr>
          <w:p w14:paraId="2F5EAC21" w14:textId="5E840291"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217,8</w:t>
            </w:r>
          </w:p>
        </w:tc>
        <w:tc>
          <w:tcPr>
            <w:tcW w:w="680" w:type="dxa"/>
          </w:tcPr>
          <w:p w14:paraId="5DFE3971" w14:textId="423DCA53"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87,6</w:t>
            </w:r>
          </w:p>
        </w:tc>
        <w:tc>
          <w:tcPr>
            <w:tcW w:w="684" w:type="dxa"/>
          </w:tcPr>
          <w:p w14:paraId="4E7DA8FD" w14:textId="0879BC7F"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4"/>
                <w:szCs w:val="14"/>
              </w:rPr>
            </w:pPr>
            <w:r w:rsidRPr="00805D3C">
              <w:rPr>
                <w:rFonts w:cs="Times New Roman"/>
                <w:color w:val="auto"/>
                <w:sz w:val="14"/>
                <w:szCs w:val="14"/>
              </w:rPr>
              <w:t>1 326,8</w:t>
            </w:r>
          </w:p>
        </w:tc>
        <w:tc>
          <w:tcPr>
            <w:tcW w:w="850" w:type="dxa"/>
          </w:tcPr>
          <w:p w14:paraId="3555AA5A" w14:textId="760D4C5E"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6"/>
                <w:szCs w:val="16"/>
              </w:rPr>
            </w:pPr>
            <w:r w:rsidRPr="00805D3C">
              <w:rPr>
                <w:rFonts w:cs="Times New Roman"/>
                <w:color w:val="auto"/>
                <w:sz w:val="16"/>
                <w:szCs w:val="16"/>
              </w:rPr>
              <w:t>161,1</w:t>
            </w:r>
          </w:p>
        </w:tc>
      </w:tr>
      <w:tr w:rsidR="00805D3C" w:rsidRPr="00805D3C" w14:paraId="0651AC0C" w14:textId="3274FC10" w:rsidTr="0008652D">
        <w:trPr>
          <w:cnfStyle w:val="000000100000" w:firstRow="0" w:lastRow="0" w:firstColumn="0" w:lastColumn="0" w:oddVBand="0" w:evenVBand="0" w:oddHBand="1"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63DF0B51"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7.</w:t>
            </w:r>
          </w:p>
          <w:p w14:paraId="7EC21BE2"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((6.:1.)</w:t>
            </w:r>
          </w:p>
          <w:p w14:paraId="77B497CC"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×100)</w:t>
            </w:r>
          </w:p>
        </w:tc>
        <w:tc>
          <w:tcPr>
            <w:tcW w:w="1418" w:type="dxa"/>
            <w:hideMark/>
          </w:tcPr>
          <w:p w14:paraId="6630601F" w14:textId="77777777" w:rsidR="00805D3C" w:rsidRPr="002E0152" w:rsidRDefault="00805D3C" w:rsidP="00805D3C">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2E0152">
              <w:rPr>
                <w:rFonts w:eastAsia="Times New Roman" w:cs="Times New Roman"/>
                <w:color w:val="auto"/>
                <w:sz w:val="18"/>
                <w:szCs w:val="18"/>
                <w:lang w:eastAsia="lv-LV"/>
              </w:rPr>
              <w:t xml:space="preserve">Saimnieciskā gada bilanču </w:t>
            </w:r>
            <w:r w:rsidRPr="002E0152">
              <w:rPr>
                <w:rFonts w:eastAsia="Times New Roman" w:cs="Times New Roman"/>
                <w:color w:val="auto"/>
                <w:sz w:val="18"/>
                <w:szCs w:val="18"/>
                <w:lang w:eastAsia="lv-LV"/>
              </w:rPr>
              <w:lastRenderedPageBreak/>
              <w:t>starpība, % no IKP</w:t>
            </w:r>
          </w:p>
        </w:tc>
        <w:tc>
          <w:tcPr>
            <w:tcW w:w="680" w:type="dxa"/>
          </w:tcPr>
          <w:p w14:paraId="68E47E92" w14:textId="2FD30C3B"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lastRenderedPageBreak/>
              <w:t>1,0</w:t>
            </w:r>
          </w:p>
        </w:tc>
        <w:tc>
          <w:tcPr>
            <w:tcW w:w="680" w:type="dxa"/>
          </w:tcPr>
          <w:p w14:paraId="20D883CD" w14:textId="7BA97E45"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0,2</w:t>
            </w:r>
          </w:p>
        </w:tc>
        <w:tc>
          <w:tcPr>
            <w:tcW w:w="680" w:type="dxa"/>
          </w:tcPr>
          <w:p w14:paraId="2D45245E" w14:textId="2492FD74"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-0,4</w:t>
            </w:r>
          </w:p>
        </w:tc>
        <w:tc>
          <w:tcPr>
            <w:tcW w:w="680" w:type="dxa"/>
          </w:tcPr>
          <w:p w14:paraId="5090FC45" w14:textId="7032ED96"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0,5</w:t>
            </w:r>
          </w:p>
        </w:tc>
        <w:tc>
          <w:tcPr>
            <w:tcW w:w="680" w:type="dxa"/>
          </w:tcPr>
          <w:p w14:paraId="652ABFE7" w14:textId="3E8F0BD3"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0,0</w:t>
            </w:r>
          </w:p>
        </w:tc>
        <w:tc>
          <w:tcPr>
            <w:tcW w:w="680" w:type="dxa"/>
          </w:tcPr>
          <w:p w14:paraId="3410DCC8" w14:textId="005287CC"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-0,9</w:t>
            </w:r>
          </w:p>
        </w:tc>
        <w:tc>
          <w:tcPr>
            <w:tcW w:w="680" w:type="dxa"/>
          </w:tcPr>
          <w:p w14:paraId="05F2B2A9" w14:textId="4DCF9952"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-0,2</w:t>
            </w:r>
          </w:p>
        </w:tc>
        <w:tc>
          <w:tcPr>
            <w:tcW w:w="680" w:type="dxa"/>
          </w:tcPr>
          <w:p w14:paraId="4ABCB43E" w14:textId="316CCA29"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0,7</w:t>
            </w:r>
          </w:p>
        </w:tc>
        <w:tc>
          <w:tcPr>
            <w:tcW w:w="680" w:type="dxa"/>
          </w:tcPr>
          <w:p w14:paraId="445B86DD" w14:textId="183E9EBF"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0,3</w:t>
            </w:r>
          </w:p>
        </w:tc>
        <w:tc>
          <w:tcPr>
            <w:tcW w:w="684" w:type="dxa"/>
          </w:tcPr>
          <w:p w14:paraId="45795CB0" w14:textId="44D01E0E"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16"/>
                <w:szCs w:val="16"/>
              </w:rPr>
            </w:pPr>
            <w:r w:rsidRPr="00805D3C">
              <w:rPr>
                <w:rFonts w:cs="Times New Roman"/>
                <w:color w:val="auto"/>
                <w:sz w:val="16"/>
                <w:szCs w:val="16"/>
              </w:rPr>
              <w:t>3,5</w:t>
            </w:r>
          </w:p>
        </w:tc>
        <w:tc>
          <w:tcPr>
            <w:tcW w:w="850" w:type="dxa"/>
          </w:tcPr>
          <w:p w14:paraId="4CF6C296" w14:textId="3826019D"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16"/>
                <w:szCs w:val="16"/>
              </w:rPr>
            </w:pPr>
            <w:r w:rsidRPr="00805D3C">
              <w:rPr>
                <w:rFonts w:cs="Times New Roman"/>
                <w:color w:val="auto"/>
                <w:sz w:val="16"/>
                <w:szCs w:val="16"/>
              </w:rPr>
              <w:t>0,4</w:t>
            </w:r>
          </w:p>
        </w:tc>
      </w:tr>
      <w:tr w:rsidR="00805D3C" w:rsidRPr="00805D3C" w14:paraId="64916E6D" w14:textId="3193C6FD" w:rsidTr="0008652D">
        <w:trPr>
          <w:trHeight w:val="460"/>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06420115"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8.</w:t>
            </w:r>
          </w:p>
          <w:p w14:paraId="2D30495D"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(Σ(6.))</w:t>
            </w:r>
          </w:p>
        </w:tc>
        <w:tc>
          <w:tcPr>
            <w:tcW w:w="1418" w:type="dxa"/>
            <w:hideMark/>
          </w:tcPr>
          <w:p w14:paraId="307B3A3F" w14:textId="77777777" w:rsidR="00805D3C" w:rsidRPr="002E0152" w:rsidRDefault="00805D3C" w:rsidP="00805D3C">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2E0152">
              <w:rPr>
                <w:rFonts w:eastAsia="Times New Roman" w:cs="Times New Roman"/>
                <w:color w:val="auto"/>
                <w:sz w:val="18"/>
                <w:szCs w:val="18"/>
                <w:lang w:eastAsia="lv-LV"/>
              </w:rPr>
              <w:t xml:space="preserve">Uzkrāto bilanču starpības summa (kumulatīvi), milj. </w:t>
            </w:r>
            <w:proofErr w:type="spellStart"/>
            <w:r w:rsidRPr="002E0152">
              <w:rPr>
                <w:rFonts w:eastAsia="Times New Roman" w:cs="Times New Roman"/>
                <w:i/>
                <w:iCs/>
                <w:color w:val="auto"/>
                <w:sz w:val="18"/>
                <w:szCs w:val="18"/>
                <w:lang w:eastAsia="lv-LV"/>
              </w:rPr>
              <w:t>euro</w:t>
            </w:r>
            <w:proofErr w:type="spellEnd"/>
            <w:r w:rsidRPr="002E0152">
              <w:rPr>
                <w:rFonts w:eastAsia="Times New Roman" w:cs="Times New Roman"/>
                <w:i/>
                <w:iCs/>
                <w:color w:val="auto"/>
                <w:sz w:val="18"/>
                <w:szCs w:val="18"/>
                <w:lang w:eastAsia="lv-LV"/>
              </w:rPr>
              <w:t xml:space="preserve"> </w:t>
            </w:r>
          </w:p>
        </w:tc>
        <w:tc>
          <w:tcPr>
            <w:tcW w:w="680" w:type="dxa"/>
          </w:tcPr>
          <w:p w14:paraId="027644FA" w14:textId="4098134A"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229,4</w:t>
            </w:r>
          </w:p>
        </w:tc>
        <w:tc>
          <w:tcPr>
            <w:tcW w:w="680" w:type="dxa"/>
          </w:tcPr>
          <w:p w14:paraId="0E40E63E" w14:textId="2AEE659F"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280,5</w:t>
            </w:r>
          </w:p>
        </w:tc>
        <w:tc>
          <w:tcPr>
            <w:tcW w:w="680" w:type="dxa"/>
          </w:tcPr>
          <w:p w14:paraId="6ACD8D93" w14:textId="78959A9E"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180,9</w:t>
            </w:r>
          </w:p>
        </w:tc>
        <w:tc>
          <w:tcPr>
            <w:tcW w:w="680" w:type="dxa"/>
          </w:tcPr>
          <w:p w14:paraId="6ABD21F5" w14:textId="6C220D29"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313,4</w:t>
            </w:r>
          </w:p>
        </w:tc>
        <w:tc>
          <w:tcPr>
            <w:tcW w:w="680" w:type="dxa"/>
          </w:tcPr>
          <w:p w14:paraId="74CCA106" w14:textId="02C1BA53"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324,7</w:t>
            </w:r>
          </w:p>
        </w:tc>
        <w:tc>
          <w:tcPr>
            <w:tcW w:w="680" w:type="dxa"/>
          </w:tcPr>
          <w:p w14:paraId="694A4808" w14:textId="2233D234"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70,4</w:t>
            </w:r>
          </w:p>
        </w:tc>
        <w:tc>
          <w:tcPr>
            <w:tcW w:w="680" w:type="dxa"/>
          </w:tcPr>
          <w:p w14:paraId="61BA47A0" w14:textId="4919D761"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9,6</w:t>
            </w:r>
          </w:p>
        </w:tc>
        <w:tc>
          <w:tcPr>
            <w:tcW w:w="680" w:type="dxa"/>
          </w:tcPr>
          <w:p w14:paraId="425AB478" w14:textId="64EACBC2"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227,4</w:t>
            </w:r>
          </w:p>
        </w:tc>
        <w:tc>
          <w:tcPr>
            <w:tcW w:w="680" w:type="dxa"/>
          </w:tcPr>
          <w:p w14:paraId="2CCA364A" w14:textId="3D37C137"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315,1</w:t>
            </w:r>
          </w:p>
        </w:tc>
        <w:tc>
          <w:tcPr>
            <w:tcW w:w="684" w:type="dxa"/>
          </w:tcPr>
          <w:p w14:paraId="11D98EB4" w14:textId="4E4399C9"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4"/>
                <w:szCs w:val="14"/>
              </w:rPr>
            </w:pPr>
            <w:r w:rsidRPr="00805D3C">
              <w:rPr>
                <w:rFonts w:cs="Times New Roman"/>
                <w:color w:val="auto"/>
                <w:sz w:val="14"/>
                <w:szCs w:val="14"/>
              </w:rPr>
              <w:t>1 641,9</w:t>
            </w:r>
          </w:p>
        </w:tc>
        <w:tc>
          <w:tcPr>
            <w:tcW w:w="850" w:type="dxa"/>
          </w:tcPr>
          <w:p w14:paraId="0D45B13A" w14:textId="5DF53355"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4"/>
                <w:szCs w:val="14"/>
              </w:rPr>
            </w:pPr>
            <w:r w:rsidRPr="00805D3C">
              <w:rPr>
                <w:rFonts w:cs="Times New Roman"/>
                <w:color w:val="auto"/>
                <w:sz w:val="14"/>
                <w:szCs w:val="14"/>
              </w:rPr>
              <w:t>1 803,0</w:t>
            </w:r>
          </w:p>
        </w:tc>
      </w:tr>
      <w:tr w:rsidR="00805D3C" w:rsidRPr="00805D3C" w14:paraId="193BD536" w14:textId="45ACC554" w:rsidTr="0008652D">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3A46389E"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9.</w:t>
            </w:r>
          </w:p>
          <w:p w14:paraId="32F6EA41"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((8./1.)</w:t>
            </w:r>
          </w:p>
          <w:p w14:paraId="458585D2"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×100)</w:t>
            </w:r>
          </w:p>
        </w:tc>
        <w:tc>
          <w:tcPr>
            <w:tcW w:w="1418" w:type="dxa"/>
            <w:hideMark/>
          </w:tcPr>
          <w:p w14:paraId="2E6BAAB2" w14:textId="77777777" w:rsidR="00805D3C" w:rsidRPr="002E0152" w:rsidRDefault="00805D3C" w:rsidP="00805D3C">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2E0152">
              <w:rPr>
                <w:rFonts w:eastAsia="Times New Roman" w:cs="Times New Roman"/>
                <w:color w:val="auto"/>
                <w:sz w:val="18"/>
                <w:szCs w:val="18"/>
                <w:lang w:eastAsia="lv-LV"/>
              </w:rPr>
              <w:t>Uzkrāto bilanču starpības summa, % no IKP</w:t>
            </w:r>
          </w:p>
        </w:tc>
        <w:tc>
          <w:tcPr>
            <w:tcW w:w="680" w:type="dxa"/>
          </w:tcPr>
          <w:p w14:paraId="73804D98" w14:textId="1AAFD8D3"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1,0</w:t>
            </w:r>
          </w:p>
        </w:tc>
        <w:tc>
          <w:tcPr>
            <w:tcW w:w="680" w:type="dxa"/>
          </w:tcPr>
          <w:p w14:paraId="1C2DC5BE" w14:textId="017AB0A4"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1,2</w:t>
            </w:r>
          </w:p>
        </w:tc>
        <w:tc>
          <w:tcPr>
            <w:tcW w:w="680" w:type="dxa"/>
          </w:tcPr>
          <w:p w14:paraId="2307D7E0" w14:textId="0D176962"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0,7</w:t>
            </w:r>
          </w:p>
        </w:tc>
        <w:tc>
          <w:tcPr>
            <w:tcW w:w="680" w:type="dxa"/>
          </w:tcPr>
          <w:p w14:paraId="7EF17BA5" w14:textId="6D4D4568"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1,2</w:t>
            </w:r>
          </w:p>
        </w:tc>
        <w:tc>
          <w:tcPr>
            <w:tcW w:w="680" w:type="dxa"/>
          </w:tcPr>
          <w:p w14:paraId="11216FE4" w14:textId="09F8D29D"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1,2</w:t>
            </w:r>
          </w:p>
        </w:tc>
        <w:tc>
          <w:tcPr>
            <w:tcW w:w="680" w:type="dxa"/>
          </w:tcPr>
          <w:p w14:paraId="4ACE368C" w14:textId="0BFC1665"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0,2</w:t>
            </w:r>
          </w:p>
        </w:tc>
        <w:tc>
          <w:tcPr>
            <w:tcW w:w="680" w:type="dxa"/>
          </w:tcPr>
          <w:p w14:paraId="640F85F4" w14:textId="08528270"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0,0</w:t>
            </w:r>
          </w:p>
        </w:tc>
        <w:tc>
          <w:tcPr>
            <w:tcW w:w="680" w:type="dxa"/>
          </w:tcPr>
          <w:p w14:paraId="4292CD76" w14:textId="4818423A"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0,8</w:t>
            </w:r>
          </w:p>
        </w:tc>
        <w:tc>
          <w:tcPr>
            <w:tcW w:w="680" w:type="dxa"/>
          </w:tcPr>
          <w:p w14:paraId="14E11052" w14:textId="68F97126"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r w:rsidRPr="00805D3C">
              <w:rPr>
                <w:rFonts w:cs="Times New Roman"/>
                <w:color w:val="auto"/>
                <w:sz w:val="16"/>
                <w:szCs w:val="16"/>
              </w:rPr>
              <w:t>0,9</w:t>
            </w:r>
          </w:p>
        </w:tc>
        <w:tc>
          <w:tcPr>
            <w:tcW w:w="684" w:type="dxa"/>
          </w:tcPr>
          <w:p w14:paraId="71DF9822" w14:textId="155D5D05"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6"/>
                <w:szCs w:val="16"/>
              </w:rPr>
            </w:pPr>
            <w:r w:rsidRPr="00805D3C">
              <w:rPr>
                <w:rFonts w:cs="Times New Roman"/>
                <w:color w:val="auto"/>
                <w:sz w:val="16"/>
                <w:szCs w:val="16"/>
              </w:rPr>
              <w:t>4,3</w:t>
            </w:r>
          </w:p>
        </w:tc>
        <w:tc>
          <w:tcPr>
            <w:tcW w:w="850" w:type="dxa"/>
          </w:tcPr>
          <w:p w14:paraId="101AF764" w14:textId="07F2192B"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16"/>
                <w:szCs w:val="16"/>
              </w:rPr>
            </w:pPr>
            <w:r w:rsidRPr="00805D3C">
              <w:rPr>
                <w:rFonts w:cs="Times New Roman"/>
                <w:b/>
                <w:bCs/>
                <w:color w:val="auto"/>
                <w:sz w:val="16"/>
                <w:szCs w:val="16"/>
              </w:rPr>
              <w:t>4,5</w:t>
            </w:r>
          </w:p>
        </w:tc>
      </w:tr>
      <w:tr w:rsidR="00805D3C" w:rsidRPr="00805D3C" w14:paraId="5E02E53D" w14:textId="759182EE" w:rsidTr="0008652D">
        <w:trPr>
          <w:trHeight w:val="460"/>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276F2DAB"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10</w:t>
            </w:r>
          </w:p>
        </w:tc>
        <w:tc>
          <w:tcPr>
            <w:tcW w:w="1418" w:type="dxa"/>
            <w:hideMark/>
          </w:tcPr>
          <w:p w14:paraId="6F37C3AC" w14:textId="77777777" w:rsidR="00805D3C" w:rsidRPr="002E0152" w:rsidRDefault="00805D3C" w:rsidP="00805D3C">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2E0152">
              <w:rPr>
                <w:rFonts w:eastAsia="Times New Roman" w:cs="Times New Roman"/>
                <w:color w:val="auto"/>
                <w:sz w:val="18"/>
                <w:szCs w:val="18"/>
                <w:lang w:eastAsia="lv-LV"/>
              </w:rPr>
              <w:t xml:space="preserve">FDL 11. panta nosacījums, % no IKP </w:t>
            </w:r>
          </w:p>
        </w:tc>
        <w:tc>
          <w:tcPr>
            <w:tcW w:w="680" w:type="dxa"/>
          </w:tcPr>
          <w:p w14:paraId="495A936C" w14:textId="68C5C5FC"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-0,5</w:t>
            </w:r>
          </w:p>
        </w:tc>
        <w:tc>
          <w:tcPr>
            <w:tcW w:w="680" w:type="dxa"/>
          </w:tcPr>
          <w:p w14:paraId="32D66C7A" w14:textId="4467F0E4"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-0,5</w:t>
            </w:r>
          </w:p>
        </w:tc>
        <w:tc>
          <w:tcPr>
            <w:tcW w:w="680" w:type="dxa"/>
          </w:tcPr>
          <w:p w14:paraId="670C60C8" w14:textId="7695E1B0"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-0,5</w:t>
            </w:r>
          </w:p>
        </w:tc>
        <w:tc>
          <w:tcPr>
            <w:tcW w:w="680" w:type="dxa"/>
          </w:tcPr>
          <w:p w14:paraId="60E9B80A" w14:textId="71AD085C"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-0,5</w:t>
            </w:r>
          </w:p>
        </w:tc>
        <w:tc>
          <w:tcPr>
            <w:tcW w:w="680" w:type="dxa"/>
          </w:tcPr>
          <w:p w14:paraId="01463A3E" w14:textId="613A89C1"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-0,5</w:t>
            </w:r>
          </w:p>
        </w:tc>
        <w:tc>
          <w:tcPr>
            <w:tcW w:w="680" w:type="dxa"/>
          </w:tcPr>
          <w:p w14:paraId="7E35117F" w14:textId="762BB0F8"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-0,5</w:t>
            </w:r>
          </w:p>
        </w:tc>
        <w:tc>
          <w:tcPr>
            <w:tcW w:w="680" w:type="dxa"/>
          </w:tcPr>
          <w:p w14:paraId="54ED1F16" w14:textId="4401F304"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-0,5</w:t>
            </w:r>
          </w:p>
        </w:tc>
        <w:tc>
          <w:tcPr>
            <w:tcW w:w="680" w:type="dxa"/>
          </w:tcPr>
          <w:p w14:paraId="27CE6E3A" w14:textId="0E695E89"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-0,5</w:t>
            </w:r>
          </w:p>
        </w:tc>
        <w:tc>
          <w:tcPr>
            <w:tcW w:w="680" w:type="dxa"/>
          </w:tcPr>
          <w:p w14:paraId="35677BBE" w14:textId="256CB8A2"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6"/>
                <w:szCs w:val="16"/>
                <w:lang w:eastAsia="lv-LV"/>
              </w:rPr>
            </w:pPr>
            <w:r w:rsidRPr="00805D3C">
              <w:rPr>
                <w:rFonts w:cs="Times New Roman"/>
                <w:color w:val="auto"/>
                <w:sz w:val="16"/>
                <w:szCs w:val="16"/>
              </w:rPr>
              <w:t>-0,5</w:t>
            </w:r>
          </w:p>
        </w:tc>
        <w:tc>
          <w:tcPr>
            <w:tcW w:w="684" w:type="dxa"/>
          </w:tcPr>
          <w:p w14:paraId="03788FDB" w14:textId="669E86BB"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auto"/>
                <w:sz w:val="16"/>
                <w:szCs w:val="16"/>
              </w:rPr>
            </w:pPr>
            <w:r w:rsidRPr="00805D3C">
              <w:rPr>
                <w:rFonts w:cs="Times New Roman"/>
                <w:color w:val="auto"/>
                <w:sz w:val="16"/>
                <w:szCs w:val="16"/>
              </w:rPr>
              <w:t>-0,5</w:t>
            </w:r>
          </w:p>
        </w:tc>
        <w:tc>
          <w:tcPr>
            <w:tcW w:w="850" w:type="dxa"/>
          </w:tcPr>
          <w:p w14:paraId="6A58C8DD" w14:textId="24A73B5F" w:rsidR="00805D3C" w:rsidRPr="00805D3C" w:rsidRDefault="00805D3C" w:rsidP="00805D3C">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auto"/>
                <w:sz w:val="16"/>
                <w:szCs w:val="16"/>
              </w:rPr>
            </w:pPr>
            <w:r w:rsidRPr="00805D3C">
              <w:rPr>
                <w:rFonts w:cs="Times New Roman"/>
                <w:color w:val="auto"/>
                <w:sz w:val="16"/>
                <w:szCs w:val="16"/>
              </w:rPr>
              <w:t>-0,5</w:t>
            </w:r>
          </w:p>
        </w:tc>
      </w:tr>
      <w:tr w:rsidR="00805D3C" w:rsidRPr="00805D3C" w14:paraId="2E50A951" w14:textId="6B1EAF68" w:rsidTr="0008652D">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704" w:type="dxa"/>
            <w:hideMark/>
          </w:tcPr>
          <w:p w14:paraId="30213E5C" w14:textId="77777777" w:rsidR="00805D3C" w:rsidRPr="00805D3C" w:rsidRDefault="00805D3C" w:rsidP="00805D3C">
            <w:pPr>
              <w:ind w:firstLine="0"/>
              <w:jc w:val="right"/>
              <w:rPr>
                <w:rFonts w:eastAsia="Times New Roman" w:cs="Times New Roman"/>
                <w:i/>
                <w:iCs/>
                <w:color w:val="auto"/>
                <w:sz w:val="16"/>
                <w:szCs w:val="16"/>
                <w:lang w:eastAsia="lv-LV"/>
              </w:rPr>
            </w:pPr>
            <w:r w:rsidRPr="00805D3C">
              <w:rPr>
                <w:rFonts w:eastAsia="Times New Roman" w:cs="Times New Roman"/>
                <w:i/>
                <w:iCs/>
                <w:color w:val="auto"/>
                <w:sz w:val="16"/>
                <w:szCs w:val="16"/>
                <w:lang w:eastAsia="lv-LV"/>
              </w:rPr>
              <w:t>11</w:t>
            </w:r>
          </w:p>
        </w:tc>
        <w:tc>
          <w:tcPr>
            <w:tcW w:w="1418" w:type="dxa"/>
            <w:hideMark/>
          </w:tcPr>
          <w:p w14:paraId="06622A2A" w14:textId="77777777" w:rsidR="00805D3C" w:rsidRPr="002E0152" w:rsidRDefault="00805D3C" w:rsidP="00805D3C">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2E0152">
              <w:rPr>
                <w:rFonts w:eastAsia="Times New Roman" w:cs="Times New Roman"/>
                <w:color w:val="auto"/>
                <w:sz w:val="18"/>
                <w:szCs w:val="18"/>
                <w:lang w:eastAsia="lv-LV"/>
              </w:rPr>
              <w:t>Ir jākoriģē, ja 9.&lt;10.</w:t>
            </w:r>
          </w:p>
        </w:tc>
        <w:tc>
          <w:tcPr>
            <w:tcW w:w="680" w:type="dxa"/>
          </w:tcPr>
          <w:p w14:paraId="7EF83F75" w14:textId="3E9D7D42"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p>
        </w:tc>
        <w:tc>
          <w:tcPr>
            <w:tcW w:w="680" w:type="dxa"/>
          </w:tcPr>
          <w:p w14:paraId="14A7602C" w14:textId="3ADB2D56"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p>
        </w:tc>
        <w:tc>
          <w:tcPr>
            <w:tcW w:w="680" w:type="dxa"/>
          </w:tcPr>
          <w:p w14:paraId="7421246A" w14:textId="0567065A"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p>
        </w:tc>
        <w:tc>
          <w:tcPr>
            <w:tcW w:w="680" w:type="dxa"/>
          </w:tcPr>
          <w:p w14:paraId="367EEBB2" w14:textId="5C6B5075"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p>
        </w:tc>
        <w:tc>
          <w:tcPr>
            <w:tcW w:w="680" w:type="dxa"/>
          </w:tcPr>
          <w:p w14:paraId="3E24E8CD" w14:textId="1BFA8753"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p>
        </w:tc>
        <w:tc>
          <w:tcPr>
            <w:tcW w:w="680" w:type="dxa"/>
          </w:tcPr>
          <w:p w14:paraId="2903D1D9" w14:textId="7526476D"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6"/>
                <w:szCs w:val="16"/>
                <w:lang w:eastAsia="lv-LV"/>
              </w:rPr>
            </w:pPr>
          </w:p>
        </w:tc>
        <w:tc>
          <w:tcPr>
            <w:tcW w:w="680" w:type="dxa"/>
          </w:tcPr>
          <w:p w14:paraId="12962F5A" w14:textId="588F1D5A"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p>
        </w:tc>
        <w:tc>
          <w:tcPr>
            <w:tcW w:w="680" w:type="dxa"/>
          </w:tcPr>
          <w:p w14:paraId="26A3480B" w14:textId="0565F02C"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p>
        </w:tc>
        <w:tc>
          <w:tcPr>
            <w:tcW w:w="680" w:type="dxa"/>
          </w:tcPr>
          <w:p w14:paraId="610F9840" w14:textId="32BB7FBB"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6"/>
                <w:szCs w:val="16"/>
                <w:lang w:eastAsia="lv-LV"/>
              </w:rPr>
            </w:pPr>
          </w:p>
        </w:tc>
        <w:tc>
          <w:tcPr>
            <w:tcW w:w="684" w:type="dxa"/>
          </w:tcPr>
          <w:p w14:paraId="2B3FC409" w14:textId="5E20082A"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16"/>
                <w:szCs w:val="16"/>
              </w:rPr>
            </w:pPr>
          </w:p>
        </w:tc>
        <w:tc>
          <w:tcPr>
            <w:tcW w:w="850" w:type="dxa"/>
          </w:tcPr>
          <w:p w14:paraId="133C22EB" w14:textId="528AB076" w:rsidR="00805D3C" w:rsidRPr="00805D3C" w:rsidRDefault="00805D3C" w:rsidP="00805D3C">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16"/>
                <w:szCs w:val="16"/>
              </w:rPr>
            </w:pPr>
            <w:r w:rsidRPr="00805D3C">
              <w:rPr>
                <w:rFonts w:cs="Times New Roman"/>
                <w:color w:val="auto"/>
                <w:sz w:val="16"/>
                <w:szCs w:val="16"/>
              </w:rPr>
              <w:t>Nav jākoriģē</w:t>
            </w:r>
          </w:p>
        </w:tc>
      </w:tr>
    </w:tbl>
    <w:p w14:paraId="441C7932" w14:textId="77777777" w:rsidR="002E0152" w:rsidRDefault="002E0152" w:rsidP="002E0152">
      <w:pPr>
        <w:pStyle w:val="Heading3"/>
        <w:numPr>
          <w:ilvl w:val="0"/>
          <w:numId w:val="0"/>
        </w:numPr>
        <w:spacing w:before="0"/>
        <w:jc w:val="center"/>
        <w:rPr>
          <w:sz w:val="24"/>
          <w:szCs w:val="20"/>
        </w:rPr>
      </w:pPr>
      <w:bookmarkStart w:id="28" w:name="_Toc53154100"/>
      <w:bookmarkStart w:id="29" w:name="_Toc98250546"/>
      <w:bookmarkStart w:id="30" w:name="_Hlk98249609"/>
      <w:bookmarkStart w:id="31" w:name="_Toc131331236"/>
      <w:bookmarkStart w:id="32" w:name="_Hlk164019022"/>
    </w:p>
    <w:p w14:paraId="4E792195" w14:textId="2B4D0097" w:rsidR="00CF6C5C" w:rsidRPr="00575359" w:rsidRDefault="00C226AF" w:rsidP="00222970">
      <w:pPr>
        <w:pStyle w:val="Heading3"/>
        <w:numPr>
          <w:ilvl w:val="0"/>
          <w:numId w:val="0"/>
        </w:numPr>
        <w:spacing w:before="0" w:after="120"/>
        <w:jc w:val="center"/>
        <w:rPr>
          <w:sz w:val="24"/>
          <w:szCs w:val="20"/>
        </w:rPr>
      </w:pPr>
      <w:bookmarkStart w:id="33" w:name="_Toc164679821"/>
      <w:r>
        <w:rPr>
          <w:sz w:val="24"/>
          <w:szCs w:val="20"/>
        </w:rPr>
        <w:t xml:space="preserve">3.1.2. </w:t>
      </w:r>
      <w:r w:rsidR="00CF6C5C" w:rsidRPr="00575359">
        <w:rPr>
          <w:sz w:val="24"/>
          <w:szCs w:val="20"/>
        </w:rPr>
        <w:t>Fiskālo nosacījumu ievērošana vidēja termiņa fiskālās politikas plānošanā</w:t>
      </w:r>
      <w:bookmarkEnd w:id="28"/>
      <w:bookmarkEnd w:id="29"/>
      <w:bookmarkEnd w:id="30"/>
      <w:bookmarkEnd w:id="31"/>
      <w:bookmarkEnd w:id="33"/>
    </w:p>
    <w:bookmarkEnd w:id="32"/>
    <w:p w14:paraId="180A2C05" w14:textId="77777777" w:rsidR="00CF6C5C" w:rsidRPr="00575359" w:rsidRDefault="00CF6C5C" w:rsidP="00CF6C5C">
      <w:pPr>
        <w:rPr>
          <w:rFonts w:eastAsia="Calibri" w:cs="Times New Roman"/>
          <w:color w:val="000000"/>
          <w:sz w:val="24"/>
        </w:rPr>
      </w:pPr>
      <w:r w:rsidRPr="00575359">
        <w:rPr>
          <w:rFonts w:eastAsia="Times New Roman" w:cs="Times New Roman"/>
          <w:sz w:val="24"/>
        </w:rPr>
        <w:t xml:space="preserve">Vispārējā gadījumā FDL paredz, ka strukturālās bilances mērķu definēšanā tiek piemērota vairāku pakāpju metode un tai ir vienlaicīgi jānodrošina atbilstība nacionālā līmeņa fiskālajiem nosacījumiem (bilances nosacījums, izdevumu pieauguma nosacījums un izdevumu </w:t>
      </w:r>
      <w:proofErr w:type="spellStart"/>
      <w:r w:rsidRPr="00575359">
        <w:rPr>
          <w:rFonts w:eastAsia="Times New Roman" w:cs="Times New Roman"/>
          <w:sz w:val="24"/>
        </w:rPr>
        <w:t>pārmantojamības</w:t>
      </w:r>
      <w:proofErr w:type="spellEnd"/>
      <w:r w:rsidRPr="00575359">
        <w:rPr>
          <w:rFonts w:eastAsia="Times New Roman" w:cs="Times New Roman"/>
          <w:sz w:val="24"/>
        </w:rPr>
        <w:t xml:space="preserve"> nosacījums), gan arī Stabilitātes un izaugsmes </w:t>
      </w:r>
      <w:proofErr w:type="spellStart"/>
      <w:r w:rsidRPr="00575359">
        <w:rPr>
          <w:rFonts w:eastAsia="Times New Roman" w:cs="Times New Roman"/>
          <w:sz w:val="24"/>
        </w:rPr>
        <w:t>pakta</w:t>
      </w:r>
      <w:proofErr w:type="spellEnd"/>
      <w:r w:rsidRPr="00575359">
        <w:rPr>
          <w:rFonts w:eastAsia="Times New Roman" w:cs="Times New Roman"/>
          <w:sz w:val="24"/>
        </w:rPr>
        <w:t xml:space="preserve"> nosacījumiem.  Jāatzīmē, ka FDL nosacījumi ir jāievēro vidēja termiņa budžeta ietvara sagatavošanā, bet Stabilitātes programmas sagatavošanas posmā šo nosacījumu ievērošana nav juridiski saistoša. Attiecīgi šajā kontekstā konkrēto FDL fiskālo nosacījumu piemērošana jāskata kontekstā ar plānotajām izmaiņām ES fiskālo noteikumos, t.sk. ar plānošanas/prognozēšanas cikla pagarināšanu par vienu gadu. </w:t>
      </w:r>
    </w:p>
    <w:p w14:paraId="59477BF4" w14:textId="77777777" w:rsidR="00CF6C5C" w:rsidRPr="00575359" w:rsidRDefault="00CF6C5C" w:rsidP="00CF6C5C">
      <w:pPr>
        <w:ind w:firstLine="0"/>
        <w:rPr>
          <w:rFonts w:eastAsia="Times New Roman" w:cs="Times New Roman"/>
          <w:sz w:val="24"/>
        </w:rPr>
      </w:pPr>
    </w:p>
    <w:p w14:paraId="73BEA2C7" w14:textId="68684769" w:rsidR="009E5173" w:rsidRPr="00C226AF" w:rsidRDefault="00C226AF" w:rsidP="00C226AF">
      <w:pPr>
        <w:pStyle w:val="Heading3"/>
        <w:numPr>
          <w:ilvl w:val="0"/>
          <w:numId w:val="0"/>
        </w:numPr>
        <w:spacing w:before="0" w:after="120"/>
        <w:jc w:val="center"/>
        <w:rPr>
          <w:rFonts w:eastAsia="Times New Roman"/>
          <w:sz w:val="24"/>
          <w:szCs w:val="20"/>
        </w:rPr>
      </w:pPr>
      <w:bookmarkStart w:id="34" w:name="_Toc98250547"/>
      <w:bookmarkStart w:id="35" w:name="_Toc164679822"/>
      <w:bookmarkStart w:id="36" w:name="_Toc131331237"/>
      <w:bookmarkStart w:id="37" w:name="_Hlk164019037"/>
      <w:r>
        <w:rPr>
          <w:rFonts w:eastAsia="Times New Roman"/>
          <w:sz w:val="24"/>
          <w:szCs w:val="20"/>
        </w:rPr>
        <w:t xml:space="preserve">3.1.3. </w:t>
      </w:r>
      <w:r w:rsidR="00CF6C5C" w:rsidRPr="00575359">
        <w:rPr>
          <w:rFonts w:eastAsia="Times New Roman"/>
          <w:sz w:val="24"/>
          <w:szCs w:val="20"/>
        </w:rPr>
        <w:t>2025., 2026., 2027. un 2028. gada vispārējās valdības budžeta strukturālās bilances mērķi</w:t>
      </w:r>
      <w:bookmarkEnd w:id="34"/>
      <w:bookmarkEnd w:id="35"/>
      <w:r w:rsidR="00CF6C5C" w:rsidRPr="00575359">
        <w:rPr>
          <w:rFonts w:eastAsia="Times New Roman"/>
          <w:sz w:val="24"/>
          <w:szCs w:val="20"/>
        </w:rPr>
        <w:t xml:space="preserve"> </w:t>
      </w:r>
      <w:bookmarkEnd w:id="36"/>
      <w:bookmarkEnd w:id="37"/>
    </w:p>
    <w:p w14:paraId="72007DD0" w14:textId="7386F4DE" w:rsidR="009E5173" w:rsidRDefault="009E5173" w:rsidP="00CF6C5C">
      <w:pPr>
        <w:widowControl w:val="0"/>
        <w:rPr>
          <w:rFonts w:eastAsia="Times New Roman" w:cs="Times New Roman"/>
          <w:bCs/>
          <w:sz w:val="24"/>
        </w:rPr>
      </w:pPr>
      <w:r w:rsidRPr="00CF68A1">
        <w:rPr>
          <w:rFonts w:eastAsia="Times New Roman" w:cs="Times New Roman"/>
          <w:bCs/>
          <w:sz w:val="24"/>
        </w:rPr>
        <w:t>Stabilitātes programma</w:t>
      </w:r>
      <w:r>
        <w:rPr>
          <w:rFonts w:eastAsia="Times New Roman" w:cs="Times New Roman"/>
          <w:bCs/>
          <w:sz w:val="24"/>
        </w:rPr>
        <w:t xml:space="preserve"> sagatavota ņemot vērā gan </w:t>
      </w:r>
      <w:r w:rsidR="00FD0599">
        <w:rPr>
          <w:rFonts w:eastAsia="Times New Roman" w:cs="Times New Roman"/>
          <w:bCs/>
          <w:sz w:val="24"/>
        </w:rPr>
        <w:t>FDL</w:t>
      </w:r>
      <w:r>
        <w:rPr>
          <w:rFonts w:eastAsia="Times New Roman" w:cs="Times New Roman"/>
          <w:bCs/>
          <w:sz w:val="24"/>
        </w:rPr>
        <w:t xml:space="preserve"> normas, gan pieņemot, ka šogad stāsies spēkā jaunie ES fiskālie noteikumi. Līdz ar to faktiski pašlaik tiek pielietoti trīs fiskālie nosacījumi:</w:t>
      </w:r>
    </w:p>
    <w:p w14:paraId="4F7802C3" w14:textId="788B60F7" w:rsidR="009E5173" w:rsidRDefault="009E5173" w:rsidP="009E5173">
      <w:pPr>
        <w:pStyle w:val="ListParagraph"/>
        <w:widowControl w:val="0"/>
        <w:numPr>
          <w:ilvl w:val="0"/>
          <w:numId w:val="36"/>
        </w:numPr>
        <w:rPr>
          <w:rFonts w:eastAsia="Times New Roman" w:cs="Times New Roman"/>
          <w:bCs/>
          <w:sz w:val="24"/>
        </w:rPr>
      </w:pPr>
      <w:r>
        <w:rPr>
          <w:rFonts w:eastAsia="Times New Roman" w:cs="Times New Roman"/>
          <w:bCs/>
          <w:sz w:val="24"/>
        </w:rPr>
        <w:t>FDL strukturālās bilances nosacījums;</w:t>
      </w:r>
    </w:p>
    <w:p w14:paraId="69CCE527" w14:textId="33B0D72A" w:rsidR="009E5173" w:rsidRDefault="009E5173" w:rsidP="009E5173">
      <w:pPr>
        <w:pStyle w:val="ListParagraph"/>
        <w:widowControl w:val="0"/>
        <w:numPr>
          <w:ilvl w:val="0"/>
          <w:numId w:val="36"/>
        </w:numPr>
        <w:rPr>
          <w:rFonts w:eastAsia="Times New Roman" w:cs="Times New Roman"/>
          <w:bCs/>
          <w:sz w:val="24"/>
        </w:rPr>
      </w:pPr>
      <w:r>
        <w:rPr>
          <w:rFonts w:eastAsia="Times New Roman" w:cs="Times New Roman"/>
          <w:bCs/>
          <w:sz w:val="24"/>
        </w:rPr>
        <w:t xml:space="preserve">ES strukturālās </w:t>
      </w:r>
      <w:r w:rsidR="00F45EBA">
        <w:rPr>
          <w:rFonts w:eastAsia="Times New Roman" w:cs="Times New Roman"/>
          <w:bCs/>
          <w:sz w:val="24"/>
        </w:rPr>
        <w:t xml:space="preserve">primārās </w:t>
      </w:r>
      <w:r>
        <w:rPr>
          <w:rFonts w:eastAsia="Times New Roman" w:cs="Times New Roman"/>
          <w:bCs/>
          <w:sz w:val="24"/>
        </w:rPr>
        <w:t>bilances nosacījums un</w:t>
      </w:r>
    </w:p>
    <w:p w14:paraId="63DEC9D1" w14:textId="223B2B32" w:rsidR="009E5173" w:rsidRDefault="009E5173" w:rsidP="009E5173">
      <w:pPr>
        <w:pStyle w:val="ListParagraph"/>
        <w:widowControl w:val="0"/>
        <w:numPr>
          <w:ilvl w:val="0"/>
          <w:numId w:val="36"/>
        </w:numPr>
        <w:rPr>
          <w:rFonts w:eastAsia="Times New Roman" w:cs="Times New Roman"/>
          <w:bCs/>
          <w:sz w:val="24"/>
        </w:rPr>
      </w:pPr>
      <w:r>
        <w:rPr>
          <w:rFonts w:eastAsia="Times New Roman" w:cs="Times New Roman"/>
          <w:bCs/>
          <w:sz w:val="24"/>
        </w:rPr>
        <w:t xml:space="preserve">ES </w:t>
      </w:r>
      <w:r w:rsidR="008F26CA">
        <w:rPr>
          <w:rFonts w:eastAsia="Times New Roman" w:cs="Times New Roman"/>
          <w:bCs/>
          <w:sz w:val="24"/>
        </w:rPr>
        <w:t xml:space="preserve">valsts finansēto </w:t>
      </w:r>
      <w:r>
        <w:rPr>
          <w:rFonts w:eastAsia="Times New Roman" w:cs="Times New Roman"/>
          <w:bCs/>
          <w:sz w:val="24"/>
        </w:rPr>
        <w:t>neto primāro izdevumu nosacījums.</w:t>
      </w:r>
    </w:p>
    <w:p w14:paraId="2DA62BD1" w14:textId="77777777" w:rsidR="008F26CA" w:rsidRDefault="008F26CA" w:rsidP="008F26CA">
      <w:pPr>
        <w:widowControl w:val="0"/>
        <w:rPr>
          <w:rFonts w:eastAsia="Times New Roman" w:cs="Times New Roman"/>
          <w:bCs/>
          <w:sz w:val="24"/>
        </w:rPr>
      </w:pPr>
    </w:p>
    <w:p w14:paraId="54FBDF40" w14:textId="03CA7D91" w:rsidR="008F26CA" w:rsidRPr="00CF68A1" w:rsidRDefault="008F26CA" w:rsidP="008F26CA">
      <w:pPr>
        <w:widowControl w:val="0"/>
        <w:rPr>
          <w:rFonts w:eastAsia="Times New Roman" w:cs="Times New Roman"/>
          <w:bCs/>
          <w:sz w:val="24"/>
        </w:rPr>
      </w:pPr>
      <w:r>
        <w:rPr>
          <w:rFonts w:eastAsia="Times New Roman" w:cs="Times New Roman"/>
          <w:bCs/>
          <w:sz w:val="24"/>
        </w:rPr>
        <w:t>Lai arī katrs no fiskālajiem nosacījumiem attiecas uz citu fiskālo rādītāju, lai nodrošinātu salīdzināmību un noteiktu, kurš no fiskālajiem nosacījumiem ir dominējošais, nepieciešams atšķirīgos fiskālos rādītājus pārrēķināt vienā fiskālajā rādītājā. Šim nolūkam tiek izvēlēts FDL strukturālās bilances rādītājs.</w:t>
      </w:r>
    </w:p>
    <w:p w14:paraId="237A9874" w14:textId="77777777" w:rsidR="009E5173" w:rsidRDefault="009E5173" w:rsidP="00CF6C5C">
      <w:pPr>
        <w:widowControl w:val="0"/>
        <w:rPr>
          <w:rFonts w:eastAsia="Times New Roman" w:cs="Times New Roman"/>
          <w:b/>
          <w:sz w:val="24"/>
          <w:u w:val="single"/>
        </w:rPr>
      </w:pPr>
    </w:p>
    <w:p w14:paraId="78863548" w14:textId="5A33FC24" w:rsidR="00CF6C5C" w:rsidRPr="00575359" w:rsidRDefault="003F5352" w:rsidP="00CF6C5C">
      <w:pPr>
        <w:widowControl w:val="0"/>
        <w:rPr>
          <w:rFonts w:eastAsia="Times New Roman" w:cs="Times New Roman"/>
          <w:b/>
          <w:sz w:val="24"/>
          <w:u w:val="single"/>
        </w:rPr>
      </w:pPr>
      <w:r>
        <w:rPr>
          <w:rFonts w:eastAsia="Times New Roman" w:cs="Times New Roman"/>
          <w:b/>
          <w:sz w:val="24"/>
          <w:u w:val="single"/>
        </w:rPr>
        <w:t xml:space="preserve">1. </w:t>
      </w:r>
      <w:r w:rsidR="008F26CA">
        <w:rPr>
          <w:rFonts w:eastAsia="Times New Roman" w:cs="Times New Roman"/>
          <w:b/>
          <w:sz w:val="24"/>
          <w:u w:val="single"/>
        </w:rPr>
        <w:t>FDL strukturālās bilances nosacījums</w:t>
      </w:r>
    </w:p>
    <w:p w14:paraId="4FB6F255" w14:textId="77777777" w:rsidR="00CF6C5C" w:rsidRPr="00CF6C5C" w:rsidRDefault="00CF6C5C" w:rsidP="00CF6C5C">
      <w:pPr>
        <w:widowControl w:val="0"/>
        <w:rPr>
          <w:rFonts w:eastAsia="Times New Roman" w:cs="Times New Roman"/>
          <w:bCs/>
          <w:sz w:val="24"/>
          <w:highlight w:val="yellow"/>
        </w:rPr>
      </w:pPr>
    </w:p>
    <w:p w14:paraId="387B855D" w14:textId="3004A6DF" w:rsidR="00CF6C5C" w:rsidRPr="00575359" w:rsidRDefault="00CF6C5C" w:rsidP="00CF6C5C">
      <w:pPr>
        <w:widowControl w:val="0"/>
        <w:rPr>
          <w:rFonts w:eastAsia="Times New Roman" w:cs="Times New Roman"/>
          <w:bCs/>
          <w:sz w:val="24"/>
        </w:rPr>
      </w:pPr>
      <w:r w:rsidRPr="00575359">
        <w:rPr>
          <w:rFonts w:eastAsia="Times New Roman" w:cs="Times New Roman"/>
          <w:bCs/>
          <w:sz w:val="24"/>
        </w:rPr>
        <w:t xml:space="preserve">Saskaņā ar </w:t>
      </w:r>
      <w:r w:rsidR="00365213">
        <w:rPr>
          <w:rFonts w:eastAsia="Times New Roman" w:cs="Times New Roman"/>
          <w:bCs/>
          <w:sz w:val="24"/>
        </w:rPr>
        <w:t>F</w:t>
      </w:r>
      <w:r w:rsidRPr="00575359">
        <w:rPr>
          <w:rFonts w:eastAsia="Times New Roman" w:cs="Times New Roman"/>
          <w:bCs/>
          <w:sz w:val="24"/>
        </w:rPr>
        <w:t xml:space="preserve">iskālās politikas stratēģiju, strukturālās bilances mērķis 2025. – 2028. gadam tiek  noteikts par pamatu ņemot 2024. gada strukturālās bilances prognozi. </w:t>
      </w:r>
    </w:p>
    <w:p w14:paraId="75B81C7F" w14:textId="77777777" w:rsidR="00CF6C5C" w:rsidRPr="00575359" w:rsidRDefault="00CF6C5C" w:rsidP="00CF6C5C">
      <w:pPr>
        <w:widowControl w:val="0"/>
        <w:rPr>
          <w:rFonts w:eastAsia="Times New Roman" w:cs="Times New Roman"/>
          <w:bCs/>
          <w:sz w:val="24"/>
        </w:rPr>
      </w:pPr>
      <w:r w:rsidRPr="00575359">
        <w:rPr>
          <w:rFonts w:eastAsia="Times New Roman" w:cs="Times New Roman"/>
          <w:bCs/>
          <w:sz w:val="24"/>
        </w:rPr>
        <w:t>Atbilstoši aktualizētajām vispārējās valdības budžeta prognozēm vidējam termiņam (t.i. līdz 2028. gadam) pie nemainīgas politikas, 2024. gadā vispārējās valdības budžeta deficīts tiek novērtēts 2,9% apmērā.</w:t>
      </w:r>
    </w:p>
    <w:p w14:paraId="2B464071" w14:textId="7D4AFE3C" w:rsidR="00B5630F" w:rsidRDefault="00CF6C5C" w:rsidP="004016DD">
      <w:pPr>
        <w:widowControl w:val="0"/>
        <w:rPr>
          <w:rFonts w:eastAsia="Times New Roman" w:cs="Times New Roman"/>
          <w:b/>
          <w:sz w:val="24"/>
          <w:szCs w:val="24"/>
        </w:rPr>
      </w:pPr>
      <w:r w:rsidRPr="00575359">
        <w:rPr>
          <w:rFonts w:eastAsia="Times New Roman" w:cs="Times New Roman"/>
          <w:bCs/>
          <w:sz w:val="24"/>
        </w:rPr>
        <w:t xml:space="preserve">Ņemot vērā izlaižu starpību un vienreizējo pasākumu apmēru 2024. gada vispārējās valdības strukturālais deficīts </w:t>
      </w:r>
      <w:r w:rsidR="008F26CA">
        <w:rPr>
          <w:rFonts w:eastAsia="Times New Roman" w:cs="Times New Roman"/>
          <w:bCs/>
          <w:sz w:val="24"/>
        </w:rPr>
        <w:t>tiek prognozēts</w:t>
      </w:r>
      <w:r w:rsidR="008F26CA" w:rsidRPr="00575359">
        <w:rPr>
          <w:rFonts w:eastAsia="Times New Roman" w:cs="Times New Roman"/>
          <w:bCs/>
          <w:sz w:val="24"/>
        </w:rPr>
        <w:t xml:space="preserve"> </w:t>
      </w:r>
      <w:r w:rsidRPr="00575359">
        <w:rPr>
          <w:rFonts w:eastAsia="Times New Roman" w:cs="Times New Roman"/>
          <w:bCs/>
          <w:sz w:val="24"/>
        </w:rPr>
        <w:t xml:space="preserve">0,8 % no IKP (skat. </w:t>
      </w:r>
      <w:r w:rsidRPr="0083156D">
        <w:rPr>
          <w:rFonts w:eastAsia="Times New Roman" w:cs="Times New Roman"/>
          <w:bCs/>
          <w:sz w:val="24"/>
        </w:rPr>
        <w:t>3.</w:t>
      </w:r>
      <w:r w:rsidR="0083156D" w:rsidRPr="0083156D">
        <w:rPr>
          <w:rFonts w:eastAsia="Times New Roman" w:cs="Times New Roman"/>
          <w:bCs/>
          <w:sz w:val="24"/>
        </w:rPr>
        <w:t>3</w:t>
      </w:r>
      <w:r w:rsidRPr="0083156D">
        <w:rPr>
          <w:rFonts w:eastAsia="Times New Roman" w:cs="Times New Roman"/>
          <w:bCs/>
          <w:sz w:val="24"/>
        </w:rPr>
        <w:t>. tabulu</w:t>
      </w:r>
      <w:r w:rsidRPr="00575359">
        <w:rPr>
          <w:rFonts w:eastAsia="Times New Roman" w:cs="Times New Roman"/>
          <w:bCs/>
          <w:sz w:val="24"/>
        </w:rPr>
        <w:t xml:space="preserve">). Līdz ar to tas ir augstāks par FDL 10. pantā noteikto vidēja termiņa mērķi, kas ir 0,5% no IKP. Vispārīgā gadījumā saskaņā ar Fiskālās politikas stratēģiju, strukturālais deficīts būtu jāsamazina par </w:t>
      </w:r>
      <w:r w:rsidRPr="00575359">
        <w:rPr>
          <w:rFonts w:eastAsia="Times New Roman" w:cs="Times New Roman"/>
          <w:bCs/>
          <w:sz w:val="24"/>
        </w:rPr>
        <w:lastRenderedPageBreak/>
        <w:t xml:space="preserve">0,5% no IKP ik gadu līdz tas sasniedz 0,5% no IKP vērtību 2025. gadā, tad pie aktuālākajām prognozēm tā samazināšana nepieciešama tik tālu, lai sasniegtu un turpmāk uzturētu vispārējās valdības strukturālo deficītu FDL 10. pantā noteiktajā maksimālajā pieļaujamajā līmenī. </w:t>
      </w:r>
    </w:p>
    <w:p w14:paraId="73AC5774" w14:textId="77777777" w:rsidR="00B5630F" w:rsidRDefault="00B5630F" w:rsidP="00CF6C5C">
      <w:pPr>
        <w:widowControl w:val="0"/>
        <w:spacing w:after="120"/>
        <w:ind w:firstLine="0"/>
        <w:jc w:val="right"/>
        <w:rPr>
          <w:rFonts w:eastAsia="Times New Roman" w:cs="Times New Roman"/>
          <w:b/>
          <w:sz w:val="24"/>
          <w:szCs w:val="24"/>
        </w:rPr>
      </w:pPr>
    </w:p>
    <w:p w14:paraId="3BE975AA" w14:textId="4122EB5E" w:rsidR="00CF6C5C" w:rsidRPr="00B5630F" w:rsidRDefault="00CF6C5C" w:rsidP="00CF6C5C">
      <w:pPr>
        <w:widowControl w:val="0"/>
        <w:spacing w:after="120"/>
        <w:ind w:firstLine="0"/>
        <w:jc w:val="right"/>
        <w:rPr>
          <w:rFonts w:eastAsia="Times New Roman" w:cs="Times New Roman"/>
          <w:b/>
          <w:i/>
          <w:iCs/>
          <w:sz w:val="24"/>
          <w:szCs w:val="24"/>
        </w:rPr>
      </w:pPr>
      <w:r w:rsidRPr="00B5630F">
        <w:rPr>
          <w:rFonts w:eastAsia="Times New Roman" w:cs="Times New Roman"/>
          <w:b/>
          <w:i/>
          <w:iCs/>
          <w:sz w:val="24"/>
          <w:szCs w:val="24"/>
        </w:rPr>
        <w:t>3.</w:t>
      </w:r>
      <w:r w:rsidR="0083156D" w:rsidRPr="00B5630F">
        <w:rPr>
          <w:rFonts w:eastAsia="Times New Roman" w:cs="Times New Roman"/>
          <w:b/>
          <w:i/>
          <w:iCs/>
          <w:sz w:val="24"/>
          <w:szCs w:val="24"/>
        </w:rPr>
        <w:t>3</w:t>
      </w:r>
      <w:r w:rsidRPr="00B5630F">
        <w:rPr>
          <w:rFonts w:eastAsia="Times New Roman" w:cs="Times New Roman"/>
          <w:b/>
          <w:i/>
          <w:iCs/>
          <w:sz w:val="24"/>
          <w:szCs w:val="24"/>
        </w:rPr>
        <w:t>. tabula. Vispārējās valdības strukturālās bilances mērķi</w:t>
      </w:r>
    </w:p>
    <w:tbl>
      <w:tblPr>
        <w:tblW w:w="871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397"/>
        <w:gridCol w:w="1276"/>
        <w:gridCol w:w="1098"/>
        <w:gridCol w:w="737"/>
        <w:gridCol w:w="737"/>
        <w:gridCol w:w="737"/>
        <w:gridCol w:w="737"/>
      </w:tblGrid>
      <w:tr w:rsidR="00CF6C5C" w:rsidRPr="00CF6C5C" w14:paraId="3A44E3BB" w14:textId="77777777" w:rsidTr="0011009A">
        <w:trPr>
          <w:trHeight w:val="310"/>
          <w:tblHeader/>
        </w:trPr>
        <w:tc>
          <w:tcPr>
            <w:tcW w:w="3397" w:type="dxa"/>
            <w:shd w:val="clear" w:color="auto" w:fill="BDD6EE" w:themeFill="accent1" w:themeFillTint="66"/>
            <w:noWrap/>
            <w:vAlign w:val="bottom"/>
            <w:hideMark/>
          </w:tcPr>
          <w:p w14:paraId="0653DD98" w14:textId="77777777" w:rsidR="00CF6C5C" w:rsidRPr="00575359" w:rsidRDefault="00CF6C5C" w:rsidP="0011009A">
            <w:pPr>
              <w:ind w:firstLine="0"/>
              <w:jc w:val="left"/>
              <w:rPr>
                <w:rFonts w:eastAsia="Times New Roman" w:cs="Times New Roman"/>
                <w:color w:val="000000"/>
                <w:sz w:val="18"/>
                <w:szCs w:val="18"/>
                <w:lang w:eastAsia="lv-LV"/>
              </w:rPr>
            </w:pPr>
            <w:r w:rsidRPr="00575359">
              <w:rPr>
                <w:rFonts w:eastAsia="Times New Roman" w:cs="Times New Roman"/>
                <w:color w:val="000000"/>
                <w:sz w:val="18"/>
                <w:szCs w:val="18"/>
                <w:lang w:eastAsia="lv-LV"/>
              </w:rPr>
              <w:t> </w:t>
            </w:r>
          </w:p>
        </w:tc>
        <w:tc>
          <w:tcPr>
            <w:tcW w:w="1276" w:type="dxa"/>
            <w:shd w:val="clear" w:color="auto" w:fill="BDD6EE" w:themeFill="accent1" w:themeFillTint="66"/>
            <w:noWrap/>
            <w:vAlign w:val="bottom"/>
            <w:hideMark/>
          </w:tcPr>
          <w:p w14:paraId="5A68B3BC" w14:textId="77777777" w:rsidR="00CF6C5C" w:rsidRPr="00575359" w:rsidRDefault="00CF6C5C" w:rsidP="0011009A">
            <w:pPr>
              <w:ind w:firstLine="0"/>
              <w:jc w:val="left"/>
              <w:rPr>
                <w:rFonts w:eastAsia="Times New Roman" w:cs="Times New Roman"/>
                <w:color w:val="000000"/>
                <w:sz w:val="16"/>
                <w:szCs w:val="16"/>
                <w:lang w:eastAsia="lv-LV"/>
              </w:rPr>
            </w:pPr>
            <w:r w:rsidRPr="00575359">
              <w:rPr>
                <w:rFonts w:eastAsia="Times New Roman" w:cs="Times New Roman"/>
                <w:color w:val="000000"/>
                <w:sz w:val="16"/>
                <w:szCs w:val="16"/>
                <w:lang w:eastAsia="lv-LV"/>
              </w:rPr>
              <w:t> </w:t>
            </w:r>
          </w:p>
        </w:tc>
        <w:tc>
          <w:tcPr>
            <w:tcW w:w="1098" w:type="dxa"/>
            <w:shd w:val="clear" w:color="auto" w:fill="BDD6EE" w:themeFill="accent1" w:themeFillTint="66"/>
            <w:noWrap/>
            <w:vAlign w:val="center"/>
            <w:hideMark/>
          </w:tcPr>
          <w:p w14:paraId="7DC410E1"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2024</w:t>
            </w:r>
          </w:p>
        </w:tc>
        <w:tc>
          <w:tcPr>
            <w:tcW w:w="737" w:type="dxa"/>
            <w:shd w:val="clear" w:color="auto" w:fill="BDD6EE" w:themeFill="accent1" w:themeFillTint="66"/>
            <w:noWrap/>
            <w:vAlign w:val="center"/>
            <w:hideMark/>
          </w:tcPr>
          <w:p w14:paraId="65C882EB"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2025</w:t>
            </w:r>
          </w:p>
        </w:tc>
        <w:tc>
          <w:tcPr>
            <w:tcW w:w="737" w:type="dxa"/>
            <w:shd w:val="clear" w:color="auto" w:fill="BDD6EE" w:themeFill="accent1" w:themeFillTint="66"/>
            <w:noWrap/>
            <w:vAlign w:val="center"/>
            <w:hideMark/>
          </w:tcPr>
          <w:p w14:paraId="585362E3"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2026</w:t>
            </w:r>
          </w:p>
        </w:tc>
        <w:tc>
          <w:tcPr>
            <w:tcW w:w="737" w:type="dxa"/>
            <w:shd w:val="clear" w:color="auto" w:fill="BDD6EE" w:themeFill="accent1" w:themeFillTint="66"/>
            <w:vAlign w:val="center"/>
          </w:tcPr>
          <w:p w14:paraId="12057F6D"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2027</w:t>
            </w:r>
          </w:p>
        </w:tc>
        <w:tc>
          <w:tcPr>
            <w:tcW w:w="737" w:type="dxa"/>
            <w:shd w:val="clear" w:color="auto" w:fill="BDD6EE" w:themeFill="accent1" w:themeFillTint="66"/>
            <w:noWrap/>
            <w:vAlign w:val="center"/>
            <w:hideMark/>
          </w:tcPr>
          <w:p w14:paraId="77F62DB8"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2028</w:t>
            </w:r>
          </w:p>
        </w:tc>
      </w:tr>
      <w:tr w:rsidR="00CF6C5C" w:rsidRPr="00CF6C5C" w14:paraId="3B10C4DA" w14:textId="77777777" w:rsidTr="0011009A">
        <w:trPr>
          <w:trHeight w:val="300"/>
        </w:trPr>
        <w:tc>
          <w:tcPr>
            <w:tcW w:w="3397" w:type="dxa"/>
            <w:shd w:val="clear" w:color="auto" w:fill="auto"/>
            <w:noWrap/>
            <w:vAlign w:val="center"/>
          </w:tcPr>
          <w:p w14:paraId="7FE14862" w14:textId="77777777" w:rsidR="00CF6C5C" w:rsidRPr="00575359" w:rsidRDefault="00CF6C5C" w:rsidP="0011009A">
            <w:pPr>
              <w:ind w:firstLine="0"/>
              <w:jc w:val="left"/>
              <w:rPr>
                <w:rFonts w:eastAsia="Times New Roman" w:cs="Times New Roman"/>
                <w:b/>
                <w:bCs/>
                <w:color w:val="000000"/>
                <w:sz w:val="18"/>
                <w:szCs w:val="18"/>
                <w:lang w:eastAsia="lv-LV"/>
              </w:rPr>
            </w:pPr>
            <w:r w:rsidRPr="00575359">
              <w:rPr>
                <w:b/>
                <w:bCs/>
                <w:color w:val="000000"/>
                <w:sz w:val="20"/>
                <w:szCs w:val="20"/>
              </w:rPr>
              <w:t xml:space="preserve">IKP prognoze, milj. </w:t>
            </w:r>
            <w:proofErr w:type="spellStart"/>
            <w:r w:rsidRPr="00575359">
              <w:rPr>
                <w:b/>
                <w:bCs/>
                <w:i/>
                <w:iCs/>
                <w:color w:val="000000"/>
                <w:sz w:val="20"/>
                <w:szCs w:val="20"/>
              </w:rPr>
              <w:t>euro</w:t>
            </w:r>
            <w:proofErr w:type="spellEnd"/>
          </w:p>
        </w:tc>
        <w:tc>
          <w:tcPr>
            <w:tcW w:w="1276" w:type="dxa"/>
            <w:shd w:val="clear" w:color="auto" w:fill="auto"/>
            <w:noWrap/>
            <w:vAlign w:val="center"/>
            <w:hideMark/>
          </w:tcPr>
          <w:p w14:paraId="00A2D470" w14:textId="77777777" w:rsidR="00CF6C5C" w:rsidRPr="00575359" w:rsidRDefault="00CF6C5C" w:rsidP="0011009A">
            <w:pPr>
              <w:ind w:firstLine="0"/>
              <w:jc w:val="center"/>
              <w:rPr>
                <w:rFonts w:eastAsia="Times New Roman" w:cs="Times New Roman"/>
                <w:color w:val="000000"/>
                <w:sz w:val="16"/>
                <w:szCs w:val="16"/>
                <w:lang w:eastAsia="lv-LV"/>
              </w:rPr>
            </w:pPr>
            <w:r w:rsidRPr="00575359">
              <w:rPr>
                <w:rFonts w:eastAsia="Times New Roman" w:cs="Times New Roman"/>
                <w:color w:val="000000"/>
                <w:sz w:val="16"/>
                <w:szCs w:val="16"/>
                <w:lang w:eastAsia="lv-LV"/>
              </w:rPr>
              <w:t>(1)</w:t>
            </w:r>
          </w:p>
        </w:tc>
        <w:tc>
          <w:tcPr>
            <w:tcW w:w="1098" w:type="dxa"/>
            <w:shd w:val="clear" w:color="auto" w:fill="auto"/>
            <w:noWrap/>
            <w:vAlign w:val="center"/>
          </w:tcPr>
          <w:p w14:paraId="01BC717B"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sz w:val="20"/>
                <w:szCs w:val="20"/>
              </w:rPr>
              <w:t>42 008</w:t>
            </w:r>
          </w:p>
        </w:tc>
        <w:tc>
          <w:tcPr>
            <w:tcW w:w="737" w:type="dxa"/>
            <w:shd w:val="clear" w:color="auto" w:fill="E7E6E6" w:themeFill="background2"/>
            <w:noWrap/>
            <w:vAlign w:val="center"/>
            <w:hideMark/>
          </w:tcPr>
          <w:p w14:paraId="355A3648"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60E128C7"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vAlign w:val="center"/>
          </w:tcPr>
          <w:p w14:paraId="38E649D3"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75AAF89E" w14:textId="77777777" w:rsidR="00CF6C5C" w:rsidRPr="00575359" w:rsidRDefault="00CF6C5C" w:rsidP="0011009A">
            <w:pPr>
              <w:ind w:firstLine="0"/>
              <w:jc w:val="center"/>
              <w:rPr>
                <w:rFonts w:eastAsia="Times New Roman" w:cs="Times New Roman"/>
                <w:color w:val="000000"/>
                <w:sz w:val="18"/>
                <w:szCs w:val="18"/>
                <w:lang w:eastAsia="lv-LV"/>
              </w:rPr>
            </w:pPr>
          </w:p>
        </w:tc>
      </w:tr>
      <w:tr w:rsidR="00CF6C5C" w:rsidRPr="00CF6C5C" w14:paraId="70E80D71" w14:textId="77777777" w:rsidTr="0011009A">
        <w:trPr>
          <w:trHeight w:val="300"/>
        </w:trPr>
        <w:tc>
          <w:tcPr>
            <w:tcW w:w="3397" w:type="dxa"/>
            <w:shd w:val="clear" w:color="auto" w:fill="auto"/>
            <w:noWrap/>
            <w:vAlign w:val="center"/>
          </w:tcPr>
          <w:p w14:paraId="0D5CB7FD" w14:textId="77777777" w:rsidR="00CF6C5C" w:rsidRPr="00575359" w:rsidRDefault="00CF6C5C" w:rsidP="0011009A">
            <w:pPr>
              <w:ind w:firstLine="0"/>
              <w:jc w:val="left"/>
              <w:rPr>
                <w:rFonts w:eastAsia="Times New Roman" w:cs="Times New Roman"/>
                <w:b/>
                <w:bCs/>
                <w:color w:val="000000"/>
                <w:sz w:val="18"/>
                <w:szCs w:val="18"/>
                <w:lang w:eastAsia="lv-LV"/>
              </w:rPr>
            </w:pPr>
            <w:r w:rsidRPr="00575359">
              <w:rPr>
                <w:b/>
                <w:bCs/>
                <w:color w:val="000000"/>
                <w:sz w:val="20"/>
                <w:szCs w:val="20"/>
              </w:rPr>
              <w:t xml:space="preserve">2024. gada vispārējās valdības budžeta bilance, milj. </w:t>
            </w:r>
            <w:proofErr w:type="spellStart"/>
            <w:r w:rsidRPr="00575359">
              <w:rPr>
                <w:b/>
                <w:bCs/>
                <w:i/>
                <w:iCs/>
                <w:color w:val="000000"/>
                <w:sz w:val="20"/>
                <w:szCs w:val="20"/>
              </w:rPr>
              <w:t>euro</w:t>
            </w:r>
            <w:proofErr w:type="spellEnd"/>
          </w:p>
        </w:tc>
        <w:tc>
          <w:tcPr>
            <w:tcW w:w="1276" w:type="dxa"/>
            <w:shd w:val="clear" w:color="auto" w:fill="auto"/>
            <w:noWrap/>
            <w:vAlign w:val="center"/>
            <w:hideMark/>
          </w:tcPr>
          <w:p w14:paraId="390B21C1" w14:textId="77777777" w:rsidR="00CF6C5C" w:rsidRPr="00575359" w:rsidRDefault="00CF6C5C" w:rsidP="0011009A">
            <w:pPr>
              <w:ind w:firstLine="0"/>
              <w:jc w:val="center"/>
              <w:rPr>
                <w:rFonts w:eastAsia="Times New Roman" w:cs="Times New Roman"/>
                <w:color w:val="000000"/>
                <w:sz w:val="16"/>
                <w:szCs w:val="16"/>
                <w:lang w:eastAsia="lv-LV"/>
              </w:rPr>
            </w:pPr>
            <w:r w:rsidRPr="00575359">
              <w:rPr>
                <w:rFonts w:eastAsia="Times New Roman" w:cs="Times New Roman"/>
                <w:color w:val="000000"/>
                <w:sz w:val="16"/>
                <w:szCs w:val="16"/>
                <w:lang w:eastAsia="lv-LV"/>
              </w:rPr>
              <w:t>(2)</w:t>
            </w:r>
          </w:p>
        </w:tc>
        <w:tc>
          <w:tcPr>
            <w:tcW w:w="1098" w:type="dxa"/>
            <w:shd w:val="clear" w:color="auto" w:fill="auto"/>
            <w:noWrap/>
            <w:vAlign w:val="center"/>
          </w:tcPr>
          <w:p w14:paraId="7B1AAF78"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sz w:val="20"/>
                <w:szCs w:val="20"/>
              </w:rPr>
              <w:t>-1 213</w:t>
            </w:r>
          </w:p>
        </w:tc>
        <w:tc>
          <w:tcPr>
            <w:tcW w:w="737" w:type="dxa"/>
            <w:shd w:val="clear" w:color="auto" w:fill="E7E6E6" w:themeFill="background2"/>
            <w:noWrap/>
            <w:vAlign w:val="center"/>
            <w:hideMark/>
          </w:tcPr>
          <w:p w14:paraId="49CA7DF0"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784E3707"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vAlign w:val="center"/>
          </w:tcPr>
          <w:p w14:paraId="6BA1F563"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3F4FBBE5" w14:textId="77777777" w:rsidR="00CF6C5C" w:rsidRPr="00575359" w:rsidRDefault="00CF6C5C" w:rsidP="0011009A">
            <w:pPr>
              <w:ind w:firstLine="0"/>
              <w:jc w:val="center"/>
              <w:rPr>
                <w:rFonts w:eastAsia="Times New Roman" w:cs="Times New Roman"/>
                <w:color w:val="000000"/>
                <w:sz w:val="18"/>
                <w:szCs w:val="18"/>
                <w:lang w:eastAsia="lv-LV"/>
              </w:rPr>
            </w:pPr>
          </w:p>
        </w:tc>
      </w:tr>
      <w:tr w:rsidR="00CF6C5C" w:rsidRPr="00CF6C5C" w14:paraId="43F495E1" w14:textId="77777777" w:rsidTr="0011009A">
        <w:trPr>
          <w:trHeight w:val="300"/>
        </w:trPr>
        <w:tc>
          <w:tcPr>
            <w:tcW w:w="3397" w:type="dxa"/>
            <w:shd w:val="clear" w:color="auto" w:fill="auto"/>
            <w:noWrap/>
            <w:vAlign w:val="center"/>
          </w:tcPr>
          <w:p w14:paraId="11588C4F" w14:textId="77777777" w:rsidR="00CF6C5C" w:rsidRPr="00575359" w:rsidRDefault="00CF6C5C" w:rsidP="0011009A">
            <w:pPr>
              <w:ind w:firstLine="0"/>
              <w:jc w:val="left"/>
              <w:rPr>
                <w:rFonts w:eastAsia="Times New Roman" w:cs="Times New Roman"/>
                <w:b/>
                <w:bCs/>
                <w:color w:val="000000"/>
                <w:sz w:val="18"/>
                <w:szCs w:val="18"/>
                <w:lang w:eastAsia="lv-LV"/>
              </w:rPr>
            </w:pPr>
            <w:r w:rsidRPr="00575359">
              <w:rPr>
                <w:b/>
                <w:bCs/>
                <w:color w:val="000000"/>
                <w:sz w:val="20"/>
                <w:szCs w:val="20"/>
              </w:rPr>
              <w:t>2024. gada vispārējās valdības budžeta bilance, % IKP</w:t>
            </w:r>
          </w:p>
        </w:tc>
        <w:tc>
          <w:tcPr>
            <w:tcW w:w="1276" w:type="dxa"/>
            <w:shd w:val="clear" w:color="auto" w:fill="auto"/>
            <w:noWrap/>
            <w:vAlign w:val="center"/>
            <w:hideMark/>
          </w:tcPr>
          <w:p w14:paraId="0D0B67AD" w14:textId="77777777" w:rsidR="00CF6C5C" w:rsidRPr="00575359" w:rsidRDefault="00CF6C5C" w:rsidP="0011009A">
            <w:pPr>
              <w:ind w:firstLine="0"/>
              <w:jc w:val="center"/>
              <w:rPr>
                <w:rFonts w:eastAsia="Times New Roman" w:cs="Times New Roman"/>
                <w:color w:val="000000"/>
                <w:sz w:val="16"/>
                <w:szCs w:val="16"/>
                <w:lang w:eastAsia="lv-LV"/>
              </w:rPr>
            </w:pPr>
            <w:r w:rsidRPr="00575359">
              <w:rPr>
                <w:rFonts w:eastAsia="Times New Roman" w:cs="Times New Roman"/>
                <w:color w:val="000000"/>
                <w:sz w:val="16"/>
                <w:szCs w:val="16"/>
                <w:lang w:eastAsia="lv-LV"/>
              </w:rPr>
              <w:t>(3)=(2)/(1)*100</w:t>
            </w:r>
          </w:p>
        </w:tc>
        <w:tc>
          <w:tcPr>
            <w:tcW w:w="1098" w:type="dxa"/>
            <w:shd w:val="clear" w:color="auto" w:fill="auto"/>
            <w:noWrap/>
            <w:vAlign w:val="center"/>
          </w:tcPr>
          <w:p w14:paraId="09951B70"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sz w:val="20"/>
                <w:szCs w:val="20"/>
              </w:rPr>
              <w:t>-2,9</w:t>
            </w:r>
          </w:p>
        </w:tc>
        <w:tc>
          <w:tcPr>
            <w:tcW w:w="737" w:type="dxa"/>
            <w:shd w:val="clear" w:color="auto" w:fill="E7E6E6" w:themeFill="background2"/>
            <w:noWrap/>
            <w:vAlign w:val="center"/>
            <w:hideMark/>
          </w:tcPr>
          <w:p w14:paraId="384A4505"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1446A68A"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vAlign w:val="center"/>
          </w:tcPr>
          <w:p w14:paraId="756FA7D0"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5785D2CB" w14:textId="77777777" w:rsidR="00CF6C5C" w:rsidRPr="00575359" w:rsidRDefault="00CF6C5C" w:rsidP="0011009A">
            <w:pPr>
              <w:ind w:firstLine="0"/>
              <w:jc w:val="center"/>
              <w:rPr>
                <w:rFonts w:eastAsia="Times New Roman" w:cs="Times New Roman"/>
                <w:color w:val="000000"/>
                <w:sz w:val="18"/>
                <w:szCs w:val="18"/>
                <w:lang w:eastAsia="lv-LV"/>
              </w:rPr>
            </w:pPr>
          </w:p>
        </w:tc>
      </w:tr>
      <w:tr w:rsidR="00CF6C5C" w:rsidRPr="00CF6C5C" w14:paraId="742DDC8E" w14:textId="77777777" w:rsidTr="0011009A">
        <w:trPr>
          <w:trHeight w:val="300"/>
        </w:trPr>
        <w:tc>
          <w:tcPr>
            <w:tcW w:w="3397" w:type="dxa"/>
            <w:shd w:val="clear" w:color="auto" w:fill="auto"/>
            <w:noWrap/>
            <w:vAlign w:val="center"/>
          </w:tcPr>
          <w:p w14:paraId="1926B44E" w14:textId="77777777" w:rsidR="00CF6C5C" w:rsidRPr="00575359" w:rsidRDefault="00CF6C5C" w:rsidP="0011009A">
            <w:pPr>
              <w:ind w:firstLine="0"/>
              <w:jc w:val="left"/>
              <w:rPr>
                <w:rFonts w:eastAsia="Times New Roman" w:cs="Times New Roman"/>
                <w:b/>
                <w:bCs/>
                <w:color w:val="000000"/>
                <w:sz w:val="18"/>
                <w:szCs w:val="18"/>
                <w:lang w:eastAsia="lv-LV"/>
              </w:rPr>
            </w:pPr>
            <w:r w:rsidRPr="00575359">
              <w:rPr>
                <w:b/>
                <w:bCs/>
                <w:color w:val="000000"/>
                <w:sz w:val="20"/>
                <w:szCs w:val="20"/>
              </w:rPr>
              <w:t>izlaižu starpība, % no potenciālā IKP</w:t>
            </w:r>
          </w:p>
        </w:tc>
        <w:tc>
          <w:tcPr>
            <w:tcW w:w="1276" w:type="dxa"/>
            <w:shd w:val="clear" w:color="auto" w:fill="auto"/>
            <w:noWrap/>
            <w:vAlign w:val="center"/>
            <w:hideMark/>
          </w:tcPr>
          <w:p w14:paraId="7CDFC676" w14:textId="77777777" w:rsidR="00CF6C5C" w:rsidRPr="00575359" w:rsidRDefault="00CF6C5C" w:rsidP="0011009A">
            <w:pPr>
              <w:ind w:firstLine="0"/>
              <w:jc w:val="center"/>
              <w:rPr>
                <w:rFonts w:eastAsia="Times New Roman" w:cs="Times New Roman"/>
                <w:color w:val="000000"/>
                <w:sz w:val="16"/>
                <w:szCs w:val="16"/>
                <w:lang w:eastAsia="lv-LV"/>
              </w:rPr>
            </w:pPr>
            <w:r w:rsidRPr="00575359">
              <w:rPr>
                <w:rFonts w:eastAsia="Times New Roman" w:cs="Times New Roman"/>
                <w:color w:val="000000"/>
                <w:sz w:val="16"/>
                <w:szCs w:val="16"/>
                <w:lang w:eastAsia="lv-LV"/>
              </w:rPr>
              <w:t>(4)</w:t>
            </w:r>
          </w:p>
        </w:tc>
        <w:tc>
          <w:tcPr>
            <w:tcW w:w="1098" w:type="dxa"/>
            <w:shd w:val="clear" w:color="auto" w:fill="auto"/>
            <w:noWrap/>
            <w:vAlign w:val="center"/>
          </w:tcPr>
          <w:p w14:paraId="2FCD8A90"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sz w:val="20"/>
                <w:szCs w:val="20"/>
              </w:rPr>
              <w:t>-1,1</w:t>
            </w:r>
          </w:p>
        </w:tc>
        <w:tc>
          <w:tcPr>
            <w:tcW w:w="737" w:type="dxa"/>
            <w:shd w:val="clear" w:color="auto" w:fill="E7E6E6" w:themeFill="background2"/>
            <w:noWrap/>
            <w:vAlign w:val="center"/>
            <w:hideMark/>
          </w:tcPr>
          <w:p w14:paraId="7B498D27"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4FB8FF03"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vAlign w:val="center"/>
          </w:tcPr>
          <w:p w14:paraId="071BFB06"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5779BBFE" w14:textId="77777777" w:rsidR="00CF6C5C" w:rsidRPr="00575359" w:rsidRDefault="00CF6C5C" w:rsidP="0011009A">
            <w:pPr>
              <w:ind w:firstLine="0"/>
              <w:jc w:val="center"/>
              <w:rPr>
                <w:rFonts w:eastAsia="Times New Roman" w:cs="Times New Roman"/>
                <w:color w:val="000000"/>
                <w:sz w:val="18"/>
                <w:szCs w:val="18"/>
                <w:lang w:eastAsia="lv-LV"/>
              </w:rPr>
            </w:pPr>
          </w:p>
        </w:tc>
      </w:tr>
      <w:tr w:rsidR="00CF6C5C" w:rsidRPr="00CF6C5C" w14:paraId="0CD7125E" w14:textId="77777777" w:rsidTr="0011009A">
        <w:trPr>
          <w:trHeight w:val="300"/>
        </w:trPr>
        <w:tc>
          <w:tcPr>
            <w:tcW w:w="3397" w:type="dxa"/>
            <w:shd w:val="clear" w:color="auto" w:fill="auto"/>
            <w:noWrap/>
            <w:vAlign w:val="center"/>
          </w:tcPr>
          <w:p w14:paraId="1E733943" w14:textId="77777777" w:rsidR="00CF6C5C" w:rsidRPr="00575359" w:rsidRDefault="00CF6C5C" w:rsidP="0011009A">
            <w:pPr>
              <w:ind w:firstLine="0"/>
              <w:jc w:val="left"/>
              <w:rPr>
                <w:rFonts w:eastAsia="Times New Roman" w:cs="Times New Roman"/>
                <w:b/>
                <w:bCs/>
                <w:color w:val="000000"/>
                <w:sz w:val="18"/>
                <w:szCs w:val="18"/>
                <w:lang w:eastAsia="lv-LV"/>
              </w:rPr>
            </w:pPr>
            <w:r w:rsidRPr="00575359">
              <w:rPr>
                <w:b/>
                <w:bCs/>
                <w:color w:val="000000"/>
                <w:sz w:val="20"/>
                <w:szCs w:val="20"/>
              </w:rPr>
              <w:t>bilances cikliskā komponente, % no IKP</w:t>
            </w:r>
          </w:p>
        </w:tc>
        <w:tc>
          <w:tcPr>
            <w:tcW w:w="1276" w:type="dxa"/>
            <w:shd w:val="clear" w:color="auto" w:fill="auto"/>
            <w:noWrap/>
            <w:vAlign w:val="center"/>
            <w:hideMark/>
          </w:tcPr>
          <w:p w14:paraId="4568749D" w14:textId="77777777" w:rsidR="00CF6C5C" w:rsidRPr="00575359" w:rsidRDefault="00CF6C5C" w:rsidP="0011009A">
            <w:pPr>
              <w:ind w:firstLine="0"/>
              <w:jc w:val="center"/>
              <w:rPr>
                <w:rFonts w:eastAsia="Times New Roman" w:cs="Times New Roman"/>
                <w:color w:val="000000"/>
                <w:sz w:val="16"/>
                <w:szCs w:val="16"/>
                <w:lang w:eastAsia="lv-LV"/>
              </w:rPr>
            </w:pPr>
            <w:r w:rsidRPr="00575359">
              <w:rPr>
                <w:rFonts w:eastAsia="Times New Roman" w:cs="Times New Roman"/>
                <w:color w:val="000000"/>
                <w:sz w:val="16"/>
                <w:szCs w:val="16"/>
                <w:lang w:eastAsia="lv-LV"/>
              </w:rPr>
              <w:t>(5)=0,378*(4)</w:t>
            </w:r>
          </w:p>
        </w:tc>
        <w:tc>
          <w:tcPr>
            <w:tcW w:w="1098" w:type="dxa"/>
            <w:shd w:val="clear" w:color="auto" w:fill="auto"/>
            <w:noWrap/>
            <w:vAlign w:val="center"/>
          </w:tcPr>
          <w:p w14:paraId="534E8A7E"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sz w:val="20"/>
                <w:szCs w:val="20"/>
              </w:rPr>
              <w:t>-0,4</w:t>
            </w:r>
          </w:p>
        </w:tc>
        <w:tc>
          <w:tcPr>
            <w:tcW w:w="737" w:type="dxa"/>
            <w:shd w:val="clear" w:color="auto" w:fill="E7E6E6" w:themeFill="background2"/>
            <w:noWrap/>
            <w:vAlign w:val="center"/>
            <w:hideMark/>
          </w:tcPr>
          <w:p w14:paraId="0723ED5A"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0855468D"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vAlign w:val="center"/>
          </w:tcPr>
          <w:p w14:paraId="4A80532F"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38040240" w14:textId="77777777" w:rsidR="00CF6C5C" w:rsidRPr="00575359" w:rsidRDefault="00CF6C5C" w:rsidP="0011009A">
            <w:pPr>
              <w:ind w:firstLine="0"/>
              <w:jc w:val="center"/>
              <w:rPr>
                <w:rFonts w:eastAsia="Times New Roman" w:cs="Times New Roman"/>
                <w:color w:val="000000"/>
                <w:sz w:val="18"/>
                <w:szCs w:val="18"/>
                <w:lang w:eastAsia="lv-LV"/>
              </w:rPr>
            </w:pPr>
          </w:p>
        </w:tc>
      </w:tr>
      <w:tr w:rsidR="00CF6C5C" w:rsidRPr="00CF6C5C" w14:paraId="45AB7205" w14:textId="77777777" w:rsidTr="0011009A">
        <w:trPr>
          <w:trHeight w:val="300"/>
        </w:trPr>
        <w:tc>
          <w:tcPr>
            <w:tcW w:w="3397" w:type="dxa"/>
            <w:shd w:val="clear" w:color="auto" w:fill="auto"/>
            <w:noWrap/>
            <w:vAlign w:val="center"/>
          </w:tcPr>
          <w:p w14:paraId="31E84DB5" w14:textId="77777777" w:rsidR="00CF6C5C" w:rsidRPr="00575359" w:rsidRDefault="00CF6C5C" w:rsidP="0011009A">
            <w:pPr>
              <w:ind w:firstLine="0"/>
              <w:jc w:val="left"/>
              <w:rPr>
                <w:rFonts w:eastAsia="Times New Roman" w:cs="Times New Roman"/>
                <w:b/>
                <w:bCs/>
                <w:color w:val="000000"/>
                <w:sz w:val="18"/>
                <w:szCs w:val="18"/>
                <w:lang w:eastAsia="lv-LV"/>
              </w:rPr>
            </w:pPr>
            <w:proofErr w:type="spellStart"/>
            <w:r w:rsidRPr="00575359">
              <w:rPr>
                <w:b/>
                <w:bCs/>
                <w:i/>
                <w:iCs/>
                <w:color w:val="000000"/>
                <w:sz w:val="20"/>
                <w:szCs w:val="20"/>
              </w:rPr>
              <w:t>one-off</w:t>
            </w:r>
            <w:proofErr w:type="spellEnd"/>
            <w:r w:rsidRPr="00575359">
              <w:rPr>
                <w:b/>
                <w:bCs/>
                <w:color w:val="000000"/>
                <w:sz w:val="20"/>
                <w:szCs w:val="20"/>
              </w:rPr>
              <w:t xml:space="preserve"> un citi īslaicīgie pasākumi, % no IKP, tai skaitā</w:t>
            </w:r>
          </w:p>
        </w:tc>
        <w:tc>
          <w:tcPr>
            <w:tcW w:w="1276" w:type="dxa"/>
            <w:shd w:val="clear" w:color="auto" w:fill="auto"/>
            <w:noWrap/>
            <w:vAlign w:val="center"/>
            <w:hideMark/>
          </w:tcPr>
          <w:p w14:paraId="37F9DD04" w14:textId="77777777" w:rsidR="00CF6C5C" w:rsidRPr="00575359" w:rsidRDefault="00CF6C5C" w:rsidP="0011009A">
            <w:pPr>
              <w:ind w:firstLine="0"/>
              <w:jc w:val="center"/>
              <w:rPr>
                <w:rFonts w:eastAsia="Times New Roman" w:cs="Times New Roman"/>
                <w:b/>
                <w:bCs/>
                <w:color w:val="000000"/>
                <w:sz w:val="16"/>
                <w:szCs w:val="16"/>
                <w:lang w:eastAsia="lv-LV"/>
              </w:rPr>
            </w:pPr>
            <w:r w:rsidRPr="00575359">
              <w:rPr>
                <w:rFonts w:eastAsia="Times New Roman" w:cs="Times New Roman"/>
                <w:b/>
                <w:bCs/>
                <w:color w:val="000000"/>
                <w:sz w:val="16"/>
                <w:szCs w:val="16"/>
                <w:lang w:eastAsia="lv-LV"/>
              </w:rPr>
              <w:t>(6)=(7)+(8)+(9)</w:t>
            </w:r>
          </w:p>
          <w:p w14:paraId="07A0A824" w14:textId="77777777" w:rsidR="00CF6C5C" w:rsidRPr="00575359" w:rsidRDefault="00CF6C5C" w:rsidP="0011009A">
            <w:pPr>
              <w:ind w:firstLine="0"/>
              <w:jc w:val="center"/>
              <w:rPr>
                <w:rFonts w:eastAsia="Times New Roman" w:cs="Times New Roman"/>
                <w:b/>
                <w:bCs/>
                <w:color w:val="000000"/>
                <w:sz w:val="16"/>
                <w:szCs w:val="16"/>
                <w:lang w:eastAsia="lv-LV"/>
              </w:rPr>
            </w:pPr>
            <w:r w:rsidRPr="00575359">
              <w:rPr>
                <w:rFonts w:eastAsia="Times New Roman" w:cs="Times New Roman"/>
                <w:b/>
                <w:bCs/>
                <w:color w:val="000000"/>
                <w:sz w:val="16"/>
                <w:szCs w:val="16"/>
                <w:lang w:eastAsia="lv-LV"/>
              </w:rPr>
              <w:t>+(10)+(11)</w:t>
            </w:r>
          </w:p>
        </w:tc>
        <w:tc>
          <w:tcPr>
            <w:tcW w:w="1098" w:type="dxa"/>
            <w:shd w:val="clear" w:color="auto" w:fill="auto"/>
            <w:noWrap/>
            <w:vAlign w:val="center"/>
          </w:tcPr>
          <w:p w14:paraId="395F1DB5"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b/>
                <w:bCs/>
                <w:sz w:val="20"/>
                <w:szCs w:val="20"/>
              </w:rPr>
              <w:t>-1,7</w:t>
            </w:r>
          </w:p>
        </w:tc>
        <w:tc>
          <w:tcPr>
            <w:tcW w:w="737" w:type="dxa"/>
            <w:shd w:val="clear" w:color="auto" w:fill="E7E6E6" w:themeFill="background2"/>
            <w:noWrap/>
            <w:vAlign w:val="center"/>
            <w:hideMark/>
          </w:tcPr>
          <w:p w14:paraId="11037E2D" w14:textId="77777777" w:rsidR="00CF6C5C" w:rsidRPr="00575359" w:rsidRDefault="00CF6C5C" w:rsidP="0011009A">
            <w:pPr>
              <w:ind w:firstLine="0"/>
              <w:jc w:val="center"/>
              <w:rPr>
                <w:rFonts w:eastAsia="Times New Roman" w:cs="Times New Roman"/>
                <w:b/>
                <w:bCs/>
                <w:color w:val="000000"/>
                <w:sz w:val="18"/>
                <w:szCs w:val="18"/>
                <w:lang w:eastAsia="lv-LV"/>
              </w:rPr>
            </w:pPr>
          </w:p>
        </w:tc>
        <w:tc>
          <w:tcPr>
            <w:tcW w:w="737" w:type="dxa"/>
            <w:shd w:val="clear" w:color="auto" w:fill="E7E6E6" w:themeFill="background2"/>
            <w:noWrap/>
            <w:vAlign w:val="center"/>
            <w:hideMark/>
          </w:tcPr>
          <w:p w14:paraId="4E0C3A85" w14:textId="77777777" w:rsidR="00CF6C5C" w:rsidRPr="00575359" w:rsidRDefault="00CF6C5C" w:rsidP="0011009A">
            <w:pPr>
              <w:ind w:firstLine="0"/>
              <w:jc w:val="center"/>
              <w:rPr>
                <w:rFonts w:eastAsia="Times New Roman" w:cs="Times New Roman"/>
                <w:b/>
                <w:bCs/>
                <w:color w:val="000000"/>
                <w:sz w:val="18"/>
                <w:szCs w:val="18"/>
                <w:lang w:eastAsia="lv-LV"/>
              </w:rPr>
            </w:pPr>
          </w:p>
        </w:tc>
        <w:tc>
          <w:tcPr>
            <w:tcW w:w="737" w:type="dxa"/>
            <w:shd w:val="clear" w:color="auto" w:fill="E7E6E6" w:themeFill="background2"/>
            <w:vAlign w:val="center"/>
          </w:tcPr>
          <w:p w14:paraId="462DE6AB" w14:textId="77777777" w:rsidR="00CF6C5C" w:rsidRPr="00575359" w:rsidRDefault="00CF6C5C" w:rsidP="0011009A">
            <w:pPr>
              <w:ind w:firstLine="0"/>
              <w:jc w:val="center"/>
              <w:rPr>
                <w:rFonts w:eastAsia="Times New Roman" w:cs="Times New Roman"/>
                <w:b/>
                <w:bCs/>
                <w:color w:val="000000"/>
                <w:sz w:val="18"/>
                <w:szCs w:val="18"/>
                <w:lang w:eastAsia="lv-LV"/>
              </w:rPr>
            </w:pPr>
          </w:p>
        </w:tc>
        <w:tc>
          <w:tcPr>
            <w:tcW w:w="737" w:type="dxa"/>
            <w:shd w:val="clear" w:color="auto" w:fill="E7E6E6" w:themeFill="background2"/>
            <w:noWrap/>
            <w:vAlign w:val="center"/>
            <w:hideMark/>
          </w:tcPr>
          <w:p w14:paraId="69F70C9A" w14:textId="77777777" w:rsidR="00CF6C5C" w:rsidRPr="00575359" w:rsidRDefault="00CF6C5C" w:rsidP="0011009A">
            <w:pPr>
              <w:ind w:firstLine="0"/>
              <w:jc w:val="center"/>
              <w:rPr>
                <w:rFonts w:eastAsia="Times New Roman" w:cs="Times New Roman"/>
                <w:b/>
                <w:bCs/>
                <w:color w:val="000000"/>
                <w:sz w:val="18"/>
                <w:szCs w:val="18"/>
                <w:lang w:eastAsia="lv-LV"/>
              </w:rPr>
            </w:pPr>
          </w:p>
        </w:tc>
      </w:tr>
      <w:tr w:rsidR="00CF6C5C" w:rsidRPr="00CF6C5C" w14:paraId="5DC4CD44" w14:textId="77777777" w:rsidTr="0011009A">
        <w:trPr>
          <w:trHeight w:val="300"/>
        </w:trPr>
        <w:tc>
          <w:tcPr>
            <w:tcW w:w="3397" w:type="dxa"/>
            <w:shd w:val="clear" w:color="auto" w:fill="auto"/>
            <w:noWrap/>
            <w:vAlign w:val="center"/>
          </w:tcPr>
          <w:p w14:paraId="5D42103E" w14:textId="77777777" w:rsidR="00CF6C5C" w:rsidRPr="00575359" w:rsidRDefault="00CF6C5C" w:rsidP="0011009A">
            <w:pPr>
              <w:ind w:firstLineChars="200" w:firstLine="320"/>
              <w:contextualSpacing/>
              <w:jc w:val="left"/>
              <w:rPr>
                <w:rFonts w:eastAsia="Times New Roman" w:cs="Times New Roman"/>
                <w:color w:val="000000"/>
                <w:sz w:val="18"/>
                <w:szCs w:val="18"/>
                <w:lang w:eastAsia="lv-LV"/>
              </w:rPr>
            </w:pPr>
            <w:r w:rsidRPr="00575359">
              <w:rPr>
                <w:color w:val="000000"/>
                <w:sz w:val="16"/>
                <w:szCs w:val="16"/>
              </w:rPr>
              <w:t>COVID -19 pandēmijas mazināšanas pasākumi</w:t>
            </w:r>
          </w:p>
        </w:tc>
        <w:tc>
          <w:tcPr>
            <w:tcW w:w="1276" w:type="dxa"/>
            <w:shd w:val="clear" w:color="auto" w:fill="auto"/>
            <w:noWrap/>
            <w:vAlign w:val="center"/>
            <w:hideMark/>
          </w:tcPr>
          <w:p w14:paraId="4A75FFFA" w14:textId="77777777" w:rsidR="00CF6C5C" w:rsidRPr="00575359" w:rsidRDefault="00CF6C5C" w:rsidP="0011009A">
            <w:pPr>
              <w:ind w:firstLine="0"/>
              <w:jc w:val="center"/>
              <w:rPr>
                <w:rFonts w:eastAsia="Times New Roman" w:cs="Times New Roman"/>
                <w:color w:val="000000"/>
                <w:sz w:val="16"/>
                <w:szCs w:val="16"/>
                <w:lang w:eastAsia="lv-LV"/>
              </w:rPr>
            </w:pPr>
            <w:r w:rsidRPr="00575359">
              <w:rPr>
                <w:rFonts w:eastAsia="Times New Roman" w:cs="Times New Roman"/>
                <w:color w:val="000000"/>
                <w:sz w:val="16"/>
                <w:szCs w:val="16"/>
                <w:lang w:eastAsia="lv-LV"/>
              </w:rPr>
              <w:t>(7)</w:t>
            </w:r>
          </w:p>
        </w:tc>
        <w:tc>
          <w:tcPr>
            <w:tcW w:w="1098" w:type="dxa"/>
            <w:shd w:val="clear" w:color="auto" w:fill="auto"/>
            <w:noWrap/>
            <w:vAlign w:val="center"/>
          </w:tcPr>
          <w:p w14:paraId="2BE9F16A"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sz w:val="20"/>
                <w:szCs w:val="20"/>
              </w:rPr>
              <w:t>-0,02</w:t>
            </w:r>
          </w:p>
        </w:tc>
        <w:tc>
          <w:tcPr>
            <w:tcW w:w="737" w:type="dxa"/>
            <w:shd w:val="clear" w:color="auto" w:fill="E7E6E6" w:themeFill="background2"/>
            <w:noWrap/>
            <w:vAlign w:val="center"/>
            <w:hideMark/>
          </w:tcPr>
          <w:p w14:paraId="48DF2FF2"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353F38D9"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vAlign w:val="center"/>
          </w:tcPr>
          <w:p w14:paraId="55749FD1"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7623FD99" w14:textId="77777777" w:rsidR="00CF6C5C" w:rsidRPr="00575359" w:rsidRDefault="00CF6C5C" w:rsidP="0011009A">
            <w:pPr>
              <w:ind w:firstLine="0"/>
              <w:jc w:val="center"/>
              <w:rPr>
                <w:rFonts w:eastAsia="Times New Roman" w:cs="Times New Roman"/>
                <w:color w:val="000000"/>
                <w:sz w:val="18"/>
                <w:szCs w:val="18"/>
                <w:lang w:eastAsia="lv-LV"/>
              </w:rPr>
            </w:pPr>
          </w:p>
        </w:tc>
      </w:tr>
      <w:tr w:rsidR="00CF6C5C" w:rsidRPr="00CF6C5C" w14:paraId="68DA7095" w14:textId="77777777" w:rsidTr="0011009A">
        <w:trPr>
          <w:trHeight w:val="427"/>
        </w:trPr>
        <w:tc>
          <w:tcPr>
            <w:tcW w:w="3397" w:type="dxa"/>
            <w:shd w:val="clear" w:color="auto" w:fill="auto"/>
            <w:noWrap/>
            <w:vAlign w:val="center"/>
          </w:tcPr>
          <w:p w14:paraId="62039F1D" w14:textId="77777777" w:rsidR="00CF6C5C" w:rsidRPr="00575359" w:rsidRDefault="00CF6C5C" w:rsidP="0011009A">
            <w:pPr>
              <w:ind w:firstLineChars="200" w:firstLine="320"/>
              <w:contextualSpacing/>
              <w:jc w:val="left"/>
              <w:rPr>
                <w:rFonts w:eastAsia="Times New Roman" w:cs="Times New Roman"/>
                <w:color w:val="000000"/>
                <w:sz w:val="18"/>
                <w:szCs w:val="18"/>
                <w:lang w:eastAsia="lv-LV"/>
              </w:rPr>
            </w:pPr>
            <w:r w:rsidRPr="00575359">
              <w:rPr>
                <w:color w:val="000000"/>
                <w:sz w:val="16"/>
                <w:szCs w:val="16"/>
              </w:rPr>
              <w:t>enerģijas cenas pieauguma mazināšanas pasākumi</w:t>
            </w:r>
          </w:p>
        </w:tc>
        <w:tc>
          <w:tcPr>
            <w:tcW w:w="1276" w:type="dxa"/>
            <w:shd w:val="clear" w:color="auto" w:fill="auto"/>
            <w:noWrap/>
            <w:vAlign w:val="center"/>
            <w:hideMark/>
          </w:tcPr>
          <w:p w14:paraId="3FFC0D94" w14:textId="77777777" w:rsidR="00CF6C5C" w:rsidRPr="00575359" w:rsidRDefault="00CF6C5C" w:rsidP="0011009A">
            <w:pPr>
              <w:ind w:firstLine="0"/>
              <w:jc w:val="center"/>
              <w:rPr>
                <w:rFonts w:eastAsia="Times New Roman" w:cs="Times New Roman"/>
                <w:color w:val="000000"/>
                <w:sz w:val="16"/>
                <w:szCs w:val="16"/>
                <w:lang w:eastAsia="lv-LV"/>
              </w:rPr>
            </w:pPr>
            <w:r w:rsidRPr="00575359">
              <w:rPr>
                <w:rFonts w:eastAsia="Times New Roman" w:cs="Times New Roman"/>
                <w:color w:val="000000"/>
                <w:sz w:val="16"/>
                <w:szCs w:val="16"/>
                <w:lang w:eastAsia="lv-LV"/>
              </w:rPr>
              <w:t>(8)</w:t>
            </w:r>
          </w:p>
        </w:tc>
        <w:tc>
          <w:tcPr>
            <w:tcW w:w="1098" w:type="dxa"/>
            <w:shd w:val="clear" w:color="auto" w:fill="auto"/>
            <w:noWrap/>
            <w:vAlign w:val="center"/>
          </w:tcPr>
          <w:p w14:paraId="43A1ABC6"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sz w:val="20"/>
                <w:szCs w:val="20"/>
              </w:rPr>
              <w:t>0,0</w:t>
            </w:r>
          </w:p>
        </w:tc>
        <w:tc>
          <w:tcPr>
            <w:tcW w:w="737" w:type="dxa"/>
            <w:shd w:val="clear" w:color="auto" w:fill="E7E6E6" w:themeFill="background2"/>
            <w:noWrap/>
            <w:vAlign w:val="center"/>
            <w:hideMark/>
          </w:tcPr>
          <w:p w14:paraId="2C47AFEF"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553537F8"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vAlign w:val="center"/>
          </w:tcPr>
          <w:p w14:paraId="75B0FE41"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hideMark/>
          </w:tcPr>
          <w:p w14:paraId="221709AA" w14:textId="77777777" w:rsidR="00CF6C5C" w:rsidRPr="00575359" w:rsidRDefault="00CF6C5C" w:rsidP="0011009A">
            <w:pPr>
              <w:ind w:firstLine="0"/>
              <w:jc w:val="center"/>
              <w:rPr>
                <w:rFonts w:eastAsia="Times New Roman" w:cs="Times New Roman"/>
                <w:color w:val="000000"/>
                <w:sz w:val="18"/>
                <w:szCs w:val="18"/>
                <w:lang w:eastAsia="lv-LV"/>
              </w:rPr>
            </w:pPr>
          </w:p>
        </w:tc>
      </w:tr>
      <w:tr w:rsidR="00CF6C5C" w:rsidRPr="00CF6C5C" w14:paraId="12AF7CC2" w14:textId="77777777" w:rsidTr="0011009A">
        <w:trPr>
          <w:trHeight w:val="427"/>
        </w:trPr>
        <w:tc>
          <w:tcPr>
            <w:tcW w:w="3397" w:type="dxa"/>
            <w:shd w:val="clear" w:color="auto" w:fill="auto"/>
            <w:noWrap/>
            <w:vAlign w:val="center"/>
          </w:tcPr>
          <w:p w14:paraId="1F1DFC51" w14:textId="77777777" w:rsidR="00CF6C5C" w:rsidRPr="00575359" w:rsidRDefault="00CF6C5C" w:rsidP="0011009A">
            <w:pPr>
              <w:ind w:firstLineChars="200" w:firstLine="320"/>
              <w:contextualSpacing/>
              <w:jc w:val="left"/>
              <w:rPr>
                <w:rFonts w:eastAsia="Times New Roman" w:cs="Times New Roman"/>
                <w:color w:val="000000"/>
                <w:sz w:val="18"/>
                <w:szCs w:val="18"/>
                <w:lang w:eastAsia="lv-LV"/>
              </w:rPr>
            </w:pPr>
            <w:r w:rsidRPr="00575359">
              <w:rPr>
                <w:color w:val="000000"/>
                <w:sz w:val="16"/>
                <w:szCs w:val="16"/>
              </w:rPr>
              <w:t>aizsardzības un iekšējās drošības finansējums</w:t>
            </w:r>
          </w:p>
        </w:tc>
        <w:tc>
          <w:tcPr>
            <w:tcW w:w="1276" w:type="dxa"/>
            <w:shd w:val="clear" w:color="auto" w:fill="auto"/>
            <w:noWrap/>
            <w:vAlign w:val="center"/>
          </w:tcPr>
          <w:p w14:paraId="5C657063" w14:textId="77777777" w:rsidR="00CF6C5C" w:rsidRPr="00575359" w:rsidRDefault="00CF6C5C" w:rsidP="0011009A">
            <w:pPr>
              <w:ind w:firstLine="0"/>
              <w:jc w:val="center"/>
              <w:rPr>
                <w:rFonts w:eastAsia="Times New Roman" w:cs="Times New Roman"/>
                <w:color w:val="000000"/>
                <w:sz w:val="16"/>
                <w:szCs w:val="16"/>
                <w:lang w:eastAsia="lv-LV"/>
              </w:rPr>
            </w:pPr>
            <w:r w:rsidRPr="00575359">
              <w:rPr>
                <w:rFonts w:eastAsia="Times New Roman" w:cs="Times New Roman"/>
                <w:color w:val="000000"/>
                <w:sz w:val="16"/>
                <w:szCs w:val="16"/>
                <w:lang w:eastAsia="lv-LV"/>
              </w:rPr>
              <w:t>(9)</w:t>
            </w:r>
          </w:p>
        </w:tc>
        <w:tc>
          <w:tcPr>
            <w:tcW w:w="1098" w:type="dxa"/>
            <w:shd w:val="clear" w:color="auto" w:fill="auto"/>
            <w:noWrap/>
            <w:vAlign w:val="center"/>
          </w:tcPr>
          <w:p w14:paraId="3A957250"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sz w:val="20"/>
                <w:szCs w:val="20"/>
              </w:rPr>
              <w:t>-0,8</w:t>
            </w:r>
          </w:p>
        </w:tc>
        <w:tc>
          <w:tcPr>
            <w:tcW w:w="737" w:type="dxa"/>
            <w:shd w:val="clear" w:color="auto" w:fill="E7E6E6" w:themeFill="background2"/>
            <w:noWrap/>
            <w:vAlign w:val="center"/>
          </w:tcPr>
          <w:p w14:paraId="124F3391"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tcPr>
          <w:p w14:paraId="037A069D"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vAlign w:val="center"/>
          </w:tcPr>
          <w:p w14:paraId="7B5C6CB4"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tcPr>
          <w:p w14:paraId="23C33406" w14:textId="77777777" w:rsidR="00CF6C5C" w:rsidRPr="00575359" w:rsidRDefault="00CF6C5C" w:rsidP="0011009A">
            <w:pPr>
              <w:ind w:firstLine="0"/>
              <w:jc w:val="center"/>
              <w:rPr>
                <w:rFonts w:eastAsia="Times New Roman" w:cs="Times New Roman"/>
                <w:color w:val="000000"/>
                <w:sz w:val="18"/>
                <w:szCs w:val="18"/>
                <w:lang w:eastAsia="lv-LV"/>
              </w:rPr>
            </w:pPr>
          </w:p>
        </w:tc>
      </w:tr>
      <w:tr w:rsidR="00CF6C5C" w:rsidRPr="00CF6C5C" w14:paraId="7282DFC7" w14:textId="77777777" w:rsidTr="0011009A">
        <w:trPr>
          <w:trHeight w:val="387"/>
        </w:trPr>
        <w:tc>
          <w:tcPr>
            <w:tcW w:w="3397" w:type="dxa"/>
            <w:shd w:val="clear" w:color="auto" w:fill="auto"/>
            <w:noWrap/>
            <w:vAlign w:val="center"/>
          </w:tcPr>
          <w:p w14:paraId="7151E941" w14:textId="77777777" w:rsidR="00CF6C5C" w:rsidRPr="00575359" w:rsidRDefault="00CF6C5C" w:rsidP="0011009A">
            <w:pPr>
              <w:ind w:firstLineChars="200" w:firstLine="320"/>
              <w:contextualSpacing/>
              <w:jc w:val="left"/>
              <w:rPr>
                <w:rFonts w:eastAsia="Times New Roman" w:cs="Times New Roman"/>
                <w:color w:val="000000"/>
                <w:sz w:val="18"/>
                <w:szCs w:val="18"/>
                <w:lang w:eastAsia="lv-LV"/>
              </w:rPr>
            </w:pPr>
            <w:r w:rsidRPr="00575359">
              <w:rPr>
                <w:color w:val="000000"/>
                <w:sz w:val="16"/>
                <w:szCs w:val="16"/>
              </w:rPr>
              <w:t>atbalsts bēgļiem no Ukrainas</w:t>
            </w:r>
          </w:p>
        </w:tc>
        <w:tc>
          <w:tcPr>
            <w:tcW w:w="1276" w:type="dxa"/>
            <w:shd w:val="clear" w:color="auto" w:fill="auto"/>
            <w:noWrap/>
            <w:vAlign w:val="center"/>
          </w:tcPr>
          <w:p w14:paraId="6E6E4717" w14:textId="77777777" w:rsidR="00CF6C5C" w:rsidRPr="00575359" w:rsidRDefault="00CF6C5C" w:rsidP="0011009A">
            <w:pPr>
              <w:ind w:firstLine="0"/>
              <w:jc w:val="center"/>
              <w:rPr>
                <w:rFonts w:eastAsia="Times New Roman" w:cs="Times New Roman"/>
                <w:color w:val="000000"/>
                <w:sz w:val="16"/>
                <w:szCs w:val="16"/>
                <w:lang w:eastAsia="lv-LV"/>
              </w:rPr>
            </w:pPr>
            <w:r w:rsidRPr="00575359">
              <w:rPr>
                <w:rFonts w:eastAsia="Times New Roman" w:cs="Times New Roman"/>
                <w:color w:val="000000"/>
                <w:sz w:val="16"/>
                <w:szCs w:val="16"/>
                <w:lang w:eastAsia="lv-LV"/>
              </w:rPr>
              <w:t>(10)</w:t>
            </w:r>
          </w:p>
        </w:tc>
        <w:tc>
          <w:tcPr>
            <w:tcW w:w="1098" w:type="dxa"/>
            <w:shd w:val="clear" w:color="auto" w:fill="auto"/>
            <w:noWrap/>
            <w:vAlign w:val="center"/>
          </w:tcPr>
          <w:p w14:paraId="17AA2D87"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sz w:val="20"/>
                <w:szCs w:val="20"/>
              </w:rPr>
              <w:t>-0,2</w:t>
            </w:r>
          </w:p>
        </w:tc>
        <w:tc>
          <w:tcPr>
            <w:tcW w:w="737" w:type="dxa"/>
            <w:shd w:val="clear" w:color="auto" w:fill="E7E6E6" w:themeFill="background2"/>
            <w:noWrap/>
            <w:vAlign w:val="center"/>
          </w:tcPr>
          <w:p w14:paraId="76A1445E"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tcPr>
          <w:p w14:paraId="23C8D06C"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vAlign w:val="center"/>
          </w:tcPr>
          <w:p w14:paraId="69F085E4"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tcPr>
          <w:p w14:paraId="4B4D60AE" w14:textId="77777777" w:rsidR="00CF6C5C" w:rsidRPr="00575359" w:rsidRDefault="00CF6C5C" w:rsidP="0011009A">
            <w:pPr>
              <w:ind w:firstLine="0"/>
              <w:jc w:val="center"/>
              <w:rPr>
                <w:rFonts w:eastAsia="Times New Roman" w:cs="Times New Roman"/>
                <w:color w:val="000000"/>
                <w:sz w:val="18"/>
                <w:szCs w:val="18"/>
                <w:lang w:eastAsia="lv-LV"/>
              </w:rPr>
            </w:pPr>
          </w:p>
        </w:tc>
      </w:tr>
      <w:tr w:rsidR="00CF6C5C" w:rsidRPr="00CF6C5C" w14:paraId="768E1B0E" w14:textId="77777777" w:rsidTr="0011009A">
        <w:trPr>
          <w:trHeight w:val="511"/>
        </w:trPr>
        <w:tc>
          <w:tcPr>
            <w:tcW w:w="3397" w:type="dxa"/>
            <w:shd w:val="clear" w:color="auto" w:fill="auto"/>
            <w:noWrap/>
            <w:vAlign w:val="center"/>
          </w:tcPr>
          <w:p w14:paraId="21CFDD11" w14:textId="77777777" w:rsidR="00CF6C5C" w:rsidRPr="00575359" w:rsidRDefault="00CF6C5C" w:rsidP="0011009A">
            <w:pPr>
              <w:ind w:firstLineChars="200" w:firstLine="320"/>
              <w:contextualSpacing/>
              <w:jc w:val="left"/>
              <w:rPr>
                <w:rFonts w:eastAsia="Times New Roman" w:cs="Times New Roman"/>
                <w:color w:val="000000"/>
                <w:sz w:val="18"/>
                <w:szCs w:val="18"/>
                <w:lang w:eastAsia="lv-LV"/>
              </w:rPr>
            </w:pPr>
            <w:r w:rsidRPr="00575359">
              <w:rPr>
                <w:color w:val="000000"/>
                <w:sz w:val="16"/>
                <w:szCs w:val="16"/>
              </w:rPr>
              <w:t>citi/vienreizējie izdevumi valsts aizsardzībai un iekšējai drošībai</w:t>
            </w:r>
          </w:p>
        </w:tc>
        <w:tc>
          <w:tcPr>
            <w:tcW w:w="1276" w:type="dxa"/>
            <w:shd w:val="clear" w:color="auto" w:fill="auto"/>
            <w:noWrap/>
            <w:vAlign w:val="center"/>
          </w:tcPr>
          <w:p w14:paraId="3E608DBF" w14:textId="77777777" w:rsidR="00CF6C5C" w:rsidRPr="00575359" w:rsidRDefault="00CF6C5C" w:rsidP="0011009A">
            <w:pPr>
              <w:ind w:firstLine="0"/>
              <w:jc w:val="center"/>
              <w:rPr>
                <w:rFonts w:eastAsia="Times New Roman" w:cs="Times New Roman"/>
                <w:color w:val="000000"/>
                <w:sz w:val="16"/>
                <w:szCs w:val="16"/>
                <w:lang w:eastAsia="lv-LV"/>
              </w:rPr>
            </w:pPr>
            <w:r w:rsidRPr="00575359">
              <w:rPr>
                <w:rFonts w:eastAsia="Times New Roman" w:cs="Times New Roman"/>
                <w:color w:val="000000"/>
                <w:sz w:val="16"/>
                <w:szCs w:val="16"/>
                <w:lang w:eastAsia="lv-LV"/>
              </w:rPr>
              <w:t>(11)</w:t>
            </w:r>
          </w:p>
        </w:tc>
        <w:tc>
          <w:tcPr>
            <w:tcW w:w="1098" w:type="dxa"/>
            <w:shd w:val="clear" w:color="auto" w:fill="auto"/>
            <w:noWrap/>
            <w:vAlign w:val="center"/>
          </w:tcPr>
          <w:p w14:paraId="192AB78C" w14:textId="77777777" w:rsidR="00CF6C5C" w:rsidRPr="00575359" w:rsidRDefault="00CF6C5C" w:rsidP="0011009A">
            <w:pPr>
              <w:ind w:firstLine="0"/>
              <w:jc w:val="center"/>
              <w:rPr>
                <w:rFonts w:eastAsia="Times New Roman" w:cs="Times New Roman"/>
                <w:color w:val="000000"/>
                <w:sz w:val="18"/>
                <w:szCs w:val="18"/>
                <w:lang w:eastAsia="lv-LV"/>
              </w:rPr>
            </w:pPr>
            <w:r w:rsidRPr="00575359">
              <w:rPr>
                <w:sz w:val="20"/>
                <w:szCs w:val="20"/>
              </w:rPr>
              <w:t>-0,7</w:t>
            </w:r>
          </w:p>
        </w:tc>
        <w:tc>
          <w:tcPr>
            <w:tcW w:w="737" w:type="dxa"/>
            <w:shd w:val="clear" w:color="auto" w:fill="E7E6E6" w:themeFill="background2"/>
            <w:noWrap/>
            <w:vAlign w:val="center"/>
          </w:tcPr>
          <w:p w14:paraId="16D04390"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tcPr>
          <w:p w14:paraId="4EBCACA6"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vAlign w:val="center"/>
          </w:tcPr>
          <w:p w14:paraId="37384521" w14:textId="77777777" w:rsidR="00CF6C5C" w:rsidRPr="00575359" w:rsidRDefault="00CF6C5C" w:rsidP="0011009A">
            <w:pPr>
              <w:ind w:firstLine="0"/>
              <w:jc w:val="center"/>
              <w:rPr>
                <w:rFonts w:eastAsia="Times New Roman" w:cs="Times New Roman"/>
                <w:color w:val="000000"/>
                <w:sz w:val="18"/>
                <w:szCs w:val="18"/>
                <w:lang w:eastAsia="lv-LV"/>
              </w:rPr>
            </w:pPr>
          </w:p>
        </w:tc>
        <w:tc>
          <w:tcPr>
            <w:tcW w:w="737" w:type="dxa"/>
            <w:shd w:val="clear" w:color="auto" w:fill="E7E6E6" w:themeFill="background2"/>
            <w:noWrap/>
            <w:vAlign w:val="center"/>
          </w:tcPr>
          <w:p w14:paraId="04C0E141" w14:textId="77777777" w:rsidR="00CF6C5C" w:rsidRPr="00575359" w:rsidRDefault="00CF6C5C" w:rsidP="0011009A">
            <w:pPr>
              <w:ind w:firstLine="0"/>
              <w:jc w:val="center"/>
              <w:rPr>
                <w:rFonts w:eastAsia="Times New Roman" w:cs="Times New Roman"/>
                <w:color w:val="000000"/>
                <w:sz w:val="18"/>
                <w:szCs w:val="18"/>
                <w:lang w:eastAsia="lv-LV"/>
              </w:rPr>
            </w:pPr>
          </w:p>
        </w:tc>
      </w:tr>
      <w:tr w:rsidR="00CF6C5C" w:rsidRPr="00CF6C5C" w14:paraId="1A9EA09D" w14:textId="77777777" w:rsidTr="0011009A">
        <w:trPr>
          <w:trHeight w:val="310"/>
        </w:trPr>
        <w:tc>
          <w:tcPr>
            <w:tcW w:w="3397" w:type="dxa"/>
            <w:shd w:val="clear" w:color="auto" w:fill="DEEAF6" w:themeFill="accent1" w:themeFillTint="33"/>
            <w:noWrap/>
            <w:vAlign w:val="center"/>
            <w:hideMark/>
          </w:tcPr>
          <w:p w14:paraId="44B0DAE0" w14:textId="77777777" w:rsidR="00CF6C5C" w:rsidRPr="00575359" w:rsidRDefault="00CF6C5C" w:rsidP="0011009A">
            <w:pPr>
              <w:ind w:firstLine="0"/>
              <w:jc w:val="left"/>
              <w:rPr>
                <w:rFonts w:eastAsia="Times New Roman" w:cs="Times New Roman"/>
                <w:b/>
                <w:bCs/>
                <w:color w:val="000000"/>
                <w:sz w:val="18"/>
                <w:szCs w:val="18"/>
                <w:lang w:eastAsia="lv-LV"/>
              </w:rPr>
            </w:pPr>
            <w:r w:rsidRPr="00575359">
              <w:rPr>
                <w:b/>
                <w:bCs/>
                <w:color w:val="000000"/>
                <w:sz w:val="20"/>
                <w:szCs w:val="20"/>
              </w:rPr>
              <w:t>vispārējās valdības strukturālās bilances prognoze un mērķi, % no IKP</w:t>
            </w:r>
          </w:p>
        </w:tc>
        <w:tc>
          <w:tcPr>
            <w:tcW w:w="1276" w:type="dxa"/>
            <w:shd w:val="clear" w:color="auto" w:fill="DEEAF6" w:themeFill="accent1" w:themeFillTint="33"/>
            <w:noWrap/>
            <w:vAlign w:val="center"/>
            <w:hideMark/>
          </w:tcPr>
          <w:p w14:paraId="4FC9A7B4" w14:textId="77777777" w:rsidR="00CF6C5C" w:rsidRPr="00575359" w:rsidRDefault="00CF6C5C" w:rsidP="0011009A">
            <w:pPr>
              <w:ind w:firstLine="0"/>
              <w:jc w:val="center"/>
              <w:rPr>
                <w:rFonts w:eastAsia="Times New Roman" w:cs="Times New Roman"/>
                <w:b/>
                <w:bCs/>
                <w:color w:val="000000"/>
                <w:sz w:val="16"/>
                <w:szCs w:val="16"/>
                <w:lang w:eastAsia="lv-LV"/>
              </w:rPr>
            </w:pPr>
            <w:r w:rsidRPr="00575359">
              <w:rPr>
                <w:rFonts w:eastAsia="Times New Roman" w:cs="Times New Roman"/>
                <w:b/>
                <w:bCs/>
                <w:color w:val="000000"/>
                <w:sz w:val="16"/>
                <w:szCs w:val="16"/>
                <w:lang w:eastAsia="lv-LV"/>
              </w:rPr>
              <w:t>(12)=(3)-(5)-(6)</w:t>
            </w:r>
          </w:p>
        </w:tc>
        <w:tc>
          <w:tcPr>
            <w:tcW w:w="1098" w:type="dxa"/>
            <w:shd w:val="clear" w:color="auto" w:fill="DEEAF6" w:themeFill="accent1" w:themeFillTint="33"/>
            <w:noWrap/>
            <w:vAlign w:val="center"/>
          </w:tcPr>
          <w:p w14:paraId="0633868D"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b/>
                <w:bCs/>
                <w:sz w:val="20"/>
                <w:szCs w:val="20"/>
              </w:rPr>
              <w:t>-0,8</w:t>
            </w:r>
          </w:p>
        </w:tc>
        <w:tc>
          <w:tcPr>
            <w:tcW w:w="737" w:type="dxa"/>
            <w:shd w:val="clear" w:color="auto" w:fill="DEEAF6" w:themeFill="accent1" w:themeFillTint="33"/>
            <w:noWrap/>
            <w:vAlign w:val="center"/>
          </w:tcPr>
          <w:p w14:paraId="01BD80C1"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b/>
                <w:bCs/>
                <w:sz w:val="20"/>
                <w:szCs w:val="20"/>
              </w:rPr>
              <w:t>-0,5</w:t>
            </w:r>
          </w:p>
        </w:tc>
        <w:tc>
          <w:tcPr>
            <w:tcW w:w="737" w:type="dxa"/>
            <w:shd w:val="clear" w:color="auto" w:fill="DEEAF6" w:themeFill="accent1" w:themeFillTint="33"/>
            <w:noWrap/>
            <w:vAlign w:val="center"/>
          </w:tcPr>
          <w:p w14:paraId="5E01220F"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b/>
                <w:bCs/>
                <w:sz w:val="20"/>
                <w:szCs w:val="20"/>
              </w:rPr>
              <w:t>-0,5</w:t>
            </w:r>
          </w:p>
        </w:tc>
        <w:tc>
          <w:tcPr>
            <w:tcW w:w="737" w:type="dxa"/>
            <w:shd w:val="clear" w:color="auto" w:fill="DEEAF6" w:themeFill="accent1" w:themeFillTint="33"/>
            <w:vAlign w:val="center"/>
          </w:tcPr>
          <w:p w14:paraId="6C849142" w14:textId="77777777" w:rsidR="00CF6C5C" w:rsidRPr="00575359" w:rsidRDefault="00CF6C5C" w:rsidP="0011009A">
            <w:pPr>
              <w:ind w:firstLine="0"/>
              <w:jc w:val="center"/>
              <w:rPr>
                <w:b/>
                <w:bCs/>
                <w:sz w:val="20"/>
                <w:szCs w:val="20"/>
              </w:rPr>
            </w:pPr>
            <w:r w:rsidRPr="00575359">
              <w:rPr>
                <w:b/>
                <w:bCs/>
                <w:sz w:val="20"/>
                <w:szCs w:val="20"/>
              </w:rPr>
              <w:t>-0,5</w:t>
            </w:r>
          </w:p>
        </w:tc>
        <w:tc>
          <w:tcPr>
            <w:tcW w:w="737" w:type="dxa"/>
            <w:shd w:val="clear" w:color="auto" w:fill="DEEAF6" w:themeFill="accent1" w:themeFillTint="33"/>
            <w:noWrap/>
            <w:vAlign w:val="center"/>
          </w:tcPr>
          <w:p w14:paraId="34C592D4" w14:textId="77777777" w:rsidR="00CF6C5C" w:rsidRPr="00575359" w:rsidRDefault="00CF6C5C" w:rsidP="0011009A">
            <w:pPr>
              <w:ind w:firstLine="0"/>
              <w:jc w:val="center"/>
              <w:rPr>
                <w:rFonts w:eastAsia="Times New Roman" w:cs="Times New Roman"/>
                <w:b/>
                <w:bCs/>
                <w:color w:val="000000"/>
                <w:sz w:val="18"/>
                <w:szCs w:val="18"/>
                <w:lang w:eastAsia="lv-LV"/>
              </w:rPr>
            </w:pPr>
            <w:r w:rsidRPr="00575359">
              <w:rPr>
                <w:b/>
                <w:bCs/>
                <w:sz w:val="20"/>
                <w:szCs w:val="20"/>
              </w:rPr>
              <w:t>-0,5</w:t>
            </w:r>
          </w:p>
        </w:tc>
      </w:tr>
    </w:tbl>
    <w:p w14:paraId="52847975" w14:textId="77777777" w:rsidR="00CF6C5C" w:rsidRPr="00CF6C5C" w:rsidRDefault="00CF6C5C" w:rsidP="00CF6C5C">
      <w:pPr>
        <w:ind w:firstLine="0"/>
        <w:rPr>
          <w:noProof/>
          <w:sz w:val="24"/>
          <w:szCs w:val="20"/>
          <w:highlight w:val="yellow"/>
          <w:lang w:eastAsia="lv-LV"/>
        </w:rPr>
      </w:pPr>
    </w:p>
    <w:p w14:paraId="4A285C0B" w14:textId="1B18F606" w:rsidR="00CF6C5C" w:rsidRPr="00575359" w:rsidRDefault="00CF6C5C" w:rsidP="00CF68A1">
      <w:pPr>
        <w:widowControl w:val="0"/>
        <w:ind w:firstLine="0"/>
        <w:rPr>
          <w:rFonts w:eastAsia="Times New Roman" w:cs="Times New Roman"/>
          <w:bCs/>
          <w:sz w:val="24"/>
        </w:rPr>
      </w:pPr>
      <w:r w:rsidRPr="00575359">
        <w:rPr>
          <w:rFonts w:cs="Times New Roman"/>
          <w:sz w:val="24"/>
          <w:szCs w:val="24"/>
        </w:rPr>
        <w:t xml:space="preserve">Ņemot vērā, ka saskaņā ar ES metodoloģiju </w:t>
      </w:r>
      <w:r w:rsidRPr="0083156D">
        <w:rPr>
          <w:rFonts w:cs="Times New Roman"/>
          <w:sz w:val="24"/>
          <w:szCs w:val="24"/>
        </w:rPr>
        <w:t>3.1. tabulā</w:t>
      </w:r>
      <w:r w:rsidRPr="002B160A">
        <w:rPr>
          <w:rFonts w:cs="Times New Roman"/>
          <w:sz w:val="24"/>
          <w:szCs w:val="24"/>
        </w:rPr>
        <w:t xml:space="preserve"> norādītie</w:t>
      </w:r>
      <w:r w:rsidRPr="00575359">
        <w:rPr>
          <w:rFonts w:cs="Times New Roman"/>
          <w:sz w:val="24"/>
          <w:szCs w:val="24"/>
        </w:rPr>
        <w:t xml:space="preserve"> izdevumi netiek izslēgti no strukturālās bilances aprēķina, 2024. gada vispārējās valdības strukturālā bilance ir -2,5% no IKP (saskaņā ar ES metodoloģiju).</w:t>
      </w:r>
    </w:p>
    <w:p w14:paraId="3ED34ED4" w14:textId="77777777" w:rsidR="00CF6C5C" w:rsidRPr="00CF6C5C" w:rsidRDefault="00CF6C5C" w:rsidP="00CF6C5C">
      <w:pPr>
        <w:widowControl w:val="0"/>
        <w:rPr>
          <w:rFonts w:eastAsia="Times New Roman" w:cs="Times New Roman"/>
          <w:sz w:val="24"/>
          <w:szCs w:val="24"/>
          <w:highlight w:val="yellow"/>
        </w:rPr>
      </w:pPr>
    </w:p>
    <w:p w14:paraId="4B840065" w14:textId="33D89B85" w:rsidR="00CF6C5C" w:rsidRPr="00CF68A1" w:rsidRDefault="003F5352" w:rsidP="00CF68A1">
      <w:pPr>
        <w:widowControl w:val="0"/>
        <w:rPr>
          <w:rFonts w:eastAsia="Times New Roman" w:cs="Times New Roman"/>
          <w:b/>
          <w:sz w:val="24"/>
          <w:u w:val="single"/>
        </w:rPr>
      </w:pPr>
      <w:r>
        <w:rPr>
          <w:rFonts w:eastAsia="Times New Roman" w:cs="Times New Roman"/>
          <w:b/>
          <w:sz w:val="24"/>
          <w:szCs w:val="24"/>
          <w:u w:val="single"/>
        </w:rPr>
        <w:t xml:space="preserve">2. </w:t>
      </w:r>
      <w:r w:rsidR="008F26CA" w:rsidRPr="004016DD">
        <w:rPr>
          <w:rFonts w:eastAsia="Times New Roman" w:cs="Times New Roman"/>
          <w:b/>
          <w:sz w:val="24"/>
          <w:szCs w:val="24"/>
          <w:u w:val="single"/>
        </w:rPr>
        <w:t>ES</w:t>
      </w:r>
      <w:r w:rsidR="00CF6C5C" w:rsidRPr="004016DD">
        <w:rPr>
          <w:rFonts w:eastAsia="Times New Roman" w:cs="Times New Roman"/>
          <w:b/>
          <w:sz w:val="24"/>
          <w:szCs w:val="24"/>
          <w:u w:val="single"/>
        </w:rPr>
        <w:t xml:space="preserve"> strukturālās</w:t>
      </w:r>
      <w:r w:rsidR="00CF6C5C" w:rsidRPr="00CF68A1">
        <w:rPr>
          <w:rFonts w:eastAsia="Times New Roman" w:cs="Times New Roman"/>
          <w:b/>
          <w:sz w:val="24"/>
          <w:szCs w:val="24"/>
          <w:u w:val="single"/>
        </w:rPr>
        <w:t xml:space="preserve"> </w:t>
      </w:r>
      <w:r w:rsidR="00C1161E" w:rsidRPr="00AE2784">
        <w:rPr>
          <w:rFonts w:eastAsia="Times New Roman" w:cs="Times New Roman"/>
          <w:b/>
          <w:sz w:val="24"/>
          <w:szCs w:val="24"/>
          <w:u w:val="single"/>
        </w:rPr>
        <w:t>primārās</w:t>
      </w:r>
      <w:r w:rsidR="00C1161E" w:rsidRPr="00C1161E">
        <w:rPr>
          <w:rFonts w:eastAsia="Times New Roman" w:cs="Times New Roman"/>
          <w:b/>
          <w:sz w:val="24"/>
          <w:szCs w:val="24"/>
          <w:u w:val="single"/>
        </w:rPr>
        <w:t xml:space="preserve"> </w:t>
      </w:r>
      <w:r w:rsidR="00CF6C5C" w:rsidRPr="00CF68A1">
        <w:rPr>
          <w:rFonts w:eastAsia="Times New Roman" w:cs="Times New Roman"/>
          <w:b/>
          <w:sz w:val="24"/>
          <w:szCs w:val="24"/>
          <w:u w:val="single"/>
        </w:rPr>
        <w:t>bilances</w:t>
      </w:r>
      <w:r w:rsidR="008F26CA" w:rsidRPr="00CF68A1">
        <w:rPr>
          <w:rFonts w:eastAsia="Times New Roman" w:cs="Times New Roman"/>
          <w:b/>
          <w:sz w:val="24"/>
          <w:szCs w:val="24"/>
          <w:u w:val="single"/>
        </w:rPr>
        <w:t xml:space="preserve"> nosacījums</w:t>
      </w:r>
    </w:p>
    <w:p w14:paraId="7BA1B332" w14:textId="77777777" w:rsidR="008F26CA" w:rsidRDefault="008F26CA" w:rsidP="00CF6C5C">
      <w:pPr>
        <w:widowControl w:val="0"/>
        <w:rPr>
          <w:rFonts w:eastAsia="Times New Roman" w:cs="Times New Roman"/>
          <w:b/>
          <w:sz w:val="24"/>
        </w:rPr>
      </w:pPr>
    </w:p>
    <w:p w14:paraId="0C5706A8" w14:textId="4318AEAC" w:rsidR="008F26CA" w:rsidRDefault="008F26CA" w:rsidP="00724B22">
      <w:pPr>
        <w:widowControl w:val="0"/>
        <w:rPr>
          <w:rFonts w:eastAsia="Times New Roman" w:cs="Times New Roman"/>
          <w:b/>
          <w:sz w:val="24"/>
        </w:rPr>
      </w:pPr>
      <w:r w:rsidRPr="00575359">
        <w:rPr>
          <w:rFonts w:eastAsia="Times New Roman" w:cs="Times New Roman"/>
          <w:sz w:val="24"/>
          <w:szCs w:val="24"/>
        </w:rPr>
        <w:t>Eiropas Parlamenta un Padomes regula (ES) par ekonomikas politikas efektīvu koordināciju un budžeta daudzpusēju uzraudzību un ar ko atceļ Padomes Regulu (EK) Nr. 1466/97</w:t>
      </w:r>
      <w:r w:rsidRPr="00575359">
        <w:rPr>
          <w:rStyle w:val="FootnoteReference"/>
          <w:rFonts w:ascii="Times New Roman" w:eastAsia="Times New Roman" w:hAnsi="Times New Roman" w:cs="Times New Roman"/>
          <w:sz w:val="24"/>
          <w:szCs w:val="24"/>
        </w:rPr>
        <w:footnoteReference w:id="7"/>
      </w:r>
      <w:r w:rsidRPr="00575359">
        <w:rPr>
          <w:rFonts w:eastAsia="Times New Roman" w:cs="Times New Roman"/>
          <w:sz w:val="24"/>
          <w:szCs w:val="24"/>
        </w:rPr>
        <w:t xml:space="preserve"> </w:t>
      </w:r>
      <w:r w:rsidR="00F45EBA">
        <w:rPr>
          <w:rFonts w:eastAsia="Times New Roman" w:cs="Times New Roman"/>
          <w:sz w:val="24"/>
          <w:szCs w:val="24"/>
        </w:rPr>
        <w:t xml:space="preserve">(turpmāk – Regula) </w:t>
      </w:r>
      <w:r w:rsidRPr="00575359">
        <w:rPr>
          <w:rFonts w:eastAsia="Times New Roman" w:cs="Times New Roman"/>
          <w:sz w:val="24"/>
          <w:szCs w:val="24"/>
        </w:rPr>
        <w:t xml:space="preserve">nosaka, ka valstij specifiskai fiskālajai trajektorijai </w:t>
      </w:r>
      <w:r w:rsidR="00724B22">
        <w:rPr>
          <w:rFonts w:eastAsia="Times New Roman" w:cs="Times New Roman"/>
          <w:sz w:val="24"/>
          <w:szCs w:val="24"/>
        </w:rPr>
        <w:t xml:space="preserve">– </w:t>
      </w:r>
      <w:r w:rsidRPr="00575359">
        <w:rPr>
          <w:rFonts w:eastAsia="Times New Roman" w:cs="Times New Roman"/>
          <w:sz w:val="24"/>
          <w:szCs w:val="24"/>
        </w:rPr>
        <w:t>valsts finansētiem neto primāriem izdevumiem</w:t>
      </w:r>
      <w:r w:rsidRPr="00575359">
        <w:rPr>
          <w:rFonts w:eastAsia="Times New Roman" w:cs="Times New Roman"/>
          <w:sz w:val="24"/>
          <w:szCs w:val="24"/>
          <w:vertAlign w:val="superscript"/>
        </w:rPr>
        <w:footnoteReference w:id="8"/>
      </w:r>
      <w:r w:rsidRPr="00575359">
        <w:rPr>
          <w:rFonts w:eastAsia="Times New Roman" w:cs="Times New Roman"/>
          <w:sz w:val="24"/>
          <w:szCs w:val="24"/>
        </w:rPr>
        <w:t xml:space="preserve"> strukturālās </w:t>
      </w:r>
      <w:r w:rsidR="00C1161E" w:rsidRPr="00575359">
        <w:rPr>
          <w:rFonts w:eastAsia="Times New Roman" w:cs="Times New Roman"/>
          <w:sz w:val="24"/>
          <w:szCs w:val="24"/>
        </w:rPr>
        <w:t xml:space="preserve">primārās </w:t>
      </w:r>
      <w:r w:rsidRPr="00575359">
        <w:rPr>
          <w:rFonts w:eastAsia="Times New Roman" w:cs="Times New Roman"/>
          <w:sz w:val="24"/>
          <w:szCs w:val="24"/>
        </w:rPr>
        <w:t xml:space="preserve">bilances izmaiņu izteiksmē </w:t>
      </w:r>
      <w:r w:rsidR="00724B22">
        <w:rPr>
          <w:rFonts w:eastAsia="Times New Roman" w:cs="Times New Roman"/>
          <w:sz w:val="24"/>
          <w:szCs w:val="24"/>
        </w:rPr>
        <w:t>–</w:t>
      </w:r>
      <w:r w:rsidRPr="00575359">
        <w:rPr>
          <w:rFonts w:eastAsia="Times New Roman" w:cs="Times New Roman"/>
          <w:sz w:val="24"/>
          <w:szCs w:val="24"/>
        </w:rPr>
        <w:t xml:space="preserve"> jā</w:t>
      </w:r>
      <w:r w:rsidRPr="00575359">
        <w:rPr>
          <w:rFonts w:cs="Times New Roman"/>
          <w:sz w:val="24"/>
          <w:szCs w:val="24"/>
        </w:rPr>
        <w:t>atbilst prasībām</w:t>
      </w:r>
      <w:r w:rsidRPr="00575359">
        <w:rPr>
          <w:rFonts w:eastAsia="Times New Roman" w:cs="Times New Roman"/>
          <w:sz w:val="24"/>
          <w:szCs w:val="24"/>
        </w:rPr>
        <w:t xml:space="preserve">, ka līdz korekcijas perioda beigām panākt vai noturēt vispārējās valdības parāda ticamu samazināšanos vai saglabāt to piesardzīgā līmenī, kas ir zemāks par 60 % no IKP, un vidējā termiņā samazināt un saglabāt valdības budžeta deficītu zem 3 % no IKP. </w:t>
      </w:r>
    </w:p>
    <w:p w14:paraId="2A354600" w14:textId="5BBB18BC" w:rsidR="00897B38" w:rsidRPr="00CF68A1" w:rsidRDefault="00897B38" w:rsidP="00CF6C5C">
      <w:pPr>
        <w:widowControl w:val="0"/>
        <w:rPr>
          <w:rFonts w:eastAsia="Times New Roman" w:cs="Times New Roman"/>
          <w:bCs/>
          <w:sz w:val="24"/>
        </w:rPr>
      </w:pPr>
      <w:r w:rsidRPr="00CF68A1">
        <w:rPr>
          <w:rFonts w:eastAsia="Times New Roman" w:cs="Times New Roman"/>
          <w:bCs/>
          <w:sz w:val="24"/>
        </w:rPr>
        <w:t xml:space="preserve">Šis nosacījums tiek aprēķināts saskaņā ar vienoto ES metodoloģiju un ES izmantotajiem pieņēmumiem. Par pamatu tiek ņemta strukturālā </w:t>
      </w:r>
      <w:r w:rsidR="00C1161E" w:rsidRPr="00A749F2">
        <w:rPr>
          <w:rFonts w:eastAsia="Times New Roman" w:cs="Times New Roman"/>
          <w:bCs/>
          <w:sz w:val="24"/>
        </w:rPr>
        <w:t xml:space="preserve">primārā </w:t>
      </w:r>
      <w:r w:rsidRPr="00CF68A1">
        <w:rPr>
          <w:rFonts w:eastAsia="Times New Roman" w:cs="Times New Roman"/>
          <w:bCs/>
          <w:sz w:val="24"/>
        </w:rPr>
        <w:t>bilance 2024. gadam, kas saskaņā ar</w:t>
      </w:r>
      <w:r>
        <w:rPr>
          <w:rFonts w:eastAsia="Times New Roman" w:cs="Times New Roman"/>
          <w:bCs/>
          <w:sz w:val="24"/>
          <w:u w:val="single"/>
        </w:rPr>
        <w:t xml:space="preserve"> </w:t>
      </w:r>
      <w:r w:rsidRPr="00CF68A1">
        <w:rPr>
          <w:rFonts w:eastAsia="Times New Roman" w:cs="Times New Roman"/>
          <w:bCs/>
          <w:sz w:val="24"/>
        </w:rPr>
        <w:lastRenderedPageBreak/>
        <w:t xml:space="preserve">SP prognozēm ir -1,4% no IKP. Tiek pieņemts, ka nemainīgas politikas gadījumā strukturālā </w:t>
      </w:r>
      <w:r w:rsidR="00926732" w:rsidRPr="008151C5">
        <w:rPr>
          <w:rFonts w:eastAsia="Times New Roman" w:cs="Times New Roman"/>
          <w:bCs/>
          <w:sz w:val="24"/>
        </w:rPr>
        <w:t>primārā</w:t>
      </w:r>
      <w:r w:rsidR="00926732" w:rsidRPr="00926732">
        <w:rPr>
          <w:rFonts w:eastAsia="Times New Roman" w:cs="Times New Roman"/>
          <w:bCs/>
          <w:sz w:val="24"/>
        </w:rPr>
        <w:t xml:space="preserve"> </w:t>
      </w:r>
      <w:r w:rsidRPr="00CF68A1">
        <w:rPr>
          <w:rFonts w:eastAsia="Times New Roman" w:cs="Times New Roman"/>
          <w:bCs/>
          <w:sz w:val="24"/>
        </w:rPr>
        <w:t>bilance saglabājas nemainīga visā prognozēšanas periodā, t.i. līdz 2038.</w:t>
      </w:r>
      <w:r w:rsidR="00724B22">
        <w:rPr>
          <w:rFonts w:eastAsia="Times New Roman" w:cs="Times New Roman"/>
          <w:bCs/>
          <w:sz w:val="24"/>
        </w:rPr>
        <w:t xml:space="preserve"> </w:t>
      </w:r>
      <w:r w:rsidRPr="00CF68A1">
        <w:rPr>
          <w:rFonts w:eastAsia="Times New Roman" w:cs="Times New Roman"/>
          <w:bCs/>
          <w:sz w:val="24"/>
        </w:rPr>
        <w:t>gadam.</w:t>
      </w:r>
    </w:p>
    <w:p w14:paraId="05905D14" w14:textId="4EEBD220" w:rsidR="00E250C5" w:rsidRPr="00CF68A1" w:rsidRDefault="00897B38" w:rsidP="00CF6C5C">
      <w:pPr>
        <w:widowControl w:val="0"/>
        <w:rPr>
          <w:rFonts w:eastAsia="Times New Roman" w:cs="Times New Roman"/>
          <w:bCs/>
          <w:sz w:val="24"/>
        </w:rPr>
      </w:pPr>
      <w:r w:rsidRPr="00CF68A1">
        <w:rPr>
          <w:rFonts w:eastAsia="Times New Roman" w:cs="Times New Roman"/>
          <w:bCs/>
          <w:sz w:val="24"/>
        </w:rPr>
        <w:t xml:space="preserve">Nominālo bilanci iegūst, pie strukturālās </w:t>
      </w:r>
      <w:r w:rsidR="00F45EBA" w:rsidRPr="00D027B3">
        <w:rPr>
          <w:rFonts w:eastAsia="Times New Roman" w:cs="Times New Roman"/>
          <w:bCs/>
          <w:sz w:val="24"/>
        </w:rPr>
        <w:t>primārās</w:t>
      </w:r>
      <w:r w:rsidR="00F45EBA" w:rsidRPr="00F45EBA">
        <w:rPr>
          <w:rFonts w:eastAsia="Times New Roman" w:cs="Times New Roman"/>
          <w:bCs/>
          <w:sz w:val="24"/>
        </w:rPr>
        <w:t xml:space="preserve"> </w:t>
      </w:r>
      <w:r w:rsidRPr="00CF68A1">
        <w:rPr>
          <w:rFonts w:eastAsia="Times New Roman" w:cs="Times New Roman"/>
          <w:bCs/>
          <w:sz w:val="24"/>
        </w:rPr>
        <w:t>bilances pieskaitot procentu izdevumus (% no IKP)</w:t>
      </w:r>
      <w:r w:rsidR="009C2B75">
        <w:rPr>
          <w:rFonts w:eastAsia="Times New Roman" w:cs="Times New Roman"/>
          <w:bCs/>
          <w:sz w:val="24"/>
        </w:rPr>
        <w:t>,</w:t>
      </w:r>
      <w:r w:rsidRPr="00CF68A1">
        <w:rPr>
          <w:rFonts w:eastAsia="Times New Roman" w:cs="Times New Roman"/>
          <w:bCs/>
          <w:sz w:val="24"/>
        </w:rPr>
        <w:t xml:space="preserve"> novecošan</w:t>
      </w:r>
      <w:r w:rsidR="00191D1D">
        <w:rPr>
          <w:rFonts w:eastAsia="Times New Roman" w:cs="Times New Roman"/>
          <w:bCs/>
          <w:sz w:val="24"/>
        </w:rPr>
        <w:t>ā</w:t>
      </w:r>
      <w:r w:rsidRPr="00CF68A1">
        <w:rPr>
          <w:rFonts w:eastAsia="Times New Roman" w:cs="Times New Roman"/>
          <w:bCs/>
          <w:sz w:val="24"/>
        </w:rPr>
        <w:t>s izdevumu izmaiņas (% no IKP)</w:t>
      </w:r>
      <w:r w:rsidR="00522933">
        <w:rPr>
          <w:rFonts w:eastAsia="Times New Roman" w:cs="Times New Roman"/>
          <w:bCs/>
          <w:sz w:val="24"/>
        </w:rPr>
        <w:t xml:space="preserve"> un bilances ciklisko komponenti (% no IKP)</w:t>
      </w:r>
      <w:r w:rsidRPr="00CF68A1">
        <w:rPr>
          <w:rFonts w:eastAsia="Times New Roman" w:cs="Times New Roman"/>
          <w:bCs/>
          <w:sz w:val="24"/>
        </w:rPr>
        <w:t xml:space="preserve">. </w:t>
      </w:r>
      <w:r w:rsidR="00E250C5" w:rsidRPr="00CF68A1">
        <w:rPr>
          <w:rFonts w:eastAsia="Times New Roman" w:cs="Times New Roman"/>
          <w:bCs/>
          <w:sz w:val="24"/>
        </w:rPr>
        <w:t>Jāatzīmē, ka</w:t>
      </w:r>
      <w:r w:rsidRPr="00CF68A1">
        <w:rPr>
          <w:rFonts w:eastAsia="Times New Roman" w:cs="Times New Roman"/>
          <w:bCs/>
          <w:sz w:val="24"/>
        </w:rPr>
        <w:t xml:space="preserve"> procentu izdevumi (% no IKP) tuvākajā periodā pieaugs, jo paaugstinātu procentu likmju situācijā, pārfinansējot parādu, kas tika </w:t>
      </w:r>
      <w:r w:rsidR="00522933">
        <w:rPr>
          <w:rFonts w:eastAsia="Times New Roman" w:cs="Times New Roman"/>
          <w:bCs/>
          <w:sz w:val="24"/>
        </w:rPr>
        <w:t>aiz</w:t>
      </w:r>
      <w:r w:rsidRPr="00CF68A1">
        <w:rPr>
          <w:rFonts w:eastAsia="Times New Roman" w:cs="Times New Roman"/>
          <w:bCs/>
          <w:sz w:val="24"/>
        </w:rPr>
        <w:t>ņemts par zemākiem procentiem, procentu izdevumi pieaug</w:t>
      </w:r>
      <w:r w:rsidR="00724B22">
        <w:rPr>
          <w:rFonts w:eastAsia="Times New Roman" w:cs="Times New Roman"/>
          <w:bCs/>
          <w:sz w:val="24"/>
        </w:rPr>
        <w:t>.</w:t>
      </w:r>
      <w:r w:rsidRPr="00CF68A1">
        <w:rPr>
          <w:rFonts w:eastAsia="Times New Roman" w:cs="Times New Roman"/>
          <w:bCs/>
          <w:sz w:val="24"/>
        </w:rPr>
        <w:t xml:space="preserve"> </w:t>
      </w:r>
      <w:r w:rsidR="00E250C5" w:rsidRPr="00CF68A1">
        <w:rPr>
          <w:rFonts w:eastAsia="Times New Roman" w:cs="Times New Roman"/>
          <w:bCs/>
          <w:sz w:val="24"/>
        </w:rPr>
        <w:t>Lai arī novecošanās izdevumi Latvijai laika gaitā samazinās, tie nekompensē procentu izdevumu pieaugumu, tāpēc laika periodā līdz 2038</w:t>
      </w:r>
      <w:r w:rsidR="00724B22">
        <w:rPr>
          <w:rFonts w:eastAsia="Times New Roman" w:cs="Times New Roman"/>
          <w:bCs/>
          <w:sz w:val="24"/>
        </w:rPr>
        <w:t>.</w:t>
      </w:r>
      <w:r w:rsidR="00E250C5" w:rsidRPr="00CF68A1">
        <w:rPr>
          <w:rFonts w:eastAsia="Times New Roman" w:cs="Times New Roman"/>
          <w:bCs/>
          <w:sz w:val="24"/>
        </w:rPr>
        <w:t xml:space="preserve"> gadam, uzturot nemainīgu strukturālo </w:t>
      </w:r>
      <w:r w:rsidR="00926732" w:rsidRPr="007B6E95">
        <w:rPr>
          <w:rFonts w:eastAsia="Times New Roman" w:cs="Times New Roman"/>
          <w:bCs/>
          <w:sz w:val="24"/>
        </w:rPr>
        <w:t>primāro</w:t>
      </w:r>
      <w:r w:rsidR="00926732" w:rsidRPr="00926732">
        <w:rPr>
          <w:rFonts w:eastAsia="Times New Roman" w:cs="Times New Roman"/>
          <w:bCs/>
          <w:sz w:val="24"/>
        </w:rPr>
        <w:t xml:space="preserve"> </w:t>
      </w:r>
      <w:r w:rsidR="00E250C5" w:rsidRPr="00CF68A1">
        <w:rPr>
          <w:rFonts w:eastAsia="Times New Roman" w:cs="Times New Roman"/>
          <w:bCs/>
          <w:sz w:val="24"/>
        </w:rPr>
        <w:t>bilanci, sākotnējais 2024. gada nominālais deficīts 2,9% no IKP pieaug un pārsniedz 3% no IKP robežu</w:t>
      </w:r>
      <w:r w:rsidR="00724B22">
        <w:rPr>
          <w:rFonts w:eastAsia="Times New Roman" w:cs="Times New Roman"/>
          <w:bCs/>
          <w:sz w:val="24"/>
        </w:rPr>
        <w:t>,</w:t>
      </w:r>
      <w:r w:rsidR="00E250C5" w:rsidRPr="00CF68A1">
        <w:rPr>
          <w:rFonts w:eastAsia="Times New Roman" w:cs="Times New Roman"/>
          <w:bCs/>
          <w:sz w:val="24"/>
        </w:rPr>
        <w:t xml:space="preserve"> sasniedzot maksimālo vērtību 3,3% no IKP 2034. gadā.</w:t>
      </w:r>
    </w:p>
    <w:p w14:paraId="7C24B409" w14:textId="6E8F98D2" w:rsidR="00EB78E8" w:rsidRPr="00B5630F" w:rsidRDefault="00E250C5" w:rsidP="00CF6C5C">
      <w:pPr>
        <w:widowControl w:val="0"/>
        <w:rPr>
          <w:rFonts w:eastAsia="Times New Roman" w:cs="Times New Roman"/>
          <w:bCs/>
          <w:sz w:val="24"/>
        </w:rPr>
      </w:pPr>
      <w:r w:rsidRPr="00CF68A1">
        <w:rPr>
          <w:rFonts w:eastAsia="Times New Roman" w:cs="Times New Roman"/>
          <w:bCs/>
          <w:sz w:val="24"/>
        </w:rPr>
        <w:t xml:space="preserve">Lai novērstu nominālā deficīta pārsniegumu visā prognozēšanas periodā, 4 gadu laikā sākot no 2025. gada līdz 2028. gadam strukturālais </w:t>
      </w:r>
      <w:r w:rsidR="00926732" w:rsidRPr="00DA3292">
        <w:rPr>
          <w:rFonts w:eastAsia="Times New Roman" w:cs="Times New Roman"/>
          <w:bCs/>
          <w:sz w:val="24"/>
        </w:rPr>
        <w:t>primārais</w:t>
      </w:r>
      <w:r w:rsidR="00926732" w:rsidRPr="00926732">
        <w:rPr>
          <w:rFonts w:eastAsia="Times New Roman" w:cs="Times New Roman"/>
          <w:bCs/>
          <w:sz w:val="24"/>
        </w:rPr>
        <w:t xml:space="preserve"> </w:t>
      </w:r>
      <w:r w:rsidRPr="00CF68A1">
        <w:rPr>
          <w:rFonts w:eastAsia="Times New Roman" w:cs="Times New Roman"/>
          <w:bCs/>
          <w:sz w:val="24"/>
        </w:rPr>
        <w:t>deficīts Latvija</w:t>
      </w:r>
      <w:r w:rsidR="00D05252">
        <w:rPr>
          <w:rFonts w:eastAsia="Times New Roman" w:cs="Times New Roman"/>
          <w:bCs/>
          <w:sz w:val="24"/>
        </w:rPr>
        <w:t>i</w:t>
      </w:r>
      <w:r w:rsidRPr="00CF68A1">
        <w:rPr>
          <w:rFonts w:eastAsia="Times New Roman" w:cs="Times New Roman"/>
          <w:bCs/>
          <w:sz w:val="24"/>
        </w:rPr>
        <w:t xml:space="preserve"> ir jāsamazina no 2024. gada 1,4% </w:t>
      </w:r>
      <w:r w:rsidR="00BA02F0">
        <w:rPr>
          <w:rFonts w:eastAsia="Times New Roman" w:cs="Times New Roman"/>
          <w:bCs/>
          <w:sz w:val="24"/>
        </w:rPr>
        <w:t xml:space="preserve">no IKP </w:t>
      </w:r>
      <w:r w:rsidR="00522933">
        <w:rPr>
          <w:rFonts w:eastAsia="Times New Roman" w:cs="Times New Roman"/>
          <w:bCs/>
          <w:sz w:val="24"/>
        </w:rPr>
        <w:t>līdz</w:t>
      </w:r>
      <w:r w:rsidRPr="00CF68A1">
        <w:rPr>
          <w:rFonts w:eastAsia="Times New Roman" w:cs="Times New Roman"/>
          <w:bCs/>
          <w:sz w:val="24"/>
        </w:rPr>
        <w:t xml:space="preserve"> 1,2% no IKP</w:t>
      </w:r>
      <w:r w:rsidR="00EB78E8" w:rsidRPr="00CF68A1">
        <w:rPr>
          <w:rFonts w:eastAsia="Times New Roman" w:cs="Times New Roman"/>
          <w:bCs/>
          <w:sz w:val="24"/>
        </w:rPr>
        <w:t xml:space="preserve"> 2029.</w:t>
      </w:r>
      <w:r w:rsidR="00724B22">
        <w:rPr>
          <w:rFonts w:eastAsia="Times New Roman" w:cs="Times New Roman"/>
          <w:bCs/>
          <w:sz w:val="24"/>
        </w:rPr>
        <w:t xml:space="preserve"> </w:t>
      </w:r>
      <w:r w:rsidR="00EB78E8" w:rsidRPr="00CF68A1">
        <w:rPr>
          <w:rFonts w:eastAsia="Times New Roman" w:cs="Times New Roman"/>
          <w:bCs/>
          <w:sz w:val="24"/>
        </w:rPr>
        <w:t>gadā</w:t>
      </w:r>
      <w:r w:rsidRPr="00CF68A1">
        <w:rPr>
          <w:rFonts w:eastAsia="Times New Roman" w:cs="Times New Roman"/>
          <w:bCs/>
          <w:sz w:val="24"/>
        </w:rPr>
        <w:t>, jeb par 0,055</w:t>
      </w:r>
      <w:r w:rsidR="00926732" w:rsidRPr="00926732">
        <w:rPr>
          <w:rFonts w:eastAsia="Times New Roman" w:cs="Times New Roman"/>
          <w:bCs/>
          <w:sz w:val="24"/>
        </w:rPr>
        <w:t xml:space="preserve"> </w:t>
      </w:r>
      <w:r w:rsidR="00926732">
        <w:rPr>
          <w:rFonts w:eastAsia="Times New Roman" w:cs="Times New Roman"/>
          <w:bCs/>
          <w:sz w:val="24"/>
        </w:rPr>
        <w:t>procentpunktiem</w:t>
      </w:r>
      <w:r w:rsidR="00926732" w:rsidRPr="00926732" w:rsidDel="00DF01F3">
        <w:rPr>
          <w:rFonts w:eastAsia="Times New Roman" w:cs="Times New Roman"/>
          <w:bCs/>
          <w:sz w:val="24"/>
        </w:rPr>
        <w:t xml:space="preserve"> </w:t>
      </w:r>
      <w:r w:rsidR="00926732">
        <w:rPr>
          <w:rFonts w:eastAsia="Times New Roman" w:cs="Times New Roman"/>
          <w:bCs/>
          <w:sz w:val="24"/>
        </w:rPr>
        <w:t xml:space="preserve"> no IKP </w:t>
      </w:r>
      <w:r w:rsidRPr="00CF68A1">
        <w:rPr>
          <w:rFonts w:eastAsia="Times New Roman" w:cs="Times New Roman"/>
          <w:bCs/>
          <w:sz w:val="24"/>
        </w:rPr>
        <w:t xml:space="preserve">attiecīgi </w:t>
      </w:r>
      <w:r w:rsidRPr="00B5630F">
        <w:rPr>
          <w:rFonts w:eastAsia="Times New Roman" w:cs="Times New Roman"/>
          <w:bCs/>
          <w:sz w:val="24"/>
        </w:rPr>
        <w:t>2025.</w:t>
      </w:r>
      <w:r w:rsidR="00724B22" w:rsidRPr="00B5630F">
        <w:rPr>
          <w:rFonts w:eastAsia="Times New Roman" w:cs="Times New Roman"/>
          <w:bCs/>
          <w:sz w:val="24"/>
        </w:rPr>
        <w:t>,</w:t>
      </w:r>
      <w:r w:rsidRPr="00B5630F">
        <w:rPr>
          <w:rFonts w:eastAsia="Times New Roman" w:cs="Times New Roman"/>
          <w:bCs/>
          <w:sz w:val="24"/>
        </w:rPr>
        <w:t xml:space="preserve"> 2026.</w:t>
      </w:r>
      <w:r w:rsidR="00724B22" w:rsidRPr="00B5630F">
        <w:rPr>
          <w:rFonts w:eastAsia="Times New Roman" w:cs="Times New Roman"/>
          <w:bCs/>
          <w:sz w:val="24"/>
        </w:rPr>
        <w:t xml:space="preserve">, </w:t>
      </w:r>
      <w:r w:rsidRPr="00B5630F">
        <w:rPr>
          <w:rFonts w:eastAsia="Times New Roman" w:cs="Times New Roman"/>
          <w:bCs/>
          <w:sz w:val="24"/>
        </w:rPr>
        <w:t>2027</w:t>
      </w:r>
      <w:r w:rsidR="00724B22" w:rsidRPr="00B5630F">
        <w:rPr>
          <w:rFonts w:eastAsia="Times New Roman" w:cs="Times New Roman"/>
          <w:bCs/>
          <w:sz w:val="24"/>
        </w:rPr>
        <w:t>.</w:t>
      </w:r>
      <w:r w:rsidRPr="00B5630F">
        <w:rPr>
          <w:rFonts w:eastAsia="Times New Roman" w:cs="Times New Roman"/>
          <w:bCs/>
          <w:sz w:val="24"/>
        </w:rPr>
        <w:t xml:space="preserve"> un 2028. gadā. </w:t>
      </w:r>
      <w:r w:rsidR="00EB78E8" w:rsidRPr="00B5630F">
        <w:rPr>
          <w:rFonts w:eastAsia="Times New Roman" w:cs="Times New Roman"/>
          <w:bCs/>
          <w:sz w:val="24"/>
        </w:rPr>
        <w:t>Saskaņā ar šo fiskālo nosacījumu, pieļaujamā</w:t>
      </w:r>
      <w:r w:rsidRPr="00B5630F">
        <w:rPr>
          <w:rFonts w:eastAsia="Times New Roman" w:cs="Times New Roman"/>
          <w:bCs/>
          <w:sz w:val="24"/>
        </w:rPr>
        <w:t xml:space="preserve"> </w:t>
      </w:r>
      <w:r w:rsidR="00EB78E8" w:rsidRPr="00B5630F">
        <w:rPr>
          <w:rFonts w:eastAsia="Times New Roman" w:cs="Times New Roman"/>
          <w:bCs/>
          <w:sz w:val="24"/>
        </w:rPr>
        <w:t xml:space="preserve">strukturālā </w:t>
      </w:r>
      <w:r w:rsidR="00926732" w:rsidRPr="00B5630F">
        <w:rPr>
          <w:rFonts w:eastAsia="Times New Roman" w:cs="Times New Roman"/>
          <w:bCs/>
          <w:sz w:val="24"/>
        </w:rPr>
        <w:t xml:space="preserve">primārā </w:t>
      </w:r>
      <w:r w:rsidR="00EB78E8" w:rsidRPr="00B5630F">
        <w:rPr>
          <w:rFonts w:eastAsia="Times New Roman" w:cs="Times New Roman"/>
          <w:bCs/>
          <w:sz w:val="24"/>
        </w:rPr>
        <w:t xml:space="preserve">bilance ir norādīta 3.4. tabulas 1. rindā. </w:t>
      </w:r>
    </w:p>
    <w:p w14:paraId="220FF351" w14:textId="7959A2DC" w:rsidR="00CF6C5C" w:rsidRPr="00B5630F" w:rsidRDefault="00EB78E8" w:rsidP="00724B22">
      <w:pPr>
        <w:widowControl w:val="0"/>
        <w:rPr>
          <w:rFonts w:eastAsia="Times New Roman" w:cs="Times New Roman"/>
          <w:bCs/>
          <w:sz w:val="24"/>
        </w:rPr>
      </w:pPr>
      <w:r w:rsidRPr="00B5630F">
        <w:rPr>
          <w:rFonts w:eastAsia="Times New Roman" w:cs="Times New Roman"/>
          <w:bCs/>
          <w:sz w:val="24"/>
        </w:rPr>
        <w:t xml:space="preserve">Tabulā 3.4. ir veikts arī pārrēķins no pieļaujamās strukturālās </w:t>
      </w:r>
      <w:r w:rsidR="00926732" w:rsidRPr="00B5630F">
        <w:rPr>
          <w:rFonts w:eastAsia="Times New Roman" w:cs="Times New Roman"/>
          <w:bCs/>
          <w:sz w:val="24"/>
        </w:rPr>
        <w:t xml:space="preserve">primārās </w:t>
      </w:r>
      <w:r w:rsidRPr="00B5630F">
        <w:rPr>
          <w:rFonts w:eastAsia="Times New Roman" w:cs="Times New Roman"/>
          <w:bCs/>
          <w:sz w:val="24"/>
        </w:rPr>
        <w:t>bilances uz FDL strukturālo bilanci.</w:t>
      </w:r>
      <w:r w:rsidR="00897B38" w:rsidRPr="00B5630F">
        <w:rPr>
          <w:rFonts w:eastAsia="Times New Roman" w:cs="Times New Roman"/>
          <w:bCs/>
          <w:sz w:val="24"/>
        </w:rPr>
        <w:t xml:space="preserve"> </w:t>
      </w:r>
      <w:r w:rsidRPr="00B5630F">
        <w:rPr>
          <w:rFonts w:eastAsia="Times New Roman" w:cs="Times New Roman"/>
          <w:bCs/>
          <w:sz w:val="24"/>
        </w:rPr>
        <w:t>Saskaņā ar šo pārrēķinu, pieļaujam</w:t>
      </w:r>
      <w:r w:rsidR="00DF01F3" w:rsidRPr="00B5630F">
        <w:rPr>
          <w:rFonts w:eastAsia="Times New Roman" w:cs="Times New Roman"/>
          <w:bCs/>
          <w:sz w:val="24"/>
        </w:rPr>
        <w:t>ais</w:t>
      </w:r>
      <w:r w:rsidRPr="00B5630F">
        <w:rPr>
          <w:rFonts w:eastAsia="Times New Roman" w:cs="Times New Roman"/>
          <w:bCs/>
          <w:sz w:val="24"/>
        </w:rPr>
        <w:t xml:space="preserve"> FDL strukturālai deficīts 2025. gadā ir tuv</w:t>
      </w:r>
      <w:r w:rsidR="00DF01F3" w:rsidRPr="00B5630F">
        <w:rPr>
          <w:rFonts w:eastAsia="Times New Roman" w:cs="Times New Roman"/>
          <w:bCs/>
          <w:sz w:val="24"/>
        </w:rPr>
        <w:t>u</w:t>
      </w:r>
      <w:r w:rsidRPr="00B5630F">
        <w:rPr>
          <w:rFonts w:eastAsia="Times New Roman" w:cs="Times New Roman"/>
          <w:bCs/>
          <w:sz w:val="24"/>
        </w:rPr>
        <w:t xml:space="preserve"> 1% no IKP, nedaudz zemāks 2026. gadā un tad palielinās līdz sasniedz 1,3% no IKP 2028. gadā. </w:t>
      </w:r>
    </w:p>
    <w:p w14:paraId="77755B1A" w14:textId="1F020DC9" w:rsidR="00CF6C5C" w:rsidRPr="002B160A" w:rsidRDefault="00CF6C5C" w:rsidP="002B160A">
      <w:pPr>
        <w:widowControl w:val="0"/>
        <w:spacing w:before="240" w:after="120"/>
        <w:ind w:firstLine="0"/>
        <w:jc w:val="right"/>
        <w:rPr>
          <w:rFonts w:eastAsia="Times New Roman" w:cs="Times New Roman"/>
          <w:b/>
          <w:i/>
          <w:iCs/>
          <w:sz w:val="24"/>
          <w:szCs w:val="24"/>
        </w:rPr>
      </w:pPr>
      <w:r w:rsidRPr="00B5630F">
        <w:rPr>
          <w:rFonts w:eastAsia="Times New Roman" w:cs="Times New Roman"/>
          <w:b/>
          <w:i/>
          <w:iCs/>
          <w:sz w:val="24"/>
          <w:szCs w:val="24"/>
        </w:rPr>
        <w:t>3.</w:t>
      </w:r>
      <w:r w:rsidR="0083156D" w:rsidRPr="00B5630F">
        <w:rPr>
          <w:rFonts w:eastAsia="Times New Roman" w:cs="Times New Roman"/>
          <w:b/>
          <w:i/>
          <w:iCs/>
          <w:sz w:val="24"/>
          <w:szCs w:val="24"/>
        </w:rPr>
        <w:t>4</w:t>
      </w:r>
      <w:r w:rsidRPr="00B5630F">
        <w:rPr>
          <w:rFonts w:eastAsia="Times New Roman" w:cs="Times New Roman"/>
          <w:b/>
          <w:i/>
          <w:iCs/>
          <w:sz w:val="24"/>
          <w:szCs w:val="24"/>
        </w:rPr>
        <w:t>. tabula</w:t>
      </w:r>
      <w:r w:rsidRPr="002B160A">
        <w:rPr>
          <w:rFonts w:eastAsia="Times New Roman" w:cs="Times New Roman"/>
          <w:b/>
          <w:i/>
          <w:iCs/>
          <w:sz w:val="24"/>
          <w:szCs w:val="24"/>
        </w:rPr>
        <w:t xml:space="preserve">. Vispārējās valdības strukturālās bilances mērķi, balstoties uz </w:t>
      </w:r>
      <w:r w:rsidR="00DF01F3">
        <w:rPr>
          <w:rFonts w:eastAsia="Times New Roman" w:cs="Times New Roman"/>
          <w:b/>
          <w:i/>
          <w:iCs/>
          <w:sz w:val="24"/>
          <w:szCs w:val="24"/>
        </w:rPr>
        <w:t>ES</w:t>
      </w:r>
      <w:r w:rsidRPr="002B160A">
        <w:rPr>
          <w:rFonts w:eastAsia="Times New Roman" w:cs="Times New Roman"/>
          <w:b/>
          <w:i/>
          <w:iCs/>
          <w:sz w:val="24"/>
          <w:szCs w:val="24"/>
        </w:rPr>
        <w:t xml:space="preserve"> strukturālās</w:t>
      </w:r>
      <w:r w:rsidR="00F45EBA">
        <w:rPr>
          <w:rFonts w:eastAsia="Times New Roman" w:cs="Times New Roman"/>
          <w:b/>
          <w:i/>
          <w:iCs/>
          <w:sz w:val="24"/>
          <w:szCs w:val="24"/>
        </w:rPr>
        <w:t xml:space="preserve"> </w:t>
      </w:r>
      <w:r w:rsidR="00F45EBA" w:rsidRPr="002B160A">
        <w:rPr>
          <w:rFonts w:eastAsia="Times New Roman" w:cs="Times New Roman"/>
          <w:b/>
          <w:i/>
          <w:iCs/>
          <w:sz w:val="24"/>
          <w:szCs w:val="24"/>
        </w:rPr>
        <w:t>primārās</w:t>
      </w:r>
      <w:r w:rsidRPr="002B160A">
        <w:rPr>
          <w:rFonts w:eastAsia="Times New Roman" w:cs="Times New Roman"/>
          <w:b/>
          <w:i/>
          <w:iCs/>
          <w:sz w:val="24"/>
          <w:szCs w:val="24"/>
        </w:rPr>
        <w:t xml:space="preserve"> bilances nosacījumu</w:t>
      </w:r>
    </w:p>
    <w:tbl>
      <w:tblPr>
        <w:tblW w:w="906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21"/>
        <w:gridCol w:w="4394"/>
        <w:gridCol w:w="850"/>
        <w:gridCol w:w="850"/>
        <w:gridCol w:w="850"/>
        <w:gridCol w:w="850"/>
        <w:gridCol w:w="850"/>
      </w:tblGrid>
      <w:tr w:rsidR="00DF01F3" w:rsidRPr="00575359" w14:paraId="6A213EE2" w14:textId="77777777" w:rsidTr="00CF68A1">
        <w:trPr>
          <w:trHeight w:val="310"/>
        </w:trPr>
        <w:tc>
          <w:tcPr>
            <w:tcW w:w="421" w:type="dxa"/>
            <w:shd w:val="clear" w:color="auto" w:fill="BDD6EE" w:themeFill="accent1" w:themeFillTint="66"/>
          </w:tcPr>
          <w:p w14:paraId="5AAF5A12" w14:textId="77777777" w:rsidR="00DF01F3" w:rsidRPr="00575359" w:rsidRDefault="00DF01F3" w:rsidP="0011009A">
            <w:pPr>
              <w:ind w:firstLine="0"/>
              <w:jc w:val="left"/>
              <w:rPr>
                <w:rFonts w:eastAsia="Times New Roman" w:cs="Times New Roman"/>
                <w:color w:val="000000"/>
                <w:sz w:val="18"/>
                <w:szCs w:val="18"/>
                <w:lang w:eastAsia="lv-LV"/>
              </w:rPr>
            </w:pPr>
          </w:p>
        </w:tc>
        <w:tc>
          <w:tcPr>
            <w:tcW w:w="4394" w:type="dxa"/>
            <w:shd w:val="clear" w:color="auto" w:fill="BDD6EE" w:themeFill="accent1" w:themeFillTint="66"/>
            <w:noWrap/>
            <w:vAlign w:val="bottom"/>
            <w:hideMark/>
          </w:tcPr>
          <w:p w14:paraId="6C34E150" w14:textId="0D8FA4BB" w:rsidR="00DF01F3" w:rsidRPr="00575359" w:rsidRDefault="00DF01F3" w:rsidP="0011009A">
            <w:pPr>
              <w:ind w:firstLine="0"/>
              <w:jc w:val="left"/>
              <w:rPr>
                <w:rFonts w:eastAsia="Times New Roman" w:cs="Times New Roman"/>
                <w:color w:val="000000"/>
                <w:sz w:val="18"/>
                <w:szCs w:val="18"/>
                <w:lang w:eastAsia="lv-LV"/>
              </w:rPr>
            </w:pPr>
            <w:r w:rsidRPr="00575359">
              <w:rPr>
                <w:rFonts w:eastAsia="Times New Roman" w:cs="Times New Roman"/>
                <w:color w:val="000000"/>
                <w:sz w:val="18"/>
                <w:szCs w:val="18"/>
                <w:lang w:eastAsia="lv-LV"/>
              </w:rPr>
              <w:t> </w:t>
            </w:r>
          </w:p>
        </w:tc>
        <w:tc>
          <w:tcPr>
            <w:tcW w:w="850" w:type="dxa"/>
            <w:shd w:val="clear" w:color="auto" w:fill="BDD6EE" w:themeFill="accent1" w:themeFillTint="66"/>
            <w:noWrap/>
            <w:vAlign w:val="center"/>
            <w:hideMark/>
          </w:tcPr>
          <w:p w14:paraId="43B4B76B" w14:textId="77777777" w:rsidR="00DF01F3" w:rsidRPr="00575359" w:rsidRDefault="00DF01F3" w:rsidP="0011009A">
            <w:pPr>
              <w:ind w:firstLine="0"/>
              <w:jc w:val="center"/>
              <w:rPr>
                <w:rFonts w:eastAsia="Times New Roman" w:cs="Times New Roman"/>
                <w:color w:val="000000"/>
                <w:sz w:val="16"/>
                <w:szCs w:val="16"/>
                <w:lang w:eastAsia="lv-LV"/>
              </w:rPr>
            </w:pPr>
            <w:r w:rsidRPr="00575359">
              <w:rPr>
                <w:rFonts w:eastAsia="Times New Roman" w:cs="Times New Roman"/>
                <w:b/>
                <w:bCs/>
                <w:color w:val="000000"/>
                <w:sz w:val="18"/>
                <w:szCs w:val="18"/>
                <w:lang w:eastAsia="lv-LV"/>
              </w:rPr>
              <w:t>2024</w:t>
            </w:r>
          </w:p>
        </w:tc>
        <w:tc>
          <w:tcPr>
            <w:tcW w:w="850" w:type="dxa"/>
            <w:shd w:val="clear" w:color="auto" w:fill="BDD6EE" w:themeFill="accent1" w:themeFillTint="66"/>
            <w:noWrap/>
            <w:vAlign w:val="center"/>
            <w:hideMark/>
          </w:tcPr>
          <w:p w14:paraId="06ED595E" w14:textId="77777777" w:rsidR="00DF01F3" w:rsidRPr="00575359" w:rsidRDefault="00DF01F3"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2025</w:t>
            </w:r>
          </w:p>
        </w:tc>
        <w:tc>
          <w:tcPr>
            <w:tcW w:w="850" w:type="dxa"/>
            <w:shd w:val="clear" w:color="auto" w:fill="BDD6EE" w:themeFill="accent1" w:themeFillTint="66"/>
            <w:noWrap/>
            <w:vAlign w:val="center"/>
            <w:hideMark/>
          </w:tcPr>
          <w:p w14:paraId="5A8A284A" w14:textId="77777777" w:rsidR="00DF01F3" w:rsidRPr="00575359" w:rsidRDefault="00DF01F3"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2026</w:t>
            </w:r>
          </w:p>
        </w:tc>
        <w:tc>
          <w:tcPr>
            <w:tcW w:w="850" w:type="dxa"/>
            <w:shd w:val="clear" w:color="auto" w:fill="BDD6EE" w:themeFill="accent1" w:themeFillTint="66"/>
            <w:noWrap/>
            <w:vAlign w:val="center"/>
            <w:hideMark/>
          </w:tcPr>
          <w:p w14:paraId="0138811E" w14:textId="77777777" w:rsidR="00DF01F3" w:rsidRPr="00575359" w:rsidRDefault="00DF01F3"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2027</w:t>
            </w:r>
          </w:p>
        </w:tc>
        <w:tc>
          <w:tcPr>
            <w:tcW w:w="850" w:type="dxa"/>
            <w:shd w:val="clear" w:color="auto" w:fill="BDD6EE" w:themeFill="accent1" w:themeFillTint="66"/>
            <w:noWrap/>
            <w:vAlign w:val="center"/>
            <w:hideMark/>
          </w:tcPr>
          <w:p w14:paraId="6FBE1464" w14:textId="77777777" w:rsidR="00DF01F3" w:rsidRPr="00575359" w:rsidRDefault="00DF01F3"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2028</w:t>
            </w:r>
          </w:p>
        </w:tc>
      </w:tr>
      <w:tr w:rsidR="00DF01F3" w:rsidRPr="00575359" w14:paraId="6FCBEC31" w14:textId="77777777" w:rsidTr="00CF68A1">
        <w:trPr>
          <w:trHeight w:val="300"/>
        </w:trPr>
        <w:tc>
          <w:tcPr>
            <w:tcW w:w="421" w:type="dxa"/>
            <w:vAlign w:val="center"/>
          </w:tcPr>
          <w:p w14:paraId="1071C0D7" w14:textId="3C296787" w:rsidR="00DF01F3" w:rsidRPr="00CF68A1" w:rsidRDefault="00DF01F3" w:rsidP="00CF68A1">
            <w:pPr>
              <w:ind w:firstLine="0"/>
              <w:jc w:val="center"/>
              <w:rPr>
                <w:rFonts w:eastAsia="Times New Roman" w:cs="Times New Roman"/>
                <w:b/>
                <w:bCs/>
                <w:color w:val="000000"/>
                <w:sz w:val="12"/>
                <w:szCs w:val="12"/>
                <w:lang w:eastAsia="lv-LV"/>
              </w:rPr>
            </w:pPr>
            <w:r w:rsidRPr="00CF68A1">
              <w:rPr>
                <w:rFonts w:eastAsia="Times New Roman" w:cs="Times New Roman"/>
                <w:b/>
                <w:bCs/>
                <w:color w:val="000000"/>
                <w:sz w:val="12"/>
                <w:szCs w:val="12"/>
                <w:lang w:eastAsia="lv-LV"/>
              </w:rPr>
              <w:t>1.</w:t>
            </w:r>
          </w:p>
        </w:tc>
        <w:tc>
          <w:tcPr>
            <w:tcW w:w="4394" w:type="dxa"/>
            <w:shd w:val="clear" w:color="auto" w:fill="auto"/>
            <w:noWrap/>
            <w:vAlign w:val="center"/>
          </w:tcPr>
          <w:p w14:paraId="1876418A" w14:textId="1F38F1ED" w:rsidR="00DF01F3" w:rsidRPr="00575359" w:rsidRDefault="00DF01F3" w:rsidP="0011009A">
            <w:pPr>
              <w:ind w:firstLine="0"/>
              <w:jc w:val="left"/>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 xml:space="preserve">strukturālās </w:t>
            </w:r>
            <w:r w:rsidR="00803BAD" w:rsidRPr="00575359">
              <w:rPr>
                <w:rFonts w:eastAsia="Times New Roman" w:cs="Times New Roman"/>
                <w:b/>
                <w:bCs/>
                <w:color w:val="000000"/>
                <w:sz w:val="18"/>
                <w:szCs w:val="18"/>
                <w:lang w:eastAsia="lv-LV"/>
              </w:rPr>
              <w:t xml:space="preserve">primārās </w:t>
            </w:r>
            <w:r w:rsidRPr="00575359">
              <w:rPr>
                <w:rFonts w:eastAsia="Times New Roman" w:cs="Times New Roman"/>
                <w:b/>
                <w:bCs/>
                <w:color w:val="000000"/>
                <w:sz w:val="18"/>
                <w:szCs w:val="18"/>
                <w:lang w:eastAsia="lv-LV"/>
              </w:rPr>
              <w:t>bilances mērķis, % no IKP</w:t>
            </w:r>
          </w:p>
        </w:tc>
        <w:tc>
          <w:tcPr>
            <w:tcW w:w="850" w:type="dxa"/>
            <w:shd w:val="clear" w:color="auto" w:fill="auto"/>
            <w:noWrap/>
            <w:vAlign w:val="center"/>
          </w:tcPr>
          <w:p w14:paraId="0BBD1205" w14:textId="77777777" w:rsidR="00DF01F3" w:rsidRPr="00575359" w:rsidRDefault="00DF01F3" w:rsidP="0011009A">
            <w:pPr>
              <w:ind w:firstLine="0"/>
              <w:jc w:val="center"/>
              <w:rPr>
                <w:rFonts w:eastAsia="Times New Roman" w:cs="Times New Roman"/>
                <w:sz w:val="22"/>
                <w:lang w:eastAsia="lv-LV"/>
              </w:rPr>
            </w:pPr>
            <w:r w:rsidRPr="00575359">
              <w:rPr>
                <w:rFonts w:cs="Times New Roman"/>
                <w:sz w:val="22"/>
              </w:rPr>
              <w:t>-1,441</w:t>
            </w:r>
          </w:p>
        </w:tc>
        <w:tc>
          <w:tcPr>
            <w:tcW w:w="850" w:type="dxa"/>
            <w:shd w:val="clear" w:color="auto" w:fill="auto"/>
            <w:noWrap/>
            <w:vAlign w:val="center"/>
          </w:tcPr>
          <w:p w14:paraId="6F68F6D9" w14:textId="77777777" w:rsidR="00DF01F3" w:rsidRPr="00575359" w:rsidRDefault="00DF01F3" w:rsidP="0011009A">
            <w:pPr>
              <w:ind w:firstLine="0"/>
              <w:jc w:val="center"/>
              <w:rPr>
                <w:rFonts w:eastAsia="Times New Roman" w:cs="Times New Roman"/>
                <w:b/>
                <w:bCs/>
                <w:sz w:val="22"/>
                <w:lang w:eastAsia="lv-LV"/>
              </w:rPr>
            </w:pPr>
            <w:r w:rsidRPr="00575359">
              <w:rPr>
                <w:rFonts w:cs="Times New Roman"/>
                <w:sz w:val="22"/>
              </w:rPr>
              <w:t>-1,386</w:t>
            </w:r>
          </w:p>
        </w:tc>
        <w:tc>
          <w:tcPr>
            <w:tcW w:w="850" w:type="dxa"/>
            <w:shd w:val="clear" w:color="auto" w:fill="FFFFFF" w:themeFill="background1"/>
            <w:noWrap/>
            <w:vAlign w:val="center"/>
            <w:hideMark/>
          </w:tcPr>
          <w:p w14:paraId="28D2C30B" w14:textId="77777777" w:rsidR="00DF01F3" w:rsidRPr="00575359" w:rsidRDefault="00DF01F3" w:rsidP="0011009A">
            <w:pPr>
              <w:ind w:firstLine="0"/>
              <w:jc w:val="center"/>
              <w:rPr>
                <w:rFonts w:eastAsia="Times New Roman" w:cs="Times New Roman"/>
                <w:sz w:val="22"/>
                <w:lang w:eastAsia="lv-LV"/>
              </w:rPr>
            </w:pPr>
            <w:r w:rsidRPr="00575359">
              <w:rPr>
                <w:rFonts w:cs="Times New Roman"/>
                <w:sz w:val="22"/>
              </w:rPr>
              <w:t>-1,331</w:t>
            </w:r>
          </w:p>
        </w:tc>
        <w:tc>
          <w:tcPr>
            <w:tcW w:w="850" w:type="dxa"/>
            <w:shd w:val="clear" w:color="auto" w:fill="FFFFFF" w:themeFill="background1"/>
            <w:noWrap/>
            <w:vAlign w:val="center"/>
            <w:hideMark/>
          </w:tcPr>
          <w:p w14:paraId="3891392A" w14:textId="77777777" w:rsidR="00DF01F3" w:rsidRPr="00575359" w:rsidRDefault="00DF01F3" w:rsidP="0011009A">
            <w:pPr>
              <w:ind w:firstLine="0"/>
              <w:jc w:val="center"/>
              <w:rPr>
                <w:rFonts w:eastAsia="Times New Roman" w:cs="Times New Roman"/>
                <w:sz w:val="22"/>
                <w:lang w:eastAsia="lv-LV"/>
              </w:rPr>
            </w:pPr>
            <w:r w:rsidRPr="00575359">
              <w:rPr>
                <w:rFonts w:cs="Times New Roman"/>
                <w:sz w:val="22"/>
              </w:rPr>
              <w:t>-1,276</w:t>
            </w:r>
          </w:p>
        </w:tc>
        <w:tc>
          <w:tcPr>
            <w:tcW w:w="850" w:type="dxa"/>
            <w:shd w:val="clear" w:color="auto" w:fill="FFFFFF" w:themeFill="background1"/>
            <w:noWrap/>
            <w:vAlign w:val="center"/>
            <w:hideMark/>
          </w:tcPr>
          <w:p w14:paraId="364AD4A1" w14:textId="77777777" w:rsidR="00DF01F3" w:rsidRPr="00575359" w:rsidRDefault="00DF01F3" w:rsidP="0011009A">
            <w:pPr>
              <w:ind w:firstLine="0"/>
              <w:jc w:val="center"/>
              <w:rPr>
                <w:rFonts w:eastAsia="Times New Roman" w:cs="Times New Roman"/>
                <w:sz w:val="22"/>
                <w:lang w:eastAsia="lv-LV"/>
              </w:rPr>
            </w:pPr>
            <w:r w:rsidRPr="00575359">
              <w:rPr>
                <w:rFonts w:cs="Times New Roman"/>
                <w:sz w:val="22"/>
              </w:rPr>
              <w:t>-1,221</w:t>
            </w:r>
          </w:p>
        </w:tc>
      </w:tr>
      <w:tr w:rsidR="00DF01F3" w:rsidRPr="00575359" w14:paraId="28F75647" w14:textId="77777777" w:rsidTr="00CF68A1">
        <w:trPr>
          <w:trHeight w:val="300"/>
        </w:trPr>
        <w:tc>
          <w:tcPr>
            <w:tcW w:w="421" w:type="dxa"/>
            <w:vAlign w:val="center"/>
          </w:tcPr>
          <w:p w14:paraId="4B65EDC8" w14:textId="0A47B47B" w:rsidR="00DF01F3" w:rsidRPr="00CF68A1" w:rsidRDefault="00DF01F3" w:rsidP="00CF68A1">
            <w:pPr>
              <w:ind w:firstLine="0"/>
              <w:jc w:val="center"/>
              <w:rPr>
                <w:rFonts w:eastAsia="Times New Roman" w:cs="Times New Roman"/>
                <w:b/>
                <w:bCs/>
                <w:color w:val="000000"/>
                <w:sz w:val="12"/>
                <w:szCs w:val="12"/>
                <w:lang w:eastAsia="lv-LV"/>
              </w:rPr>
            </w:pPr>
            <w:r w:rsidRPr="00CF68A1">
              <w:rPr>
                <w:rFonts w:eastAsia="Times New Roman" w:cs="Times New Roman"/>
                <w:b/>
                <w:bCs/>
                <w:color w:val="000000"/>
                <w:sz w:val="12"/>
                <w:szCs w:val="12"/>
                <w:lang w:eastAsia="lv-LV"/>
              </w:rPr>
              <w:t>2.</w:t>
            </w:r>
          </w:p>
        </w:tc>
        <w:tc>
          <w:tcPr>
            <w:tcW w:w="4394" w:type="dxa"/>
            <w:shd w:val="clear" w:color="auto" w:fill="auto"/>
            <w:noWrap/>
            <w:vAlign w:val="center"/>
          </w:tcPr>
          <w:p w14:paraId="7D310D7B" w14:textId="76FFB8EA" w:rsidR="00DF01F3" w:rsidRPr="00575359" w:rsidRDefault="00DF01F3" w:rsidP="0011009A">
            <w:pPr>
              <w:ind w:firstLine="0"/>
              <w:jc w:val="left"/>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vispārējās valdības procentu izdevumi, % no IKP</w:t>
            </w:r>
          </w:p>
        </w:tc>
        <w:tc>
          <w:tcPr>
            <w:tcW w:w="850" w:type="dxa"/>
            <w:shd w:val="clear" w:color="auto" w:fill="auto"/>
            <w:noWrap/>
            <w:vAlign w:val="center"/>
          </w:tcPr>
          <w:p w14:paraId="5DDF2749" w14:textId="77777777" w:rsidR="00DF01F3" w:rsidRPr="00575359" w:rsidRDefault="00DF01F3" w:rsidP="0011009A">
            <w:pPr>
              <w:ind w:firstLine="0"/>
              <w:jc w:val="center"/>
              <w:rPr>
                <w:rFonts w:eastAsia="Times New Roman" w:cs="Times New Roman"/>
                <w:sz w:val="22"/>
                <w:lang w:eastAsia="lv-LV"/>
              </w:rPr>
            </w:pPr>
            <w:r w:rsidRPr="00575359">
              <w:rPr>
                <w:rFonts w:cs="Times New Roman"/>
                <w:sz w:val="22"/>
              </w:rPr>
              <w:t>1,04</w:t>
            </w:r>
          </w:p>
        </w:tc>
        <w:tc>
          <w:tcPr>
            <w:tcW w:w="850" w:type="dxa"/>
            <w:shd w:val="clear" w:color="auto" w:fill="auto"/>
            <w:noWrap/>
            <w:vAlign w:val="center"/>
          </w:tcPr>
          <w:p w14:paraId="54F3023F" w14:textId="77777777" w:rsidR="00DF01F3" w:rsidRPr="00575359" w:rsidRDefault="00DF01F3" w:rsidP="0011009A">
            <w:pPr>
              <w:ind w:firstLine="0"/>
              <w:jc w:val="center"/>
              <w:rPr>
                <w:rFonts w:eastAsia="Times New Roman" w:cs="Times New Roman"/>
                <w:b/>
                <w:bCs/>
                <w:sz w:val="22"/>
                <w:lang w:eastAsia="lv-LV"/>
              </w:rPr>
            </w:pPr>
            <w:r w:rsidRPr="00575359">
              <w:rPr>
                <w:rFonts w:cs="Times New Roman"/>
                <w:sz w:val="22"/>
              </w:rPr>
              <w:t>1,20</w:t>
            </w:r>
          </w:p>
        </w:tc>
        <w:tc>
          <w:tcPr>
            <w:tcW w:w="850" w:type="dxa"/>
            <w:shd w:val="clear" w:color="auto" w:fill="FFFFFF" w:themeFill="background1"/>
            <w:noWrap/>
            <w:vAlign w:val="center"/>
            <w:hideMark/>
          </w:tcPr>
          <w:p w14:paraId="09AA05DA" w14:textId="77777777" w:rsidR="00DF01F3" w:rsidRPr="00575359" w:rsidRDefault="00DF01F3" w:rsidP="0011009A">
            <w:pPr>
              <w:ind w:firstLine="0"/>
              <w:jc w:val="center"/>
              <w:rPr>
                <w:rFonts w:eastAsia="Times New Roman" w:cs="Times New Roman"/>
                <w:sz w:val="22"/>
                <w:lang w:eastAsia="lv-LV"/>
              </w:rPr>
            </w:pPr>
            <w:r w:rsidRPr="00575359">
              <w:rPr>
                <w:rFonts w:cs="Times New Roman"/>
                <w:sz w:val="22"/>
              </w:rPr>
              <w:t>1,28</w:t>
            </w:r>
          </w:p>
        </w:tc>
        <w:tc>
          <w:tcPr>
            <w:tcW w:w="850" w:type="dxa"/>
            <w:shd w:val="clear" w:color="auto" w:fill="FFFFFF" w:themeFill="background1"/>
            <w:noWrap/>
            <w:vAlign w:val="center"/>
            <w:hideMark/>
          </w:tcPr>
          <w:p w14:paraId="5AAF434D" w14:textId="77777777" w:rsidR="00DF01F3" w:rsidRPr="00575359" w:rsidRDefault="00DF01F3" w:rsidP="0011009A">
            <w:pPr>
              <w:ind w:firstLine="0"/>
              <w:jc w:val="center"/>
              <w:rPr>
                <w:rFonts w:eastAsia="Times New Roman" w:cs="Times New Roman"/>
                <w:sz w:val="22"/>
                <w:lang w:eastAsia="lv-LV"/>
              </w:rPr>
            </w:pPr>
            <w:r w:rsidRPr="00575359">
              <w:rPr>
                <w:rFonts w:cs="Times New Roman"/>
                <w:sz w:val="22"/>
              </w:rPr>
              <w:t>1,35</w:t>
            </w:r>
          </w:p>
        </w:tc>
        <w:tc>
          <w:tcPr>
            <w:tcW w:w="850" w:type="dxa"/>
            <w:shd w:val="clear" w:color="auto" w:fill="FFFFFF" w:themeFill="background1"/>
            <w:noWrap/>
            <w:vAlign w:val="center"/>
            <w:hideMark/>
          </w:tcPr>
          <w:p w14:paraId="10B5C947" w14:textId="77777777" w:rsidR="00DF01F3" w:rsidRPr="00575359" w:rsidRDefault="00DF01F3" w:rsidP="0011009A">
            <w:pPr>
              <w:ind w:firstLine="0"/>
              <w:jc w:val="center"/>
              <w:rPr>
                <w:rFonts w:eastAsia="Times New Roman" w:cs="Times New Roman"/>
                <w:sz w:val="22"/>
                <w:lang w:eastAsia="lv-LV"/>
              </w:rPr>
            </w:pPr>
            <w:r w:rsidRPr="00575359">
              <w:rPr>
                <w:rFonts w:cs="Times New Roman"/>
                <w:sz w:val="22"/>
              </w:rPr>
              <w:t>1,42</w:t>
            </w:r>
          </w:p>
        </w:tc>
      </w:tr>
      <w:tr w:rsidR="00DF01F3" w:rsidRPr="00575359" w14:paraId="464E0038" w14:textId="77777777" w:rsidTr="00CF68A1">
        <w:trPr>
          <w:trHeight w:val="300"/>
        </w:trPr>
        <w:tc>
          <w:tcPr>
            <w:tcW w:w="421" w:type="dxa"/>
            <w:vAlign w:val="center"/>
          </w:tcPr>
          <w:p w14:paraId="1A16C19B" w14:textId="096395D2" w:rsidR="00DF01F3" w:rsidRPr="00CF68A1" w:rsidRDefault="00DF01F3" w:rsidP="00CF68A1">
            <w:pPr>
              <w:ind w:firstLine="0"/>
              <w:jc w:val="center"/>
              <w:rPr>
                <w:b/>
                <w:bCs/>
                <w:i/>
                <w:iCs/>
                <w:color w:val="000000"/>
                <w:sz w:val="12"/>
                <w:szCs w:val="12"/>
              </w:rPr>
            </w:pPr>
            <w:r w:rsidRPr="00CF68A1">
              <w:rPr>
                <w:b/>
                <w:bCs/>
                <w:i/>
                <w:iCs/>
                <w:color w:val="000000"/>
                <w:sz w:val="12"/>
                <w:szCs w:val="12"/>
              </w:rPr>
              <w:t>3.</w:t>
            </w:r>
          </w:p>
        </w:tc>
        <w:tc>
          <w:tcPr>
            <w:tcW w:w="4394" w:type="dxa"/>
            <w:shd w:val="clear" w:color="auto" w:fill="auto"/>
            <w:noWrap/>
            <w:vAlign w:val="center"/>
          </w:tcPr>
          <w:p w14:paraId="33B59F16" w14:textId="205FE667" w:rsidR="00DF01F3" w:rsidRPr="00575359" w:rsidRDefault="00DF01F3" w:rsidP="0011009A">
            <w:pPr>
              <w:ind w:firstLine="0"/>
              <w:jc w:val="left"/>
              <w:rPr>
                <w:rFonts w:eastAsia="Times New Roman" w:cs="Times New Roman"/>
                <w:b/>
                <w:bCs/>
                <w:color w:val="000000"/>
                <w:sz w:val="18"/>
                <w:szCs w:val="18"/>
                <w:lang w:eastAsia="lv-LV"/>
              </w:rPr>
            </w:pPr>
            <w:proofErr w:type="spellStart"/>
            <w:r w:rsidRPr="00575359">
              <w:rPr>
                <w:b/>
                <w:bCs/>
                <w:i/>
                <w:iCs/>
                <w:color w:val="000000"/>
                <w:sz w:val="20"/>
                <w:szCs w:val="20"/>
              </w:rPr>
              <w:t>one-off</w:t>
            </w:r>
            <w:proofErr w:type="spellEnd"/>
            <w:r w:rsidRPr="00575359">
              <w:rPr>
                <w:b/>
                <w:bCs/>
                <w:color w:val="000000"/>
                <w:sz w:val="20"/>
                <w:szCs w:val="20"/>
              </w:rPr>
              <w:t xml:space="preserve"> un citi īslaicīgie pasākumi, % no IKP</w:t>
            </w:r>
          </w:p>
        </w:tc>
        <w:tc>
          <w:tcPr>
            <w:tcW w:w="850" w:type="dxa"/>
            <w:shd w:val="clear" w:color="auto" w:fill="auto"/>
            <w:noWrap/>
            <w:vAlign w:val="center"/>
          </w:tcPr>
          <w:p w14:paraId="59A4D8CC" w14:textId="77777777" w:rsidR="00DF01F3" w:rsidRPr="00575359" w:rsidRDefault="00DF01F3" w:rsidP="0011009A">
            <w:pPr>
              <w:ind w:firstLine="0"/>
              <w:jc w:val="center"/>
              <w:rPr>
                <w:rFonts w:eastAsia="Times New Roman" w:cs="Times New Roman"/>
                <w:sz w:val="22"/>
                <w:lang w:eastAsia="lv-LV"/>
              </w:rPr>
            </w:pPr>
          </w:p>
        </w:tc>
        <w:tc>
          <w:tcPr>
            <w:tcW w:w="850" w:type="dxa"/>
            <w:shd w:val="clear" w:color="auto" w:fill="auto"/>
            <w:noWrap/>
            <w:vAlign w:val="center"/>
          </w:tcPr>
          <w:p w14:paraId="241DE0BA" w14:textId="77777777" w:rsidR="00DF01F3" w:rsidRPr="00575359" w:rsidRDefault="00DF01F3" w:rsidP="0011009A">
            <w:pPr>
              <w:ind w:firstLine="0"/>
              <w:jc w:val="center"/>
              <w:rPr>
                <w:rFonts w:eastAsia="Times New Roman" w:cs="Times New Roman"/>
                <w:b/>
                <w:bCs/>
                <w:sz w:val="22"/>
                <w:lang w:eastAsia="lv-LV"/>
              </w:rPr>
            </w:pPr>
            <w:r w:rsidRPr="00575359">
              <w:rPr>
                <w:rFonts w:cs="Times New Roman"/>
                <w:sz w:val="22"/>
              </w:rPr>
              <w:t>-1,58</w:t>
            </w:r>
          </w:p>
        </w:tc>
        <w:tc>
          <w:tcPr>
            <w:tcW w:w="850" w:type="dxa"/>
            <w:shd w:val="clear" w:color="auto" w:fill="FFFFFF" w:themeFill="background1"/>
            <w:noWrap/>
            <w:vAlign w:val="center"/>
            <w:hideMark/>
          </w:tcPr>
          <w:p w14:paraId="29431883" w14:textId="77777777" w:rsidR="00DF01F3" w:rsidRPr="00575359" w:rsidRDefault="00DF01F3" w:rsidP="0011009A">
            <w:pPr>
              <w:ind w:firstLine="0"/>
              <w:jc w:val="center"/>
              <w:rPr>
                <w:rFonts w:eastAsia="Times New Roman" w:cs="Times New Roman"/>
                <w:sz w:val="22"/>
                <w:lang w:eastAsia="lv-LV"/>
              </w:rPr>
            </w:pPr>
            <w:r w:rsidRPr="00575359">
              <w:rPr>
                <w:rFonts w:cs="Times New Roman"/>
                <w:sz w:val="22"/>
              </w:rPr>
              <w:t>-1,64</w:t>
            </w:r>
          </w:p>
        </w:tc>
        <w:tc>
          <w:tcPr>
            <w:tcW w:w="850" w:type="dxa"/>
            <w:shd w:val="clear" w:color="auto" w:fill="FFFFFF" w:themeFill="background1"/>
            <w:noWrap/>
            <w:vAlign w:val="center"/>
            <w:hideMark/>
          </w:tcPr>
          <w:p w14:paraId="0E10245F" w14:textId="77777777" w:rsidR="00DF01F3" w:rsidRPr="00575359" w:rsidRDefault="00DF01F3" w:rsidP="0011009A">
            <w:pPr>
              <w:ind w:firstLine="0"/>
              <w:jc w:val="center"/>
              <w:rPr>
                <w:rFonts w:eastAsia="Times New Roman" w:cs="Times New Roman"/>
                <w:sz w:val="22"/>
                <w:lang w:eastAsia="lv-LV"/>
              </w:rPr>
            </w:pPr>
            <w:r w:rsidRPr="00575359">
              <w:rPr>
                <w:rFonts w:cs="Times New Roman"/>
                <w:sz w:val="22"/>
              </w:rPr>
              <w:t>-1,48</w:t>
            </w:r>
          </w:p>
        </w:tc>
        <w:tc>
          <w:tcPr>
            <w:tcW w:w="850" w:type="dxa"/>
            <w:shd w:val="clear" w:color="auto" w:fill="FFFFFF" w:themeFill="background1"/>
            <w:noWrap/>
            <w:vAlign w:val="center"/>
            <w:hideMark/>
          </w:tcPr>
          <w:p w14:paraId="1C500EA1" w14:textId="77777777" w:rsidR="00DF01F3" w:rsidRPr="00575359" w:rsidRDefault="00DF01F3" w:rsidP="0011009A">
            <w:pPr>
              <w:ind w:firstLine="0"/>
              <w:jc w:val="center"/>
              <w:rPr>
                <w:rFonts w:eastAsia="Times New Roman" w:cs="Times New Roman"/>
                <w:sz w:val="22"/>
                <w:lang w:eastAsia="lv-LV"/>
              </w:rPr>
            </w:pPr>
            <w:r w:rsidRPr="00575359">
              <w:rPr>
                <w:rFonts w:cs="Times New Roman"/>
                <w:sz w:val="22"/>
              </w:rPr>
              <w:t>-1,31</w:t>
            </w:r>
          </w:p>
        </w:tc>
      </w:tr>
      <w:tr w:rsidR="00DF01F3" w:rsidRPr="00CF6C5C" w14:paraId="493A15B3" w14:textId="77777777" w:rsidTr="00CF68A1">
        <w:trPr>
          <w:trHeight w:val="300"/>
        </w:trPr>
        <w:tc>
          <w:tcPr>
            <w:tcW w:w="421" w:type="dxa"/>
            <w:shd w:val="clear" w:color="auto" w:fill="BDD6EE" w:themeFill="accent1" w:themeFillTint="66"/>
            <w:vAlign w:val="center"/>
          </w:tcPr>
          <w:p w14:paraId="156FBF4C" w14:textId="035B0E12" w:rsidR="00DF01F3" w:rsidRPr="00CF68A1" w:rsidRDefault="00DF01F3" w:rsidP="00CF68A1">
            <w:pPr>
              <w:ind w:firstLine="0"/>
              <w:jc w:val="center"/>
              <w:rPr>
                <w:b/>
                <w:bCs/>
                <w:color w:val="000000"/>
                <w:sz w:val="12"/>
                <w:szCs w:val="12"/>
              </w:rPr>
            </w:pPr>
            <w:r w:rsidRPr="00CF68A1">
              <w:rPr>
                <w:b/>
                <w:bCs/>
                <w:color w:val="000000"/>
                <w:sz w:val="12"/>
                <w:szCs w:val="12"/>
              </w:rPr>
              <w:t>4.</w:t>
            </w:r>
          </w:p>
        </w:tc>
        <w:tc>
          <w:tcPr>
            <w:tcW w:w="4394" w:type="dxa"/>
            <w:shd w:val="clear" w:color="auto" w:fill="BDD6EE" w:themeFill="accent1" w:themeFillTint="66"/>
            <w:noWrap/>
            <w:vAlign w:val="center"/>
          </w:tcPr>
          <w:p w14:paraId="396B33FE" w14:textId="760E1605" w:rsidR="00DF01F3" w:rsidRPr="00575359" w:rsidRDefault="00DF01F3" w:rsidP="0011009A">
            <w:pPr>
              <w:ind w:firstLine="0"/>
              <w:jc w:val="left"/>
              <w:rPr>
                <w:rFonts w:eastAsia="Times New Roman" w:cs="Times New Roman"/>
                <w:b/>
                <w:bCs/>
                <w:color w:val="000000"/>
                <w:sz w:val="18"/>
                <w:szCs w:val="18"/>
                <w:lang w:eastAsia="lv-LV"/>
              </w:rPr>
            </w:pPr>
            <w:r w:rsidRPr="00575359">
              <w:rPr>
                <w:b/>
                <w:bCs/>
                <w:color w:val="000000"/>
                <w:sz w:val="20"/>
                <w:szCs w:val="20"/>
              </w:rPr>
              <w:t>vispārējās valdības strukturālās bilances prognoze un mērķi, % no IKP</w:t>
            </w:r>
          </w:p>
        </w:tc>
        <w:tc>
          <w:tcPr>
            <w:tcW w:w="850" w:type="dxa"/>
            <w:shd w:val="clear" w:color="auto" w:fill="BDD6EE" w:themeFill="accent1" w:themeFillTint="66"/>
            <w:noWrap/>
            <w:vAlign w:val="center"/>
          </w:tcPr>
          <w:p w14:paraId="60B67455" w14:textId="77777777" w:rsidR="00DF01F3" w:rsidRPr="00575359" w:rsidRDefault="00DF01F3" w:rsidP="0011009A">
            <w:pPr>
              <w:ind w:firstLine="0"/>
              <w:jc w:val="center"/>
              <w:rPr>
                <w:rFonts w:eastAsia="Times New Roman" w:cs="Times New Roman"/>
                <w:b/>
                <w:bCs/>
                <w:sz w:val="22"/>
                <w:lang w:eastAsia="lv-LV"/>
              </w:rPr>
            </w:pPr>
          </w:p>
        </w:tc>
        <w:tc>
          <w:tcPr>
            <w:tcW w:w="850" w:type="dxa"/>
            <w:shd w:val="clear" w:color="auto" w:fill="BDD6EE" w:themeFill="accent1" w:themeFillTint="66"/>
            <w:noWrap/>
            <w:vAlign w:val="center"/>
          </w:tcPr>
          <w:p w14:paraId="5299D1A5" w14:textId="77777777" w:rsidR="00DF01F3" w:rsidRPr="00575359" w:rsidRDefault="00DF01F3" w:rsidP="0011009A">
            <w:pPr>
              <w:ind w:firstLine="0"/>
              <w:jc w:val="center"/>
              <w:rPr>
                <w:rFonts w:eastAsia="Times New Roman" w:cs="Times New Roman"/>
                <w:b/>
                <w:bCs/>
                <w:sz w:val="22"/>
                <w:lang w:eastAsia="lv-LV"/>
              </w:rPr>
            </w:pPr>
            <w:r w:rsidRPr="00575359">
              <w:rPr>
                <w:rFonts w:cs="Times New Roman"/>
                <w:b/>
                <w:bCs/>
                <w:sz w:val="22"/>
              </w:rPr>
              <w:t>-1,008</w:t>
            </w:r>
          </w:p>
        </w:tc>
        <w:tc>
          <w:tcPr>
            <w:tcW w:w="850" w:type="dxa"/>
            <w:shd w:val="clear" w:color="auto" w:fill="BDD6EE" w:themeFill="accent1" w:themeFillTint="66"/>
            <w:noWrap/>
            <w:vAlign w:val="center"/>
            <w:hideMark/>
          </w:tcPr>
          <w:p w14:paraId="720C8EF0" w14:textId="77777777" w:rsidR="00DF01F3" w:rsidRPr="00575359" w:rsidRDefault="00DF01F3" w:rsidP="0011009A">
            <w:pPr>
              <w:ind w:firstLine="0"/>
              <w:jc w:val="center"/>
              <w:rPr>
                <w:rFonts w:eastAsia="Times New Roman" w:cs="Times New Roman"/>
                <w:b/>
                <w:bCs/>
                <w:sz w:val="22"/>
                <w:lang w:eastAsia="lv-LV"/>
              </w:rPr>
            </w:pPr>
            <w:r w:rsidRPr="00575359">
              <w:rPr>
                <w:rFonts w:cs="Times New Roman"/>
                <w:b/>
                <w:bCs/>
                <w:sz w:val="22"/>
              </w:rPr>
              <w:t>-0,971</w:t>
            </w:r>
          </w:p>
        </w:tc>
        <w:tc>
          <w:tcPr>
            <w:tcW w:w="850" w:type="dxa"/>
            <w:shd w:val="clear" w:color="auto" w:fill="BDD6EE" w:themeFill="accent1" w:themeFillTint="66"/>
            <w:noWrap/>
            <w:vAlign w:val="center"/>
            <w:hideMark/>
          </w:tcPr>
          <w:p w14:paraId="66D491E2" w14:textId="77777777" w:rsidR="00DF01F3" w:rsidRPr="00575359" w:rsidRDefault="00DF01F3" w:rsidP="0011009A">
            <w:pPr>
              <w:ind w:firstLine="0"/>
              <w:jc w:val="center"/>
              <w:rPr>
                <w:rFonts w:eastAsia="Times New Roman" w:cs="Times New Roman"/>
                <w:b/>
                <w:bCs/>
                <w:sz w:val="22"/>
                <w:lang w:eastAsia="lv-LV"/>
              </w:rPr>
            </w:pPr>
            <w:r w:rsidRPr="00575359">
              <w:rPr>
                <w:rFonts w:cs="Times New Roman"/>
                <w:b/>
                <w:bCs/>
                <w:sz w:val="22"/>
              </w:rPr>
              <w:t>-1,149</w:t>
            </w:r>
          </w:p>
        </w:tc>
        <w:tc>
          <w:tcPr>
            <w:tcW w:w="850" w:type="dxa"/>
            <w:shd w:val="clear" w:color="auto" w:fill="BDD6EE" w:themeFill="accent1" w:themeFillTint="66"/>
            <w:noWrap/>
            <w:vAlign w:val="center"/>
            <w:hideMark/>
          </w:tcPr>
          <w:p w14:paraId="03ED7F52" w14:textId="77777777" w:rsidR="00DF01F3" w:rsidRPr="00575359" w:rsidRDefault="00DF01F3" w:rsidP="0011009A">
            <w:pPr>
              <w:ind w:firstLine="0"/>
              <w:jc w:val="center"/>
              <w:rPr>
                <w:rFonts w:eastAsia="Times New Roman" w:cs="Times New Roman"/>
                <w:b/>
                <w:bCs/>
                <w:sz w:val="22"/>
                <w:lang w:eastAsia="lv-LV"/>
              </w:rPr>
            </w:pPr>
            <w:r w:rsidRPr="00575359">
              <w:rPr>
                <w:rFonts w:cs="Times New Roman"/>
                <w:b/>
                <w:bCs/>
                <w:sz w:val="22"/>
              </w:rPr>
              <w:t>-1,328</w:t>
            </w:r>
          </w:p>
        </w:tc>
      </w:tr>
    </w:tbl>
    <w:p w14:paraId="545F549C" w14:textId="77777777" w:rsidR="00CF6C5C" w:rsidRDefault="00CF6C5C" w:rsidP="00CF6C5C">
      <w:pPr>
        <w:widowControl w:val="0"/>
        <w:rPr>
          <w:rFonts w:eastAsia="Times New Roman" w:cs="Times New Roman"/>
          <w:bCs/>
          <w:sz w:val="24"/>
          <w:highlight w:val="yellow"/>
        </w:rPr>
      </w:pPr>
    </w:p>
    <w:p w14:paraId="4EE51B89" w14:textId="097D23DD" w:rsidR="00EB78E8" w:rsidRPr="00CF68A1" w:rsidRDefault="00EB78E8" w:rsidP="00CF6C5C">
      <w:pPr>
        <w:widowControl w:val="0"/>
        <w:rPr>
          <w:rFonts w:eastAsia="Times New Roman" w:cs="Times New Roman"/>
          <w:bCs/>
          <w:sz w:val="24"/>
        </w:rPr>
      </w:pPr>
      <w:r w:rsidRPr="00CF68A1">
        <w:rPr>
          <w:rFonts w:eastAsia="Times New Roman" w:cs="Times New Roman"/>
          <w:bCs/>
          <w:sz w:val="24"/>
        </w:rPr>
        <w:t>Jāatzīmē</w:t>
      </w:r>
      <w:r w:rsidR="004D1C26">
        <w:rPr>
          <w:rFonts w:eastAsia="Times New Roman" w:cs="Times New Roman"/>
          <w:bCs/>
          <w:sz w:val="24"/>
        </w:rPr>
        <w:t xml:space="preserve">, ka jaunais ES regulējums nosaka, ka ES valstis, kurām 2024. gadā parāds ir </w:t>
      </w:r>
      <w:r w:rsidR="00C065A1">
        <w:rPr>
          <w:rFonts w:eastAsia="Times New Roman" w:cs="Times New Roman"/>
          <w:bCs/>
          <w:sz w:val="24"/>
        </w:rPr>
        <w:t xml:space="preserve"> </w:t>
      </w:r>
      <w:r w:rsidR="004D1C26">
        <w:rPr>
          <w:rFonts w:eastAsia="Times New Roman" w:cs="Times New Roman"/>
          <w:bCs/>
          <w:sz w:val="24"/>
        </w:rPr>
        <w:t>zem 60% no IKP un deficīts zem 3% no IKP var izvēlēties, pieprasīt EK tehnisko informāciju</w:t>
      </w:r>
      <w:r w:rsidR="00DB0C28" w:rsidRPr="00DB0C28">
        <w:rPr>
          <w:rStyle w:val="FootnoteReference"/>
          <w:rFonts w:ascii="Times New Roman" w:eastAsia="Times New Roman" w:hAnsi="Times New Roman" w:cs="Times New Roman"/>
          <w:bCs/>
          <w:sz w:val="24"/>
          <w:szCs w:val="24"/>
        </w:rPr>
        <w:footnoteReference w:id="9"/>
      </w:r>
      <w:r w:rsidR="004D1C26" w:rsidRPr="00DB0C28">
        <w:rPr>
          <w:rFonts w:eastAsia="Times New Roman" w:cs="Times New Roman"/>
          <w:bCs/>
          <w:sz w:val="24"/>
          <w:szCs w:val="24"/>
        </w:rPr>
        <w:t xml:space="preserve"> </w:t>
      </w:r>
      <w:r w:rsidR="004D1C26">
        <w:rPr>
          <w:rFonts w:eastAsia="Times New Roman" w:cs="Times New Roman"/>
          <w:bCs/>
          <w:sz w:val="24"/>
        </w:rPr>
        <w:t>vai nē. Regula</w:t>
      </w:r>
      <w:r w:rsidR="00926732">
        <w:rPr>
          <w:rFonts w:eastAsia="Times New Roman" w:cs="Times New Roman"/>
          <w:bCs/>
          <w:sz w:val="24"/>
        </w:rPr>
        <w:t>s 9. pants</w:t>
      </w:r>
      <w:r w:rsidR="004D1C26">
        <w:rPr>
          <w:rFonts w:eastAsia="Times New Roman" w:cs="Times New Roman"/>
          <w:bCs/>
          <w:sz w:val="24"/>
        </w:rPr>
        <w:t xml:space="preserve"> nosaka, ka, gadījumā, ja valsts pieprasa tehnisko informāciju, EK norādītajai pieļaujamai strukturālai</w:t>
      </w:r>
      <w:r w:rsidR="00926732">
        <w:rPr>
          <w:rFonts w:eastAsia="Times New Roman" w:cs="Times New Roman"/>
          <w:bCs/>
          <w:sz w:val="24"/>
        </w:rPr>
        <w:t xml:space="preserve"> primārai</w:t>
      </w:r>
      <w:r w:rsidR="004D1C26">
        <w:rPr>
          <w:rFonts w:eastAsia="Times New Roman" w:cs="Times New Roman"/>
          <w:bCs/>
          <w:sz w:val="24"/>
        </w:rPr>
        <w:t xml:space="preserve"> bilancei ir jānodrošina arī atbilstība deficīta noturības nosacījumam</w:t>
      </w:r>
      <w:r w:rsidR="00FF6617">
        <w:rPr>
          <w:rFonts w:eastAsia="Times New Roman" w:cs="Times New Roman"/>
          <w:bCs/>
          <w:sz w:val="24"/>
        </w:rPr>
        <w:t xml:space="preserve"> </w:t>
      </w:r>
      <w:r w:rsidR="004D1C26">
        <w:rPr>
          <w:rFonts w:eastAsia="Times New Roman" w:cs="Times New Roman"/>
          <w:bCs/>
          <w:sz w:val="24"/>
        </w:rPr>
        <w:t>(</w:t>
      </w:r>
      <w:proofErr w:type="spellStart"/>
      <w:r w:rsidR="004D1C26" w:rsidRPr="00CF68A1">
        <w:rPr>
          <w:rFonts w:eastAsia="Times New Roman" w:cs="Times New Roman"/>
          <w:bCs/>
          <w:i/>
          <w:iCs/>
          <w:sz w:val="24"/>
        </w:rPr>
        <w:t>deficit</w:t>
      </w:r>
      <w:proofErr w:type="spellEnd"/>
      <w:r w:rsidR="004D1C26" w:rsidRPr="00CF68A1">
        <w:rPr>
          <w:rFonts w:eastAsia="Times New Roman" w:cs="Times New Roman"/>
          <w:bCs/>
          <w:i/>
          <w:iCs/>
          <w:sz w:val="24"/>
        </w:rPr>
        <w:t xml:space="preserve"> </w:t>
      </w:r>
      <w:proofErr w:type="spellStart"/>
      <w:r w:rsidR="004D1C26" w:rsidRPr="00CF68A1">
        <w:rPr>
          <w:rFonts w:eastAsia="Times New Roman" w:cs="Times New Roman"/>
          <w:bCs/>
          <w:i/>
          <w:iCs/>
          <w:sz w:val="24"/>
        </w:rPr>
        <w:t>resilience</w:t>
      </w:r>
      <w:proofErr w:type="spellEnd"/>
      <w:r w:rsidR="004D1C26" w:rsidRPr="00CF68A1">
        <w:rPr>
          <w:rFonts w:eastAsia="Times New Roman" w:cs="Times New Roman"/>
          <w:bCs/>
          <w:i/>
          <w:iCs/>
          <w:sz w:val="24"/>
        </w:rPr>
        <w:t xml:space="preserve"> </w:t>
      </w:r>
      <w:proofErr w:type="spellStart"/>
      <w:r w:rsidR="004D1C26" w:rsidRPr="00CF68A1">
        <w:rPr>
          <w:rFonts w:eastAsia="Times New Roman" w:cs="Times New Roman"/>
          <w:bCs/>
          <w:i/>
          <w:iCs/>
          <w:sz w:val="24"/>
        </w:rPr>
        <w:t>safeguard</w:t>
      </w:r>
      <w:proofErr w:type="spellEnd"/>
      <w:r w:rsidR="004D1C26">
        <w:rPr>
          <w:rFonts w:eastAsia="Times New Roman" w:cs="Times New Roman"/>
          <w:bCs/>
          <w:sz w:val="24"/>
        </w:rPr>
        <w:t xml:space="preserve">), kas nosaka, ka strukturālais </w:t>
      </w:r>
      <w:r w:rsidR="00926732">
        <w:rPr>
          <w:rFonts w:eastAsia="Times New Roman" w:cs="Times New Roman"/>
          <w:bCs/>
          <w:sz w:val="24"/>
        </w:rPr>
        <w:t xml:space="preserve">primārais </w:t>
      </w:r>
      <w:r w:rsidR="004D1C26">
        <w:rPr>
          <w:rFonts w:eastAsia="Times New Roman" w:cs="Times New Roman"/>
          <w:bCs/>
          <w:sz w:val="24"/>
        </w:rPr>
        <w:t>deficīts jāsamazina par 0,4</w:t>
      </w:r>
      <w:r w:rsidR="00926732">
        <w:rPr>
          <w:rFonts w:eastAsia="Times New Roman" w:cs="Times New Roman"/>
          <w:bCs/>
          <w:sz w:val="24"/>
        </w:rPr>
        <w:t xml:space="preserve"> procentpunktiem</w:t>
      </w:r>
      <w:r w:rsidR="004D1C26">
        <w:rPr>
          <w:rFonts w:eastAsia="Times New Roman" w:cs="Times New Roman"/>
          <w:bCs/>
          <w:sz w:val="24"/>
        </w:rPr>
        <w:t xml:space="preserve"> no IKP ik gadu, līdz tā vērtība nodrošina, ka strukturālais deficīts nav augstāks par 1,5% no IKP. Faktiski tas uzliktu Latvijai 7 reizes stingrāku nosacījumu, kā </w:t>
      </w:r>
      <w:r w:rsidR="00EE49EC">
        <w:rPr>
          <w:rFonts w:eastAsia="Times New Roman" w:cs="Times New Roman"/>
          <w:bCs/>
          <w:sz w:val="24"/>
        </w:rPr>
        <w:t>iepriekš aprakstītais fiskālais nosacījums.</w:t>
      </w:r>
      <w:r w:rsidR="004D1C26">
        <w:rPr>
          <w:rFonts w:eastAsia="Times New Roman" w:cs="Times New Roman"/>
          <w:bCs/>
          <w:sz w:val="24"/>
        </w:rPr>
        <w:t xml:space="preserve"> </w:t>
      </w:r>
      <w:r w:rsidR="004472E0">
        <w:rPr>
          <w:rFonts w:eastAsia="Times New Roman" w:cs="Times New Roman"/>
          <w:bCs/>
          <w:sz w:val="24"/>
        </w:rPr>
        <w:t>R</w:t>
      </w:r>
      <w:r w:rsidR="00EE49EC">
        <w:rPr>
          <w:rFonts w:eastAsia="Times New Roman" w:cs="Times New Roman"/>
          <w:bCs/>
          <w:sz w:val="24"/>
        </w:rPr>
        <w:t xml:space="preserve">egula nosaka, ka </w:t>
      </w:r>
      <w:r w:rsidR="004472E0">
        <w:rPr>
          <w:rFonts w:eastAsia="Times New Roman" w:cs="Times New Roman"/>
          <w:bCs/>
          <w:sz w:val="24"/>
        </w:rPr>
        <w:t>FSP</w:t>
      </w:r>
      <w:r w:rsidR="00EE49EC">
        <w:rPr>
          <w:rFonts w:eastAsia="Times New Roman" w:cs="Times New Roman"/>
          <w:bCs/>
          <w:sz w:val="24"/>
        </w:rPr>
        <w:t xml:space="preserve"> vērtēšanas procesā EK vērtē</w:t>
      </w:r>
      <w:r w:rsidR="004472E0">
        <w:rPr>
          <w:rFonts w:eastAsia="Times New Roman" w:cs="Times New Roman"/>
          <w:bCs/>
          <w:sz w:val="24"/>
        </w:rPr>
        <w:t>s</w:t>
      </w:r>
      <w:r w:rsidR="00EE49EC">
        <w:rPr>
          <w:rFonts w:eastAsia="Times New Roman" w:cs="Times New Roman"/>
          <w:bCs/>
          <w:sz w:val="24"/>
        </w:rPr>
        <w:t xml:space="preserve"> tikai atbilstību 3%</w:t>
      </w:r>
      <w:r w:rsidR="004472E0">
        <w:rPr>
          <w:rFonts w:eastAsia="Times New Roman" w:cs="Times New Roman"/>
          <w:bCs/>
          <w:sz w:val="24"/>
        </w:rPr>
        <w:t xml:space="preserve"> no IKP</w:t>
      </w:r>
      <w:r w:rsidR="00EE49EC">
        <w:rPr>
          <w:rFonts w:eastAsia="Times New Roman" w:cs="Times New Roman"/>
          <w:bCs/>
          <w:sz w:val="24"/>
        </w:rPr>
        <w:t xml:space="preserve"> deficīta nodrošināšanai visā prognozēšanas periodā, bet ne atbilstību deficīta noturības nosacījum</w:t>
      </w:r>
      <w:r w:rsidR="0013133A">
        <w:rPr>
          <w:rFonts w:eastAsia="Times New Roman" w:cs="Times New Roman"/>
          <w:bCs/>
          <w:sz w:val="24"/>
        </w:rPr>
        <w:t>am</w:t>
      </w:r>
      <w:r w:rsidR="00EE49EC">
        <w:rPr>
          <w:rFonts w:eastAsia="Times New Roman" w:cs="Times New Roman"/>
          <w:bCs/>
          <w:sz w:val="24"/>
        </w:rPr>
        <w:t>. Bez tam vērtējums nav atkarīgs no tā, vai valsts ir pieprasījusi tehnisko informāciju, vai nav. Ņemot vērā šos nosacījumus, ja EK prognoz</w:t>
      </w:r>
      <w:r w:rsidR="00E23D0B">
        <w:rPr>
          <w:rFonts w:eastAsia="Times New Roman" w:cs="Times New Roman"/>
          <w:bCs/>
          <w:sz w:val="24"/>
        </w:rPr>
        <w:t>ēs</w:t>
      </w:r>
      <w:r w:rsidR="00EE49EC">
        <w:rPr>
          <w:rFonts w:eastAsia="Times New Roman" w:cs="Times New Roman"/>
          <w:bCs/>
          <w:sz w:val="24"/>
        </w:rPr>
        <w:t xml:space="preserve"> Latvijai </w:t>
      </w:r>
      <w:r w:rsidR="00E23D0B">
        <w:rPr>
          <w:rFonts w:eastAsia="Times New Roman" w:cs="Times New Roman"/>
          <w:bCs/>
          <w:sz w:val="24"/>
        </w:rPr>
        <w:t>2024. gada deficītu zem 3%</w:t>
      </w:r>
      <w:r w:rsidR="004472E0">
        <w:rPr>
          <w:rFonts w:eastAsia="Times New Roman" w:cs="Times New Roman"/>
          <w:bCs/>
          <w:sz w:val="24"/>
        </w:rPr>
        <w:t xml:space="preserve"> no IKP</w:t>
      </w:r>
      <w:r w:rsidR="00724B22">
        <w:rPr>
          <w:rFonts w:eastAsia="Times New Roman" w:cs="Times New Roman"/>
          <w:bCs/>
          <w:sz w:val="24"/>
        </w:rPr>
        <w:t>,</w:t>
      </w:r>
      <w:r w:rsidR="00E23D0B">
        <w:rPr>
          <w:rFonts w:eastAsia="Times New Roman" w:cs="Times New Roman"/>
          <w:bCs/>
          <w:sz w:val="24"/>
        </w:rPr>
        <w:t xml:space="preserve"> Latvija nepieprasīs tehnisko informāciju un brīvprātīgi neizvēlēsies uz sevi attiecināt deficīta noturības nosacījumu.   </w:t>
      </w:r>
      <w:r w:rsidR="00EE49EC">
        <w:rPr>
          <w:rFonts w:eastAsia="Times New Roman" w:cs="Times New Roman"/>
          <w:bCs/>
          <w:sz w:val="24"/>
        </w:rPr>
        <w:t xml:space="preserve">   </w:t>
      </w:r>
      <w:r w:rsidR="004D1C26">
        <w:rPr>
          <w:rFonts w:eastAsia="Times New Roman" w:cs="Times New Roman"/>
          <w:bCs/>
          <w:sz w:val="24"/>
        </w:rPr>
        <w:t xml:space="preserve">    </w:t>
      </w:r>
    </w:p>
    <w:p w14:paraId="51C96221" w14:textId="77777777" w:rsidR="00EB78E8" w:rsidRPr="00CF6C5C" w:rsidRDefault="00EB78E8" w:rsidP="00CF6C5C">
      <w:pPr>
        <w:widowControl w:val="0"/>
        <w:rPr>
          <w:rFonts w:eastAsia="Times New Roman" w:cs="Times New Roman"/>
          <w:bCs/>
          <w:sz w:val="24"/>
          <w:highlight w:val="yellow"/>
        </w:rPr>
      </w:pPr>
    </w:p>
    <w:p w14:paraId="0B1869C4" w14:textId="77777777" w:rsidR="002E0152" w:rsidRDefault="002E0152" w:rsidP="00CF68A1">
      <w:pPr>
        <w:widowControl w:val="0"/>
        <w:ind w:left="720" w:firstLine="0"/>
        <w:rPr>
          <w:rFonts w:eastAsia="Times New Roman" w:cs="Times New Roman"/>
          <w:b/>
          <w:sz w:val="24"/>
          <w:szCs w:val="24"/>
          <w:u w:val="single"/>
        </w:rPr>
      </w:pPr>
    </w:p>
    <w:p w14:paraId="683DC3AE" w14:textId="1973D0A8" w:rsidR="00CF6C5C" w:rsidRPr="00CF68A1" w:rsidRDefault="003F5352" w:rsidP="00CF68A1">
      <w:pPr>
        <w:widowControl w:val="0"/>
        <w:ind w:left="720" w:firstLine="0"/>
        <w:rPr>
          <w:rFonts w:eastAsia="Times New Roman" w:cs="Times New Roman"/>
          <w:b/>
          <w:sz w:val="24"/>
          <w:u w:val="single"/>
        </w:rPr>
      </w:pPr>
      <w:r>
        <w:rPr>
          <w:rFonts w:eastAsia="Times New Roman" w:cs="Times New Roman"/>
          <w:b/>
          <w:sz w:val="24"/>
          <w:szCs w:val="24"/>
          <w:u w:val="single"/>
        </w:rPr>
        <w:lastRenderedPageBreak/>
        <w:t>3</w:t>
      </w:r>
      <w:r w:rsidRPr="004016DD">
        <w:rPr>
          <w:rFonts w:eastAsia="Times New Roman" w:cs="Times New Roman"/>
          <w:b/>
          <w:sz w:val="24"/>
          <w:szCs w:val="24"/>
          <w:u w:val="single"/>
        </w:rPr>
        <w:t xml:space="preserve">. </w:t>
      </w:r>
      <w:r w:rsidR="00897B38" w:rsidRPr="004016DD">
        <w:rPr>
          <w:rFonts w:eastAsia="Times New Roman" w:cs="Times New Roman"/>
          <w:b/>
          <w:sz w:val="24"/>
          <w:u w:val="single"/>
        </w:rPr>
        <w:t>ES valsts</w:t>
      </w:r>
      <w:r w:rsidR="00897B38" w:rsidRPr="003D773D">
        <w:rPr>
          <w:rFonts w:eastAsia="Times New Roman" w:cs="Times New Roman"/>
          <w:b/>
          <w:sz w:val="24"/>
          <w:u w:val="single"/>
        </w:rPr>
        <w:t xml:space="preserve"> finansēto neto primāro izdevumu nosacījums</w:t>
      </w:r>
    </w:p>
    <w:p w14:paraId="0463B83A" w14:textId="77777777" w:rsidR="00EB78E8" w:rsidRDefault="00EB78E8" w:rsidP="00CF68A1">
      <w:pPr>
        <w:widowControl w:val="0"/>
        <w:ind w:firstLine="0"/>
        <w:rPr>
          <w:rFonts w:eastAsia="Times New Roman" w:cs="Times New Roman"/>
          <w:b/>
          <w:sz w:val="24"/>
        </w:rPr>
      </w:pPr>
    </w:p>
    <w:p w14:paraId="29652F83" w14:textId="1EA19532" w:rsidR="00E23D0B" w:rsidRPr="00CF68A1" w:rsidRDefault="00EB78E8" w:rsidP="00596762">
      <w:pPr>
        <w:widowControl w:val="0"/>
        <w:rPr>
          <w:rFonts w:eastAsia="Times New Roman" w:cs="Times New Roman"/>
          <w:bCs/>
          <w:sz w:val="24"/>
        </w:rPr>
      </w:pPr>
      <w:r w:rsidRPr="00CF68A1">
        <w:rPr>
          <w:rFonts w:eastAsia="Times New Roman" w:cs="Times New Roman"/>
          <w:bCs/>
          <w:sz w:val="24"/>
        </w:rPr>
        <w:t>Lai arī konceptuāli valsts finansēt</w:t>
      </w:r>
      <w:r w:rsidR="003F5352" w:rsidRPr="00CF68A1">
        <w:rPr>
          <w:rFonts w:eastAsia="Times New Roman" w:cs="Times New Roman"/>
          <w:bCs/>
          <w:sz w:val="24"/>
        </w:rPr>
        <w:t>o</w:t>
      </w:r>
      <w:r w:rsidRPr="00CF68A1">
        <w:rPr>
          <w:rFonts w:eastAsia="Times New Roman" w:cs="Times New Roman"/>
          <w:bCs/>
          <w:sz w:val="24"/>
        </w:rPr>
        <w:t xml:space="preserve"> </w:t>
      </w:r>
      <w:r w:rsidR="004472E0">
        <w:rPr>
          <w:rFonts w:eastAsia="Times New Roman" w:cs="Times New Roman"/>
          <w:bCs/>
          <w:sz w:val="24"/>
        </w:rPr>
        <w:t xml:space="preserve">neto </w:t>
      </w:r>
      <w:r w:rsidRPr="00CF68A1">
        <w:rPr>
          <w:rFonts w:eastAsia="Times New Roman" w:cs="Times New Roman"/>
          <w:bCs/>
          <w:sz w:val="24"/>
        </w:rPr>
        <w:t>primāro izdevumu pieaugums nav uzskatāms par atsevišķu</w:t>
      </w:r>
      <w:r w:rsidR="00E23D0B" w:rsidRPr="00CF68A1">
        <w:rPr>
          <w:rFonts w:eastAsia="Times New Roman" w:cs="Times New Roman"/>
          <w:bCs/>
          <w:sz w:val="24"/>
        </w:rPr>
        <w:t xml:space="preserve"> fiskālo nosacījumu un drīzāk tiek pozicionēts kā tehnisks strukturālās </w:t>
      </w:r>
      <w:r w:rsidR="004472E0" w:rsidRPr="001A6343">
        <w:rPr>
          <w:rFonts w:eastAsia="Times New Roman" w:cs="Times New Roman"/>
          <w:bCs/>
          <w:sz w:val="24"/>
        </w:rPr>
        <w:t>primārās</w:t>
      </w:r>
      <w:r w:rsidR="004472E0" w:rsidRPr="004472E0">
        <w:rPr>
          <w:rFonts w:eastAsia="Times New Roman" w:cs="Times New Roman"/>
          <w:bCs/>
          <w:sz w:val="24"/>
        </w:rPr>
        <w:t xml:space="preserve"> </w:t>
      </w:r>
      <w:r w:rsidR="00E23D0B" w:rsidRPr="00CF68A1">
        <w:rPr>
          <w:rFonts w:eastAsia="Times New Roman" w:cs="Times New Roman"/>
          <w:bCs/>
          <w:sz w:val="24"/>
        </w:rPr>
        <w:t>bilances pārrēķin</w:t>
      </w:r>
      <w:r w:rsidR="003F5352" w:rsidRPr="00CF68A1">
        <w:rPr>
          <w:rFonts w:eastAsia="Times New Roman" w:cs="Times New Roman"/>
          <w:bCs/>
          <w:sz w:val="24"/>
        </w:rPr>
        <w:t>s</w:t>
      </w:r>
      <w:r w:rsidR="00E23D0B" w:rsidRPr="00CF68A1">
        <w:rPr>
          <w:rFonts w:eastAsia="Times New Roman" w:cs="Times New Roman"/>
          <w:bCs/>
          <w:sz w:val="24"/>
        </w:rPr>
        <w:t>, faktiski tas ir jauns ES fiskālais nosacījums.</w:t>
      </w:r>
    </w:p>
    <w:p w14:paraId="10F7E3BE" w14:textId="2A9A22BE" w:rsidR="001702F4" w:rsidRPr="006C7049" w:rsidRDefault="00E23D0B" w:rsidP="00596762">
      <w:pPr>
        <w:widowControl w:val="0"/>
        <w:rPr>
          <w:rFonts w:eastAsia="Times New Roman" w:cs="Times New Roman"/>
          <w:bCs/>
          <w:sz w:val="24"/>
        </w:rPr>
      </w:pPr>
      <w:r w:rsidRPr="00CF68A1">
        <w:rPr>
          <w:rFonts w:eastAsia="Times New Roman" w:cs="Times New Roman"/>
          <w:bCs/>
          <w:sz w:val="24"/>
        </w:rPr>
        <w:t xml:space="preserve">Vispārējās valdības primāro izdevumu pieaugums tiek aprēķināts ar pieņēmumu, ka nemainīgas primārās bilances gadījumā izdevumi aug saskaņā ar potenciālā IKP un IKP </w:t>
      </w:r>
      <w:proofErr w:type="spellStart"/>
      <w:r w:rsidRPr="00CF68A1">
        <w:rPr>
          <w:rFonts w:eastAsia="Times New Roman" w:cs="Times New Roman"/>
          <w:bCs/>
          <w:sz w:val="24"/>
        </w:rPr>
        <w:t>deflatora</w:t>
      </w:r>
      <w:proofErr w:type="spellEnd"/>
      <w:r w:rsidRPr="00CF68A1">
        <w:rPr>
          <w:rFonts w:eastAsia="Times New Roman" w:cs="Times New Roman"/>
          <w:bCs/>
          <w:sz w:val="24"/>
        </w:rPr>
        <w:t xml:space="preserve"> pieaugumu un pieaugums vienīgi tiek koriģēts ar nepieciešamo uzlabojumu strukturālajā </w:t>
      </w:r>
      <w:r w:rsidR="004472E0" w:rsidRPr="005A39AB">
        <w:rPr>
          <w:rFonts w:eastAsia="Times New Roman" w:cs="Times New Roman"/>
          <w:bCs/>
          <w:sz w:val="24"/>
        </w:rPr>
        <w:t>primārajā</w:t>
      </w:r>
      <w:r w:rsidR="004472E0" w:rsidRPr="004472E0">
        <w:rPr>
          <w:rFonts w:eastAsia="Times New Roman" w:cs="Times New Roman"/>
          <w:bCs/>
          <w:sz w:val="24"/>
        </w:rPr>
        <w:t xml:space="preserve"> </w:t>
      </w:r>
      <w:r w:rsidRPr="00CF68A1">
        <w:rPr>
          <w:rFonts w:eastAsia="Times New Roman" w:cs="Times New Roman"/>
          <w:bCs/>
          <w:sz w:val="24"/>
        </w:rPr>
        <w:t>bilancē. Faktiski tas</w:t>
      </w:r>
      <w:r w:rsidR="001702F4" w:rsidRPr="00CF68A1">
        <w:rPr>
          <w:rFonts w:eastAsia="Times New Roman" w:cs="Times New Roman"/>
          <w:bCs/>
          <w:sz w:val="24"/>
        </w:rPr>
        <w:t xml:space="preserve"> nozīmē, ka tiek pieņemts, ka vispārējās valdības ieņēmumi aug “saskaņā ar ekonomiku”, t.i. atbilstoši reālā IKP un IKP </w:t>
      </w:r>
      <w:proofErr w:type="spellStart"/>
      <w:r w:rsidR="001702F4" w:rsidRPr="00CF68A1">
        <w:rPr>
          <w:rFonts w:eastAsia="Times New Roman" w:cs="Times New Roman"/>
          <w:bCs/>
          <w:sz w:val="24"/>
        </w:rPr>
        <w:t>deflatora</w:t>
      </w:r>
      <w:proofErr w:type="spellEnd"/>
      <w:r w:rsidR="001702F4" w:rsidRPr="00CF68A1">
        <w:rPr>
          <w:rFonts w:eastAsia="Times New Roman" w:cs="Times New Roman"/>
          <w:bCs/>
          <w:sz w:val="24"/>
        </w:rPr>
        <w:t xml:space="preserve"> pieaugumam</w:t>
      </w:r>
      <w:r w:rsidR="00A03A8E">
        <w:rPr>
          <w:rFonts w:eastAsia="Times New Roman" w:cs="Times New Roman"/>
          <w:bCs/>
          <w:sz w:val="24"/>
        </w:rPr>
        <w:t xml:space="preserve">, </w:t>
      </w:r>
      <w:r w:rsidR="001702F4" w:rsidRPr="00CF68A1">
        <w:rPr>
          <w:rFonts w:eastAsia="Times New Roman" w:cs="Times New Roman"/>
          <w:bCs/>
          <w:sz w:val="24"/>
        </w:rPr>
        <w:t xml:space="preserve">un novirze ir tikai par </w:t>
      </w:r>
      <w:proofErr w:type="spellStart"/>
      <w:r w:rsidR="001702F4" w:rsidRPr="00CF68A1">
        <w:rPr>
          <w:rFonts w:eastAsia="Times New Roman" w:cs="Times New Roman"/>
          <w:bCs/>
          <w:sz w:val="24"/>
        </w:rPr>
        <w:t>diskrecionāro</w:t>
      </w:r>
      <w:proofErr w:type="spellEnd"/>
      <w:r w:rsidR="001702F4" w:rsidRPr="00CF68A1">
        <w:rPr>
          <w:rFonts w:eastAsia="Times New Roman" w:cs="Times New Roman"/>
          <w:bCs/>
          <w:sz w:val="24"/>
        </w:rPr>
        <w:t xml:space="preserve"> ieņēmumu apjomu. Vispārējā gadījumā, tomēr, i</w:t>
      </w:r>
      <w:r w:rsidR="004472E0">
        <w:rPr>
          <w:rFonts w:eastAsia="Times New Roman" w:cs="Times New Roman"/>
          <w:bCs/>
          <w:sz w:val="24"/>
        </w:rPr>
        <w:t>eņēmumu</w:t>
      </w:r>
      <w:r w:rsidR="001702F4" w:rsidRPr="00CF68A1">
        <w:rPr>
          <w:rFonts w:eastAsia="Times New Roman" w:cs="Times New Roman"/>
          <w:bCs/>
          <w:sz w:val="24"/>
        </w:rPr>
        <w:t xml:space="preserve"> pieaugums var </w:t>
      </w:r>
      <w:r w:rsidR="001702F4" w:rsidRPr="006C7049">
        <w:rPr>
          <w:rFonts w:eastAsia="Times New Roman" w:cs="Times New Roman"/>
          <w:bCs/>
          <w:sz w:val="24"/>
        </w:rPr>
        <w:t xml:space="preserve">atšķirties un novest pie atšķirīgas strukturālās </w:t>
      </w:r>
      <w:r w:rsidR="004472E0" w:rsidRPr="006C7049">
        <w:rPr>
          <w:rFonts w:eastAsia="Times New Roman" w:cs="Times New Roman"/>
          <w:bCs/>
          <w:sz w:val="24"/>
        </w:rPr>
        <w:t xml:space="preserve">primārās </w:t>
      </w:r>
      <w:r w:rsidR="001702F4" w:rsidRPr="006C7049">
        <w:rPr>
          <w:rFonts w:eastAsia="Times New Roman" w:cs="Times New Roman"/>
          <w:bCs/>
          <w:sz w:val="24"/>
        </w:rPr>
        <w:t>bilances. Ar</w:t>
      </w:r>
      <w:r w:rsidR="004472E0" w:rsidRPr="006C7049">
        <w:rPr>
          <w:rFonts w:eastAsia="Times New Roman" w:cs="Times New Roman"/>
          <w:bCs/>
          <w:sz w:val="24"/>
        </w:rPr>
        <w:t>ī</w:t>
      </w:r>
      <w:r w:rsidR="001702F4" w:rsidRPr="006C7049">
        <w:rPr>
          <w:rFonts w:eastAsia="Times New Roman" w:cs="Times New Roman"/>
          <w:bCs/>
          <w:sz w:val="24"/>
        </w:rPr>
        <w:t xml:space="preserve"> Stabilitātes programmā iekļautās vispārējās valdības </w:t>
      </w:r>
      <w:r w:rsidR="00652C06" w:rsidRPr="006C7049">
        <w:rPr>
          <w:rFonts w:eastAsia="Times New Roman" w:cs="Times New Roman"/>
          <w:bCs/>
          <w:sz w:val="24"/>
        </w:rPr>
        <w:t xml:space="preserve">ieņēmumu </w:t>
      </w:r>
      <w:r w:rsidR="001702F4" w:rsidRPr="006C7049">
        <w:rPr>
          <w:rFonts w:eastAsia="Times New Roman" w:cs="Times New Roman"/>
          <w:bCs/>
          <w:sz w:val="24"/>
        </w:rPr>
        <w:t xml:space="preserve">prognozes būtiski atšķiras </w:t>
      </w:r>
      <w:r w:rsidR="004472E0" w:rsidRPr="006C7049">
        <w:rPr>
          <w:rFonts w:eastAsia="Times New Roman" w:cs="Times New Roman"/>
          <w:bCs/>
          <w:sz w:val="24"/>
        </w:rPr>
        <w:t xml:space="preserve">no </w:t>
      </w:r>
      <w:r w:rsidR="001702F4" w:rsidRPr="006C7049">
        <w:rPr>
          <w:rFonts w:eastAsia="Times New Roman" w:cs="Times New Roman"/>
          <w:bCs/>
          <w:sz w:val="24"/>
        </w:rPr>
        <w:t>šī vienkāršotā ieņēmumu pieauguma modeļa. Ņemot vērā šīs atšķirības</w:t>
      </w:r>
      <w:r w:rsidR="004472E0" w:rsidRPr="006C7049">
        <w:rPr>
          <w:rFonts w:eastAsia="Times New Roman" w:cs="Times New Roman"/>
          <w:bCs/>
          <w:sz w:val="24"/>
        </w:rPr>
        <w:t>,</w:t>
      </w:r>
      <w:r w:rsidR="001702F4" w:rsidRPr="006C7049">
        <w:rPr>
          <w:rFonts w:eastAsia="Times New Roman" w:cs="Times New Roman"/>
          <w:bCs/>
          <w:sz w:val="24"/>
        </w:rPr>
        <w:t xml:space="preserve"> Latvijas fiskālajā stratēģijā ES valsts finansēto neto primāro izdevumu pieaugums tiek uzskatīts par atsevišķu fiskālo nosacījumu.</w:t>
      </w:r>
    </w:p>
    <w:p w14:paraId="16CBA4BD" w14:textId="1CC3E9CB" w:rsidR="00EB78E8" w:rsidRPr="00CF68A1" w:rsidRDefault="001702F4" w:rsidP="003F5352">
      <w:pPr>
        <w:widowControl w:val="0"/>
        <w:rPr>
          <w:rFonts w:eastAsia="Times New Roman" w:cs="Times New Roman"/>
          <w:bCs/>
          <w:sz w:val="24"/>
          <w:u w:val="single"/>
        </w:rPr>
      </w:pPr>
      <w:r w:rsidRPr="006C7049">
        <w:rPr>
          <w:rFonts w:eastAsia="Times New Roman" w:cs="Times New Roman"/>
          <w:bCs/>
          <w:sz w:val="24"/>
        </w:rPr>
        <w:t>Lai nodrošinātu 3.4. tabulā norādīt</w:t>
      </w:r>
      <w:r w:rsidR="007E575E" w:rsidRPr="006C7049">
        <w:rPr>
          <w:rFonts w:eastAsia="Times New Roman" w:cs="Times New Roman"/>
          <w:bCs/>
          <w:sz w:val="24"/>
        </w:rPr>
        <w:t>ās</w:t>
      </w:r>
      <w:r w:rsidRPr="006C7049">
        <w:rPr>
          <w:rFonts w:eastAsia="Times New Roman" w:cs="Times New Roman"/>
          <w:bCs/>
          <w:sz w:val="24"/>
        </w:rPr>
        <w:t xml:space="preserve"> </w:t>
      </w:r>
      <w:r w:rsidR="007E575E" w:rsidRPr="006C7049">
        <w:rPr>
          <w:rFonts w:eastAsia="Times New Roman" w:cs="Times New Roman"/>
          <w:bCs/>
          <w:sz w:val="24"/>
        </w:rPr>
        <w:t xml:space="preserve">strukturālās </w:t>
      </w:r>
      <w:r w:rsidR="004472E0" w:rsidRPr="006C7049">
        <w:rPr>
          <w:rFonts w:eastAsia="Times New Roman" w:cs="Times New Roman"/>
          <w:bCs/>
          <w:sz w:val="24"/>
        </w:rPr>
        <w:t xml:space="preserve">primārās </w:t>
      </w:r>
      <w:r w:rsidR="007E575E" w:rsidRPr="006C7049">
        <w:rPr>
          <w:rFonts w:eastAsia="Times New Roman" w:cs="Times New Roman"/>
          <w:bCs/>
          <w:sz w:val="24"/>
        </w:rPr>
        <w:t xml:space="preserve">bilances uzlabojumu, saskaņā ar ES metodoloģiju aprēķinātais primāro izdevumu pieaugums ir ap 5%. Skat. 3.5. tabulas 1. rindu. Koriģējot izdevumu pieaugumu ar </w:t>
      </w:r>
      <w:proofErr w:type="spellStart"/>
      <w:r w:rsidR="007E575E" w:rsidRPr="006C7049">
        <w:rPr>
          <w:rFonts w:eastAsia="Times New Roman" w:cs="Times New Roman"/>
          <w:bCs/>
          <w:sz w:val="24"/>
        </w:rPr>
        <w:t>diskrecionārajiem</w:t>
      </w:r>
      <w:proofErr w:type="spellEnd"/>
      <w:r w:rsidR="007E575E" w:rsidRPr="006C7049">
        <w:rPr>
          <w:rFonts w:eastAsia="Times New Roman" w:cs="Times New Roman"/>
          <w:bCs/>
          <w:sz w:val="24"/>
        </w:rPr>
        <w:t xml:space="preserve"> ieņēmumu pasākumiem</w:t>
      </w:r>
      <w:r w:rsidR="000F624D" w:rsidRPr="006C7049">
        <w:rPr>
          <w:rFonts w:eastAsia="Times New Roman" w:cs="Times New Roman"/>
          <w:bCs/>
          <w:sz w:val="24"/>
        </w:rPr>
        <w:t xml:space="preserve"> (DRM)</w:t>
      </w:r>
      <w:r w:rsidR="007E575E" w:rsidRPr="006C7049">
        <w:rPr>
          <w:rFonts w:eastAsia="Times New Roman" w:cs="Times New Roman"/>
          <w:bCs/>
          <w:sz w:val="24"/>
        </w:rPr>
        <w:t>, kas samazina ieņēmumus 2025. gadā par 238 milj</w:t>
      </w:r>
      <w:r w:rsidR="003F5352" w:rsidRPr="006C7049">
        <w:rPr>
          <w:rFonts w:eastAsia="Times New Roman" w:cs="Times New Roman"/>
          <w:bCs/>
          <w:sz w:val="24"/>
        </w:rPr>
        <w:t xml:space="preserve">. </w:t>
      </w:r>
      <w:proofErr w:type="spellStart"/>
      <w:r w:rsidR="003F5352" w:rsidRPr="006C7049">
        <w:rPr>
          <w:rFonts w:eastAsia="Times New Roman" w:cs="Times New Roman"/>
          <w:bCs/>
          <w:i/>
          <w:iCs/>
          <w:sz w:val="24"/>
        </w:rPr>
        <w:t>euro</w:t>
      </w:r>
      <w:proofErr w:type="spellEnd"/>
      <w:r w:rsidR="007E575E" w:rsidRPr="006C7049">
        <w:rPr>
          <w:rFonts w:eastAsia="Times New Roman" w:cs="Times New Roman"/>
          <w:bCs/>
          <w:sz w:val="24"/>
        </w:rPr>
        <w:t>, pieļaujamais primāro izdevumu pieaugums 2025. gadā būtu 3,7% apmērā, 5,6% 2026. gadā un turpmāk ap 5%. Pārrēķinot šo pieļaujamo izdevumu pieaugumu FDL strukturālajā bilancē, iegūst</w:t>
      </w:r>
      <w:r w:rsidR="007E575E" w:rsidRPr="00CF68A1">
        <w:rPr>
          <w:rFonts w:eastAsia="Times New Roman" w:cs="Times New Roman"/>
          <w:bCs/>
          <w:sz w:val="24"/>
        </w:rPr>
        <w:t xml:space="preserve"> būtiski lielāku </w:t>
      </w:r>
      <w:r w:rsidR="0036037E">
        <w:rPr>
          <w:rFonts w:eastAsia="Times New Roman" w:cs="Times New Roman"/>
          <w:bCs/>
          <w:sz w:val="24"/>
        </w:rPr>
        <w:t xml:space="preserve">FDL </w:t>
      </w:r>
      <w:r w:rsidR="007E575E" w:rsidRPr="00CF68A1">
        <w:rPr>
          <w:rFonts w:eastAsia="Times New Roman" w:cs="Times New Roman"/>
          <w:bCs/>
          <w:sz w:val="24"/>
        </w:rPr>
        <w:t>strukturāl</w:t>
      </w:r>
      <w:r w:rsidR="0036037E">
        <w:rPr>
          <w:rFonts w:eastAsia="Times New Roman" w:cs="Times New Roman"/>
          <w:bCs/>
          <w:sz w:val="24"/>
        </w:rPr>
        <w:t>ā</w:t>
      </w:r>
      <w:r w:rsidR="007E575E" w:rsidRPr="00CF68A1">
        <w:rPr>
          <w:rFonts w:eastAsia="Times New Roman" w:cs="Times New Roman"/>
          <w:bCs/>
          <w:sz w:val="24"/>
        </w:rPr>
        <w:t xml:space="preserve"> deficīt</w:t>
      </w:r>
      <w:r w:rsidR="0036037E">
        <w:rPr>
          <w:rFonts w:eastAsia="Times New Roman" w:cs="Times New Roman"/>
          <w:bCs/>
          <w:sz w:val="24"/>
        </w:rPr>
        <w:t>a līmeni</w:t>
      </w:r>
      <w:r w:rsidR="007E575E" w:rsidRPr="00CF68A1">
        <w:rPr>
          <w:rFonts w:eastAsia="Times New Roman" w:cs="Times New Roman"/>
          <w:bCs/>
          <w:sz w:val="24"/>
        </w:rPr>
        <w:t xml:space="preserve"> kā ar </w:t>
      </w:r>
      <w:r w:rsidR="0036037E">
        <w:rPr>
          <w:rFonts w:eastAsia="Times New Roman" w:cs="Times New Roman"/>
          <w:bCs/>
          <w:sz w:val="24"/>
        </w:rPr>
        <w:t xml:space="preserve">ES </w:t>
      </w:r>
      <w:r w:rsidR="007E575E" w:rsidRPr="00CF68A1">
        <w:rPr>
          <w:rFonts w:eastAsia="Times New Roman" w:cs="Times New Roman"/>
          <w:bCs/>
          <w:sz w:val="24"/>
        </w:rPr>
        <w:t xml:space="preserve">strukturālās </w:t>
      </w:r>
      <w:r w:rsidR="0036037E" w:rsidRPr="00336F85">
        <w:rPr>
          <w:rFonts w:eastAsia="Times New Roman" w:cs="Times New Roman"/>
          <w:bCs/>
          <w:sz w:val="24"/>
        </w:rPr>
        <w:t>primārās</w:t>
      </w:r>
      <w:r w:rsidR="0036037E" w:rsidRPr="0036037E">
        <w:rPr>
          <w:rFonts w:eastAsia="Times New Roman" w:cs="Times New Roman"/>
          <w:bCs/>
          <w:sz w:val="24"/>
        </w:rPr>
        <w:t xml:space="preserve"> </w:t>
      </w:r>
      <w:r w:rsidR="007E575E" w:rsidRPr="00CF68A1">
        <w:rPr>
          <w:rFonts w:eastAsia="Times New Roman" w:cs="Times New Roman"/>
          <w:bCs/>
          <w:sz w:val="24"/>
        </w:rPr>
        <w:t xml:space="preserve">bilances nosacījumu. Sekojot </w:t>
      </w:r>
      <w:r w:rsidR="00222970">
        <w:rPr>
          <w:rFonts w:eastAsia="Times New Roman" w:cs="Times New Roman"/>
          <w:bCs/>
          <w:sz w:val="24"/>
        </w:rPr>
        <w:t xml:space="preserve">ES </w:t>
      </w:r>
      <w:r w:rsidR="007E575E" w:rsidRPr="00CF68A1">
        <w:rPr>
          <w:rFonts w:eastAsia="Times New Roman" w:cs="Times New Roman"/>
          <w:bCs/>
          <w:sz w:val="24"/>
        </w:rPr>
        <w:t>valsts finansēto neto primāro izdevumu nosacījum</w:t>
      </w:r>
      <w:r w:rsidR="007E575E" w:rsidRPr="003F5352">
        <w:rPr>
          <w:rFonts w:eastAsia="Times New Roman" w:cs="Times New Roman"/>
          <w:bCs/>
          <w:sz w:val="24"/>
        </w:rPr>
        <w:t>am, nominālais deficīts būtiski pārsniegtu 3% robež</w:t>
      </w:r>
      <w:r w:rsidR="003F5352">
        <w:rPr>
          <w:rFonts w:eastAsia="Times New Roman" w:cs="Times New Roman"/>
          <w:bCs/>
          <w:sz w:val="24"/>
        </w:rPr>
        <w:t>u</w:t>
      </w:r>
      <w:r w:rsidR="007E575E" w:rsidRPr="003F5352">
        <w:rPr>
          <w:rFonts w:eastAsia="Times New Roman" w:cs="Times New Roman"/>
          <w:bCs/>
          <w:sz w:val="24"/>
        </w:rPr>
        <w:t>.</w:t>
      </w:r>
      <w:r w:rsidR="007E575E" w:rsidRPr="00CF68A1">
        <w:rPr>
          <w:rFonts w:eastAsia="Times New Roman" w:cs="Times New Roman"/>
          <w:bCs/>
          <w:sz w:val="24"/>
        </w:rPr>
        <w:t xml:space="preserve">    </w:t>
      </w:r>
    </w:p>
    <w:p w14:paraId="359D991C" w14:textId="3B781949" w:rsidR="00CF6C5C" w:rsidRPr="00CF68A1" w:rsidRDefault="00CF6C5C" w:rsidP="00CF68A1">
      <w:pPr>
        <w:widowControl w:val="0"/>
        <w:spacing w:before="240" w:after="120"/>
        <w:ind w:firstLine="0"/>
        <w:jc w:val="right"/>
        <w:rPr>
          <w:rFonts w:eastAsia="Times New Roman" w:cs="Times New Roman"/>
          <w:b/>
          <w:i/>
          <w:iCs/>
          <w:sz w:val="24"/>
          <w:szCs w:val="24"/>
        </w:rPr>
      </w:pPr>
      <w:r w:rsidRPr="006C7049">
        <w:rPr>
          <w:rFonts w:eastAsia="Times New Roman" w:cs="Times New Roman"/>
          <w:b/>
          <w:i/>
          <w:iCs/>
          <w:sz w:val="24"/>
          <w:szCs w:val="24"/>
        </w:rPr>
        <w:t>3.</w:t>
      </w:r>
      <w:r w:rsidR="0083156D" w:rsidRPr="006C7049">
        <w:rPr>
          <w:rFonts w:eastAsia="Times New Roman" w:cs="Times New Roman"/>
          <w:b/>
          <w:i/>
          <w:iCs/>
          <w:sz w:val="24"/>
          <w:szCs w:val="24"/>
        </w:rPr>
        <w:t>5</w:t>
      </w:r>
      <w:r w:rsidRPr="006C7049">
        <w:rPr>
          <w:rFonts w:eastAsia="Times New Roman" w:cs="Times New Roman"/>
          <w:b/>
          <w:i/>
          <w:iCs/>
          <w:sz w:val="24"/>
          <w:szCs w:val="24"/>
        </w:rPr>
        <w:t>. tabula</w:t>
      </w:r>
      <w:r w:rsidRPr="002B160A">
        <w:rPr>
          <w:rFonts w:eastAsia="Times New Roman" w:cs="Times New Roman"/>
          <w:b/>
          <w:i/>
          <w:iCs/>
          <w:sz w:val="24"/>
          <w:szCs w:val="24"/>
        </w:rPr>
        <w:t>. Vispārējās valdības strukturālās bilances mērķi, balstoties uz ES izdevumu pieauguma nosacījumu</w:t>
      </w:r>
    </w:p>
    <w:tbl>
      <w:tblPr>
        <w:tblW w:w="906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562"/>
        <w:gridCol w:w="3969"/>
        <w:gridCol w:w="851"/>
        <w:gridCol w:w="963"/>
        <w:gridCol w:w="907"/>
        <w:gridCol w:w="907"/>
        <w:gridCol w:w="907"/>
      </w:tblGrid>
      <w:tr w:rsidR="00570862" w:rsidRPr="00575359" w14:paraId="643F92B2" w14:textId="77777777" w:rsidTr="00570862">
        <w:trPr>
          <w:trHeight w:val="310"/>
        </w:trPr>
        <w:tc>
          <w:tcPr>
            <w:tcW w:w="562" w:type="dxa"/>
            <w:shd w:val="clear" w:color="auto" w:fill="BDD6EE" w:themeFill="accent1" w:themeFillTint="66"/>
          </w:tcPr>
          <w:p w14:paraId="299FC737" w14:textId="77777777" w:rsidR="0036037E" w:rsidRPr="00CF68A1" w:rsidRDefault="0036037E" w:rsidP="0011009A">
            <w:pPr>
              <w:ind w:firstLine="0"/>
              <w:jc w:val="left"/>
              <w:rPr>
                <w:rFonts w:eastAsia="Times New Roman" w:cs="Times New Roman"/>
                <w:color w:val="000000"/>
                <w:sz w:val="16"/>
                <w:szCs w:val="16"/>
                <w:lang w:eastAsia="lv-LV"/>
              </w:rPr>
            </w:pPr>
          </w:p>
        </w:tc>
        <w:tc>
          <w:tcPr>
            <w:tcW w:w="3969" w:type="dxa"/>
            <w:shd w:val="clear" w:color="auto" w:fill="BDD6EE" w:themeFill="accent1" w:themeFillTint="66"/>
            <w:noWrap/>
            <w:vAlign w:val="bottom"/>
            <w:hideMark/>
          </w:tcPr>
          <w:p w14:paraId="7A0790D3" w14:textId="55C2B4D2" w:rsidR="0036037E" w:rsidRPr="00575359" w:rsidRDefault="0036037E" w:rsidP="0011009A">
            <w:pPr>
              <w:ind w:firstLine="0"/>
              <w:jc w:val="left"/>
              <w:rPr>
                <w:rFonts w:eastAsia="Times New Roman" w:cs="Times New Roman"/>
                <w:color w:val="000000"/>
                <w:sz w:val="18"/>
                <w:szCs w:val="18"/>
                <w:lang w:eastAsia="lv-LV"/>
              </w:rPr>
            </w:pPr>
            <w:r w:rsidRPr="00575359">
              <w:rPr>
                <w:rFonts w:eastAsia="Times New Roman" w:cs="Times New Roman"/>
                <w:color w:val="000000"/>
                <w:sz w:val="18"/>
                <w:szCs w:val="18"/>
                <w:lang w:eastAsia="lv-LV"/>
              </w:rPr>
              <w:t> </w:t>
            </w:r>
          </w:p>
        </w:tc>
        <w:tc>
          <w:tcPr>
            <w:tcW w:w="851" w:type="dxa"/>
            <w:shd w:val="clear" w:color="auto" w:fill="BDD6EE" w:themeFill="accent1" w:themeFillTint="66"/>
            <w:noWrap/>
            <w:vAlign w:val="center"/>
            <w:hideMark/>
          </w:tcPr>
          <w:p w14:paraId="0F4BDDB3" w14:textId="77777777" w:rsidR="0036037E" w:rsidRPr="00575359" w:rsidRDefault="0036037E" w:rsidP="0011009A">
            <w:pPr>
              <w:ind w:firstLine="0"/>
              <w:jc w:val="center"/>
              <w:rPr>
                <w:rFonts w:eastAsia="Times New Roman" w:cs="Times New Roman"/>
                <w:color w:val="000000"/>
                <w:sz w:val="16"/>
                <w:szCs w:val="16"/>
                <w:lang w:eastAsia="lv-LV"/>
              </w:rPr>
            </w:pPr>
            <w:r w:rsidRPr="00575359">
              <w:rPr>
                <w:rFonts w:eastAsia="Times New Roman" w:cs="Times New Roman"/>
                <w:b/>
                <w:bCs/>
                <w:color w:val="000000"/>
                <w:sz w:val="18"/>
                <w:szCs w:val="18"/>
                <w:lang w:eastAsia="lv-LV"/>
              </w:rPr>
              <w:t>2024</w:t>
            </w:r>
          </w:p>
        </w:tc>
        <w:tc>
          <w:tcPr>
            <w:tcW w:w="963" w:type="dxa"/>
            <w:shd w:val="clear" w:color="auto" w:fill="BDD6EE" w:themeFill="accent1" w:themeFillTint="66"/>
            <w:noWrap/>
            <w:vAlign w:val="center"/>
            <w:hideMark/>
          </w:tcPr>
          <w:p w14:paraId="6C84D6FE" w14:textId="77777777" w:rsidR="0036037E" w:rsidRPr="00575359" w:rsidRDefault="0036037E"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2025</w:t>
            </w:r>
          </w:p>
        </w:tc>
        <w:tc>
          <w:tcPr>
            <w:tcW w:w="907" w:type="dxa"/>
            <w:shd w:val="clear" w:color="auto" w:fill="BDD6EE" w:themeFill="accent1" w:themeFillTint="66"/>
            <w:noWrap/>
            <w:vAlign w:val="center"/>
            <w:hideMark/>
          </w:tcPr>
          <w:p w14:paraId="3F38CC9A" w14:textId="77777777" w:rsidR="0036037E" w:rsidRPr="00575359" w:rsidRDefault="0036037E"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2026</w:t>
            </w:r>
          </w:p>
        </w:tc>
        <w:tc>
          <w:tcPr>
            <w:tcW w:w="907" w:type="dxa"/>
            <w:shd w:val="clear" w:color="auto" w:fill="BDD6EE" w:themeFill="accent1" w:themeFillTint="66"/>
            <w:noWrap/>
            <w:vAlign w:val="center"/>
            <w:hideMark/>
          </w:tcPr>
          <w:p w14:paraId="010E1361" w14:textId="77777777" w:rsidR="0036037E" w:rsidRPr="00575359" w:rsidRDefault="0036037E"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2027</w:t>
            </w:r>
          </w:p>
        </w:tc>
        <w:tc>
          <w:tcPr>
            <w:tcW w:w="907" w:type="dxa"/>
            <w:shd w:val="clear" w:color="auto" w:fill="BDD6EE" w:themeFill="accent1" w:themeFillTint="66"/>
            <w:noWrap/>
            <w:vAlign w:val="center"/>
            <w:hideMark/>
          </w:tcPr>
          <w:p w14:paraId="140A2524" w14:textId="77777777" w:rsidR="0036037E" w:rsidRPr="00575359" w:rsidRDefault="0036037E" w:rsidP="0011009A">
            <w:pPr>
              <w:ind w:firstLine="0"/>
              <w:jc w:val="center"/>
              <w:rPr>
                <w:rFonts w:eastAsia="Times New Roman" w:cs="Times New Roman"/>
                <w:b/>
                <w:bCs/>
                <w:color w:val="000000"/>
                <w:sz w:val="18"/>
                <w:szCs w:val="18"/>
                <w:lang w:eastAsia="lv-LV"/>
              </w:rPr>
            </w:pPr>
            <w:r w:rsidRPr="00575359">
              <w:rPr>
                <w:rFonts w:eastAsia="Times New Roman" w:cs="Times New Roman"/>
                <w:b/>
                <w:bCs/>
                <w:color w:val="000000"/>
                <w:sz w:val="18"/>
                <w:szCs w:val="18"/>
                <w:lang w:eastAsia="lv-LV"/>
              </w:rPr>
              <w:t>2028</w:t>
            </w:r>
          </w:p>
        </w:tc>
      </w:tr>
      <w:tr w:rsidR="0036037E" w:rsidRPr="00575359" w14:paraId="2F14559D" w14:textId="77777777" w:rsidTr="00570862">
        <w:trPr>
          <w:trHeight w:val="300"/>
        </w:trPr>
        <w:tc>
          <w:tcPr>
            <w:tcW w:w="562" w:type="dxa"/>
          </w:tcPr>
          <w:p w14:paraId="2C0638DB" w14:textId="2C329A48" w:rsidR="0036037E" w:rsidRPr="00CF68A1" w:rsidRDefault="0036037E" w:rsidP="0011009A">
            <w:pPr>
              <w:ind w:firstLine="0"/>
              <w:jc w:val="left"/>
              <w:rPr>
                <w:rFonts w:eastAsia="Times New Roman" w:cs="Times New Roman"/>
                <w:b/>
                <w:bCs/>
                <w:color w:val="000000"/>
                <w:sz w:val="16"/>
                <w:szCs w:val="16"/>
                <w:lang w:eastAsia="lv-LV"/>
              </w:rPr>
            </w:pPr>
            <w:r w:rsidRPr="00CF68A1">
              <w:rPr>
                <w:rFonts w:eastAsia="Times New Roman" w:cs="Times New Roman"/>
                <w:b/>
                <w:bCs/>
                <w:color w:val="000000"/>
                <w:sz w:val="16"/>
                <w:szCs w:val="16"/>
                <w:lang w:eastAsia="lv-LV"/>
              </w:rPr>
              <w:t>1.</w:t>
            </w:r>
          </w:p>
        </w:tc>
        <w:tc>
          <w:tcPr>
            <w:tcW w:w="3969" w:type="dxa"/>
            <w:shd w:val="clear" w:color="auto" w:fill="auto"/>
            <w:noWrap/>
            <w:vAlign w:val="center"/>
          </w:tcPr>
          <w:p w14:paraId="75EB99FB" w14:textId="59BA0587" w:rsidR="0036037E" w:rsidRPr="00B858A4" w:rsidRDefault="00222970" w:rsidP="0011009A">
            <w:pPr>
              <w:ind w:firstLine="0"/>
              <w:jc w:val="left"/>
              <w:rPr>
                <w:rFonts w:eastAsia="Times New Roman" w:cs="Times New Roman"/>
                <w:b/>
                <w:bCs/>
                <w:color w:val="000000"/>
                <w:sz w:val="18"/>
                <w:szCs w:val="18"/>
                <w:lang w:eastAsia="lv-LV"/>
              </w:rPr>
            </w:pPr>
            <w:r>
              <w:rPr>
                <w:rFonts w:eastAsia="Times New Roman" w:cs="Times New Roman"/>
                <w:b/>
                <w:bCs/>
                <w:color w:val="000000"/>
                <w:sz w:val="18"/>
                <w:szCs w:val="18"/>
                <w:lang w:eastAsia="lv-LV"/>
              </w:rPr>
              <w:t>Valsts</w:t>
            </w:r>
            <w:r w:rsidR="0036037E" w:rsidRPr="00B858A4">
              <w:rPr>
                <w:rFonts w:eastAsia="Times New Roman" w:cs="Times New Roman"/>
                <w:b/>
                <w:bCs/>
                <w:color w:val="000000"/>
                <w:sz w:val="18"/>
                <w:szCs w:val="18"/>
                <w:lang w:eastAsia="lv-LV"/>
              </w:rPr>
              <w:t xml:space="preserve"> finansēto </w:t>
            </w:r>
            <w:r>
              <w:rPr>
                <w:rFonts w:eastAsia="Times New Roman" w:cs="Times New Roman"/>
                <w:b/>
                <w:bCs/>
                <w:color w:val="000000"/>
                <w:sz w:val="18"/>
                <w:szCs w:val="18"/>
                <w:lang w:eastAsia="lv-LV"/>
              </w:rPr>
              <w:t xml:space="preserve">neto </w:t>
            </w:r>
            <w:r w:rsidR="0036037E" w:rsidRPr="00B858A4">
              <w:rPr>
                <w:rFonts w:eastAsia="Times New Roman" w:cs="Times New Roman"/>
                <w:b/>
                <w:bCs/>
                <w:color w:val="000000"/>
                <w:sz w:val="18"/>
                <w:szCs w:val="18"/>
                <w:lang w:eastAsia="lv-LV"/>
              </w:rPr>
              <w:t xml:space="preserve">primāro izdevumu (NNFPI) pieauguma likme, % </w:t>
            </w:r>
          </w:p>
        </w:tc>
        <w:tc>
          <w:tcPr>
            <w:tcW w:w="851" w:type="dxa"/>
            <w:shd w:val="clear" w:color="auto" w:fill="auto"/>
            <w:noWrap/>
            <w:vAlign w:val="center"/>
          </w:tcPr>
          <w:p w14:paraId="6A7F1623" w14:textId="77777777" w:rsidR="0036037E" w:rsidRPr="00570862" w:rsidRDefault="0036037E" w:rsidP="0011009A">
            <w:pPr>
              <w:ind w:firstLine="0"/>
              <w:jc w:val="center"/>
              <w:rPr>
                <w:rFonts w:eastAsia="Times New Roman" w:cs="Times New Roman"/>
                <w:sz w:val="18"/>
                <w:szCs w:val="18"/>
                <w:lang w:eastAsia="lv-LV"/>
              </w:rPr>
            </w:pPr>
          </w:p>
        </w:tc>
        <w:tc>
          <w:tcPr>
            <w:tcW w:w="963" w:type="dxa"/>
            <w:shd w:val="clear" w:color="auto" w:fill="auto"/>
            <w:noWrap/>
            <w:vAlign w:val="center"/>
          </w:tcPr>
          <w:p w14:paraId="2881228B" w14:textId="77777777" w:rsidR="0036037E" w:rsidRPr="00570862" w:rsidRDefault="0036037E" w:rsidP="0011009A">
            <w:pPr>
              <w:ind w:firstLine="0"/>
              <w:jc w:val="center"/>
              <w:rPr>
                <w:rFonts w:eastAsia="Times New Roman" w:cs="Times New Roman"/>
                <w:b/>
                <w:bCs/>
                <w:sz w:val="18"/>
                <w:szCs w:val="18"/>
                <w:lang w:eastAsia="lv-LV"/>
              </w:rPr>
            </w:pPr>
            <w:r w:rsidRPr="00570862">
              <w:rPr>
                <w:rFonts w:cs="Times New Roman"/>
                <w:b/>
                <w:bCs/>
                <w:sz w:val="18"/>
                <w:szCs w:val="18"/>
              </w:rPr>
              <w:t>5,07792</w:t>
            </w:r>
          </w:p>
        </w:tc>
        <w:tc>
          <w:tcPr>
            <w:tcW w:w="907" w:type="dxa"/>
            <w:shd w:val="clear" w:color="auto" w:fill="FFFFFF" w:themeFill="background1"/>
            <w:noWrap/>
            <w:vAlign w:val="center"/>
          </w:tcPr>
          <w:p w14:paraId="7D170290" w14:textId="77777777" w:rsidR="0036037E" w:rsidRPr="00570862" w:rsidRDefault="0036037E" w:rsidP="0011009A">
            <w:pPr>
              <w:ind w:firstLine="0"/>
              <w:jc w:val="center"/>
              <w:rPr>
                <w:rFonts w:eastAsia="Times New Roman" w:cs="Times New Roman"/>
                <w:sz w:val="18"/>
                <w:szCs w:val="18"/>
                <w:lang w:eastAsia="lv-LV"/>
              </w:rPr>
            </w:pPr>
            <w:r w:rsidRPr="00570862">
              <w:rPr>
                <w:rFonts w:cs="Times New Roman"/>
                <w:b/>
                <w:bCs/>
                <w:sz w:val="18"/>
                <w:szCs w:val="18"/>
              </w:rPr>
              <w:t>5,10214</w:t>
            </w:r>
          </w:p>
        </w:tc>
        <w:tc>
          <w:tcPr>
            <w:tcW w:w="907" w:type="dxa"/>
            <w:shd w:val="clear" w:color="auto" w:fill="FFFFFF" w:themeFill="background1"/>
            <w:noWrap/>
            <w:vAlign w:val="center"/>
          </w:tcPr>
          <w:p w14:paraId="76CA46DE" w14:textId="77777777" w:rsidR="0036037E" w:rsidRPr="00570862" w:rsidRDefault="0036037E" w:rsidP="0011009A">
            <w:pPr>
              <w:ind w:firstLine="0"/>
              <w:jc w:val="center"/>
              <w:rPr>
                <w:rFonts w:eastAsia="Times New Roman" w:cs="Times New Roman"/>
                <w:sz w:val="18"/>
                <w:szCs w:val="18"/>
                <w:lang w:eastAsia="lv-LV"/>
              </w:rPr>
            </w:pPr>
            <w:r w:rsidRPr="00570862">
              <w:rPr>
                <w:rFonts w:cs="Times New Roman"/>
                <w:b/>
                <w:bCs/>
                <w:sz w:val="18"/>
                <w:szCs w:val="18"/>
              </w:rPr>
              <w:t>5,12265</w:t>
            </w:r>
          </w:p>
        </w:tc>
        <w:tc>
          <w:tcPr>
            <w:tcW w:w="907" w:type="dxa"/>
            <w:shd w:val="clear" w:color="auto" w:fill="FFFFFF" w:themeFill="background1"/>
            <w:noWrap/>
            <w:vAlign w:val="center"/>
          </w:tcPr>
          <w:p w14:paraId="490DBCE4" w14:textId="77777777" w:rsidR="0036037E" w:rsidRPr="00570862" w:rsidRDefault="0036037E" w:rsidP="0011009A">
            <w:pPr>
              <w:ind w:firstLine="0"/>
              <w:jc w:val="center"/>
              <w:rPr>
                <w:rFonts w:eastAsia="Times New Roman" w:cs="Times New Roman"/>
                <w:sz w:val="18"/>
                <w:szCs w:val="18"/>
                <w:lang w:eastAsia="lv-LV"/>
              </w:rPr>
            </w:pPr>
            <w:r w:rsidRPr="00570862">
              <w:rPr>
                <w:rFonts w:cs="Times New Roman"/>
                <w:b/>
                <w:bCs/>
                <w:sz w:val="18"/>
                <w:szCs w:val="18"/>
              </w:rPr>
              <w:t>5,13208</w:t>
            </w:r>
          </w:p>
        </w:tc>
      </w:tr>
      <w:tr w:rsidR="0036037E" w:rsidRPr="00575359" w14:paraId="7C508F3F" w14:textId="77777777" w:rsidTr="00570862">
        <w:trPr>
          <w:trHeight w:val="300"/>
        </w:trPr>
        <w:tc>
          <w:tcPr>
            <w:tcW w:w="562" w:type="dxa"/>
          </w:tcPr>
          <w:p w14:paraId="31E1F6A4" w14:textId="21F5779A" w:rsidR="0036037E" w:rsidRPr="00CF68A1" w:rsidRDefault="0036037E" w:rsidP="0011009A">
            <w:pPr>
              <w:ind w:firstLine="0"/>
              <w:jc w:val="left"/>
              <w:rPr>
                <w:rFonts w:eastAsia="Times New Roman" w:cs="Times New Roman"/>
                <w:b/>
                <w:bCs/>
                <w:color w:val="000000"/>
                <w:sz w:val="16"/>
                <w:szCs w:val="16"/>
                <w:lang w:eastAsia="lv-LV"/>
              </w:rPr>
            </w:pPr>
            <w:r w:rsidRPr="00CF68A1">
              <w:rPr>
                <w:rFonts w:eastAsia="Times New Roman" w:cs="Times New Roman"/>
                <w:b/>
                <w:bCs/>
                <w:color w:val="000000"/>
                <w:sz w:val="16"/>
                <w:szCs w:val="16"/>
                <w:lang w:eastAsia="lv-LV"/>
              </w:rPr>
              <w:t>2.</w:t>
            </w:r>
          </w:p>
        </w:tc>
        <w:tc>
          <w:tcPr>
            <w:tcW w:w="3969" w:type="dxa"/>
            <w:shd w:val="clear" w:color="auto" w:fill="auto"/>
            <w:noWrap/>
            <w:vAlign w:val="center"/>
          </w:tcPr>
          <w:p w14:paraId="3A253942" w14:textId="05C0008E" w:rsidR="0036037E" w:rsidRPr="00B858A4" w:rsidRDefault="0036037E" w:rsidP="0011009A">
            <w:pPr>
              <w:ind w:firstLine="0"/>
              <w:jc w:val="left"/>
              <w:rPr>
                <w:rFonts w:eastAsia="Times New Roman" w:cs="Times New Roman"/>
                <w:b/>
                <w:bCs/>
                <w:color w:val="000000"/>
                <w:sz w:val="18"/>
                <w:szCs w:val="18"/>
                <w:lang w:eastAsia="lv-LV"/>
              </w:rPr>
            </w:pPr>
            <w:r w:rsidRPr="00B858A4">
              <w:rPr>
                <w:rFonts w:eastAsia="Times New Roman" w:cs="Times New Roman"/>
                <w:b/>
                <w:bCs/>
                <w:color w:val="000000"/>
                <w:sz w:val="18"/>
                <w:szCs w:val="18"/>
                <w:lang w:eastAsia="lv-LV"/>
              </w:rPr>
              <w:t xml:space="preserve">NNFPI līmenis, milj. </w:t>
            </w:r>
            <w:proofErr w:type="spellStart"/>
            <w:r w:rsidRPr="00B858A4">
              <w:rPr>
                <w:rFonts w:eastAsia="Times New Roman" w:cs="Times New Roman"/>
                <w:b/>
                <w:bCs/>
                <w:i/>
                <w:iCs/>
                <w:color w:val="000000"/>
                <w:sz w:val="18"/>
                <w:szCs w:val="18"/>
                <w:lang w:eastAsia="lv-LV"/>
              </w:rPr>
              <w:t>euro</w:t>
            </w:r>
            <w:proofErr w:type="spellEnd"/>
          </w:p>
        </w:tc>
        <w:tc>
          <w:tcPr>
            <w:tcW w:w="851" w:type="dxa"/>
            <w:shd w:val="clear" w:color="auto" w:fill="auto"/>
            <w:noWrap/>
            <w:vAlign w:val="center"/>
          </w:tcPr>
          <w:p w14:paraId="41126EEB" w14:textId="77777777" w:rsidR="0036037E" w:rsidRPr="00570862" w:rsidRDefault="0036037E" w:rsidP="0011009A">
            <w:pPr>
              <w:ind w:firstLine="0"/>
              <w:jc w:val="center"/>
              <w:rPr>
                <w:rFonts w:eastAsia="Times New Roman" w:cs="Times New Roman"/>
                <w:sz w:val="18"/>
                <w:szCs w:val="18"/>
                <w:lang w:eastAsia="lv-LV"/>
              </w:rPr>
            </w:pPr>
            <w:r w:rsidRPr="00570862">
              <w:rPr>
                <w:rFonts w:cs="Times New Roman"/>
                <w:sz w:val="18"/>
                <w:szCs w:val="18"/>
              </w:rPr>
              <w:t>16 939</w:t>
            </w:r>
          </w:p>
        </w:tc>
        <w:tc>
          <w:tcPr>
            <w:tcW w:w="963" w:type="dxa"/>
            <w:shd w:val="clear" w:color="auto" w:fill="auto"/>
            <w:noWrap/>
            <w:vAlign w:val="center"/>
          </w:tcPr>
          <w:p w14:paraId="7B361452" w14:textId="77777777" w:rsidR="0036037E" w:rsidRPr="00570862" w:rsidRDefault="0036037E" w:rsidP="0011009A">
            <w:pPr>
              <w:ind w:firstLine="0"/>
              <w:jc w:val="center"/>
              <w:rPr>
                <w:rFonts w:eastAsia="Times New Roman" w:cs="Times New Roman"/>
                <w:b/>
                <w:bCs/>
                <w:sz w:val="18"/>
                <w:szCs w:val="18"/>
                <w:lang w:eastAsia="lv-LV"/>
              </w:rPr>
            </w:pPr>
            <w:r w:rsidRPr="00570862">
              <w:rPr>
                <w:rFonts w:cs="Times New Roman"/>
                <w:sz w:val="18"/>
                <w:szCs w:val="18"/>
              </w:rPr>
              <w:t>17 799</w:t>
            </w:r>
          </w:p>
        </w:tc>
        <w:tc>
          <w:tcPr>
            <w:tcW w:w="907" w:type="dxa"/>
            <w:shd w:val="clear" w:color="auto" w:fill="FFFFFF" w:themeFill="background1"/>
            <w:noWrap/>
            <w:vAlign w:val="center"/>
          </w:tcPr>
          <w:p w14:paraId="64B67DA8" w14:textId="77777777" w:rsidR="0036037E" w:rsidRPr="00570862" w:rsidRDefault="0036037E" w:rsidP="0011009A">
            <w:pPr>
              <w:ind w:firstLine="0"/>
              <w:jc w:val="center"/>
              <w:rPr>
                <w:rFonts w:eastAsia="Times New Roman" w:cs="Times New Roman"/>
                <w:sz w:val="18"/>
                <w:szCs w:val="18"/>
                <w:lang w:eastAsia="lv-LV"/>
              </w:rPr>
            </w:pPr>
            <w:r w:rsidRPr="00570862">
              <w:rPr>
                <w:rFonts w:cs="Times New Roman"/>
                <w:sz w:val="18"/>
                <w:szCs w:val="18"/>
              </w:rPr>
              <w:t>18 708</w:t>
            </w:r>
          </w:p>
        </w:tc>
        <w:tc>
          <w:tcPr>
            <w:tcW w:w="907" w:type="dxa"/>
            <w:shd w:val="clear" w:color="auto" w:fill="FFFFFF" w:themeFill="background1"/>
            <w:noWrap/>
            <w:vAlign w:val="center"/>
          </w:tcPr>
          <w:p w14:paraId="47FF7737" w14:textId="77777777" w:rsidR="0036037E" w:rsidRPr="00570862" w:rsidRDefault="0036037E" w:rsidP="0011009A">
            <w:pPr>
              <w:ind w:firstLine="0"/>
              <w:jc w:val="center"/>
              <w:rPr>
                <w:rFonts w:eastAsia="Times New Roman" w:cs="Times New Roman"/>
                <w:sz w:val="18"/>
                <w:szCs w:val="18"/>
                <w:lang w:eastAsia="lv-LV"/>
              </w:rPr>
            </w:pPr>
            <w:r w:rsidRPr="00570862">
              <w:rPr>
                <w:rFonts w:cs="Times New Roman"/>
                <w:sz w:val="18"/>
                <w:szCs w:val="18"/>
              </w:rPr>
              <w:t>19 666</w:t>
            </w:r>
          </w:p>
        </w:tc>
        <w:tc>
          <w:tcPr>
            <w:tcW w:w="907" w:type="dxa"/>
            <w:shd w:val="clear" w:color="auto" w:fill="FFFFFF" w:themeFill="background1"/>
            <w:noWrap/>
            <w:vAlign w:val="center"/>
          </w:tcPr>
          <w:p w14:paraId="2E8D4303" w14:textId="77777777" w:rsidR="0036037E" w:rsidRPr="00570862" w:rsidRDefault="0036037E" w:rsidP="0011009A">
            <w:pPr>
              <w:ind w:firstLine="0"/>
              <w:jc w:val="center"/>
              <w:rPr>
                <w:rFonts w:eastAsia="Times New Roman" w:cs="Times New Roman"/>
                <w:sz w:val="18"/>
                <w:szCs w:val="18"/>
                <w:lang w:eastAsia="lv-LV"/>
              </w:rPr>
            </w:pPr>
            <w:r w:rsidRPr="00570862">
              <w:rPr>
                <w:rFonts w:cs="Times New Roman"/>
                <w:sz w:val="18"/>
                <w:szCs w:val="18"/>
              </w:rPr>
              <w:t>20 675</w:t>
            </w:r>
          </w:p>
        </w:tc>
      </w:tr>
      <w:tr w:rsidR="0036037E" w:rsidRPr="00575359" w14:paraId="165092DC" w14:textId="77777777" w:rsidTr="00570862">
        <w:trPr>
          <w:trHeight w:val="300"/>
        </w:trPr>
        <w:tc>
          <w:tcPr>
            <w:tcW w:w="562" w:type="dxa"/>
          </w:tcPr>
          <w:p w14:paraId="0D5314E4" w14:textId="294BE344" w:rsidR="0036037E" w:rsidRPr="00CF68A1" w:rsidRDefault="0036037E" w:rsidP="0011009A">
            <w:pPr>
              <w:ind w:firstLine="0"/>
              <w:jc w:val="left"/>
              <w:rPr>
                <w:rFonts w:eastAsia="Times New Roman" w:cs="Times New Roman"/>
                <w:b/>
                <w:bCs/>
                <w:color w:val="000000"/>
                <w:sz w:val="16"/>
                <w:szCs w:val="16"/>
                <w:lang w:eastAsia="lv-LV"/>
              </w:rPr>
            </w:pPr>
            <w:r w:rsidRPr="00CF68A1">
              <w:rPr>
                <w:rFonts w:eastAsia="Times New Roman" w:cs="Times New Roman"/>
                <w:b/>
                <w:bCs/>
                <w:color w:val="000000"/>
                <w:sz w:val="16"/>
                <w:szCs w:val="16"/>
                <w:lang w:eastAsia="lv-LV"/>
              </w:rPr>
              <w:t>3.</w:t>
            </w:r>
          </w:p>
        </w:tc>
        <w:tc>
          <w:tcPr>
            <w:tcW w:w="3969" w:type="dxa"/>
            <w:shd w:val="clear" w:color="auto" w:fill="auto"/>
            <w:noWrap/>
            <w:vAlign w:val="center"/>
          </w:tcPr>
          <w:p w14:paraId="399456D4" w14:textId="44BFCE1D" w:rsidR="0036037E" w:rsidRPr="00B858A4" w:rsidRDefault="0036037E" w:rsidP="0011009A">
            <w:pPr>
              <w:ind w:firstLine="0"/>
              <w:jc w:val="left"/>
              <w:rPr>
                <w:rFonts w:eastAsia="Times New Roman" w:cs="Times New Roman"/>
                <w:b/>
                <w:bCs/>
                <w:color w:val="000000"/>
                <w:sz w:val="18"/>
                <w:szCs w:val="18"/>
                <w:lang w:eastAsia="lv-LV"/>
              </w:rPr>
            </w:pPr>
            <w:proofErr w:type="spellStart"/>
            <w:r w:rsidRPr="00B858A4">
              <w:rPr>
                <w:rFonts w:eastAsia="Times New Roman" w:cs="Times New Roman"/>
                <w:b/>
                <w:bCs/>
                <w:color w:val="000000"/>
                <w:sz w:val="18"/>
                <w:szCs w:val="18"/>
                <w:lang w:eastAsia="lv-LV"/>
              </w:rPr>
              <w:t>Diskrecionārie</w:t>
            </w:r>
            <w:proofErr w:type="spellEnd"/>
            <w:r w:rsidRPr="00B858A4">
              <w:rPr>
                <w:rFonts w:eastAsia="Times New Roman" w:cs="Times New Roman"/>
                <w:b/>
                <w:bCs/>
                <w:color w:val="000000"/>
                <w:sz w:val="18"/>
                <w:szCs w:val="18"/>
                <w:lang w:eastAsia="lv-LV"/>
              </w:rPr>
              <w:t xml:space="preserve"> ieņēmumu pasākumi (DRM)</w:t>
            </w:r>
          </w:p>
        </w:tc>
        <w:tc>
          <w:tcPr>
            <w:tcW w:w="851" w:type="dxa"/>
            <w:shd w:val="clear" w:color="auto" w:fill="auto"/>
            <w:noWrap/>
            <w:vAlign w:val="center"/>
          </w:tcPr>
          <w:p w14:paraId="0AD3CF12" w14:textId="77777777" w:rsidR="0036037E" w:rsidRPr="00570862" w:rsidRDefault="0036037E" w:rsidP="0011009A">
            <w:pPr>
              <w:ind w:firstLine="0"/>
              <w:jc w:val="center"/>
              <w:rPr>
                <w:rFonts w:cs="Times New Roman"/>
                <w:sz w:val="18"/>
                <w:szCs w:val="18"/>
              </w:rPr>
            </w:pPr>
            <w:r w:rsidRPr="00570862">
              <w:rPr>
                <w:rFonts w:cs="Times New Roman"/>
                <w:sz w:val="18"/>
                <w:szCs w:val="18"/>
              </w:rPr>
              <w:t>354,30</w:t>
            </w:r>
          </w:p>
        </w:tc>
        <w:tc>
          <w:tcPr>
            <w:tcW w:w="963" w:type="dxa"/>
            <w:shd w:val="clear" w:color="auto" w:fill="auto"/>
            <w:noWrap/>
            <w:vAlign w:val="center"/>
          </w:tcPr>
          <w:p w14:paraId="7ABBA706" w14:textId="77777777" w:rsidR="0036037E" w:rsidRPr="00570862" w:rsidRDefault="0036037E" w:rsidP="0011009A">
            <w:pPr>
              <w:ind w:firstLine="0"/>
              <w:jc w:val="center"/>
              <w:rPr>
                <w:rFonts w:cs="Times New Roman"/>
                <w:sz w:val="18"/>
                <w:szCs w:val="18"/>
              </w:rPr>
            </w:pPr>
            <w:r w:rsidRPr="00570862">
              <w:rPr>
                <w:rFonts w:cs="Times New Roman"/>
                <w:sz w:val="18"/>
                <w:szCs w:val="18"/>
              </w:rPr>
              <w:t>-238,15</w:t>
            </w:r>
          </w:p>
        </w:tc>
        <w:tc>
          <w:tcPr>
            <w:tcW w:w="907" w:type="dxa"/>
            <w:shd w:val="clear" w:color="auto" w:fill="FFFFFF" w:themeFill="background1"/>
            <w:noWrap/>
            <w:vAlign w:val="center"/>
          </w:tcPr>
          <w:p w14:paraId="0C0387F2" w14:textId="77777777" w:rsidR="0036037E" w:rsidRPr="00570862" w:rsidRDefault="0036037E" w:rsidP="0011009A">
            <w:pPr>
              <w:ind w:firstLine="0"/>
              <w:jc w:val="center"/>
              <w:rPr>
                <w:rFonts w:cs="Times New Roman"/>
                <w:sz w:val="18"/>
                <w:szCs w:val="18"/>
              </w:rPr>
            </w:pPr>
            <w:r w:rsidRPr="00570862">
              <w:rPr>
                <w:rFonts w:cs="Times New Roman"/>
                <w:sz w:val="18"/>
                <w:szCs w:val="18"/>
              </w:rPr>
              <w:t>91,89</w:t>
            </w:r>
          </w:p>
        </w:tc>
        <w:tc>
          <w:tcPr>
            <w:tcW w:w="907" w:type="dxa"/>
            <w:shd w:val="clear" w:color="auto" w:fill="FFFFFF" w:themeFill="background1"/>
            <w:noWrap/>
            <w:vAlign w:val="center"/>
          </w:tcPr>
          <w:p w14:paraId="7E82FEA4" w14:textId="77777777" w:rsidR="0036037E" w:rsidRPr="00570862" w:rsidRDefault="0036037E" w:rsidP="0011009A">
            <w:pPr>
              <w:ind w:firstLine="0"/>
              <w:jc w:val="center"/>
              <w:rPr>
                <w:rFonts w:cs="Times New Roman"/>
                <w:sz w:val="18"/>
                <w:szCs w:val="18"/>
              </w:rPr>
            </w:pPr>
            <w:r w:rsidRPr="00570862">
              <w:rPr>
                <w:rFonts w:cs="Times New Roman"/>
                <w:sz w:val="18"/>
                <w:szCs w:val="18"/>
              </w:rPr>
              <w:t>-0,36</w:t>
            </w:r>
          </w:p>
        </w:tc>
        <w:tc>
          <w:tcPr>
            <w:tcW w:w="907" w:type="dxa"/>
            <w:shd w:val="clear" w:color="auto" w:fill="FFFFFF" w:themeFill="background1"/>
            <w:noWrap/>
            <w:vAlign w:val="center"/>
          </w:tcPr>
          <w:p w14:paraId="026FCE78" w14:textId="77777777" w:rsidR="0036037E" w:rsidRPr="00570862" w:rsidRDefault="0036037E" w:rsidP="0011009A">
            <w:pPr>
              <w:ind w:firstLine="0"/>
              <w:jc w:val="center"/>
              <w:rPr>
                <w:rFonts w:cs="Times New Roman"/>
                <w:sz w:val="18"/>
                <w:szCs w:val="18"/>
              </w:rPr>
            </w:pPr>
            <w:r w:rsidRPr="00570862">
              <w:rPr>
                <w:rFonts w:cs="Times New Roman"/>
                <w:sz w:val="18"/>
                <w:szCs w:val="18"/>
              </w:rPr>
              <w:t>0,00</w:t>
            </w:r>
          </w:p>
        </w:tc>
      </w:tr>
      <w:tr w:rsidR="0036037E" w:rsidRPr="00575359" w14:paraId="38822C03" w14:textId="77777777" w:rsidTr="00570862">
        <w:trPr>
          <w:trHeight w:val="300"/>
        </w:trPr>
        <w:tc>
          <w:tcPr>
            <w:tcW w:w="562" w:type="dxa"/>
          </w:tcPr>
          <w:p w14:paraId="28C413FE" w14:textId="47703B99" w:rsidR="0036037E" w:rsidRPr="00CF68A1" w:rsidRDefault="0036037E" w:rsidP="0011009A">
            <w:pPr>
              <w:ind w:firstLine="0"/>
              <w:jc w:val="left"/>
              <w:rPr>
                <w:rFonts w:eastAsia="Times New Roman" w:cs="Times New Roman"/>
                <w:b/>
                <w:bCs/>
                <w:color w:val="000000"/>
                <w:sz w:val="16"/>
                <w:szCs w:val="16"/>
                <w:lang w:eastAsia="lv-LV"/>
              </w:rPr>
            </w:pPr>
            <w:r w:rsidRPr="00CF68A1">
              <w:rPr>
                <w:rFonts w:eastAsia="Times New Roman" w:cs="Times New Roman"/>
                <w:b/>
                <w:bCs/>
                <w:color w:val="000000"/>
                <w:sz w:val="16"/>
                <w:szCs w:val="16"/>
                <w:lang w:eastAsia="lv-LV"/>
              </w:rPr>
              <w:t>4.</w:t>
            </w:r>
          </w:p>
        </w:tc>
        <w:tc>
          <w:tcPr>
            <w:tcW w:w="3969" w:type="dxa"/>
            <w:shd w:val="clear" w:color="auto" w:fill="auto"/>
            <w:noWrap/>
            <w:vAlign w:val="center"/>
          </w:tcPr>
          <w:p w14:paraId="2C1EBD6B" w14:textId="475526F3" w:rsidR="0036037E" w:rsidRPr="00B858A4" w:rsidRDefault="0036037E" w:rsidP="0011009A">
            <w:pPr>
              <w:ind w:firstLine="0"/>
              <w:jc w:val="left"/>
              <w:rPr>
                <w:rFonts w:eastAsia="Times New Roman" w:cs="Times New Roman"/>
                <w:b/>
                <w:bCs/>
                <w:color w:val="000000"/>
                <w:sz w:val="18"/>
                <w:szCs w:val="18"/>
                <w:lang w:eastAsia="lv-LV"/>
              </w:rPr>
            </w:pPr>
            <w:r w:rsidRPr="00B858A4">
              <w:rPr>
                <w:rFonts w:eastAsia="Times New Roman" w:cs="Times New Roman"/>
                <w:b/>
                <w:bCs/>
                <w:color w:val="000000"/>
                <w:sz w:val="18"/>
                <w:szCs w:val="18"/>
                <w:lang w:eastAsia="lv-LV"/>
              </w:rPr>
              <w:t xml:space="preserve">NNFPI līmenis (ar DRM), milj. </w:t>
            </w:r>
            <w:proofErr w:type="spellStart"/>
            <w:r w:rsidRPr="00B858A4">
              <w:rPr>
                <w:rFonts w:eastAsia="Times New Roman" w:cs="Times New Roman"/>
                <w:b/>
                <w:bCs/>
                <w:i/>
                <w:iCs/>
                <w:color w:val="000000"/>
                <w:sz w:val="18"/>
                <w:szCs w:val="18"/>
                <w:lang w:eastAsia="lv-LV"/>
              </w:rPr>
              <w:t>euro</w:t>
            </w:r>
            <w:proofErr w:type="spellEnd"/>
          </w:p>
        </w:tc>
        <w:tc>
          <w:tcPr>
            <w:tcW w:w="851" w:type="dxa"/>
            <w:shd w:val="clear" w:color="auto" w:fill="auto"/>
            <w:noWrap/>
            <w:vAlign w:val="center"/>
          </w:tcPr>
          <w:p w14:paraId="325584E5" w14:textId="77777777" w:rsidR="0036037E" w:rsidRPr="00570862" w:rsidRDefault="0036037E" w:rsidP="0011009A">
            <w:pPr>
              <w:ind w:firstLine="0"/>
              <w:jc w:val="center"/>
              <w:rPr>
                <w:rFonts w:cs="Times New Roman"/>
                <w:sz w:val="18"/>
                <w:szCs w:val="18"/>
              </w:rPr>
            </w:pPr>
          </w:p>
        </w:tc>
        <w:tc>
          <w:tcPr>
            <w:tcW w:w="963" w:type="dxa"/>
            <w:shd w:val="clear" w:color="auto" w:fill="auto"/>
            <w:noWrap/>
            <w:vAlign w:val="center"/>
          </w:tcPr>
          <w:p w14:paraId="15D80290" w14:textId="77777777" w:rsidR="0036037E" w:rsidRPr="00570862" w:rsidRDefault="0036037E" w:rsidP="0011009A">
            <w:pPr>
              <w:ind w:firstLine="0"/>
              <w:jc w:val="center"/>
              <w:rPr>
                <w:rFonts w:cs="Times New Roman"/>
                <w:sz w:val="18"/>
                <w:szCs w:val="18"/>
              </w:rPr>
            </w:pPr>
            <w:r w:rsidRPr="00570862">
              <w:rPr>
                <w:rFonts w:cs="Times New Roman"/>
                <w:sz w:val="18"/>
                <w:szCs w:val="18"/>
              </w:rPr>
              <w:t>17 561</w:t>
            </w:r>
          </w:p>
        </w:tc>
        <w:tc>
          <w:tcPr>
            <w:tcW w:w="907" w:type="dxa"/>
            <w:shd w:val="clear" w:color="auto" w:fill="FFFFFF" w:themeFill="background1"/>
            <w:noWrap/>
            <w:vAlign w:val="center"/>
          </w:tcPr>
          <w:p w14:paraId="1AE6F8B9" w14:textId="77777777" w:rsidR="0036037E" w:rsidRPr="00570862" w:rsidRDefault="0036037E" w:rsidP="0011009A">
            <w:pPr>
              <w:ind w:firstLine="0"/>
              <w:jc w:val="center"/>
              <w:rPr>
                <w:rFonts w:cs="Times New Roman"/>
                <w:sz w:val="18"/>
                <w:szCs w:val="18"/>
              </w:rPr>
            </w:pPr>
            <w:r w:rsidRPr="00570862">
              <w:rPr>
                <w:rFonts w:cs="Times New Roman"/>
                <w:sz w:val="18"/>
                <w:szCs w:val="18"/>
              </w:rPr>
              <w:t>18 799</w:t>
            </w:r>
          </w:p>
        </w:tc>
        <w:tc>
          <w:tcPr>
            <w:tcW w:w="907" w:type="dxa"/>
            <w:shd w:val="clear" w:color="auto" w:fill="FFFFFF" w:themeFill="background1"/>
            <w:noWrap/>
            <w:vAlign w:val="center"/>
          </w:tcPr>
          <w:p w14:paraId="29E0A3B4" w14:textId="77777777" w:rsidR="0036037E" w:rsidRPr="00570862" w:rsidRDefault="0036037E" w:rsidP="0011009A">
            <w:pPr>
              <w:ind w:firstLine="0"/>
              <w:jc w:val="center"/>
              <w:rPr>
                <w:rFonts w:cs="Times New Roman"/>
                <w:sz w:val="18"/>
                <w:szCs w:val="18"/>
              </w:rPr>
            </w:pPr>
            <w:r w:rsidRPr="00570862">
              <w:rPr>
                <w:rFonts w:cs="Times New Roman"/>
                <w:sz w:val="18"/>
                <w:szCs w:val="18"/>
              </w:rPr>
              <w:t>19 665</w:t>
            </w:r>
          </w:p>
        </w:tc>
        <w:tc>
          <w:tcPr>
            <w:tcW w:w="907" w:type="dxa"/>
            <w:shd w:val="clear" w:color="auto" w:fill="FFFFFF" w:themeFill="background1"/>
            <w:noWrap/>
            <w:vAlign w:val="center"/>
          </w:tcPr>
          <w:p w14:paraId="29F509B5" w14:textId="77777777" w:rsidR="0036037E" w:rsidRPr="00570862" w:rsidRDefault="0036037E" w:rsidP="0011009A">
            <w:pPr>
              <w:ind w:firstLine="0"/>
              <w:jc w:val="center"/>
              <w:rPr>
                <w:rFonts w:cs="Times New Roman"/>
                <w:sz w:val="18"/>
                <w:szCs w:val="18"/>
              </w:rPr>
            </w:pPr>
            <w:r w:rsidRPr="00570862">
              <w:rPr>
                <w:rFonts w:cs="Times New Roman"/>
                <w:sz w:val="18"/>
                <w:szCs w:val="18"/>
              </w:rPr>
              <w:t>20 675</w:t>
            </w:r>
          </w:p>
        </w:tc>
      </w:tr>
      <w:tr w:rsidR="0036037E" w:rsidRPr="00575359" w14:paraId="21618A51" w14:textId="77777777" w:rsidTr="00570862">
        <w:trPr>
          <w:trHeight w:val="300"/>
        </w:trPr>
        <w:tc>
          <w:tcPr>
            <w:tcW w:w="562" w:type="dxa"/>
          </w:tcPr>
          <w:p w14:paraId="786943B1" w14:textId="4BB13BE8" w:rsidR="0036037E" w:rsidRPr="00CF68A1" w:rsidRDefault="0036037E" w:rsidP="0011009A">
            <w:pPr>
              <w:ind w:firstLine="0"/>
              <w:jc w:val="left"/>
              <w:rPr>
                <w:rFonts w:eastAsia="Times New Roman" w:cs="Times New Roman"/>
                <w:b/>
                <w:bCs/>
                <w:color w:val="000000"/>
                <w:sz w:val="16"/>
                <w:szCs w:val="16"/>
                <w:lang w:eastAsia="lv-LV"/>
              </w:rPr>
            </w:pPr>
            <w:r w:rsidRPr="00CF68A1">
              <w:rPr>
                <w:rFonts w:eastAsia="Times New Roman" w:cs="Times New Roman"/>
                <w:b/>
                <w:bCs/>
                <w:color w:val="000000"/>
                <w:sz w:val="16"/>
                <w:szCs w:val="16"/>
                <w:lang w:eastAsia="lv-LV"/>
              </w:rPr>
              <w:t>5.</w:t>
            </w:r>
          </w:p>
        </w:tc>
        <w:tc>
          <w:tcPr>
            <w:tcW w:w="3969" w:type="dxa"/>
            <w:shd w:val="clear" w:color="auto" w:fill="auto"/>
            <w:noWrap/>
            <w:vAlign w:val="center"/>
          </w:tcPr>
          <w:p w14:paraId="74DF3EF6" w14:textId="053FB757" w:rsidR="0036037E" w:rsidRPr="00B858A4" w:rsidRDefault="0036037E" w:rsidP="0011009A">
            <w:pPr>
              <w:ind w:firstLine="0"/>
              <w:jc w:val="left"/>
              <w:rPr>
                <w:rFonts w:eastAsia="Times New Roman" w:cs="Times New Roman"/>
                <w:b/>
                <w:bCs/>
                <w:color w:val="000000"/>
                <w:sz w:val="18"/>
                <w:szCs w:val="18"/>
                <w:lang w:eastAsia="lv-LV"/>
              </w:rPr>
            </w:pPr>
            <w:r w:rsidRPr="00B858A4">
              <w:rPr>
                <w:rFonts w:eastAsia="Times New Roman" w:cs="Times New Roman"/>
                <w:b/>
                <w:bCs/>
                <w:color w:val="000000"/>
                <w:sz w:val="18"/>
                <w:szCs w:val="18"/>
                <w:lang w:eastAsia="lv-LV"/>
              </w:rPr>
              <w:t>NNFPI pieauguma likme (ar DRM), %</w:t>
            </w:r>
          </w:p>
        </w:tc>
        <w:tc>
          <w:tcPr>
            <w:tcW w:w="851" w:type="dxa"/>
            <w:shd w:val="clear" w:color="auto" w:fill="auto"/>
            <w:noWrap/>
            <w:vAlign w:val="center"/>
          </w:tcPr>
          <w:p w14:paraId="337F5556" w14:textId="77777777" w:rsidR="0036037E" w:rsidRPr="00570862" w:rsidRDefault="0036037E" w:rsidP="0011009A">
            <w:pPr>
              <w:ind w:firstLine="0"/>
              <w:jc w:val="center"/>
              <w:rPr>
                <w:rFonts w:cs="Times New Roman"/>
                <w:sz w:val="18"/>
                <w:szCs w:val="18"/>
              </w:rPr>
            </w:pPr>
          </w:p>
        </w:tc>
        <w:tc>
          <w:tcPr>
            <w:tcW w:w="963" w:type="dxa"/>
            <w:shd w:val="clear" w:color="auto" w:fill="auto"/>
            <w:noWrap/>
            <w:vAlign w:val="center"/>
          </w:tcPr>
          <w:p w14:paraId="36F9825C" w14:textId="77777777" w:rsidR="0036037E" w:rsidRPr="00570862" w:rsidRDefault="0036037E" w:rsidP="0011009A">
            <w:pPr>
              <w:ind w:firstLine="0"/>
              <w:jc w:val="center"/>
              <w:rPr>
                <w:rFonts w:cs="Times New Roman"/>
                <w:sz w:val="18"/>
                <w:szCs w:val="18"/>
              </w:rPr>
            </w:pPr>
            <w:r w:rsidRPr="00570862">
              <w:rPr>
                <w:rFonts w:cs="Times New Roman"/>
                <w:b/>
                <w:bCs/>
                <w:sz w:val="18"/>
                <w:szCs w:val="18"/>
              </w:rPr>
              <w:t>3,67</w:t>
            </w:r>
          </w:p>
        </w:tc>
        <w:tc>
          <w:tcPr>
            <w:tcW w:w="907" w:type="dxa"/>
            <w:shd w:val="clear" w:color="auto" w:fill="FFFFFF" w:themeFill="background1"/>
            <w:noWrap/>
            <w:vAlign w:val="center"/>
          </w:tcPr>
          <w:p w14:paraId="1D0ACD27" w14:textId="77777777" w:rsidR="0036037E" w:rsidRPr="00570862" w:rsidRDefault="0036037E" w:rsidP="0011009A">
            <w:pPr>
              <w:ind w:firstLine="0"/>
              <w:jc w:val="center"/>
              <w:rPr>
                <w:rFonts w:cs="Times New Roman"/>
                <w:sz w:val="18"/>
                <w:szCs w:val="18"/>
              </w:rPr>
            </w:pPr>
            <w:r w:rsidRPr="00570862">
              <w:rPr>
                <w:rFonts w:cs="Times New Roman"/>
                <w:b/>
                <w:bCs/>
                <w:sz w:val="18"/>
                <w:szCs w:val="18"/>
              </w:rPr>
              <w:t>5,62</w:t>
            </w:r>
          </w:p>
        </w:tc>
        <w:tc>
          <w:tcPr>
            <w:tcW w:w="907" w:type="dxa"/>
            <w:shd w:val="clear" w:color="auto" w:fill="FFFFFF" w:themeFill="background1"/>
            <w:noWrap/>
            <w:vAlign w:val="center"/>
          </w:tcPr>
          <w:p w14:paraId="426D20D1" w14:textId="77777777" w:rsidR="0036037E" w:rsidRPr="00570862" w:rsidRDefault="0036037E" w:rsidP="0011009A">
            <w:pPr>
              <w:ind w:firstLine="0"/>
              <w:jc w:val="center"/>
              <w:rPr>
                <w:rFonts w:cs="Times New Roman"/>
                <w:sz w:val="18"/>
                <w:szCs w:val="18"/>
              </w:rPr>
            </w:pPr>
            <w:r w:rsidRPr="00570862">
              <w:rPr>
                <w:rFonts w:cs="Times New Roman"/>
                <w:b/>
                <w:bCs/>
                <w:sz w:val="18"/>
                <w:szCs w:val="18"/>
              </w:rPr>
              <w:t>5,12</w:t>
            </w:r>
          </w:p>
        </w:tc>
        <w:tc>
          <w:tcPr>
            <w:tcW w:w="907" w:type="dxa"/>
            <w:shd w:val="clear" w:color="auto" w:fill="FFFFFF" w:themeFill="background1"/>
            <w:noWrap/>
            <w:vAlign w:val="center"/>
          </w:tcPr>
          <w:p w14:paraId="6F90CEFC" w14:textId="77777777" w:rsidR="0036037E" w:rsidRPr="00570862" w:rsidRDefault="0036037E" w:rsidP="0011009A">
            <w:pPr>
              <w:ind w:firstLine="0"/>
              <w:jc w:val="center"/>
              <w:rPr>
                <w:rFonts w:cs="Times New Roman"/>
                <w:sz w:val="18"/>
                <w:szCs w:val="18"/>
              </w:rPr>
            </w:pPr>
            <w:r w:rsidRPr="00570862">
              <w:rPr>
                <w:rFonts w:cs="Times New Roman"/>
                <w:b/>
                <w:bCs/>
                <w:sz w:val="18"/>
                <w:szCs w:val="18"/>
              </w:rPr>
              <w:t>5,13</w:t>
            </w:r>
          </w:p>
        </w:tc>
      </w:tr>
      <w:tr w:rsidR="0036037E" w:rsidRPr="00575359" w14:paraId="69DE8418" w14:textId="77777777" w:rsidTr="00570862">
        <w:trPr>
          <w:trHeight w:val="300"/>
        </w:trPr>
        <w:tc>
          <w:tcPr>
            <w:tcW w:w="562" w:type="dxa"/>
          </w:tcPr>
          <w:p w14:paraId="1426337E" w14:textId="2F387BAA" w:rsidR="0036037E" w:rsidRPr="00CF68A1" w:rsidRDefault="0036037E" w:rsidP="0011009A">
            <w:pPr>
              <w:ind w:firstLine="0"/>
              <w:jc w:val="left"/>
              <w:rPr>
                <w:rFonts w:eastAsia="Times New Roman" w:cs="Times New Roman"/>
                <w:b/>
                <w:bCs/>
                <w:color w:val="000000"/>
                <w:sz w:val="16"/>
                <w:szCs w:val="16"/>
                <w:lang w:eastAsia="lv-LV"/>
              </w:rPr>
            </w:pPr>
            <w:r w:rsidRPr="00CF68A1">
              <w:rPr>
                <w:rFonts w:eastAsia="Times New Roman" w:cs="Times New Roman"/>
                <w:b/>
                <w:bCs/>
                <w:color w:val="000000"/>
                <w:sz w:val="16"/>
                <w:szCs w:val="16"/>
                <w:lang w:eastAsia="lv-LV"/>
              </w:rPr>
              <w:t>6.</w:t>
            </w:r>
          </w:p>
        </w:tc>
        <w:tc>
          <w:tcPr>
            <w:tcW w:w="3969" w:type="dxa"/>
            <w:shd w:val="clear" w:color="auto" w:fill="auto"/>
            <w:noWrap/>
            <w:vAlign w:val="center"/>
          </w:tcPr>
          <w:p w14:paraId="36040724" w14:textId="7A9E27D1" w:rsidR="0036037E" w:rsidRPr="00B858A4" w:rsidRDefault="0036037E" w:rsidP="0011009A">
            <w:pPr>
              <w:ind w:firstLine="0"/>
              <w:jc w:val="left"/>
              <w:rPr>
                <w:rFonts w:eastAsia="Times New Roman" w:cs="Times New Roman"/>
                <w:b/>
                <w:bCs/>
                <w:color w:val="000000"/>
                <w:sz w:val="18"/>
                <w:szCs w:val="18"/>
                <w:lang w:eastAsia="lv-LV"/>
              </w:rPr>
            </w:pPr>
            <w:r w:rsidRPr="00B858A4">
              <w:rPr>
                <w:rFonts w:eastAsia="Times New Roman" w:cs="Times New Roman"/>
                <w:b/>
                <w:bCs/>
                <w:color w:val="000000"/>
                <w:sz w:val="18"/>
                <w:szCs w:val="18"/>
                <w:lang w:eastAsia="lv-LV"/>
              </w:rPr>
              <w:t xml:space="preserve">vispārējās valdības procentu izdevumi, </w:t>
            </w:r>
            <w:r w:rsidR="0013133A" w:rsidRPr="00B858A4">
              <w:rPr>
                <w:rFonts w:eastAsia="Times New Roman" w:cs="Times New Roman"/>
                <w:b/>
                <w:bCs/>
                <w:iCs/>
                <w:color w:val="000000"/>
                <w:sz w:val="18"/>
                <w:szCs w:val="18"/>
                <w:lang w:eastAsia="lv-LV"/>
              </w:rPr>
              <w:t xml:space="preserve">milj. </w:t>
            </w:r>
            <w:proofErr w:type="spellStart"/>
            <w:r w:rsidR="0013133A" w:rsidRPr="00B858A4">
              <w:rPr>
                <w:rFonts w:eastAsia="Times New Roman" w:cs="Times New Roman"/>
                <w:b/>
                <w:bCs/>
                <w:i/>
                <w:color w:val="000000"/>
                <w:sz w:val="18"/>
                <w:szCs w:val="18"/>
                <w:lang w:eastAsia="lv-LV"/>
              </w:rPr>
              <w:t>euro</w:t>
            </w:r>
            <w:proofErr w:type="spellEnd"/>
            <w:r w:rsidR="0013133A" w:rsidRPr="00B858A4">
              <w:rPr>
                <w:rFonts w:eastAsia="Times New Roman" w:cs="Times New Roman"/>
                <w:b/>
                <w:bCs/>
                <w:i/>
                <w:color w:val="000000"/>
                <w:sz w:val="18"/>
                <w:szCs w:val="18"/>
                <w:lang w:eastAsia="lv-LV"/>
              </w:rPr>
              <w:t xml:space="preserve"> </w:t>
            </w:r>
          </w:p>
        </w:tc>
        <w:tc>
          <w:tcPr>
            <w:tcW w:w="851" w:type="dxa"/>
            <w:shd w:val="clear" w:color="auto" w:fill="auto"/>
            <w:noWrap/>
            <w:vAlign w:val="center"/>
          </w:tcPr>
          <w:p w14:paraId="5392AF04" w14:textId="77777777" w:rsidR="0036037E" w:rsidRPr="00570862" w:rsidRDefault="0036037E" w:rsidP="0011009A">
            <w:pPr>
              <w:ind w:firstLine="0"/>
              <w:jc w:val="center"/>
              <w:rPr>
                <w:rFonts w:cs="Times New Roman"/>
                <w:sz w:val="18"/>
                <w:szCs w:val="18"/>
              </w:rPr>
            </w:pPr>
          </w:p>
        </w:tc>
        <w:tc>
          <w:tcPr>
            <w:tcW w:w="963" w:type="dxa"/>
            <w:shd w:val="clear" w:color="auto" w:fill="auto"/>
            <w:noWrap/>
            <w:vAlign w:val="center"/>
          </w:tcPr>
          <w:p w14:paraId="3D511C79" w14:textId="77777777" w:rsidR="0036037E" w:rsidRPr="00570862" w:rsidRDefault="0036037E" w:rsidP="0011009A">
            <w:pPr>
              <w:ind w:firstLine="0"/>
              <w:jc w:val="center"/>
              <w:rPr>
                <w:rFonts w:cs="Times New Roman"/>
                <w:sz w:val="18"/>
                <w:szCs w:val="18"/>
              </w:rPr>
            </w:pPr>
            <w:r w:rsidRPr="00570862">
              <w:rPr>
                <w:rFonts w:cs="Times New Roman"/>
                <w:sz w:val="18"/>
                <w:szCs w:val="18"/>
              </w:rPr>
              <w:t>535</w:t>
            </w:r>
          </w:p>
        </w:tc>
        <w:tc>
          <w:tcPr>
            <w:tcW w:w="907" w:type="dxa"/>
            <w:shd w:val="clear" w:color="auto" w:fill="FFFFFF" w:themeFill="background1"/>
            <w:noWrap/>
            <w:vAlign w:val="center"/>
          </w:tcPr>
          <w:p w14:paraId="6BBE16A3" w14:textId="77777777" w:rsidR="0036037E" w:rsidRPr="00570862" w:rsidRDefault="0036037E" w:rsidP="0011009A">
            <w:pPr>
              <w:ind w:firstLine="0"/>
              <w:jc w:val="center"/>
              <w:rPr>
                <w:rFonts w:cs="Times New Roman"/>
                <w:sz w:val="18"/>
                <w:szCs w:val="18"/>
              </w:rPr>
            </w:pPr>
            <w:r w:rsidRPr="00570862">
              <w:rPr>
                <w:rFonts w:cs="Times New Roman"/>
                <w:sz w:val="18"/>
                <w:szCs w:val="18"/>
              </w:rPr>
              <w:t>602</w:t>
            </w:r>
          </w:p>
        </w:tc>
        <w:tc>
          <w:tcPr>
            <w:tcW w:w="907" w:type="dxa"/>
            <w:shd w:val="clear" w:color="auto" w:fill="FFFFFF" w:themeFill="background1"/>
            <w:noWrap/>
            <w:vAlign w:val="center"/>
          </w:tcPr>
          <w:p w14:paraId="76774C65" w14:textId="77777777" w:rsidR="0036037E" w:rsidRPr="00570862" w:rsidRDefault="0036037E" w:rsidP="0011009A">
            <w:pPr>
              <w:ind w:firstLine="0"/>
              <w:jc w:val="center"/>
              <w:rPr>
                <w:rFonts w:cs="Times New Roman"/>
                <w:sz w:val="18"/>
                <w:szCs w:val="18"/>
              </w:rPr>
            </w:pPr>
            <w:r w:rsidRPr="00570862">
              <w:rPr>
                <w:rFonts w:cs="Times New Roman"/>
                <w:sz w:val="18"/>
                <w:szCs w:val="18"/>
              </w:rPr>
              <w:t>666</w:t>
            </w:r>
          </w:p>
        </w:tc>
        <w:tc>
          <w:tcPr>
            <w:tcW w:w="907" w:type="dxa"/>
            <w:shd w:val="clear" w:color="auto" w:fill="FFFFFF" w:themeFill="background1"/>
            <w:noWrap/>
            <w:vAlign w:val="center"/>
          </w:tcPr>
          <w:p w14:paraId="59BAAF28" w14:textId="77777777" w:rsidR="0036037E" w:rsidRPr="00570862" w:rsidRDefault="0036037E" w:rsidP="0011009A">
            <w:pPr>
              <w:ind w:firstLine="0"/>
              <w:jc w:val="center"/>
              <w:rPr>
                <w:rFonts w:cs="Times New Roman"/>
                <w:sz w:val="18"/>
                <w:szCs w:val="18"/>
              </w:rPr>
            </w:pPr>
            <w:r w:rsidRPr="00570862">
              <w:rPr>
                <w:rFonts w:cs="Times New Roman"/>
                <w:sz w:val="18"/>
                <w:szCs w:val="18"/>
              </w:rPr>
              <w:t>735</w:t>
            </w:r>
          </w:p>
        </w:tc>
      </w:tr>
      <w:tr w:rsidR="0036037E" w:rsidRPr="00575359" w14:paraId="550635D2" w14:textId="77777777" w:rsidTr="00570862">
        <w:trPr>
          <w:trHeight w:val="300"/>
        </w:trPr>
        <w:tc>
          <w:tcPr>
            <w:tcW w:w="562" w:type="dxa"/>
          </w:tcPr>
          <w:p w14:paraId="3A973ACC" w14:textId="40A77021" w:rsidR="0036037E" w:rsidRPr="00CF68A1" w:rsidRDefault="0036037E" w:rsidP="0011009A">
            <w:pPr>
              <w:ind w:firstLine="0"/>
              <w:jc w:val="left"/>
              <w:rPr>
                <w:rFonts w:eastAsia="Times New Roman" w:cs="Times New Roman"/>
                <w:b/>
                <w:bCs/>
                <w:iCs/>
                <w:color w:val="000000"/>
                <w:sz w:val="16"/>
                <w:szCs w:val="16"/>
                <w:lang w:eastAsia="lv-LV"/>
              </w:rPr>
            </w:pPr>
            <w:r w:rsidRPr="00CF68A1">
              <w:rPr>
                <w:rFonts w:eastAsia="Times New Roman" w:cs="Times New Roman"/>
                <w:b/>
                <w:bCs/>
                <w:iCs/>
                <w:color w:val="000000"/>
                <w:sz w:val="16"/>
                <w:szCs w:val="16"/>
                <w:lang w:eastAsia="lv-LV"/>
              </w:rPr>
              <w:t>7.</w:t>
            </w:r>
          </w:p>
        </w:tc>
        <w:tc>
          <w:tcPr>
            <w:tcW w:w="3969" w:type="dxa"/>
            <w:shd w:val="clear" w:color="auto" w:fill="auto"/>
            <w:noWrap/>
            <w:vAlign w:val="center"/>
          </w:tcPr>
          <w:p w14:paraId="187E8282" w14:textId="18922B63" w:rsidR="0036037E" w:rsidRPr="00B858A4" w:rsidRDefault="0036037E" w:rsidP="0011009A">
            <w:pPr>
              <w:ind w:firstLine="0"/>
              <w:jc w:val="left"/>
              <w:rPr>
                <w:rFonts w:eastAsia="Times New Roman" w:cs="Times New Roman"/>
                <w:b/>
                <w:bCs/>
                <w:color w:val="000000"/>
                <w:sz w:val="18"/>
                <w:szCs w:val="18"/>
                <w:lang w:eastAsia="lv-LV"/>
              </w:rPr>
            </w:pPr>
            <w:r w:rsidRPr="00B858A4">
              <w:rPr>
                <w:rFonts w:eastAsia="Times New Roman" w:cs="Times New Roman"/>
                <w:b/>
                <w:bCs/>
                <w:iCs/>
                <w:color w:val="000000"/>
                <w:sz w:val="18"/>
                <w:szCs w:val="18"/>
                <w:lang w:eastAsia="lv-LV"/>
              </w:rPr>
              <w:t xml:space="preserve">bezdarbnieka pabalstu izdevumu cikliskos elementi, milj. </w:t>
            </w:r>
            <w:proofErr w:type="spellStart"/>
            <w:r w:rsidRPr="00B858A4">
              <w:rPr>
                <w:rFonts w:eastAsia="Times New Roman" w:cs="Times New Roman"/>
                <w:b/>
                <w:bCs/>
                <w:i/>
                <w:color w:val="000000"/>
                <w:sz w:val="18"/>
                <w:szCs w:val="18"/>
                <w:lang w:eastAsia="lv-LV"/>
              </w:rPr>
              <w:t>euro</w:t>
            </w:r>
            <w:proofErr w:type="spellEnd"/>
          </w:p>
        </w:tc>
        <w:tc>
          <w:tcPr>
            <w:tcW w:w="851" w:type="dxa"/>
            <w:shd w:val="clear" w:color="auto" w:fill="auto"/>
            <w:noWrap/>
            <w:vAlign w:val="center"/>
          </w:tcPr>
          <w:p w14:paraId="48617D62" w14:textId="77777777" w:rsidR="0036037E" w:rsidRPr="00570862" w:rsidRDefault="0036037E" w:rsidP="0011009A">
            <w:pPr>
              <w:ind w:firstLine="0"/>
              <w:jc w:val="center"/>
              <w:rPr>
                <w:rFonts w:cs="Times New Roman"/>
                <w:sz w:val="18"/>
                <w:szCs w:val="18"/>
              </w:rPr>
            </w:pPr>
          </w:p>
        </w:tc>
        <w:tc>
          <w:tcPr>
            <w:tcW w:w="963" w:type="dxa"/>
            <w:shd w:val="clear" w:color="auto" w:fill="auto"/>
            <w:noWrap/>
            <w:vAlign w:val="center"/>
          </w:tcPr>
          <w:p w14:paraId="5F13EF5E" w14:textId="77777777" w:rsidR="0036037E" w:rsidRPr="00570862" w:rsidRDefault="0036037E" w:rsidP="0011009A">
            <w:pPr>
              <w:ind w:firstLine="0"/>
              <w:jc w:val="center"/>
              <w:rPr>
                <w:rFonts w:cs="Times New Roman"/>
                <w:sz w:val="18"/>
                <w:szCs w:val="18"/>
              </w:rPr>
            </w:pPr>
            <w:r w:rsidRPr="00570862">
              <w:rPr>
                <w:rFonts w:cs="Times New Roman"/>
                <w:sz w:val="18"/>
                <w:szCs w:val="18"/>
              </w:rPr>
              <w:t>10</w:t>
            </w:r>
          </w:p>
        </w:tc>
        <w:tc>
          <w:tcPr>
            <w:tcW w:w="907" w:type="dxa"/>
            <w:shd w:val="clear" w:color="auto" w:fill="FFFFFF" w:themeFill="background1"/>
            <w:noWrap/>
            <w:vAlign w:val="center"/>
          </w:tcPr>
          <w:p w14:paraId="1AD2D007" w14:textId="77777777" w:rsidR="0036037E" w:rsidRPr="00570862" w:rsidRDefault="0036037E" w:rsidP="0011009A">
            <w:pPr>
              <w:ind w:firstLine="0"/>
              <w:jc w:val="center"/>
              <w:rPr>
                <w:rFonts w:cs="Times New Roman"/>
                <w:sz w:val="18"/>
                <w:szCs w:val="18"/>
              </w:rPr>
            </w:pPr>
            <w:r w:rsidRPr="00570862">
              <w:rPr>
                <w:rFonts w:cs="Times New Roman"/>
                <w:sz w:val="18"/>
                <w:szCs w:val="18"/>
              </w:rPr>
              <w:t>21</w:t>
            </w:r>
          </w:p>
        </w:tc>
        <w:tc>
          <w:tcPr>
            <w:tcW w:w="907" w:type="dxa"/>
            <w:shd w:val="clear" w:color="auto" w:fill="FFFFFF" w:themeFill="background1"/>
            <w:noWrap/>
            <w:vAlign w:val="center"/>
          </w:tcPr>
          <w:p w14:paraId="24835F15" w14:textId="77777777" w:rsidR="0036037E" w:rsidRPr="00570862" w:rsidRDefault="0036037E" w:rsidP="0011009A">
            <w:pPr>
              <w:ind w:firstLine="0"/>
              <w:jc w:val="center"/>
              <w:rPr>
                <w:rFonts w:cs="Times New Roman"/>
                <w:sz w:val="18"/>
                <w:szCs w:val="18"/>
              </w:rPr>
            </w:pPr>
            <w:r w:rsidRPr="00570862">
              <w:rPr>
                <w:rFonts w:cs="Times New Roman"/>
                <w:sz w:val="18"/>
                <w:szCs w:val="18"/>
              </w:rPr>
              <w:t>15</w:t>
            </w:r>
          </w:p>
        </w:tc>
        <w:tc>
          <w:tcPr>
            <w:tcW w:w="907" w:type="dxa"/>
            <w:shd w:val="clear" w:color="auto" w:fill="FFFFFF" w:themeFill="background1"/>
            <w:noWrap/>
            <w:vAlign w:val="center"/>
          </w:tcPr>
          <w:p w14:paraId="5EE3677E" w14:textId="77777777" w:rsidR="0036037E" w:rsidRPr="00570862" w:rsidRDefault="0036037E" w:rsidP="0011009A">
            <w:pPr>
              <w:ind w:firstLine="0"/>
              <w:jc w:val="center"/>
              <w:rPr>
                <w:rFonts w:cs="Times New Roman"/>
                <w:sz w:val="18"/>
                <w:szCs w:val="18"/>
              </w:rPr>
            </w:pPr>
            <w:r w:rsidRPr="00570862">
              <w:rPr>
                <w:rFonts w:cs="Times New Roman"/>
                <w:sz w:val="18"/>
                <w:szCs w:val="18"/>
              </w:rPr>
              <w:t>5</w:t>
            </w:r>
          </w:p>
        </w:tc>
      </w:tr>
      <w:tr w:rsidR="0036037E" w:rsidRPr="00575359" w14:paraId="35963AE1" w14:textId="77777777" w:rsidTr="00570862">
        <w:trPr>
          <w:trHeight w:val="300"/>
        </w:trPr>
        <w:tc>
          <w:tcPr>
            <w:tcW w:w="562" w:type="dxa"/>
          </w:tcPr>
          <w:p w14:paraId="5A1111CF" w14:textId="63386ECE" w:rsidR="0036037E" w:rsidRPr="00CF68A1" w:rsidRDefault="0036037E" w:rsidP="0011009A">
            <w:pPr>
              <w:ind w:firstLine="0"/>
              <w:jc w:val="left"/>
              <w:rPr>
                <w:rFonts w:eastAsia="Times New Roman" w:cs="Times New Roman"/>
                <w:b/>
                <w:bCs/>
                <w:iCs/>
                <w:color w:val="000000"/>
                <w:sz w:val="16"/>
                <w:szCs w:val="16"/>
                <w:lang w:eastAsia="lv-LV"/>
              </w:rPr>
            </w:pPr>
            <w:r w:rsidRPr="00CF68A1">
              <w:rPr>
                <w:rFonts w:eastAsia="Times New Roman" w:cs="Times New Roman"/>
                <w:b/>
                <w:bCs/>
                <w:iCs/>
                <w:color w:val="000000"/>
                <w:sz w:val="16"/>
                <w:szCs w:val="16"/>
                <w:lang w:eastAsia="lv-LV"/>
              </w:rPr>
              <w:t>8.</w:t>
            </w:r>
          </w:p>
        </w:tc>
        <w:tc>
          <w:tcPr>
            <w:tcW w:w="3969" w:type="dxa"/>
            <w:shd w:val="clear" w:color="auto" w:fill="auto"/>
            <w:noWrap/>
            <w:vAlign w:val="center"/>
          </w:tcPr>
          <w:p w14:paraId="6A4BAC74" w14:textId="56B78909" w:rsidR="0036037E" w:rsidRPr="00B858A4" w:rsidRDefault="0036037E" w:rsidP="0011009A">
            <w:pPr>
              <w:ind w:firstLine="0"/>
              <w:jc w:val="left"/>
              <w:rPr>
                <w:rFonts w:eastAsia="Times New Roman" w:cs="Times New Roman"/>
                <w:b/>
                <w:bCs/>
                <w:color w:val="000000"/>
                <w:sz w:val="18"/>
                <w:szCs w:val="18"/>
                <w:lang w:eastAsia="lv-LV"/>
              </w:rPr>
            </w:pPr>
            <w:r w:rsidRPr="00B858A4">
              <w:rPr>
                <w:rFonts w:eastAsia="Times New Roman" w:cs="Times New Roman"/>
                <w:b/>
                <w:bCs/>
                <w:iCs/>
                <w:color w:val="000000"/>
                <w:sz w:val="18"/>
                <w:szCs w:val="18"/>
                <w:lang w:eastAsia="lv-LV"/>
              </w:rPr>
              <w:t xml:space="preserve">izdevumi par ES programmām, kas pilnībā atbilst ES fondu ieņēmumiem, milj. </w:t>
            </w:r>
            <w:proofErr w:type="spellStart"/>
            <w:r w:rsidRPr="00B858A4">
              <w:rPr>
                <w:rFonts w:eastAsia="Times New Roman" w:cs="Times New Roman"/>
                <w:b/>
                <w:bCs/>
                <w:i/>
                <w:color w:val="000000"/>
                <w:sz w:val="18"/>
                <w:szCs w:val="18"/>
                <w:lang w:eastAsia="lv-LV"/>
              </w:rPr>
              <w:t>euro</w:t>
            </w:r>
            <w:proofErr w:type="spellEnd"/>
          </w:p>
        </w:tc>
        <w:tc>
          <w:tcPr>
            <w:tcW w:w="851" w:type="dxa"/>
            <w:shd w:val="clear" w:color="auto" w:fill="auto"/>
            <w:noWrap/>
            <w:vAlign w:val="center"/>
          </w:tcPr>
          <w:p w14:paraId="7423BEF2" w14:textId="77777777" w:rsidR="0036037E" w:rsidRPr="00570862" w:rsidRDefault="0036037E" w:rsidP="0011009A">
            <w:pPr>
              <w:ind w:firstLine="0"/>
              <w:jc w:val="center"/>
              <w:rPr>
                <w:rFonts w:cs="Times New Roman"/>
                <w:sz w:val="18"/>
                <w:szCs w:val="18"/>
              </w:rPr>
            </w:pPr>
          </w:p>
        </w:tc>
        <w:tc>
          <w:tcPr>
            <w:tcW w:w="963" w:type="dxa"/>
            <w:shd w:val="clear" w:color="auto" w:fill="auto"/>
            <w:noWrap/>
            <w:vAlign w:val="center"/>
          </w:tcPr>
          <w:p w14:paraId="1A613DD5" w14:textId="77777777" w:rsidR="0036037E" w:rsidRPr="00570862" w:rsidRDefault="0036037E" w:rsidP="0011009A">
            <w:pPr>
              <w:ind w:firstLine="0"/>
              <w:jc w:val="center"/>
              <w:rPr>
                <w:rFonts w:cs="Times New Roman"/>
                <w:sz w:val="18"/>
                <w:szCs w:val="18"/>
              </w:rPr>
            </w:pPr>
            <w:r w:rsidRPr="00570862">
              <w:rPr>
                <w:rFonts w:cs="Times New Roman"/>
                <w:sz w:val="18"/>
                <w:szCs w:val="18"/>
              </w:rPr>
              <w:t>984</w:t>
            </w:r>
          </w:p>
        </w:tc>
        <w:tc>
          <w:tcPr>
            <w:tcW w:w="907" w:type="dxa"/>
            <w:shd w:val="clear" w:color="auto" w:fill="FFFFFF" w:themeFill="background1"/>
            <w:noWrap/>
            <w:vAlign w:val="center"/>
          </w:tcPr>
          <w:p w14:paraId="1F8DC7DB" w14:textId="77777777" w:rsidR="0036037E" w:rsidRPr="00570862" w:rsidRDefault="0036037E" w:rsidP="0011009A">
            <w:pPr>
              <w:ind w:firstLine="0"/>
              <w:jc w:val="center"/>
              <w:rPr>
                <w:rFonts w:cs="Times New Roman"/>
                <w:sz w:val="18"/>
                <w:szCs w:val="18"/>
              </w:rPr>
            </w:pPr>
            <w:r w:rsidRPr="00570862">
              <w:rPr>
                <w:rFonts w:cs="Times New Roman"/>
                <w:sz w:val="18"/>
                <w:szCs w:val="18"/>
              </w:rPr>
              <w:t>897</w:t>
            </w:r>
          </w:p>
        </w:tc>
        <w:tc>
          <w:tcPr>
            <w:tcW w:w="907" w:type="dxa"/>
            <w:shd w:val="clear" w:color="auto" w:fill="FFFFFF" w:themeFill="background1"/>
            <w:noWrap/>
            <w:vAlign w:val="center"/>
          </w:tcPr>
          <w:p w14:paraId="1D38EE3C" w14:textId="77777777" w:rsidR="0036037E" w:rsidRPr="00570862" w:rsidRDefault="0036037E" w:rsidP="0011009A">
            <w:pPr>
              <w:ind w:firstLine="0"/>
              <w:jc w:val="center"/>
              <w:rPr>
                <w:rFonts w:cs="Times New Roman"/>
                <w:sz w:val="18"/>
                <w:szCs w:val="18"/>
              </w:rPr>
            </w:pPr>
            <w:r w:rsidRPr="00570862">
              <w:rPr>
                <w:rFonts w:cs="Times New Roman"/>
                <w:sz w:val="18"/>
                <w:szCs w:val="18"/>
              </w:rPr>
              <w:t>644</w:t>
            </w:r>
          </w:p>
        </w:tc>
        <w:tc>
          <w:tcPr>
            <w:tcW w:w="907" w:type="dxa"/>
            <w:shd w:val="clear" w:color="auto" w:fill="FFFFFF" w:themeFill="background1"/>
            <w:noWrap/>
            <w:vAlign w:val="center"/>
          </w:tcPr>
          <w:p w14:paraId="2C1826D3" w14:textId="77777777" w:rsidR="0036037E" w:rsidRPr="00570862" w:rsidRDefault="0036037E" w:rsidP="0011009A">
            <w:pPr>
              <w:ind w:firstLine="0"/>
              <w:jc w:val="center"/>
              <w:rPr>
                <w:rFonts w:cs="Times New Roman"/>
                <w:sz w:val="18"/>
                <w:szCs w:val="18"/>
              </w:rPr>
            </w:pPr>
            <w:r w:rsidRPr="00570862">
              <w:rPr>
                <w:rFonts w:cs="Times New Roman"/>
                <w:sz w:val="18"/>
                <w:szCs w:val="18"/>
              </w:rPr>
              <w:t>506</w:t>
            </w:r>
          </w:p>
        </w:tc>
      </w:tr>
      <w:tr w:rsidR="0036037E" w:rsidRPr="00575359" w14:paraId="198724AA" w14:textId="77777777" w:rsidTr="00570862">
        <w:trPr>
          <w:trHeight w:val="300"/>
        </w:trPr>
        <w:tc>
          <w:tcPr>
            <w:tcW w:w="562" w:type="dxa"/>
          </w:tcPr>
          <w:p w14:paraId="7D8FE75A" w14:textId="68A563FD" w:rsidR="0036037E" w:rsidRPr="00CF68A1" w:rsidRDefault="0036037E" w:rsidP="0011009A">
            <w:pPr>
              <w:ind w:firstLine="0"/>
              <w:jc w:val="left"/>
              <w:rPr>
                <w:rFonts w:eastAsia="Times New Roman" w:cs="Times New Roman"/>
                <w:b/>
                <w:bCs/>
                <w:iCs/>
                <w:color w:val="000000"/>
                <w:sz w:val="16"/>
                <w:szCs w:val="16"/>
                <w:lang w:eastAsia="lv-LV"/>
              </w:rPr>
            </w:pPr>
            <w:r w:rsidRPr="00CF68A1">
              <w:rPr>
                <w:rFonts w:eastAsia="Times New Roman" w:cs="Times New Roman"/>
                <w:b/>
                <w:bCs/>
                <w:iCs/>
                <w:color w:val="000000"/>
                <w:sz w:val="16"/>
                <w:szCs w:val="16"/>
                <w:lang w:eastAsia="lv-LV"/>
              </w:rPr>
              <w:t>9.</w:t>
            </w:r>
          </w:p>
        </w:tc>
        <w:tc>
          <w:tcPr>
            <w:tcW w:w="3969" w:type="dxa"/>
            <w:shd w:val="clear" w:color="auto" w:fill="auto"/>
            <w:noWrap/>
            <w:vAlign w:val="center"/>
          </w:tcPr>
          <w:p w14:paraId="5F5D957D" w14:textId="5BE50F7C" w:rsidR="0036037E" w:rsidRPr="00B858A4" w:rsidRDefault="0036037E" w:rsidP="0011009A">
            <w:pPr>
              <w:ind w:firstLine="0"/>
              <w:jc w:val="left"/>
              <w:rPr>
                <w:rFonts w:eastAsia="Times New Roman" w:cs="Times New Roman"/>
                <w:b/>
                <w:bCs/>
                <w:color w:val="000000"/>
                <w:sz w:val="18"/>
                <w:szCs w:val="18"/>
                <w:lang w:eastAsia="lv-LV"/>
              </w:rPr>
            </w:pPr>
            <w:r w:rsidRPr="00B858A4">
              <w:rPr>
                <w:rFonts w:eastAsia="Times New Roman" w:cs="Times New Roman"/>
                <w:b/>
                <w:bCs/>
                <w:iCs/>
                <w:color w:val="000000"/>
                <w:sz w:val="18"/>
                <w:szCs w:val="18"/>
                <w:lang w:eastAsia="lv-LV"/>
              </w:rPr>
              <w:t xml:space="preserve">valsts izdevumi par ES finansēto programmu līdzfinansēšanu, milj. </w:t>
            </w:r>
            <w:proofErr w:type="spellStart"/>
            <w:r w:rsidRPr="00B858A4">
              <w:rPr>
                <w:rFonts w:eastAsia="Times New Roman" w:cs="Times New Roman"/>
                <w:b/>
                <w:bCs/>
                <w:i/>
                <w:color w:val="000000"/>
                <w:sz w:val="18"/>
                <w:szCs w:val="18"/>
                <w:lang w:eastAsia="lv-LV"/>
              </w:rPr>
              <w:t>euro</w:t>
            </w:r>
            <w:proofErr w:type="spellEnd"/>
          </w:p>
        </w:tc>
        <w:tc>
          <w:tcPr>
            <w:tcW w:w="851" w:type="dxa"/>
            <w:shd w:val="clear" w:color="auto" w:fill="auto"/>
            <w:noWrap/>
            <w:vAlign w:val="center"/>
          </w:tcPr>
          <w:p w14:paraId="243CCEC1" w14:textId="77777777" w:rsidR="0036037E" w:rsidRPr="00570862" w:rsidRDefault="0036037E" w:rsidP="0011009A">
            <w:pPr>
              <w:ind w:firstLine="0"/>
              <w:jc w:val="center"/>
              <w:rPr>
                <w:rFonts w:cs="Times New Roman"/>
                <w:sz w:val="18"/>
                <w:szCs w:val="18"/>
              </w:rPr>
            </w:pPr>
          </w:p>
        </w:tc>
        <w:tc>
          <w:tcPr>
            <w:tcW w:w="963" w:type="dxa"/>
            <w:shd w:val="clear" w:color="auto" w:fill="auto"/>
            <w:noWrap/>
            <w:vAlign w:val="center"/>
          </w:tcPr>
          <w:p w14:paraId="4BD47CA2" w14:textId="77777777" w:rsidR="0036037E" w:rsidRPr="00570862" w:rsidRDefault="0036037E" w:rsidP="0011009A">
            <w:pPr>
              <w:ind w:firstLine="0"/>
              <w:jc w:val="center"/>
              <w:rPr>
                <w:rFonts w:cs="Times New Roman"/>
                <w:sz w:val="18"/>
                <w:szCs w:val="18"/>
              </w:rPr>
            </w:pPr>
            <w:r w:rsidRPr="00570862">
              <w:rPr>
                <w:rFonts w:cs="Times New Roman"/>
                <w:sz w:val="18"/>
                <w:szCs w:val="18"/>
              </w:rPr>
              <w:t>404</w:t>
            </w:r>
          </w:p>
        </w:tc>
        <w:tc>
          <w:tcPr>
            <w:tcW w:w="907" w:type="dxa"/>
            <w:shd w:val="clear" w:color="auto" w:fill="FFFFFF" w:themeFill="background1"/>
            <w:noWrap/>
            <w:vAlign w:val="center"/>
          </w:tcPr>
          <w:p w14:paraId="31BE275F" w14:textId="77777777" w:rsidR="0036037E" w:rsidRPr="00570862" w:rsidRDefault="0036037E" w:rsidP="0011009A">
            <w:pPr>
              <w:ind w:firstLine="0"/>
              <w:jc w:val="center"/>
              <w:rPr>
                <w:rFonts w:cs="Times New Roman"/>
                <w:sz w:val="18"/>
                <w:szCs w:val="18"/>
              </w:rPr>
            </w:pPr>
            <w:r w:rsidRPr="00570862">
              <w:rPr>
                <w:rFonts w:cs="Times New Roman"/>
                <w:sz w:val="18"/>
                <w:szCs w:val="18"/>
              </w:rPr>
              <w:t>307</w:t>
            </w:r>
          </w:p>
        </w:tc>
        <w:tc>
          <w:tcPr>
            <w:tcW w:w="907" w:type="dxa"/>
            <w:shd w:val="clear" w:color="auto" w:fill="FFFFFF" w:themeFill="background1"/>
            <w:noWrap/>
            <w:vAlign w:val="center"/>
          </w:tcPr>
          <w:p w14:paraId="66F93D27" w14:textId="77777777" w:rsidR="0036037E" w:rsidRPr="00570862" w:rsidRDefault="0036037E" w:rsidP="0011009A">
            <w:pPr>
              <w:ind w:firstLine="0"/>
              <w:jc w:val="center"/>
              <w:rPr>
                <w:rFonts w:cs="Times New Roman"/>
                <w:sz w:val="18"/>
                <w:szCs w:val="18"/>
              </w:rPr>
            </w:pPr>
            <w:r w:rsidRPr="00570862">
              <w:rPr>
                <w:rFonts w:cs="Times New Roman"/>
                <w:sz w:val="18"/>
                <w:szCs w:val="18"/>
              </w:rPr>
              <w:t>204</w:t>
            </w:r>
          </w:p>
        </w:tc>
        <w:tc>
          <w:tcPr>
            <w:tcW w:w="907" w:type="dxa"/>
            <w:shd w:val="clear" w:color="auto" w:fill="FFFFFF" w:themeFill="background1"/>
            <w:noWrap/>
            <w:vAlign w:val="center"/>
          </w:tcPr>
          <w:p w14:paraId="02ABF29D" w14:textId="77777777" w:rsidR="0036037E" w:rsidRPr="00570862" w:rsidRDefault="0036037E" w:rsidP="0011009A">
            <w:pPr>
              <w:ind w:firstLine="0"/>
              <w:jc w:val="center"/>
              <w:rPr>
                <w:rFonts w:cs="Times New Roman"/>
                <w:sz w:val="18"/>
                <w:szCs w:val="18"/>
              </w:rPr>
            </w:pPr>
            <w:r w:rsidRPr="00570862">
              <w:rPr>
                <w:rFonts w:cs="Times New Roman"/>
                <w:sz w:val="18"/>
                <w:szCs w:val="18"/>
              </w:rPr>
              <w:t>198</w:t>
            </w:r>
          </w:p>
        </w:tc>
      </w:tr>
      <w:tr w:rsidR="0036037E" w:rsidRPr="00575359" w14:paraId="58CDDE03" w14:textId="77777777" w:rsidTr="00570862">
        <w:trPr>
          <w:trHeight w:val="300"/>
        </w:trPr>
        <w:tc>
          <w:tcPr>
            <w:tcW w:w="562" w:type="dxa"/>
          </w:tcPr>
          <w:p w14:paraId="0F02B133" w14:textId="78F49FC1" w:rsidR="0036037E" w:rsidRPr="00CF68A1" w:rsidRDefault="0036037E" w:rsidP="0011009A">
            <w:pPr>
              <w:ind w:firstLine="0"/>
              <w:jc w:val="left"/>
              <w:rPr>
                <w:rFonts w:eastAsia="Times New Roman" w:cs="Times New Roman"/>
                <w:b/>
                <w:bCs/>
                <w:color w:val="000000"/>
                <w:sz w:val="16"/>
                <w:szCs w:val="16"/>
                <w:lang w:eastAsia="lv-LV"/>
              </w:rPr>
            </w:pPr>
            <w:r w:rsidRPr="00CF68A1">
              <w:rPr>
                <w:rFonts w:eastAsia="Times New Roman" w:cs="Times New Roman"/>
                <w:b/>
                <w:bCs/>
                <w:color w:val="000000"/>
                <w:sz w:val="16"/>
                <w:szCs w:val="16"/>
                <w:lang w:eastAsia="lv-LV"/>
              </w:rPr>
              <w:t>10.</w:t>
            </w:r>
          </w:p>
        </w:tc>
        <w:tc>
          <w:tcPr>
            <w:tcW w:w="3969" w:type="dxa"/>
            <w:shd w:val="clear" w:color="auto" w:fill="auto"/>
            <w:noWrap/>
            <w:vAlign w:val="center"/>
          </w:tcPr>
          <w:p w14:paraId="70964701" w14:textId="14AB69B3" w:rsidR="0036037E" w:rsidRPr="00B858A4" w:rsidRDefault="0036037E" w:rsidP="0011009A">
            <w:pPr>
              <w:ind w:firstLine="0"/>
              <w:jc w:val="left"/>
              <w:rPr>
                <w:rFonts w:eastAsia="Times New Roman" w:cs="Times New Roman"/>
                <w:b/>
                <w:bCs/>
                <w:color w:val="000000"/>
                <w:sz w:val="18"/>
                <w:szCs w:val="18"/>
                <w:lang w:eastAsia="lv-LV"/>
              </w:rPr>
            </w:pPr>
            <w:r w:rsidRPr="00B858A4">
              <w:rPr>
                <w:rFonts w:eastAsia="Times New Roman" w:cs="Times New Roman"/>
                <w:b/>
                <w:bCs/>
                <w:color w:val="000000"/>
                <w:sz w:val="18"/>
                <w:szCs w:val="18"/>
                <w:lang w:eastAsia="lv-LV"/>
              </w:rPr>
              <w:t xml:space="preserve">vispārējās valdības kopējie izdevumi, milj. </w:t>
            </w:r>
            <w:proofErr w:type="spellStart"/>
            <w:r w:rsidRPr="00B858A4">
              <w:rPr>
                <w:rFonts w:eastAsia="Times New Roman" w:cs="Times New Roman"/>
                <w:b/>
                <w:bCs/>
                <w:i/>
                <w:iCs/>
                <w:color w:val="000000"/>
                <w:sz w:val="18"/>
                <w:szCs w:val="18"/>
                <w:lang w:eastAsia="lv-LV"/>
              </w:rPr>
              <w:t>euro</w:t>
            </w:r>
            <w:proofErr w:type="spellEnd"/>
          </w:p>
        </w:tc>
        <w:tc>
          <w:tcPr>
            <w:tcW w:w="851" w:type="dxa"/>
            <w:shd w:val="clear" w:color="auto" w:fill="auto"/>
            <w:noWrap/>
            <w:vAlign w:val="center"/>
          </w:tcPr>
          <w:p w14:paraId="502ED983" w14:textId="77777777" w:rsidR="0036037E" w:rsidRPr="00570862" w:rsidRDefault="0036037E" w:rsidP="0011009A">
            <w:pPr>
              <w:ind w:firstLine="0"/>
              <w:jc w:val="center"/>
              <w:rPr>
                <w:rFonts w:cs="Times New Roman"/>
                <w:sz w:val="18"/>
                <w:szCs w:val="18"/>
              </w:rPr>
            </w:pPr>
          </w:p>
        </w:tc>
        <w:tc>
          <w:tcPr>
            <w:tcW w:w="963" w:type="dxa"/>
            <w:shd w:val="clear" w:color="auto" w:fill="auto"/>
            <w:noWrap/>
            <w:vAlign w:val="center"/>
          </w:tcPr>
          <w:p w14:paraId="305B6303" w14:textId="77777777" w:rsidR="0036037E" w:rsidRPr="00570862" w:rsidRDefault="0036037E" w:rsidP="0011009A">
            <w:pPr>
              <w:ind w:firstLine="0"/>
              <w:jc w:val="center"/>
              <w:rPr>
                <w:rFonts w:cs="Times New Roman"/>
                <w:sz w:val="18"/>
                <w:szCs w:val="18"/>
              </w:rPr>
            </w:pPr>
            <w:r w:rsidRPr="00570862">
              <w:rPr>
                <w:rFonts w:cs="Times New Roman"/>
                <w:sz w:val="18"/>
                <w:szCs w:val="18"/>
              </w:rPr>
              <w:t>19 495</w:t>
            </w:r>
          </w:p>
        </w:tc>
        <w:tc>
          <w:tcPr>
            <w:tcW w:w="907" w:type="dxa"/>
            <w:shd w:val="clear" w:color="auto" w:fill="FFFFFF" w:themeFill="background1"/>
            <w:noWrap/>
            <w:vAlign w:val="center"/>
          </w:tcPr>
          <w:p w14:paraId="3CF23D8F" w14:textId="77777777" w:rsidR="0036037E" w:rsidRPr="00570862" w:rsidRDefault="0036037E" w:rsidP="0011009A">
            <w:pPr>
              <w:ind w:firstLine="0"/>
              <w:jc w:val="center"/>
              <w:rPr>
                <w:rFonts w:cs="Times New Roman"/>
                <w:sz w:val="18"/>
                <w:szCs w:val="18"/>
              </w:rPr>
            </w:pPr>
            <w:r w:rsidRPr="00570862">
              <w:rPr>
                <w:rFonts w:cs="Times New Roman"/>
                <w:sz w:val="18"/>
                <w:szCs w:val="18"/>
              </w:rPr>
              <w:t>20 627</w:t>
            </w:r>
          </w:p>
        </w:tc>
        <w:tc>
          <w:tcPr>
            <w:tcW w:w="907" w:type="dxa"/>
            <w:shd w:val="clear" w:color="auto" w:fill="FFFFFF" w:themeFill="background1"/>
            <w:noWrap/>
            <w:vAlign w:val="center"/>
          </w:tcPr>
          <w:p w14:paraId="34307E20" w14:textId="77777777" w:rsidR="0036037E" w:rsidRPr="00570862" w:rsidRDefault="0036037E" w:rsidP="0011009A">
            <w:pPr>
              <w:ind w:firstLine="0"/>
              <w:jc w:val="center"/>
              <w:rPr>
                <w:rFonts w:cs="Times New Roman"/>
                <w:sz w:val="18"/>
                <w:szCs w:val="18"/>
              </w:rPr>
            </w:pPr>
            <w:r w:rsidRPr="00570862">
              <w:rPr>
                <w:rFonts w:cs="Times New Roman"/>
                <w:sz w:val="18"/>
                <w:szCs w:val="18"/>
              </w:rPr>
              <w:t>21 194</w:t>
            </w:r>
          </w:p>
        </w:tc>
        <w:tc>
          <w:tcPr>
            <w:tcW w:w="907" w:type="dxa"/>
            <w:shd w:val="clear" w:color="auto" w:fill="FFFFFF" w:themeFill="background1"/>
            <w:noWrap/>
            <w:vAlign w:val="center"/>
          </w:tcPr>
          <w:p w14:paraId="43637009" w14:textId="77777777" w:rsidR="0036037E" w:rsidRPr="00570862" w:rsidRDefault="0036037E" w:rsidP="0011009A">
            <w:pPr>
              <w:ind w:firstLine="0"/>
              <w:jc w:val="center"/>
              <w:rPr>
                <w:rFonts w:cs="Times New Roman"/>
                <w:sz w:val="18"/>
                <w:szCs w:val="18"/>
              </w:rPr>
            </w:pPr>
            <w:r w:rsidRPr="00570862">
              <w:rPr>
                <w:rFonts w:cs="Times New Roman"/>
                <w:sz w:val="18"/>
                <w:szCs w:val="18"/>
              </w:rPr>
              <w:t>22 118</w:t>
            </w:r>
          </w:p>
        </w:tc>
      </w:tr>
      <w:tr w:rsidR="0036037E" w:rsidRPr="00575359" w14:paraId="4C605B73" w14:textId="77777777" w:rsidTr="00570862">
        <w:trPr>
          <w:trHeight w:val="300"/>
        </w:trPr>
        <w:tc>
          <w:tcPr>
            <w:tcW w:w="562" w:type="dxa"/>
          </w:tcPr>
          <w:p w14:paraId="4EB1E1D9" w14:textId="72EC62EE" w:rsidR="0036037E" w:rsidRPr="00CF68A1" w:rsidRDefault="0036037E" w:rsidP="0011009A">
            <w:pPr>
              <w:ind w:firstLine="0"/>
              <w:jc w:val="left"/>
              <w:rPr>
                <w:rFonts w:eastAsia="Times New Roman" w:cs="Times New Roman"/>
                <w:b/>
                <w:bCs/>
                <w:color w:val="000000"/>
                <w:sz w:val="16"/>
                <w:szCs w:val="16"/>
                <w:lang w:eastAsia="lv-LV"/>
              </w:rPr>
            </w:pPr>
            <w:r w:rsidRPr="00CF68A1">
              <w:rPr>
                <w:rFonts w:eastAsia="Times New Roman" w:cs="Times New Roman"/>
                <w:b/>
                <w:bCs/>
                <w:color w:val="000000"/>
                <w:sz w:val="16"/>
                <w:szCs w:val="16"/>
                <w:lang w:eastAsia="lv-LV"/>
              </w:rPr>
              <w:t>11.</w:t>
            </w:r>
          </w:p>
        </w:tc>
        <w:tc>
          <w:tcPr>
            <w:tcW w:w="3969" w:type="dxa"/>
            <w:shd w:val="clear" w:color="auto" w:fill="auto"/>
            <w:noWrap/>
            <w:vAlign w:val="center"/>
          </w:tcPr>
          <w:p w14:paraId="6CCB03A3" w14:textId="7554BBB4" w:rsidR="0036037E" w:rsidRPr="00B858A4" w:rsidRDefault="0036037E" w:rsidP="0011009A">
            <w:pPr>
              <w:ind w:firstLine="0"/>
              <w:jc w:val="left"/>
              <w:rPr>
                <w:rFonts w:eastAsia="Times New Roman" w:cs="Times New Roman"/>
                <w:b/>
                <w:bCs/>
                <w:color w:val="000000"/>
                <w:sz w:val="18"/>
                <w:szCs w:val="18"/>
                <w:lang w:eastAsia="lv-LV"/>
              </w:rPr>
            </w:pPr>
            <w:r w:rsidRPr="00B858A4">
              <w:rPr>
                <w:rFonts w:eastAsia="Times New Roman" w:cs="Times New Roman"/>
                <w:b/>
                <w:bCs/>
                <w:color w:val="000000"/>
                <w:sz w:val="18"/>
                <w:szCs w:val="18"/>
                <w:lang w:eastAsia="lv-LV"/>
              </w:rPr>
              <w:t xml:space="preserve">vispārējās valdības kopējie ieņēmumi, milj. </w:t>
            </w:r>
            <w:proofErr w:type="spellStart"/>
            <w:r w:rsidRPr="00B858A4">
              <w:rPr>
                <w:rFonts w:eastAsia="Times New Roman" w:cs="Times New Roman"/>
                <w:b/>
                <w:bCs/>
                <w:i/>
                <w:iCs/>
                <w:color w:val="000000"/>
                <w:sz w:val="18"/>
                <w:szCs w:val="18"/>
                <w:lang w:eastAsia="lv-LV"/>
              </w:rPr>
              <w:t>euro</w:t>
            </w:r>
            <w:proofErr w:type="spellEnd"/>
          </w:p>
        </w:tc>
        <w:tc>
          <w:tcPr>
            <w:tcW w:w="851" w:type="dxa"/>
            <w:shd w:val="clear" w:color="auto" w:fill="auto"/>
            <w:noWrap/>
            <w:vAlign w:val="center"/>
          </w:tcPr>
          <w:p w14:paraId="4357694B" w14:textId="77777777" w:rsidR="0036037E" w:rsidRPr="00570862" w:rsidRDefault="0036037E" w:rsidP="0011009A">
            <w:pPr>
              <w:ind w:firstLine="0"/>
              <w:jc w:val="center"/>
              <w:rPr>
                <w:rFonts w:cs="Times New Roman"/>
                <w:sz w:val="18"/>
                <w:szCs w:val="18"/>
              </w:rPr>
            </w:pPr>
          </w:p>
        </w:tc>
        <w:tc>
          <w:tcPr>
            <w:tcW w:w="963" w:type="dxa"/>
            <w:shd w:val="clear" w:color="auto" w:fill="auto"/>
            <w:noWrap/>
            <w:vAlign w:val="center"/>
          </w:tcPr>
          <w:p w14:paraId="0B6F3D70" w14:textId="77777777" w:rsidR="0036037E" w:rsidRPr="00570862" w:rsidRDefault="0036037E" w:rsidP="0011009A">
            <w:pPr>
              <w:ind w:firstLine="0"/>
              <w:jc w:val="center"/>
              <w:rPr>
                <w:rFonts w:cs="Times New Roman"/>
                <w:sz w:val="18"/>
                <w:szCs w:val="18"/>
              </w:rPr>
            </w:pPr>
            <w:r w:rsidRPr="00570862">
              <w:rPr>
                <w:rFonts w:cs="Times New Roman"/>
                <w:sz w:val="18"/>
                <w:szCs w:val="18"/>
              </w:rPr>
              <w:t>17 953</w:t>
            </w:r>
          </w:p>
        </w:tc>
        <w:tc>
          <w:tcPr>
            <w:tcW w:w="907" w:type="dxa"/>
            <w:shd w:val="clear" w:color="auto" w:fill="FFFFFF" w:themeFill="background1"/>
            <w:noWrap/>
            <w:vAlign w:val="center"/>
          </w:tcPr>
          <w:p w14:paraId="4594A756" w14:textId="77777777" w:rsidR="0036037E" w:rsidRPr="00570862" w:rsidRDefault="0036037E" w:rsidP="0011009A">
            <w:pPr>
              <w:ind w:firstLine="0"/>
              <w:jc w:val="center"/>
              <w:rPr>
                <w:rFonts w:cs="Times New Roman"/>
                <w:sz w:val="18"/>
                <w:szCs w:val="18"/>
              </w:rPr>
            </w:pPr>
            <w:r w:rsidRPr="00570862">
              <w:rPr>
                <w:rFonts w:cs="Times New Roman"/>
                <w:sz w:val="18"/>
                <w:szCs w:val="18"/>
              </w:rPr>
              <w:t>18 683</w:t>
            </w:r>
          </w:p>
        </w:tc>
        <w:tc>
          <w:tcPr>
            <w:tcW w:w="907" w:type="dxa"/>
            <w:shd w:val="clear" w:color="auto" w:fill="FFFFFF" w:themeFill="background1"/>
            <w:noWrap/>
            <w:vAlign w:val="center"/>
          </w:tcPr>
          <w:p w14:paraId="72E46A2D" w14:textId="77777777" w:rsidR="0036037E" w:rsidRPr="00570862" w:rsidRDefault="0036037E" w:rsidP="0011009A">
            <w:pPr>
              <w:ind w:firstLine="0"/>
              <w:jc w:val="center"/>
              <w:rPr>
                <w:rFonts w:cs="Times New Roman"/>
                <w:sz w:val="18"/>
                <w:szCs w:val="18"/>
              </w:rPr>
            </w:pPr>
            <w:r w:rsidRPr="00570862">
              <w:rPr>
                <w:rFonts w:cs="Times New Roman"/>
                <w:sz w:val="18"/>
                <w:szCs w:val="18"/>
              </w:rPr>
              <w:t>19 166</w:t>
            </w:r>
          </w:p>
        </w:tc>
        <w:tc>
          <w:tcPr>
            <w:tcW w:w="907" w:type="dxa"/>
            <w:shd w:val="clear" w:color="auto" w:fill="FFFFFF" w:themeFill="background1"/>
            <w:noWrap/>
            <w:vAlign w:val="center"/>
          </w:tcPr>
          <w:p w14:paraId="3FCA3BAE" w14:textId="77777777" w:rsidR="0036037E" w:rsidRPr="00570862" w:rsidRDefault="0036037E" w:rsidP="0011009A">
            <w:pPr>
              <w:ind w:firstLine="0"/>
              <w:jc w:val="center"/>
              <w:rPr>
                <w:rFonts w:cs="Times New Roman"/>
                <w:sz w:val="18"/>
                <w:szCs w:val="18"/>
              </w:rPr>
            </w:pPr>
            <w:r w:rsidRPr="00570862">
              <w:rPr>
                <w:rFonts w:cs="Times New Roman"/>
                <w:sz w:val="18"/>
                <w:szCs w:val="18"/>
              </w:rPr>
              <w:t>19 781</w:t>
            </w:r>
          </w:p>
        </w:tc>
      </w:tr>
      <w:tr w:rsidR="0036037E" w:rsidRPr="00575359" w14:paraId="0B88C022" w14:textId="77777777" w:rsidTr="00570862">
        <w:trPr>
          <w:trHeight w:val="300"/>
        </w:trPr>
        <w:tc>
          <w:tcPr>
            <w:tcW w:w="562" w:type="dxa"/>
          </w:tcPr>
          <w:p w14:paraId="34E609EE" w14:textId="187296ED" w:rsidR="0036037E" w:rsidRPr="00CF68A1" w:rsidRDefault="0036037E" w:rsidP="0011009A">
            <w:pPr>
              <w:ind w:firstLine="0"/>
              <w:jc w:val="left"/>
              <w:rPr>
                <w:rFonts w:eastAsia="Times New Roman" w:cs="Times New Roman"/>
                <w:b/>
                <w:bCs/>
                <w:color w:val="000000"/>
                <w:sz w:val="16"/>
                <w:szCs w:val="16"/>
                <w:lang w:eastAsia="lv-LV"/>
              </w:rPr>
            </w:pPr>
            <w:r w:rsidRPr="00CF68A1">
              <w:rPr>
                <w:rFonts w:eastAsia="Times New Roman" w:cs="Times New Roman"/>
                <w:b/>
                <w:bCs/>
                <w:color w:val="000000"/>
                <w:sz w:val="16"/>
                <w:szCs w:val="16"/>
                <w:lang w:eastAsia="lv-LV"/>
              </w:rPr>
              <w:t>12.</w:t>
            </w:r>
          </w:p>
        </w:tc>
        <w:tc>
          <w:tcPr>
            <w:tcW w:w="3969" w:type="dxa"/>
            <w:shd w:val="clear" w:color="auto" w:fill="auto"/>
            <w:noWrap/>
            <w:vAlign w:val="center"/>
          </w:tcPr>
          <w:p w14:paraId="27A1316E" w14:textId="19322C9C" w:rsidR="0036037E" w:rsidRPr="00B858A4" w:rsidRDefault="0036037E" w:rsidP="0011009A">
            <w:pPr>
              <w:ind w:firstLine="0"/>
              <w:jc w:val="left"/>
              <w:rPr>
                <w:rFonts w:eastAsia="Times New Roman" w:cs="Times New Roman"/>
                <w:b/>
                <w:bCs/>
                <w:color w:val="000000"/>
                <w:sz w:val="18"/>
                <w:szCs w:val="18"/>
                <w:lang w:eastAsia="lv-LV"/>
              </w:rPr>
            </w:pPr>
            <w:r w:rsidRPr="00B858A4">
              <w:rPr>
                <w:rFonts w:eastAsia="Times New Roman" w:cs="Times New Roman"/>
                <w:b/>
                <w:bCs/>
                <w:color w:val="000000"/>
                <w:sz w:val="18"/>
                <w:szCs w:val="18"/>
                <w:lang w:eastAsia="lv-LV"/>
              </w:rPr>
              <w:t xml:space="preserve">vispārējās valdības budžeta bilance, milj. </w:t>
            </w:r>
            <w:proofErr w:type="spellStart"/>
            <w:r w:rsidRPr="00B858A4">
              <w:rPr>
                <w:rFonts w:eastAsia="Times New Roman" w:cs="Times New Roman"/>
                <w:b/>
                <w:bCs/>
                <w:i/>
                <w:iCs/>
                <w:color w:val="000000"/>
                <w:sz w:val="18"/>
                <w:szCs w:val="18"/>
                <w:lang w:eastAsia="lv-LV"/>
              </w:rPr>
              <w:t>euro</w:t>
            </w:r>
            <w:proofErr w:type="spellEnd"/>
          </w:p>
        </w:tc>
        <w:tc>
          <w:tcPr>
            <w:tcW w:w="851" w:type="dxa"/>
            <w:shd w:val="clear" w:color="auto" w:fill="auto"/>
            <w:noWrap/>
            <w:vAlign w:val="center"/>
          </w:tcPr>
          <w:p w14:paraId="6DF21CF4" w14:textId="77777777" w:rsidR="0036037E" w:rsidRPr="00570862" w:rsidRDefault="0036037E" w:rsidP="0011009A">
            <w:pPr>
              <w:ind w:firstLine="0"/>
              <w:jc w:val="center"/>
              <w:rPr>
                <w:rFonts w:cs="Times New Roman"/>
                <w:sz w:val="18"/>
                <w:szCs w:val="18"/>
              </w:rPr>
            </w:pPr>
          </w:p>
        </w:tc>
        <w:tc>
          <w:tcPr>
            <w:tcW w:w="963" w:type="dxa"/>
            <w:shd w:val="clear" w:color="auto" w:fill="auto"/>
            <w:noWrap/>
            <w:vAlign w:val="center"/>
          </w:tcPr>
          <w:p w14:paraId="7C4DAE3B" w14:textId="77777777" w:rsidR="0036037E" w:rsidRPr="00570862" w:rsidRDefault="0036037E" w:rsidP="0011009A">
            <w:pPr>
              <w:ind w:firstLine="0"/>
              <w:jc w:val="center"/>
              <w:rPr>
                <w:rFonts w:cs="Times New Roman"/>
                <w:sz w:val="18"/>
                <w:szCs w:val="18"/>
              </w:rPr>
            </w:pPr>
            <w:r w:rsidRPr="00570862">
              <w:rPr>
                <w:rFonts w:cs="Times New Roman"/>
                <w:sz w:val="18"/>
                <w:szCs w:val="18"/>
              </w:rPr>
              <w:t>-1 542,29</w:t>
            </w:r>
          </w:p>
        </w:tc>
        <w:tc>
          <w:tcPr>
            <w:tcW w:w="907" w:type="dxa"/>
            <w:shd w:val="clear" w:color="auto" w:fill="FFFFFF" w:themeFill="background1"/>
            <w:noWrap/>
            <w:vAlign w:val="center"/>
          </w:tcPr>
          <w:p w14:paraId="4B21F55C" w14:textId="77777777" w:rsidR="0036037E" w:rsidRPr="00570862" w:rsidRDefault="0036037E" w:rsidP="0011009A">
            <w:pPr>
              <w:ind w:firstLine="0"/>
              <w:jc w:val="center"/>
              <w:rPr>
                <w:rFonts w:cs="Times New Roman"/>
                <w:sz w:val="18"/>
                <w:szCs w:val="18"/>
              </w:rPr>
            </w:pPr>
            <w:r w:rsidRPr="00570862">
              <w:rPr>
                <w:rFonts w:cs="Times New Roman"/>
                <w:sz w:val="18"/>
                <w:szCs w:val="18"/>
              </w:rPr>
              <w:t>-1 943,46</w:t>
            </w:r>
          </w:p>
        </w:tc>
        <w:tc>
          <w:tcPr>
            <w:tcW w:w="907" w:type="dxa"/>
            <w:shd w:val="clear" w:color="auto" w:fill="FFFFFF" w:themeFill="background1"/>
            <w:noWrap/>
            <w:vAlign w:val="center"/>
          </w:tcPr>
          <w:p w14:paraId="70CEA1DC" w14:textId="77777777" w:rsidR="0036037E" w:rsidRPr="00570862" w:rsidRDefault="0036037E" w:rsidP="0011009A">
            <w:pPr>
              <w:ind w:firstLine="0"/>
              <w:jc w:val="center"/>
              <w:rPr>
                <w:rFonts w:cs="Times New Roman"/>
                <w:sz w:val="18"/>
                <w:szCs w:val="18"/>
              </w:rPr>
            </w:pPr>
            <w:r w:rsidRPr="00570862">
              <w:rPr>
                <w:rFonts w:cs="Times New Roman"/>
                <w:sz w:val="18"/>
                <w:szCs w:val="18"/>
              </w:rPr>
              <w:t>-2 028,08</w:t>
            </w:r>
          </w:p>
        </w:tc>
        <w:tc>
          <w:tcPr>
            <w:tcW w:w="907" w:type="dxa"/>
            <w:shd w:val="clear" w:color="auto" w:fill="FFFFFF" w:themeFill="background1"/>
            <w:noWrap/>
            <w:vAlign w:val="center"/>
          </w:tcPr>
          <w:p w14:paraId="42247426" w14:textId="77777777" w:rsidR="0036037E" w:rsidRPr="00570862" w:rsidRDefault="0036037E" w:rsidP="0011009A">
            <w:pPr>
              <w:ind w:firstLine="0"/>
              <w:jc w:val="center"/>
              <w:rPr>
                <w:rFonts w:cs="Times New Roman"/>
                <w:sz w:val="18"/>
                <w:szCs w:val="18"/>
              </w:rPr>
            </w:pPr>
            <w:r w:rsidRPr="00570862">
              <w:rPr>
                <w:rFonts w:cs="Times New Roman"/>
                <w:sz w:val="18"/>
                <w:szCs w:val="18"/>
              </w:rPr>
              <w:t>-2 337,67</w:t>
            </w:r>
          </w:p>
        </w:tc>
      </w:tr>
      <w:tr w:rsidR="0036037E" w:rsidRPr="00575359" w14:paraId="3B58DBD7" w14:textId="77777777" w:rsidTr="00570862">
        <w:trPr>
          <w:trHeight w:val="300"/>
        </w:trPr>
        <w:tc>
          <w:tcPr>
            <w:tcW w:w="562" w:type="dxa"/>
          </w:tcPr>
          <w:p w14:paraId="41E8F3C9" w14:textId="57C5EDE6" w:rsidR="0036037E" w:rsidRPr="00CF68A1" w:rsidRDefault="0036037E" w:rsidP="0011009A">
            <w:pPr>
              <w:ind w:firstLine="0"/>
              <w:jc w:val="left"/>
              <w:rPr>
                <w:rFonts w:eastAsia="Times New Roman" w:cs="Times New Roman"/>
                <w:b/>
                <w:bCs/>
                <w:color w:val="000000"/>
                <w:sz w:val="16"/>
                <w:szCs w:val="16"/>
                <w:lang w:eastAsia="lv-LV"/>
              </w:rPr>
            </w:pPr>
            <w:r w:rsidRPr="00CF68A1">
              <w:rPr>
                <w:rFonts w:eastAsia="Times New Roman" w:cs="Times New Roman"/>
                <w:b/>
                <w:bCs/>
                <w:color w:val="000000"/>
                <w:sz w:val="16"/>
                <w:szCs w:val="16"/>
                <w:lang w:eastAsia="lv-LV"/>
              </w:rPr>
              <w:t>13.</w:t>
            </w:r>
          </w:p>
        </w:tc>
        <w:tc>
          <w:tcPr>
            <w:tcW w:w="3969" w:type="dxa"/>
            <w:shd w:val="clear" w:color="auto" w:fill="auto"/>
            <w:noWrap/>
            <w:vAlign w:val="center"/>
          </w:tcPr>
          <w:p w14:paraId="183F822A" w14:textId="7817BE35" w:rsidR="0036037E" w:rsidRPr="00B858A4" w:rsidRDefault="0036037E" w:rsidP="0011009A">
            <w:pPr>
              <w:ind w:firstLine="0"/>
              <w:jc w:val="left"/>
              <w:rPr>
                <w:rFonts w:eastAsia="Times New Roman" w:cs="Times New Roman"/>
                <w:b/>
                <w:bCs/>
                <w:color w:val="000000"/>
                <w:sz w:val="18"/>
                <w:szCs w:val="18"/>
                <w:lang w:eastAsia="lv-LV"/>
              </w:rPr>
            </w:pPr>
            <w:r w:rsidRPr="00B858A4">
              <w:rPr>
                <w:rFonts w:eastAsia="Times New Roman" w:cs="Times New Roman"/>
                <w:b/>
                <w:bCs/>
                <w:color w:val="000000"/>
                <w:sz w:val="18"/>
                <w:szCs w:val="18"/>
                <w:lang w:eastAsia="lv-LV"/>
              </w:rPr>
              <w:t>vispārējās valdības budžeta bilance, % no IKP</w:t>
            </w:r>
          </w:p>
        </w:tc>
        <w:tc>
          <w:tcPr>
            <w:tcW w:w="851" w:type="dxa"/>
            <w:shd w:val="clear" w:color="auto" w:fill="auto"/>
            <w:noWrap/>
            <w:vAlign w:val="center"/>
          </w:tcPr>
          <w:p w14:paraId="5771465F" w14:textId="77777777" w:rsidR="0036037E" w:rsidRPr="00570862" w:rsidRDefault="0036037E" w:rsidP="0011009A">
            <w:pPr>
              <w:ind w:firstLine="0"/>
              <w:jc w:val="center"/>
              <w:rPr>
                <w:rFonts w:eastAsia="Times New Roman" w:cs="Times New Roman"/>
                <w:sz w:val="18"/>
                <w:szCs w:val="18"/>
                <w:lang w:eastAsia="lv-LV"/>
              </w:rPr>
            </w:pPr>
          </w:p>
        </w:tc>
        <w:tc>
          <w:tcPr>
            <w:tcW w:w="963" w:type="dxa"/>
            <w:shd w:val="clear" w:color="auto" w:fill="auto"/>
            <w:noWrap/>
            <w:vAlign w:val="center"/>
          </w:tcPr>
          <w:p w14:paraId="2FA57E6F" w14:textId="77777777" w:rsidR="0036037E" w:rsidRPr="00570862" w:rsidRDefault="0036037E" w:rsidP="0011009A">
            <w:pPr>
              <w:ind w:firstLine="0"/>
              <w:jc w:val="center"/>
              <w:rPr>
                <w:rFonts w:eastAsia="Times New Roman" w:cs="Times New Roman"/>
                <w:b/>
                <w:bCs/>
                <w:sz w:val="18"/>
                <w:szCs w:val="18"/>
                <w:lang w:eastAsia="lv-LV"/>
              </w:rPr>
            </w:pPr>
            <w:r w:rsidRPr="00570862">
              <w:rPr>
                <w:rFonts w:cs="Times New Roman"/>
                <w:b/>
                <w:bCs/>
                <w:sz w:val="18"/>
                <w:szCs w:val="18"/>
              </w:rPr>
              <w:t>-3,462</w:t>
            </w:r>
          </w:p>
        </w:tc>
        <w:tc>
          <w:tcPr>
            <w:tcW w:w="907" w:type="dxa"/>
            <w:shd w:val="clear" w:color="auto" w:fill="FFFFFF" w:themeFill="background1"/>
            <w:noWrap/>
            <w:vAlign w:val="center"/>
          </w:tcPr>
          <w:p w14:paraId="7AF02C95" w14:textId="77777777" w:rsidR="0036037E" w:rsidRPr="00570862" w:rsidRDefault="0036037E" w:rsidP="0011009A">
            <w:pPr>
              <w:ind w:firstLine="0"/>
              <w:jc w:val="center"/>
              <w:rPr>
                <w:rFonts w:eastAsia="Times New Roman" w:cs="Times New Roman"/>
                <w:sz w:val="18"/>
                <w:szCs w:val="18"/>
                <w:lang w:eastAsia="lv-LV"/>
              </w:rPr>
            </w:pPr>
            <w:r w:rsidRPr="00570862">
              <w:rPr>
                <w:rFonts w:cs="Times New Roman"/>
                <w:b/>
                <w:bCs/>
                <w:sz w:val="18"/>
                <w:szCs w:val="18"/>
              </w:rPr>
              <w:t>-4,143</w:t>
            </w:r>
          </w:p>
        </w:tc>
        <w:tc>
          <w:tcPr>
            <w:tcW w:w="907" w:type="dxa"/>
            <w:shd w:val="clear" w:color="auto" w:fill="FFFFFF" w:themeFill="background1"/>
            <w:noWrap/>
            <w:vAlign w:val="center"/>
          </w:tcPr>
          <w:p w14:paraId="6AEB3C2C" w14:textId="77777777" w:rsidR="0036037E" w:rsidRPr="00570862" w:rsidRDefault="0036037E" w:rsidP="0011009A">
            <w:pPr>
              <w:ind w:firstLine="0"/>
              <w:jc w:val="center"/>
              <w:rPr>
                <w:rFonts w:eastAsia="Times New Roman" w:cs="Times New Roman"/>
                <w:sz w:val="18"/>
                <w:szCs w:val="18"/>
                <w:lang w:eastAsia="lv-LV"/>
              </w:rPr>
            </w:pPr>
            <w:r w:rsidRPr="00570862">
              <w:rPr>
                <w:rFonts w:cs="Times New Roman"/>
                <w:b/>
                <w:bCs/>
                <w:sz w:val="18"/>
                <w:szCs w:val="18"/>
              </w:rPr>
              <w:t>-4,115</w:t>
            </w:r>
          </w:p>
        </w:tc>
        <w:tc>
          <w:tcPr>
            <w:tcW w:w="907" w:type="dxa"/>
            <w:shd w:val="clear" w:color="auto" w:fill="FFFFFF" w:themeFill="background1"/>
            <w:noWrap/>
            <w:vAlign w:val="center"/>
          </w:tcPr>
          <w:p w14:paraId="5D70617D" w14:textId="77777777" w:rsidR="0036037E" w:rsidRPr="00570862" w:rsidRDefault="0036037E" w:rsidP="0011009A">
            <w:pPr>
              <w:ind w:firstLine="0"/>
              <w:jc w:val="center"/>
              <w:rPr>
                <w:rFonts w:eastAsia="Times New Roman" w:cs="Times New Roman"/>
                <w:sz w:val="18"/>
                <w:szCs w:val="18"/>
                <w:lang w:eastAsia="lv-LV"/>
              </w:rPr>
            </w:pPr>
            <w:r w:rsidRPr="00570862">
              <w:rPr>
                <w:rFonts w:cs="Times New Roman"/>
                <w:b/>
                <w:bCs/>
                <w:sz w:val="18"/>
                <w:szCs w:val="18"/>
              </w:rPr>
              <w:t>-4,515</w:t>
            </w:r>
          </w:p>
        </w:tc>
      </w:tr>
      <w:tr w:rsidR="0036037E" w:rsidRPr="00575359" w14:paraId="08F1A2D1" w14:textId="77777777" w:rsidTr="00570862">
        <w:trPr>
          <w:trHeight w:val="300"/>
        </w:trPr>
        <w:tc>
          <w:tcPr>
            <w:tcW w:w="562" w:type="dxa"/>
          </w:tcPr>
          <w:p w14:paraId="6246B3D6" w14:textId="3AAE7556" w:rsidR="0036037E" w:rsidRPr="00CF68A1" w:rsidRDefault="0036037E" w:rsidP="0011009A">
            <w:pPr>
              <w:ind w:firstLine="0"/>
              <w:jc w:val="left"/>
              <w:rPr>
                <w:rFonts w:eastAsia="Times New Roman" w:cs="Times New Roman"/>
                <w:b/>
                <w:bCs/>
                <w:color w:val="000000"/>
                <w:sz w:val="16"/>
                <w:szCs w:val="16"/>
                <w:lang w:eastAsia="lv-LV"/>
              </w:rPr>
            </w:pPr>
            <w:r w:rsidRPr="00CF68A1">
              <w:rPr>
                <w:rFonts w:eastAsia="Times New Roman" w:cs="Times New Roman"/>
                <w:b/>
                <w:bCs/>
                <w:color w:val="000000"/>
                <w:sz w:val="16"/>
                <w:szCs w:val="16"/>
                <w:lang w:eastAsia="lv-LV"/>
              </w:rPr>
              <w:t>14.</w:t>
            </w:r>
          </w:p>
        </w:tc>
        <w:tc>
          <w:tcPr>
            <w:tcW w:w="3969" w:type="dxa"/>
            <w:shd w:val="clear" w:color="auto" w:fill="auto"/>
            <w:noWrap/>
            <w:vAlign w:val="center"/>
          </w:tcPr>
          <w:p w14:paraId="5AF6A25E" w14:textId="3D82751B" w:rsidR="0036037E" w:rsidRPr="00B858A4" w:rsidRDefault="00553F09" w:rsidP="0011009A">
            <w:pPr>
              <w:ind w:firstLine="0"/>
              <w:jc w:val="left"/>
              <w:rPr>
                <w:rFonts w:eastAsia="Times New Roman" w:cs="Times New Roman"/>
                <w:b/>
                <w:bCs/>
                <w:color w:val="000000"/>
                <w:sz w:val="18"/>
                <w:szCs w:val="18"/>
                <w:lang w:eastAsia="lv-LV"/>
              </w:rPr>
            </w:pPr>
            <w:r w:rsidRPr="00553F09">
              <w:rPr>
                <w:rFonts w:eastAsia="Times New Roman" w:cs="Times New Roman"/>
                <w:b/>
                <w:bCs/>
                <w:color w:val="000000"/>
                <w:sz w:val="18"/>
                <w:szCs w:val="18"/>
                <w:lang w:eastAsia="lv-LV"/>
              </w:rPr>
              <w:t>bilances cikliskā komponente, % no IKP</w:t>
            </w:r>
          </w:p>
        </w:tc>
        <w:tc>
          <w:tcPr>
            <w:tcW w:w="851" w:type="dxa"/>
            <w:shd w:val="clear" w:color="auto" w:fill="auto"/>
            <w:noWrap/>
            <w:vAlign w:val="center"/>
          </w:tcPr>
          <w:p w14:paraId="42BFD321" w14:textId="77777777" w:rsidR="0036037E" w:rsidRPr="00570862" w:rsidRDefault="0036037E" w:rsidP="0011009A">
            <w:pPr>
              <w:ind w:firstLine="0"/>
              <w:jc w:val="center"/>
              <w:rPr>
                <w:rFonts w:eastAsia="Times New Roman" w:cs="Times New Roman"/>
                <w:sz w:val="18"/>
                <w:szCs w:val="18"/>
                <w:lang w:eastAsia="lv-LV"/>
              </w:rPr>
            </w:pPr>
          </w:p>
        </w:tc>
        <w:tc>
          <w:tcPr>
            <w:tcW w:w="963" w:type="dxa"/>
            <w:shd w:val="clear" w:color="auto" w:fill="auto"/>
            <w:noWrap/>
            <w:vAlign w:val="center"/>
          </w:tcPr>
          <w:p w14:paraId="541370CE" w14:textId="50D35A35" w:rsidR="0036037E" w:rsidRPr="00570862" w:rsidRDefault="0036037E" w:rsidP="0011009A">
            <w:pPr>
              <w:ind w:firstLine="0"/>
              <w:jc w:val="center"/>
              <w:rPr>
                <w:rFonts w:cs="Times New Roman"/>
                <w:sz w:val="18"/>
                <w:szCs w:val="18"/>
              </w:rPr>
            </w:pPr>
            <w:r w:rsidRPr="00570862">
              <w:rPr>
                <w:rFonts w:cs="Times New Roman"/>
                <w:sz w:val="18"/>
                <w:szCs w:val="18"/>
              </w:rPr>
              <w:t>-0,</w:t>
            </w:r>
            <w:r w:rsidR="00553F09">
              <w:rPr>
                <w:rFonts w:cs="Times New Roman"/>
                <w:sz w:val="18"/>
                <w:szCs w:val="18"/>
              </w:rPr>
              <w:t>13</w:t>
            </w:r>
          </w:p>
        </w:tc>
        <w:tc>
          <w:tcPr>
            <w:tcW w:w="907" w:type="dxa"/>
            <w:shd w:val="clear" w:color="auto" w:fill="FFFFFF" w:themeFill="background1"/>
            <w:noWrap/>
            <w:vAlign w:val="center"/>
          </w:tcPr>
          <w:p w14:paraId="08DB642F" w14:textId="5E0D6DB3" w:rsidR="0036037E" w:rsidRPr="00570862" w:rsidRDefault="00553F09" w:rsidP="0011009A">
            <w:pPr>
              <w:ind w:firstLine="0"/>
              <w:jc w:val="center"/>
              <w:rPr>
                <w:rFonts w:cs="Times New Roman"/>
                <w:sz w:val="18"/>
                <w:szCs w:val="18"/>
              </w:rPr>
            </w:pPr>
            <w:r>
              <w:rPr>
                <w:rFonts w:cs="Times New Roman"/>
                <w:sz w:val="18"/>
                <w:szCs w:val="18"/>
              </w:rPr>
              <w:t>-</w:t>
            </w:r>
            <w:r w:rsidR="0036037E" w:rsidRPr="00570862">
              <w:rPr>
                <w:rFonts w:cs="Times New Roman"/>
                <w:sz w:val="18"/>
                <w:szCs w:val="18"/>
              </w:rPr>
              <w:t>0,0</w:t>
            </w:r>
            <w:r>
              <w:rPr>
                <w:rFonts w:cs="Times New Roman"/>
                <w:sz w:val="18"/>
                <w:szCs w:val="18"/>
              </w:rPr>
              <w:t>2</w:t>
            </w:r>
          </w:p>
        </w:tc>
        <w:tc>
          <w:tcPr>
            <w:tcW w:w="907" w:type="dxa"/>
            <w:shd w:val="clear" w:color="auto" w:fill="FFFFFF" w:themeFill="background1"/>
            <w:noWrap/>
            <w:vAlign w:val="center"/>
          </w:tcPr>
          <w:p w14:paraId="639F0E47" w14:textId="5AFCE44A" w:rsidR="0036037E" w:rsidRPr="00570862" w:rsidRDefault="0036037E" w:rsidP="0011009A">
            <w:pPr>
              <w:ind w:firstLine="0"/>
              <w:jc w:val="center"/>
              <w:rPr>
                <w:rFonts w:cs="Times New Roman"/>
                <w:sz w:val="18"/>
                <w:szCs w:val="18"/>
              </w:rPr>
            </w:pPr>
            <w:r w:rsidRPr="00570862">
              <w:rPr>
                <w:rFonts w:cs="Times New Roman"/>
                <w:sz w:val="18"/>
                <w:szCs w:val="18"/>
              </w:rPr>
              <w:t>0,0</w:t>
            </w:r>
          </w:p>
        </w:tc>
        <w:tc>
          <w:tcPr>
            <w:tcW w:w="907" w:type="dxa"/>
            <w:shd w:val="clear" w:color="auto" w:fill="FFFFFF" w:themeFill="background1"/>
            <w:noWrap/>
            <w:vAlign w:val="center"/>
          </w:tcPr>
          <w:p w14:paraId="67F3A444" w14:textId="77777777" w:rsidR="0036037E" w:rsidRPr="00570862" w:rsidRDefault="0036037E" w:rsidP="0011009A">
            <w:pPr>
              <w:ind w:firstLine="0"/>
              <w:jc w:val="center"/>
              <w:rPr>
                <w:rFonts w:cs="Times New Roman"/>
                <w:sz w:val="18"/>
                <w:szCs w:val="18"/>
              </w:rPr>
            </w:pPr>
            <w:r w:rsidRPr="00570862">
              <w:rPr>
                <w:rFonts w:cs="Times New Roman"/>
                <w:sz w:val="18"/>
                <w:szCs w:val="18"/>
              </w:rPr>
              <w:t>0,0</w:t>
            </w:r>
          </w:p>
        </w:tc>
      </w:tr>
      <w:tr w:rsidR="00570862" w:rsidRPr="00CF6C5C" w14:paraId="64AC946C" w14:textId="77777777" w:rsidTr="00570862">
        <w:trPr>
          <w:trHeight w:val="300"/>
        </w:trPr>
        <w:tc>
          <w:tcPr>
            <w:tcW w:w="562" w:type="dxa"/>
            <w:shd w:val="clear" w:color="auto" w:fill="BDD6EE" w:themeFill="accent1" w:themeFillTint="66"/>
          </w:tcPr>
          <w:p w14:paraId="0E05CF8C" w14:textId="66230067" w:rsidR="0036037E" w:rsidRPr="00CF68A1" w:rsidRDefault="0036037E" w:rsidP="0011009A">
            <w:pPr>
              <w:ind w:firstLine="0"/>
              <w:jc w:val="left"/>
              <w:rPr>
                <w:b/>
                <w:bCs/>
                <w:color w:val="000000"/>
                <w:sz w:val="16"/>
                <w:szCs w:val="16"/>
              </w:rPr>
            </w:pPr>
            <w:r w:rsidRPr="00CF68A1">
              <w:rPr>
                <w:b/>
                <w:bCs/>
                <w:color w:val="000000"/>
                <w:sz w:val="16"/>
                <w:szCs w:val="16"/>
              </w:rPr>
              <w:t>15.</w:t>
            </w:r>
          </w:p>
        </w:tc>
        <w:tc>
          <w:tcPr>
            <w:tcW w:w="3969" w:type="dxa"/>
            <w:shd w:val="clear" w:color="auto" w:fill="BDD6EE" w:themeFill="accent1" w:themeFillTint="66"/>
            <w:noWrap/>
            <w:vAlign w:val="center"/>
          </w:tcPr>
          <w:p w14:paraId="38FFE4CC" w14:textId="4D6DF2BB" w:rsidR="0036037E" w:rsidRPr="00B858A4" w:rsidRDefault="0036037E" w:rsidP="0011009A">
            <w:pPr>
              <w:ind w:firstLine="0"/>
              <w:jc w:val="left"/>
              <w:rPr>
                <w:rFonts w:eastAsia="Times New Roman" w:cs="Times New Roman"/>
                <w:b/>
                <w:bCs/>
                <w:color w:val="000000"/>
                <w:sz w:val="18"/>
                <w:szCs w:val="18"/>
                <w:lang w:eastAsia="lv-LV"/>
              </w:rPr>
            </w:pPr>
            <w:r w:rsidRPr="00B858A4">
              <w:rPr>
                <w:b/>
                <w:bCs/>
                <w:color w:val="000000"/>
                <w:sz w:val="18"/>
                <w:szCs w:val="18"/>
              </w:rPr>
              <w:t>vispārējās valdības strukturālās bilances prognoze un mērķi, % no IKP</w:t>
            </w:r>
          </w:p>
        </w:tc>
        <w:tc>
          <w:tcPr>
            <w:tcW w:w="851" w:type="dxa"/>
            <w:shd w:val="clear" w:color="auto" w:fill="BDD6EE" w:themeFill="accent1" w:themeFillTint="66"/>
            <w:noWrap/>
            <w:vAlign w:val="center"/>
          </w:tcPr>
          <w:p w14:paraId="4BF93AC7" w14:textId="77777777" w:rsidR="0036037E" w:rsidRPr="00570862" w:rsidRDefault="0036037E" w:rsidP="0011009A">
            <w:pPr>
              <w:ind w:firstLine="0"/>
              <w:jc w:val="center"/>
              <w:rPr>
                <w:rFonts w:eastAsia="Times New Roman" w:cs="Times New Roman"/>
                <w:b/>
                <w:bCs/>
                <w:sz w:val="18"/>
                <w:szCs w:val="18"/>
                <w:lang w:eastAsia="lv-LV"/>
              </w:rPr>
            </w:pPr>
          </w:p>
        </w:tc>
        <w:tc>
          <w:tcPr>
            <w:tcW w:w="963" w:type="dxa"/>
            <w:shd w:val="clear" w:color="auto" w:fill="BDD6EE" w:themeFill="accent1" w:themeFillTint="66"/>
            <w:noWrap/>
            <w:vAlign w:val="center"/>
          </w:tcPr>
          <w:p w14:paraId="3350C7E0" w14:textId="57389572" w:rsidR="0036037E" w:rsidRPr="00570862" w:rsidRDefault="0036037E" w:rsidP="0011009A">
            <w:pPr>
              <w:ind w:firstLine="0"/>
              <w:jc w:val="center"/>
              <w:rPr>
                <w:rFonts w:eastAsia="Times New Roman" w:cs="Times New Roman"/>
                <w:b/>
                <w:bCs/>
                <w:sz w:val="18"/>
                <w:szCs w:val="18"/>
                <w:lang w:eastAsia="lv-LV"/>
              </w:rPr>
            </w:pPr>
            <w:r w:rsidRPr="00570862">
              <w:rPr>
                <w:rFonts w:cs="Times New Roman"/>
                <w:b/>
                <w:bCs/>
                <w:sz w:val="18"/>
                <w:szCs w:val="18"/>
              </w:rPr>
              <w:t>-1,</w:t>
            </w:r>
            <w:r w:rsidR="00553F09">
              <w:rPr>
                <w:rFonts w:cs="Times New Roman"/>
                <w:b/>
                <w:bCs/>
                <w:sz w:val="18"/>
                <w:szCs w:val="18"/>
              </w:rPr>
              <w:t>752</w:t>
            </w:r>
          </w:p>
        </w:tc>
        <w:tc>
          <w:tcPr>
            <w:tcW w:w="907" w:type="dxa"/>
            <w:shd w:val="clear" w:color="auto" w:fill="BDD6EE" w:themeFill="accent1" w:themeFillTint="66"/>
            <w:noWrap/>
            <w:vAlign w:val="center"/>
          </w:tcPr>
          <w:p w14:paraId="3D109F36" w14:textId="30CA095C" w:rsidR="0036037E" w:rsidRPr="00570862" w:rsidRDefault="0036037E" w:rsidP="0011009A">
            <w:pPr>
              <w:ind w:firstLine="0"/>
              <w:jc w:val="center"/>
              <w:rPr>
                <w:rFonts w:eastAsia="Times New Roman" w:cs="Times New Roman"/>
                <w:b/>
                <w:bCs/>
                <w:sz w:val="18"/>
                <w:szCs w:val="18"/>
                <w:lang w:eastAsia="lv-LV"/>
              </w:rPr>
            </w:pPr>
            <w:r w:rsidRPr="00570862">
              <w:rPr>
                <w:rFonts w:cs="Times New Roman"/>
                <w:b/>
                <w:bCs/>
                <w:sz w:val="18"/>
                <w:szCs w:val="18"/>
              </w:rPr>
              <w:t>-2,4</w:t>
            </w:r>
            <w:r w:rsidR="00553F09">
              <w:rPr>
                <w:rFonts w:cs="Times New Roman"/>
                <w:b/>
                <w:bCs/>
                <w:sz w:val="18"/>
                <w:szCs w:val="18"/>
              </w:rPr>
              <w:t>81</w:t>
            </w:r>
          </w:p>
        </w:tc>
        <w:tc>
          <w:tcPr>
            <w:tcW w:w="907" w:type="dxa"/>
            <w:shd w:val="clear" w:color="auto" w:fill="BDD6EE" w:themeFill="accent1" w:themeFillTint="66"/>
            <w:noWrap/>
            <w:vAlign w:val="center"/>
          </w:tcPr>
          <w:p w14:paraId="41B8B55B" w14:textId="51D5EB2F" w:rsidR="0036037E" w:rsidRPr="00570862" w:rsidRDefault="0036037E" w:rsidP="0011009A">
            <w:pPr>
              <w:ind w:firstLine="0"/>
              <w:jc w:val="center"/>
              <w:rPr>
                <w:rFonts w:eastAsia="Times New Roman" w:cs="Times New Roman"/>
                <w:b/>
                <w:bCs/>
                <w:sz w:val="18"/>
                <w:szCs w:val="18"/>
                <w:lang w:eastAsia="lv-LV"/>
              </w:rPr>
            </w:pPr>
            <w:r w:rsidRPr="00570862">
              <w:rPr>
                <w:rFonts w:cs="Times New Roman"/>
                <w:b/>
                <w:bCs/>
                <w:sz w:val="18"/>
                <w:szCs w:val="18"/>
              </w:rPr>
              <w:t>-2,6</w:t>
            </w:r>
            <w:r w:rsidR="00553F09">
              <w:rPr>
                <w:rFonts w:cs="Times New Roman"/>
                <w:b/>
                <w:bCs/>
                <w:sz w:val="18"/>
                <w:szCs w:val="18"/>
              </w:rPr>
              <w:t>32</w:t>
            </w:r>
          </w:p>
        </w:tc>
        <w:tc>
          <w:tcPr>
            <w:tcW w:w="907" w:type="dxa"/>
            <w:shd w:val="clear" w:color="auto" w:fill="BDD6EE" w:themeFill="accent1" w:themeFillTint="66"/>
            <w:noWrap/>
            <w:vAlign w:val="center"/>
          </w:tcPr>
          <w:p w14:paraId="66123C9F" w14:textId="16AC3EF9" w:rsidR="0036037E" w:rsidRPr="00570862" w:rsidRDefault="0036037E" w:rsidP="0011009A">
            <w:pPr>
              <w:ind w:firstLine="0"/>
              <w:jc w:val="center"/>
              <w:rPr>
                <w:rFonts w:eastAsia="Times New Roman" w:cs="Times New Roman"/>
                <w:b/>
                <w:bCs/>
                <w:sz w:val="18"/>
                <w:szCs w:val="18"/>
                <w:lang w:eastAsia="lv-LV"/>
              </w:rPr>
            </w:pPr>
            <w:r w:rsidRPr="00570862">
              <w:rPr>
                <w:rFonts w:cs="Times New Roman"/>
                <w:b/>
                <w:bCs/>
                <w:sz w:val="18"/>
                <w:szCs w:val="18"/>
              </w:rPr>
              <w:t>-3,19</w:t>
            </w:r>
            <w:r w:rsidR="00553F09">
              <w:rPr>
                <w:rFonts w:cs="Times New Roman"/>
                <w:b/>
                <w:bCs/>
                <w:sz w:val="18"/>
                <w:szCs w:val="18"/>
              </w:rPr>
              <w:t>8</w:t>
            </w:r>
          </w:p>
        </w:tc>
      </w:tr>
    </w:tbl>
    <w:p w14:paraId="258D23AB" w14:textId="77777777" w:rsidR="003F5352" w:rsidRDefault="003F5352" w:rsidP="00CF68A1">
      <w:pPr>
        <w:ind w:firstLine="0"/>
        <w:rPr>
          <w:rFonts w:cs="Times New Roman"/>
          <w:b/>
          <w:bCs/>
          <w:sz w:val="24"/>
          <w:szCs w:val="24"/>
        </w:rPr>
      </w:pPr>
    </w:p>
    <w:p w14:paraId="4D51A2C9" w14:textId="77777777" w:rsidR="002E0152" w:rsidRDefault="002E0152" w:rsidP="00CF6C5C">
      <w:pPr>
        <w:spacing w:after="120"/>
        <w:rPr>
          <w:rFonts w:cs="Times New Roman"/>
          <w:b/>
          <w:bCs/>
          <w:sz w:val="24"/>
          <w:szCs w:val="24"/>
        </w:rPr>
      </w:pPr>
    </w:p>
    <w:p w14:paraId="3140BF9F" w14:textId="77777777" w:rsidR="002E0152" w:rsidRDefault="002E0152" w:rsidP="00CF6C5C">
      <w:pPr>
        <w:spacing w:after="120"/>
        <w:rPr>
          <w:rFonts w:cs="Times New Roman"/>
          <w:b/>
          <w:bCs/>
          <w:sz w:val="24"/>
          <w:szCs w:val="24"/>
        </w:rPr>
      </w:pPr>
    </w:p>
    <w:p w14:paraId="4822EABB" w14:textId="4FDECBE4" w:rsidR="00BA50E9" w:rsidRDefault="007E575E" w:rsidP="00CF6C5C">
      <w:pPr>
        <w:spacing w:after="120"/>
        <w:rPr>
          <w:rFonts w:cs="Times New Roman"/>
          <w:b/>
          <w:bCs/>
          <w:sz w:val="24"/>
          <w:szCs w:val="24"/>
        </w:rPr>
      </w:pPr>
      <w:r w:rsidRPr="00CF68A1">
        <w:rPr>
          <w:rFonts w:cs="Times New Roman"/>
          <w:b/>
          <w:bCs/>
          <w:sz w:val="24"/>
          <w:szCs w:val="24"/>
        </w:rPr>
        <w:lastRenderedPageBreak/>
        <w:t>Strukturālās bilances mērķi</w:t>
      </w:r>
    </w:p>
    <w:p w14:paraId="2964CDA6" w14:textId="33A7D1A8" w:rsidR="00CF6C5C" w:rsidRDefault="00CF6C5C" w:rsidP="00CF6C5C">
      <w:pPr>
        <w:spacing w:after="120"/>
        <w:rPr>
          <w:rFonts w:eastAsia="Times New Roman" w:cs="Times New Roman"/>
          <w:bCs/>
          <w:sz w:val="24"/>
        </w:rPr>
      </w:pPr>
      <w:r w:rsidRPr="002B160A">
        <w:rPr>
          <w:rFonts w:cs="Times New Roman"/>
          <w:sz w:val="24"/>
          <w:szCs w:val="24"/>
        </w:rPr>
        <w:t xml:space="preserve">Ņemot </w:t>
      </w:r>
      <w:r w:rsidRPr="006C7049">
        <w:rPr>
          <w:rFonts w:cs="Times New Roman"/>
          <w:sz w:val="24"/>
          <w:szCs w:val="24"/>
        </w:rPr>
        <w:t>vērā 3.</w:t>
      </w:r>
      <w:r w:rsidR="0083156D" w:rsidRPr="006C7049">
        <w:rPr>
          <w:rFonts w:cs="Times New Roman"/>
          <w:sz w:val="24"/>
          <w:szCs w:val="24"/>
        </w:rPr>
        <w:t>3</w:t>
      </w:r>
      <w:r w:rsidRPr="006C7049">
        <w:rPr>
          <w:rFonts w:cs="Times New Roman"/>
          <w:sz w:val="24"/>
          <w:szCs w:val="24"/>
        </w:rPr>
        <w:t>., 3.</w:t>
      </w:r>
      <w:r w:rsidR="0083156D" w:rsidRPr="006C7049">
        <w:rPr>
          <w:rFonts w:cs="Times New Roman"/>
          <w:sz w:val="24"/>
          <w:szCs w:val="24"/>
        </w:rPr>
        <w:t>4</w:t>
      </w:r>
      <w:r w:rsidRPr="006C7049">
        <w:rPr>
          <w:rFonts w:cs="Times New Roman"/>
          <w:sz w:val="24"/>
          <w:szCs w:val="24"/>
        </w:rPr>
        <w:t>. un 3.</w:t>
      </w:r>
      <w:r w:rsidR="0083156D" w:rsidRPr="006C7049">
        <w:rPr>
          <w:rFonts w:cs="Times New Roman"/>
          <w:sz w:val="24"/>
          <w:szCs w:val="24"/>
        </w:rPr>
        <w:t>5</w:t>
      </w:r>
      <w:r w:rsidRPr="006C7049">
        <w:rPr>
          <w:rFonts w:cs="Times New Roman"/>
          <w:sz w:val="24"/>
          <w:szCs w:val="24"/>
        </w:rPr>
        <w:t>. tabulās norādīto</w:t>
      </w:r>
      <w:r w:rsidRPr="00575359">
        <w:rPr>
          <w:rFonts w:cs="Times New Roman"/>
          <w:sz w:val="24"/>
          <w:szCs w:val="24"/>
        </w:rPr>
        <w:t xml:space="preserve">, </w:t>
      </w:r>
      <w:r w:rsidRPr="00575359">
        <w:rPr>
          <w:rFonts w:eastAsia="Times New Roman" w:cs="Times New Roman"/>
          <w:b/>
          <w:sz w:val="24"/>
        </w:rPr>
        <w:t xml:space="preserve">vispārējās valdības budžeta  </w:t>
      </w:r>
      <w:r w:rsidRPr="00575359">
        <w:rPr>
          <w:rFonts w:cs="Times New Roman"/>
          <w:b/>
          <w:bCs/>
          <w:sz w:val="24"/>
          <w:szCs w:val="24"/>
        </w:rPr>
        <w:t xml:space="preserve">strukturālās bilances mērķis, kas izpilda visus trīs nosacījumus, </w:t>
      </w:r>
      <w:r w:rsidRPr="00575359">
        <w:rPr>
          <w:rFonts w:eastAsia="Times New Roman" w:cs="Times New Roman"/>
          <w:bCs/>
          <w:sz w:val="24"/>
        </w:rPr>
        <w:t xml:space="preserve">2025. – 2028. gadam tiek noteikts: </w:t>
      </w:r>
      <w:r w:rsidRPr="00575359">
        <w:rPr>
          <w:rFonts w:eastAsia="Times New Roman" w:cs="Times New Roman"/>
          <w:b/>
          <w:sz w:val="24"/>
        </w:rPr>
        <w:t>-0,5% no IKP 2025. gadam</w:t>
      </w:r>
      <w:r w:rsidRPr="00575359">
        <w:rPr>
          <w:rFonts w:eastAsia="Times New Roman" w:cs="Times New Roman"/>
          <w:bCs/>
          <w:sz w:val="24"/>
        </w:rPr>
        <w:t xml:space="preserve">, </w:t>
      </w:r>
      <w:r w:rsidRPr="00575359">
        <w:rPr>
          <w:rFonts w:eastAsia="Times New Roman" w:cs="Times New Roman"/>
          <w:b/>
          <w:sz w:val="24"/>
        </w:rPr>
        <w:t>-0,5% no IKP 2026. gadam</w:t>
      </w:r>
      <w:r w:rsidRPr="00575359">
        <w:rPr>
          <w:rFonts w:eastAsia="Times New Roman" w:cs="Times New Roman"/>
          <w:bCs/>
          <w:sz w:val="24"/>
        </w:rPr>
        <w:t xml:space="preserve">, </w:t>
      </w:r>
      <w:r w:rsidRPr="00575359">
        <w:rPr>
          <w:rFonts w:eastAsia="Times New Roman" w:cs="Times New Roman"/>
          <w:b/>
          <w:sz w:val="24"/>
        </w:rPr>
        <w:t>-0,5% no IKP 2027. gadam</w:t>
      </w:r>
      <w:r w:rsidRPr="00575359">
        <w:rPr>
          <w:rFonts w:eastAsia="Times New Roman" w:cs="Times New Roman"/>
          <w:bCs/>
          <w:sz w:val="24"/>
        </w:rPr>
        <w:t xml:space="preserve"> un </w:t>
      </w:r>
      <w:r w:rsidRPr="00575359">
        <w:rPr>
          <w:rFonts w:eastAsia="Times New Roman" w:cs="Times New Roman"/>
          <w:b/>
          <w:sz w:val="24"/>
        </w:rPr>
        <w:t>-0,5% no IKP 2028. gadam</w:t>
      </w:r>
      <w:r w:rsidRPr="00575359">
        <w:rPr>
          <w:rFonts w:eastAsia="Times New Roman" w:cs="Times New Roman"/>
          <w:bCs/>
          <w:sz w:val="24"/>
        </w:rPr>
        <w:t>.</w:t>
      </w:r>
      <w:r w:rsidRPr="005C706F">
        <w:rPr>
          <w:rFonts w:eastAsia="Times New Roman" w:cs="Times New Roman"/>
          <w:bCs/>
          <w:sz w:val="24"/>
        </w:rPr>
        <w:t xml:space="preserve"> </w:t>
      </w:r>
    </w:p>
    <w:p w14:paraId="552B7522" w14:textId="62DE170A" w:rsidR="004016DD" w:rsidRDefault="00A43B1A" w:rsidP="002E0152">
      <w:pPr>
        <w:spacing w:after="120"/>
        <w:rPr>
          <w:rFonts w:eastAsia="Times New Roman" w:cs="Times New Roman"/>
          <w:bCs/>
          <w:sz w:val="24"/>
        </w:rPr>
      </w:pPr>
      <w:r>
        <w:rPr>
          <w:rFonts w:eastAsia="Times New Roman" w:cs="Times New Roman"/>
          <w:bCs/>
          <w:sz w:val="24"/>
        </w:rPr>
        <w:t>Jāatzīmē, ka strukturālās bilances mērķi ir noteikti, pieņemot Stabilitātes programmas prognozes par vispārējās valdības</w:t>
      </w:r>
      <w:r w:rsidR="00B209C7">
        <w:rPr>
          <w:rFonts w:eastAsia="Times New Roman" w:cs="Times New Roman"/>
          <w:bCs/>
          <w:sz w:val="24"/>
        </w:rPr>
        <w:t xml:space="preserve"> budžeta</w:t>
      </w:r>
      <w:r>
        <w:rPr>
          <w:rFonts w:eastAsia="Times New Roman" w:cs="Times New Roman"/>
          <w:bCs/>
          <w:sz w:val="24"/>
        </w:rPr>
        <w:t xml:space="preserve"> bilanci 2024. gadam, kas ir 2,9% no IKP. Saskaņā ar jauno ES fiskālo regulējumu, ja EK šā gada maijā publicētajās 2024. gada pavasara prognozēs Latvijai prognozēs 2024. gada</w:t>
      </w:r>
      <w:r w:rsidR="0036037E">
        <w:rPr>
          <w:rFonts w:eastAsia="Times New Roman" w:cs="Times New Roman"/>
          <w:bCs/>
          <w:sz w:val="24"/>
        </w:rPr>
        <w:t>m</w:t>
      </w:r>
      <w:r>
        <w:rPr>
          <w:rFonts w:eastAsia="Times New Roman" w:cs="Times New Roman"/>
          <w:bCs/>
          <w:sz w:val="24"/>
        </w:rPr>
        <w:t xml:space="preserve"> deficītu virs 3% no IKP, uz Latviju attieksies stingrāki fiskālie nosacījumi un strukturālās </w:t>
      </w:r>
      <w:r w:rsidR="0036037E">
        <w:rPr>
          <w:rFonts w:eastAsia="Times New Roman" w:cs="Times New Roman"/>
          <w:bCs/>
          <w:sz w:val="24"/>
        </w:rPr>
        <w:t xml:space="preserve">primārās </w:t>
      </w:r>
      <w:r>
        <w:rPr>
          <w:rFonts w:eastAsia="Times New Roman" w:cs="Times New Roman"/>
          <w:bCs/>
          <w:sz w:val="24"/>
        </w:rPr>
        <w:t xml:space="preserve">bilances nosacījumam būs jāievēro arī deficīta noturības nosacījums. Šāda notikumu attīstība ir ārpus šīs Stabilitātes programmas tvēruma un iespējamās konsekvences tiks ņemtas vērā </w:t>
      </w:r>
      <w:r w:rsidR="00E83853">
        <w:rPr>
          <w:rFonts w:eastAsia="Times New Roman" w:cs="Times New Roman"/>
          <w:bCs/>
          <w:sz w:val="24"/>
        </w:rPr>
        <w:t>2024.</w:t>
      </w:r>
      <w:r>
        <w:rPr>
          <w:rFonts w:eastAsia="Times New Roman" w:cs="Times New Roman"/>
          <w:bCs/>
          <w:sz w:val="24"/>
        </w:rPr>
        <w:t xml:space="preserve"> gada rudenī</w:t>
      </w:r>
      <w:r w:rsidR="00E83853">
        <w:rPr>
          <w:rFonts w:eastAsia="Times New Roman" w:cs="Times New Roman"/>
          <w:bCs/>
          <w:sz w:val="24"/>
        </w:rPr>
        <w:t xml:space="preserve">, izstrādājot </w:t>
      </w:r>
      <w:r w:rsidR="0036037E">
        <w:rPr>
          <w:rFonts w:eastAsia="Times New Roman" w:cs="Times New Roman"/>
          <w:bCs/>
          <w:sz w:val="24"/>
        </w:rPr>
        <w:t>FSP</w:t>
      </w:r>
      <w:r>
        <w:rPr>
          <w:rFonts w:eastAsia="Times New Roman" w:cs="Times New Roman"/>
          <w:bCs/>
          <w:sz w:val="24"/>
        </w:rPr>
        <w:t>.</w:t>
      </w:r>
    </w:p>
    <w:p w14:paraId="51E06C60" w14:textId="77777777" w:rsidR="002E0152" w:rsidRPr="002E0152" w:rsidRDefault="002E0152" w:rsidP="002E0152">
      <w:pPr>
        <w:rPr>
          <w:rFonts w:eastAsia="Times New Roman" w:cs="Times New Roman"/>
          <w:bCs/>
          <w:sz w:val="24"/>
        </w:rPr>
      </w:pPr>
    </w:p>
    <w:p w14:paraId="4F4C3ECB" w14:textId="27D2985A" w:rsidR="00A43B1A" w:rsidRPr="00CF68A1" w:rsidRDefault="00A43B1A" w:rsidP="00CF68A1">
      <w:pPr>
        <w:spacing w:after="160"/>
        <w:rPr>
          <w:rFonts w:eastAsia="Times New Roman" w:cs="Times New Roman"/>
          <w:b/>
          <w:sz w:val="24"/>
        </w:rPr>
      </w:pPr>
      <w:r w:rsidRPr="00CF68A1">
        <w:rPr>
          <w:rFonts w:eastAsia="Times New Roman" w:cs="Times New Roman"/>
          <w:b/>
          <w:sz w:val="24"/>
        </w:rPr>
        <w:t xml:space="preserve">Potenciālās izmaiņas Latvijas fiskālās politikas tiesiskajā regulējumā </w:t>
      </w:r>
    </w:p>
    <w:p w14:paraId="43C7571C" w14:textId="68F88237" w:rsidR="00A43B1A" w:rsidRDefault="00A43B1A" w:rsidP="00CF68A1">
      <w:pPr>
        <w:rPr>
          <w:rFonts w:eastAsia="Times New Roman" w:cs="Times New Roman"/>
          <w:bCs/>
          <w:sz w:val="24"/>
        </w:rPr>
      </w:pPr>
      <w:r>
        <w:rPr>
          <w:rFonts w:eastAsia="Times New Roman" w:cs="Times New Roman"/>
          <w:bCs/>
          <w:sz w:val="24"/>
        </w:rPr>
        <w:t xml:space="preserve">Kā redzams, </w:t>
      </w:r>
      <w:r w:rsidR="00291DD8">
        <w:rPr>
          <w:rFonts w:eastAsia="Times New Roman" w:cs="Times New Roman"/>
          <w:bCs/>
          <w:sz w:val="24"/>
        </w:rPr>
        <w:t xml:space="preserve">visos gados dominējošais fiskālais nosacījums ir FDL strukturālās bilances nosacījums. Nākamais pēc stingrības ir ES strukturālās </w:t>
      </w:r>
      <w:r w:rsidR="008424C8">
        <w:rPr>
          <w:rFonts w:eastAsia="Times New Roman" w:cs="Times New Roman"/>
          <w:bCs/>
          <w:sz w:val="24"/>
        </w:rPr>
        <w:t xml:space="preserve">primārās </w:t>
      </w:r>
      <w:r w:rsidR="00291DD8">
        <w:rPr>
          <w:rFonts w:eastAsia="Times New Roman" w:cs="Times New Roman"/>
          <w:bCs/>
          <w:sz w:val="24"/>
        </w:rPr>
        <w:t xml:space="preserve">bilances nosacījums. Ņemot vērā, ka jaunais </w:t>
      </w:r>
      <w:r w:rsidR="00B209C7">
        <w:rPr>
          <w:rFonts w:eastAsia="Times New Roman" w:cs="Times New Roman"/>
          <w:bCs/>
          <w:sz w:val="24"/>
        </w:rPr>
        <w:t xml:space="preserve">ES </w:t>
      </w:r>
      <w:r w:rsidR="00291DD8">
        <w:rPr>
          <w:rFonts w:eastAsia="Times New Roman" w:cs="Times New Roman"/>
          <w:bCs/>
          <w:sz w:val="24"/>
        </w:rPr>
        <w:t xml:space="preserve">fiskālais regulējums valstīm ar zemu parādu un deficītu ir mazāk stingrs, kā līdzšinējais regulējums, būtu pamats pārskatīt FDL noteiktos fiskālos nosacījumus. Par pamatu varētu izmantot to pašu pieeju, ko </w:t>
      </w:r>
      <w:r w:rsidR="00EF7B99">
        <w:rPr>
          <w:rFonts w:eastAsia="Times New Roman" w:cs="Times New Roman"/>
          <w:bCs/>
          <w:sz w:val="24"/>
        </w:rPr>
        <w:t xml:space="preserve">paredz </w:t>
      </w:r>
      <w:r w:rsidR="00291DD8">
        <w:rPr>
          <w:rFonts w:eastAsia="Times New Roman" w:cs="Times New Roman"/>
          <w:bCs/>
          <w:sz w:val="24"/>
        </w:rPr>
        <w:t xml:space="preserve">jaunais ES regulējums, kas balstīts </w:t>
      </w:r>
      <w:r w:rsidR="00050EA0">
        <w:rPr>
          <w:rFonts w:eastAsia="Times New Roman" w:cs="Times New Roman"/>
          <w:bCs/>
          <w:sz w:val="24"/>
        </w:rPr>
        <w:t xml:space="preserve">uz </w:t>
      </w:r>
      <w:r w:rsidR="00291DD8">
        <w:rPr>
          <w:rFonts w:eastAsia="Times New Roman" w:cs="Times New Roman"/>
          <w:bCs/>
          <w:sz w:val="24"/>
        </w:rPr>
        <w:t>parāda ilgtspējas nodrošināšan</w:t>
      </w:r>
      <w:r w:rsidR="00050EA0">
        <w:rPr>
          <w:rFonts w:eastAsia="Times New Roman" w:cs="Times New Roman"/>
          <w:bCs/>
          <w:sz w:val="24"/>
        </w:rPr>
        <w:t>u</w:t>
      </w:r>
      <w:r w:rsidR="00291DD8">
        <w:rPr>
          <w:rFonts w:eastAsia="Times New Roman" w:cs="Times New Roman"/>
          <w:bCs/>
          <w:sz w:val="24"/>
        </w:rPr>
        <w:t xml:space="preserve">. </w:t>
      </w:r>
    </w:p>
    <w:p w14:paraId="5965E514" w14:textId="21D3942B" w:rsidR="00291DD8" w:rsidRPr="005C706F" w:rsidRDefault="00291DD8" w:rsidP="00CF68A1">
      <w:pPr>
        <w:rPr>
          <w:rFonts w:eastAsia="Times New Roman" w:cs="Times New Roman"/>
          <w:bCs/>
          <w:sz w:val="24"/>
        </w:rPr>
      </w:pPr>
      <w:r>
        <w:rPr>
          <w:rFonts w:eastAsia="Times New Roman" w:cs="Times New Roman"/>
          <w:bCs/>
          <w:sz w:val="24"/>
        </w:rPr>
        <w:t>Ja par pamatu izvirzītu valdības deklarācijā</w:t>
      </w:r>
      <w:r w:rsidR="00572F7D" w:rsidRPr="0050734E">
        <w:rPr>
          <w:rStyle w:val="FootnoteReference"/>
          <w:rFonts w:ascii="Times New Roman" w:eastAsia="Times New Roman" w:hAnsi="Times New Roman" w:cs="Times New Roman"/>
          <w:bCs/>
          <w:sz w:val="24"/>
          <w:szCs w:val="24"/>
        </w:rPr>
        <w:footnoteReference w:id="10"/>
      </w:r>
      <w:r>
        <w:rPr>
          <w:rFonts w:eastAsia="Times New Roman" w:cs="Times New Roman"/>
          <w:bCs/>
          <w:sz w:val="24"/>
        </w:rPr>
        <w:t xml:space="preserve"> noteikt</w:t>
      </w:r>
      <w:r w:rsidR="00E83853">
        <w:rPr>
          <w:rFonts w:eastAsia="Times New Roman" w:cs="Times New Roman"/>
          <w:bCs/>
          <w:sz w:val="24"/>
        </w:rPr>
        <w:t>o</w:t>
      </w:r>
      <w:r>
        <w:rPr>
          <w:rFonts w:eastAsia="Times New Roman" w:cs="Times New Roman"/>
          <w:bCs/>
          <w:sz w:val="24"/>
        </w:rPr>
        <w:t xml:space="preserve"> vidējo parāda līmeni ilgtermiņā, kas ir 40% no IKP, tad uz ES metodoloģiju balstītajā aprēķinā var konstatēt, ka minētais nosacījums nodrošināms, ja valsts ievēro strukturālo bilanci ap -1</w:t>
      </w:r>
      <w:r w:rsidR="00A95A45">
        <w:rPr>
          <w:rFonts w:eastAsia="Times New Roman" w:cs="Times New Roman"/>
          <w:bCs/>
          <w:sz w:val="24"/>
        </w:rPr>
        <w:t>,2</w:t>
      </w:r>
      <w:r>
        <w:rPr>
          <w:rFonts w:eastAsia="Times New Roman" w:cs="Times New Roman"/>
          <w:bCs/>
          <w:sz w:val="24"/>
        </w:rPr>
        <w:t xml:space="preserve">% no IKP līmenī. </w:t>
      </w:r>
      <w:r w:rsidR="00A95A45">
        <w:rPr>
          <w:rFonts w:eastAsia="Times New Roman" w:cs="Times New Roman"/>
          <w:bCs/>
          <w:sz w:val="24"/>
        </w:rPr>
        <w:t xml:space="preserve">Ņemot vērā nozīmīgo vienreizējo pasākumu apmēru, kas turpmākajos gados saglabājas 1,6 – 1,3 % no IKP apmērā un arī ietekmē parādu, FDL pieļaujamo strukturālo deficītu, kamēr saglabājas vienreizējie pasākumi, varētu noteikt nedaudz zemāku par 1,2% no IKP. Ja to noteiktu 1% no IKP apmērā, tad FDL strukturālās bilances nosacījums 2025. gadā gandrīz sakristu ar ES strukturālās </w:t>
      </w:r>
      <w:r w:rsidR="00050EA0">
        <w:rPr>
          <w:rFonts w:eastAsia="Times New Roman" w:cs="Times New Roman"/>
          <w:bCs/>
          <w:sz w:val="24"/>
        </w:rPr>
        <w:t xml:space="preserve">primārās </w:t>
      </w:r>
      <w:r w:rsidR="00A95A45">
        <w:rPr>
          <w:rFonts w:eastAsia="Times New Roman" w:cs="Times New Roman"/>
          <w:bCs/>
          <w:sz w:val="24"/>
        </w:rPr>
        <w:t xml:space="preserve">bilances nosacījumu, norādot uz pareizu </w:t>
      </w:r>
      <w:proofErr w:type="spellStart"/>
      <w:r w:rsidR="00A95A45">
        <w:rPr>
          <w:rFonts w:eastAsia="Times New Roman" w:cs="Times New Roman"/>
          <w:bCs/>
          <w:sz w:val="24"/>
        </w:rPr>
        <w:t>kalibrāciju</w:t>
      </w:r>
      <w:proofErr w:type="spellEnd"/>
      <w:r w:rsidR="00A95A45">
        <w:rPr>
          <w:rFonts w:eastAsia="Times New Roman" w:cs="Times New Roman"/>
          <w:bCs/>
          <w:sz w:val="24"/>
        </w:rPr>
        <w:t xml:space="preserve">, lai izvairītos, ka nacionālai ietvars nosaka būtiski stingrākus nosacījumus. Paceļot FDL pieļaujamo strukturālo deficītu no 0,5% no IKP uz 1% no IKP, vienlaicīgi būtu jāatsakās no turpmākas vienreizējo izdevumu koncepcijas.   </w:t>
      </w:r>
    </w:p>
    <w:p w14:paraId="61084920" w14:textId="77777777" w:rsidR="006A1FC0" w:rsidRPr="00874664" w:rsidRDefault="006A1FC0" w:rsidP="006A1FC0">
      <w:pPr>
        <w:ind w:firstLine="0"/>
        <w:rPr>
          <w:rFonts w:cs="Times New Roman"/>
          <w:sz w:val="24"/>
          <w:highlight w:val="lightGray"/>
        </w:rPr>
      </w:pPr>
    </w:p>
    <w:p w14:paraId="15EA32DC" w14:textId="02AF5FC4" w:rsidR="006A1FC0" w:rsidRPr="00016A90" w:rsidRDefault="008A7D6A" w:rsidP="008A7D6A">
      <w:pPr>
        <w:pStyle w:val="Heading3"/>
        <w:numPr>
          <w:ilvl w:val="0"/>
          <w:numId w:val="0"/>
        </w:numPr>
        <w:spacing w:before="0" w:after="240"/>
        <w:jc w:val="center"/>
        <w:rPr>
          <w:rFonts w:cs="Times New Roman"/>
          <w:sz w:val="24"/>
          <w:szCs w:val="24"/>
        </w:rPr>
      </w:pPr>
      <w:bookmarkStart w:id="38" w:name="_Toc164679823"/>
      <w:r w:rsidRPr="00016A90">
        <w:rPr>
          <w:rFonts w:cs="Times New Roman"/>
          <w:sz w:val="24"/>
          <w:szCs w:val="24"/>
        </w:rPr>
        <w:t xml:space="preserve">3.1.4. </w:t>
      </w:r>
      <w:proofErr w:type="spellStart"/>
      <w:r w:rsidR="006A1FC0" w:rsidRPr="00016A90">
        <w:rPr>
          <w:rFonts w:cs="Times New Roman"/>
          <w:sz w:val="24"/>
          <w:szCs w:val="24"/>
        </w:rPr>
        <w:t>Diskrecionārie</w:t>
      </w:r>
      <w:proofErr w:type="spellEnd"/>
      <w:r w:rsidR="006A1FC0" w:rsidRPr="00016A90">
        <w:rPr>
          <w:rFonts w:cs="Times New Roman"/>
          <w:sz w:val="24"/>
          <w:szCs w:val="24"/>
        </w:rPr>
        <w:t xml:space="preserve"> pasākumi</w:t>
      </w:r>
      <w:bookmarkEnd w:id="25"/>
      <w:bookmarkEnd w:id="38"/>
    </w:p>
    <w:p w14:paraId="15440DF8" w14:textId="53A74C0F" w:rsidR="00016A90" w:rsidRPr="00016A90" w:rsidRDefault="00016A90" w:rsidP="00016A90">
      <w:pPr>
        <w:ind w:firstLine="698"/>
        <w:rPr>
          <w:rFonts w:cs="Times New Roman"/>
          <w:sz w:val="24"/>
        </w:rPr>
      </w:pPr>
      <w:r w:rsidRPr="00016A90">
        <w:rPr>
          <w:rFonts w:cs="Times New Roman"/>
          <w:sz w:val="24"/>
        </w:rPr>
        <w:t xml:space="preserve">Starplaikā starp Stabilitātes programmu 2023.-2026. gadam un šo Stabilitātes programmu ir pieņemti fiskālās politikas lēmumi. Tie iekļauj: </w:t>
      </w:r>
    </w:p>
    <w:p w14:paraId="6ED89A93" w14:textId="7C96A5C9" w:rsidR="00016A90" w:rsidRPr="00016A90" w:rsidRDefault="00016A90" w:rsidP="005C5E37">
      <w:pPr>
        <w:pStyle w:val="ListParagraph"/>
        <w:numPr>
          <w:ilvl w:val="0"/>
          <w:numId w:val="13"/>
        </w:numPr>
        <w:ind w:left="993" w:hanging="633"/>
        <w:rPr>
          <w:rFonts w:cs="Times New Roman"/>
          <w:sz w:val="24"/>
        </w:rPr>
      </w:pPr>
      <w:r w:rsidRPr="00016A90">
        <w:rPr>
          <w:rFonts w:cs="Times New Roman"/>
          <w:sz w:val="24"/>
        </w:rPr>
        <w:t xml:space="preserve">pasākumus, kas ietverti likumā </w:t>
      </w:r>
      <w:r w:rsidR="005B1608">
        <w:rPr>
          <w:rFonts w:cs="Times New Roman"/>
          <w:sz w:val="24"/>
        </w:rPr>
        <w:t>“</w:t>
      </w:r>
      <w:r w:rsidRPr="00016A90">
        <w:rPr>
          <w:rFonts w:cs="Times New Roman"/>
          <w:sz w:val="24"/>
        </w:rPr>
        <w:t xml:space="preserve">Par valsts budžetu 2024. gadam un budžeta ietvaru 2024., 2025. un </w:t>
      </w:r>
      <w:r w:rsidR="0050734E">
        <w:rPr>
          <w:rFonts w:cs="Times New Roman"/>
          <w:sz w:val="24"/>
        </w:rPr>
        <w:t>202</w:t>
      </w:r>
      <w:r w:rsidRPr="00016A90">
        <w:rPr>
          <w:rFonts w:cs="Times New Roman"/>
          <w:sz w:val="24"/>
        </w:rPr>
        <w:t>6</w:t>
      </w:r>
      <w:r w:rsidR="0050734E">
        <w:rPr>
          <w:rFonts w:cs="Times New Roman"/>
          <w:sz w:val="24"/>
        </w:rPr>
        <w:t>.</w:t>
      </w:r>
      <w:r w:rsidRPr="00016A90">
        <w:rPr>
          <w:rFonts w:cs="Times New Roman"/>
          <w:sz w:val="24"/>
        </w:rPr>
        <w:t xml:space="preserve"> gadam</w:t>
      </w:r>
      <w:r w:rsidR="005B1608">
        <w:rPr>
          <w:rFonts w:cs="Times New Roman"/>
          <w:sz w:val="24"/>
        </w:rPr>
        <w:t>”</w:t>
      </w:r>
      <w:r w:rsidRPr="00016A90">
        <w:rPr>
          <w:rFonts w:cs="Times New Roman"/>
          <w:sz w:val="24"/>
        </w:rPr>
        <w:t>, kas šajā Stabilitātes programmā netiek atsevišķi izklāstīti un ar tiem var iepazīties Latvijas Vispārējās valdības budžeta plāna projektā 2024. gadam;</w:t>
      </w:r>
    </w:p>
    <w:p w14:paraId="06AEF9CC" w14:textId="617E73E4" w:rsidR="00016A90" w:rsidRPr="006C7049" w:rsidRDefault="00016A90" w:rsidP="005C5E37">
      <w:pPr>
        <w:pStyle w:val="ListParagraph"/>
        <w:numPr>
          <w:ilvl w:val="0"/>
          <w:numId w:val="13"/>
        </w:numPr>
        <w:ind w:left="993" w:hanging="709"/>
        <w:rPr>
          <w:rFonts w:cs="Times New Roman"/>
          <w:sz w:val="24"/>
        </w:rPr>
      </w:pPr>
      <w:r w:rsidRPr="005C5E37">
        <w:rPr>
          <w:rFonts w:cs="Times New Roman"/>
          <w:sz w:val="24"/>
        </w:rPr>
        <w:t xml:space="preserve">likumprojekta </w:t>
      </w:r>
      <w:r w:rsidR="005B1608">
        <w:rPr>
          <w:rFonts w:cs="Times New Roman"/>
          <w:sz w:val="24"/>
        </w:rPr>
        <w:t>“</w:t>
      </w:r>
      <w:r w:rsidRPr="005C5E37">
        <w:rPr>
          <w:rFonts w:cs="Times New Roman"/>
          <w:sz w:val="24"/>
        </w:rPr>
        <w:t xml:space="preserve">Par valsts budžetu 2024. gadam un budžeta ietvaru 2024., 2025. un 2026. gadam” Saeimas 2. lasījumā atbalstītos priekšlikumus (ieņēmumu palielināšana no vairāku AS dividenžu maksājumiem, ieņēmumu prognozes precizēšana no naudas sodiem, ko uzliek Valsts policija un </w:t>
      </w:r>
      <w:r w:rsidR="00E30662" w:rsidRPr="00E30662">
        <w:rPr>
          <w:rFonts w:cs="Times New Roman"/>
          <w:sz w:val="24"/>
        </w:rPr>
        <w:t>Valsts ugunsdzēsības un glābšanas dienests</w:t>
      </w:r>
      <w:r w:rsidRPr="005C5E37">
        <w:rPr>
          <w:rFonts w:cs="Times New Roman"/>
          <w:sz w:val="24"/>
        </w:rPr>
        <w:t xml:space="preserve">, akcīze nodokļa likmju paaugstināšana vairākām preču </w:t>
      </w:r>
      <w:r w:rsidRPr="005C5E37">
        <w:rPr>
          <w:rFonts w:cs="Times New Roman"/>
          <w:sz w:val="24"/>
        </w:rPr>
        <w:lastRenderedPageBreak/>
        <w:t>pozīcijām</w:t>
      </w:r>
      <w:r w:rsidRPr="0050734E">
        <w:rPr>
          <w:rStyle w:val="FootnoteReference"/>
          <w:rFonts w:ascii="Times New Roman" w:hAnsi="Times New Roman" w:cs="Times New Roman"/>
          <w:sz w:val="24"/>
          <w:szCs w:val="24"/>
        </w:rPr>
        <w:footnoteReference w:id="11"/>
      </w:r>
      <w:r w:rsidRPr="0050734E">
        <w:rPr>
          <w:rFonts w:cs="Times New Roman"/>
          <w:sz w:val="24"/>
          <w:szCs w:val="24"/>
        </w:rPr>
        <w:t>,</w:t>
      </w:r>
      <w:r w:rsidRPr="005C5E37">
        <w:rPr>
          <w:rFonts w:cs="Times New Roman"/>
          <w:sz w:val="24"/>
        </w:rPr>
        <w:t xml:space="preserve"> PVN likmes 12% piemērošana augļiem un dārzeņiem 2024. gadā</w:t>
      </w:r>
      <w:r w:rsidRPr="005B1608">
        <w:rPr>
          <w:rStyle w:val="FootnoteReference"/>
          <w:rFonts w:ascii="Times New Roman" w:hAnsi="Times New Roman" w:cs="Times New Roman"/>
          <w:sz w:val="24"/>
          <w:szCs w:val="24"/>
        </w:rPr>
        <w:footnoteReference w:id="12"/>
      </w:r>
      <w:r w:rsidRPr="005B1608">
        <w:rPr>
          <w:rFonts w:cs="Times New Roman"/>
          <w:sz w:val="24"/>
          <w:szCs w:val="24"/>
        </w:rPr>
        <w:t>,</w:t>
      </w:r>
      <w:r w:rsidRPr="005C5E37">
        <w:rPr>
          <w:rFonts w:cs="Times New Roman"/>
          <w:sz w:val="24"/>
        </w:rPr>
        <w:t xml:space="preserve"> ieņēmumu </w:t>
      </w:r>
      <w:r w:rsidR="00B209C7" w:rsidRPr="005C5E37">
        <w:rPr>
          <w:rFonts w:cs="Times New Roman"/>
          <w:sz w:val="24"/>
        </w:rPr>
        <w:t>prognoz</w:t>
      </w:r>
      <w:r w:rsidR="00B209C7">
        <w:rPr>
          <w:rFonts w:cs="Times New Roman"/>
          <w:sz w:val="24"/>
        </w:rPr>
        <w:t>i</w:t>
      </w:r>
      <w:r w:rsidR="00B209C7" w:rsidRPr="005C5E37">
        <w:rPr>
          <w:rFonts w:cs="Times New Roman"/>
          <w:sz w:val="24"/>
        </w:rPr>
        <w:t xml:space="preserve"> </w:t>
      </w:r>
      <w:r w:rsidRPr="005C5E37">
        <w:rPr>
          <w:rFonts w:cs="Times New Roman"/>
          <w:sz w:val="24"/>
        </w:rPr>
        <w:t>2027</w:t>
      </w:r>
      <w:r w:rsidRPr="005C5E37">
        <w:rPr>
          <w:rFonts w:cs="Times New Roman"/>
          <w:sz w:val="24"/>
          <w:szCs w:val="24"/>
        </w:rPr>
        <w:t>. gadam no azartspēļu nodevas par azartspēļu organizēšanas licences izsniegšanu),</w:t>
      </w:r>
      <w:r w:rsidRPr="005C5E37">
        <w:rPr>
          <w:rFonts w:cs="Times New Roman"/>
          <w:sz w:val="24"/>
        </w:rPr>
        <w:t xml:space="preserve"> </w:t>
      </w:r>
      <w:r w:rsidR="00B209C7" w:rsidRPr="005C5E37">
        <w:rPr>
          <w:rFonts w:cs="Times New Roman"/>
          <w:sz w:val="24"/>
        </w:rPr>
        <w:t>novērtēt</w:t>
      </w:r>
      <w:r w:rsidR="00B209C7">
        <w:rPr>
          <w:rFonts w:cs="Times New Roman"/>
          <w:sz w:val="24"/>
        </w:rPr>
        <w:t>o</w:t>
      </w:r>
      <w:r w:rsidR="00B209C7" w:rsidRPr="005C5E37">
        <w:rPr>
          <w:rFonts w:cs="Times New Roman"/>
          <w:sz w:val="24"/>
        </w:rPr>
        <w:t xml:space="preserve"> fiskāl</w:t>
      </w:r>
      <w:r w:rsidR="00B209C7">
        <w:rPr>
          <w:rFonts w:cs="Times New Roman"/>
          <w:sz w:val="24"/>
        </w:rPr>
        <w:t>o</w:t>
      </w:r>
      <w:r w:rsidR="00B209C7" w:rsidRPr="005C5E37">
        <w:rPr>
          <w:rFonts w:cs="Times New Roman"/>
          <w:sz w:val="24"/>
        </w:rPr>
        <w:t xml:space="preserve"> ietekm</w:t>
      </w:r>
      <w:r w:rsidR="00B209C7">
        <w:rPr>
          <w:rFonts w:cs="Times New Roman"/>
          <w:sz w:val="24"/>
        </w:rPr>
        <w:t>i</w:t>
      </w:r>
      <w:r w:rsidR="00B209C7" w:rsidRPr="005C5E37">
        <w:rPr>
          <w:rFonts w:cs="Times New Roman"/>
          <w:sz w:val="24"/>
        </w:rPr>
        <w:t xml:space="preserve"> </w:t>
      </w:r>
      <w:r w:rsidRPr="005C5E37">
        <w:rPr>
          <w:rFonts w:cs="Times New Roman"/>
          <w:sz w:val="24"/>
        </w:rPr>
        <w:t>no IIN atvieglojuma</w:t>
      </w:r>
      <w:r w:rsidRPr="009E7788">
        <w:rPr>
          <w:rFonts w:cs="Times New Roman"/>
          <w:sz w:val="24"/>
        </w:rPr>
        <w:t xml:space="preserve"> atcelšanas par saņemtajām summām, kas izmaksātas kā valsts vai ES atbalsts lauksaimniecībai un lauku attīstībai</w:t>
      </w:r>
      <w:r w:rsidRPr="005B1608">
        <w:rPr>
          <w:rStyle w:val="FootnoteReference"/>
          <w:rFonts w:ascii="Times New Roman" w:hAnsi="Times New Roman" w:cs="Times New Roman"/>
          <w:sz w:val="24"/>
          <w:szCs w:val="24"/>
        </w:rPr>
        <w:footnoteReference w:id="13"/>
      </w:r>
      <w:r w:rsidRPr="005B1608">
        <w:rPr>
          <w:rFonts w:cs="Times New Roman"/>
          <w:sz w:val="24"/>
          <w:szCs w:val="24"/>
        </w:rPr>
        <w:t>,</w:t>
      </w:r>
      <w:r w:rsidRPr="009E7788">
        <w:rPr>
          <w:rFonts w:cs="Times New Roman"/>
          <w:sz w:val="24"/>
        </w:rPr>
        <w:t xml:space="preserve"> </w:t>
      </w:r>
      <w:r w:rsidRPr="00541E7C">
        <w:rPr>
          <w:rFonts w:eastAsia="Times New Roman" w:cs="Times New Roman"/>
          <w:sz w:val="24"/>
          <w:szCs w:val="24"/>
          <w:lang w:eastAsia="lv-LV"/>
        </w:rPr>
        <w:t>jaunas normas saskaņā</w:t>
      </w:r>
      <w:r w:rsidRPr="00016A90">
        <w:rPr>
          <w:rFonts w:eastAsia="Times New Roman" w:cs="Times New Roman"/>
          <w:color w:val="414142"/>
          <w:sz w:val="24"/>
          <w:szCs w:val="24"/>
          <w:lang w:eastAsia="lv-LV"/>
        </w:rPr>
        <w:t xml:space="preserve"> ar </w:t>
      </w:r>
      <w:r w:rsidRPr="00016A90">
        <w:rPr>
          <w:rFonts w:cs="Times New Roman"/>
          <w:sz w:val="24"/>
          <w:szCs w:val="24"/>
        </w:rPr>
        <w:t xml:space="preserve">Ministru kabineta </w:t>
      </w:r>
      <w:r w:rsidRPr="009E7788">
        <w:rPr>
          <w:rFonts w:cs="Times New Roman"/>
          <w:sz w:val="24"/>
          <w:szCs w:val="24"/>
        </w:rPr>
        <w:t xml:space="preserve">2024. gada 5. marta </w:t>
      </w:r>
      <w:r w:rsidRPr="00016A90">
        <w:rPr>
          <w:rFonts w:cs="Times New Roman"/>
          <w:sz w:val="24"/>
          <w:szCs w:val="24"/>
        </w:rPr>
        <w:t>noteikumiem Nr. 158</w:t>
      </w:r>
      <w:r w:rsidRPr="009E7788">
        <w:rPr>
          <w:rFonts w:cs="Times New Roman"/>
          <w:sz w:val="24"/>
          <w:szCs w:val="24"/>
        </w:rPr>
        <w:t xml:space="preserve"> </w:t>
      </w:r>
      <w:r w:rsidRPr="00016A90">
        <w:rPr>
          <w:rFonts w:cs="Times New Roman"/>
          <w:sz w:val="24"/>
          <w:szCs w:val="24"/>
        </w:rPr>
        <w:t>Noteikumi par ievešanai (importēšanai) Latvijā aizliegtiem lauksaimniecības un lopbarības produktiem</w:t>
      </w:r>
      <w:r w:rsidRPr="00016A90">
        <w:rPr>
          <w:rStyle w:val="FootnoteReference"/>
          <w:rFonts w:ascii="Times New Roman" w:hAnsi="Times New Roman" w:cs="Times New Roman"/>
          <w:sz w:val="24"/>
          <w:szCs w:val="24"/>
        </w:rPr>
        <w:footnoteReference w:id="14"/>
      </w:r>
      <w:r w:rsidRPr="009E7788">
        <w:rPr>
          <w:rFonts w:cs="Times New Roman"/>
          <w:sz w:val="24"/>
          <w:szCs w:val="24"/>
        </w:rPr>
        <w:t xml:space="preserve">, kā arī grozījumus </w:t>
      </w:r>
      <w:r w:rsidRPr="00016A90">
        <w:rPr>
          <w:rFonts w:cs="Times New Roman"/>
          <w:sz w:val="24"/>
          <w:szCs w:val="24"/>
        </w:rPr>
        <w:t xml:space="preserve">Patērētāju tiesību </w:t>
      </w:r>
      <w:r w:rsidRPr="006C7049">
        <w:rPr>
          <w:rFonts w:cs="Times New Roman"/>
          <w:sz w:val="24"/>
          <w:szCs w:val="24"/>
        </w:rPr>
        <w:t>aizsardzības likumā</w:t>
      </w:r>
      <w:r w:rsidRPr="006C7049">
        <w:rPr>
          <w:rStyle w:val="FootnoteReference"/>
          <w:rFonts w:ascii="Times New Roman" w:hAnsi="Times New Roman" w:cs="Times New Roman"/>
          <w:sz w:val="24"/>
          <w:szCs w:val="24"/>
        </w:rPr>
        <w:footnoteReference w:id="15"/>
      </w:r>
      <w:r w:rsidRPr="006C7049">
        <w:rPr>
          <w:rFonts w:cs="Times New Roman"/>
          <w:sz w:val="24"/>
          <w:szCs w:val="24"/>
        </w:rPr>
        <w:t xml:space="preserve">. </w:t>
      </w:r>
      <w:r w:rsidRPr="006C7049">
        <w:rPr>
          <w:rFonts w:cs="Times New Roman"/>
          <w:sz w:val="24"/>
        </w:rPr>
        <w:t xml:space="preserve"> To ietekme ir norādīta 3.</w:t>
      </w:r>
      <w:r w:rsidR="00692526" w:rsidRPr="006C7049">
        <w:rPr>
          <w:rFonts w:cs="Times New Roman"/>
          <w:sz w:val="24"/>
        </w:rPr>
        <w:t>6</w:t>
      </w:r>
      <w:r w:rsidRPr="006C7049">
        <w:rPr>
          <w:rFonts w:cs="Times New Roman"/>
          <w:sz w:val="24"/>
        </w:rPr>
        <w:t xml:space="preserve">. tabulā.  </w:t>
      </w:r>
    </w:p>
    <w:p w14:paraId="01B1B0B3" w14:textId="3693BD83" w:rsidR="00016A90" w:rsidRPr="006C7049" w:rsidRDefault="00016A90" w:rsidP="00016A90">
      <w:pPr>
        <w:widowControl w:val="0"/>
        <w:spacing w:before="240" w:after="120"/>
        <w:ind w:left="360" w:firstLine="0"/>
        <w:jc w:val="right"/>
        <w:rPr>
          <w:rFonts w:eastAsia="Times New Roman" w:cs="Times New Roman"/>
          <w:b/>
          <w:i/>
          <w:iCs/>
          <w:sz w:val="24"/>
          <w:szCs w:val="24"/>
        </w:rPr>
      </w:pPr>
      <w:r w:rsidRPr="006C7049">
        <w:rPr>
          <w:rFonts w:eastAsia="Times New Roman" w:cs="Times New Roman"/>
          <w:b/>
          <w:i/>
          <w:iCs/>
          <w:sz w:val="24"/>
          <w:szCs w:val="24"/>
        </w:rPr>
        <w:t>3.</w:t>
      </w:r>
      <w:r w:rsidR="00692526" w:rsidRPr="006C7049">
        <w:rPr>
          <w:rFonts w:eastAsia="Times New Roman" w:cs="Times New Roman"/>
          <w:b/>
          <w:i/>
          <w:iCs/>
          <w:sz w:val="24"/>
          <w:szCs w:val="24"/>
        </w:rPr>
        <w:t>6</w:t>
      </w:r>
      <w:r w:rsidRPr="006C7049">
        <w:rPr>
          <w:rFonts w:eastAsia="Times New Roman" w:cs="Times New Roman"/>
          <w:b/>
          <w:i/>
          <w:iCs/>
          <w:sz w:val="24"/>
          <w:szCs w:val="24"/>
        </w:rPr>
        <w:t xml:space="preserve">. tabula. </w:t>
      </w:r>
      <w:proofErr w:type="spellStart"/>
      <w:r w:rsidRPr="006C7049">
        <w:rPr>
          <w:rFonts w:eastAsia="Times New Roman" w:cs="Times New Roman"/>
          <w:b/>
          <w:i/>
          <w:iCs/>
          <w:sz w:val="24"/>
          <w:szCs w:val="24"/>
        </w:rPr>
        <w:t>Diskrecionārie</w:t>
      </w:r>
      <w:proofErr w:type="spellEnd"/>
      <w:r w:rsidRPr="006C7049">
        <w:rPr>
          <w:rFonts w:eastAsia="Times New Roman" w:cs="Times New Roman"/>
          <w:b/>
          <w:i/>
          <w:iCs/>
          <w:sz w:val="24"/>
          <w:szCs w:val="24"/>
        </w:rPr>
        <w:t xml:space="preserve"> ieņēmumu pasākumi</w:t>
      </w:r>
    </w:p>
    <w:tbl>
      <w:tblPr>
        <w:tblW w:w="89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3"/>
        <w:gridCol w:w="985"/>
        <w:gridCol w:w="707"/>
        <w:gridCol w:w="997"/>
        <w:gridCol w:w="1207"/>
        <w:gridCol w:w="737"/>
        <w:gridCol w:w="739"/>
        <w:gridCol w:w="738"/>
        <w:gridCol w:w="776"/>
      </w:tblGrid>
      <w:tr w:rsidR="00016A90" w:rsidRPr="009E7788" w14:paraId="65E5E224" w14:textId="77777777" w:rsidTr="002E0152">
        <w:trPr>
          <w:trHeight w:val="486"/>
          <w:tblHeader/>
        </w:trPr>
        <w:tc>
          <w:tcPr>
            <w:tcW w:w="2112" w:type="dxa"/>
            <w:vMerge w:val="restart"/>
            <w:shd w:val="clear" w:color="000000" w:fill="DDEBF7"/>
            <w:vAlign w:val="center"/>
          </w:tcPr>
          <w:p w14:paraId="18D46F3D" w14:textId="77777777" w:rsidR="00016A90" w:rsidRPr="00F44742" w:rsidRDefault="00016A90" w:rsidP="00336F85">
            <w:pPr>
              <w:ind w:firstLine="0"/>
              <w:jc w:val="left"/>
              <w:rPr>
                <w:rFonts w:eastAsia="Times New Roman" w:cs="Times New Roman"/>
                <w:b/>
                <w:bCs/>
                <w:sz w:val="18"/>
                <w:szCs w:val="18"/>
                <w:lang w:eastAsia="lv-LV"/>
              </w:rPr>
            </w:pPr>
            <w:r w:rsidRPr="00F44742">
              <w:rPr>
                <w:rFonts w:eastAsia="Times New Roman" w:cs="Times New Roman"/>
                <w:b/>
                <w:bCs/>
                <w:sz w:val="18"/>
                <w:szCs w:val="18"/>
                <w:lang w:eastAsia="lv-LV"/>
              </w:rPr>
              <w:t>Detalizēts apraksts*</w:t>
            </w:r>
          </w:p>
        </w:tc>
        <w:tc>
          <w:tcPr>
            <w:tcW w:w="989" w:type="dxa"/>
            <w:vMerge w:val="restart"/>
            <w:shd w:val="clear" w:color="000000" w:fill="DDEBF7"/>
            <w:vAlign w:val="center"/>
          </w:tcPr>
          <w:p w14:paraId="28BC3115" w14:textId="77777777" w:rsidR="00016A90" w:rsidRPr="00F44742" w:rsidRDefault="00016A90" w:rsidP="00336F85">
            <w:pPr>
              <w:ind w:firstLine="0"/>
              <w:rPr>
                <w:rFonts w:eastAsia="Times New Roman" w:cs="Times New Roman"/>
                <w:b/>
                <w:bCs/>
                <w:sz w:val="18"/>
                <w:szCs w:val="18"/>
                <w:lang w:eastAsia="lv-LV"/>
              </w:rPr>
            </w:pPr>
            <w:r w:rsidRPr="00F44742">
              <w:rPr>
                <w:rFonts w:eastAsia="Times New Roman" w:cs="Times New Roman"/>
                <w:b/>
                <w:bCs/>
                <w:sz w:val="18"/>
                <w:szCs w:val="18"/>
                <w:lang w:eastAsia="lv-LV"/>
              </w:rPr>
              <w:t>Nodokļu veids</w:t>
            </w:r>
          </w:p>
        </w:tc>
        <w:tc>
          <w:tcPr>
            <w:tcW w:w="709" w:type="dxa"/>
            <w:vMerge w:val="restart"/>
            <w:shd w:val="clear" w:color="000000" w:fill="DDEBF7"/>
            <w:vAlign w:val="center"/>
          </w:tcPr>
          <w:p w14:paraId="56B3CCC4" w14:textId="77777777" w:rsidR="00016A90" w:rsidRPr="00F44742" w:rsidRDefault="00016A90" w:rsidP="00336F85">
            <w:pPr>
              <w:ind w:firstLine="0"/>
              <w:rPr>
                <w:rFonts w:eastAsia="Times New Roman" w:cs="Times New Roman"/>
                <w:b/>
                <w:bCs/>
                <w:sz w:val="18"/>
                <w:szCs w:val="18"/>
                <w:lang w:eastAsia="lv-LV"/>
              </w:rPr>
            </w:pPr>
            <w:r>
              <w:rPr>
                <w:rFonts w:eastAsia="Times New Roman" w:cs="Times New Roman"/>
                <w:b/>
                <w:bCs/>
                <w:sz w:val="18"/>
                <w:szCs w:val="18"/>
                <w:lang w:eastAsia="lv-LV"/>
              </w:rPr>
              <w:t>E</w:t>
            </w:r>
            <w:r w:rsidRPr="00F44742">
              <w:rPr>
                <w:rFonts w:eastAsia="Times New Roman" w:cs="Times New Roman"/>
                <w:b/>
                <w:bCs/>
                <w:sz w:val="18"/>
                <w:szCs w:val="18"/>
                <w:lang w:eastAsia="lv-LV"/>
              </w:rPr>
              <w:t>SA kods</w:t>
            </w:r>
          </w:p>
        </w:tc>
        <w:tc>
          <w:tcPr>
            <w:tcW w:w="1000" w:type="dxa"/>
            <w:vMerge w:val="restart"/>
            <w:shd w:val="clear" w:color="000000" w:fill="DDEBF7"/>
            <w:vAlign w:val="center"/>
          </w:tcPr>
          <w:p w14:paraId="4AC368BF" w14:textId="77777777" w:rsidR="00016A90" w:rsidRPr="00F44742" w:rsidRDefault="00016A90" w:rsidP="00336F85">
            <w:pPr>
              <w:ind w:firstLine="0"/>
              <w:rPr>
                <w:rFonts w:eastAsia="Times New Roman" w:cs="Times New Roman"/>
                <w:b/>
                <w:bCs/>
                <w:sz w:val="18"/>
                <w:szCs w:val="18"/>
                <w:lang w:eastAsia="lv-LV"/>
              </w:rPr>
            </w:pPr>
            <w:r w:rsidRPr="00F44742">
              <w:rPr>
                <w:rFonts w:eastAsia="Times New Roman" w:cs="Times New Roman"/>
                <w:b/>
                <w:bCs/>
                <w:sz w:val="18"/>
                <w:szCs w:val="18"/>
                <w:lang w:eastAsia="lv-LV"/>
              </w:rPr>
              <w:t>Uzskaites princips</w:t>
            </w:r>
          </w:p>
        </w:tc>
        <w:tc>
          <w:tcPr>
            <w:tcW w:w="1211" w:type="dxa"/>
            <w:vMerge w:val="restart"/>
            <w:shd w:val="clear" w:color="000000" w:fill="DDEBF7"/>
            <w:vAlign w:val="center"/>
          </w:tcPr>
          <w:p w14:paraId="459656A8" w14:textId="77777777" w:rsidR="00016A90" w:rsidRPr="00F44742" w:rsidRDefault="00016A90" w:rsidP="00336F85">
            <w:pPr>
              <w:ind w:firstLine="0"/>
              <w:rPr>
                <w:rFonts w:eastAsia="Times New Roman" w:cs="Times New Roman"/>
                <w:b/>
                <w:bCs/>
                <w:sz w:val="18"/>
                <w:szCs w:val="18"/>
                <w:lang w:eastAsia="lv-LV"/>
              </w:rPr>
            </w:pPr>
            <w:r w:rsidRPr="00F44742">
              <w:rPr>
                <w:rFonts w:eastAsia="Times New Roman" w:cs="Times New Roman"/>
                <w:b/>
                <w:bCs/>
                <w:sz w:val="18"/>
                <w:szCs w:val="18"/>
                <w:lang w:eastAsia="lv-LV"/>
              </w:rPr>
              <w:t>Pieņemšanas statuss</w:t>
            </w:r>
          </w:p>
        </w:tc>
        <w:tc>
          <w:tcPr>
            <w:tcW w:w="2968" w:type="dxa"/>
            <w:gridSpan w:val="4"/>
            <w:shd w:val="clear" w:color="000000" w:fill="DDEBF7"/>
            <w:vAlign w:val="center"/>
          </w:tcPr>
          <w:p w14:paraId="33873AC2" w14:textId="77777777" w:rsidR="00016A90" w:rsidRPr="00F44742" w:rsidRDefault="00016A90" w:rsidP="00336F85">
            <w:pPr>
              <w:ind w:firstLine="0"/>
              <w:jc w:val="center"/>
              <w:rPr>
                <w:rFonts w:eastAsia="Times New Roman" w:cs="Times New Roman"/>
                <w:b/>
                <w:bCs/>
                <w:sz w:val="18"/>
                <w:szCs w:val="18"/>
                <w:lang w:eastAsia="lv-LV"/>
              </w:rPr>
            </w:pPr>
            <w:r w:rsidRPr="00F44742">
              <w:rPr>
                <w:rFonts w:eastAsia="Times New Roman" w:cs="Times New Roman"/>
                <w:b/>
                <w:bCs/>
                <w:sz w:val="18"/>
                <w:szCs w:val="18"/>
                <w:lang w:eastAsia="lv-LV"/>
              </w:rPr>
              <w:t>Ietekme uz budžetu</w:t>
            </w:r>
          </w:p>
        </w:tc>
      </w:tr>
      <w:tr w:rsidR="00016A90" w:rsidRPr="009E7788" w14:paraId="084D95FB" w14:textId="77777777" w:rsidTr="002E0152">
        <w:trPr>
          <w:trHeight w:val="486"/>
          <w:tblHeader/>
        </w:trPr>
        <w:tc>
          <w:tcPr>
            <w:tcW w:w="2112" w:type="dxa"/>
            <w:vMerge/>
            <w:shd w:val="clear" w:color="000000" w:fill="DDEBF7"/>
            <w:vAlign w:val="center"/>
          </w:tcPr>
          <w:p w14:paraId="3F216BB9" w14:textId="77777777" w:rsidR="00016A90" w:rsidRDefault="00016A90" w:rsidP="00336F85">
            <w:pPr>
              <w:ind w:firstLine="0"/>
              <w:jc w:val="left"/>
              <w:rPr>
                <w:b/>
                <w:bCs/>
                <w:color w:val="000000"/>
                <w:sz w:val="18"/>
                <w:szCs w:val="18"/>
              </w:rPr>
            </w:pPr>
          </w:p>
        </w:tc>
        <w:tc>
          <w:tcPr>
            <w:tcW w:w="989" w:type="dxa"/>
            <w:vMerge/>
            <w:shd w:val="clear" w:color="000000" w:fill="DDEBF7"/>
            <w:vAlign w:val="center"/>
          </w:tcPr>
          <w:p w14:paraId="002E8096" w14:textId="77777777" w:rsidR="00016A90" w:rsidRDefault="00016A90" w:rsidP="00336F85">
            <w:pPr>
              <w:ind w:firstLine="0"/>
              <w:jc w:val="center"/>
              <w:rPr>
                <w:color w:val="000000"/>
                <w:sz w:val="18"/>
                <w:szCs w:val="18"/>
              </w:rPr>
            </w:pPr>
          </w:p>
        </w:tc>
        <w:tc>
          <w:tcPr>
            <w:tcW w:w="709" w:type="dxa"/>
            <w:vMerge/>
            <w:shd w:val="clear" w:color="000000" w:fill="DDEBF7"/>
            <w:vAlign w:val="center"/>
          </w:tcPr>
          <w:p w14:paraId="1307AEF2" w14:textId="77777777" w:rsidR="00016A90" w:rsidRDefault="00016A90" w:rsidP="00336F85">
            <w:pPr>
              <w:ind w:firstLine="0"/>
              <w:jc w:val="center"/>
              <w:rPr>
                <w:color w:val="000000"/>
                <w:sz w:val="18"/>
                <w:szCs w:val="18"/>
              </w:rPr>
            </w:pPr>
          </w:p>
        </w:tc>
        <w:tc>
          <w:tcPr>
            <w:tcW w:w="1000" w:type="dxa"/>
            <w:vMerge/>
            <w:shd w:val="clear" w:color="000000" w:fill="DDEBF7"/>
            <w:vAlign w:val="center"/>
          </w:tcPr>
          <w:p w14:paraId="28CF3316" w14:textId="77777777" w:rsidR="00016A90" w:rsidRDefault="00016A90" w:rsidP="00336F85">
            <w:pPr>
              <w:ind w:firstLine="0"/>
              <w:jc w:val="center"/>
              <w:rPr>
                <w:color w:val="000000"/>
                <w:sz w:val="18"/>
                <w:szCs w:val="18"/>
              </w:rPr>
            </w:pPr>
          </w:p>
        </w:tc>
        <w:tc>
          <w:tcPr>
            <w:tcW w:w="1211" w:type="dxa"/>
            <w:vMerge/>
            <w:shd w:val="clear" w:color="000000" w:fill="DDEBF7"/>
            <w:vAlign w:val="center"/>
          </w:tcPr>
          <w:p w14:paraId="2FE7AB8A" w14:textId="77777777" w:rsidR="00016A90" w:rsidRDefault="00016A90" w:rsidP="00336F85">
            <w:pPr>
              <w:ind w:firstLine="0"/>
              <w:jc w:val="center"/>
              <w:rPr>
                <w:color w:val="000000"/>
                <w:sz w:val="18"/>
                <w:szCs w:val="18"/>
              </w:rPr>
            </w:pPr>
          </w:p>
        </w:tc>
        <w:tc>
          <w:tcPr>
            <w:tcW w:w="739" w:type="dxa"/>
            <w:shd w:val="clear" w:color="000000" w:fill="DDEBF7"/>
            <w:vAlign w:val="center"/>
          </w:tcPr>
          <w:p w14:paraId="65ACA34C" w14:textId="77777777" w:rsidR="00016A90" w:rsidRPr="002A4402" w:rsidRDefault="00016A90" w:rsidP="00336F85">
            <w:pPr>
              <w:ind w:firstLine="0"/>
              <w:jc w:val="center"/>
              <w:rPr>
                <w:rFonts w:eastAsia="Times New Roman" w:cs="Times New Roman"/>
                <w:sz w:val="18"/>
                <w:szCs w:val="18"/>
                <w:lang w:eastAsia="lv-LV"/>
              </w:rPr>
            </w:pPr>
            <w:r>
              <w:rPr>
                <w:rFonts w:eastAsia="Times New Roman" w:cs="Times New Roman"/>
                <w:b/>
                <w:bCs/>
                <w:sz w:val="18"/>
                <w:szCs w:val="18"/>
                <w:lang w:eastAsia="lv-LV"/>
              </w:rPr>
              <w:t>2024</w:t>
            </w:r>
          </w:p>
        </w:tc>
        <w:tc>
          <w:tcPr>
            <w:tcW w:w="741" w:type="dxa"/>
            <w:shd w:val="clear" w:color="000000" w:fill="DDEBF7"/>
            <w:vAlign w:val="center"/>
          </w:tcPr>
          <w:p w14:paraId="2B019678" w14:textId="77777777" w:rsidR="00016A90" w:rsidRPr="002A4402" w:rsidRDefault="00016A90" w:rsidP="00336F85">
            <w:pPr>
              <w:ind w:firstLine="0"/>
              <w:jc w:val="center"/>
              <w:rPr>
                <w:rFonts w:eastAsia="Times New Roman" w:cs="Times New Roman"/>
                <w:sz w:val="18"/>
                <w:szCs w:val="18"/>
                <w:lang w:eastAsia="lv-LV"/>
              </w:rPr>
            </w:pPr>
            <w:r w:rsidRPr="00F44742">
              <w:rPr>
                <w:rFonts w:eastAsia="Times New Roman" w:cs="Times New Roman"/>
                <w:b/>
                <w:bCs/>
                <w:sz w:val="18"/>
                <w:szCs w:val="18"/>
                <w:lang w:eastAsia="lv-LV"/>
              </w:rPr>
              <w:t>202</w:t>
            </w:r>
            <w:r>
              <w:rPr>
                <w:rFonts w:eastAsia="Times New Roman" w:cs="Times New Roman"/>
                <w:b/>
                <w:bCs/>
                <w:sz w:val="18"/>
                <w:szCs w:val="18"/>
                <w:lang w:eastAsia="lv-LV"/>
              </w:rPr>
              <w:t>5</w:t>
            </w:r>
          </w:p>
        </w:tc>
        <w:tc>
          <w:tcPr>
            <w:tcW w:w="740" w:type="dxa"/>
            <w:shd w:val="clear" w:color="000000" w:fill="DDEBF7"/>
            <w:vAlign w:val="center"/>
          </w:tcPr>
          <w:p w14:paraId="76F636BB" w14:textId="77777777" w:rsidR="00016A90" w:rsidRPr="002A4402" w:rsidRDefault="00016A90" w:rsidP="00336F85">
            <w:pPr>
              <w:ind w:firstLine="0"/>
              <w:jc w:val="center"/>
              <w:rPr>
                <w:rFonts w:eastAsia="Times New Roman" w:cs="Times New Roman"/>
                <w:sz w:val="18"/>
                <w:szCs w:val="18"/>
                <w:lang w:eastAsia="lv-LV"/>
              </w:rPr>
            </w:pPr>
            <w:r w:rsidRPr="00F44742">
              <w:rPr>
                <w:rFonts w:eastAsia="Times New Roman" w:cs="Times New Roman"/>
                <w:b/>
                <w:bCs/>
                <w:sz w:val="18"/>
                <w:szCs w:val="18"/>
                <w:lang w:eastAsia="lv-LV"/>
              </w:rPr>
              <w:t>202</w:t>
            </w:r>
            <w:r>
              <w:rPr>
                <w:rFonts w:eastAsia="Times New Roman" w:cs="Times New Roman"/>
                <w:b/>
                <w:bCs/>
                <w:sz w:val="18"/>
                <w:szCs w:val="18"/>
                <w:lang w:eastAsia="lv-LV"/>
              </w:rPr>
              <w:t>6</w:t>
            </w:r>
          </w:p>
        </w:tc>
        <w:tc>
          <w:tcPr>
            <w:tcW w:w="748" w:type="dxa"/>
            <w:shd w:val="clear" w:color="000000" w:fill="DDEBF7"/>
            <w:vAlign w:val="center"/>
          </w:tcPr>
          <w:p w14:paraId="5E9EAC87" w14:textId="77777777" w:rsidR="00016A90" w:rsidRPr="002A4402" w:rsidRDefault="00016A90" w:rsidP="00336F85">
            <w:pPr>
              <w:ind w:firstLine="0"/>
              <w:jc w:val="center"/>
              <w:rPr>
                <w:rFonts w:eastAsia="Times New Roman" w:cs="Times New Roman"/>
                <w:sz w:val="18"/>
                <w:szCs w:val="18"/>
                <w:lang w:eastAsia="lv-LV"/>
              </w:rPr>
            </w:pPr>
            <w:r w:rsidRPr="00F44742">
              <w:rPr>
                <w:rFonts w:eastAsia="Times New Roman" w:cs="Times New Roman"/>
                <w:b/>
                <w:bCs/>
                <w:sz w:val="18"/>
                <w:szCs w:val="18"/>
                <w:lang w:eastAsia="lv-LV"/>
              </w:rPr>
              <w:t>202</w:t>
            </w:r>
            <w:r>
              <w:rPr>
                <w:rFonts w:eastAsia="Times New Roman" w:cs="Times New Roman"/>
                <w:b/>
                <w:bCs/>
                <w:sz w:val="18"/>
                <w:szCs w:val="18"/>
                <w:lang w:eastAsia="lv-LV"/>
              </w:rPr>
              <w:t>7</w:t>
            </w:r>
          </w:p>
        </w:tc>
      </w:tr>
      <w:tr w:rsidR="00016A90" w:rsidRPr="009E7788" w14:paraId="7973269A" w14:textId="77777777" w:rsidTr="002E0152">
        <w:trPr>
          <w:trHeight w:val="486"/>
          <w:tblHeader/>
        </w:trPr>
        <w:tc>
          <w:tcPr>
            <w:tcW w:w="2112" w:type="dxa"/>
            <w:vMerge/>
            <w:shd w:val="clear" w:color="000000" w:fill="DDEBF7"/>
            <w:vAlign w:val="center"/>
          </w:tcPr>
          <w:p w14:paraId="237F76FB" w14:textId="77777777" w:rsidR="00016A90" w:rsidRDefault="00016A90" w:rsidP="00336F85">
            <w:pPr>
              <w:ind w:firstLine="0"/>
              <w:jc w:val="left"/>
              <w:rPr>
                <w:b/>
                <w:bCs/>
                <w:color w:val="000000"/>
                <w:sz w:val="18"/>
                <w:szCs w:val="18"/>
              </w:rPr>
            </w:pPr>
          </w:p>
        </w:tc>
        <w:tc>
          <w:tcPr>
            <w:tcW w:w="989" w:type="dxa"/>
            <w:vMerge/>
            <w:shd w:val="clear" w:color="000000" w:fill="DDEBF7"/>
            <w:vAlign w:val="center"/>
          </w:tcPr>
          <w:p w14:paraId="6C0448E2" w14:textId="77777777" w:rsidR="00016A90" w:rsidRDefault="00016A90" w:rsidP="00336F85">
            <w:pPr>
              <w:ind w:firstLine="0"/>
              <w:jc w:val="center"/>
              <w:rPr>
                <w:color w:val="000000"/>
                <w:sz w:val="18"/>
                <w:szCs w:val="18"/>
              </w:rPr>
            </w:pPr>
          </w:p>
        </w:tc>
        <w:tc>
          <w:tcPr>
            <w:tcW w:w="709" w:type="dxa"/>
            <w:vMerge/>
            <w:shd w:val="clear" w:color="000000" w:fill="DDEBF7"/>
            <w:vAlign w:val="center"/>
          </w:tcPr>
          <w:p w14:paraId="7B6CEDCD" w14:textId="77777777" w:rsidR="00016A90" w:rsidRDefault="00016A90" w:rsidP="00336F85">
            <w:pPr>
              <w:ind w:firstLine="0"/>
              <w:jc w:val="center"/>
              <w:rPr>
                <w:color w:val="000000"/>
                <w:sz w:val="18"/>
                <w:szCs w:val="18"/>
              </w:rPr>
            </w:pPr>
          </w:p>
        </w:tc>
        <w:tc>
          <w:tcPr>
            <w:tcW w:w="1000" w:type="dxa"/>
            <w:vMerge/>
            <w:shd w:val="clear" w:color="000000" w:fill="DDEBF7"/>
            <w:vAlign w:val="center"/>
          </w:tcPr>
          <w:p w14:paraId="1CEBBA4D" w14:textId="77777777" w:rsidR="00016A90" w:rsidRDefault="00016A90" w:rsidP="00336F85">
            <w:pPr>
              <w:ind w:firstLine="0"/>
              <w:jc w:val="center"/>
              <w:rPr>
                <w:color w:val="000000"/>
                <w:sz w:val="18"/>
                <w:szCs w:val="18"/>
              </w:rPr>
            </w:pPr>
          </w:p>
        </w:tc>
        <w:tc>
          <w:tcPr>
            <w:tcW w:w="1211" w:type="dxa"/>
            <w:vMerge/>
            <w:shd w:val="clear" w:color="000000" w:fill="DDEBF7"/>
            <w:vAlign w:val="center"/>
          </w:tcPr>
          <w:p w14:paraId="1A56D3F2" w14:textId="77777777" w:rsidR="00016A90" w:rsidRDefault="00016A90" w:rsidP="00336F85">
            <w:pPr>
              <w:ind w:firstLine="0"/>
              <w:jc w:val="center"/>
              <w:rPr>
                <w:color w:val="000000"/>
                <w:sz w:val="18"/>
                <w:szCs w:val="18"/>
              </w:rPr>
            </w:pPr>
          </w:p>
        </w:tc>
        <w:tc>
          <w:tcPr>
            <w:tcW w:w="2968" w:type="dxa"/>
            <w:gridSpan w:val="4"/>
            <w:shd w:val="clear" w:color="000000" w:fill="DDEBF7"/>
          </w:tcPr>
          <w:p w14:paraId="100DB8B1" w14:textId="77777777" w:rsidR="00016A90" w:rsidRPr="009E7788" w:rsidRDefault="00016A90" w:rsidP="00336F85">
            <w:pPr>
              <w:ind w:firstLine="0"/>
              <w:jc w:val="center"/>
              <w:rPr>
                <w:rFonts w:eastAsia="Times New Roman" w:cs="Times New Roman"/>
                <w:sz w:val="18"/>
                <w:szCs w:val="18"/>
                <w:lang w:eastAsia="lv-LV"/>
              </w:rPr>
            </w:pPr>
            <w:r w:rsidRPr="00F44742">
              <w:rPr>
                <w:rFonts w:eastAsia="Times New Roman" w:cs="Times New Roman"/>
                <w:sz w:val="18"/>
                <w:szCs w:val="18"/>
                <w:lang w:eastAsia="lv-LV"/>
              </w:rPr>
              <w:t>% no IKP</w:t>
            </w:r>
          </w:p>
        </w:tc>
      </w:tr>
      <w:tr w:rsidR="00A16AAB" w:rsidRPr="009E7788" w14:paraId="242CF5F3" w14:textId="77777777" w:rsidTr="00A329BA">
        <w:trPr>
          <w:trHeight w:val="486"/>
        </w:trPr>
        <w:tc>
          <w:tcPr>
            <w:tcW w:w="2112" w:type="dxa"/>
            <w:shd w:val="clear" w:color="000000" w:fill="DDEBF7"/>
            <w:vAlign w:val="center"/>
          </w:tcPr>
          <w:p w14:paraId="519CED03" w14:textId="77777777" w:rsidR="00A16AAB" w:rsidRPr="009E7788" w:rsidRDefault="00A16AAB" w:rsidP="00A16AAB">
            <w:pPr>
              <w:ind w:firstLine="0"/>
              <w:jc w:val="left"/>
              <w:rPr>
                <w:rFonts w:eastAsia="Times New Roman" w:cs="Times New Roman"/>
                <w:sz w:val="18"/>
                <w:szCs w:val="18"/>
                <w:lang w:eastAsia="lv-LV"/>
              </w:rPr>
            </w:pPr>
            <w:r>
              <w:rPr>
                <w:b/>
                <w:bCs/>
                <w:color w:val="000000"/>
                <w:sz w:val="18"/>
                <w:szCs w:val="18"/>
              </w:rPr>
              <w:t>Likmju paaugstināšana (Grozījumi likumā "Par izložu un azartspēļu nodevu un nodokli)</w:t>
            </w:r>
          </w:p>
        </w:tc>
        <w:tc>
          <w:tcPr>
            <w:tcW w:w="989" w:type="dxa"/>
            <w:shd w:val="clear" w:color="000000" w:fill="DDEBF7"/>
            <w:vAlign w:val="center"/>
          </w:tcPr>
          <w:p w14:paraId="0C3D6ABA"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Izložu un azartspēļu nodoklis</w:t>
            </w:r>
          </w:p>
        </w:tc>
        <w:tc>
          <w:tcPr>
            <w:tcW w:w="709" w:type="dxa"/>
            <w:shd w:val="clear" w:color="000000" w:fill="DDEBF7"/>
            <w:vAlign w:val="center"/>
          </w:tcPr>
          <w:p w14:paraId="2B3424DC"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D2</w:t>
            </w:r>
          </w:p>
        </w:tc>
        <w:tc>
          <w:tcPr>
            <w:tcW w:w="1000" w:type="dxa"/>
            <w:shd w:val="clear" w:color="000000" w:fill="DDEBF7"/>
            <w:vAlign w:val="center"/>
          </w:tcPr>
          <w:p w14:paraId="0A76C3BF"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000000" w:fill="DDEBF7"/>
            <w:vAlign w:val="center"/>
          </w:tcPr>
          <w:p w14:paraId="0940363B"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000000" w:fill="DDEBF7"/>
            <w:vAlign w:val="bottom"/>
          </w:tcPr>
          <w:p w14:paraId="7F6D1F9D" w14:textId="3A5475A3"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0,01</w:t>
            </w:r>
          </w:p>
        </w:tc>
        <w:tc>
          <w:tcPr>
            <w:tcW w:w="741" w:type="dxa"/>
            <w:shd w:val="clear" w:color="000000" w:fill="DDEBF7"/>
            <w:noWrap/>
            <w:vAlign w:val="bottom"/>
          </w:tcPr>
          <w:p w14:paraId="1862D45B" w14:textId="6FCF2A09"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-0,01</w:t>
            </w:r>
          </w:p>
        </w:tc>
        <w:tc>
          <w:tcPr>
            <w:tcW w:w="710" w:type="dxa"/>
            <w:shd w:val="clear" w:color="000000" w:fill="DDEBF7"/>
            <w:noWrap/>
            <w:vAlign w:val="bottom"/>
          </w:tcPr>
          <w:p w14:paraId="22796686" w14:textId="1E52AF74"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000000" w:fill="DDEBF7"/>
            <w:noWrap/>
          </w:tcPr>
          <w:p w14:paraId="265EF6C0" w14:textId="77777777" w:rsidR="00A16AAB" w:rsidRPr="009E7788" w:rsidRDefault="00A16AAB" w:rsidP="00A16AAB">
            <w:pPr>
              <w:ind w:firstLine="0"/>
              <w:jc w:val="center"/>
              <w:rPr>
                <w:rFonts w:eastAsia="Times New Roman" w:cs="Times New Roman"/>
                <w:sz w:val="18"/>
                <w:szCs w:val="18"/>
                <w:lang w:eastAsia="lv-LV"/>
              </w:rPr>
            </w:pPr>
          </w:p>
        </w:tc>
      </w:tr>
      <w:tr w:rsidR="00A16AAB" w:rsidRPr="00F44742" w14:paraId="27DC5EE2" w14:textId="77777777" w:rsidTr="00571AB4">
        <w:trPr>
          <w:trHeight w:val="325"/>
        </w:trPr>
        <w:tc>
          <w:tcPr>
            <w:tcW w:w="2112" w:type="dxa"/>
            <w:shd w:val="clear" w:color="auto" w:fill="auto"/>
          </w:tcPr>
          <w:p w14:paraId="6BE428B7" w14:textId="77777777" w:rsidR="00A16AAB" w:rsidRPr="00F44742" w:rsidRDefault="00A16AAB" w:rsidP="00A16AAB">
            <w:pPr>
              <w:ind w:firstLine="0"/>
              <w:jc w:val="left"/>
              <w:rPr>
                <w:rFonts w:eastAsia="Times New Roman" w:cs="Times New Roman"/>
                <w:sz w:val="18"/>
                <w:szCs w:val="18"/>
                <w:lang w:eastAsia="lv-LV"/>
              </w:rPr>
            </w:pPr>
            <w:r w:rsidRPr="00F44742">
              <w:rPr>
                <w:color w:val="000000"/>
                <w:sz w:val="18"/>
                <w:szCs w:val="18"/>
              </w:rPr>
              <w:t xml:space="preserve">t.sk. valsts pamatbudžets </w:t>
            </w:r>
          </w:p>
        </w:tc>
        <w:tc>
          <w:tcPr>
            <w:tcW w:w="989" w:type="dxa"/>
            <w:shd w:val="clear" w:color="auto" w:fill="auto"/>
          </w:tcPr>
          <w:p w14:paraId="2AFAF296" w14:textId="77777777" w:rsidR="00A16AAB" w:rsidRPr="00F44742" w:rsidRDefault="00A16AAB" w:rsidP="00A16AAB">
            <w:pPr>
              <w:ind w:firstLine="0"/>
              <w:jc w:val="center"/>
              <w:rPr>
                <w:rFonts w:eastAsia="Times New Roman" w:cs="Times New Roman"/>
                <w:sz w:val="18"/>
                <w:szCs w:val="18"/>
                <w:lang w:eastAsia="lv-LV"/>
              </w:rPr>
            </w:pPr>
          </w:p>
        </w:tc>
        <w:tc>
          <w:tcPr>
            <w:tcW w:w="709" w:type="dxa"/>
            <w:shd w:val="clear" w:color="auto" w:fill="auto"/>
          </w:tcPr>
          <w:p w14:paraId="783932F0" w14:textId="77777777" w:rsidR="00A16AAB" w:rsidRPr="00F44742" w:rsidRDefault="00A16AAB" w:rsidP="00A16AAB">
            <w:pPr>
              <w:ind w:firstLine="0"/>
              <w:jc w:val="center"/>
              <w:rPr>
                <w:rFonts w:eastAsia="Times New Roman" w:cs="Times New Roman"/>
                <w:sz w:val="18"/>
                <w:szCs w:val="18"/>
                <w:lang w:eastAsia="lv-LV"/>
              </w:rPr>
            </w:pPr>
          </w:p>
        </w:tc>
        <w:tc>
          <w:tcPr>
            <w:tcW w:w="1000" w:type="dxa"/>
            <w:shd w:val="clear" w:color="auto" w:fill="auto"/>
          </w:tcPr>
          <w:p w14:paraId="45642835" w14:textId="77777777" w:rsidR="00A16AAB" w:rsidRPr="00F44742" w:rsidRDefault="00A16AAB" w:rsidP="00A16AAB">
            <w:pPr>
              <w:ind w:firstLine="0"/>
              <w:jc w:val="center"/>
              <w:rPr>
                <w:rFonts w:eastAsia="Times New Roman" w:cs="Times New Roman"/>
                <w:sz w:val="16"/>
                <w:szCs w:val="16"/>
                <w:lang w:eastAsia="lv-LV"/>
              </w:rPr>
            </w:pPr>
          </w:p>
        </w:tc>
        <w:tc>
          <w:tcPr>
            <w:tcW w:w="1211" w:type="dxa"/>
            <w:shd w:val="clear" w:color="auto" w:fill="auto"/>
          </w:tcPr>
          <w:p w14:paraId="2E675F62" w14:textId="77777777" w:rsidR="00A16AAB" w:rsidRPr="00F44742" w:rsidRDefault="00A16AAB" w:rsidP="00A16AAB">
            <w:pPr>
              <w:ind w:firstLine="0"/>
              <w:jc w:val="center"/>
              <w:rPr>
                <w:rFonts w:eastAsia="Times New Roman" w:cs="Times New Roman"/>
                <w:sz w:val="18"/>
                <w:szCs w:val="18"/>
                <w:lang w:eastAsia="lv-LV"/>
              </w:rPr>
            </w:pPr>
          </w:p>
        </w:tc>
        <w:tc>
          <w:tcPr>
            <w:tcW w:w="739" w:type="dxa"/>
            <w:shd w:val="clear" w:color="auto" w:fill="auto"/>
            <w:vAlign w:val="bottom"/>
          </w:tcPr>
          <w:p w14:paraId="4EC2FC2E" w14:textId="5942B091" w:rsidR="00A16AAB" w:rsidRPr="00F44742" w:rsidRDefault="00A16AAB" w:rsidP="00A16AAB">
            <w:pPr>
              <w:ind w:firstLine="0"/>
              <w:jc w:val="center"/>
              <w:rPr>
                <w:rFonts w:eastAsia="Times New Roman" w:cs="Times New Roman"/>
                <w:sz w:val="18"/>
                <w:szCs w:val="18"/>
                <w:lang w:eastAsia="lv-LV"/>
              </w:rPr>
            </w:pPr>
            <w:r>
              <w:rPr>
                <w:color w:val="000000"/>
                <w:sz w:val="18"/>
                <w:szCs w:val="18"/>
              </w:rPr>
              <w:t>0,01</w:t>
            </w:r>
          </w:p>
        </w:tc>
        <w:tc>
          <w:tcPr>
            <w:tcW w:w="741" w:type="dxa"/>
            <w:shd w:val="clear" w:color="auto" w:fill="auto"/>
            <w:noWrap/>
            <w:vAlign w:val="bottom"/>
          </w:tcPr>
          <w:p w14:paraId="295158CA" w14:textId="3BA979F8" w:rsidR="00A16AAB" w:rsidRPr="00F44742" w:rsidRDefault="00A16AAB" w:rsidP="00A16AAB">
            <w:pPr>
              <w:ind w:firstLine="0"/>
              <w:jc w:val="center"/>
              <w:rPr>
                <w:rFonts w:eastAsia="Times New Roman" w:cs="Times New Roman"/>
                <w:sz w:val="18"/>
                <w:szCs w:val="18"/>
                <w:lang w:eastAsia="lv-LV"/>
              </w:rPr>
            </w:pPr>
            <w:r>
              <w:rPr>
                <w:color w:val="000000"/>
                <w:sz w:val="18"/>
                <w:szCs w:val="18"/>
              </w:rPr>
              <w:t>-0,01</w:t>
            </w:r>
          </w:p>
        </w:tc>
        <w:tc>
          <w:tcPr>
            <w:tcW w:w="710" w:type="dxa"/>
            <w:shd w:val="clear" w:color="auto" w:fill="auto"/>
            <w:noWrap/>
            <w:vAlign w:val="bottom"/>
          </w:tcPr>
          <w:p w14:paraId="30C7FC53" w14:textId="244450BE" w:rsidR="00A16AAB" w:rsidRPr="00F44742" w:rsidRDefault="00A16AAB" w:rsidP="00A16AAB">
            <w:pPr>
              <w:ind w:firstLine="0"/>
              <w:jc w:val="center"/>
              <w:rPr>
                <w:rFonts w:eastAsia="Times New Roman" w:cs="Times New Roman"/>
                <w:sz w:val="18"/>
                <w:szCs w:val="18"/>
                <w:lang w:eastAsia="lv-LV"/>
              </w:rPr>
            </w:pPr>
            <w:r>
              <w:rPr>
                <w:color w:val="000000"/>
                <w:sz w:val="18"/>
                <w:szCs w:val="18"/>
              </w:rPr>
              <w:t>0,00</w:t>
            </w:r>
          </w:p>
        </w:tc>
        <w:tc>
          <w:tcPr>
            <w:tcW w:w="778" w:type="dxa"/>
            <w:shd w:val="clear" w:color="auto" w:fill="auto"/>
            <w:noWrap/>
          </w:tcPr>
          <w:p w14:paraId="0327C5D0" w14:textId="77777777" w:rsidR="00A16AAB" w:rsidRPr="00F44742" w:rsidRDefault="00A16AAB" w:rsidP="00A16AAB">
            <w:pPr>
              <w:ind w:firstLine="0"/>
              <w:jc w:val="center"/>
              <w:rPr>
                <w:rFonts w:eastAsia="Times New Roman" w:cs="Times New Roman"/>
                <w:sz w:val="18"/>
                <w:szCs w:val="18"/>
                <w:lang w:eastAsia="lv-LV"/>
              </w:rPr>
            </w:pPr>
          </w:p>
        </w:tc>
      </w:tr>
      <w:tr w:rsidR="00A16AAB" w:rsidRPr="009E7788" w14:paraId="46D29269" w14:textId="77777777" w:rsidTr="00571AB4">
        <w:trPr>
          <w:trHeight w:val="273"/>
        </w:trPr>
        <w:tc>
          <w:tcPr>
            <w:tcW w:w="2112" w:type="dxa"/>
            <w:shd w:val="clear" w:color="auto" w:fill="auto"/>
          </w:tcPr>
          <w:p w14:paraId="4C30BEEC" w14:textId="77777777" w:rsidR="00A16AAB" w:rsidRPr="00F44742" w:rsidRDefault="00A16AAB" w:rsidP="00A16AAB">
            <w:pPr>
              <w:ind w:firstLine="0"/>
              <w:jc w:val="left"/>
              <w:rPr>
                <w:rFonts w:eastAsia="Times New Roman" w:cs="Times New Roman"/>
                <w:sz w:val="18"/>
                <w:szCs w:val="18"/>
                <w:lang w:eastAsia="lv-LV"/>
              </w:rPr>
            </w:pPr>
            <w:r w:rsidRPr="00F44742">
              <w:rPr>
                <w:color w:val="000000"/>
                <w:sz w:val="18"/>
                <w:szCs w:val="18"/>
              </w:rPr>
              <w:t>t.sk. pašvaldību budžets</w:t>
            </w:r>
          </w:p>
        </w:tc>
        <w:tc>
          <w:tcPr>
            <w:tcW w:w="989" w:type="dxa"/>
            <w:shd w:val="clear" w:color="auto" w:fill="auto"/>
          </w:tcPr>
          <w:p w14:paraId="051944C5" w14:textId="77777777" w:rsidR="00A16AAB" w:rsidRPr="00F44742" w:rsidRDefault="00A16AAB" w:rsidP="00A16AAB">
            <w:pPr>
              <w:ind w:firstLine="0"/>
              <w:jc w:val="center"/>
              <w:rPr>
                <w:rFonts w:eastAsia="Times New Roman" w:cs="Times New Roman"/>
                <w:sz w:val="18"/>
                <w:szCs w:val="18"/>
                <w:lang w:eastAsia="lv-LV"/>
              </w:rPr>
            </w:pPr>
          </w:p>
        </w:tc>
        <w:tc>
          <w:tcPr>
            <w:tcW w:w="709" w:type="dxa"/>
            <w:shd w:val="clear" w:color="auto" w:fill="auto"/>
          </w:tcPr>
          <w:p w14:paraId="356FF5A9" w14:textId="77777777" w:rsidR="00A16AAB" w:rsidRPr="00F44742" w:rsidRDefault="00A16AAB" w:rsidP="00A16AAB">
            <w:pPr>
              <w:ind w:firstLine="0"/>
              <w:jc w:val="center"/>
              <w:rPr>
                <w:rFonts w:eastAsia="Times New Roman" w:cs="Times New Roman"/>
                <w:sz w:val="18"/>
                <w:szCs w:val="18"/>
                <w:lang w:eastAsia="lv-LV"/>
              </w:rPr>
            </w:pPr>
          </w:p>
        </w:tc>
        <w:tc>
          <w:tcPr>
            <w:tcW w:w="1000" w:type="dxa"/>
            <w:shd w:val="clear" w:color="auto" w:fill="auto"/>
          </w:tcPr>
          <w:p w14:paraId="233021CC" w14:textId="77777777" w:rsidR="00A16AAB" w:rsidRPr="00F44742" w:rsidRDefault="00A16AAB" w:rsidP="00A16AAB">
            <w:pPr>
              <w:ind w:firstLine="0"/>
              <w:jc w:val="center"/>
              <w:rPr>
                <w:rFonts w:eastAsia="Times New Roman" w:cs="Times New Roman"/>
                <w:sz w:val="16"/>
                <w:szCs w:val="16"/>
                <w:lang w:eastAsia="lv-LV"/>
              </w:rPr>
            </w:pPr>
          </w:p>
        </w:tc>
        <w:tc>
          <w:tcPr>
            <w:tcW w:w="1211" w:type="dxa"/>
            <w:shd w:val="clear" w:color="auto" w:fill="auto"/>
          </w:tcPr>
          <w:p w14:paraId="088D5AF1" w14:textId="77777777" w:rsidR="00A16AAB" w:rsidRPr="00F44742" w:rsidRDefault="00A16AAB" w:rsidP="00A16AAB">
            <w:pPr>
              <w:ind w:firstLine="0"/>
              <w:jc w:val="center"/>
              <w:rPr>
                <w:rFonts w:eastAsia="Times New Roman" w:cs="Times New Roman"/>
                <w:sz w:val="18"/>
                <w:szCs w:val="18"/>
                <w:lang w:eastAsia="lv-LV"/>
              </w:rPr>
            </w:pPr>
          </w:p>
        </w:tc>
        <w:tc>
          <w:tcPr>
            <w:tcW w:w="739" w:type="dxa"/>
            <w:shd w:val="clear" w:color="auto" w:fill="auto"/>
            <w:vAlign w:val="bottom"/>
          </w:tcPr>
          <w:p w14:paraId="31E67C22" w14:textId="3101AD23" w:rsidR="00A16AAB" w:rsidRPr="00F44742" w:rsidRDefault="00A16AAB" w:rsidP="00A16AAB">
            <w:pPr>
              <w:ind w:firstLine="0"/>
              <w:jc w:val="center"/>
              <w:rPr>
                <w:rFonts w:eastAsia="Times New Roman" w:cs="Times New Roman"/>
                <w:sz w:val="18"/>
                <w:szCs w:val="18"/>
                <w:lang w:eastAsia="lv-LV"/>
              </w:rPr>
            </w:pPr>
            <w:r>
              <w:rPr>
                <w:color w:val="000000"/>
                <w:sz w:val="18"/>
                <w:szCs w:val="18"/>
              </w:rPr>
              <w:t>0,00</w:t>
            </w:r>
          </w:p>
        </w:tc>
        <w:tc>
          <w:tcPr>
            <w:tcW w:w="741" w:type="dxa"/>
            <w:shd w:val="clear" w:color="auto" w:fill="auto"/>
            <w:noWrap/>
            <w:vAlign w:val="bottom"/>
          </w:tcPr>
          <w:p w14:paraId="7235011C" w14:textId="65C55A81" w:rsidR="00A16AAB" w:rsidRPr="00F44742" w:rsidRDefault="00A16AAB" w:rsidP="00A16AAB">
            <w:pPr>
              <w:ind w:firstLine="0"/>
              <w:jc w:val="center"/>
              <w:rPr>
                <w:rFonts w:eastAsia="Times New Roman" w:cs="Times New Roman"/>
                <w:sz w:val="18"/>
                <w:szCs w:val="18"/>
                <w:lang w:eastAsia="lv-LV"/>
              </w:rPr>
            </w:pPr>
            <w:r>
              <w:rPr>
                <w:color w:val="000000"/>
                <w:sz w:val="18"/>
                <w:szCs w:val="18"/>
              </w:rPr>
              <w:t>0,00</w:t>
            </w:r>
          </w:p>
        </w:tc>
        <w:tc>
          <w:tcPr>
            <w:tcW w:w="710" w:type="dxa"/>
            <w:shd w:val="clear" w:color="auto" w:fill="auto"/>
            <w:noWrap/>
            <w:vAlign w:val="bottom"/>
          </w:tcPr>
          <w:p w14:paraId="76788A6D" w14:textId="004B5176"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78" w:type="dxa"/>
            <w:shd w:val="clear" w:color="auto" w:fill="auto"/>
            <w:noWrap/>
          </w:tcPr>
          <w:p w14:paraId="09637029"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26B7FDA0" w14:textId="77777777" w:rsidTr="00A329BA">
        <w:trPr>
          <w:trHeight w:val="486"/>
        </w:trPr>
        <w:tc>
          <w:tcPr>
            <w:tcW w:w="2112" w:type="dxa"/>
            <w:shd w:val="clear" w:color="000000" w:fill="DDEBF7"/>
          </w:tcPr>
          <w:p w14:paraId="1747A4DB" w14:textId="77777777" w:rsidR="00A16AAB" w:rsidRPr="00F44742" w:rsidRDefault="00A16AAB" w:rsidP="00A16AAB">
            <w:pPr>
              <w:ind w:firstLine="0"/>
              <w:jc w:val="left"/>
              <w:rPr>
                <w:rFonts w:eastAsia="Times New Roman" w:cs="Times New Roman"/>
                <w:sz w:val="18"/>
                <w:szCs w:val="18"/>
                <w:lang w:eastAsia="lv-LV"/>
              </w:rPr>
            </w:pPr>
            <w:r>
              <w:rPr>
                <w:b/>
                <w:bCs/>
                <w:color w:val="000000"/>
                <w:sz w:val="18"/>
                <w:szCs w:val="18"/>
              </w:rPr>
              <w:t>Iedzīvotāju ienākuma nodokļa atvieglojuma atcelšana par saņemtajām summām, kas izmaksātas kā valsts vai ES atbalsts lauksaimniecībai un lauku attīstībai</w:t>
            </w:r>
          </w:p>
        </w:tc>
        <w:tc>
          <w:tcPr>
            <w:tcW w:w="989" w:type="dxa"/>
            <w:shd w:val="clear" w:color="000000" w:fill="DDEBF7"/>
          </w:tcPr>
          <w:p w14:paraId="328C2FD0" w14:textId="77777777" w:rsidR="00A16AAB" w:rsidRPr="00F44742" w:rsidRDefault="00A16AAB" w:rsidP="00A16AAB">
            <w:pPr>
              <w:ind w:firstLine="0"/>
              <w:jc w:val="center"/>
              <w:rPr>
                <w:rFonts w:eastAsia="Times New Roman" w:cs="Times New Roman"/>
                <w:sz w:val="18"/>
                <w:szCs w:val="18"/>
                <w:lang w:eastAsia="lv-LV"/>
              </w:rPr>
            </w:pPr>
            <w:r>
              <w:rPr>
                <w:color w:val="000000"/>
                <w:sz w:val="18"/>
                <w:szCs w:val="18"/>
              </w:rPr>
              <w:t>IIN</w:t>
            </w:r>
          </w:p>
        </w:tc>
        <w:tc>
          <w:tcPr>
            <w:tcW w:w="709" w:type="dxa"/>
            <w:shd w:val="clear" w:color="000000" w:fill="DDEBF7"/>
          </w:tcPr>
          <w:p w14:paraId="471318A0" w14:textId="77777777" w:rsidR="00A16AAB" w:rsidRPr="00F44742" w:rsidRDefault="00A16AAB" w:rsidP="00A16AAB">
            <w:pPr>
              <w:ind w:firstLine="0"/>
              <w:jc w:val="center"/>
              <w:rPr>
                <w:rFonts w:eastAsia="Times New Roman" w:cs="Times New Roman"/>
                <w:sz w:val="18"/>
                <w:szCs w:val="18"/>
                <w:lang w:eastAsia="lv-LV"/>
              </w:rPr>
            </w:pPr>
            <w:r>
              <w:rPr>
                <w:color w:val="000000"/>
                <w:sz w:val="18"/>
                <w:szCs w:val="18"/>
              </w:rPr>
              <w:t>D5</w:t>
            </w:r>
          </w:p>
        </w:tc>
        <w:tc>
          <w:tcPr>
            <w:tcW w:w="1000" w:type="dxa"/>
            <w:shd w:val="clear" w:color="000000" w:fill="DDEBF7"/>
          </w:tcPr>
          <w:p w14:paraId="42A498B4"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000000" w:fill="DDEBF7"/>
          </w:tcPr>
          <w:p w14:paraId="3F82FE6B" w14:textId="77777777" w:rsidR="00A16AAB" w:rsidRPr="00F44742"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000000" w:fill="DDEBF7"/>
            <w:vAlign w:val="bottom"/>
          </w:tcPr>
          <w:p w14:paraId="1F671E39" w14:textId="3B014744"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41" w:type="dxa"/>
            <w:shd w:val="clear" w:color="000000" w:fill="DDEBF7"/>
            <w:noWrap/>
            <w:vAlign w:val="bottom"/>
          </w:tcPr>
          <w:p w14:paraId="51FF31E5" w14:textId="1B70D24B" w:rsidR="00A16AAB" w:rsidRPr="00F44742" w:rsidRDefault="00A16AAB" w:rsidP="00A16AAB">
            <w:pPr>
              <w:ind w:firstLine="0"/>
              <w:jc w:val="center"/>
              <w:rPr>
                <w:rFonts w:eastAsia="Times New Roman" w:cs="Times New Roman"/>
                <w:sz w:val="18"/>
                <w:szCs w:val="18"/>
                <w:lang w:eastAsia="lv-LV"/>
              </w:rPr>
            </w:pPr>
            <w:r>
              <w:rPr>
                <w:b/>
                <w:bCs/>
                <w:color w:val="000000"/>
                <w:sz w:val="18"/>
                <w:szCs w:val="18"/>
              </w:rPr>
              <w:t>0,05</w:t>
            </w:r>
          </w:p>
        </w:tc>
        <w:tc>
          <w:tcPr>
            <w:tcW w:w="710" w:type="dxa"/>
            <w:shd w:val="clear" w:color="000000" w:fill="DDEBF7"/>
            <w:noWrap/>
            <w:vAlign w:val="bottom"/>
          </w:tcPr>
          <w:p w14:paraId="4629F914" w14:textId="06670DE2" w:rsidR="00A16AAB" w:rsidRPr="00F44742"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000000" w:fill="DDEBF7"/>
            <w:noWrap/>
          </w:tcPr>
          <w:p w14:paraId="53455AC4" w14:textId="77777777" w:rsidR="00A16AAB" w:rsidRPr="00F44742" w:rsidRDefault="00A16AAB" w:rsidP="00A16AAB">
            <w:pPr>
              <w:ind w:firstLine="0"/>
              <w:jc w:val="center"/>
              <w:rPr>
                <w:rFonts w:eastAsia="Times New Roman" w:cs="Times New Roman"/>
                <w:sz w:val="18"/>
                <w:szCs w:val="18"/>
                <w:lang w:eastAsia="lv-LV"/>
              </w:rPr>
            </w:pPr>
          </w:p>
        </w:tc>
      </w:tr>
      <w:tr w:rsidR="00A16AAB" w:rsidRPr="009E7788" w14:paraId="5A259DE1" w14:textId="77777777" w:rsidTr="00571AB4">
        <w:trPr>
          <w:trHeight w:val="301"/>
        </w:trPr>
        <w:tc>
          <w:tcPr>
            <w:tcW w:w="2112" w:type="dxa"/>
            <w:shd w:val="clear" w:color="auto" w:fill="auto"/>
          </w:tcPr>
          <w:p w14:paraId="7B89B698" w14:textId="77777777" w:rsidR="00A16AAB" w:rsidRPr="009E7788" w:rsidRDefault="00A16AAB" w:rsidP="00A16AAB">
            <w:pPr>
              <w:ind w:firstLine="0"/>
              <w:jc w:val="left"/>
              <w:rPr>
                <w:rFonts w:eastAsia="Times New Roman" w:cs="Times New Roman"/>
                <w:sz w:val="18"/>
                <w:szCs w:val="18"/>
                <w:lang w:eastAsia="lv-LV"/>
              </w:rPr>
            </w:pPr>
            <w:r>
              <w:rPr>
                <w:color w:val="000000"/>
                <w:sz w:val="18"/>
                <w:szCs w:val="18"/>
              </w:rPr>
              <w:t xml:space="preserve">t.sk. valsts pamatbudžets </w:t>
            </w:r>
          </w:p>
        </w:tc>
        <w:tc>
          <w:tcPr>
            <w:tcW w:w="989" w:type="dxa"/>
            <w:shd w:val="clear" w:color="auto" w:fill="auto"/>
          </w:tcPr>
          <w:p w14:paraId="6D2ECC65" w14:textId="77777777" w:rsidR="00A16AAB" w:rsidRPr="009E7788" w:rsidRDefault="00A16AAB" w:rsidP="00A16AAB">
            <w:pPr>
              <w:ind w:firstLine="0"/>
              <w:jc w:val="center"/>
              <w:rPr>
                <w:rFonts w:eastAsia="Times New Roman" w:cs="Times New Roman"/>
                <w:sz w:val="18"/>
                <w:szCs w:val="18"/>
                <w:lang w:eastAsia="lv-LV"/>
              </w:rPr>
            </w:pPr>
          </w:p>
        </w:tc>
        <w:tc>
          <w:tcPr>
            <w:tcW w:w="709" w:type="dxa"/>
            <w:shd w:val="clear" w:color="auto" w:fill="auto"/>
          </w:tcPr>
          <w:p w14:paraId="37641D2D" w14:textId="77777777" w:rsidR="00A16AAB" w:rsidRPr="009E7788" w:rsidRDefault="00A16AAB" w:rsidP="00A16AAB">
            <w:pPr>
              <w:ind w:firstLine="0"/>
              <w:jc w:val="center"/>
              <w:rPr>
                <w:rFonts w:eastAsia="Times New Roman" w:cs="Times New Roman"/>
                <w:sz w:val="18"/>
                <w:szCs w:val="18"/>
                <w:lang w:eastAsia="lv-LV"/>
              </w:rPr>
            </w:pPr>
          </w:p>
        </w:tc>
        <w:tc>
          <w:tcPr>
            <w:tcW w:w="1000" w:type="dxa"/>
            <w:shd w:val="clear" w:color="auto" w:fill="auto"/>
          </w:tcPr>
          <w:p w14:paraId="16C02323" w14:textId="77777777" w:rsidR="00A16AAB" w:rsidRPr="00F44742" w:rsidRDefault="00A16AAB" w:rsidP="00A16AAB">
            <w:pPr>
              <w:ind w:firstLine="0"/>
              <w:jc w:val="center"/>
              <w:rPr>
                <w:rFonts w:eastAsia="Times New Roman" w:cs="Times New Roman"/>
                <w:sz w:val="16"/>
                <w:szCs w:val="16"/>
                <w:lang w:eastAsia="lv-LV"/>
              </w:rPr>
            </w:pPr>
          </w:p>
        </w:tc>
        <w:tc>
          <w:tcPr>
            <w:tcW w:w="1211" w:type="dxa"/>
            <w:shd w:val="clear" w:color="auto" w:fill="auto"/>
          </w:tcPr>
          <w:p w14:paraId="6410BCBF" w14:textId="77777777" w:rsidR="00A16AAB" w:rsidRPr="009E7788" w:rsidRDefault="00A16AAB" w:rsidP="00A16AAB">
            <w:pPr>
              <w:ind w:firstLine="0"/>
              <w:jc w:val="center"/>
              <w:rPr>
                <w:rFonts w:eastAsia="Times New Roman" w:cs="Times New Roman"/>
                <w:sz w:val="18"/>
                <w:szCs w:val="18"/>
                <w:lang w:eastAsia="lv-LV"/>
              </w:rPr>
            </w:pPr>
          </w:p>
        </w:tc>
        <w:tc>
          <w:tcPr>
            <w:tcW w:w="739" w:type="dxa"/>
            <w:shd w:val="clear" w:color="auto" w:fill="auto"/>
            <w:vAlign w:val="bottom"/>
          </w:tcPr>
          <w:p w14:paraId="7125CCB7" w14:textId="305E40BC"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41" w:type="dxa"/>
            <w:shd w:val="clear" w:color="auto" w:fill="auto"/>
            <w:noWrap/>
            <w:vAlign w:val="bottom"/>
          </w:tcPr>
          <w:p w14:paraId="522B86CF" w14:textId="5F067F6B" w:rsidR="00A16AAB" w:rsidRPr="009E7788" w:rsidRDefault="00A16AAB" w:rsidP="00A16AAB">
            <w:pPr>
              <w:ind w:firstLine="0"/>
              <w:jc w:val="center"/>
              <w:rPr>
                <w:rFonts w:eastAsia="Times New Roman" w:cs="Times New Roman"/>
                <w:sz w:val="18"/>
                <w:szCs w:val="18"/>
                <w:lang w:eastAsia="lv-LV"/>
              </w:rPr>
            </w:pPr>
            <w:r>
              <w:rPr>
                <w:color w:val="000000"/>
                <w:sz w:val="18"/>
                <w:szCs w:val="18"/>
              </w:rPr>
              <w:t>0,01</w:t>
            </w:r>
          </w:p>
        </w:tc>
        <w:tc>
          <w:tcPr>
            <w:tcW w:w="710" w:type="dxa"/>
            <w:shd w:val="clear" w:color="auto" w:fill="auto"/>
            <w:noWrap/>
            <w:vAlign w:val="bottom"/>
          </w:tcPr>
          <w:p w14:paraId="6ADF96A0" w14:textId="6BEE70A9"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78" w:type="dxa"/>
            <w:shd w:val="clear" w:color="auto" w:fill="auto"/>
            <w:noWrap/>
          </w:tcPr>
          <w:p w14:paraId="1EA279C1"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74AF5B74" w14:textId="77777777" w:rsidTr="00571AB4">
        <w:trPr>
          <w:trHeight w:val="277"/>
        </w:trPr>
        <w:tc>
          <w:tcPr>
            <w:tcW w:w="2112" w:type="dxa"/>
            <w:shd w:val="clear" w:color="auto" w:fill="auto"/>
          </w:tcPr>
          <w:p w14:paraId="7026A67D" w14:textId="77777777" w:rsidR="00A16AAB" w:rsidRPr="009E7788" w:rsidRDefault="00A16AAB" w:rsidP="00A16AAB">
            <w:pPr>
              <w:ind w:firstLine="0"/>
              <w:jc w:val="left"/>
              <w:rPr>
                <w:rFonts w:eastAsia="Times New Roman" w:cs="Times New Roman"/>
                <w:sz w:val="18"/>
                <w:szCs w:val="18"/>
                <w:lang w:eastAsia="lv-LV"/>
              </w:rPr>
            </w:pPr>
            <w:r>
              <w:rPr>
                <w:color w:val="000000"/>
                <w:sz w:val="18"/>
                <w:szCs w:val="18"/>
              </w:rPr>
              <w:t>t.sk. pašvaldību budžets</w:t>
            </w:r>
          </w:p>
        </w:tc>
        <w:tc>
          <w:tcPr>
            <w:tcW w:w="989" w:type="dxa"/>
            <w:shd w:val="clear" w:color="auto" w:fill="auto"/>
          </w:tcPr>
          <w:p w14:paraId="15CDFCE1" w14:textId="77777777" w:rsidR="00A16AAB" w:rsidRPr="009E7788" w:rsidRDefault="00A16AAB" w:rsidP="00A16AAB">
            <w:pPr>
              <w:ind w:firstLine="0"/>
              <w:jc w:val="center"/>
              <w:rPr>
                <w:rFonts w:eastAsia="Times New Roman" w:cs="Times New Roman"/>
                <w:sz w:val="18"/>
                <w:szCs w:val="18"/>
                <w:lang w:eastAsia="lv-LV"/>
              </w:rPr>
            </w:pPr>
          </w:p>
        </w:tc>
        <w:tc>
          <w:tcPr>
            <w:tcW w:w="709" w:type="dxa"/>
            <w:shd w:val="clear" w:color="auto" w:fill="auto"/>
          </w:tcPr>
          <w:p w14:paraId="1A6AF3C5" w14:textId="77777777" w:rsidR="00A16AAB" w:rsidRPr="009E7788" w:rsidRDefault="00A16AAB" w:rsidP="00A16AAB">
            <w:pPr>
              <w:ind w:firstLine="0"/>
              <w:jc w:val="center"/>
              <w:rPr>
                <w:rFonts w:eastAsia="Times New Roman" w:cs="Times New Roman"/>
                <w:sz w:val="18"/>
                <w:szCs w:val="18"/>
                <w:lang w:eastAsia="lv-LV"/>
              </w:rPr>
            </w:pPr>
          </w:p>
        </w:tc>
        <w:tc>
          <w:tcPr>
            <w:tcW w:w="1000" w:type="dxa"/>
            <w:shd w:val="clear" w:color="auto" w:fill="auto"/>
          </w:tcPr>
          <w:p w14:paraId="1416909B" w14:textId="77777777" w:rsidR="00A16AAB" w:rsidRPr="00F44742" w:rsidRDefault="00A16AAB" w:rsidP="00A16AAB">
            <w:pPr>
              <w:ind w:firstLine="0"/>
              <w:jc w:val="center"/>
              <w:rPr>
                <w:rFonts w:eastAsia="Times New Roman" w:cs="Times New Roman"/>
                <w:sz w:val="16"/>
                <w:szCs w:val="16"/>
                <w:lang w:eastAsia="lv-LV"/>
              </w:rPr>
            </w:pPr>
          </w:p>
        </w:tc>
        <w:tc>
          <w:tcPr>
            <w:tcW w:w="1211" w:type="dxa"/>
            <w:shd w:val="clear" w:color="auto" w:fill="auto"/>
          </w:tcPr>
          <w:p w14:paraId="40B63B16" w14:textId="77777777" w:rsidR="00A16AAB" w:rsidRPr="009E7788" w:rsidRDefault="00A16AAB" w:rsidP="00A16AAB">
            <w:pPr>
              <w:ind w:firstLine="0"/>
              <w:jc w:val="center"/>
              <w:rPr>
                <w:rFonts w:eastAsia="Times New Roman" w:cs="Times New Roman"/>
                <w:sz w:val="18"/>
                <w:szCs w:val="18"/>
                <w:lang w:eastAsia="lv-LV"/>
              </w:rPr>
            </w:pPr>
          </w:p>
        </w:tc>
        <w:tc>
          <w:tcPr>
            <w:tcW w:w="739" w:type="dxa"/>
            <w:shd w:val="clear" w:color="auto" w:fill="auto"/>
            <w:vAlign w:val="bottom"/>
          </w:tcPr>
          <w:p w14:paraId="2A059E59" w14:textId="7BA4803A"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41" w:type="dxa"/>
            <w:shd w:val="clear" w:color="auto" w:fill="auto"/>
            <w:noWrap/>
            <w:vAlign w:val="bottom"/>
          </w:tcPr>
          <w:p w14:paraId="349890A1" w14:textId="30C1BDEF" w:rsidR="00A16AAB" w:rsidRPr="009E7788" w:rsidRDefault="00A16AAB" w:rsidP="00A16AAB">
            <w:pPr>
              <w:ind w:firstLine="0"/>
              <w:jc w:val="center"/>
              <w:rPr>
                <w:rFonts w:eastAsia="Times New Roman" w:cs="Times New Roman"/>
                <w:sz w:val="18"/>
                <w:szCs w:val="18"/>
                <w:lang w:eastAsia="lv-LV"/>
              </w:rPr>
            </w:pPr>
            <w:r>
              <w:rPr>
                <w:color w:val="000000"/>
                <w:sz w:val="18"/>
                <w:szCs w:val="18"/>
              </w:rPr>
              <w:t>0,04</w:t>
            </w:r>
          </w:p>
        </w:tc>
        <w:tc>
          <w:tcPr>
            <w:tcW w:w="710" w:type="dxa"/>
            <w:shd w:val="clear" w:color="auto" w:fill="auto"/>
            <w:noWrap/>
            <w:vAlign w:val="bottom"/>
          </w:tcPr>
          <w:p w14:paraId="5BF1313A" w14:textId="074682FD"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78" w:type="dxa"/>
            <w:shd w:val="clear" w:color="auto" w:fill="auto"/>
            <w:noWrap/>
          </w:tcPr>
          <w:p w14:paraId="4EFA5583"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4B5DFED2" w14:textId="77777777" w:rsidTr="00A329BA">
        <w:trPr>
          <w:trHeight w:val="486"/>
        </w:trPr>
        <w:tc>
          <w:tcPr>
            <w:tcW w:w="2112" w:type="dxa"/>
            <w:shd w:val="clear" w:color="000000" w:fill="DDEBF7"/>
          </w:tcPr>
          <w:p w14:paraId="06545B51" w14:textId="77777777" w:rsidR="00A16AAB" w:rsidRPr="009E7788" w:rsidRDefault="00A16AAB" w:rsidP="00A16AAB">
            <w:pPr>
              <w:ind w:firstLine="0"/>
              <w:jc w:val="left"/>
              <w:rPr>
                <w:rFonts w:eastAsia="Times New Roman" w:cs="Times New Roman"/>
                <w:sz w:val="18"/>
                <w:szCs w:val="18"/>
                <w:lang w:eastAsia="lv-LV"/>
              </w:rPr>
            </w:pPr>
            <w:r>
              <w:rPr>
                <w:b/>
                <w:bCs/>
                <w:color w:val="000000"/>
                <w:sz w:val="18"/>
                <w:szCs w:val="18"/>
              </w:rPr>
              <w:t>PVN samazinātās likmes 12% apmērā piemērošana svaigiem augļiem un dārzeņiem 2024. gadā (uz vienu gadu)</w:t>
            </w:r>
          </w:p>
        </w:tc>
        <w:tc>
          <w:tcPr>
            <w:tcW w:w="989" w:type="dxa"/>
            <w:shd w:val="clear" w:color="000000" w:fill="DDEBF7"/>
          </w:tcPr>
          <w:p w14:paraId="6D3FF4BC"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PVN</w:t>
            </w:r>
          </w:p>
        </w:tc>
        <w:tc>
          <w:tcPr>
            <w:tcW w:w="709" w:type="dxa"/>
            <w:shd w:val="clear" w:color="000000" w:fill="DDEBF7"/>
          </w:tcPr>
          <w:p w14:paraId="499CC6FC"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D2</w:t>
            </w:r>
          </w:p>
        </w:tc>
        <w:tc>
          <w:tcPr>
            <w:tcW w:w="1000" w:type="dxa"/>
            <w:shd w:val="clear" w:color="000000" w:fill="DDEBF7"/>
          </w:tcPr>
          <w:p w14:paraId="1E8A8099"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000000" w:fill="DDEBF7"/>
          </w:tcPr>
          <w:p w14:paraId="42743943"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000000" w:fill="DDEBF7"/>
            <w:vAlign w:val="bottom"/>
          </w:tcPr>
          <w:p w14:paraId="7FC58458" w14:textId="40A193F7"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-0,04</w:t>
            </w:r>
          </w:p>
        </w:tc>
        <w:tc>
          <w:tcPr>
            <w:tcW w:w="741" w:type="dxa"/>
            <w:shd w:val="clear" w:color="000000" w:fill="DDEBF7"/>
            <w:noWrap/>
            <w:vAlign w:val="bottom"/>
          </w:tcPr>
          <w:p w14:paraId="57732F56" w14:textId="1AA4CD5E"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0,04</w:t>
            </w:r>
          </w:p>
        </w:tc>
        <w:tc>
          <w:tcPr>
            <w:tcW w:w="710" w:type="dxa"/>
            <w:shd w:val="clear" w:color="000000" w:fill="DDEBF7"/>
            <w:noWrap/>
            <w:vAlign w:val="bottom"/>
          </w:tcPr>
          <w:p w14:paraId="78EBCA62" w14:textId="77120A31"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000000" w:fill="DDEBF7"/>
            <w:noWrap/>
          </w:tcPr>
          <w:p w14:paraId="08C01122"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54FBEA92" w14:textId="77777777" w:rsidTr="00571AB4">
        <w:trPr>
          <w:trHeight w:val="298"/>
        </w:trPr>
        <w:tc>
          <w:tcPr>
            <w:tcW w:w="2112" w:type="dxa"/>
            <w:shd w:val="clear" w:color="auto" w:fill="auto"/>
          </w:tcPr>
          <w:p w14:paraId="7005A457" w14:textId="77777777" w:rsidR="00A16AAB" w:rsidRPr="009E7788" w:rsidRDefault="00A16AAB" w:rsidP="00A16AAB">
            <w:pPr>
              <w:ind w:firstLine="0"/>
              <w:jc w:val="left"/>
              <w:rPr>
                <w:rFonts w:eastAsia="Times New Roman" w:cs="Times New Roman"/>
                <w:sz w:val="18"/>
                <w:szCs w:val="18"/>
                <w:lang w:eastAsia="lv-LV"/>
              </w:rPr>
            </w:pPr>
            <w:r>
              <w:rPr>
                <w:color w:val="000000"/>
                <w:sz w:val="18"/>
                <w:szCs w:val="18"/>
              </w:rPr>
              <w:t xml:space="preserve">t.sk. valsts pamatbudžets </w:t>
            </w:r>
          </w:p>
        </w:tc>
        <w:tc>
          <w:tcPr>
            <w:tcW w:w="989" w:type="dxa"/>
            <w:shd w:val="clear" w:color="auto" w:fill="auto"/>
          </w:tcPr>
          <w:p w14:paraId="237E8695" w14:textId="77777777" w:rsidR="00A16AAB" w:rsidRPr="009E7788" w:rsidRDefault="00A16AAB" w:rsidP="00A16AAB">
            <w:pPr>
              <w:ind w:firstLine="0"/>
              <w:jc w:val="center"/>
              <w:rPr>
                <w:rFonts w:eastAsia="Times New Roman" w:cs="Times New Roman"/>
                <w:sz w:val="18"/>
                <w:szCs w:val="18"/>
                <w:lang w:eastAsia="lv-LV"/>
              </w:rPr>
            </w:pPr>
          </w:p>
        </w:tc>
        <w:tc>
          <w:tcPr>
            <w:tcW w:w="709" w:type="dxa"/>
            <w:shd w:val="clear" w:color="auto" w:fill="auto"/>
          </w:tcPr>
          <w:p w14:paraId="47FDC809" w14:textId="77777777" w:rsidR="00A16AAB" w:rsidRPr="009E7788" w:rsidRDefault="00A16AAB" w:rsidP="00A16AAB">
            <w:pPr>
              <w:ind w:firstLine="0"/>
              <w:jc w:val="center"/>
              <w:rPr>
                <w:rFonts w:eastAsia="Times New Roman" w:cs="Times New Roman"/>
                <w:sz w:val="18"/>
                <w:szCs w:val="18"/>
                <w:lang w:eastAsia="lv-LV"/>
              </w:rPr>
            </w:pPr>
          </w:p>
        </w:tc>
        <w:tc>
          <w:tcPr>
            <w:tcW w:w="1000" w:type="dxa"/>
            <w:shd w:val="clear" w:color="auto" w:fill="auto"/>
          </w:tcPr>
          <w:p w14:paraId="6DEFED2A" w14:textId="77777777" w:rsidR="00A16AAB" w:rsidRPr="00F44742" w:rsidRDefault="00A16AAB" w:rsidP="00A16AAB">
            <w:pPr>
              <w:ind w:firstLine="0"/>
              <w:jc w:val="center"/>
              <w:rPr>
                <w:rFonts w:eastAsia="Times New Roman" w:cs="Times New Roman"/>
                <w:sz w:val="16"/>
                <w:szCs w:val="16"/>
                <w:lang w:eastAsia="lv-LV"/>
              </w:rPr>
            </w:pPr>
          </w:p>
        </w:tc>
        <w:tc>
          <w:tcPr>
            <w:tcW w:w="1211" w:type="dxa"/>
            <w:shd w:val="clear" w:color="auto" w:fill="auto"/>
          </w:tcPr>
          <w:p w14:paraId="286A53AE" w14:textId="77777777" w:rsidR="00A16AAB" w:rsidRPr="009E7788" w:rsidRDefault="00A16AAB" w:rsidP="00A16AAB">
            <w:pPr>
              <w:ind w:firstLine="0"/>
              <w:jc w:val="center"/>
              <w:rPr>
                <w:rFonts w:eastAsia="Times New Roman" w:cs="Times New Roman"/>
                <w:sz w:val="18"/>
                <w:szCs w:val="18"/>
                <w:lang w:eastAsia="lv-LV"/>
              </w:rPr>
            </w:pPr>
          </w:p>
        </w:tc>
        <w:tc>
          <w:tcPr>
            <w:tcW w:w="739" w:type="dxa"/>
            <w:shd w:val="clear" w:color="auto" w:fill="auto"/>
            <w:vAlign w:val="bottom"/>
          </w:tcPr>
          <w:p w14:paraId="1218F196" w14:textId="38FBE1E8" w:rsidR="00A16AAB" w:rsidRPr="009E7788" w:rsidRDefault="00A16AAB" w:rsidP="00A16AAB">
            <w:pPr>
              <w:ind w:firstLine="0"/>
              <w:jc w:val="center"/>
              <w:rPr>
                <w:rFonts w:eastAsia="Times New Roman" w:cs="Times New Roman"/>
                <w:sz w:val="18"/>
                <w:szCs w:val="18"/>
                <w:lang w:eastAsia="lv-LV"/>
              </w:rPr>
            </w:pPr>
            <w:r>
              <w:rPr>
                <w:color w:val="000000"/>
                <w:sz w:val="18"/>
                <w:szCs w:val="18"/>
              </w:rPr>
              <w:t>-0,04</w:t>
            </w:r>
          </w:p>
        </w:tc>
        <w:tc>
          <w:tcPr>
            <w:tcW w:w="741" w:type="dxa"/>
            <w:shd w:val="clear" w:color="auto" w:fill="auto"/>
            <w:noWrap/>
            <w:vAlign w:val="bottom"/>
          </w:tcPr>
          <w:p w14:paraId="61F8C3E2" w14:textId="1E53AA34" w:rsidR="00A16AAB" w:rsidRPr="009E7788" w:rsidRDefault="00A16AAB" w:rsidP="00A16AAB">
            <w:pPr>
              <w:ind w:firstLine="0"/>
              <w:jc w:val="center"/>
              <w:rPr>
                <w:rFonts w:eastAsia="Times New Roman" w:cs="Times New Roman"/>
                <w:sz w:val="18"/>
                <w:szCs w:val="18"/>
                <w:lang w:eastAsia="lv-LV"/>
              </w:rPr>
            </w:pPr>
            <w:r>
              <w:rPr>
                <w:color w:val="000000"/>
                <w:sz w:val="18"/>
                <w:szCs w:val="18"/>
              </w:rPr>
              <w:t>0,04</w:t>
            </w:r>
          </w:p>
        </w:tc>
        <w:tc>
          <w:tcPr>
            <w:tcW w:w="710" w:type="dxa"/>
            <w:shd w:val="clear" w:color="auto" w:fill="auto"/>
            <w:noWrap/>
            <w:vAlign w:val="bottom"/>
          </w:tcPr>
          <w:p w14:paraId="1F7F9E61" w14:textId="6983E483"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78" w:type="dxa"/>
            <w:shd w:val="clear" w:color="auto" w:fill="auto"/>
            <w:noWrap/>
          </w:tcPr>
          <w:p w14:paraId="7DEBAA94"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3880A3BE" w14:textId="77777777" w:rsidTr="00571AB4">
        <w:trPr>
          <w:trHeight w:val="275"/>
        </w:trPr>
        <w:tc>
          <w:tcPr>
            <w:tcW w:w="2112" w:type="dxa"/>
            <w:shd w:val="clear" w:color="auto" w:fill="auto"/>
          </w:tcPr>
          <w:p w14:paraId="5F62D826" w14:textId="77777777" w:rsidR="00A16AAB" w:rsidRPr="009E7788" w:rsidRDefault="00A16AAB" w:rsidP="00A16AAB">
            <w:pPr>
              <w:ind w:firstLine="0"/>
              <w:jc w:val="left"/>
              <w:rPr>
                <w:rFonts w:eastAsia="Times New Roman" w:cs="Times New Roman"/>
                <w:sz w:val="18"/>
                <w:szCs w:val="18"/>
                <w:lang w:eastAsia="lv-LV"/>
              </w:rPr>
            </w:pPr>
            <w:r>
              <w:rPr>
                <w:color w:val="000000"/>
                <w:sz w:val="18"/>
                <w:szCs w:val="18"/>
              </w:rPr>
              <w:t>t.sk. pašvaldību budžets</w:t>
            </w:r>
          </w:p>
        </w:tc>
        <w:tc>
          <w:tcPr>
            <w:tcW w:w="989" w:type="dxa"/>
            <w:shd w:val="clear" w:color="auto" w:fill="auto"/>
          </w:tcPr>
          <w:p w14:paraId="6E0B2655" w14:textId="77777777" w:rsidR="00A16AAB" w:rsidRPr="009E7788" w:rsidRDefault="00A16AAB" w:rsidP="00A16AAB">
            <w:pPr>
              <w:ind w:firstLine="0"/>
              <w:jc w:val="center"/>
              <w:rPr>
                <w:rFonts w:eastAsia="Times New Roman" w:cs="Times New Roman"/>
                <w:sz w:val="18"/>
                <w:szCs w:val="18"/>
                <w:lang w:eastAsia="lv-LV"/>
              </w:rPr>
            </w:pPr>
          </w:p>
        </w:tc>
        <w:tc>
          <w:tcPr>
            <w:tcW w:w="709" w:type="dxa"/>
            <w:shd w:val="clear" w:color="auto" w:fill="auto"/>
          </w:tcPr>
          <w:p w14:paraId="3CCA86BC" w14:textId="77777777" w:rsidR="00A16AAB" w:rsidRPr="009E7788" w:rsidRDefault="00A16AAB" w:rsidP="00A16AAB">
            <w:pPr>
              <w:ind w:firstLine="0"/>
              <w:jc w:val="center"/>
              <w:rPr>
                <w:rFonts w:eastAsia="Times New Roman" w:cs="Times New Roman"/>
                <w:sz w:val="18"/>
                <w:szCs w:val="18"/>
                <w:lang w:eastAsia="lv-LV"/>
              </w:rPr>
            </w:pPr>
          </w:p>
        </w:tc>
        <w:tc>
          <w:tcPr>
            <w:tcW w:w="1000" w:type="dxa"/>
            <w:shd w:val="clear" w:color="auto" w:fill="auto"/>
          </w:tcPr>
          <w:p w14:paraId="409FBDE0" w14:textId="77777777" w:rsidR="00A16AAB" w:rsidRPr="00F44742" w:rsidRDefault="00A16AAB" w:rsidP="00A16AAB">
            <w:pPr>
              <w:ind w:firstLine="0"/>
              <w:jc w:val="center"/>
              <w:rPr>
                <w:rFonts w:eastAsia="Times New Roman" w:cs="Times New Roman"/>
                <w:sz w:val="16"/>
                <w:szCs w:val="16"/>
                <w:lang w:eastAsia="lv-LV"/>
              </w:rPr>
            </w:pPr>
          </w:p>
        </w:tc>
        <w:tc>
          <w:tcPr>
            <w:tcW w:w="1211" w:type="dxa"/>
            <w:shd w:val="clear" w:color="auto" w:fill="auto"/>
          </w:tcPr>
          <w:p w14:paraId="4B442393" w14:textId="77777777" w:rsidR="00A16AAB" w:rsidRPr="009E7788" w:rsidRDefault="00A16AAB" w:rsidP="00A16AAB">
            <w:pPr>
              <w:ind w:firstLine="0"/>
              <w:jc w:val="center"/>
              <w:rPr>
                <w:rFonts w:eastAsia="Times New Roman" w:cs="Times New Roman"/>
                <w:sz w:val="18"/>
                <w:szCs w:val="18"/>
                <w:lang w:eastAsia="lv-LV"/>
              </w:rPr>
            </w:pPr>
          </w:p>
        </w:tc>
        <w:tc>
          <w:tcPr>
            <w:tcW w:w="739" w:type="dxa"/>
            <w:shd w:val="clear" w:color="auto" w:fill="auto"/>
            <w:vAlign w:val="bottom"/>
          </w:tcPr>
          <w:p w14:paraId="10159925" w14:textId="1FDC74CB"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41" w:type="dxa"/>
            <w:shd w:val="clear" w:color="auto" w:fill="auto"/>
            <w:noWrap/>
            <w:vAlign w:val="bottom"/>
          </w:tcPr>
          <w:p w14:paraId="27A0D2A5" w14:textId="355EED7D"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10" w:type="dxa"/>
            <w:shd w:val="clear" w:color="auto" w:fill="auto"/>
            <w:noWrap/>
            <w:vAlign w:val="bottom"/>
          </w:tcPr>
          <w:p w14:paraId="5FBDD23D" w14:textId="7262DF1F"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78" w:type="dxa"/>
            <w:shd w:val="clear" w:color="auto" w:fill="auto"/>
            <w:noWrap/>
          </w:tcPr>
          <w:p w14:paraId="1037673F"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55AC6906" w14:textId="77777777" w:rsidTr="00A329BA">
        <w:trPr>
          <w:trHeight w:val="486"/>
        </w:trPr>
        <w:tc>
          <w:tcPr>
            <w:tcW w:w="2112" w:type="dxa"/>
            <w:shd w:val="clear" w:color="000000" w:fill="DDEBF7"/>
          </w:tcPr>
          <w:p w14:paraId="3A169148" w14:textId="77777777" w:rsidR="00A16AAB" w:rsidRDefault="00A16AAB" w:rsidP="00A16AAB">
            <w:pPr>
              <w:ind w:firstLine="0"/>
              <w:jc w:val="left"/>
              <w:rPr>
                <w:b/>
                <w:bCs/>
                <w:sz w:val="18"/>
                <w:szCs w:val="18"/>
              </w:rPr>
            </w:pPr>
            <w:r>
              <w:rPr>
                <w:b/>
                <w:bCs/>
                <w:sz w:val="18"/>
                <w:szCs w:val="18"/>
              </w:rPr>
              <w:t>Akcīzes nodokļa likmju paaugstināšana</w:t>
            </w:r>
          </w:p>
        </w:tc>
        <w:tc>
          <w:tcPr>
            <w:tcW w:w="989" w:type="dxa"/>
            <w:shd w:val="clear" w:color="000000" w:fill="DDEBF7"/>
          </w:tcPr>
          <w:p w14:paraId="0ED04828" w14:textId="77777777" w:rsidR="00A16AAB" w:rsidRPr="009E7788" w:rsidRDefault="00A16AAB" w:rsidP="00A16AAB">
            <w:pPr>
              <w:ind w:firstLine="0"/>
              <w:jc w:val="center"/>
              <w:rPr>
                <w:rFonts w:eastAsia="Times New Roman" w:cs="Times New Roman"/>
                <w:sz w:val="18"/>
                <w:szCs w:val="18"/>
                <w:lang w:eastAsia="lv-LV"/>
              </w:rPr>
            </w:pPr>
            <w:r>
              <w:rPr>
                <w:sz w:val="18"/>
                <w:szCs w:val="18"/>
              </w:rPr>
              <w:t>AN</w:t>
            </w:r>
          </w:p>
        </w:tc>
        <w:tc>
          <w:tcPr>
            <w:tcW w:w="709" w:type="dxa"/>
            <w:shd w:val="clear" w:color="000000" w:fill="DDEBF7"/>
          </w:tcPr>
          <w:p w14:paraId="676CE791" w14:textId="77777777" w:rsidR="00A16AAB" w:rsidRPr="009E7788" w:rsidRDefault="00A16AAB" w:rsidP="00A16AAB">
            <w:pPr>
              <w:ind w:firstLine="0"/>
              <w:jc w:val="center"/>
              <w:rPr>
                <w:rFonts w:eastAsia="Times New Roman" w:cs="Times New Roman"/>
                <w:sz w:val="18"/>
                <w:szCs w:val="18"/>
                <w:lang w:eastAsia="lv-LV"/>
              </w:rPr>
            </w:pPr>
            <w:r>
              <w:rPr>
                <w:sz w:val="18"/>
                <w:szCs w:val="18"/>
              </w:rPr>
              <w:t>D2</w:t>
            </w:r>
          </w:p>
        </w:tc>
        <w:tc>
          <w:tcPr>
            <w:tcW w:w="1000" w:type="dxa"/>
            <w:shd w:val="clear" w:color="000000" w:fill="DDEBF7"/>
          </w:tcPr>
          <w:p w14:paraId="57FC98FD" w14:textId="77777777" w:rsidR="00A16AAB" w:rsidRPr="00F44742" w:rsidRDefault="00A16AAB" w:rsidP="00A16AAB">
            <w:pPr>
              <w:ind w:firstLine="0"/>
              <w:jc w:val="center"/>
              <w:rPr>
                <w:rFonts w:eastAsia="Times New Roman" w:cs="Times New Roman"/>
                <w:sz w:val="16"/>
                <w:szCs w:val="16"/>
                <w:lang w:eastAsia="lv-LV"/>
              </w:rPr>
            </w:pPr>
            <w:r w:rsidRPr="00F44742">
              <w:rPr>
                <w:sz w:val="16"/>
                <w:szCs w:val="16"/>
              </w:rPr>
              <w:t>Uzkrājuma</w:t>
            </w:r>
          </w:p>
        </w:tc>
        <w:tc>
          <w:tcPr>
            <w:tcW w:w="1211" w:type="dxa"/>
            <w:shd w:val="clear" w:color="000000" w:fill="DDEBF7"/>
          </w:tcPr>
          <w:p w14:paraId="108610A8" w14:textId="77777777" w:rsidR="00A16AAB" w:rsidRPr="009E7788" w:rsidRDefault="00A16AAB" w:rsidP="00A16AAB">
            <w:pPr>
              <w:ind w:firstLine="0"/>
              <w:jc w:val="center"/>
              <w:rPr>
                <w:rFonts w:eastAsia="Times New Roman" w:cs="Times New Roman"/>
                <w:sz w:val="18"/>
                <w:szCs w:val="18"/>
                <w:lang w:eastAsia="lv-LV"/>
              </w:rPr>
            </w:pPr>
            <w:r>
              <w:rPr>
                <w:sz w:val="18"/>
                <w:szCs w:val="18"/>
              </w:rPr>
              <w:t>apstiprināts valdībā</w:t>
            </w:r>
          </w:p>
        </w:tc>
        <w:tc>
          <w:tcPr>
            <w:tcW w:w="739" w:type="dxa"/>
            <w:shd w:val="clear" w:color="000000" w:fill="DDEBF7"/>
            <w:vAlign w:val="bottom"/>
          </w:tcPr>
          <w:p w14:paraId="0239C258" w14:textId="3CC5A05D" w:rsidR="00A16AAB" w:rsidRPr="009E7788" w:rsidRDefault="00A16AAB" w:rsidP="00A16AAB">
            <w:pPr>
              <w:ind w:firstLine="0"/>
              <w:jc w:val="center"/>
              <w:rPr>
                <w:rFonts w:eastAsia="Times New Roman" w:cs="Times New Roman"/>
                <w:sz w:val="18"/>
                <w:szCs w:val="18"/>
                <w:lang w:eastAsia="lv-LV"/>
              </w:rPr>
            </w:pPr>
            <w:r>
              <w:rPr>
                <w:sz w:val="18"/>
                <w:szCs w:val="18"/>
              </w:rPr>
              <w:t>0,00</w:t>
            </w:r>
          </w:p>
        </w:tc>
        <w:tc>
          <w:tcPr>
            <w:tcW w:w="741" w:type="dxa"/>
            <w:shd w:val="clear" w:color="000000" w:fill="DDEBF7"/>
            <w:noWrap/>
            <w:vAlign w:val="bottom"/>
          </w:tcPr>
          <w:p w14:paraId="7CE15E1E" w14:textId="6912328C" w:rsidR="00A16AAB" w:rsidRPr="009E7788" w:rsidRDefault="00A16AAB" w:rsidP="00A16AAB">
            <w:pPr>
              <w:ind w:firstLine="0"/>
              <w:jc w:val="center"/>
              <w:rPr>
                <w:rFonts w:eastAsia="Times New Roman" w:cs="Times New Roman"/>
                <w:sz w:val="18"/>
                <w:szCs w:val="18"/>
                <w:lang w:eastAsia="lv-LV"/>
              </w:rPr>
            </w:pPr>
            <w:r>
              <w:rPr>
                <w:sz w:val="18"/>
                <w:szCs w:val="18"/>
              </w:rPr>
              <w:t>0,00</w:t>
            </w:r>
          </w:p>
        </w:tc>
        <w:tc>
          <w:tcPr>
            <w:tcW w:w="710" w:type="dxa"/>
            <w:shd w:val="clear" w:color="000000" w:fill="DDEBF7"/>
            <w:noWrap/>
            <w:vAlign w:val="bottom"/>
          </w:tcPr>
          <w:p w14:paraId="6CE48EEC" w14:textId="3E0206CE" w:rsidR="00A16AAB" w:rsidRPr="009E7788" w:rsidRDefault="00A16AAB" w:rsidP="00A16AAB">
            <w:pPr>
              <w:ind w:firstLine="0"/>
              <w:jc w:val="center"/>
              <w:rPr>
                <w:rFonts w:eastAsia="Times New Roman" w:cs="Times New Roman"/>
                <w:sz w:val="18"/>
                <w:szCs w:val="18"/>
                <w:lang w:eastAsia="lv-LV"/>
              </w:rPr>
            </w:pPr>
            <w:r>
              <w:rPr>
                <w:sz w:val="18"/>
                <w:szCs w:val="18"/>
              </w:rPr>
              <w:t>0,00</w:t>
            </w:r>
          </w:p>
        </w:tc>
        <w:tc>
          <w:tcPr>
            <w:tcW w:w="778" w:type="dxa"/>
            <w:shd w:val="clear" w:color="000000" w:fill="DDEBF7"/>
            <w:noWrap/>
          </w:tcPr>
          <w:p w14:paraId="174BE567"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457C1E7F" w14:textId="77777777" w:rsidTr="00571AB4">
        <w:trPr>
          <w:trHeight w:val="343"/>
        </w:trPr>
        <w:tc>
          <w:tcPr>
            <w:tcW w:w="2112" w:type="dxa"/>
            <w:shd w:val="clear" w:color="auto" w:fill="auto"/>
          </w:tcPr>
          <w:p w14:paraId="5245E564" w14:textId="77777777" w:rsidR="00A16AAB" w:rsidRDefault="00A16AAB" w:rsidP="00A16AAB">
            <w:pPr>
              <w:ind w:firstLine="0"/>
              <w:jc w:val="left"/>
              <w:rPr>
                <w:b/>
                <w:bCs/>
                <w:sz w:val="18"/>
                <w:szCs w:val="18"/>
              </w:rPr>
            </w:pPr>
            <w:r>
              <w:rPr>
                <w:sz w:val="18"/>
                <w:szCs w:val="18"/>
              </w:rPr>
              <w:t xml:space="preserve">t.sk. valsts pamatbudžets </w:t>
            </w:r>
          </w:p>
        </w:tc>
        <w:tc>
          <w:tcPr>
            <w:tcW w:w="989" w:type="dxa"/>
            <w:shd w:val="clear" w:color="auto" w:fill="auto"/>
          </w:tcPr>
          <w:p w14:paraId="5E7E21D7" w14:textId="77777777" w:rsidR="00A16AAB" w:rsidRPr="009E7788" w:rsidRDefault="00A16AAB" w:rsidP="00A16AAB">
            <w:pPr>
              <w:ind w:firstLine="0"/>
              <w:jc w:val="center"/>
              <w:rPr>
                <w:rFonts w:eastAsia="Times New Roman" w:cs="Times New Roman"/>
                <w:sz w:val="18"/>
                <w:szCs w:val="18"/>
                <w:lang w:eastAsia="lv-LV"/>
              </w:rPr>
            </w:pPr>
          </w:p>
        </w:tc>
        <w:tc>
          <w:tcPr>
            <w:tcW w:w="709" w:type="dxa"/>
            <w:shd w:val="clear" w:color="auto" w:fill="auto"/>
          </w:tcPr>
          <w:p w14:paraId="27E52041" w14:textId="77777777" w:rsidR="00A16AAB" w:rsidRPr="009E7788" w:rsidRDefault="00A16AAB" w:rsidP="00A16AAB">
            <w:pPr>
              <w:ind w:firstLine="0"/>
              <w:jc w:val="center"/>
              <w:rPr>
                <w:rFonts w:eastAsia="Times New Roman" w:cs="Times New Roman"/>
                <w:sz w:val="18"/>
                <w:szCs w:val="18"/>
                <w:lang w:eastAsia="lv-LV"/>
              </w:rPr>
            </w:pPr>
          </w:p>
        </w:tc>
        <w:tc>
          <w:tcPr>
            <w:tcW w:w="1000" w:type="dxa"/>
            <w:shd w:val="clear" w:color="auto" w:fill="auto"/>
          </w:tcPr>
          <w:p w14:paraId="1C132DB7" w14:textId="77777777" w:rsidR="00A16AAB" w:rsidRPr="00F44742" w:rsidRDefault="00A16AAB" w:rsidP="00A16AAB">
            <w:pPr>
              <w:ind w:firstLine="0"/>
              <w:jc w:val="center"/>
              <w:rPr>
                <w:rFonts w:eastAsia="Times New Roman" w:cs="Times New Roman"/>
                <w:sz w:val="16"/>
                <w:szCs w:val="16"/>
                <w:lang w:eastAsia="lv-LV"/>
              </w:rPr>
            </w:pPr>
          </w:p>
        </w:tc>
        <w:tc>
          <w:tcPr>
            <w:tcW w:w="1211" w:type="dxa"/>
            <w:shd w:val="clear" w:color="auto" w:fill="auto"/>
          </w:tcPr>
          <w:p w14:paraId="26CD7FA0" w14:textId="77777777" w:rsidR="00A16AAB" w:rsidRPr="009E7788" w:rsidRDefault="00A16AAB" w:rsidP="00A16AAB">
            <w:pPr>
              <w:ind w:firstLine="0"/>
              <w:jc w:val="center"/>
              <w:rPr>
                <w:rFonts w:eastAsia="Times New Roman" w:cs="Times New Roman"/>
                <w:sz w:val="18"/>
                <w:szCs w:val="18"/>
                <w:lang w:eastAsia="lv-LV"/>
              </w:rPr>
            </w:pPr>
          </w:p>
        </w:tc>
        <w:tc>
          <w:tcPr>
            <w:tcW w:w="739" w:type="dxa"/>
            <w:shd w:val="clear" w:color="auto" w:fill="auto"/>
            <w:vAlign w:val="bottom"/>
          </w:tcPr>
          <w:p w14:paraId="34A5F52B" w14:textId="1D07676C" w:rsidR="00A16AAB" w:rsidRPr="009E7788" w:rsidRDefault="00A16AAB" w:rsidP="00A16AAB">
            <w:pPr>
              <w:ind w:firstLine="0"/>
              <w:jc w:val="center"/>
              <w:rPr>
                <w:rFonts w:eastAsia="Times New Roman" w:cs="Times New Roman"/>
                <w:sz w:val="18"/>
                <w:szCs w:val="18"/>
                <w:lang w:eastAsia="lv-LV"/>
              </w:rPr>
            </w:pPr>
            <w:r>
              <w:rPr>
                <w:sz w:val="18"/>
                <w:szCs w:val="18"/>
              </w:rPr>
              <w:t>0,00</w:t>
            </w:r>
          </w:p>
        </w:tc>
        <w:tc>
          <w:tcPr>
            <w:tcW w:w="741" w:type="dxa"/>
            <w:shd w:val="clear" w:color="auto" w:fill="auto"/>
            <w:noWrap/>
            <w:vAlign w:val="bottom"/>
          </w:tcPr>
          <w:p w14:paraId="5DBB3681" w14:textId="5AFB7A8B" w:rsidR="00A16AAB" w:rsidRPr="009E7788" w:rsidRDefault="00A16AAB" w:rsidP="00A16AAB">
            <w:pPr>
              <w:ind w:firstLine="0"/>
              <w:jc w:val="center"/>
              <w:rPr>
                <w:rFonts w:eastAsia="Times New Roman" w:cs="Times New Roman"/>
                <w:sz w:val="18"/>
                <w:szCs w:val="18"/>
                <w:lang w:eastAsia="lv-LV"/>
              </w:rPr>
            </w:pPr>
            <w:r>
              <w:rPr>
                <w:sz w:val="18"/>
                <w:szCs w:val="18"/>
              </w:rPr>
              <w:t>0,00</w:t>
            </w:r>
          </w:p>
        </w:tc>
        <w:tc>
          <w:tcPr>
            <w:tcW w:w="710" w:type="dxa"/>
            <w:shd w:val="clear" w:color="auto" w:fill="auto"/>
            <w:noWrap/>
            <w:vAlign w:val="bottom"/>
          </w:tcPr>
          <w:p w14:paraId="7226E26E" w14:textId="179FD309" w:rsidR="00A16AAB" w:rsidRPr="009E7788" w:rsidRDefault="00A16AAB" w:rsidP="00A16AAB">
            <w:pPr>
              <w:ind w:firstLine="0"/>
              <w:jc w:val="center"/>
              <w:rPr>
                <w:rFonts w:eastAsia="Times New Roman" w:cs="Times New Roman"/>
                <w:sz w:val="18"/>
                <w:szCs w:val="18"/>
                <w:lang w:eastAsia="lv-LV"/>
              </w:rPr>
            </w:pPr>
            <w:r>
              <w:rPr>
                <w:sz w:val="18"/>
                <w:szCs w:val="18"/>
              </w:rPr>
              <w:t>0,00</w:t>
            </w:r>
          </w:p>
        </w:tc>
        <w:tc>
          <w:tcPr>
            <w:tcW w:w="778" w:type="dxa"/>
            <w:shd w:val="clear" w:color="auto" w:fill="auto"/>
            <w:noWrap/>
          </w:tcPr>
          <w:p w14:paraId="58C9818F"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1493CB0C" w14:textId="77777777" w:rsidTr="00571AB4">
        <w:trPr>
          <w:trHeight w:val="277"/>
        </w:trPr>
        <w:tc>
          <w:tcPr>
            <w:tcW w:w="2112" w:type="dxa"/>
            <w:shd w:val="clear" w:color="auto" w:fill="auto"/>
          </w:tcPr>
          <w:p w14:paraId="45AAB5EB" w14:textId="77777777" w:rsidR="00A16AAB" w:rsidRDefault="00A16AAB" w:rsidP="00A16AAB">
            <w:pPr>
              <w:ind w:firstLine="0"/>
              <w:jc w:val="left"/>
              <w:rPr>
                <w:b/>
                <w:bCs/>
                <w:sz w:val="18"/>
                <w:szCs w:val="18"/>
              </w:rPr>
            </w:pPr>
            <w:r>
              <w:rPr>
                <w:sz w:val="18"/>
                <w:szCs w:val="18"/>
              </w:rPr>
              <w:t>t.sk. pašvaldību budžets</w:t>
            </w:r>
          </w:p>
        </w:tc>
        <w:tc>
          <w:tcPr>
            <w:tcW w:w="989" w:type="dxa"/>
            <w:shd w:val="clear" w:color="auto" w:fill="auto"/>
          </w:tcPr>
          <w:p w14:paraId="4111D2A9" w14:textId="77777777" w:rsidR="00A16AAB" w:rsidRPr="009E7788" w:rsidRDefault="00A16AAB" w:rsidP="00A16AAB">
            <w:pPr>
              <w:ind w:firstLine="0"/>
              <w:jc w:val="center"/>
              <w:rPr>
                <w:rFonts w:eastAsia="Times New Roman" w:cs="Times New Roman"/>
                <w:sz w:val="18"/>
                <w:szCs w:val="18"/>
                <w:lang w:eastAsia="lv-LV"/>
              </w:rPr>
            </w:pPr>
          </w:p>
        </w:tc>
        <w:tc>
          <w:tcPr>
            <w:tcW w:w="709" w:type="dxa"/>
            <w:shd w:val="clear" w:color="auto" w:fill="auto"/>
          </w:tcPr>
          <w:p w14:paraId="63CB7283" w14:textId="77777777" w:rsidR="00A16AAB" w:rsidRPr="009E7788" w:rsidRDefault="00A16AAB" w:rsidP="00A16AAB">
            <w:pPr>
              <w:ind w:firstLine="0"/>
              <w:jc w:val="center"/>
              <w:rPr>
                <w:rFonts w:eastAsia="Times New Roman" w:cs="Times New Roman"/>
                <w:sz w:val="18"/>
                <w:szCs w:val="18"/>
                <w:lang w:eastAsia="lv-LV"/>
              </w:rPr>
            </w:pPr>
          </w:p>
        </w:tc>
        <w:tc>
          <w:tcPr>
            <w:tcW w:w="1000" w:type="dxa"/>
            <w:shd w:val="clear" w:color="auto" w:fill="auto"/>
          </w:tcPr>
          <w:p w14:paraId="0EF4F29F" w14:textId="77777777" w:rsidR="00A16AAB" w:rsidRPr="00F44742" w:rsidRDefault="00A16AAB" w:rsidP="00A16AAB">
            <w:pPr>
              <w:ind w:firstLine="0"/>
              <w:jc w:val="center"/>
              <w:rPr>
                <w:rFonts w:eastAsia="Times New Roman" w:cs="Times New Roman"/>
                <w:sz w:val="16"/>
                <w:szCs w:val="16"/>
                <w:lang w:eastAsia="lv-LV"/>
              </w:rPr>
            </w:pPr>
          </w:p>
        </w:tc>
        <w:tc>
          <w:tcPr>
            <w:tcW w:w="1211" w:type="dxa"/>
            <w:shd w:val="clear" w:color="auto" w:fill="auto"/>
          </w:tcPr>
          <w:p w14:paraId="660C67DF" w14:textId="77777777" w:rsidR="00A16AAB" w:rsidRPr="009E7788" w:rsidRDefault="00A16AAB" w:rsidP="00A16AAB">
            <w:pPr>
              <w:ind w:firstLine="0"/>
              <w:jc w:val="center"/>
              <w:rPr>
                <w:rFonts w:eastAsia="Times New Roman" w:cs="Times New Roman"/>
                <w:sz w:val="18"/>
                <w:szCs w:val="18"/>
                <w:lang w:eastAsia="lv-LV"/>
              </w:rPr>
            </w:pPr>
          </w:p>
        </w:tc>
        <w:tc>
          <w:tcPr>
            <w:tcW w:w="739" w:type="dxa"/>
            <w:shd w:val="clear" w:color="auto" w:fill="auto"/>
            <w:vAlign w:val="bottom"/>
          </w:tcPr>
          <w:p w14:paraId="04F9B300" w14:textId="7C698267" w:rsidR="00A16AAB" w:rsidRPr="009E7788" w:rsidRDefault="00A16AAB" w:rsidP="00A16AAB">
            <w:pPr>
              <w:ind w:firstLine="0"/>
              <w:jc w:val="center"/>
              <w:rPr>
                <w:rFonts w:eastAsia="Times New Roman" w:cs="Times New Roman"/>
                <w:sz w:val="18"/>
                <w:szCs w:val="18"/>
                <w:lang w:eastAsia="lv-LV"/>
              </w:rPr>
            </w:pPr>
            <w:r>
              <w:rPr>
                <w:sz w:val="18"/>
                <w:szCs w:val="18"/>
              </w:rPr>
              <w:t>0,00</w:t>
            </w:r>
          </w:p>
        </w:tc>
        <w:tc>
          <w:tcPr>
            <w:tcW w:w="741" w:type="dxa"/>
            <w:shd w:val="clear" w:color="auto" w:fill="auto"/>
            <w:noWrap/>
            <w:vAlign w:val="bottom"/>
          </w:tcPr>
          <w:p w14:paraId="7A54CA6F" w14:textId="3C5CE62F" w:rsidR="00A16AAB" w:rsidRPr="009E7788" w:rsidRDefault="00A16AAB" w:rsidP="00A16AAB">
            <w:pPr>
              <w:ind w:firstLine="0"/>
              <w:jc w:val="center"/>
              <w:rPr>
                <w:rFonts w:eastAsia="Times New Roman" w:cs="Times New Roman"/>
                <w:sz w:val="18"/>
                <w:szCs w:val="18"/>
                <w:lang w:eastAsia="lv-LV"/>
              </w:rPr>
            </w:pPr>
            <w:r>
              <w:rPr>
                <w:sz w:val="18"/>
                <w:szCs w:val="18"/>
              </w:rPr>
              <w:t>0,00</w:t>
            </w:r>
          </w:p>
        </w:tc>
        <w:tc>
          <w:tcPr>
            <w:tcW w:w="710" w:type="dxa"/>
            <w:shd w:val="clear" w:color="auto" w:fill="auto"/>
            <w:noWrap/>
            <w:vAlign w:val="bottom"/>
          </w:tcPr>
          <w:p w14:paraId="21E6F073" w14:textId="7AEC0212" w:rsidR="00A16AAB" w:rsidRPr="009E7788" w:rsidRDefault="00A16AAB" w:rsidP="00A16AAB">
            <w:pPr>
              <w:ind w:firstLine="0"/>
              <w:jc w:val="center"/>
              <w:rPr>
                <w:rFonts w:eastAsia="Times New Roman" w:cs="Times New Roman"/>
                <w:sz w:val="18"/>
                <w:szCs w:val="18"/>
                <w:lang w:eastAsia="lv-LV"/>
              </w:rPr>
            </w:pPr>
            <w:r>
              <w:rPr>
                <w:sz w:val="18"/>
                <w:szCs w:val="18"/>
              </w:rPr>
              <w:t>0,00</w:t>
            </w:r>
          </w:p>
        </w:tc>
        <w:tc>
          <w:tcPr>
            <w:tcW w:w="778" w:type="dxa"/>
            <w:shd w:val="clear" w:color="auto" w:fill="auto"/>
            <w:noWrap/>
          </w:tcPr>
          <w:p w14:paraId="33A32373"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61E26A53" w14:textId="77777777" w:rsidTr="00A329BA">
        <w:trPr>
          <w:trHeight w:val="486"/>
        </w:trPr>
        <w:tc>
          <w:tcPr>
            <w:tcW w:w="2112" w:type="dxa"/>
            <w:shd w:val="clear" w:color="000000" w:fill="DDEBF7"/>
          </w:tcPr>
          <w:p w14:paraId="04E13DCA" w14:textId="77777777" w:rsidR="00A16AAB" w:rsidRPr="009E7788" w:rsidRDefault="00A16AAB" w:rsidP="00A16AAB">
            <w:pPr>
              <w:ind w:firstLine="0"/>
              <w:jc w:val="left"/>
              <w:rPr>
                <w:rFonts w:eastAsia="Times New Roman" w:cs="Times New Roman"/>
                <w:sz w:val="18"/>
                <w:szCs w:val="18"/>
                <w:lang w:eastAsia="lv-LV"/>
              </w:rPr>
            </w:pPr>
            <w:r>
              <w:rPr>
                <w:b/>
                <w:bCs/>
                <w:sz w:val="18"/>
                <w:szCs w:val="18"/>
              </w:rPr>
              <w:lastRenderedPageBreak/>
              <w:t>PVN ieņēmumu pieaugums no akcīzes nodokļa likmju paaugstināšanas</w:t>
            </w:r>
          </w:p>
        </w:tc>
        <w:tc>
          <w:tcPr>
            <w:tcW w:w="989" w:type="dxa"/>
            <w:shd w:val="clear" w:color="000000" w:fill="DDEBF7"/>
          </w:tcPr>
          <w:p w14:paraId="500C2B39" w14:textId="77777777" w:rsidR="00A16AAB" w:rsidRPr="009E7788" w:rsidRDefault="00A16AAB" w:rsidP="00A16AAB">
            <w:pPr>
              <w:ind w:firstLine="0"/>
              <w:jc w:val="center"/>
              <w:rPr>
                <w:rFonts w:eastAsia="Times New Roman" w:cs="Times New Roman"/>
                <w:sz w:val="18"/>
                <w:szCs w:val="18"/>
                <w:lang w:eastAsia="lv-LV"/>
              </w:rPr>
            </w:pPr>
            <w:r>
              <w:rPr>
                <w:sz w:val="18"/>
                <w:szCs w:val="18"/>
              </w:rPr>
              <w:t>PVN</w:t>
            </w:r>
          </w:p>
        </w:tc>
        <w:tc>
          <w:tcPr>
            <w:tcW w:w="709" w:type="dxa"/>
            <w:shd w:val="clear" w:color="000000" w:fill="DDEBF7"/>
          </w:tcPr>
          <w:p w14:paraId="7DE3166D" w14:textId="77777777" w:rsidR="00A16AAB" w:rsidRPr="009E7788" w:rsidRDefault="00A16AAB" w:rsidP="00A16AAB">
            <w:pPr>
              <w:ind w:firstLine="0"/>
              <w:jc w:val="center"/>
              <w:rPr>
                <w:rFonts w:eastAsia="Times New Roman" w:cs="Times New Roman"/>
                <w:sz w:val="18"/>
                <w:szCs w:val="18"/>
                <w:lang w:eastAsia="lv-LV"/>
              </w:rPr>
            </w:pPr>
            <w:r>
              <w:rPr>
                <w:sz w:val="18"/>
                <w:szCs w:val="18"/>
              </w:rPr>
              <w:t>D2</w:t>
            </w:r>
          </w:p>
        </w:tc>
        <w:tc>
          <w:tcPr>
            <w:tcW w:w="1000" w:type="dxa"/>
            <w:shd w:val="clear" w:color="000000" w:fill="DDEBF7"/>
          </w:tcPr>
          <w:p w14:paraId="0BE042F2" w14:textId="77777777" w:rsidR="00A16AAB" w:rsidRPr="00F44742" w:rsidRDefault="00A16AAB" w:rsidP="00A16AAB">
            <w:pPr>
              <w:ind w:firstLine="0"/>
              <w:jc w:val="center"/>
              <w:rPr>
                <w:rFonts w:eastAsia="Times New Roman" w:cs="Times New Roman"/>
                <w:sz w:val="16"/>
                <w:szCs w:val="16"/>
                <w:lang w:eastAsia="lv-LV"/>
              </w:rPr>
            </w:pPr>
            <w:r w:rsidRPr="00F44742">
              <w:rPr>
                <w:sz w:val="16"/>
                <w:szCs w:val="16"/>
              </w:rPr>
              <w:t>Uzkrājuma</w:t>
            </w:r>
          </w:p>
        </w:tc>
        <w:tc>
          <w:tcPr>
            <w:tcW w:w="1211" w:type="dxa"/>
            <w:shd w:val="clear" w:color="000000" w:fill="DDEBF7"/>
          </w:tcPr>
          <w:p w14:paraId="3574EE65" w14:textId="77777777" w:rsidR="00A16AAB" w:rsidRPr="009E7788" w:rsidRDefault="00A16AAB" w:rsidP="00A16AAB">
            <w:pPr>
              <w:ind w:firstLine="0"/>
              <w:jc w:val="center"/>
              <w:rPr>
                <w:rFonts w:eastAsia="Times New Roman" w:cs="Times New Roman"/>
                <w:sz w:val="18"/>
                <w:szCs w:val="18"/>
                <w:lang w:eastAsia="lv-LV"/>
              </w:rPr>
            </w:pPr>
            <w:r>
              <w:rPr>
                <w:sz w:val="18"/>
                <w:szCs w:val="18"/>
              </w:rPr>
              <w:t>apstiprināts valdībā</w:t>
            </w:r>
          </w:p>
        </w:tc>
        <w:tc>
          <w:tcPr>
            <w:tcW w:w="739" w:type="dxa"/>
            <w:shd w:val="clear" w:color="000000" w:fill="DDEBF7"/>
            <w:vAlign w:val="bottom"/>
          </w:tcPr>
          <w:p w14:paraId="61EA602C" w14:textId="0418FAE0" w:rsidR="00A16AAB" w:rsidRPr="009E7788" w:rsidRDefault="00A16AAB" w:rsidP="00A16AAB">
            <w:pPr>
              <w:ind w:firstLine="0"/>
              <w:jc w:val="center"/>
              <w:rPr>
                <w:rFonts w:eastAsia="Times New Roman" w:cs="Times New Roman"/>
                <w:sz w:val="18"/>
                <w:szCs w:val="18"/>
                <w:lang w:eastAsia="lv-LV"/>
              </w:rPr>
            </w:pPr>
            <w:r>
              <w:rPr>
                <w:b/>
                <w:bCs/>
                <w:sz w:val="18"/>
                <w:szCs w:val="18"/>
              </w:rPr>
              <w:t>0,02</w:t>
            </w:r>
          </w:p>
        </w:tc>
        <w:tc>
          <w:tcPr>
            <w:tcW w:w="741" w:type="dxa"/>
            <w:shd w:val="clear" w:color="000000" w:fill="DDEBF7"/>
            <w:noWrap/>
            <w:vAlign w:val="bottom"/>
          </w:tcPr>
          <w:p w14:paraId="77785CC3" w14:textId="08E907DC" w:rsidR="00A16AAB" w:rsidRPr="009E7788" w:rsidRDefault="00A16AAB" w:rsidP="00A16AAB">
            <w:pPr>
              <w:ind w:firstLine="0"/>
              <w:jc w:val="center"/>
              <w:rPr>
                <w:rFonts w:eastAsia="Times New Roman" w:cs="Times New Roman"/>
                <w:sz w:val="18"/>
                <w:szCs w:val="18"/>
                <w:lang w:eastAsia="lv-LV"/>
              </w:rPr>
            </w:pPr>
            <w:r>
              <w:rPr>
                <w:b/>
                <w:bCs/>
                <w:sz w:val="18"/>
                <w:szCs w:val="18"/>
              </w:rPr>
              <w:t>0,00</w:t>
            </w:r>
          </w:p>
        </w:tc>
        <w:tc>
          <w:tcPr>
            <w:tcW w:w="710" w:type="dxa"/>
            <w:shd w:val="clear" w:color="000000" w:fill="DDEBF7"/>
            <w:noWrap/>
            <w:vAlign w:val="bottom"/>
          </w:tcPr>
          <w:p w14:paraId="5F8B8A71" w14:textId="05590BAB" w:rsidR="00A16AAB" w:rsidRPr="009E7788" w:rsidRDefault="00A16AAB" w:rsidP="00A16AAB">
            <w:pPr>
              <w:ind w:firstLine="0"/>
              <w:jc w:val="center"/>
              <w:rPr>
                <w:rFonts w:eastAsia="Times New Roman" w:cs="Times New Roman"/>
                <w:sz w:val="18"/>
                <w:szCs w:val="18"/>
                <w:lang w:eastAsia="lv-LV"/>
              </w:rPr>
            </w:pPr>
            <w:r>
              <w:rPr>
                <w:b/>
                <w:bCs/>
                <w:sz w:val="18"/>
                <w:szCs w:val="18"/>
              </w:rPr>
              <w:t>0,00</w:t>
            </w:r>
          </w:p>
        </w:tc>
        <w:tc>
          <w:tcPr>
            <w:tcW w:w="778" w:type="dxa"/>
            <w:shd w:val="clear" w:color="000000" w:fill="DDEBF7"/>
            <w:noWrap/>
          </w:tcPr>
          <w:p w14:paraId="074AF695"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47012604" w14:textId="77777777" w:rsidTr="00571AB4">
        <w:trPr>
          <w:trHeight w:val="279"/>
        </w:trPr>
        <w:tc>
          <w:tcPr>
            <w:tcW w:w="2112" w:type="dxa"/>
            <w:shd w:val="clear" w:color="auto" w:fill="auto"/>
          </w:tcPr>
          <w:p w14:paraId="4615D4D5" w14:textId="77777777" w:rsidR="00A16AAB" w:rsidRDefault="00A16AAB" w:rsidP="00A16AAB">
            <w:pPr>
              <w:ind w:firstLine="0"/>
              <w:jc w:val="left"/>
              <w:rPr>
                <w:b/>
                <w:bCs/>
                <w:sz w:val="18"/>
                <w:szCs w:val="18"/>
              </w:rPr>
            </w:pPr>
            <w:r>
              <w:rPr>
                <w:sz w:val="18"/>
                <w:szCs w:val="18"/>
              </w:rPr>
              <w:t xml:space="preserve">t.sk. valsts pamatbudžets </w:t>
            </w:r>
          </w:p>
        </w:tc>
        <w:tc>
          <w:tcPr>
            <w:tcW w:w="989" w:type="dxa"/>
            <w:shd w:val="clear" w:color="auto" w:fill="auto"/>
          </w:tcPr>
          <w:p w14:paraId="4E92D1AF" w14:textId="77777777" w:rsidR="00A16AAB" w:rsidRPr="009E7788" w:rsidRDefault="00A16AAB" w:rsidP="00A16AAB">
            <w:pPr>
              <w:ind w:firstLine="0"/>
              <w:jc w:val="center"/>
              <w:rPr>
                <w:rFonts w:eastAsia="Times New Roman" w:cs="Times New Roman"/>
                <w:sz w:val="18"/>
                <w:szCs w:val="18"/>
                <w:lang w:eastAsia="lv-LV"/>
              </w:rPr>
            </w:pPr>
          </w:p>
        </w:tc>
        <w:tc>
          <w:tcPr>
            <w:tcW w:w="709" w:type="dxa"/>
            <w:shd w:val="clear" w:color="auto" w:fill="auto"/>
          </w:tcPr>
          <w:p w14:paraId="71830C66" w14:textId="77777777" w:rsidR="00A16AAB" w:rsidRPr="009E7788" w:rsidRDefault="00A16AAB" w:rsidP="00A16AAB">
            <w:pPr>
              <w:ind w:firstLine="0"/>
              <w:jc w:val="center"/>
              <w:rPr>
                <w:rFonts w:eastAsia="Times New Roman" w:cs="Times New Roman"/>
                <w:sz w:val="18"/>
                <w:szCs w:val="18"/>
                <w:lang w:eastAsia="lv-LV"/>
              </w:rPr>
            </w:pPr>
          </w:p>
        </w:tc>
        <w:tc>
          <w:tcPr>
            <w:tcW w:w="1000" w:type="dxa"/>
            <w:shd w:val="clear" w:color="auto" w:fill="auto"/>
          </w:tcPr>
          <w:p w14:paraId="4B7F9F7D" w14:textId="77777777" w:rsidR="00A16AAB" w:rsidRPr="00F44742" w:rsidRDefault="00A16AAB" w:rsidP="00A16AAB">
            <w:pPr>
              <w:ind w:firstLine="0"/>
              <w:jc w:val="center"/>
              <w:rPr>
                <w:rFonts w:eastAsia="Times New Roman" w:cs="Times New Roman"/>
                <w:sz w:val="16"/>
                <w:szCs w:val="16"/>
                <w:lang w:eastAsia="lv-LV"/>
              </w:rPr>
            </w:pPr>
          </w:p>
        </w:tc>
        <w:tc>
          <w:tcPr>
            <w:tcW w:w="1211" w:type="dxa"/>
            <w:shd w:val="clear" w:color="auto" w:fill="auto"/>
          </w:tcPr>
          <w:p w14:paraId="7A1650C1" w14:textId="77777777" w:rsidR="00A16AAB" w:rsidRPr="009E7788" w:rsidRDefault="00A16AAB" w:rsidP="00A16AAB">
            <w:pPr>
              <w:ind w:firstLine="0"/>
              <w:jc w:val="center"/>
              <w:rPr>
                <w:rFonts w:eastAsia="Times New Roman" w:cs="Times New Roman"/>
                <w:sz w:val="18"/>
                <w:szCs w:val="18"/>
                <w:lang w:eastAsia="lv-LV"/>
              </w:rPr>
            </w:pPr>
          </w:p>
        </w:tc>
        <w:tc>
          <w:tcPr>
            <w:tcW w:w="739" w:type="dxa"/>
            <w:shd w:val="clear" w:color="auto" w:fill="auto"/>
            <w:vAlign w:val="bottom"/>
          </w:tcPr>
          <w:p w14:paraId="4524EDDB" w14:textId="4E397FF1" w:rsidR="00A16AAB" w:rsidRPr="009E7788" w:rsidRDefault="00A16AAB" w:rsidP="00A16AAB">
            <w:pPr>
              <w:ind w:firstLine="0"/>
              <w:jc w:val="center"/>
              <w:rPr>
                <w:rFonts w:eastAsia="Times New Roman" w:cs="Times New Roman"/>
                <w:sz w:val="18"/>
                <w:szCs w:val="18"/>
                <w:lang w:eastAsia="lv-LV"/>
              </w:rPr>
            </w:pPr>
            <w:r>
              <w:rPr>
                <w:sz w:val="18"/>
                <w:szCs w:val="18"/>
              </w:rPr>
              <w:t>0,02</w:t>
            </w:r>
          </w:p>
        </w:tc>
        <w:tc>
          <w:tcPr>
            <w:tcW w:w="741" w:type="dxa"/>
            <w:shd w:val="clear" w:color="auto" w:fill="auto"/>
            <w:noWrap/>
            <w:vAlign w:val="bottom"/>
          </w:tcPr>
          <w:p w14:paraId="34C5BA35" w14:textId="60ECEF30" w:rsidR="00A16AAB" w:rsidRPr="009E7788" w:rsidRDefault="00A16AAB" w:rsidP="00A16AAB">
            <w:pPr>
              <w:ind w:firstLine="0"/>
              <w:jc w:val="center"/>
              <w:rPr>
                <w:rFonts w:eastAsia="Times New Roman" w:cs="Times New Roman"/>
                <w:sz w:val="18"/>
                <w:szCs w:val="18"/>
                <w:lang w:eastAsia="lv-LV"/>
              </w:rPr>
            </w:pPr>
            <w:r>
              <w:rPr>
                <w:sz w:val="18"/>
                <w:szCs w:val="18"/>
              </w:rPr>
              <w:t>0,00</w:t>
            </w:r>
          </w:p>
        </w:tc>
        <w:tc>
          <w:tcPr>
            <w:tcW w:w="710" w:type="dxa"/>
            <w:shd w:val="clear" w:color="auto" w:fill="auto"/>
            <w:noWrap/>
            <w:vAlign w:val="bottom"/>
          </w:tcPr>
          <w:p w14:paraId="20856051" w14:textId="429E99EA" w:rsidR="00A16AAB" w:rsidRPr="009E7788" w:rsidRDefault="00A16AAB" w:rsidP="00A16AAB">
            <w:pPr>
              <w:ind w:firstLine="0"/>
              <w:jc w:val="center"/>
              <w:rPr>
                <w:rFonts w:eastAsia="Times New Roman" w:cs="Times New Roman"/>
                <w:sz w:val="18"/>
                <w:szCs w:val="18"/>
                <w:lang w:eastAsia="lv-LV"/>
              </w:rPr>
            </w:pPr>
            <w:r>
              <w:rPr>
                <w:sz w:val="18"/>
                <w:szCs w:val="18"/>
              </w:rPr>
              <w:t>0,00</w:t>
            </w:r>
          </w:p>
        </w:tc>
        <w:tc>
          <w:tcPr>
            <w:tcW w:w="778" w:type="dxa"/>
            <w:shd w:val="clear" w:color="auto" w:fill="auto"/>
            <w:noWrap/>
          </w:tcPr>
          <w:p w14:paraId="37CCCDD5"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2DABAAD3" w14:textId="77777777" w:rsidTr="00571AB4">
        <w:trPr>
          <w:trHeight w:val="269"/>
        </w:trPr>
        <w:tc>
          <w:tcPr>
            <w:tcW w:w="2112" w:type="dxa"/>
            <w:shd w:val="clear" w:color="auto" w:fill="auto"/>
          </w:tcPr>
          <w:p w14:paraId="121C45CA" w14:textId="77777777" w:rsidR="00A16AAB" w:rsidRDefault="00A16AAB" w:rsidP="00A16AAB">
            <w:pPr>
              <w:ind w:firstLine="0"/>
              <w:jc w:val="left"/>
              <w:rPr>
                <w:b/>
                <w:bCs/>
                <w:sz w:val="18"/>
                <w:szCs w:val="18"/>
              </w:rPr>
            </w:pPr>
            <w:r>
              <w:rPr>
                <w:sz w:val="18"/>
                <w:szCs w:val="18"/>
              </w:rPr>
              <w:t>t.sk. pašvaldību budžets</w:t>
            </w:r>
          </w:p>
        </w:tc>
        <w:tc>
          <w:tcPr>
            <w:tcW w:w="989" w:type="dxa"/>
            <w:shd w:val="clear" w:color="auto" w:fill="auto"/>
          </w:tcPr>
          <w:p w14:paraId="61AE2428" w14:textId="77777777" w:rsidR="00A16AAB" w:rsidRPr="009E7788" w:rsidRDefault="00A16AAB" w:rsidP="00571AB4">
            <w:pPr>
              <w:ind w:firstLine="0"/>
              <w:rPr>
                <w:rFonts w:eastAsia="Times New Roman" w:cs="Times New Roman"/>
                <w:sz w:val="18"/>
                <w:szCs w:val="18"/>
                <w:lang w:eastAsia="lv-LV"/>
              </w:rPr>
            </w:pPr>
          </w:p>
        </w:tc>
        <w:tc>
          <w:tcPr>
            <w:tcW w:w="709" w:type="dxa"/>
            <w:shd w:val="clear" w:color="auto" w:fill="auto"/>
          </w:tcPr>
          <w:p w14:paraId="70AE0133" w14:textId="77777777" w:rsidR="00A16AAB" w:rsidRPr="009E7788" w:rsidRDefault="00A16AAB" w:rsidP="00571AB4">
            <w:pPr>
              <w:ind w:firstLine="0"/>
              <w:rPr>
                <w:rFonts w:eastAsia="Times New Roman" w:cs="Times New Roman"/>
                <w:sz w:val="18"/>
                <w:szCs w:val="18"/>
                <w:lang w:eastAsia="lv-LV"/>
              </w:rPr>
            </w:pPr>
          </w:p>
        </w:tc>
        <w:tc>
          <w:tcPr>
            <w:tcW w:w="1000" w:type="dxa"/>
            <w:shd w:val="clear" w:color="auto" w:fill="auto"/>
          </w:tcPr>
          <w:p w14:paraId="5E70E63B" w14:textId="77777777" w:rsidR="00A16AAB" w:rsidRPr="00F44742" w:rsidRDefault="00A16AAB" w:rsidP="00571AB4">
            <w:pPr>
              <w:ind w:firstLine="0"/>
              <w:rPr>
                <w:rFonts w:eastAsia="Times New Roman" w:cs="Times New Roman"/>
                <w:sz w:val="16"/>
                <w:szCs w:val="16"/>
                <w:lang w:eastAsia="lv-LV"/>
              </w:rPr>
            </w:pPr>
          </w:p>
        </w:tc>
        <w:tc>
          <w:tcPr>
            <w:tcW w:w="1211" w:type="dxa"/>
            <w:shd w:val="clear" w:color="auto" w:fill="auto"/>
          </w:tcPr>
          <w:p w14:paraId="2C3D4412" w14:textId="77777777" w:rsidR="00A16AAB" w:rsidRPr="009E7788" w:rsidRDefault="00A16AAB" w:rsidP="00571AB4">
            <w:pPr>
              <w:ind w:firstLine="0"/>
              <w:rPr>
                <w:rFonts w:eastAsia="Times New Roman" w:cs="Times New Roman"/>
                <w:sz w:val="18"/>
                <w:szCs w:val="18"/>
                <w:lang w:eastAsia="lv-LV"/>
              </w:rPr>
            </w:pPr>
          </w:p>
        </w:tc>
        <w:tc>
          <w:tcPr>
            <w:tcW w:w="739" w:type="dxa"/>
            <w:shd w:val="clear" w:color="auto" w:fill="auto"/>
            <w:vAlign w:val="bottom"/>
          </w:tcPr>
          <w:p w14:paraId="456929D3" w14:textId="23178D2A" w:rsidR="00A16AAB" w:rsidRPr="009E7788" w:rsidRDefault="00A16AAB" w:rsidP="00571AB4">
            <w:pPr>
              <w:ind w:firstLine="0"/>
              <w:jc w:val="center"/>
              <w:rPr>
                <w:rFonts w:eastAsia="Times New Roman" w:cs="Times New Roman"/>
                <w:sz w:val="18"/>
                <w:szCs w:val="18"/>
                <w:lang w:eastAsia="lv-LV"/>
              </w:rPr>
            </w:pPr>
            <w:r>
              <w:rPr>
                <w:sz w:val="18"/>
                <w:szCs w:val="18"/>
              </w:rPr>
              <w:t>0,00</w:t>
            </w:r>
          </w:p>
        </w:tc>
        <w:tc>
          <w:tcPr>
            <w:tcW w:w="741" w:type="dxa"/>
            <w:shd w:val="clear" w:color="auto" w:fill="auto"/>
            <w:noWrap/>
            <w:vAlign w:val="bottom"/>
          </w:tcPr>
          <w:p w14:paraId="6E7661D6" w14:textId="682BA404" w:rsidR="00A16AAB" w:rsidRPr="009E7788" w:rsidRDefault="00A16AAB" w:rsidP="00571AB4">
            <w:pPr>
              <w:ind w:firstLine="0"/>
              <w:jc w:val="center"/>
              <w:rPr>
                <w:rFonts w:eastAsia="Times New Roman" w:cs="Times New Roman"/>
                <w:sz w:val="18"/>
                <w:szCs w:val="18"/>
                <w:lang w:eastAsia="lv-LV"/>
              </w:rPr>
            </w:pPr>
            <w:r>
              <w:rPr>
                <w:sz w:val="18"/>
                <w:szCs w:val="18"/>
              </w:rPr>
              <w:t>0,00</w:t>
            </w:r>
          </w:p>
        </w:tc>
        <w:tc>
          <w:tcPr>
            <w:tcW w:w="710" w:type="dxa"/>
            <w:shd w:val="clear" w:color="auto" w:fill="auto"/>
            <w:noWrap/>
            <w:vAlign w:val="bottom"/>
          </w:tcPr>
          <w:p w14:paraId="4E9434F2" w14:textId="4FC2F31F" w:rsidR="00A16AAB" w:rsidRPr="009E7788" w:rsidRDefault="00A16AAB" w:rsidP="00571AB4">
            <w:pPr>
              <w:ind w:firstLine="0"/>
              <w:jc w:val="center"/>
              <w:rPr>
                <w:rFonts w:eastAsia="Times New Roman" w:cs="Times New Roman"/>
                <w:sz w:val="18"/>
                <w:szCs w:val="18"/>
                <w:lang w:eastAsia="lv-LV"/>
              </w:rPr>
            </w:pPr>
            <w:r>
              <w:rPr>
                <w:sz w:val="18"/>
                <w:szCs w:val="18"/>
              </w:rPr>
              <w:t>0,00</w:t>
            </w:r>
          </w:p>
        </w:tc>
        <w:tc>
          <w:tcPr>
            <w:tcW w:w="778" w:type="dxa"/>
            <w:shd w:val="clear" w:color="auto" w:fill="auto"/>
            <w:noWrap/>
          </w:tcPr>
          <w:p w14:paraId="26BFF877" w14:textId="77777777" w:rsidR="00A16AAB" w:rsidRPr="009E7788" w:rsidRDefault="00A16AAB" w:rsidP="00571AB4">
            <w:pPr>
              <w:ind w:firstLine="0"/>
              <w:rPr>
                <w:rFonts w:eastAsia="Times New Roman" w:cs="Times New Roman"/>
                <w:sz w:val="18"/>
                <w:szCs w:val="18"/>
                <w:lang w:eastAsia="lv-LV"/>
              </w:rPr>
            </w:pPr>
          </w:p>
        </w:tc>
      </w:tr>
      <w:tr w:rsidR="00A16AAB" w:rsidRPr="009E7788" w14:paraId="3F9AF6F7" w14:textId="77777777" w:rsidTr="00A329BA">
        <w:trPr>
          <w:trHeight w:val="486"/>
        </w:trPr>
        <w:tc>
          <w:tcPr>
            <w:tcW w:w="2112" w:type="dxa"/>
            <w:shd w:val="clear" w:color="000000" w:fill="DDEBF7"/>
          </w:tcPr>
          <w:p w14:paraId="2DC51FF8" w14:textId="77777777" w:rsidR="00A16AAB" w:rsidRDefault="00A16AAB" w:rsidP="00A16AAB">
            <w:pPr>
              <w:ind w:firstLine="0"/>
              <w:jc w:val="left"/>
              <w:rPr>
                <w:b/>
                <w:bCs/>
                <w:sz w:val="18"/>
                <w:szCs w:val="18"/>
              </w:rPr>
            </w:pPr>
            <w:r>
              <w:rPr>
                <w:b/>
                <w:bCs/>
                <w:color w:val="000000"/>
                <w:sz w:val="18"/>
                <w:szCs w:val="18"/>
              </w:rPr>
              <w:t>Noteikumi par ievešanai (importēšanai) Latvijā aizliegtiem lauksaimniecības un lopbarības produktiem</w:t>
            </w:r>
          </w:p>
        </w:tc>
        <w:tc>
          <w:tcPr>
            <w:tcW w:w="989" w:type="dxa"/>
            <w:shd w:val="clear" w:color="000000" w:fill="DDEBF7"/>
          </w:tcPr>
          <w:p w14:paraId="7E683339" w14:textId="77777777" w:rsidR="00A16AAB" w:rsidRPr="009E7788" w:rsidRDefault="00A16AAB" w:rsidP="00A16AAB">
            <w:pPr>
              <w:ind w:firstLine="0"/>
              <w:jc w:val="center"/>
              <w:rPr>
                <w:rFonts w:eastAsia="Times New Roman" w:cs="Times New Roman"/>
                <w:sz w:val="18"/>
                <w:szCs w:val="18"/>
                <w:lang w:eastAsia="lv-LV"/>
              </w:rPr>
            </w:pPr>
            <w:proofErr w:type="spellStart"/>
            <w:r>
              <w:rPr>
                <w:color w:val="000000"/>
                <w:sz w:val="18"/>
                <w:szCs w:val="18"/>
              </w:rPr>
              <w:t>Nenodokļi</w:t>
            </w:r>
            <w:proofErr w:type="spellEnd"/>
          </w:p>
        </w:tc>
        <w:tc>
          <w:tcPr>
            <w:tcW w:w="709" w:type="dxa"/>
            <w:shd w:val="clear" w:color="000000" w:fill="DDEBF7"/>
          </w:tcPr>
          <w:p w14:paraId="7E821281"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D2</w:t>
            </w:r>
          </w:p>
        </w:tc>
        <w:tc>
          <w:tcPr>
            <w:tcW w:w="1000" w:type="dxa"/>
            <w:shd w:val="clear" w:color="000000" w:fill="DDEBF7"/>
          </w:tcPr>
          <w:p w14:paraId="5F0CE85B"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000000" w:fill="DDEBF7"/>
          </w:tcPr>
          <w:p w14:paraId="0D3AD0E4"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000000" w:fill="DDEBF7"/>
            <w:vAlign w:val="bottom"/>
          </w:tcPr>
          <w:p w14:paraId="246C6889" w14:textId="6264B4A2"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-0,01</w:t>
            </w:r>
          </w:p>
        </w:tc>
        <w:tc>
          <w:tcPr>
            <w:tcW w:w="741" w:type="dxa"/>
            <w:shd w:val="clear" w:color="000000" w:fill="DDEBF7"/>
            <w:noWrap/>
            <w:vAlign w:val="bottom"/>
          </w:tcPr>
          <w:p w14:paraId="6DF321F7" w14:textId="6566D1C6"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0,01</w:t>
            </w:r>
          </w:p>
        </w:tc>
        <w:tc>
          <w:tcPr>
            <w:tcW w:w="710" w:type="dxa"/>
            <w:shd w:val="clear" w:color="000000" w:fill="DDEBF7"/>
            <w:noWrap/>
            <w:vAlign w:val="bottom"/>
          </w:tcPr>
          <w:p w14:paraId="236AE489" w14:textId="421C164D"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000000" w:fill="DDEBF7"/>
            <w:noWrap/>
          </w:tcPr>
          <w:p w14:paraId="56CE3382"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3C258204" w14:textId="77777777" w:rsidTr="00571AB4">
        <w:trPr>
          <w:trHeight w:val="268"/>
        </w:trPr>
        <w:tc>
          <w:tcPr>
            <w:tcW w:w="2112" w:type="dxa"/>
            <w:shd w:val="clear" w:color="auto" w:fill="auto"/>
          </w:tcPr>
          <w:p w14:paraId="37013B6C" w14:textId="77777777" w:rsidR="00A16AAB" w:rsidRDefault="00A16AAB" w:rsidP="00A16AAB">
            <w:pPr>
              <w:ind w:firstLine="0"/>
              <w:jc w:val="left"/>
              <w:rPr>
                <w:b/>
                <w:bCs/>
                <w:sz w:val="18"/>
                <w:szCs w:val="18"/>
              </w:rPr>
            </w:pPr>
            <w:r>
              <w:rPr>
                <w:color w:val="000000"/>
                <w:sz w:val="18"/>
                <w:szCs w:val="18"/>
              </w:rPr>
              <w:t xml:space="preserve">t.sk. valsts pamatbudžets </w:t>
            </w:r>
          </w:p>
        </w:tc>
        <w:tc>
          <w:tcPr>
            <w:tcW w:w="989" w:type="dxa"/>
            <w:shd w:val="clear" w:color="auto" w:fill="auto"/>
          </w:tcPr>
          <w:p w14:paraId="455161F8" w14:textId="77777777" w:rsidR="00A16AAB" w:rsidRPr="009E7788" w:rsidRDefault="00A16AAB" w:rsidP="00A16AAB">
            <w:pPr>
              <w:ind w:firstLine="0"/>
              <w:jc w:val="center"/>
              <w:rPr>
                <w:rFonts w:eastAsia="Times New Roman" w:cs="Times New Roman"/>
                <w:sz w:val="18"/>
                <w:szCs w:val="18"/>
                <w:lang w:eastAsia="lv-LV"/>
              </w:rPr>
            </w:pPr>
          </w:p>
        </w:tc>
        <w:tc>
          <w:tcPr>
            <w:tcW w:w="709" w:type="dxa"/>
            <w:shd w:val="clear" w:color="auto" w:fill="auto"/>
          </w:tcPr>
          <w:p w14:paraId="5E2848B9" w14:textId="77777777" w:rsidR="00A16AAB" w:rsidRPr="009E7788" w:rsidRDefault="00A16AAB" w:rsidP="00A16AAB">
            <w:pPr>
              <w:ind w:firstLine="0"/>
              <w:jc w:val="center"/>
              <w:rPr>
                <w:rFonts w:eastAsia="Times New Roman" w:cs="Times New Roman"/>
                <w:sz w:val="18"/>
                <w:szCs w:val="18"/>
                <w:lang w:eastAsia="lv-LV"/>
              </w:rPr>
            </w:pPr>
          </w:p>
        </w:tc>
        <w:tc>
          <w:tcPr>
            <w:tcW w:w="1000" w:type="dxa"/>
            <w:shd w:val="clear" w:color="auto" w:fill="auto"/>
          </w:tcPr>
          <w:p w14:paraId="4A7AD50C" w14:textId="77777777" w:rsidR="00A16AAB" w:rsidRPr="00F44742" w:rsidRDefault="00A16AAB" w:rsidP="00A16AAB">
            <w:pPr>
              <w:ind w:firstLine="0"/>
              <w:jc w:val="center"/>
              <w:rPr>
                <w:rFonts w:eastAsia="Times New Roman" w:cs="Times New Roman"/>
                <w:sz w:val="16"/>
                <w:szCs w:val="16"/>
                <w:lang w:eastAsia="lv-LV"/>
              </w:rPr>
            </w:pPr>
          </w:p>
        </w:tc>
        <w:tc>
          <w:tcPr>
            <w:tcW w:w="1211" w:type="dxa"/>
            <w:shd w:val="clear" w:color="auto" w:fill="auto"/>
          </w:tcPr>
          <w:p w14:paraId="654C0027" w14:textId="77777777" w:rsidR="00A16AAB" w:rsidRPr="009E7788" w:rsidRDefault="00A16AAB" w:rsidP="00A16AAB">
            <w:pPr>
              <w:ind w:firstLine="0"/>
              <w:jc w:val="center"/>
              <w:rPr>
                <w:rFonts w:eastAsia="Times New Roman" w:cs="Times New Roman"/>
                <w:sz w:val="18"/>
                <w:szCs w:val="18"/>
                <w:lang w:eastAsia="lv-LV"/>
              </w:rPr>
            </w:pPr>
          </w:p>
        </w:tc>
        <w:tc>
          <w:tcPr>
            <w:tcW w:w="739" w:type="dxa"/>
            <w:shd w:val="clear" w:color="auto" w:fill="auto"/>
            <w:vAlign w:val="bottom"/>
          </w:tcPr>
          <w:p w14:paraId="2FAECD5B" w14:textId="21E264C5" w:rsidR="00A16AAB" w:rsidRPr="009E7788" w:rsidRDefault="00A16AAB" w:rsidP="00A16AAB">
            <w:pPr>
              <w:ind w:firstLine="0"/>
              <w:jc w:val="center"/>
              <w:rPr>
                <w:rFonts w:eastAsia="Times New Roman" w:cs="Times New Roman"/>
                <w:sz w:val="18"/>
                <w:szCs w:val="18"/>
                <w:lang w:eastAsia="lv-LV"/>
              </w:rPr>
            </w:pPr>
            <w:r>
              <w:rPr>
                <w:color w:val="000000"/>
                <w:sz w:val="18"/>
                <w:szCs w:val="18"/>
              </w:rPr>
              <w:t>-0,01</w:t>
            </w:r>
          </w:p>
        </w:tc>
        <w:tc>
          <w:tcPr>
            <w:tcW w:w="741" w:type="dxa"/>
            <w:shd w:val="clear" w:color="auto" w:fill="auto"/>
            <w:noWrap/>
            <w:vAlign w:val="bottom"/>
          </w:tcPr>
          <w:p w14:paraId="6008F931" w14:textId="1955A653" w:rsidR="00A16AAB" w:rsidRPr="009E7788" w:rsidRDefault="00A16AAB" w:rsidP="00A16AAB">
            <w:pPr>
              <w:ind w:firstLine="0"/>
              <w:jc w:val="center"/>
              <w:rPr>
                <w:rFonts w:eastAsia="Times New Roman" w:cs="Times New Roman"/>
                <w:sz w:val="18"/>
                <w:szCs w:val="18"/>
                <w:lang w:eastAsia="lv-LV"/>
              </w:rPr>
            </w:pPr>
            <w:r>
              <w:rPr>
                <w:color w:val="000000"/>
                <w:sz w:val="18"/>
                <w:szCs w:val="18"/>
              </w:rPr>
              <w:t>0,01</w:t>
            </w:r>
          </w:p>
        </w:tc>
        <w:tc>
          <w:tcPr>
            <w:tcW w:w="710" w:type="dxa"/>
            <w:shd w:val="clear" w:color="auto" w:fill="auto"/>
            <w:noWrap/>
            <w:vAlign w:val="bottom"/>
          </w:tcPr>
          <w:p w14:paraId="534CC489" w14:textId="2A8AA50A"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78" w:type="dxa"/>
            <w:shd w:val="clear" w:color="auto" w:fill="auto"/>
            <w:noWrap/>
          </w:tcPr>
          <w:p w14:paraId="431C9FA6"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52CF5769" w14:textId="77777777" w:rsidTr="00571AB4">
        <w:trPr>
          <w:trHeight w:val="285"/>
        </w:trPr>
        <w:tc>
          <w:tcPr>
            <w:tcW w:w="2112" w:type="dxa"/>
            <w:shd w:val="clear" w:color="auto" w:fill="auto"/>
          </w:tcPr>
          <w:p w14:paraId="05F99DB6" w14:textId="77777777" w:rsidR="00A16AAB" w:rsidRDefault="00A16AAB" w:rsidP="00A16AAB">
            <w:pPr>
              <w:ind w:firstLine="0"/>
              <w:jc w:val="left"/>
              <w:rPr>
                <w:b/>
                <w:bCs/>
                <w:sz w:val="18"/>
                <w:szCs w:val="18"/>
              </w:rPr>
            </w:pPr>
            <w:r>
              <w:rPr>
                <w:color w:val="000000"/>
                <w:sz w:val="18"/>
                <w:szCs w:val="18"/>
              </w:rPr>
              <w:t>t.sk. pašvaldību budžets</w:t>
            </w:r>
          </w:p>
        </w:tc>
        <w:tc>
          <w:tcPr>
            <w:tcW w:w="989" w:type="dxa"/>
            <w:shd w:val="clear" w:color="auto" w:fill="auto"/>
          </w:tcPr>
          <w:p w14:paraId="542402D1" w14:textId="77777777" w:rsidR="00A16AAB" w:rsidRPr="009E7788" w:rsidRDefault="00A16AAB" w:rsidP="00A16AAB">
            <w:pPr>
              <w:ind w:firstLine="0"/>
              <w:jc w:val="center"/>
              <w:rPr>
                <w:rFonts w:eastAsia="Times New Roman" w:cs="Times New Roman"/>
                <w:sz w:val="18"/>
                <w:szCs w:val="18"/>
                <w:lang w:eastAsia="lv-LV"/>
              </w:rPr>
            </w:pPr>
          </w:p>
        </w:tc>
        <w:tc>
          <w:tcPr>
            <w:tcW w:w="709" w:type="dxa"/>
            <w:shd w:val="clear" w:color="auto" w:fill="auto"/>
          </w:tcPr>
          <w:p w14:paraId="048CF282" w14:textId="77777777" w:rsidR="00A16AAB" w:rsidRPr="009E7788" w:rsidRDefault="00A16AAB" w:rsidP="00A16AAB">
            <w:pPr>
              <w:ind w:firstLine="0"/>
              <w:jc w:val="center"/>
              <w:rPr>
                <w:rFonts w:eastAsia="Times New Roman" w:cs="Times New Roman"/>
                <w:sz w:val="18"/>
                <w:szCs w:val="18"/>
                <w:lang w:eastAsia="lv-LV"/>
              </w:rPr>
            </w:pPr>
          </w:p>
        </w:tc>
        <w:tc>
          <w:tcPr>
            <w:tcW w:w="1000" w:type="dxa"/>
            <w:shd w:val="clear" w:color="auto" w:fill="auto"/>
          </w:tcPr>
          <w:p w14:paraId="2E400BE4" w14:textId="77777777" w:rsidR="00A16AAB" w:rsidRPr="00F44742" w:rsidRDefault="00A16AAB" w:rsidP="00A16AAB">
            <w:pPr>
              <w:ind w:firstLine="0"/>
              <w:jc w:val="center"/>
              <w:rPr>
                <w:rFonts w:eastAsia="Times New Roman" w:cs="Times New Roman"/>
                <w:sz w:val="16"/>
                <w:szCs w:val="16"/>
                <w:lang w:eastAsia="lv-LV"/>
              </w:rPr>
            </w:pPr>
          </w:p>
        </w:tc>
        <w:tc>
          <w:tcPr>
            <w:tcW w:w="1211" w:type="dxa"/>
            <w:shd w:val="clear" w:color="auto" w:fill="auto"/>
          </w:tcPr>
          <w:p w14:paraId="6A14F92D" w14:textId="77777777" w:rsidR="00A16AAB" w:rsidRPr="009E7788" w:rsidRDefault="00A16AAB" w:rsidP="00A16AAB">
            <w:pPr>
              <w:ind w:firstLine="0"/>
              <w:jc w:val="center"/>
              <w:rPr>
                <w:rFonts w:eastAsia="Times New Roman" w:cs="Times New Roman"/>
                <w:sz w:val="18"/>
                <w:szCs w:val="18"/>
                <w:lang w:eastAsia="lv-LV"/>
              </w:rPr>
            </w:pPr>
          </w:p>
        </w:tc>
        <w:tc>
          <w:tcPr>
            <w:tcW w:w="739" w:type="dxa"/>
            <w:shd w:val="clear" w:color="auto" w:fill="auto"/>
            <w:vAlign w:val="bottom"/>
          </w:tcPr>
          <w:p w14:paraId="41A81AE6" w14:textId="6A2184B4"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41" w:type="dxa"/>
            <w:shd w:val="clear" w:color="auto" w:fill="auto"/>
            <w:noWrap/>
            <w:vAlign w:val="bottom"/>
          </w:tcPr>
          <w:p w14:paraId="691CC471" w14:textId="71282E27"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10" w:type="dxa"/>
            <w:shd w:val="clear" w:color="auto" w:fill="auto"/>
            <w:noWrap/>
            <w:vAlign w:val="bottom"/>
          </w:tcPr>
          <w:p w14:paraId="0FA9098E" w14:textId="11CAA128" w:rsidR="00A16AAB" w:rsidRPr="009E7788" w:rsidRDefault="00A16AAB" w:rsidP="00A16AAB">
            <w:pPr>
              <w:ind w:firstLine="0"/>
              <w:jc w:val="center"/>
              <w:rPr>
                <w:rFonts w:eastAsia="Times New Roman" w:cs="Times New Roman"/>
                <w:sz w:val="18"/>
                <w:szCs w:val="18"/>
                <w:lang w:eastAsia="lv-LV"/>
              </w:rPr>
            </w:pPr>
            <w:r>
              <w:rPr>
                <w:color w:val="000000"/>
                <w:sz w:val="18"/>
                <w:szCs w:val="18"/>
              </w:rPr>
              <w:t>0,00</w:t>
            </w:r>
          </w:p>
        </w:tc>
        <w:tc>
          <w:tcPr>
            <w:tcW w:w="778" w:type="dxa"/>
            <w:shd w:val="clear" w:color="auto" w:fill="auto"/>
            <w:noWrap/>
          </w:tcPr>
          <w:p w14:paraId="62E052A4"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3AAF763D" w14:textId="77777777" w:rsidTr="00094B2F">
        <w:trPr>
          <w:trHeight w:val="486"/>
        </w:trPr>
        <w:tc>
          <w:tcPr>
            <w:tcW w:w="2112" w:type="dxa"/>
            <w:shd w:val="clear" w:color="000000" w:fill="DDEBF7"/>
          </w:tcPr>
          <w:p w14:paraId="77593E51" w14:textId="77777777" w:rsidR="00A16AAB" w:rsidRDefault="00A16AAB" w:rsidP="00A16AAB">
            <w:pPr>
              <w:ind w:firstLine="0"/>
              <w:jc w:val="left"/>
              <w:rPr>
                <w:b/>
                <w:bCs/>
                <w:sz w:val="18"/>
                <w:szCs w:val="18"/>
              </w:rPr>
            </w:pPr>
            <w:r>
              <w:rPr>
                <w:b/>
                <w:bCs/>
                <w:color w:val="000000"/>
                <w:sz w:val="18"/>
                <w:szCs w:val="18"/>
              </w:rPr>
              <w:t>Vienotās izložu un azartspēļu uzraudzības informācijas sistēmas pilnveidošana: ieņēmumu palielinājums valsts nodevai, kas iekasēta no izložu organizētājiem par speciālās atļaujas (licences) izsniegšanu</w:t>
            </w:r>
          </w:p>
        </w:tc>
        <w:tc>
          <w:tcPr>
            <w:tcW w:w="989" w:type="dxa"/>
            <w:shd w:val="clear" w:color="000000" w:fill="DDEBF7"/>
          </w:tcPr>
          <w:p w14:paraId="35B8AE33" w14:textId="77777777" w:rsidR="00A16AAB" w:rsidRPr="009E7788" w:rsidRDefault="00A16AAB" w:rsidP="00A16AAB">
            <w:pPr>
              <w:ind w:firstLine="0"/>
              <w:jc w:val="center"/>
              <w:rPr>
                <w:rFonts w:eastAsia="Times New Roman" w:cs="Times New Roman"/>
                <w:sz w:val="18"/>
                <w:szCs w:val="18"/>
                <w:lang w:eastAsia="lv-LV"/>
              </w:rPr>
            </w:pPr>
            <w:proofErr w:type="spellStart"/>
            <w:r>
              <w:rPr>
                <w:color w:val="000000"/>
                <w:sz w:val="18"/>
                <w:szCs w:val="18"/>
              </w:rPr>
              <w:t>Nenodokļi</w:t>
            </w:r>
            <w:proofErr w:type="spellEnd"/>
          </w:p>
        </w:tc>
        <w:tc>
          <w:tcPr>
            <w:tcW w:w="709" w:type="dxa"/>
            <w:shd w:val="clear" w:color="000000" w:fill="DDEBF7"/>
          </w:tcPr>
          <w:p w14:paraId="08FFAF46"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 xml:space="preserve">P.11+P.12+P.131+D.39+D.7+D.9 </w:t>
            </w:r>
          </w:p>
        </w:tc>
        <w:tc>
          <w:tcPr>
            <w:tcW w:w="1000" w:type="dxa"/>
            <w:shd w:val="clear" w:color="000000" w:fill="DDEBF7"/>
          </w:tcPr>
          <w:p w14:paraId="53F3D49D"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000000" w:fill="DDEBF7"/>
          </w:tcPr>
          <w:p w14:paraId="4C30701D"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000000" w:fill="DDEBF7"/>
            <w:vAlign w:val="bottom"/>
          </w:tcPr>
          <w:p w14:paraId="7949E3A5" w14:textId="6AA02A36"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41" w:type="dxa"/>
            <w:shd w:val="clear" w:color="000000" w:fill="DDEBF7"/>
            <w:noWrap/>
            <w:vAlign w:val="bottom"/>
          </w:tcPr>
          <w:p w14:paraId="22AF2C5A" w14:textId="5CC9A413"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10" w:type="dxa"/>
            <w:shd w:val="clear" w:color="000000" w:fill="DDEBF7"/>
            <w:noWrap/>
            <w:vAlign w:val="bottom"/>
          </w:tcPr>
          <w:p w14:paraId="35453277" w14:textId="5D632282"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000000" w:fill="DDEBF7"/>
            <w:noWrap/>
            <w:vAlign w:val="bottom"/>
          </w:tcPr>
          <w:p w14:paraId="3AADDACB" w14:textId="17D24BC9" w:rsidR="00A16AAB" w:rsidRPr="00094B2F" w:rsidRDefault="00A16AAB" w:rsidP="00094B2F">
            <w:pPr>
              <w:ind w:firstLine="0"/>
              <w:jc w:val="center"/>
              <w:rPr>
                <w:rFonts w:eastAsia="Times New Roman" w:cs="Times New Roman"/>
                <w:b/>
                <w:bCs/>
                <w:sz w:val="18"/>
                <w:szCs w:val="18"/>
                <w:lang w:eastAsia="lv-LV"/>
              </w:rPr>
            </w:pPr>
            <w:r w:rsidRPr="005C5E37">
              <w:rPr>
                <w:rFonts w:eastAsia="Times New Roman" w:cs="Times New Roman"/>
                <w:b/>
                <w:bCs/>
                <w:sz w:val="18"/>
                <w:szCs w:val="18"/>
                <w:lang w:eastAsia="lv-LV"/>
              </w:rPr>
              <w:t>-0,001</w:t>
            </w:r>
          </w:p>
        </w:tc>
      </w:tr>
      <w:tr w:rsidR="00A16AAB" w:rsidRPr="009E7788" w14:paraId="359C5523" w14:textId="77777777" w:rsidTr="00A329BA">
        <w:trPr>
          <w:trHeight w:val="486"/>
        </w:trPr>
        <w:tc>
          <w:tcPr>
            <w:tcW w:w="2112" w:type="dxa"/>
            <w:vMerge w:val="restart"/>
            <w:shd w:val="clear" w:color="auto" w:fill="auto"/>
          </w:tcPr>
          <w:p w14:paraId="7857C97D" w14:textId="77777777" w:rsidR="00A16AAB" w:rsidRDefault="00A16AAB" w:rsidP="00A16AAB">
            <w:pPr>
              <w:ind w:firstLine="0"/>
              <w:jc w:val="left"/>
              <w:rPr>
                <w:b/>
                <w:bCs/>
                <w:sz w:val="18"/>
                <w:szCs w:val="18"/>
              </w:rPr>
            </w:pPr>
            <w:r w:rsidRPr="00981D93">
              <w:rPr>
                <w:b/>
                <w:bCs/>
                <w:sz w:val="18"/>
                <w:szCs w:val="18"/>
              </w:rPr>
              <w:t>Ieņēmumu palielināšana no dividenžu maksājumiem, AS “Latvijas valsts meži”</w:t>
            </w:r>
          </w:p>
        </w:tc>
        <w:tc>
          <w:tcPr>
            <w:tcW w:w="989" w:type="dxa"/>
            <w:shd w:val="clear" w:color="auto" w:fill="auto"/>
          </w:tcPr>
          <w:p w14:paraId="5AD9BD9D" w14:textId="77777777" w:rsidR="00A16AAB" w:rsidRPr="009E7788" w:rsidRDefault="00A16AAB" w:rsidP="00A16AAB">
            <w:pPr>
              <w:ind w:firstLine="0"/>
              <w:jc w:val="center"/>
              <w:rPr>
                <w:rFonts w:eastAsia="Times New Roman" w:cs="Times New Roman"/>
                <w:sz w:val="18"/>
                <w:szCs w:val="18"/>
                <w:lang w:eastAsia="lv-LV"/>
              </w:rPr>
            </w:pPr>
            <w:proofErr w:type="spellStart"/>
            <w:r>
              <w:rPr>
                <w:color w:val="000000"/>
                <w:sz w:val="18"/>
                <w:szCs w:val="18"/>
              </w:rPr>
              <w:t>Nenodokļi</w:t>
            </w:r>
            <w:proofErr w:type="spellEnd"/>
          </w:p>
        </w:tc>
        <w:tc>
          <w:tcPr>
            <w:tcW w:w="709" w:type="dxa"/>
            <w:shd w:val="clear" w:color="auto" w:fill="auto"/>
          </w:tcPr>
          <w:p w14:paraId="6E4C1DF4" w14:textId="77777777" w:rsidR="00A16AAB" w:rsidRPr="009E7788" w:rsidRDefault="00A16AAB" w:rsidP="00A16AAB">
            <w:pPr>
              <w:ind w:firstLine="0"/>
              <w:jc w:val="center"/>
              <w:rPr>
                <w:rFonts w:eastAsia="Times New Roman" w:cs="Times New Roman"/>
                <w:sz w:val="18"/>
                <w:szCs w:val="18"/>
                <w:lang w:eastAsia="lv-LV"/>
              </w:rPr>
            </w:pPr>
            <w:r>
              <w:rPr>
                <w:sz w:val="18"/>
                <w:szCs w:val="18"/>
              </w:rPr>
              <w:t>D4</w:t>
            </w:r>
          </w:p>
        </w:tc>
        <w:tc>
          <w:tcPr>
            <w:tcW w:w="1000" w:type="dxa"/>
            <w:shd w:val="clear" w:color="auto" w:fill="auto"/>
          </w:tcPr>
          <w:p w14:paraId="79260562"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auto" w:fill="auto"/>
          </w:tcPr>
          <w:p w14:paraId="42A98899"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auto" w:fill="auto"/>
            <w:vAlign w:val="bottom"/>
          </w:tcPr>
          <w:p w14:paraId="7CEA2321" w14:textId="233C5246"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0,02</w:t>
            </w:r>
          </w:p>
        </w:tc>
        <w:tc>
          <w:tcPr>
            <w:tcW w:w="741" w:type="dxa"/>
            <w:shd w:val="clear" w:color="auto" w:fill="auto"/>
            <w:noWrap/>
            <w:vAlign w:val="bottom"/>
          </w:tcPr>
          <w:p w14:paraId="3D52A91E" w14:textId="459C7CB4"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-0,02</w:t>
            </w:r>
          </w:p>
        </w:tc>
        <w:tc>
          <w:tcPr>
            <w:tcW w:w="710" w:type="dxa"/>
            <w:shd w:val="clear" w:color="auto" w:fill="auto"/>
            <w:noWrap/>
            <w:vAlign w:val="bottom"/>
          </w:tcPr>
          <w:p w14:paraId="272EAEC1" w14:textId="133AA3C6"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auto" w:fill="auto"/>
            <w:noWrap/>
          </w:tcPr>
          <w:p w14:paraId="44F2E732"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3AAB6C3D" w14:textId="77777777" w:rsidTr="00A329BA">
        <w:trPr>
          <w:trHeight w:val="486"/>
        </w:trPr>
        <w:tc>
          <w:tcPr>
            <w:tcW w:w="2112" w:type="dxa"/>
            <w:vMerge/>
            <w:shd w:val="clear" w:color="000000" w:fill="DDEBF7"/>
          </w:tcPr>
          <w:p w14:paraId="497AEFBD" w14:textId="77777777" w:rsidR="00A16AAB" w:rsidRPr="00981D93" w:rsidRDefault="00A16AAB" w:rsidP="00A16AAB">
            <w:pPr>
              <w:ind w:firstLine="0"/>
              <w:jc w:val="left"/>
              <w:rPr>
                <w:b/>
                <w:bCs/>
                <w:sz w:val="18"/>
                <w:szCs w:val="18"/>
              </w:rPr>
            </w:pPr>
          </w:p>
        </w:tc>
        <w:tc>
          <w:tcPr>
            <w:tcW w:w="989" w:type="dxa"/>
            <w:shd w:val="clear" w:color="000000" w:fill="DDEBF7"/>
          </w:tcPr>
          <w:p w14:paraId="0C4BFF34"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UIN</w:t>
            </w:r>
          </w:p>
        </w:tc>
        <w:tc>
          <w:tcPr>
            <w:tcW w:w="709" w:type="dxa"/>
            <w:shd w:val="clear" w:color="000000" w:fill="DDEBF7"/>
          </w:tcPr>
          <w:p w14:paraId="5A8A23B0" w14:textId="77777777" w:rsidR="00A16AAB" w:rsidRPr="009E7788" w:rsidRDefault="00A16AAB" w:rsidP="00A16AAB">
            <w:pPr>
              <w:ind w:firstLine="0"/>
              <w:jc w:val="center"/>
              <w:rPr>
                <w:rFonts w:eastAsia="Times New Roman" w:cs="Times New Roman"/>
                <w:sz w:val="18"/>
                <w:szCs w:val="18"/>
                <w:lang w:eastAsia="lv-LV"/>
              </w:rPr>
            </w:pPr>
            <w:r>
              <w:rPr>
                <w:sz w:val="18"/>
                <w:szCs w:val="18"/>
              </w:rPr>
              <w:t>D5</w:t>
            </w:r>
          </w:p>
        </w:tc>
        <w:tc>
          <w:tcPr>
            <w:tcW w:w="1000" w:type="dxa"/>
            <w:shd w:val="clear" w:color="000000" w:fill="DDEBF7"/>
          </w:tcPr>
          <w:p w14:paraId="008800D1"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000000" w:fill="DDEBF7"/>
          </w:tcPr>
          <w:p w14:paraId="7C93F849"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000000" w:fill="DDEBF7"/>
            <w:vAlign w:val="bottom"/>
          </w:tcPr>
          <w:p w14:paraId="53A908B9" w14:textId="47B35AA5"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0,01</w:t>
            </w:r>
          </w:p>
        </w:tc>
        <w:tc>
          <w:tcPr>
            <w:tcW w:w="741" w:type="dxa"/>
            <w:shd w:val="clear" w:color="000000" w:fill="DDEBF7"/>
            <w:noWrap/>
            <w:vAlign w:val="bottom"/>
          </w:tcPr>
          <w:p w14:paraId="16C07E7F" w14:textId="69621EBF"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10" w:type="dxa"/>
            <w:shd w:val="clear" w:color="000000" w:fill="DDEBF7"/>
            <w:noWrap/>
            <w:vAlign w:val="bottom"/>
          </w:tcPr>
          <w:p w14:paraId="71C18714" w14:textId="32B91552"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000000" w:fill="DDEBF7"/>
            <w:noWrap/>
          </w:tcPr>
          <w:p w14:paraId="28680C45"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020CB752" w14:textId="77777777" w:rsidTr="00A329BA">
        <w:trPr>
          <w:trHeight w:val="486"/>
        </w:trPr>
        <w:tc>
          <w:tcPr>
            <w:tcW w:w="2112" w:type="dxa"/>
            <w:shd w:val="clear" w:color="auto" w:fill="DEEAF6" w:themeFill="accent1" w:themeFillTint="33"/>
          </w:tcPr>
          <w:p w14:paraId="5D642A56" w14:textId="77777777" w:rsidR="00A16AAB" w:rsidRPr="00981D93" w:rsidRDefault="00A16AAB" w:rsidP="00A16AAB">
            <w:pPr>
              <w:ind w:firstLine="0"/>
              <w:jc w:val="left"/>
              <w:rPr>
                <w:b/>
                <w:bCs/>
                <w:sz w:val="18"/>
                <w:szCs w:val="18"/>
              </w:rPr>
            </w:pPr>
            <w:r>
              <w:rPr>
                <w:b/>
                <w:bCs/>
                <w:color w:val="000000"/>
                <w:sz w:val="18"/>
                <w:szCs w:val="18"/>
              </w:rPr>
              <w:t>Ieņēmumu palielināšana no dividenžu maksājumiem, AS “Latvijas Loto”</w:t>
            </w:r>
          </w:p>
        </w:tc>
        <w:tc>
          <w:tcPr>
            <w:tcW w:w="989" w:type="dxa"/>
            <w:shd w:val="clear" w:color="auto" w:fill="DEEAF6" w:themeFill="accent1" w:themeFillTint="33"/>
          </w:tcPr>
          <w:p w14:paraId="66B91EB3" w14:textId="77777777" w:rsidR="00A16AAB" w:rsidRPr="009E7788" w:rsidRDefault="00A16AAB" w:rsidP="00A16AAB">
            <w:pPr>
              <w:ind w:firstLine="0"/>
              <w:jc w:val="center"/>
              <w:rPr>
                <w:rFonts w:eastAsia="Times New Roman" w:cs="Times New Roman"/>
                <w:sz w:val="18"/>
                <w:szCs w:val="18"/>
                <w:lang w:eastAsia="lv-LV"/>
              </w:rPr>
            </w:pPr>
            <w:proofErr w:type="spellStart"/>
            <w:r>
              <w:rPr>
                <w:color w:val="000000"/>
                <w:sz w:val="18"/>
                <w:szCs w:val="18"/>
              </w:rPr>
              <w:t>Nenodokļi</w:t>
            </w:r>
            <w:proofErr w:type="spellEnd"/>
          </w:p>
        </w:tc>
        <w:tc>
          <w:tcPr>
            <w:tcW w:w="709" w:type="dxa"/>
            <w:shd w:val="clear" w:color="auto" w:fill="DEEAF6" w:themeFill="accent1" w:themeFillTint="33"/>
          </w:tcPr>
          <w:p w14:paraId="66DBA3B9" w14:textId="77777777" w:rsidR="00A16AAB" w:rsidRPr="009E7788" w:rsidRDefault="00A16AAB" w:rsidP="00A16AAB">
            <w:pPr>
              <w:ind w:firstLine="0"/>
              <w:jc w:val="center"/>
              <w:rPr>
                <w:rFonts w:eastAsia="Times New Roman" w:cs="Times New Roman"/>
                <w:sz w:val="18"/>
                <w:szCs w:val="18"/>
                <w:lang w:eastAsia="lv-LV"/>
              </w:rPr>
            </w:pPr>
            <w:r>
              <w:rPr>
                <w:sz w:val="18"/>
                <w:szCs w:val="18"/>
              </w:rPr>
              <w:t>D4</w:t>
            </w:r>
          </w:p>
        </w:tc>
        <w:tc>
          <w:tcPr>
            <w:tcW w:w="1000" w:type="dxa"/>
            <w:shd w:val="clear" w:color="auto" w:fill="DEEAF6" w:themeFill="accent1" w:themeFillTint="33"/>
          </w:tcPr>
          <w:p w14:paraId="1324E33A"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auto" w:fill="DEEAF6" w:themeFill="accent1" w:themeFillTint="33"/>
          </w:tcPr>
          <w:p w14:paraId="092DD495"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auto" w:fill="DEEAF6" w:themeFill="accent1" w:themeFillTint="33"/>
            <w:vAlign w:val="bottom"/>
          </w:tcPr>
          <w:p w14:paraId="3E41078F" w14:textId="4D8B115B"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41" w:type="dxa"/>
            <w:shd w:val="clear" w:color="auto" w:fill="DEEAF6" w:themeFill="accent1" w:themeFillTint="33"/>
            <w:noWrap/>
            <w:vAlign w:val="bottom"/>
          </w:tcPr>
          <w:p w14:paraId="5FCBD1F6" w14:textId="1E30427D"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10" w:type="dxa"/>
            <w:shd w:val="clear" w:color="auto" w:fill="DEEAF6" w:themeFill="accent1" w:themeFillTint="33"/>
            <w:noWrap/>
            <w:vAlign w:val="bottom"/>
          </w:tcPr>
          <w:p w14:paraId="2942C27B" w14:textId="330A1873"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auto" w:fill="DEEAF6" w:themeFill="accent1" w:themeFillTint="33"/>
            <w:noWrap/>
          </w:tcPr>
          <w:p w14:paraId="012BA2AF"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24E043A8" w14:textId="77777777" w:rsidTr="00A329BA">
        <w:trPr>
          <w:trHeight w:val="486"/>
        </w:trPr>
        <w:tc>
          <w:tcPr>
            <w:tcW w:w="2112" w:type="dxa"/>
            <w:shd w:val="clear" w:color="auto" w:fill="auto"/>
          </w:tcPr>
          <w:p w14:paraId="3CE16A8E" w14:textId="77777777" w:rsidR="00A16AAB" w:rsidRPr="00981D93" w:rsidRDefault="00A16AAB" w:rsidP="00A16AAB">
            <w:pPr>
              <w:ind w:firstLine="0"/>
              <w:jc w:val="left"/>
              <w:rPr>
                <w:b/>
                <w:bCs/>
                <w:sz w:val="18"/>
                <w:szCs w:val="18"/>
              </w:rPr>
            </w:pPr>
            <w:r>
              <w:rPr>
                <w:b/>
                <w:bCs/>
                <w:color w:val="000000"/>
                <w:sz w:val="18"/>
                <w:szCs w:val="18"/>
              </w:rPr>
              <w:t>Ieņēmumu palielināšana no dividenžu maksājumiem, AS “Latvijas Valsts radio un televīzijas centrs”</w:t>
            </w:r>
          </w:p>
        </w:tc>
        <w:tc>
          <w:tcPr>
            <w:tcW w:w="989" w:type="dxa"/>
            <w:shd w:val="clear" w:color="auto" w:fill="auto"/>
          </w:tcPr>
          <w:p w14:paraId="2EC19D8B" w14:textId="77777777" w:rsidR="00A16AAB" w:rsidRPr="009E7788" w:rsidRDefault="00A16AAB" w:rsidP="00A16AAB">
            <w:pPr>
              <w:ind w:firstLine="0"/>
              <w:jc w:val="center"/>
              <w:rPr>
                <w:rFonts w:eastAsia="Times New Roman" w:cs="Times New Roman"/>
                <w:sz w:val="18"/>
                <w:szCs w:val="18"/>
                <w:lang w:eastAsia="lv-LV"/>
              </w:rPr>
            </w:pPr>
            <w:proofErr w:type="spellStart"/>
            <w:r>
              <w:rPr>
                <w:color w:val="000000"/>
                <w:sz w:val="18"/>
                <w:szCs w:val="18"/>
              </w:rPr>
              <w:t>Nenodokļi</w:t>
            </w:r>
            <w:proofErr w:type="spellEnd"/>
          </w:p>
        </w:tc>
        <w:tc>
          <w:tcPr>
            <w:tcW w:w="709" w:type="dxa"/>
            <w:shd w:val="clear" w:color="auto" w:fill="auto"/>
          </w:tcPr>
          <w:p w14:paraId="54C5A175" w14:textId="77777777" w:rsidR="00A16AAB" w:rsidRPr="009E7788" w:rsidRDefault="00A16AAB" w:rsidP="00A16AAB">
            <w:pPr>
              <w:ind w:firstLine="0"/>
              <w:jc w:val="center"/>
              <w:rPr>
                <w:rFonts w:eastAsia="Times New Roman" w:cs="Times New Roman"/>
                <w:sz w:val="18"/>
                <w:szCs w:val="18"/>
                <w:lang w:eastAsia="lv-LV"/>
              </w:rPr>
            </w:pPr>
            <w:r>
              <w:rPr>
                <w:sz w:val="18"/>
                <w:szCs w:val="18"/>
              </w:rPr>
              <w:t>D4</w:t>
            </w:r>
          </w:p>
        </w:tc>
        <w:tc>
          <w:tcPr>
            <w:tcW w:w="1000" w:type="dxa"/>
            <w:shd w:val="clear" w:color="auto" w:fill="auto"/>
          </w:tcPr>
          <w:p w14:paraId="3CCFD5AD"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auto" w:fill="auto"/>
          </w:tcPr>
          <w:p w14:paraId="0C453554"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auto" w:fill="auto"/>
            <w:vAlign w:val="bottom"/>
          </w:tcPr>
          <w:p w14:paraId="561B8512" w14:textId="569668F4"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0,01</w:t>
            </w:r>
          </w:p>
        </w:tc>
        <w:tc>
          <w:tcPr>
            <w:tcW w:w="741" w:type="dxa"/>
            <w:shd w:val="clear" w:color="auto" w:fill="auto"/>
            <w:noWrap/>
            <w:vAlign w:val="bottom"/>
          </w:tcPr>
          <w:p w14:paraId="78CCEE29" w14:textId="7418430A"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10" w:type="dxa"/>
            <w:shd w:val="clear" w:color="auto" w:fill="auto"/>
            <w:noWrap/>
            <w:vAlign w:val="bottom"/>
          </w:tcPr>
          <w:p w14:paraId="68D986F0" w14:textId="1FF78DB8"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auto" w:fill="auto"/>
            <w:noWrap/>
          </w:tcPr>
          <w:p w14:paraId="7C1AA2B0"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3289BBA2" w14:textId="77777777" w:rsidTr="00A329BA">
        <w:trPr>
          <w:trHeight w:val="486"/>
        </w:trPr>
        <w:tc>
          <w:tcPr>
            <w:tcW w:w="2112" w:type="dxa"/>
            <w:shd w:val="clear" w:color="auto" w:fill="DEEAF6" w:themeFill="accent1" w:themeFillTint="33"/>
          </w:tcPr>
          <w:p w14:paraId="4A90587A" w14:textId="77777777" w:rsidR="00A16AAB" w:rsidRPr="00981D93" w:rsidRDefault="00A16AAB" w:rsidP="00A16AAB">
            <w:pPr>
              <w:ind w:firstLine="0"/>
              <w:jc w:val="left"/>
              <w:rPr>
                <w:b/>
                <w:bCs/>
                <w:sz w:val="18"/>
                <w:szCs w:val="18"/>
              </w:rPr>
            </w:pPr>
            <w:r>
              <w:rPr>
                <w:b/>
                <w:bCs/>
                <w:color w:val="000000"/>
                <w:sz w:val="18"/>
                <w:szCs w:val="18"/>
              </w:rPr>
              <w:t>Finanšu stabilitātes nodevas precizētie ieņēmumi, atbilstoši 2023.gada faktisko ieņēmumu tendencēm, koriģējot ar kredītiestāžu aktīvu izmaiņu prognozes</w:t>
            </w:r>
          </w:p>
        </w:tc>
        <w:tc>
          <w:tcPr>
            <w:tcW w:w="989" w:type="dxa"/>
            <w:shd w:val="clear" w:color="auto" w:fill="DEEAF6" w:themeFill="accent1" w:themeFillTint="33"/>
          </w:tcPr>
          <w:p w14:paraId="1E9F0EFF" w14:textId="77777777" w:rsidR="00A16AAB" w:rsidRPr="009E7788" w:rsidRDefault="00A16AAB" w:rsidP="00A16AAB">
            <w:pPr>
              <w:ind w:firstLine="0"/>
              <w:jc w:val="center"/>
              <w:rPr>
                <w:rFonts w:eastAsia="Times New Roman" w:cs="Times New Roman"/>
                <w:sz w:val="18"/>
                <w:szCs w:val="18"/>
                <w:lang w:eastAsia="lv-LV"/>
              </w:rPr>
            </w:pPr>
            <w:proofErr w:type="spellStart"/>
            <w:r>
              <w:rPr>
                <w:color w:val="000000"/>
                <w:sz w:val="18"/>
                <w:szCs w:val="18"/>
              </w:rPr>
              <w:t>Nenodokļi</w:t>
            </w:r>
            <w:proofErr w:type="spellEnd"/>
          </w:p>
        </w:tc>
        <w:tc>
          <w:tcPr>
            <w:tcW w:w="709" w:type="dxa"/>
            <w:shd w:val="clear" w:color="auto" w:fill="DEEAF6" w:themeFill="accent1" w:themeFillTint="33"/>
          </w:tcPr>
          <w:p w14:paraId="570F1BD6" w14:textId="77777777" w:rsidR="00A16AAB" w:rsidRPr="009E7788" w:rsidRDefault="00A16AAB" w:rsidP="00A16AAB">
            <w:pPr>
              <w:ind w:firstLine="0"/>
              <w:jc w:val="center"/>
              <w:rPr>
                <w:rFonts w:eastAsia="Times New Roman" w:cs="Times New Roman"/>
                <w:sz w:val="18"/>
                <w:szCs w:val="18"/>
                <w:lang w:eastAsia="lv-LV"/>
              </w:rPr>
            </w:pPr>
            <w:r>
              <w:rPr>
                <w:sz w:val="18"/>
                <w:szCs w:val="18"/>
              </w:rPr>
              <w:t xml:space="preserve">P.11+P.12+P.131+D.39+D.7+D.9 </w:t>
            </w:r>
          </w:p>
        </w:tc>
        <w:tc>
          <w:tcPr>
            <w:tcW w:w="1000" w:type="dxa"/>
            <w:shd w:val="clear" w:color="auto" w:fill="DEEAF6" w:themeFill="accent1" w:themeFillTint="33"/>
          </w:tcPr>
          <w:p w14:paraId="79ABBA5A"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auto" w:fill="DEEAF6" w:themeFill="accent1" w:themeFillTint="33"/>
          </w:tcPr>
          <w:p w14:paraId="4C191830"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auto" w:fill="DEEAF6" w:themeFill="accent1" w:themeFillTint="33"/>
            <w:vAlign w:val="bottom"/>
          </w:tcPr>
          <w:p w14:paraId="79C1CF43" w14:textId="07CDE254"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41" w:type="dxa"/>
            <w:shd w:val="clear" w:color="auto" w:fill="DEEAF6" w:themeFill="accent1" w:themeFillTint="33"/>
            <w:noWrap/>
            <w:vAlign w:val="bottom"/>
          </w:tcPr>
          <w:p w14:paraId="1B3937C6" w14:textId="72F2565B"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10" w:type="dxa"/>
            <w:shd w:val="clear" w:color="auto" w:fill="DEEAF6" w:themeFill="accent1" w:themeFillTint="33"/>
            <w:noWrap/>
            <w:vAlign w:val="bottom"/>
          </w:tcPr>
          <w:p w14:paraId="7D1D7946" w14:textId="3ACDEF3B"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auto" w:fill="DEEAF6" w:themeFill="accent1" w:themeFillTint="33"/>
            <w:noWrap/>
          </w:tcPr>
          <w:p w14:paraId="6EC2642B"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7F61DB6C" w14:textId="77777777" w:rsidTr="00A329BA">
        <w:trPr>
          <w:trHeight w:val="486"/>
        </w:trPr>
        <w:tc>
          <w:tcPr>
            <w:tcW w:w="2112" w:type="dxa"/>
            <w:shd w:val="clear" w:color="auto" w:fill="auto"/>
          </w:tcPr>
          <w:p w14:paraId="68F012FC" w14:textId="77777777" w:rsidR="00A16AAB" w:rsidRPr="00981D93" w:rsidRDefault="00A16AAB" w:rsidP="00A16AAB">
            <w:pPr>
              <w:ind w:firstLine="0"/>
              <w:jc w:val="left"/>
              <w:rPr>
                <w:b/>
                <w:bCs/>
                <w:sz w:val="18"/>
                <w:szCs w:val="18"/>
              </w:rPr>
            </w:pPr>
            <w:r>
              <w:rPr>
                <w:b/>
                <w:bCs/>
                <w:color w:val="000000"/>
                <w:sz w:val="18"/>
                <w:szCs w:val="18"/>
              </w:rPr>
              <w:t>Ieņēmumu no naudas sodiem, ko uzliek Valsts policija par pārkāpumiem ceļu satiksmē, kas fiksēti ar komersanta tehniskajiem līdzekļiem palielinājums (</w:t>
            </w:r>
            <w:proofErr w:type="spellStart"/>
            <w:r>
              <w:rPr>
                <w:b/>
                <w:bCs/>
                <w:color w:val="000000"/>
                <w:sz w:val="18"/>
                <w:szCs w:val="18"/>
              </w:rPr>
              <w:t>ieņ</w:t>
            </w:r>
            <w:proofErr w:type="spellEnd"/>
            <w:r>
              <w:rPr>
                <w:b/>
                <w:bCs/>
                <w:color w:val="000000"/>
                <w:sz w:val="18"/>
                <w:szCs w:val="18"/>
              </w:rPr>
              <w:t xml:space="preserve">. </w:t>
            </w:r>
            <w:proofErr w:type="spellStart"/>
            <w:r>
              <w:rPr>
                <w:b/>
                <w:bCs/>
                <w:color w:val="000000"/>
                <w:sz w:val="18"/>
                <w:szCs w:val="18"/>
              </w:rPr>
              <w:t>klasif</w:t>
            </w:r>
            <w:proofErr w:type="spellEnd"/>
            <w:r>
              <w:rPr>
                <w:b/>
                <w:bCs/>
                <w:color w:val="000000"/>
                <w:sz w:val="18"/>
                <w:szCs w:val="18"/>
              </w:rPr>
              <w:t xml:space="preserve">. kods 10152) </w:t>
            </w:r>
          </w:p>
        </w:tc>
        <w:tc>
          <w:tcPr>
            <w:tcW w:w="989" w:type="dxa"/>
            <w:shd w:val="clear" w:color="auto" w:fill="auto"/>
          </w:tcPr>
          <w:p w14:paraId="5D154548" w14:textId="77777777" w:rsidR="00A16AAB" w:rsidRPr="009E7788" w:rsidRDefault="00A16AAB" w:rsidP="00A16AAB">
            <w:pPr>
              <w:ind w:firstLine="0"/>
              <w:jc w:val="center"/>
              <w:rPr>
                <w:rFonts w:eastAsia="Times New Roman" w:cs="Times New Roman"/>
                <w:sz w:val="18"/>
                <w:szCs w:val="18"/>
                <w:lang w:eastAsia="lv-LV"/>
              </w:rPr>
            </w:pPr>
            <w:proofErr w:type="spellStart"/>
            <w:r>
              <w:rPr>
                <w:color w:val="000000"/>
                <w:sz w:val="18"/>
                <w:szCs w:val="18"/>
              </w:rPr>
              <w:t>Nenodokļi</w:t>
            </w:r>
            <w:proofErr w:type="spellEnd"/>
          </w:p>
        </w:tc>
        <w:tc>
          <w:tcPr>
            <w:tcW w:w="709" w:type="dxa"/>
            <w:shd w:val="clear" w:color="auto" w:fill="auto"/>
          </w:tcPr>
          <w:p w14:paraId="140FBF0A" w14:textId="77777777" w:rsidR="00A16AAB" w:rsidRPr="009E7788" w:rsidRDefault="00A16AAB" w:rsidP="00A16AAB">
            <w:pPr>
              <w:ind w:firstLine="0"/>
              <w:jc w:val="center"/>
              <w:rPr>
                <w:rFonts w:eastAsia="Times New Roman" w:cs="Times New Roman"/>
                <w:sz w:val="18"/>
                <w:szCs w:val="18"/>
                <w:lang w:eastAsia="lv-LV"/>
              </w:rPr>
            </w:pPr>
            <w:r>
              <w:rPr>
                <w:sz w:val="18"/>
                <w:szCs w:val="18"/>
              </w:rPr>
              <w:t xml:space="preserve">P.11+P.12+P.131+D.39+D.7+D.9 </w:t>
            </w:r>
          </w:p>
        </w:tc>
        <w:tc>
          <w:tcPr>
            <w:tcW w:w="1000" w:type="dxa"/>
            <w:shd w:val="clear" w:color="auto" w:fill="auto"/>
          </w:tcPr>
          <w:p w14:paraId="3B209AFB"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auto" w:fill="auto"/>
          </w:tcPr>
          <w:p w14:paraId="6CE6596F"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auto" w:fill="auto"/>
            <w:vAlign w:val="bottom"/>
          </w:tcPr>
          <w:p w14:paraId="5C01F7C0" w14:textId="301A6656"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41" w:type="dxa"/>
            <w:shd w:val="clear" w:color="auto" w:fill="auto"/>
            <w:noWrap/>
            <w:vAlign w:val="bottom"/>
          </w:tcPr>
          <w:p w14:paraId="528A677A" w14:textId="1F9FABE7"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10" w:type="dxa"/>
            <w:shd w:val="clear" w:color="auto" w:fill="auto"/>
            <w:noWrap/>
            <w:vAlign w:val="bottom"/>
          </w:tcPr>
          <w:p w14:paraId="22B08E49" w14:textId="4B872905"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auto" w:fill="auto"/>
            <w:noWrap/>
          </w:tcPr>
          <w:p w14:paraId="6A4F4DA0"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5136314F" w14:textId="77777777" w:rsidTr="00A329BA">
        <w:trPr>
          <w:trHeight w:val="486"/>
        </w:trPr>
        <w:tc>
          <w:tcPr>
            <w:tcW w:w="2112" w:type="dxa"/>
            <w:shd w:val="clear" w:color="auto" w:fill="DEEAF6" w:themeFill="accent1" w:themeFillTint="33"/>
          </w:tcPr>
          <w:p w14:paraId="682BB871" w14:textId="77777777" w:rsidR="00A16AAB" w:rsidRPr="00981D93" w:rsidRDefault="00A16AAB" w:rsidP="00A16AAB">
            <w:pPr>
              <w:ind w:firstLine="0"/>
              <w:jc w:val="left"/>
              <w:rPr>
                <w:b/>
                <w:bCs/>
                <w:sz w:val="18"/>
                <w:szCs w:val="18"/>
              </w:rPr>
            </w:pPr>
            <w:r>
              <w:rPr>
                <w:b/>
                <w:bCs/>
                <w:color w:val="000000"/>
                <w:sz w:val="18"/>
                <w:szCs w:val="18"/>
              </w:rPr>
              <w:t xml:space="preserve">Ieņēmumu no naudas sodiem, ko uzliek Valsts ugunsdzēsības un glābšanas dienests, </w:t>
            </w:r>
            <w:r>
              <w:rPr>
                <w:b/>
                <w:bCs/>
                <w:color w:val="000000"/>
                <w:sz w:val="18"/>
                <w:szCs w:val="18"/>
              </w:rPr>
              <w:lastRenderedPageBreak/>
              <w:t>palielinājums (</w:t>
            </w:r>
            <w:proofErr w:type="spellStart"/>
            <w:r>
              <w:rPr>
                <w:b/>
                <w:bCs/>
                <w:color w:val="000000"/>
                <w:sz w:val="18"/>
                <w:szCs w:val="18"/>
              </w:rPr>
              <w:t>ieņ</w:t>
            </w:r>
            <w:proofErr w:type="spellEnd"/>
            <w:r>
              <w:rPr>
                <w:b/>
                <w:bCs/>
                <w:color w:val="000000"/>
                <w:sz w:val="18"/>
                <w:szCs w:val="18"/>
              </w:rPr>
              <w:t xml:space="preserve">. </w:t>
            </w:r>
            <w:proofErr w:type="spellStart"/>
            <w:r>
              <w:rPr>
                <w:b/>
                <w:bCs/>
                <w:color w:val="000000"/>
                <w:sz w:val="18"/>
                <w:szCs w:val="18"/>
              </w:rPr>
              <w:t>klasif</w:t>
            </w:r>
            <w:proofErr w:type="spellEnd"/>
            <w:r>
              <w:rPr>
                <w:b/>
                <w:bCs/>
                <w:color w:val="000000"/>
                <w:sz w:val="18"/>
                <w:szCs w:val="18"/>
              </w:rPr>
              <w:t xml:space="preserve">. kods 10115) </w:t>
            </w:r>
          </w:p>
        </w:tc>
        <w:tc>
          <w:tcPr>
            <w:tcW w:w="989" w:type="dxa"/>
            <w:shd w:val="clear" w:color="auto" w:fill="DEEAF6" w:themeFill="accent1" w:themeFillTint="33"/>
          </w:tcPr>
          <w:p w14:paraId="704FAAC7" w14:textId="77777777" w:rsidR="00A16AAB" w:rsidRPr="009E7788" w:rsidRDefault="00A16AAB" w:rsidP="00A16AAB">
            <w:pPr>
              <w:ind w:firstLine="0"/>
              <w:jc w:val="center"/>
              <w:rPr>
                <w:rFonts w:eastAsia="Times New Roman" w:cs="Times New Roman"/>
                <w:sz w:val="18"/>
                <w:szCs w:val="18"/>
                <w:lang w:eastAsia="lv-LV"/>
              </w:rPr>
            </w:pPr>
            <w:proofErr w:type="spellStart"/>
            <w:r>
              <w:rPr>
                <w:color w:val="000000"/>
                <w:sz w:val="18"/>
                <w:szCs w:val="18"/>
              </w:rPr>
              <w:lastRenderedPageBreak/>
              <w:t>Nenodokļi</w:t>
            </w:r>
            <w:proofErr w:type="spellEnd"/>
          </w:p>
        </w:tc>
        <w:tc>
          <w:tcPr>
            <w:tcW w:w="709" w:type="dxa"/>
            <w:shd w:val="clear" w:color="auto" w:fill="DEEAF6" w:themeFill="accent1" w:themeFillTint="33"/>
          </w:tcPr>
          <w:p w14:paraId="3B578B6E" w14:textId="77777777" w:rsidR="00A16AAB" w:rsidRPr="009E7788" w:rsidRDefault="00A16AAB" w:rsidP="00A16AAB">
            <w:pPr>
              <w:ind w:firstLine="0"/>
              <w:jc w:val="center"/>
              <w:rPr>
                <w:rFonts w:eastAsia="Times New Roman" w:cs="Times New Roman"/>
                <w:sz w:val="18"/>
                <w:szCs w:val="18"/>
                <w:lang w:eastAsia="lv-LV"/>
              </w:rPr>
            </w:pPr>
            <w:r>
              <w:rPr>
                <w:sz w:val="18"/>
                <w:szCs w:val="18"/>
              </w:rPr>
              <w:t>P.11+P.12+P.131+D.39</w:t>
            </w:r>
            <w:r>
              <w:rPr>
                <w:sz w:val="18"/>
                <w:szCs w:val="18"/>
              </w:rPr>
              <w:lastRenderedPageBreak/>
              <w:t xml:space="preserve">+D.7+D.9 </w:t>
            </w:r>
          </w:p>
        </w:tc>
        <w:tc>
          <w:tcPr>
            <w:tcW w:w="1000" w:type="dxa"/>
            <w:shd w:val="clear" w:color="auto" w:fill="DEEAF6" w:themeFill="accent1" w:themeFillTint="33"/>
          </w:tcPr>
          <w:p w14:paraId="288CCD9C"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lastRenderedPageBreak/>
              <w:t>Uzkrājuma</w:t>
            </w:r>
          </w:p>
        </w:tc>
        <w:tc>
          <w:tcPr>
            <w:tcW w:w="1211" w:type="dxa"/>
            <w:shd w:val="clear" w:color="auto" w:fill="DEEAF6" w:themeFill="accent1" w:themeFillTint="33"/>
          </w:tcPr>
          <w:p w14:paraId="3CB89A8F"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auto" w:fill="DEEAF6" w:themeFill="accent1" w:themeFillTint="33"/>
            <w:vAlign w:val="bottom"/>
          </w:tcPr>
          <w:p w14:paraId="110E4555" w14:textId="205C0E47"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41" w:type="dxa"/>
            <w:shd w:val="clear" w:color="auto" w:fill="DEEAF6" w:themeFill="accent1" w:themeFillTint="33"/>
            <w:noWrap/>
            <w:vAlign w:val="bottom"/>
          </w:tcPr>
          <w:p w14:paraId="6B867823" w14:textId="39BCC5E1"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10" w:type="dxa"/>
            <w:shd w:val="clear" w:color="auto" w:fill="DEEAF6" w:themeFill="accent1" w:themeFillTint="33"/>
            <w:noWrap/>
            <w:vAlign w:val="bottom"/>
          </w:tcPr>
          <w:p w14:paraId="20BBC1A4" w14:textId="0EEE3F76"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auto" w:fill="DEEAF6" w:themeFill="accent1" w:themeFillTint="33"/>
            <w:noWrap/>
          </w:tcPr>
          <w:p w14:paraId="5E006BD8" w14:textId="77777777" w:rsidR="00A16AAB" w:rsidRPr="009E7788" w:rsidRDefault="00A16AAB" w:rsidP="00A16AAB">
            <w:pPr>
              <w:ind w:firstLine="0"/>
              <w:jc w:val="center"/>
              <w:rPr>
                <w:rFonts w:eastAsia="Times New Roman" w:cs="Times New Roman"/>
                <w:sz w:val="18"/>
                <w:szCs w:val="18"/>
                <w:lang w:eastAsia="lv-LV"/>
              </w:rPr>
            </w:pPr>
          </w:p>
        </w:tc>
      </w:tr>
      <w:tr w:rsidR="00A16AAB" w:rsidRPr="009E7788" w14:paraId="71893C86" w14:textId="77777777" w:rsidTr="00A329BA">
        <w:trPr>
          <w:trHeight w:val="486"/>
        </w:trPr>
        <w:tc>
          <w:tcPr>
            <w:tcW w:w="2112" w:type="dxa"/>
            <w:shd w:val="clear" w:color="auto" w:fill="auto"/>
          </w:tcPr>
          <w:p w14:paraId="270E767F" w14:textId="77777777" w:rsidR="00A16AAB" w:rsidRPr="00981D93" w:rsidRDefault="00A16AAB" w:rsidP="00A16AAB">
            <w:pPr>
              <w:ind w:firstLine="0"/>
              <w:jc w:val="left"/>
              <w:rPr>
                <w:b/>
                <w:bCs/>
                <w:sz w:val="18"/>
                <w:szCs w:val="18"/>
              </w:rPr>
            </w:pPr>
            <w:r>
              <w:rPr>
                <w:b/>
                <w:bCs/>
                <w:color w:val="000000"/>
                <w:sz w:val="18"/>
                <w:szCs w:val="18"/>
              </w:rPr>
              <w:t>Kredītņēmēju nodeva</w:t>
            </w:r>
          </w:p>
        </w:tc>
        <w:tc>
          <w:tcPr>
            <w:tcW w:w="989" w:type="dxa"/>
            <w:shd w:val="clear" w:color="auto" w:fill="auto"/>
          </w:tcPr>
          <w:p w14:paraId="70E4B4F5" w14:textId="77777777" w:rsidR="00A16AAB" w:rsidRPr="009E7788" w:rsidRDefault="00A16AAB" w:rsidP="00A16AAB">
            <w:pPr>
              <w:ind w:firstLine="0"/>
              <w:jc w:val="center"/>
              <w:rPr>
                <w:rFonts w:eastAsia="Times New Roman" w:cs="Times New Roman"/>
                <w:sz w:val="18"/>
                <w:szCs w:val="18"/>
                <w:lang w:eastAsia="lv-LV"/>
              </w:rPr>
            </w:pPr>
            <w:proofErr w:type="spellStart"/>
            <w:r>
              <w:rPr>
                <w:color w:val="000000"/>
                <w:sz w:val="18"/>
                <w:szCs w:val="18"/>
              </w:rPr>
              <w:t>Nenodokļi</w:t>
            </w:r>
            <w:proofErr w:type="spellEnd"/>
          </w:p>
        </w:tc>
        <w:tc>
          <w:tcPr>
            <w:tcW w:w="709" w:type="dxa"/>
            <w:shd w:val="clear" w:color="auto" w:fill="auto"/>
          </w:tcPr>
          <w:p w14:paraId="10FF1E82" w14:textId="77777777" w:rsidR="00A16AAB" w:rsidRPr="009E7788" w:rsidRDefault="00A16AAB" w:rsidP="00A16AAB">
            <w:pPr>
              <w:ind w:firstLine="0"/>
              <w:jc w:val="center"/>
              <w:rPr>
                <w:rFonts w:eastAsia="Times New Roman" w:cs="Times New Roman"/>
                <w:sz w:val="18"/>
                <w:szCs w:val="18"/>
                <w:lang w:eastAsia="lv-LV"/>
              </w:rPr>
            </w:pPr>
            <w:r>
              <w:rPr>
                <w:sz w:val="18"/>
                <w:szCs w:val="18"/>
              </w:rPr>
              <w:t xml:space="preserve">P.11+P.12+P.131+D.39+D.7+D.9 </w:t>
            </w:r>
          </w:p>
        </w:tc>
        <w:tc>
          <w:tcPr>
            <w:tcW w:w="1000" w:type="dxa"/>
            <w:shd w:val="clear" w:color="auto" w:fill="auto"/>
          </w:tcPr>
          <w:p w14:paraId="26420C50" w14:textId="77777777" w:rsidR="00A16AAB" w:rsidRPr="00F44742" w:rsidRDefault="00A16AAB" w:rsidP="00A16AAB">
            <w:pPr>
              <w:ind w:firstLine="0"/>
              <w:jc w:val="center"/>
              <w:rPr>
                <w:rFonts w:eastAsia="Times New Roman" w:cs="Times New Roman"/>
                <w:sz w:val="16"/>
                <w:szCs w:val="16"/>
                <w:lang w:eastAsia="lv-LV"/>
              </w:rPr>
            </w:pPr>
            <w:r w:rsidRPr="00F44742">
              <w:rPr>
                <w:color w:val="000000"/>
                <w:sz w:val="16"/>
                <w:szCs w:val="16"/>
              </w:rPr>
              <w:t>Uzkrājuma</w:t>
            </w:r>
          </w:p>
        </w:tc>
        <w:tc>
          <w:tcPr>
            <w:tcW w:w="1211" w:type="dxa"/>
            <w:shd w:val="clear" w:color="auto" w:fill="auto"/>
          </w:tcPr>
          <w:p w14:paraId="4EDF1D8C" w14:textId="77777777" w:rsidR="00A16AAB" w:rsidRPr="009E7788" w:rsidRDefault="00A16AAB" w:rsidP="00A16AAB">
            <w:pPr>
              <w:ind w:firstLine="0"/>
              <w:jc w:val="center"/>
              <w:rPr>
                <w:rFonts w:eastAsia="Times New Roman" w:cs="Times New Roman"/>
                <w:sz w:val="18"/>
                <w:szCs w:val="18"/>
                <w:lang w:eastAsia="lv-LV"/>
              </w:rPr>
            </w:pPr>
            <w:r>
              <w:rPr>
                <w:color w:val="000000"/>
                <w:sz w:val="18"/>
                <w:szCs w:val="18"/>
              </w:rPr>
              <w:t>apstiprināts valdībā</w:t>
            </w:r>
          </w:p>
        </w:tc>
        <w:tc>
          <w:tcPr>
            <w:tcW w:w="739" w:type="dxa"/>
            <w:shd w:val="clear" w:color="auto" w:fill="auto"/>
            <w:vAlign w:val="bottom"/>
          </w:tcPr>
          <w:p w14:paraId="607D5E72" w14:textId="19896CE1"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0,23</w:t>
            </w:r>
          </w:p>
        </w:tc>
        <w:tc>
          <w:tcPr>
            <w:tcW w:w="741" w:type="dxa"/>
            <w:shd w:val="clear" w:color="auto" w:fill="auto"/>
            <w:noWrap/>
            <w:vAlign w:val="bottom"/>
          </w:tcPr>
          <w:p w14:paraId="449D2C68" w14:textId="7807D186"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-0,22</w:t>
            </w:r>
          </w:p>
        </w:tc>
        <w:tc>
          <w:tcPr>
            <w:tcW w:w="710" w:type="dxa"/>
            <w:shd w:val="clear" w:color="auto" w:fill="auto"/>
            <w:noWrap/>
            <w:vAlign w:val="bottom"/>
          </w:tcPr>
          <w:p w14:paraId="5CBD6852" w14:textId="509E183A" w:rsidR="00A16AAB" w:rsidRPr="009E7788" w:rsidRDefault="00A16AAB" w:rsidP="00A16AAB">
            <w:pPr>
              <w:ind w:firstLine="0"/>
              <w:jc w:val="center"/>
              <w:rPr>
                <w:rFonts w:eastAsia="Times New Roman" w:cs="Times New Roman"/>
                <w:sz w:val="18"/>
                <w:szCs w:val="18"/>
                <w:lang w:eastAsia="lv-LV"/>
              </w:rPr>
            </w:pPr>
            <w:r>
              <w:rPr>
                <w:b/>
                <w:bCs/>
                <w:color w:val="000000"/>
                <w:sz w:val="18"/>
                <w:szCs w:val="18"/>
              </w:rPr>
              <w:t>0,00</w:t>
            </w:r>
          </w:p>
        </w:tc>
        <w:tc>
          <w:tcPr>
            <w:tcW w:w="778" w:type="dxa"/>
            <w:shd w:val="clear" w:color="auto" w:fill="auto"/>
            <w:noWrap/>
          </w:tcPr>
          <w:p w14:paraId="69580A1F" w14:textId="77777777" w:rsidR="00A16AAB" w:rsidRPr="009E7788" w:rsidRDefault="00A16AAB" w:rsidP="00A16AAB">
            <w:pPr>
              <w:ind w:firstLine="0"/>
              <w:jc w:val="center"/>
              <w:rPr>
                <w:rFonts w:eastAsia="Times New Roman" w:cs="Times New Roman"/>
                <w:sz w:val="18"/>
                <w:szCs w:val="18"/>
                <w:lang w:eastAsia="lv-LV"/>
              </w:rPr>
            </w:pPr>
          </w:p>
        </w:tc>
      </w:tr>
      <w:tr w:rsidR="00A16AAB" w:rsidRPr="00A16AAB" w14:paraId="79EC0CEE" w14:textId="77777777" w:rsidTr="00A16AAB">
        <w:trPr>
          <w:trHeight w:val="325"/>
        </w:trPr>
        <w:tc>
          <w:tcPr>
            <w:tcW w:w="2112" w:type="dxa"/>
            <w:shd w:val="clear" w:color="auto" w:fill="auto"/>
          </w:tcPr>
          <w:p w14:paraId="0D8F8F6C" w14:textId="15B85737" w:rsidR="00A16AAB" w:rsidRPr="00A16AAB" w:rsidRDefault="00A16AAB" w:rsidP="00A16AAB">
            <w:pPr>
              <w:ind w:firstLine="0"/>
              <w:jc w:val="center"/>
              <w:rPr>
                <w:b/>
                <w:bCs/>
                <w:color w:val="000000"/>
                <w:sz w:val="18"/>
                <w:szCs w:val="18"/>
              </w:rPr>
            </w:pPr>
            <w:r w:rsidRPr="00A16AAB">
              <w:rPr>
                <w:b/>
                <w:bCs/>
                <w:color w:val="000000"/>
                <w:sz w:val="18"/>
                <w:szCs w:val="18"/>
              </w:rPr>
              <w:t>Kopā</w:t>
            </w:r>
          </w:p>
        </w:tc>
        <w:tc>
          <w:tcPr>
            <w:tcW w:w="989" w:type="dxa"/>
            <w:shd w:val="clear" w:color="auto" w:fill="auto"/>
          </w:tcPr>
          <w:p w14:paraId="577DE1EC" w14:textId="77777777" w:rsidR="00A16AAB" w:rsidRPr="00A16AAB" w:rsidRDefault="00A16AAB" w:rsidP="00A16AAB">
            <w:pPr>
              <w:ind w:firstLine="0"/>
              <w:jc w:val="center"/>
              <w:rPr>
                <w:b/>
                <w:bCs/>
                <w:color w:val="000000"/>
                <w:sz w:val="18"/>
                <w:szCs w:val="18"/>
              </w:rPr>
            </w:pPr>
          </w:p>
        </w:tc>
        <w:tc>
          <w:tcPr>
            <w:tcW w:w="709" w:type="dxa"/>
            <w:shd w:val="clear" w:color="auto" w:fill="auto"/>
          </w:tcPr>
          <w:p w14:paraId="135103B6" w14:textId="77777777" w:rsidR="00A16AAB" w:rsidRPr="00A16AAB" w:rsidRDefault="00A16AAB" w:rsidP="00A16AAB">
            <w:pPr>
              <w:ind w:firstLine="0"/>
              <w:jc w:val="center"/>
              <w:rPr>
                <w:b/>
                <w:bCs/>
                <w:sz w:val="18"/>
                <w:szCs w:val="18"/>
              </w:rPr>
            </w:pPr>
          </w:p>
        </w:tc>
        <w:tc>
          <w:tcPr>
            <w:tcW w:w="1000" w:type="dxa"/>
            <w:shd w:val="clear" w:color="auto" w:fill="auto"/>
          </w:tcPr>
          <w:p w14:paraId="260822F4" w14:textId="77777777" w:rsidR="00A16AAB" w:rsidRPr="00A16AAB" w:rsidRDefault="00A16AAB" w:rsidP="00A16AAB">
            <w:pPr>
              <w:ind w:firstLine="0"/>
              <w:jc w:val="center"/>
              <w:rPr>
                <w:b/>
                <w:bCs/>
                <w:color w:val="000000"/>
                <w:sz w:val="16"/>
                <w:szCs w:val="16"/>
              </w:rPr>
            </w:pPr>
          </w:p>
        </w:tc>
        <w:tc>
          <w:tcPr>
            <w:tcW w:w="1211" w:type="dxa"/>
            <w:shd w:val="clear" w:color="auto" w:fill="auto"/>
          </w:tcPr>
          <w:p w14:paraId="2131A935" w14:textId="77777777" w:rsidR="00A16AAB" w:rsidRPr="00A16AAB" w:rsidRDefault="00A16AAB" w:rsidP="00A16AAB">
            <w:pPr>
              <w:ind w:firstLine="0"/>
              <w:jc w:val="center"/>
              <w:rPr>
                <w:b/>
                <w:bCs/>
                <w:color w:val="000000"/>
                <w:sz w:val="18"/>
                <w:szCs w:val="18"/>
              </w:rPr>
            </w:pPr>
          </w:p>
        </w:tc>
        <w:tc>
          <w:tcPr>
            <w:tcW w:w="739" w:type="dxa"/>
            <w:shd w:val="clear" w:color="auto" w:fill="auto"/>
          </w:tcPr>
          <w:p w14:paraId="0935236F" w14:textId="05368033" w:rsidR="00A16AAB" w:rsidRPr="00A16AAB" w:rsidRDefault="00A16AAB" w:rsidP="00A16AAB">
            <w:pPr>
              <w:ind w:firstLine="0"/>
              <w:jc w:val="center"/>
              <w:rPr>
                <w:b/>
                <w:bCs/>
                <w:color w:val="000000"/>
                <w:sz w:val="18"/>
                <w:szCs w:val="18"/>
              </w:rPr>
            </w:pPr>
            <w:r w:rsidRPr="00A16AAB">
              <w:rPr>
                <w:b/>
                <w:bCs/>
                <w:color w:val="000000"/>
                <w:sz w:val="18"/>
                <w:szCs w:val="18"/>
              </w:rPr>
              <w:t>0,24</w:t>
            </w:r>
          </w:p>
        </w:tc>
        <w:tc>
          <w:tcPr>
            <w:tcW w:w="741" w:type="dxa"/>
            <w:shd w:val="clear" w:color="auto" w:fill="auto"/>
            <w:noWrap/>
          </w:tcPr>
          <w:p w14:paraId="569D103F" w14:textId="49A63D3A" w:rsidR="00A16AAB" w:rsidRPr="00A16AAB" w:rsidRDefault="00A16AAB" w:rsidP="00A16AAB">
            <w:pPr>
              <w:ind w:firstLine="0"/>
              <w:jc w:val="center"/>
              <w:rPr>
                <w:b/>
                <w:bCs/>
                <w:color w:val="000000"/>
                <w:sz w:val="18"/>
                <w:szCs w:val="18"/>
              </w:rPr>
            </w:pPr>
            <w:r w:rsidRPr="00A16AAB">
              <w:rPr>
                <w:b/>
                <w:bCs/>
                <w:color w:val="000000"/>
                <w:sz w:val="18"/>
                <w:szCs w:val="18"/>
              </w:rPr>
              <w:t>-0,16</w:t>
            </w:r>
          </w:p>
        </w:tc>
        <w:tc>
          <w:tcPr>
            <w:tcW w:w="710" w:type="dxa"/>
            <w:shd w:val="clear" w:color="auto" w:fill="auto"/>
            <w:noWrap/>
          </w:tcPr>
          <w:p w14:paraId="62852032" w14:textId="35BD46F0" w:rsidR="00A16AAB" w:rsidRPr="00A16AAB" w:rsidRDefault="00A16AAB" w:rsidP="00A16AAB">
            <w:pPr>
              <w:ind w:firstLine="0"/>
              <w:jc w:val="center"/>
              <w:rPr>
                <w:b/>
                <w:bCs/>
                <w:color w:val="000000"/>
                <w:sz w:val="18"/>
                <w:szCs w:val="18"/>
              </w:rPr>
            </w:pPr>
            <w:r w:rsidRPr="00A16AAB">
              <w:rPr>
                <w:b/>
                <w:bCs/>
                <w:color w:val="000000"/>
                <w:sz w:val="18"/>
                <w:szCs w:val="18"/>
              </w:rPr>
              <w:t>0,00</w:t>
            </w:r>
          </w:p>
        </w:tc>
        <w:tc>
          <w:tcPr>
            <w:tcW w:w="778" w:type="dxa"/>
            <w:shd w:val="clear" w:color="auto" w:fill="auto"/>
            <w:noWrap/>
          </w:tcPr>
          <w:p w14:paraId="2830F9CE" w14:textId="3405D31A" w:rsidR="00A16AAB" w:rsidRPr="00A16AAB" w:rsidRDefault="00A16AAB" w:rsidP="00A16AAB">
            <w:pPr>
              <w:ind w:firstLine="0"/>
              <w:jc w:val="center"/>
              <w:rPr>
                <w:rFonts w:eastAsia="Times New Roman"/>
                <w:b/>
                <w:bCs/>
                <w:color w:val="000000"/>
                <w:sz w:val="18"/>
                <w:szCs w:val="18"/>
              </w:rPr>
            </w:pPr>
            <w:r w:rsidRPr="00A16AAB">
              <w:rPr>
                <w:b/>
                <w:bCs/>
                <w:color w:val="000000"/>
                <w:sz w:val="18"/>
                <w:szCs w:val="18"/>
              </w:rPr>
              <w:t>-0,001</w:t>
            </w:r>
          </w:p>
        </w:tc>
      </w:tr>
    </w:tbl>
    <w:p w14:paraId="4B9AB120" w14:textId="77777777" w:rsidR="00ED52DF" w:rsidRPr="00874664" w:rsidRDefault="00ED52DF" w:rsidP="00D560FE">
      <w:pPr>
        <w:widowControl w:val="0"/>
        <w:ind w:left="357" w:right="-142" w:firstLine="0"/>
        <w:jc w:val="right"/>
        <w:rPr>
          <w:rFonts w:eastAsia="Times New Roman" w:cs="Times New Roman"/>
          <w:b/>
          <w:sz w:val="24"/>
          <w:szCs w:val="24"/>
          <w:highlight w:val="lightGray"/>
        </w:rPr>
      </w:pPr>
    </w:p>
    <w:p w14:paraId="24F68954" w14:textId="644B25A1" w:rsidR="00BF4753" w:rsidRPr="00874664" w:rsidRDefault="006A1FC0" w:rsidP="002E0152">
      <w:pPr>
        <w:pStyle w:val="Heading2"/>
        <w:numPr>
          <w:ilvl w:val="0"/>
          <w:numId w:val="0"/>
        </w:numPr>
        <w:tabs>
          <w:tab w:val="center" w:pos="4535"/>
        </w:tabs>
        <w:spacing w:before="0"/>
        <w:jc w:val="both"/>
        <w:rPr>
          <w:rFonts w:eastAsia="Calibri"/>
          <w:sz w:val="28"/>
          <w:szCs w:val="24"/>
          <w:highlight w:val="lightGray"/>
        </w:rPr>
      </w:pPr>
      <w:r w:rsidRPr="00FF2041">
        <w:rPr>
          <w:rFonts w:eastAsia="Calibri"/>
          <w:sz w:val="28"/>
          <w:szCs w:val="24"/>
        </w:rPr>
        <w:tab/>
      </w:r>
      <w:bookmarkStart w:id="39" w:name="_Toc164679824"/>
      <w:r w:rsidR="00BF4753" w:rsidRPr="00FF2041">
        <w:rPr>
          <w:rFonts w:eastAsia="Calibri"/>
          <w:sz w:val="28"/>
          <w:szCs w:val="24"/>
        </w:rPr>
        <w:t>3.2. Pašreizējā fiskālā situācija</w:t>
      </w:r>
      <w:bookmarkEnd w:id="39"/>
    </w:p>
    <w:p w14:paraId="20FF30DC" w14:textId="77777777" w:rsidR="00BF4753" w:rsidRPr="00874664" w:rsidRDefault="00BF4753" w:rsidP="00BF4753">
      <w:pPr>
        <w:ind w:firstLine="709"/>
        <w:rPr>
          <w:rFonts w:eastAsia="Calibri" w:cs="Times New Roman"/>
          <w:color w:val="000000"/>
          <w:sz w:val="24"/>
          <w:szCs w:val="24"/>
          <w:highlight w:val="lightGray"/>
        </w:rPr>
      </w:pPr>
    </w:p>
    <w:p w14:paraId="7E3F4FBB" w14:textId="28359348" w:rsidR="00FF2041" w:rsidRDefault="00FF2041" w:rsidP="00FF2041">
      <w:pPr>
        <w:pStyle w:val="teksts"/>
        <w:spacing w:after="0"/>
        <w:ind w:firstLine="720"/>
        <w:rPr>
          <w:rFonts w:ascii="Times New Roman" w:hAnsi="Times New Roman"/>
          <w:noProof/>
          <w:color w:val="000000" w:themeColor="text1"/>
          <w:szCs w:val="24"/>
          <w:shd w:val="clear" w:color="auto" w:fill="FFFFFF"/>
        </w:rPr>
      </w:pPr>
      <w:r w:rsidRPr="00247690">
        <w:rPr>
          <w:rFonts w:ascii="Times New Roman" w:eastAsia="Calibri" w:hAnsi="Times New Roman"/>
          <w:szCs w:val="24"/>
        </w:rPr>
        <w:t xml:space="preserve">Atbilstoši </w:t>
      </w:r>
      <w:r w:rsidRPr="00247690">
        <w:rPr>
          <w:rFonts w:ascii="Times New Roman" w:eastAsia="Calibri" w:hAnsi="Times New Roman"/>
          <w:noProof/>
          <w:szCs w:val="24"/>
        </w:rPr>
        <w:t>FM novērtējumam</w:t>
      </w:r>
      <w:r>
        <w:rPr>
          <w:rFonts w:ascii="Times New Roman" w:eastAsia="Calibri" w:hAnsi="Times New Roman"/>
          <w:noProof/>
          <w:szCs w:val="24"/>
        </w:rPr>
        <w:t>, kas balstīts uz Eiropas Kontu sistēmas 2010 (turpmāk – EKS) metodoloģiju,</w:t>
      </w:r>
      <w:r w:rsidRPr="00247690">
        <w:rPr>
          <w:rFonts w:ascii="Times New Roman" w:eastAsia="Calibri" w:hAnsi="Times New Roman"/>
          <w:szCs w:val="24"/>
        </w:rPr>
        <w:t xml:space="preserve"> vispārējās valdības budžetā</w:t>
      </w:r>
      <w:r>
        <w:rPr>
          <w:rFonts w:ascii="Times New Roman" w:eastAsia="Calibri" w:hAnsi="Times New Roman"/>
          <w:szCs w:val="24"/>
        </w:rPr>
        <w:t xml:space="preserve"> </w:t>
      </w:r>
      <w:r w:rsidRPr="00247690">
        <w:rPr>
          <w:rFonts w:ascii="Times New Roman" w:eastAsia="Calibri" w:hAnsi="Times New Roman"/>
          <w:szCs w:val="24"/>
        </w:rPr>
        <w:t>202</w:t>
      </w:r>
      <w:r>
        <w:rPr>
          <w:rFonts w:ascii="Times New Roman" w:eastAsia="Calibri" w:hAnsi="Times New Roman"/>
          <w:szCs w:val="24"/>
        </w:rPr>
        <w:t>3</w:t>
      </w:r>
      <w:r w:rsidRPr="00247690">
        <w:rPr>
          <w:rFonts w:ascii="Times New Roman" w:eastAsia="Calibri" w:hAnsi="Times New Roman"/>
          <w:szCs w:val="24"/>
        </w:rPr>
        <w:t>.</w:t>
      </w:r>
      <w:r>
        <w:rPr>
          <w:rFonts w:ascii="Times New Roman" w:eastAsia="Calibri" w:hAnsi="Times New Roman"/>
          <w:szCs w:val="24"/>
        </w:rPr>
        <w:t xml:space="preserve"> </w:t>
      </w:r>
      <w:r w:rsidRPr="00247690">
        <w:rPr>
          <w:rFonts w:ascii="Times New Roman" w:eastAsia="Calibri" w:hAnsi="Times New Roman"/>
          <w:szCs w:val="24"/>
        </w:rPr>
        <w:t xml:space="preserve">gadā </w:t>
      </w:r>
      <w:r>
        <w:rPr>
          <w:rFonts w:ascii="Times New Roman" w:eastAsia="Calibri" w:hAnsi="Times New Roman"/>
          <w:szCs w:val="24"/>
        </w:rPr>
        <w:t>bija</w:t>
      </w:r>
      <w:r w:rsidRPr="00247690">
        <w:rPr>
          <w:rFonts w:ascii="Times New Roman" w:eastAsia="Calibri" w:hAnsi="Times New Roman"/>
          <w:szCs w:val="24"/>
        </w:rPr>
        <w:t xml:space="preserve"> deficīts </w:t>
      </w:r>
      <w:r>
        <w:rPr>
          <w:rFonts w:ascii="Times New Roman" w:eastAsia="Calibri" w:hAnsi="Times New Roman"/>
          <w:szCs w:val="24"/>
        </w:rPr>
        <w:t>921,1</w:t>
      </w:r>
      <w:r w:rsidRPr="00247690">
        <w:rPr>
          <w:rFonts w:ascii="Times New Roman" w:eastAsia="Calibri" w:hAnsi="Times New Roman"/>
          <w:szCs w:val="24"/>
        </w:rPr>
        <w:t xml:space="preserve"> </w:t>
      </w:r>
      <w:r w:rsidRPr="00247690">
        <w:rPr>
          <w:rFonts w:ascii="Times New Roman" w:eastAsia="Calibri" w:hAnsi="Times New Roman"/>
          <w:noProof/>
          <w:szCs w:val="24"/>
        </w:rPr>
        <w:t xml:space="preserve">milj. </w:t>
      </w:r>
      <w:r w:rsidRPr="00247690">
        <w:rPr>
          <w:rFonts w:ascii="Times New Roman" w:eastAsia="Calibri" w:hAnsi="Times New Roman"/>
          <w:i/>
          <w:noProof/>
          <w:szCs w:val="24"/>
        </w:rPr>
        <w:t>euro</w:t>
      </w:r>
      <w:r w:rsidRPr="00247690">
        <w:rPr>
          <w:rFonts w:ascii="Times New Roman" w:eastAsia="Calibri" w:hAnsi="Times New Roman"/>
          <w:noProof/>
          <w:szCs w:val="24"/>
        </w:rPr>
        <w:t xml:space="preserve"> apmērā jeb </w:t>
      </w:r>
      <w:r>
        <w:rPr>
          <w:rFonts w:ascii="Times New Roman" w:eastAsia="Calibri" w:hAnsi="Times New Roman"/>
          <w:noProof/>
          <w:szCs w:val="24"/>
        </w:rPr>
        <w:t>2,3</w:t>
      </w:r>
      <w:r w:rsidRPr="00247690">
        <w:rPr>
          <w:rFonts w:ascii="Times New Roman" w:eastAsia="Calibri" w:hAnsi="Times New Roman"/>
          <w:noProof/>
          <w:szCs w:val="24"/>
        </w:rPr>
        <w:t xml:space="preserve">% no IKP. </w:t>
      </w:r>
      <w:r w:rsidRPr="00EC6ADB">
        <w:rPr>
          <w:rFonts w:ascii="Times New Roman" w:hAnsi="Times New Roman"/>
          <w:noProof/>
          <w:color w:val="000000" w:themeColor="text1"/>
          <w:szCs w:val="24"/>
          <w:shd w:val="clear" w:color="auto" w:fill="FFFFFF"/>
        </w:rPr>
        <w:t xml:space="preserve">Oficiālie statistikas dati par </w:t>
      </w:r>
      <w:r>
        <w:rPr>
          <w:rFonts w:ascii="Times New Roman" w:hAnsi="Times New Roman"/>
          <w:noProof/>
          <w:color w:val="000000" w:themeColor="text1"/>
          <w:szCs w:val="24"/>
          <w:shd w:val="clear" w:color="auto" w:fill="FFFFFF"/>
        </w:rPr>
        <w:t>2023. </w:t>
      </w:r>
      <w:r w:rsidRPr="00EC6ADB">
        <w:rPr>
          <w:rFonts w:ascii="Times New Roman" w:hAnsi="Times New Roman"/>
          <w:noProof/>
          <w:color w:val="000000" w:themeColor="text1"/>
          <w:szCs w:val="24"/>
          <w:shd w:val="clear" w:color="auto" w:fill="FFFFFF"/>
        </w:rPr>
        <w:t xml:space="preserve">gada provizorisko vispārējās valdības budžeta deficītu un parādu būs pieejami </w:t>
      </w:r>
      <w:r w:rsidR="00CF6C5C">
        <w:rPr>
          <w:rFonts w:ascii="Times New Roman" w:hAnsi="Times New Roman"/>
          <w:noProof/>
          <w:color w:val="000000" w:themeColor="text1"/>
          <w:szCs w:val="24"/>
          <w:shd w:val="clear" w:color="auto" w:fill="FFFFFF"/>
        </w:rPr>
        <w:t>2024.</w:t>
      </w:r>
      <w:r w:rsidRPr="00EC6ADB">
        <w:rPr>
          <w:rFonts w:ascii="Times New Roman" w:hAnsi="Times New Roman"/>
          <w:noProof/>
          <w:color w:val="000000" w:themeColor="text1"/>
          <w:szCs w:val="24"/>
          <w:shd w:val="clear" w:color="auto" w:fill="FFFFFF"/>
        </w:rPr>
        <w:t xml:space="preserve"> gada aprīļa beigās, kad tiks pabeigti aprēķini par visiem vispārējās valdības sektora darījumiem, tai skaitā par vispārējās valdības kapitālsabiedrību darbības rezultātiem, un CSP </w:t>
      </w:r>
      <w:r>
        <w:rPr>
          <w:rFonts w:ascii="Times New Roman" w:hAnsi="Times New Roman"/>
          <w:noProof/>
          <w:color w:val="000000" w:themeColor="text1"/>
          <w:szCs w:val="24"/>
          <w:shd w:val="clear" w:color="auto" w:fill="FFFFFF"/>
        </w:rPr>
        <w:t>kopā ar</w:t>
      </w:r>
      <w:r w:rsidRPr="00EC6ADB">
        <w:rPr>
          <w:rFonts w:ascii="Times New Roman" w:hAnsi="Times New Roman"/>
          <w:noProof/>
          <w:color w:val="000000" w:themeColor="text1"/>
          <w:szCs w:val="24"/>
          <w:shd w:val="clear" w:color="auto" w:fill="FFFFFF"/>
        </w:rPr>
        <w:t xml:space="preserve"> ES statistikas biroj</w:t>
      </w:r>
      <w:r>
        <w:rPr>
          <w:rFonts w:ascii="Times New Roman" w:hAnsi="Times New Roman"/>
          <w:noProof/>
          <w:color w:val="000000" w:themeColor="text1"/>
          <w:szCs w:val="24"/>
          <w:shd w:val="clear" w:color="auto" w:fill="FFFFFF"/>
        </w:rPr>
        <w:t>u</w:t>
      </w:r>
      <w:r w:rsidRPr="00EC6ADB">
        <w:rPr>
          <w:rFonts w:ascii="Times New Roman" w:hAnsi="Times New Roman"/>
          <w:noProof/>
          <w:color w:val="000000" w:themeColor="text1"/>
          <w:szCs w:val="24"/>
          <w:shd w:val="clear" w:color="auto" w:fill="FFFFFF"/>
        </w:rPr>
        <w:t xml:space="preserve"> </w:t>
      </w:r>
      <w:r w:rsidRPr="00EC6ADB">
        <w:rPr>
          <w:rFonts w:ascii="Times New Roman" w:hAnsi="Times New Roman"/>
          <w:i/>
          <w:iCs/>
          <w:noProof/>
          <w:color w:val="000000" w:themeColor="text1"/>
          <w:szCs w:val="24"/>
          <w:shd w:val="clear" w:color="auto" w:fill="FFFFFF"/>
        </w:rPr>
        <w:t>Eurostat</w:t>
      </w:r>
      <w:r w:rsidRPr="00EC6ADB">
        <w:rPr>
          <w:rFonts w:ascii="Times New Roman" w:hAnsi="Times New Roman"/>
          <w:noProof/>
          <w:color w:val="000000" w:themeColor="text1"/>
          <w:szCs w:val="24"/>
          <w:shd w:val="clear" w:color="auto" w:fill="FFFFFF"/>
        </w:rPr>
        <w:t xml:space="preserve"> publicēs vispārējās valdības budžeta deficīta un parāda notifikācijas rezultātus</w:t>
      </w:r>
      <w:r w:rsidRPr="00EC6ADB">
        <w:rPr>
          <w:rFonts w:ascii="Times New Roman" w:hAnsi="Times New Roman"/>
          <w:noProof/>
          <w:shd w:val="clear" w:color="auto" w:fill="FFFFFF"/>
          <w:vertAlign w:val="superscript"/>
        </w:rPr>
        <w:footnoteReference w:id="16"/>
      </w:r>
      <w:r w:rsidRPr="00EC6ADB">
        <w:rPr>
          <w:rFonts w:ascii="Times New Roman" w:hAnsi="Times New Roman"/>
          <w:noProof/>
          <w:color w:val="000000" w:themeColor="text1"/>
          <w:szCs w:val="24"/>
          <w:shd w:val="clear" w:color="auto" w:fill="FFFFFF"/>
        </w:rPr>
        <w:t>.</w:t>
      </w:r>
    </w:p>
    <w:p w14:paraId="5DE2B04B" w14:textId="77777777" w:rsidR="00FF2041" w:rsidRDefault="00FF2041" w:rsidP="00FF2041">
      <w:pPr>
        <w:pStyle w:val="teksts"/>
        <w:spacing w:after="0"/>
        <w:ind w:firstLine="720"/>
        <w:rPr>
          <w:rFonts w:ascii="Times New Roman" w:hAnsi="Times New Roman"/>
          <w:noProof/>
          <w:color w:val="000000" w:themeColor="text1"/>
          <w:szCs w:val="24"/>
          <w:shd w:val="clear" w:color="auto" w:fill="FFFFFF"/>
        </w:rPr>
      </w:pPr>
      <w:r w:rsidRPr="001029CF">
        <w:rPr>
          <w:rFonts w:ascii="Times New Roman" w:hAnsi="Times New Roman"/>
          <w:noProof/>
          <w:color w:val="000000" w:themeColor="text1"/>
          <w:szCs w:val="24"/>
          <w:shd w:val="clear" w:color="auto" w:fill="FFFFFF"/>
        </w:rPr>
        <w:t>FM budžeta deficīta novērtējums 2023.</w:t>
      </w:r>
      <w:r w:rsidRPr="009811E8">
        <w:rPr>
          <w:rFonts w:ascii="Times New Roman" w:hAnsi="Times New Roman"/>
          <w:noProof/>
          <w:color w:val="000000" w:themeColor="text1"/>
          <w:szCs w:val="24"/>
          <w:shd w:val="clear" w:color="auto" w:fill="FFFFFF"/>
        </w:rPr>
        <w:t xml:space="preserve"> </w:t>
      </w:r>
      <w:r w:rsidRPr="001029CF">
        <w:rPr>
          <w:rFonts w:ascii="Times New Roman" w:hAnsi="Times New Roman"/>
          <w:noProof/>
          <w:color w:val="000000" w:themeColor="text1"/>
          <w:szCs w:val="24"/>
          <w:shd w:val="clear" w:color="auto" w:fill="FFFFFF"/>
        </w:rPr>
        <w:t>gad</w:t>
      </w:r>
      <w:r w:rsidRPr="009811E8">
        <w:rPr>
          <w:rFonts w:ascii="Times New Roman" w:hAnsi="Times New Roman"/>
          <w:noProof/>
          <w:color w:val="000000" w:themeColor="text1"/>
          <w:szCs w:val="24"/>
          <w:shd w:val="clear" w:color="auto" w:fill="FFFFFF"/>
        </w:rPr>
        <w:t>am</w:t>
      </w:r>
      <w:r w:rsidRPr="001029CF">
        <w:rPr>
          <w:rFonts w:ascii="Times New Roman" w:hAnsi="Times New Roman"/>
          <w:noProof/>
          <w:color w:val="000000" w:themeColor="text1"/>
          <w:szCs w:val="24"/>
          <w:shd w:val="clear" w:color="auto" w:fill="FFFFFF"/>
        </w:rPr>
        <w:t xml:space="preserve"> ir par 0,4 procentpunktiem zemāks, nekā tika prognozēts pagājušā gada nogalē</w:t>
      </w:r>
      <w:r>
        <w:rPr>
          <w:rFonts w:ascii="Times New Roman" w:hAnsi="Times New Roman"/>
          <w:noProof/>
          <w:color w:val="000000" w:themeColor="text1"/>
          <w:szCs w:val="24"/>
          <w:shd w:val="clear" w:color="auto" w:fill="FFFFFF"/>
        </w:rPr>
        <w:t xml:space="preserve">. </w:t>
      </w:r>
      <w:r w:rsidRPr="001029CF">
        <w:rPr>
          <w:rFonts w:ascii="Times New Roman" w:hAnsi="Times New Roman"/>
          <w:noProof/>
          <w:color w:val="000000" w:themeColor="text1"/>
          <w:szCs w:val="24"/>
          <w:shd w:val="clear" w:color="auto" w:fill="FFFFFF"/>
        </w:rPr>
        <w:t xml:space="preserve">Deficīta </w:t>
      </w:r>
      <w:r>
        <w:rPr>
          <w:rFonts w:ascii="Times New Roman" w:hAnsi="Times New Roman"/>
          <w:noProof/>
          <w:color w:val="000000" w:themeColor="text1"/>
          <w:szCs w:val="24"/>
          <w:shd w:val="clear" w:color="auto" w:fill="FFFFFF"/>
        </w:rPr>
        <w:t>uzlabošanos</w:t>
      </w:r>
      <w:r w:rsidRPr="001029CF">
        <w:rPr>
          <w:rFonts w:ascii="Times New Roman" w:hAnsi="Times New Roman"/>
          <w:noProof/>
          <w:color w:val="000000" w:themeColor="text1"/>
          <w:szCs w:val="24"/>
          <w:shd w:val="clear" w:color="auto" w:fill="FFFFFF"/>
        </w:rPr>
        <w:t xml:space="preserve"> pozitīvi ietekmēja mazāki izdevumi atbilstoši EKS metodoloģijai</w:t>
      </w:r>
      <w:r>
        <w:rPr>
          <w:rFonts w:ascii="Times New Roman" w:hAnsi="Times New Roman"/>
          <w:noProof/>
          <w:color w:val="000000" w:themeColor="text1"/>
          <w:szCs w:val="24"/>
          <w:shd w:val="clear" w:color="auto" w:fill="FFFFFF"/>
        </w:rPr>
        <w:t xml:space="preserve">, piemēram, </w:t>
      </w:r>
      <w:r w:rsidRPr="001029CF">
        <w:rPr>
          <w:rFonts w:ascii="Times New Roman" w:hAnsi="Times New Roman"/>
          <w:noProof/>
          <w:color w:val="000000" w:themeColor="text1"/>
          <w:szCs w:val="24"/>
          <w:shd w:val="clear" w:color="auto" w:fill="FFFFFF"/>
        </w:rPr>
        <w:t>2023.</w:t>
      </w:r>
      <w:r>
        <w:rPr>
          <w:rFonts w:ascii="Times New Roman" w:hAnsi="Times New Roman"/>
          <w:noProof/>
          <w:color w:val="000000" w:themeColor="text1"/>
          <w:szCs w:val="24"/>
          <w:shd w:val="clear" w:color="auto" w:fill="FFFFFF"/>
        </w:rPr>
        <w:t> </w:t>
      </w:r>
      <w:r w:rsidRPr="001029CF">
        <w:rPr>
          <w:rFonts w:ascii="Times New Roman" w:hAnsi="Times New Roman"/>
          <w:noProof/>
          <w:color w:val="000000" w:themeColor="text1"/>
          <w:szCs w:val="24"/>
          <w:shd w:val="clear" w:color="auto" w:fill="FFFFFF"/>
        </w:rPr>
        <w:t xml:space="preserve">gadā paredzēto </w:t>
      </w:r>
      <w:r w:rsidRPr="00EC6ADB">
        <w:rPr>
          <w:rFonts w:ascii="Times New Roman" w:hAnsi="Times New Roman"/>
          <w:noProof/>
          <w:color w:val="000000" w:themeColor="text1"/>
          <w:szCs w:val="24"/>
          <w:shd w:val="clear" w:color="auto" w:fill="FFFFFF"/>
        </w:rPr>
        <w:t>energoatbalsta</w:t>
      </w:r>
      <w:r>
        <w:rPr>
          <w:rFonts w:ascii="Times New Roman" w:hAnsi="Times New Roman"/>
          <w:noProof/>
          <w:color w:val="000000" w:themeColor="text1"/>
          <w:szCs w:val="24"/>
          <w:shd w:val="clear" w:color="auto" w:fill="FFFFFF"/>
        </w:rPr>
        <w:t xml:space="preserve"> </w:t>
      </w:r>
      <w:r w:rsidRPr="001029CF">
        <w:rPr>
          <w:rFonts w:ascii="Times New Roman" w:hAnsi="Times New Roman"/>
          <w:noProof/>
          <w:color w:val="000000" w:themeColor="text1"/>
          <w:szCs w:val="24"/>
          <w:shd w:val="clear" w:color="auto" w:fill="FFFFFF"/>
        </w:rPr>
        <w:t>izdevumu uzskaite 2022.</w:t>
      </w:r>
      <w:r>
        <w:rPr>
          <w:rFonts w:ascii="Times New Roman" w:hAnsi="Times New Roman"/>
          <w:noProof/>
          <w:color w:val="000000" w:themeColor="text1"/>
          <w:szCs w:val="24"/>
          <w:shd w:val="clear" w:color="auto" w:fill="FFFFFF"/>
        </w:rPr>
        <w:t> </w:t>
      </w:r>
      <w:r w:rsidRPr="001029CF">
        <w:rPr>
          <w:rFonts w:ascii="Times New Roman" w:hAnsi="Times New Roman"/>
          <w:noProof/>
          <w:color w:val="000000" w:themeColor="text1"/>
          <w:szCs w:val="24"/>
          <w:shd w:val="clear" w:color="auto" w:fill="FFFFFF"/>
        </w:rPr>
        <w:t>gadā, atsevišķu valsts budžeta izdevumu atzīšana par avansa maksājumiem, kā arī mazāki izdevumi iemaksām ES budžetā un sociālās apdrošināšanas pabalstiem</w:t>
      </w:r>
      <w:r>
        <w:rPr>
          <w:rFonts w:ascii="Times New Roman" w:hAnsi="Times New Roman"/>
          <w:noProof/>
          <w:color w:val="000000" w:themeColor="text1"/>
          <w:szCs w:val="24"/>
          <w:shd w:val="clear" w:color="auto" w:fill="FFFFFF"/>
        </w:rPr>
        <w:t>. Mazāku nekā prognozēts deficītu veicināja arī</w:t>
      </w:r>
      <w:r w:rsidRPr="001029CF">
        <w:rPr>
          <w:rFonts w:ascii="Times New Roman" w:hAnsi="Times New Roman"/>
          <w:noProof/>
          <w:color w:val="000000" w:themeColor="text1"/>
          <w:szCs w:val="24"/>
          <w:shd w:val="clear" w:color="auto" w:fill="FFFFFF"/>
        </w:rPr>
        <w:t xml:space="preserve"> augstāki nenodokļu ieņēmumi (</w:t>
      </w:r>
      <w:r>
        <w:rPr>
          <w:rFonts w:ascii="Times New Roman" w:hAnsi="Times New Roman"/>
          <w:noProof/>
          <w:color w:val="000000" w:themeColor="text1"/>
          <w:szCs w:val="24"/>
          <w:shd w:val="clear" w:color="auto" w:fill="FFFFFF"/>
        </w:rPr>
        <w:t xml:space="preserve">galvenokārt </w:t>
      </w:r>
      <w:r w:rsidRPr="001029CF">
        <w:rPr>
          <w:rFonts w:ascii="Times New Roman" w:hAnsi="Times New Roman"/>
          <w:noProof/>
          <w:color w:val="000000" w:themeColor="text1"/>
          <w:szCs w:val="24"/>
          <w:shd w:val="clear" w:color="auto" w:fill="FFFFFF"/>
        </w:rPr>
        <w:t xml:space="preserve">valsts kapitālsabiedrību dividendes un maksas par naftas produktu drošības rezervju uzturēšanu) un ieņēmumi no maksas pakalpojumiem. </w:t>
      </w:r>
    </w:p>
    <w:p w14:paraId="5C9214B8" w14:textId="77777777" w:rsidR="00FF2041" w:rsidRPr="001029CF" w:rsidRDefault="00FF2041" w:rsidP="00FF2041">
      <w:pPr>
        <w:pStyle w:val="teksts"/>
        <w:spacing w:after="0"/>
        <w:ind w:firstLine="720"/>
        <w:rPr>
          <w:rFonts w:ascii="Times New Roman" w:hAnsi="Times New Roman"/>
          <w:color w:val="000000" w:themeColor="text1"/>
          <w:szCs w:val="24"/>
          <w:shd w:val="clear" w:color="auto" w:fill="FFFFFF"/>
        </w:rPr>
      </w:pPr>
      <w:r>
        <w:rPr>
          <w:rFonts w:ascii="Times New Roman" w:hAnsi="Times New Roman"/>
          <w:color w:val="000000" w:themeColor="text1"/>
          <w:szCs w:val="24"/>
          <w:shd w:val="clear" w:color="auto" w:fill="FFFFFF"/>
        </w:rPr>
        <w:t xml:space="preserve">Ja salīdzina ar 2022. gadu, kad vispārējās valdības budžeta deficīts bija 4,6% no IKP, tad 2023. gadā bilance uzlabojās par 2,3 procentpunktiem, būtiski samazinoties Covid-19 atbalstam un </w:t>
      </w:r>
      <w:r>
        <w:rPr>
          <w:rFonts w:ascii="Times New Roman" w:hAnsi="Times New Roman"/>
          <w:noProof/>
          <w:color w:val="000000" w:themeColor="text1"/>
          <w:szCs w:val="24"/>
          <w:shd w:val="clear" w:color="auto" w:fill="FFFFFF"/>
        </w:rPr>
        <w:t>energoatbalstam.</w:t>
      </w:r>
      <w:r>
        <w:rPr>
          <w:rFonts w:ascii="Times New Roman" w:hAnsi="Times New Roman"/>
          <w:color w:val="000000" w:themeColor="text1"/>
          <w:szCs w:val="24"/>
          <w:shd w:val="clear" w:color="auto" w:fill="FFFFFF"/>
        </w:rPr>
        <w:t xml:space="preserve"> </w:t>
      </w:r>
      <w:r w:rsidRPr="001029CF">
        <w:rPr>
          <w:rFonts w:ascii="Times New Roman" w:hAnsi="Times New Roman"/>
          <w:color w:val="000000" w:themeColor="text1"/>
          <w:szCs w:val="24"/>
          <w:shd w:val="clear" w:color="auto" w:fill="FFFFFF"/>
        </w:rPr>
        <w:t xml:space="preserve">Ja kopējā atbalsta ietekme uz </w:t>
      </w:r>
      <w:r>
        <w:rPr>
          <w:rFonts w:ascii="Times New Roman" w:hAnsi="Times New Roman"/>
          <w:color w:val="000000" w:themeColor="text1"/>
          <w:szCs w:val="24"/>
          <w:shd w:val="clear" w:color="auto" w:fill="FFFFFF"/>
        </w:rPr>
        <w:t>bilanci</w:t>
      </w:r>
      <w:r w:rsidRPr="001029CF">
        <w:rPr>
          <w:rFonts w:ascii="Times New Roman" w:hAnsi="Times New Roman"/>
          <w:color w:val="000000" w:themeColor="text1"/>
          <w:szCs w:val="24"/>
          <w:shd w:val="clear" w:color="auto" w:fill="FFFFFF"/>
        </w:rPr>
        <w:t xml:space="preserve"> </w:t>
      </w:r>
      <w:r>
        <w:rPr>
          <w:rFonts w:ascii="Times New Roman" w:hAnsi="Times New Roman"/>
          <w:color w:val="000000" w:themeColor="text1"/>
          <w:szCs w:val="24"/>
          <w:shd w:val="clear" w:color="auto" w:fill="FFFFFF"/>
        </w:rPr>
        <w:t xml:space="preserve">bija negatīva un </w:t>
      </w:r>
      <w:r w:rsidRPr="001029CF">
        <w:rPr>
          <w:rFonts w:ascii="Times New Roman" w:hAnsi="Times New Roman"/>
          <w:color w:val="000000" w:themeColor="text1"/>
          <w:szCs w:val="24"/>
          <w:shd w:val="clear" w:color="auto" w:fill="FFFFFF"/>
        </w:rPr>
        <w:t>2020.</w:t>
      </w:r>
      <w:r>
        <w:rPr>
          <w:rFonts w:ascii="Times New Roman" w:hAnsi="Times New Roman"/>
          <w:color w:val="000000" w:themeColor="text1"/>
          <w:szCs w:val="24"/>
          <w:shd w:val="clear" w:color="auto" w:fill="FFFFFF"/>
        </w:rPr>
        <w:t> </w:t>
      </w:r>
      <w:r w:rsidRPr="001029CF">
        <w:rPr>
          <w:rFonts w:ascii="Times New Roman" w:hAnsi="Times New Roman"/>
          <w:color w:val="000000" w:themeColor="text1"/>
          <w:szCs w:val="24"/>
          <w:shd w:val="clear" w:color="auto" w:fill="FFFFFF"/>
        </w:rPr>
        <w:t>gadā veidoja ap 1</w:t>
      </w:r>
      <w:r>
        <w:rPr>
          <w:rFonts w:ascii="Times New Roman" w:hAnsi="Times New Roman"/>
          <w:color w:val="000000" w:themeColor="text1"/>
          <w:szCs w:val="24"/>
          <w:shd w:val="clear" w:color="auto" w:fill="FFFFFF"/>
        </w:rPr>
        <w:t> </w:t>
      </w:r>
      <w:r w:rsidRPr="001029CF">
        <w:rPr>
          <w:rFonts w:ascii="Times New Roman" w:hAnsi="Times New Roman"/>
          <w:color w:val="000000" w:themeColor="text1"/>
          <w:szCs w:val="24"/>
          <w:shd w:val="clear" w:color="auto" w:fill="FFFFFF"/>
        </w:rPr>
        <w:t>mljrd</w:t>
      </w:r>
      <w:r w:rsidRPr="001029CF">
        <w:rPr>
          <w:rFonts w:ascii="Times New Roman" w:hAnsi="Times New Roman"/>
          <w:noProof/>
          <w:color w:val="000000" w:themeColor="text1"/>
          <w:szCs w:val="24"/>
          <w:shd w:val="clear" w:color="auto" w:fill="FFFFFF"/>
        </w:rPr>
        <w:t xml:space="preserve">. </w:t>
      </w:r>
      <w:r w:rsidRPr="001029CF">
        <w:rPr>
          <w:rFonts w:ascii="Times New Roman" w:hAnsi="Times New Roman"/>
          <w:i/>
          <w:iCs/>
          <w:noProof/>
          <w:color w:val="000000" w:themeColor="text1"/>
          <w:szCs w:val="24"/>
          <w:shd w:val="clear" w:color="auto" w:fill="FFFFFF"/>
        </w:rPr>
        <w:t>euro</w:t>
      </w:r>
      <w:r w:rsidRPr="001029CF">
        <w:rPr>
          <w:rFonts w:ascii="Times New Roman" w:hAnsi="Times New Roman"/>
          <w:noProof/>
          <w:color w:val="000000" w:themeColor="text1"/>
          <w:szCs w:val="24"/>
          <w:shd w:val="clear" w:color="auto" w:fill="FFFFFF"/>
        </w:rPr>
        <w:t xml:space="preserve"> jeb 3,2% no IKP, 2021. gadā ap 2,1 mljrd. </w:t>
      </w:r>
      <w:r w:rsidRPr="001029CF">
        <w:rPr>
          <w:rFonts w:ascii="Times New Roman" w:hAnsi="Times New Roman"/>
          <w:i/>
          <w:iCs/>
          <w:noProof/>
          <w:color w:val="000000" w:themeColor="text1"/>
          <w:szCs w:val="24"/>
          <w:shd w:val="clear" w:color="auto" w:fill="FFFFFF"/>
        </w:rPr>
        <w:t>euro</w:t>
      </w:r>
      <w:r w:rsidRPr="001029CF">
        <w:rPr>
          <w:rFonts w:ascii="Times New Roman" w:hAnsi="Times New Roman"/>
          <w:noProof/>
          <w:color w:val="000000" w:themeColor="text1"/>
          <w:szCs w:val="24"/>
          <w:shd w:val="clear" w:color="auto" w:fill="FFFFFF"/>
        </w:rPr>
        <w:t xml:space="preserve"> jeb 6,3% no IKP un 2022.</w:t>
      </w:r>
      <w:r>
        <w:rPr>
          <w:rFonts w:ascii="Times New Roman" w:hAnsi="Times New Roman"/>
          <w:noProof/>
          <w:color w:val="000000" w:themeColor="text1"/>
          <w:szCs w:val="24"/>
          <w:shd w:val="clear" w:color="auto" w:fill="FFFFFF"/>
        </w:rPr>
        <w:t xml:space="preserve"> </w:t>
      </w:r>
      <w:r w:rsidRPr="001029CF">
        <w:rPr>
          <w:rFonts w:ascii="Times New Roman" w:hAnsi="Times New Roman"/>
          <w:noProof/>
          <w:color w:val="000000" w:themeColor="text1"/>
          <w:szCs w:val="24"/>
          <w:shd w:val="clear" w:color="auto" w:fill="FFFFFF"/>
        </w:rPr>
        <w:t xml:space="preserve">gadā ap 1,5 mljrd. </w:t>
      </w:r>
      <w:r w:rsidRPr="001029CF">
        <w:rPr>
          <w:rFonts w:ascii="Times New Roman" w:hAnsi="Times New Roman"/>
          <w:i/>
          <w:iCs/>
          <w:noProof/>
          <w:color w:val="000000" w:themeColor="text1"/>
          <w:szCs w:val="24"/>
          <w:shd w:val="clear" w:color="auto" w:fill="FFFFFF"/>
        </w:rPr>
        <w:t>euro</w:t>
      </w:r>
      <w:r w:rsidRPr="001029CF">
        <w:rPr>
          <w:rFonts w:ascii="Times New Roman" w:hAnsi="Times New Roman"/>
          <w:noProof/>
          <w:color w:val="000000" w:themeColor="text1"/>
          <w:szCs w:val="24"/>
          <w:shd w:val="clear" w:color="auto" w:fill="FFFFFF"/>
        </w:rPr>
        <w:t xml:space="preserve"> jeb 3,9% no IKP, tad pēc FM novērtējuma kopējais atbalsts 2023.</w:t>
      </w:r>
      <w:r>
        <w:rPr>
          <w:rFonts w:ascii="Times New Roman" w:hAnsi="Times New Roman"/>
          <w:noProof/>
          <w:color w:val="000000" w:themeColor="text1"/>
          <w:szCs w:val="24"/>
          <w:shd w:val="clear" w:color="auto" w:fill="FFFFFF"/>
        </w:rPr>
        <w:t> </w:t>
      </w:r>
      <w:r w:rsidRPr="001029CF">
        <w:rPr>
          <w:rFonts w:ascii="Times New Roman" w:hAnsi="Times New Roman"/>
          <w:noProof/>
          <w:color w:val="000000" w:themeColor="text1"/>
          <w:szCs w:val="24"/>
          <w:shd w:val="clear" w:color="auto" w:fill="FFFFFF"/>
        </w:rPr>
        <w:t xml:space="preserve">gadā ir sasniedzis ap 0,6 mljrd. </w:t>
      </w:r>
      <w:r w:rsidRPr="001029CF">
        <w:rPr>
          <w:rFonts w:ascii="Times New Roman" w:hAnsi="Times New Roman"/>
          <w:i/>
          <w:iCs/>
          <w:noProof/>
          <w:color w:val="000000" w:themeColor="text1"/>
          <w:szCs w:val="24"/>
          <w:shd w:val="clear" w:color="auto" w:fill="FFFFFF"/>
        </w:rPr>
        <w:t>euro</w:t>
      </w:r>
      <w:r w:rsidRPr="001029CF">
        <w:rPr>
          <w:rFonts w:ascii="Times New Roman" w:hAnsi="Times New Roman"/>
          <w:noProof/>
          <w:color w:val="000000" w:themeColor="text1"/>
          <w:szCs w:val="24"/>
          <w:shd w:val="clear" w:color="auto" w:fill="FFFFFF"/>
        </w:rPr>
        <w:t xml:space="preserve"> jeb 1,5% no IKP, no kura vairāk kā 70% veido</w:t>
      </w:r>
      <w:r>
        <w:rPr>
          <w:rFonts w:ascii="Times New Roman" w:hAnsi="Times New Roman"/>
          <w:noProof/>
          <w:color w:val="000000" w:themeColor="text1"/>
          <w:szCs w:val="24"/>
          <w:shd w:val="clear" w:color="auto" w:fill="FFFFFF"/>
        </w:rPr>
        <w:t>ja</w:t>
      </w:r>
      <w:r w:rsidRPr="001029CF">
        <w:rPr>
          <w:rFonts w:ascii="Times New Roman" w:hAnsi="Times New Roman"/>
          <w:noProof/>
          <w:color w:val="000000" w:themeColor="text1"/>
          <w:szCs w:val="24"/>
          <w:shd w:val="clear" w:color="auto" w:fill="FFFFFF"/>
        </w:rPr>
        <w:t xml:space="preserve"> energoatbalsts siltumenerģijas un elektroenerģijas patērētājiem</w:t>
      </w:r>
      <w:r w:rsidRPr="001029CF">
        <w:rPr>
          <w:rFonts w:ascii="Times New Roman" w:hAnsi="Times New Roman"/>
          <w:color w:val="000000" w:themeColor="text1"/>
          <w:szCs w:val="24"/>
          <w:shd w:val="clear" w:color="auto" w:fill="FFFFFF"/>
        </w:rPr>
        <w:t xml:space="preserve">, kā arī ar energoresursu saistīto sociālo pabalstu izmaksa. </w:t>
      </w:r>
    </w:p>
    <w:p w14:paraId="6B31D120" w14:textId="274E39BB" w:rsidR="003A6830" w:rsidRDefault="00FF2041" w:rsidP="00FF2041">
      <w:pPr>
        <w:pStyle w:val="teksts"/>
        <w:ind w:firstLine="720"/>
        <w:rPr>
          <w:rFonts w:ascii="Times New Roman" w:hAnsi="Times New Roman"/>
          <w:noProof/>
          <w:szCs w:val="24"/>
        </w:rPr>
      </w:pPr>
      <w:r w:rsidRPr="00EE340C">
        <w:rPr>
          <w:rFonts w:ascii="Times New Roman" w:hAnsi="Times New Roman"/>
          <w:noProof/>
          <w:szCs w:val="24"/>
        </w:rPr>
        <w:t xml:space="preserve">Lielākajam izdevumu slogam gulstoties uz </w:t>
      </w:r>
      <w:r>
        <w:rPr>
          <w:rFonts w:ascii="Times New Roman" w:hAnsi="Times New Roman"/>
          <w:noProof/>
          <w:szCs w:val="24"/>
        </w:rPr>
        <w:t>centrālo valdību</w:t>
      </w:r>
      <w:r w:rsidRPr="00EE340C">
        <w:rPr>
          <w:rFonts w:ascii="Times New Roman" w:hAnsi="Times New Roman"/>
          <w:noProof/>
          <w:szCs w:val="24"/>
        </w:rPr>
        <w:t xml:space="preserve">, </w:t>
      </w:r>
      <w:r>
        <w:rPr>
          <w:rFonts w:ascii="Times New Roman" w:hAnsi="Times New Roman"/>
          <w:noProof/>
          <w:szCs w:val="24"/>
        </w:rPr>
        <w:t>2023. </w:t>
      </w:r>
      <w:r w:rsidRPr="00EE340C">
        <w:rPr>
          <w:rFonts w:ascii="Times New Roman" w:hAnsi="Times New Roman"/>
          <w:noProof/>
          <w:szCs w:val="24"/>
        </w:rPr>
        <w:t xml:space="preserve">gads </w:t>
      </w:r>
      <w:r>
        <w:rPr>
          <w:rFonts w:ascii="Times New Roman" w:hAnsi="Times New Roman"/>
          <w:noProof/>
          <w:szCs w:val="24"/>
        </w:rPr>
        <w:t>minētajā</w:t>
      </w:r>
      <w:r w:rsidRPr="00EE340C">
        <w:rPr>
          <w:rFonts w:ascii="Times New Roman" w:hAnsi="Times New Roman"/>
          <w:noProof/>
          <w:szCs w:val="24"/>
        </w:rPr>
        <w:t xml:space="preserve"> vispārējās valdības apakšsektor</w:t>
      </w:r>
      <w:r>
        <w:rPr>
          <w:rFonts w:ascii="Times New Roman" w:hAnsi="Times New Roman"/>
          <w:noProof/>
          <w:szCs w:val="24"/>
        </w:rPr>
        <w:t>ā</w:t>
      </w:r>
      <w:r w:rsidRPr="00EE340C">
        <w:rPr>
          <w:rFonts w:ascii="Times New Roman" w:hAnsi="Times New Roman"/>
          <w:noProof/>
          <w:szCs w:val="24"/>
        </w:rPr>
        <w:t xml:space="preserve"> noslēgts ar </w:t>
      </w:r>
      <w:r>
        <w:rPr>
          <w:rFonts w:ascii="Times New Roman" w:hAnsi="Times New Roman"/>
          <w:noProof/>
          <w:szCs w:val="24"/>
        </w:rPr>
        <w:t>1,1 </w:t>
      </w:r>
      <w:r w:rsidRPr="00EE340C">
        <w:rPr>
          <w:rFonts w:ascii="Times New Roman" w:hAnsi="Times New Roman"/>
          <w:noProof/>
          <w:szCs w:val="24"/>
        </w:rPr>
        <w:t>mljrd</w:t>
      </w:r>
      <w:r w:rsidR="002768B3">
        <w:rPr>
          <w:rFonts w:ascii="Times New Roman" w:hAnsi="Times New Roman"/>
          <w:noProof/>
          <w:szCs w:val="24"/>
        </w:rPr>
        <w:t>.</w:t>
      </w:r>
      <w:r w:rsidRPr="00EE340C">
        <w:rPr>
          <w:rFonts w:ascii="Times New Roman" w:hAnsi="Times New Roman"/>
          <w:noProof/>
          <w:szCs w:val="24"/>
        </w:rPr>
        <w:t xml:space="preserve"> </w:t>
      </w:r>
      <w:r w:rsidRPr="007744B6">
        <w:rPr>
          <w:rFonts w:ascii="Times New Roman" w:hAnsi="Times New Roman"/>
          <w:i/>
          <w:iCs/>
          <w:noProof/>
          <w:szCs w:val="24"/>
        </w:rPr>
        <w:t>euro</w:t>
      </w:r>
      <w:r>
        <w:rPr>
          <w:rFonts w:ascii="Times New Roman" w:hAnsi="Times New Roman"/>
          <w:noProof/>
          <w:szCs w:val="24"/>
        </w:rPr>
        <w:t xml:space="preserve"> </w:t>
      </w:r>
      <w:r w:rsidRPr="00EE340C">
        <w:rPr>
          <w:rFonts w:ascii="Times New Roman" w:hAnsi="Times New Roman"/>
          <w:noProof/>
          <w:szCs w:val="24"/>
        </w:rPr>
        <w:t>deficītu</w:t>
      </w:r>
      <w:r>
        <w:rPr>
          <w:rFonts w:ascii="Times New Roman" w:hAnsi="Times New Roman"/>
          <w:noProof/>
          <w:szCs w:val="24"/>
        </w:rPr>
        <w:t>,</w:t>
      </w:r>
      <w:r w:rsidRPr="00EE340C">
        <w:rPr>
          <w:rFonts w:ascii="Times New Roman" w:hAnsi="Times New Roman"/>
          <w:noProof/>
          <w:szCs w:val="24"/>
        </w:rPr>
        <w:t xml:space="preserve"> savukārt, pateicoties ievērojamam nodokļu ieņēmumu kāpumam, </w:t>
      </w:r>
      <w:r>
        <w:rPr>
          <w:rFonts w:ascii="Times New Roman" w:hAnsi="Times New Roman"/>
          <w:szCs w:val="24"/>
        </w:rPr>
        <w:t>v</w:t>
      </w:r>
      <w:r w:rsidRPr="00F42440">
        <w:rPr>
          <w:rFonts w:ascii="Times New Roman" w:hAnsi="Times New Roman"/>
          <w:szCs w:val="24"/>
        </w:rPr>
        <w:t>ietējās valdības budžet</w:t>
      </w:r>
      <w:r>
        <w:rPr>
          <w:rFonts w:ascii="Times New Roman" w:hAnsi="Times New Roman"/>
          <w:szCs w:val="24"/>
        </w:rPr>
        <w:t xml:space="preserve">ā deficīts bija ievērojami mazāks </w:t>
      </w:r>
      <w:r w:rsidRPr="00025739">
        <w:rPr>
          <w:rFonts w:ascii="Times New Roman" w:hAnsi="Times New Roman"/>
          <w:szCs w:val="24"/>
        </w:rPr>
        <w:t>(111 milj. </w:t>
      </w:r>
      <w:proofErr w:type="spellStart"/>
      <w:r w:rsidRPr="00025739">
        <w:rPr>
          <w:rFonts w:ascii="Times New Roman" w:hAnsi="Times New Roman"/>
          <w:i/>
          <w:iCs/>
          <w:szCs w:val="24"/>
        </w:rPr>
        <w:t>euro</w:t>
      </w:r>
      <w:proofErr w:type="spellEnd"/>
      <w:r w:rsidRPr="00025739">
        <w:rPr>
          <w:rFonts w:ascii="Times New Roman" w:hAnsi="Times New Roman"/>
          <w:szCs w:val="24"/>
        </w:rPr>
        <w:t>)</w:t>
      </w:r>
      <w:r>
        <w:rPr>
          <w:rFonts w:ascii="Times New Roman" w:hAnsi="Times New Roman"/>
          <w:szCs w:val="24"/>
        </w:rPr>
        <w:t xml:space="preserve"> nekā centrālajā valdībā </w:t>
      </w:r>
      <w:r>
        <w:rPr>
          <w:rFonts w:ascii="Times New Roman" w:hAnsi="Times New Roman"/>
          <w:noProof/>
          <w:szCs w:val="24"/>
        </w:rPr>
        <w:t>un</w:t>
      </w:r>
      <w:r>
        <w:rPr>
          <w:rFonts w:ascii="Times New Roman" w:hAnsi="Times New Roman"/>
          <w:szCs w:val="24"/>
        </w:rPr>
        <w:t xml:space="preserve"> s</w:t>
      </w:r>
      <w:r w:rsidRPr="00025739">
        <w:rPr>
          <w:rFonts w:ascii="Times New Roman" w:hAnsi="Times New Roman"/>
          <w:szCs w:val="24"/>
        </w:rPr>
        <w:t>ociālās nodrošināšanas fondā saglabājās budžeta pārpalikums (302,8</w:t>
      </w:r>
      <w:r>
        <w:rPr>
          <w:rFonts w:ascii="Times New Roman" w:hAnsi="Times New Roman"/>
          <w:szCs w:val="24"/>
        </w:rPr>
        <w:t> </w:t>
      </w:r>
      <w:r w:rsidRPr="00025739">
        <w:rPr>
          <w:rFonts w:ascii="Times New Roman" w:hAnsi="Times New Roman"/>
          <w:szCs w:val="24"/>
        </w:rPr>
        <w:t xml:space="preserve">milj. </w:t>
      </w:r>
      <w:proofErr w:type="spellStart"/>
      <w:r w:rsidRPr="00025739">
        <w:rPr>
          <w:rFonts w:ascii="Times New Roman" w:hAnsi="Times New Roman"/>
          <w:i/>
          <w:iCs/>
          <w:szCs w:val="24"/>
        </w:rPr>
        <w:t>euro</w:t>
      </w:r>
      <w:proofErr w:type="spellEnd"/>
      <w:r w:rsidRPr="00025739">
        <w:rPr>
          <w:rFonts w:ascii="Times New Roman" w:hAnsi="Times New Roman"/>
          <w:szCs w:val="24"/>
        </w:rPr>
        <w:t>)</w:t>
      </w:r>
      <w:r w:rsidRPr="00F42440">
        <w:rPr>
          <w:rFonts w:ascii="Times New Roman" w:hAnsi="Times New Roman"/>
          <w:szCs w:val="24"/>
        </w:rPr>
        <w:t xml:space="preserve"> </w:t>
      </w:r>
      <w:r>
        <w:rPr>
          <w:rFonts w:ascii="Times New Roman" w:hAnsi="Times New Roman"/>
          <w:noProof/>
          <w:szCs w:val="24"/>
        </w:rPr>
        <w:t>(skat. 3.1. attēlu).</w:t>
      </w:r>
    </w:p>
    <w:p w14:paraId="38F24C9E" w14:textId="77777777" w:rsidR="00571AB4" w:rsidRDefault="00571AB4" w:rsidP="00571AB4">
      <w:pPr>
        <w:pStyle w:val="teksts"/>
        <w:spacing w:after="0"/>
        <w:ind w:firstLine="720"/>
        <w:rPr>
          <w:rFonts w:ascii="Times New Roman" w:hAnsi="Times New Roman"/>
          <w:noProof/>
          <w:szCs w:val="24"/>
        </w:rPr>
      </w:pPr>
    </w:p>
    <w:p w14:paraId="0143F658" w14:textId="77777777" w:rsidR="00FF2041" w:rsidRPr="007F6986" w:rsidRDefault="00FF2041" w:rsidP="00FF2041">
      <w:pPr>
        <w:pStyle w:val="teksts"/>
        <w:ind w:firstLine="720"/>
        <w:rPr>
          <w:rFonts w:ascii="Times New Roman" w:hAnsi="Times New Roman"/>
          <w:szCs w:val="24"/>
        </w:rPr>
        <w:sectPr w:rsidR="00FF2041" w:rsidRPr="007F6986" w:rsidSect="00A72EB3">
          <w:footerReference w:type="default" r:id="rId21"/>
          <w:footerReference w:type="first" r:id="rId22"/>
          <w:type w:val="continuous"/>
          <w:pgSz w:w="11906" w:h="16838"/>
          <w:pgMar w:top="1418" w:right="1134" w:bottom="568" w:left="1701" w:header="1417" w:footer="624" w:gutter="0"/>
          <w:cols w:space="708"/>
          <w:titlePg/>
          <w:docGrid w:linePitch="381"/>
        </w:sectPr>
      </w:pPr>
    </w:p>
    <w:p w14:paraId="7130A33F" w14:textId="77777777" w:rsidR="00FF2041" w:rsidRPr="00A366C5" w:rsidRDefault="00FF2041" w:rsidP="00FF2041">
      <w:pPr>
        <w:pStyle w:val="teksts"/>
        <w:spacing w:after="0"/>
        <w:rPr>
          <w:rFonts w:ascii="Times New Roman" w:hAnsi="Times New Roman"/>
          <w:noProof/>
          <w:szCs w:val="24"/>
          <w:highlight w:val="yellow"/>
        </w:rPr>
        <w:sectPr w:rsidR="00FF2041" w:rsidRPr="00A366C5" w:rsidSect="00162345">
          <w:type w:val="continuous"/>
          <w:pgSz w:w="11906" w:h="16838"/>
          <w:pgMar w:top="1418" w:right="1134" w:bottom="568" w:left="1701" w:header="1417" w:footer="624" w:gutter="0"/>
          <w:cols w:space="709"/>
          <w:titlePg/>
          <w:docGrid w:linePitch="381"/>
        </w:sectPr>
      </w:pPr>
      <w:r>
        <w:rPr>
          <w:noProof/>
        </w:rPr>
        <w:lastRenderedPageBreak/>
        <w:drawing>
          <wp:anchor distT="0" distB="0" distL="114300" distR="114300" simplePos="0" relativeHeight="251703296" behindDoc="0" locked="0" layoutInCell="1" allowOverlap="1" wp14:anchorId="15420414" wp14:editId="186D006F">
            <wp:simplePos x="0" y="0"/>
            <wp:positionH relativeFrom="column">
              <wp:posOffset>2995930</wp:posOffset>
            </wp:positionH>
            <wp:positionV relativeFrom="paragraph">
              <wp:posOffset>43815</wp:posOffset>
            </wp:positionV>
            <wp:extent cx="3015615" cy="2705100"/>
            <wp:effectExtent l="0" t="0" r="0" b="0"/>
            <wp:wrapSquare wrapText="bothSides"/>
            <wp:docPr id="262634738" name="Picture 4" descr="A graph of different colored colum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34738" name="Picture 4" descr="A graph of different colored column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15615" cy="2705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0" locked="0" layoutInCell="1" allowOverlap="1" wp14:anchorId="2CEA0604" wp14:editId="28F5A351">
            <wp:simplePos x="0" y="0"/>
            <wp:positionH relativeFrom="margin">
              <wp:posOffset>-635</wp:posOffset>
            </wp:positionH>
            <wp:positionV relativeFrom="paragraph">
              <wp:posOffset>105410</wp:posOffset>
            </wp:positionV>
            <wp:extent cx="2901950" cy="2651760"/>
            <wp:effectExtent l="0" t="0" r="0" b="0"/>
            <wp:wrapSquare wrapText="bothSides"/>
            <wp:docPr id="177106045" name="Picture 3"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6045" name="Picture 3" descr="A graph with numbers and lines&#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1950" cy="2651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F39401" w14:textId="68FB0299" w:rsidR="00FF2041" w:rsidRPr="004576B5" w:rsidRDefault="00FF2041" w:rsidP="00FF2041">
      <w:pPr>
        <w:pStyle w:val="teksts"/>
        <w:jc w:val="center"/>
        <w:rPr>
          <w:rFonts w:ascii="Times New Roman" w:eastAsia="Calibri" w:hAnsi="Times New Roman"/>
          <w:b/>
          <w:i/>
          <w:iCs/>
          <w:noProof/>
          <w:szCs w:val="24"/>
        </w:rPr>
      </w:pPr>
      <w:r w:rsidRPr="004576B5">
        <w:rPr>
          <w:rFonts w:ascii="Times New Roman" w:eastAsia="Calibri" w:hAnsi="Times New Roman"/>
          <w:b/>
          <w:i/>
          <w:iCs/>
          <w:szCs w:val="24"/>
        </w:rPr>
        <w:t xml:space="preserve">3.1. att. Vispārējās valdības budžeta bilance </w:t>
      </w:r>
      <w:r w:rsidRPr="004576B5">
        <w:rPr>
          <w:rFonts w:ascii="Times New Roman" w:eastAsia="Calibri" w:hAnsi="Times New Roman"/>
          <w:b/>
          <w:i/>
          <w:iCs/>
          <w:noProof/>
          <w:szCs w:val="24"/>
        </w:rPr>
        <w:t xml:space="preserve">sadalījumā pa apakšsektoriem, </w:t>
      </w:r>
      <w:r w:rsidRPr="004576B5">
        <w:rPr>
          <w:rFonts w:ascii="Times New Roman" w:eastAsia="Calibri" w:hAnsi="Times New Roman"/>
          <w:b/>
          <w:i/>
          <w:iCs/>
          <w:noProof/>
          <w:szCs w:val="24"/>
        </w:rPr>
        <w:br/>
        <w:t>% no IKP (Datu avots: Eurostat, FM)</w:t>
      </w:r>
    </w:p>
    <w:p w14:paraId="2881EEC3" w14:textId="79633186" w:rsidR="00FF2041" w:rsidRPr="004576B5" w:rsidRDefault="00FF2041" w:rsidP="00FF2041">
      <w:pPr>
        <w:pStyle w:val="teksts"/>
        <w:spacing w:after="0"/>
        <w:jc w:val="center"/>
        <w:rPr>
          <w:rFonts w:ascii="Times New Roman" w:hAnsi="Times New Roman"/>
          <w:i/>
          <w:iCs/>
          <w:noProof/>
          <w:szCs w:val="24"/>
        </w:rPr>
        <w:sectPr w:rsidR="00FF2041" w:rsidRPr="004576B5" w:rsidSect="00162345">
          <w:type w:val="continuous"/>
          <w:pgSz w:w="11906" w:h="16838"/>
          <w:pgMar w:top="1418" w:right="1134" w:bottom="568" w:left="1701" w:header="1417" w:footer="1134" w:gutter="0"/>
          <w:cols w:num="2" w:space="709"/>
          <w:titlePg/>
          <w:docGrid w:linePitch="360"/>
        </w:sectPr>
      </w:pPr>
      <w:r w:rsidRPr="004576B5">
        <w:rPr>
          <w:rFonts w:ascii="Times New Roman" w:eastAsia="Calibri" w:hAnsi="Times New Roman"/>
          <w:b/>
          <w:i/>
          <w:iCs/>
          <w:szCs w:val="24"/>
        </w:rPr>
        <w:t>3.2. att. Vispārējās valdības ieņēmumi un izdevumi</w:t>
      </w:r>
      <w:r w:rsidRPr="004576B5">
        <w:rPr>
          <w:rFonts w:ascii="Times New Roman" w:eastAsia="Calibri" w:hAnsi="Times New Roman"/>
          <w:b/>
          <w:i/>
          <w:iCs/>
          <w:noProof/>
          <w:szCs w:val="24"/>
        </w:rPr>
        <w:t>,  % no IKP</w:t>
      </w:r>
      <w:r w:rsidRPr="004576B5">
        <w:rPr>
          <w:rFonts w:ascii="Times New Roman" w:eastAsia="Calibri" w:hAnsi="Times New Roman"/>
          <w:b/>
          <w:i/>
          <w:iCs/>
          <w:noProof/>
          <w:szCs w:val="24"/>
        </w:rPr>
        <w:br/>
        <w:t>(Datu avots: Eurostat, FM)</w:t>
      </w:r>
    </w:p>
    <w:p w14:paraId="1BB1872F" w14:textId="333620CF" w:rsidR="00FF2041" w:rsidRDefault="00FF2041" w:rsidP="00571AB4">
      <w:pPr>
        <w:spacing w:before="120"/>
        <w:rPr>
          <w:rFonts w:eastAsia="Calibri"/>
          <w:noProof/>
          <w:sz w:val="24"/>
          <w:szCs w:val="24"/>
        </w:rPr>
      </w:pPr>
      <w:r w:rsidRPr="00F42440">
        <w:rPr>
          <w:rFonts w:eastAsia="Calibri"/>
          <w:noProof/>
          <w:sz w:val="24"/>
          <w:szCs w:val="24"/>
        </w:rPr>
        <w:t>202</w:t>
      </w:r>
      <w:r>
        <w:rPr>
          <w:rFonts w:eastAsia="Calibri"/>
          <w:noProof/>
          <w:sz w:val="24"/>
          <w:szCs w:val="24"/>
        </w:rPr>
        <w:t>3</w:t>
      </w:r>
      <w:r w:rsidRPr="00F42440">
        <w:rPr>
          <w:rFonts w:eastAsia="Calibri"/>
          <w:noProof/>
          <w:sz w:val="24"/>
          <w:szCs w:val="24"/>
        </w:rPr>
        <w:t>.</w:t>
      </w:r>
      <w:r>
        <w:rPr>
          <w:rFonts w:eastAsia="Calibri"/>
          <w:noProof/>
          <w:sz w:val="24"/>
          <w:szCs w:val="24"/>
        </w:rPr>
        <w:t> </w:t>
      </w:r>
      <w:r w:rsidRPr="00F42440">
        <w:rPr>
          <w:rFonts w:eastAsia="Calibri"/>
          <w:noProof/>
          <w:sz w:val="24"/>
          <w:szCs w:val="24"/>
        </w:rPr>
        <w:t>gadā, salīdzinot ar 20</w:t>
      </w:r>
      <w:r>
        <w:rPr>
          <w:rFonts w:eastAsia="Calibri"/>
          <w:noProof/>
          <w:sz w:val="24"/>
          <w:szCs w:val="24"/>
        </w:rPr>
        <w:t>22</w:t>
      </w:r>
      <w:r w:rsidRPr="00F42440">
        <w:rPr>
          <w:rFonts w:eastAsia="Calibri"/>
          <w:noProof/>
          <w:sz w:val="24"/>
          <w:szCs w:val="24"/>
        </w:rPr>
        <w:t>.</w:t>
      </w:r>
      <w:r>
        <w:rPr>
          <w:rFonts w:eastAsia="Calibri"/>
          <w:noProof/>
          <w:sz w:val="24"/>
          <w:szCs w:val="24"/>
        </w:rPr>
        <w:t> </w:t>
      </w:r>
      <w:r w:rsidRPr="00F42440">
        <w:rPr>
          <w:rFonts w:eastAsia="Calibri"/>
          <w:noProof/>
          <w:sz w:val="24"/>
          <w:szCs w:val="24"/>
        </w:rPr>
        <w:t xml:space="preserve">gadu, vispārējās valdības budžeta ieņēmumi pieauguši par </w:t>
      </w:r>
      <w:r w:rsidRPr="00502210">
        <w:rPr>
          <w:rFonts w:eastAsia="Calibri"/>
          <w:noProof/>
          <w:sz w:val="24"/>
          <w:szCs w:val="24"/>
        </w:rPr>
        <w:t>2</w:t>
      </w:r>
      <w:r>
        <w:rPr>
          <w:rFonts w:eastAsia="Calibri"/>
          <w:noProof/>
          <w:sz w:val="24"/>
          <w:szCs w:val="24"/>
        </w:rPr>
        <w:t> </w:t>
      </w:r>
      <w:r w:rsidRPr="00502210">
        <w:rPr>
          <w:rFonts w:eastAsia="Calibri"/>
          <w:noProof/>
          <w:sz w:val="24"/>
          <w:szCs w:val="24"/>
        </w:rPr>
        <w:t>017</w:t>
      </w:r>
      <w:r>
        <w:rPr>
          <w:rFonts w:eastAsia="Calibri"/>
          <w:noProof/>
          <w:sz w:val="24"/>
          <w:szCs w:val="24"/>
        </w:rPr>
        <w:t> </w:t>
      </w:r>
      <w:r w:rsidRPr="00F42440">
        <w:rPr>
          <w:rFonts w:eastAsia="Calibri"/>
          <w:noProof/>
          <w:sz w:val="24"/>
          <w:szCs w:val="24"/>
        </w:rPr>
        <w:t xml:space="preserve">milj. </w:t>
      </w:r>
      <w:r w:rsidRPr="00F42440">
        <w:rPr>
          <w:rFonts w:eastAsia="Calibri"/>
          <w:i/>
          <w:noProof/>
          <w:sz w:val="24"/>
          <w:szCs w:val="24"/>
        </w:rPr>
        <w:t>euro</w:t>
      </w:r>
      <w:r w:rsidRPr="00F42440">
        <w:rPr>
          <w:rFonts w:eastAsia="Calibri"/>
          <w:noProof/>
          <w:sz w:val="24"/>
          <w:szCs w:val="24"/>
        </w:rPr>
        <w:t xml:space="preserve"> jeb </w:t>
      </w:r>
      <w:r>
        <w:rPr>
          <w:rFonts w:eastAsia="Calibri"/>
          <w:noProof/>
          <w:sz w:val="24"/>
          <w:szCs w:val="24"/>
        </w:rPr>
        <w:t>14,5</w:t>
      </w:r>
      <w:r w:rsidRPr="00F42440">
        <w:rPr>
          <w:rFonts w:eastAsia="Calibri"/>
          <w:noProof/>
          <w:sz w:val="24"/>
          <w:szCs w:val="24"/>
        </w:rPr>
        <w:t xml:space="preserve">%, sasniedzot </w:t>
      </w:r>
      <w:r>
        <w:rPr>
          <w:rFonts w:eastAsia="Calibri"/>
          <w:noProof/>
          <w:sz w:val="24"/>
          <w:szCs w:val="24"/>
        </w:rPr>
        <w:t>15,9 </w:t>
      </w:r>
      <w:r w:rsidRPr="00F42440">
        <w:rPr>
          <w:rFonts w:eastAsia="Calibri"/>
          <w:noProof/>
          <w:sz w:val="24"/>
          <w:szCs w:val="24"/>
        </w:rPr>
        <w:t>m</w:t>
      </w:r>
      <w:r>
        <w:rPr>
          <w:rFonts w:eastAsia="Calibri"/>
          <w:noProof/>
          <w:sz w:val="24"/>
          <w:szCs w:val="24"/>
        </w:rPr>
        <w:t>ljrd.</w:t>
      </w:r>
      <w:r w:rsidRPr="00F42440">
        <w:rPr>
          <w:rFonts w:eastAsia="Calibri"/>
          <w:noProof/>
          <w:sz w:val="24"/>
          <w:szCs w:val="24"/>
        </w:rPr>
        <w:t xml:space="preserve"> </w:t>
      </w:r>
      <w:r w:rsidRPr="00F42440">
        <w:rPr>
          <w:rFonts w:eastAsia="Calibri"/>
          <w:i/>
          <w:noProof/>
          <w:sz w:val="24"/>
          <w:szCs w:val="24"/>
        </w:rPr>
        <w:t>euro</w:t>
      </w:r>
      <w:r w:rsidRPr="00F42440">
        <w:rPr>
          <w:rFonts w:eastAsia="Calibri"/>
          <w:noProof/>
          <w:sz w:val="24"/>
          <w:szCs w:val="24"/>
        </w:rPr>
        <w:t xml:space="preserve"> jeb </w:t>
      </w:r>
      <w:r>
        <w:rPr>
          <w:rFonts w:eastAsia="Calibri"/>
          <w:noProof/>
          <w:sz w:val="24"/>
          <w:szCs w:val="24"/>
        </w:rPr>
        <w:t>39,5</w:t>
      </w:r>
      <w:r w:rsidRPr="00F42440">
        <w:rPr>
          <w:rFonts w:eastAsia="Calibri"/>
          <w:noProof/>
          <w:sz w:val="24"/>
          <w:szCs w:val="24"/>
        </w:rPr>
        <w:t>% no IKP (skat. 3.2.</w:t>
      </w:r>
      <w:r>
        <w:rPr>
          <w:rFonts w:eastAsia="Calibri"/>
          <w:noProof/>
          <w:sz w:val="24"/>
          <w:szCs w:val="24"/>
        </w:rPr>
        <w:t> </w:t>
      </w:r>
      <w:r w:rsidRPr="00F42440">
        <w:rPr>
          <w:rFonts w:eastAsia="Calibri"/>
          <w:noProof/>
          <w:sz w:val="24"/>
          <w:szCs w:val="24"/>
        </w:rPr>
        <w:t>att</w:t>
      </w:r>
      <w:r>
        <w:rPr>
          <w:rFonts w:eastAsia="Calibri"/>
          <w:noProof/>
          <w:sz w:val="24"/>
          <w:szCs w:val="24"/>
        </w:rPr>
        <w:t>ēlu</w:t>
      </w:r>
      <w:r w:rsidRPr="00F42440">
        <w:rPr>
          <w:rFonts w:eastAsia="Calibri"/>
          <w:noProof/>
          <w:sz w:val="24"/>
          <w:szCs w:val="24"/>
        </w:rPr>
        <w:t>). Vispārējās valdības budžeta ieņēmum</w:t>
      </w:r>
      <w:r>
        <w:rPr>
          <w:rFonts w:eastAsia="Calibri"/>
          <w:noProof/>
          <w:sz w:val="24"/>
          <w:szCs w:val="24"/>
        </w:rPr>
        <w:t xml:space="preserve">u īpatsvars IKP </w:t>
      </w:r>
      <w:r w:rsidRPr="00F42440">
        <w:rPr>
          <w:rFonts w:eastAsia="Calibri"/>
          <w:noProof/>
          <w:sz w:val="24"/>
          <w:szCs w:val="24"/>
        </w:rPr>
        <w:t>202</w:t>
      </w:r>
      <w:r>
        <w:rPr>
          <w:rFonts w:eastAsia="Calibri"/>
          <w:noProof/>
          <w:sz w:val="24"/>
          <w:szCs w:val="24"/>
        </w:rPr>
        <w:t>3</w:t>
      </w:r>
      <w:r w:rsidRPr="00F42440">
        <w:rPr>
          <w:rFonts w:eastAsia="Calibri"/>
          <w:noProof/>
          <w:sz w:val="24"/>
          <w:szCs w:val="24"/>
        </w:rPr>
        <w:t>.</w:t>
      </w:r>
      <w:r>
        <w:rPr>
          <w:rFonts w:eastAsia="Calibri"/>
          <w:noProof/>
          <w:sz w:val="24"/>
          <w:szCs w:val="24"/>
        </w:rPr>
        <w:t> </w:t>
      </w:r>
      <w:r w:rsidRPr="00F42440">
        <w:rPr>
          <w:rFonts w:eastAsia="Calibri"/>
          <w:noProof/>
          <w:sz w:val="24"/>
          <w:szCs w:val="24"/>
        </w:rPr>
        <w:t xml:space="preserve">gadā </w:t>
      </w:r>
      <w:r>
        <w:rPr>
          <w:rFonts w:eastAsia="Calibri"/>
          <w:noProof/>
          <w:sz w:val="24"/>
          <w:szCs w:val="24"/>
        </w:rPr>
        <w:t>palielinājās par 3,7 procentpunktiem.</w:t>
      </w:r>
    </w:p>
    <w:p w14:paraId="049BCF79" w14:textId="6E569AEA" w:rsidR="00FF2041" w:rsidRPr="00927E40" w:rsidRDefault="00FF2041" w:rsidP="00BA387D">
      <w:pPr>
        <w:pStyle w:val="teksts"/>
        <w:spacing w:after="0"/>
        <w:ind w:firstLine="720"/>
        <w:rPr>
          <w:rFonts w:ascii="Times New Roman" w:eastAsia="Calibri" w:hAnsi="Times New Roman"/>
          <w:noProof/>
          <w:color w:val="000000"/>
          <w:szCs w:val="24"/>
        </w:rPr>
      </w:pPr>
      <w:r w:rsidRPr="00F42440">
        <w:rPr>
          <w:rFonts w:ascii="Times New Roman" w:eastAsia="Calibri" w:hAnsi="Times New Roman"/>
          <w:noProof/>
          <w:color w:val="000000"/>
          <w:szCs w:val="24"/>
        </w:rPr>
        <w:t>Nodokļu ieņēmumi</w:t>
      </w:r>
      <w:r w:rsidRPr="00EF3C17">
        <w:rPr>
          <w:rStyle w:val="FootnoteReference"/>
          <w:rFonts w:ascii="Times New Roman" w:eastAsia="Calibri" w:hAnsi="Times New Roman"/>
          <w:noProof/>
          <w:sz w:val="24"/>
          <w:szCs w:val="24"/>
        </w:rPr>
        <w:footnoteReference w:id="17"/>
      </w:r>
      <w:r w:rsidRPr="00F42440">
        <w:rPr>
          <w:rFonts w:ascii="Times New Roman" w:eastAsia="Calibri" w:hAnsi="Times New Roman"/>
          <w:noProof/>
          <w:color w:val="000000"/>
          <w:szCs w:val="24"/>
        </w:rPr>
        <w:t xml:space="preserve"> veido lielāk</w:t>
      </w:r>
      <w:r>
        <w:rPr>
          <w:rFonts w:ascii="Times New Roman" w:eastAsia="Calibri" w:hAnsi="Times New Roman"/>
          <w:noProof/>
          <w:color w:val="000000"/>
          <w:szCs w:val="24"/>
        </w:rPr>
        <w:t>o</w:t>
      </w:r>
      <w:r w:rsidRPr="00F42440">
        <w:rPr>
          <w:rFonts w:ascii="Times New Roman" w:eastAsia="Calibri" w:hAnsi="Times New Roman"/>
          <w:noProof/>
          <w:color w:val="000000"/>
          <w:szCs w:val="24"/>
        </w:rPr>
        <w:t xml:space="preserve"> ieņēmum</w:t>
      </w:r>
      <w:r>
        <w:rPr>
          <w:rFonts w:ascii="Times New Roman" w:eastAsia="Calibri" w:hAnsi="Times New Roman"/>
          <w:noProof/>
          <w:color w:val="000000"/>
          <w:szCs w:val="24"/>
        </w:rPr>
        <w:t>u</w:t>
      </w:r>
      <w:r w:rsidRPr="00F42440">
        <w:rPr>
          <w:rFonts w:ascii="Times New Roman" w:eastAsia="Calibri" w:hAnsi="Times New Roman"/>
          <w:noProof/>
          <w:color w:val="000000"/>
          <w:szCs w:val="24"/>
        </w:rPr>
        <w:t xml:space="preserve"> daļu</w:t>
      </w:r>
      <w:r>
        <w:rPr>
          <w:rFonts w:ascii="Times New Roman" w:eastAsia="Calibri" w:hAnsi="Times New Roman"/>
          <w:noProof/>
          <w:color w:val="000000"/>
          <w:szCs w:val="24"/>
        </w:rPr>
        <w:t>,</w:t>
      </w:r>
      <w:r w:rsidRPr="00F42440">
        <w:rPr>
          <w:rFonts w:ascii="Times New Roman" w:eastAsia="Calibri" w:hAnsi="Times New Roman"/>
          <w:noProof/>
          <w:color w:val="000000"/>
          <w:szCs w:val="24"/>
        </w:rPr>
        <w:t xml:space="preserve"> un 202</w:t>
      </w:r>
      <w:r>
        <w:rPr>
          <w:rFonts w:ascii="Times New Roman" w:eastAsia="Calibri" w:hAnsi="Times New Roman"/>
          <w:noProof/>
          <w:color w:val="000000"/>
          <w:szCs w:val="24"/>
        </w:rPr>
        <w:t>3</w:t>
      </w:r>
      <w:r w:rsidRPr="00F42440">
        <w:rPr>
          <w:rFonts w:ascii="Times New Roman" w:eastAsia="Calibri" w:hAnsi="Times New Roman"/>
          <w:noProof/>
          <w:color w:val="000000"/>
          <w:szCs w:val="24"/>
        </w:rPr>
        <w:t>.</w:t>
      </w:r>
      <w:r>
        <w:rPr>
          <w:rFonts w:ascii="Times New Roman" w:eastAsia="Calibri" w:hAnsi="Times New Roman"/>
          <w:noProof/>
          <w:color w:val="000000"/>
          <w:szCs w:val="24"/>
        </w:rPr>
        <w:t> </w:t>
      </w:r>
      <w:r w:rsidRPr="00F42440">
        <w:rPr>
          <w:rFonts w:ascii="Times New Roman" w:eastAsia="Calibri" w:hAnsi="Times New Roman"/>
          <w:noProof/>
          <w:color w:val="000000"/>
          <w:szCs w:val="24"/>
        </w:rPr>
        <w:t xml:space="preserve">gadā tie </w:t>
      </w:r>
      <w:r w:rsidRPr="0022655C">
        <w:rPr>
          <w:rFonts w:ascii="Times New Roman" w:eastAsia="Calibri" w:hAnsi="Times New Roman"/>
          <w:noProof/>
          <w:color w:val="000000"/>
          <w:szCs w:val="24"/>
        </w:rPr>
        <w:t>sasniedza 3</w:t>
      </w:r>
      <w:r>
        <w:rPr>
          <w:rFonts w:ascii="Times New Roman" w:eastAsia="Calibri" w:hAnsi="Times New Roman"/>
          <w:noProof/>
          <w:color w:val="000000"/>
          <w:szCs w:val="24"/>
        </w:rPr>
        <w:t>2,3</w:t>
      </w:r>
      <w:r w:rsidRPr="0022655C">
        <w:rPr>
          <w:rFonts w:ascii="Times New Roman" w:eastAsia="Calibri" w:hAnsi="Times New Roman"/>
          <w:noProof/>
          <w:color w:val="000000"/>
          <w:szCs w:val="24"/>
        </w:rPr>
        <w:t>%</w:t>
      </w:r>
      <w:r w:rsidRPr="00F42440">
        <w:rPr>
          <w:rFonts w:ascii="Times New Roman" w:eastAsia="Calibri" w:hAnsi="Times New Roman"/>
          <w:noProof/>
          <w:color w:val="000000"/>
          <w:szCs w:val="24"/>
        </w:rPr>
        <w:t xml:space="preserve"> no IKP, kas ir par </w:t>
      </w:r>
      <w:r>
        <w:rPr>
          <w:rFonts w:ascii="Times New Roman" w:eastAsia="Calibri" w:hAnsi="Times New Roman"/>
          <w:noProof/>
          <w:color w:val="000000"/>
          <w:szCs w:val="24"/>
        </w:rPr>
        <w:t>1,6 </w:t>
      </w:r>
      <w:r w:rsidRPr="00F42440">
        <w:rPr>
          <w:rFonts w:ascii="Times New Roman" w:eastAsia="Calibri" w:hAnsi="Times New Roman"/>
          <w:noProof/>
          <w:color w:val="000000"/>
          <w:szCs w:val="24"/>
        </w:rPr>
        <w:t xml:space="preserve">procentpunktiem </w:t>
      </w:r>
      <w:r>
        <w:rPr>
          <w:rFonts w:ascii="Times New Roman" w:eastAsia="Calibri" w:hAnsi="Times New Roman"/>
          <w:noProof/>
          <w:color w:val="000000"/>
          <w:szCs w:val="24"/>
        </w:rPr>
        <w:t>vairāk</w:t>
      </w:r>
      <w:r w:rsidRPr="00F42440">
        <w:rPr>
          <w:rFonts w:ascii="Times New Roman" w:eastAsia="Calibri" w:hAnsi="Times New Roman"/>
          <w:noProof/>
          <w:color w:val="000000"/>
          <w:szCs w:val="24"/>
        </w:rPr>
        <w:t xml:space="preserve"> kā 20</w:t>
      </w:r>
      <w:r>
        <w:rPr>
          <w:rFonts w:ascii="Times New Roman" w:eastAsia="Calibri" w:hAnsi="Times New Roman"/>
          <w:noProof/>
          <w:color w:val="000000"/>
          <w:szCs w:val="24"/>
        </w:rPr>
        <w:t>22</w:t>
      </w:r>
      <w:r w:rsidRPr="00F42440">
        <w:rPr>
          <w:rFonts w:ascii="Times New Roman" w:eastAsia="Calibri" w:hAnsi="Times New Roman"/>
          <w:noProof/>
          <w:color w:val="000000"/>
          <w:szCs w:val="24"/>
        </w:rPr>
        <w:t>.</w:t>
      </w:r>
      <w:r>
        <w:rPr>
          <w:rFonts w:ascii="Times New Roman" w:eastAsia="Calibri" w:hAnsi="Times New Roman"/>
          <w:noProof/>
          <w:color w:val="000000"/>
          <w:szCs w:val="24"/>
        </w:rPr>
        <w:t> </w:t>
      </w:r>
      <w:r w:rsidRPr="00F42440">
        <w:rPr>
          <w:rFonts w:ascii="Times New Roman" w:eastAsia="Calibri" w:hAnsi="Times New Roman"/>
          <w:noProof/>
          <w:color w:val="000000"/>
          <w:szCs w:val="24"/>
        </w:rPr>
        <w:t>gadā</w:t>
      </w:r>
      <w:r>
        <w:rPr>
          <w:rFonts w:ascii="Times New Roman" w:eastAsia="Calibri" w:hAnsi="Times New Roman"/>
          <w:noProof/>
          <w:color w:val="000000"/>
          <w:szCs w:val="24"/>
        </w:rPr>
        <w:t xml:space="preserve">. </w:t>
      </w:r>
      <w:r w:rsidRPr="00F42440">
        <w:rPr>
          <w:rFonts w:ascii="Times New Roman" w:eastAsia="Calibri" w:hAnsi="Times New Roman"/>
          <w:noProof/>
          <w:color w:val="000000"/>
          <w:szCs w:val="24"/>
        </w:rPr>
        <w:t xml:space="preserve">Nomināli nodokļu ieņēmumi </w:t>
      </w:r>
      <w:r>
        <w:rPr>
          <w:rFonts w:ascii="Times New Roman" w:eastAsia="Calibri" w:hAnsi="Times New Roman"/>
          <w:noProof/>
          <w:color w:val="000000"/>
          <w:szCs w:val="24"/>
        </w:rPr>
        <w:t>pieauga</w:t>
      </w:r>
      <w:r w:rsidRPr="00F42440">
        <w:rPr>
          <w:rFonts w:ascii="Times New Roman" w:eastAsia="Calibri" w:hAnsi="Times New Roman"/>
          <w:noProof/>
          <w:color w:val="000000"/>
          <w:szCs w:val="24"/>
        </w:rPr>
        <w:t xml:space="preserve"> par </w:t>
      </w:r>
      <w:r w:rsidRPr="001607D2">
        <w:rPr>
          <w:rFonts w:ascii="Times New Roman" w:eastAsia="Calibri" w:hAnsi="Times New Roman"/>
          <w:noProof/>
          <w:color w:val="000000"/>
          <w:szCs w:val="24"/>
        </w:rPr>
        <w:t>1</w:t>
      </w:r>
      <w:r>
        <w:rPr>
          <w:rFonts w:ascii="Times New Roman" w:eastAsia="Calibri" w:hAnsi="Times New Roman"/>
          <w:noProof/>
          <w:color w:val="000000"/>
          <w:szCs w:val="24"/>
        </w:rPr>
        <w:t> </w:t>
      </w:r>
      <w:r w:rsidRPr="001607D2">
        <w:rPr>
          <w:rFonts w:ascii="Times New Roman" w:eastAsia="Calibri" w:hAnsi="Times New Roman"/>
          <w:noProof/>
          <w:color w:val="000000"/>
          <w:szCs w:val="24"/>
        </w:rPr>
        <w:t>093</w:t>
      </w:r>
      <w:r>
        <w:rPr>
          <w:rFonts w:ascii="Times New Roman" w:eastAsia="Calibri" w:hAnsi="Times New Roman"/>
          <w:noProof/>
          <w:color w:val="000000"/>
          <w:szCs w:val="24"/>
        </w:rPr>
        <w:t xml:space="preserve"> </w:t>
      </w:r>
      <w:r w:rsidRPr="00F42440">
        <w:rPr>
          <w:rFonts w:ascii="Times New Roman" w:eastAsia="Calibri" w:hAnsi="Times New Roman"/>
          <w:noProof/>
          <w:szCs w:val="24"/>
        </w:rPr>
        <w:t xml:space="preserve">milj. </w:t>
      </w:r>
      <w:r w:rsidRPr="00F42440">
        <w:rPr>
          <w:rFonts w:ascii="Times New Roman" w:eastAsia="Calibri" w:hAnsi="Times New Roman"/>
          <w:i/>
          <w:noProof/>
          <w:szCs w:val="24"/>
        </w:rPr>
        <w:t>euro</w:t>
      </w:r>
      <w:r w:rsidRPr="00F42440">
        <w:rPr>
          <w:rFonts w:ascii="Times New Roman" w:eastAsia="Calibri" w:hAnsi="Times New Roman"/>
          <w:noProof/>
          <w:color w:val="000000"/>
          <w:szCs w:val="24"/>
        </w:rPr>
        <w:t xml:space="preserve"> jeb </w:t>
      </w:r>
      <w:r>
        <w:rPr>
          <w:rFonts w:ascii="Times New Roman" w:eastAsia="Calibri" w:hAnsi="Times New Roman"/>
          <w:noProof/>
          <w:color w:val="000000"/>
          <w:szCs w:val="24"/>
        </w:rPr>
        <w:t>9,1</w:t>
      </w:r>
      <w:r w:rsidRPr="00F42440">
        <w:rPr>
          <w:rFonts w:ascii="Times New Roman" w:eastAsia="Calibri" w:hAnsi="Times New Roman"/>
          <w:noProof/>
          <w:color w:val="000000"/>
          <w:szCs w:val="24"/>
        </w:rPr>
        <w:t>%</w:t>
      </w:r>
      <w:r>
        <w:rPr>
          <w:rFonts w:ascii="Times New Roman" w:eastAsia="Calibri" w:hAnsi="Times New Roman"/>
          <w:noProof/>
          <w:color w:val="000000"/>
          <w:szCs w:val="24"/>
        </w:rPr>
        <w:t>, no kuriem</w:t>
      </w:r>
      <w:r w:rsidRPr="00F42440">
        <w:rPr>
          <w:rFonts w:ascii="Times New Roman" w:eastAsia="Calibri" w:hAnsi="Times New Roman"/>
          <w:noProof/>
          <w:color w:val="000000"/>
          <w:szCs w:val="24"/>
        </w:rPr>
        <w:t xml:space="preserve"> </w:t>
      </w:r>
      <w:r>
        <w:rPr>
          <w:rFonts w:ascii="Times New Roman" w:eastAsia="Calibri" w:hAnsi="Times New Roman"/>
          <w:noProof/>
          <w:color w:val="000000"/>
          <w:szCs w:val="24"/>
        </w:rPr>
        <w:t xml:space="preserve">ražošanas un </w:t>
      </w:r>
      <w:r w:rsidRPr="00F97B20">
        <w:rPr>
          <w:rFonts w:ascii="Times New Roman" w:eastAsia="Calibri" w:hAnsi="Times New Roman"/>
          <w:noProof/>
          <w:color w:val="000000"/>
          <w:szCs w:val="24"/>
        </w:rPr>
        <w:t>importa nodokļi</w:t>
      </w:r>
      <w:r>
        <w:rPr>
          <w:rFonts w:ascii="Times New Roman" w:eastAsia="Calibri" w:hAnsi="Times New Roman"/>
          <w:noProof/>
          <w:color w:val="000000"/>
          <w:szCs w:val="24"/>
        </w:rPr>
        <w:t xml:space="preserve"> (D.2)</w:t>
      </w:r>
      <w:r w:rsidRPr="00F97B20">
        <w:rPr>
          <w:rFonts w:ascii="Times New Roman" w:eastAsia="Calibri" w:hAnsi="Times New Roman"/>
          <w:noProof/>
          <w:color w:val="000000"/>
          <w:szCs w:val="24"/>
        </w:rPr>
        <w:t xml:space="preserve"> pieauga par </w:t>
      </w:r>
      <w:r>
        <w:rPr>
          <w:rFonts w:ascii="Times New Roman" w:eastAsia="Calibri" w:hAnsi="Times New Roman"/>
          <w:noProof/>
          <w:color w:val="000000"/>
          <w:szCs w:val="24"/>
        </w:rPr>
        <w:t xml:space="preserve">232 </w:t>
      </w:r>
      <w:r w:rsidRPr="00F97B20">
        <w:rPr>
          <w:rFonts w:ascii="Times New Roman" w:eastAsia="Calibri" w:hAnsi="Times New Roman"/>
          <w:noProof/>
          <w:color w:val="000000"/>
          <w:szCs w:val="24"/>
        </w:rPr>
        <w:t>milj.</w:t>
      </w:r>
      <w:r>
        <w:rPr>
          <w:rFonts w:ascii="Times New Roman" w:eastAsia="Calibri" w:hAnsi="Times New Roman"/>
          <w:noProof/>
          <w:color w:val="000000"/>
          <w:szCs w:val="24"/>
        </w:rPr>
        <w:t xml:space="preserve"> </w:t>
      </w:r>
      <w:r w:rsidRPr="00927E40">
        <w:rPr>
          <w:rFonts w:ascii="Times New Roman" w:eastAsia="Calibri" w:hAnsi="Times New Roman"/>
          <w:i/>
          <w:iCs/>
          <w:noProof/>
          <w:color w:val="000000"/>
          <w:szCs w:val="24"/>
        </w:rPr>
        <w:t>euro</w:t>
      </w:r>
      <w:r w:rsidRPr="00F97B20">
        <w:rPr>
          <w:rFonts w:ascii="Times New Roman" w:eastAsia="Calibri" w:hAnsi="Times New Roman"/>
          <w:noProof/>
          <w:color w:val="000000"/>
          <w:szCs w:val="24"/>
        </w:rPr>
        <w:t xml:space="preserve"> jeb </w:t>
      </w:r>
      <w:r>
        <w:rPr>
          <w:rFonts w:ascii="Times New Roman" w:eastAsia="Calibri" w:hAnsi="Times New Roman"/>
          <w:noProof/>
          <w:color w:val="000000"/>
          <w:szCs w:val="24"/>
        </w:rPr>
        <w:t>4,3</w:t>
      </w:r>
      <w:r w:rsidRPr="00F97B20">
        <w:rPr>
          <w:rFonts w:ascii="Times New Roman" w:eastAsia="Calibri" w:hAnsi="Times New Roman"/>
          <w:noProof/>
          <w:color w:val="000000"/>
          <w:szCs w:val="24"/>
        </w:rPr>
        <w:t>%.</w:t>
      </w:r>
      <w:r w:rsidRPr="00F97B20">
        <w:rPr>
          <w:rFonts w:ascii="Times New Roman" w:hAnsi="Times New Roman"/>
          <w:noProof/>
        </w:rPr>
        <w:t xml:space="preserve"> PVN ieņēmumi</w:t>
      </w:r>
      <w:r>
        <w:rPr>
          <w:rFonts w:ascii="Times New Roman" w:hAnsi="Times New Roman"/>
          <w:noProof/>
        </w:rPr>
        <w:t xml:space="preserve"> </w:t>
      </w:r>
      <w:r w:rsidRPr="00F97B20">
        <w:rPr>
          <w:rFonts w:ascii="Times New Roman" w:hAnsi="Times New Roman"/>
          <w:noProof/>
        </w:rPr>
        <w:t xml:space="preserve">veidoja </w:t>
      </w:r>
      <w:r>
        <w:rPr>
          <w:rFonts w:ascii="Times New Roman" w:hAnsi="Times New Roman"/>
          <w:noProof/>
        </w:rPr>
        <w:t>gandrīz 3,9 </w:t>
      </w:r>
      <w:r w:rsidRPr="00F97B20">
        <w:rPr>
          <w:rFonts w:ascii="Times New Roman" w:hAnsi="Times New Roman"/>
          <w:noProof/>
        </w:rPr>
        <w:t>m</w:t>
      </w:r>
      <w:r>
        <w:rPr>
          <w:rFonts w:ascii="Times New Roman" w:hAnsi="Times New Roman"/>
          <w:noProof/>
        </w:rPr>
        <w:t>ljrd.</w:t>
      </w:r>
      <w:r w:rsidRPr="00F97B20">
        <w:rPr>
          <w:rFonts w:ascii="Times New Roman" w:hAnsi="Times New Roman"/>
          <w:noProof/>
        </w:rPr>
        <w:t xml:space="preserve"> </w:t>
      </w:r>
      <w:r w:rsidRPr="00927E40">
        <w:rPr>
          <w:rFonts w:ascii="Times New Roman" w:hAnsi="Times New Roman"/>
          <w:i/>
          <w:iCs/>
          <w:noProof/>
        </w:rPr>
        <w:t>euro</w:t>
      </w:r>
      <w:r w:rsidRPr="00F97B20">
        <w:rPr>
          <w:rFonts w:ascii="Times New Roman" w:hAnsi="Times New Roman"/>
          <w:noProof/>
        </w:rPr>
        <w:t xml:space="preserve">, kas bija par </w:t>
      </w:r>
      <w:r>
        <w:rPr>
          <w:rFonts w:ascii="Times New Roman" w:hAnsi="Times New Roman"/>
          <w:noProof/>
        </w:rPr>
        <w:t xml:space="preserve">320,8 </w:t>
      </w:r>
      <w:r w:rsidRPr="00F97B20">
        <w:rPr>
          <w:rFonts w:ascii="Times New Roman" w:hAnsi="Times New Roman"/>
          <w:noProof/>
        </w:rPr>
        <w:t>milj</w:t>
      </w:r>
      <w:r>
        <w:rPr>
          <w:rFonts w:ascii="Times New Roman" w:hAnsi="Times New Roman"/>
          <w:noProof/>
        </w:rPr>
        <w:t>.</w:t>
      </w:r>
      <w:r w:rsidRPr="00F97B20">
        <w:rPr>
          <w:rFonts w:ascii="Times New Roman" w:hAnsi="Times New Roman"/>
          <w:noProof/>
        </w:rPr>
        <w:t xml:space="preserve"> </w:t>
      </w:r>
      <w:r w:rsidRPr="00927E40">
        <w:rPr>
          <w:rFonts w:ascii="Times New Roman" w:hAnsi="Times New Roman"/>
          <w:i/>
          <w:iCs/>
          <w:noProof/>
        </w:rPr>
        <w:t>euro</w:t>
      </w:r>
      <w:r w:rsidRPr="00F97B20">
        <w:rPr>
          <w:rFonts w:ascii="Times New Roman" w:hAnsi="Times New Roman"/>
          <w:noProof/>
        </w:rPr>
        <w:t xml:space="preserve"> jeb </w:t>
      </w:r>
      <w:r>
        <w:rPr>
          <w:rFonts w:ascii="Times New Roman" w:hAnsi="Times New Roman"/>
          <w:noProof/>
        </w:rPr>
        <w:t>9</w:t>
      </w:r>
      <w:r w:rsidRPr="00F97B20">
        <w:rPr>
          <w:rFonts w:ascii="Times New Roman" w:hAnsi="Times New Roman"/>
          <w:noProof/>
        </w:rPr>
        <w:t>% vairāk kā 202</w:t>
      </w:r>
      <w:r>
        <w:rPr>
          <w:rFonts w:ascii="Times New Roman" w:hAnsi="Times New Roman"/>
          <w:noProof/>
        </w:rPr>
        <w:t>2</w:t>
      </w:r>
      <w:r w:rsidRPr="00F97B20">
        <w:rPr>
          <w:rFonts w:ascii="Times New Roman" w:hAnsi="Times New Roman"/>
          <w:noProof/>
        </w:rPr>
        <w:t>.</w:t>
      </w:r>
      <w:r>
        <w:rPr>
          <w:rFonts w:ascii="Times New Roman" w:hAnsi="Times New Roman"/>
          <w:noProof/>
        </w:rPr>
        <w:t> </w:t>
      </w:r>
      <w:r w:rsidRPr="00F97B20">
        <w:rPr>
          <w:rFonts w:ascii="Times New Roman" w:hAnsi="Times New Roman"/>
          <w:noProof/>
        </w:rPr>
        <w:t xml:space="preserve">gadā. </w:t>
      </w:r>
      <w:r w:rsidRPr="001607D2">
        <w:rPr>
          <w:rFonts w:ascii="Times New Roman" w:hAnsi="Times New Roman"/>
          <w:noProof/>
        </w:rPr>
        <w:t xml:space="preserve">Straujais PVN ieņēmumu kāpums pamatā saistāms ar samaksātajiem nodokļiem tirdzniecības nozarē, ņemot vērā pērnā gada vidējo inflāciju 8,9% apmērā. Augstās energoresursu cenas veicināja nodokļu ieņēmumu kāpumu elektroenerģijas, gāzes apgādes un siltumapgādes nozarē </w:t>
      </w:r>
      <w:r>
        <w:rPr>
          <w:rFonts w:ascii="Times New Roman" w:hAnsi="Times New Roman"/>
          <w:noProof/>
        </w:rPr>
        <w:t>2023. </w:t>
      </w:r>
      <w:r w:rsidRPr="001607D2">
        <w:rPr>
          <w:rFonts w:ascii="Times New Roman" w:hAnsi="Times New Roman"/>
          <w:noProof/>
        </w:rPr>
        <w:t xml:space="preserve">gada sākumā. </w:t>
      </w:r>
      <w:r w:rsidRPr="006F6AF8">
        <w:rPr>
          <w:rFonts w:ascii="Times New Roman" w:hAnsi="Times New Roman"/>
          <w:noProof/>
        </w:rPr>
        <w:t xml:space="preserve"> </w:t>
      </w:r>
    </w:p>
    <w:p w14:paraId="68730DAD" w14:textId="418CEA91" w:rsidR="00FF2041" w:rsidRPr="007427AD" w:rsidRDefault="00FF2041" w:rsidP="00BA387D">
      <w:pPr>
        <w:pStyle w:val="teksts"/>
        <w:spacing w:after="0"/>
        <w:ind w:firstLine="720"/>
        <w:rPr>
          <w:rFonts w:ascii="Times New Roman" w:eastAsia="Calibri" w:hAnsi="Times New Roman"/>
          <w:noProof/>
          <w:color w:val="000000" w:themeColor="text1"/>
          <w:szCs w:val="24"/>
        </w:rPr>
      </w:pPr>
      <w:r w:rsidRPr="007427AD">
        <w:rPr>
          <w:rFonts w:ascii="Times New Roman" w:eastAsia="Calibri" w:hAnsi="Times New Roman"/>
          <w:noProof/>
          <w:color w:val="000000" w:themeColor="text1"/>
          <w:szCs w:val="24"/>
        </w:rPr>
        <w:t xml:space="preserve">Ienākuma un mantas kārtējie nodokļi (D.5) pieauga par </w:t>
      </w:r>
      <w:r w:rsidRPr="00706438">
        <w:rPr>
          <w:rFonts w:ascii="Times New Roman" w:eastAsia="Calibri" w:hAnsi="Times New Roman"/>
          <w:noProof/>
          <w:color w:val="000000" w:themeColor="text1"/>
          <w:szCs w:val="24"/>
        </w:rPr>
        <w:t xml:space="preserve">417,3 </w:t>
      </w:r>
      <w:r w:rsidRPr="007427AD">
        <w:rPr>
          <w:rFonts w:ascii="Times New Roman" w:eastAsia="Calibri" w:hAnsi="Times New Roman"/>
          <w:noProof/>
          <w:color w:val="000000" w:themeColor="text1"/>
          <w:szCs w:val="24"/>
        </w:rPr>
        <w:t>milj</w:t>
      </w:r>
      <w:r>
        <w:rPr>
          <w:rFonts w:ascii="Times New Roman" w:eastAsia="Calibri" w:hAnsi="Times New Roman"/>
          <w:noProof/>
          <w:color w:val="000000" w:themeColor="text1"/>
          <w:szCs w:val="24"/>
        </w:rPr>
        <w:t>.</w:t>
      </w:r>
      <w:r w:rsidRPr="007427AD">
        <w:rPr>
          <w:rFonts w:ascii="Times New Roman" w:eastAsia="Calibri" w:hAnsi="Times New Roman"/>
          <w:noProof/>
          <w:color w:val="000000" w:themeColor="text1"/>
          <w:szCs w:val="24"/>
        </w:rPr>
        <w:t xml:space="preserve"> </w:t>
      </w:r>
      <w:r w:rsidRPr="007427AD">
        <w:rPr>
          <w:rFonts w:ascii="Times New Roman" w:eastAsia="Calibri" w:hAnsi="Times New Roman"/>
          <w:i/>
          <w:noProof/>
          <w:color w:val="000000" w:themeColor="text1"/>
          <w:szCs w:val="24"/>
        </w:rPr>
        <w:t>euro</w:t>
      </w:r>
      <w:r w:rsidRPr="007427AD">
        <w:rPr>
          <w:rFonts w:ascii="Times New Roman" w:eastAsia="Calibri" w:hAnsi="Times New Roman"/>
          <w:noProof/>
          <w:color w:val="000000" w:themeColor="text1"/>
          <w:szCs w:val="24"/>
        </w:rPr>
        <w:t xml:space="preserve"> jeb 1</w:t>
      </w:r>
      <w:r>
        <w:rPr>
          <w:rFonts w:ascii="Times New Roman" w:eastAsia="Calibri" w:hAnsi="Times New Roman"/>
          <w:noProof/>
          <w:color w:val="000000" w:themeColor="text1"/>
          <w:szCs w:val="24"/>
        </w:rPr>
        <w:t>5,3</w:t>
      </w:r>
      <w:r w:rsidRPr="007427AD">
        <w:rPr>
          <w:rFonts w:ascii="Times New Roman" w:eastAsia="Calibri" w:hAnsi="Times New Roman"/>
          <w:noProof/>
          <w:color w:val="000000" w:themeColor="text1"/>
          <w:szCs w:val="24"/>
        </w:rPr>
        <w:t>%, salīdzinot ar 202</w:t>
      </w:r>
      <w:r>
        <w:rPr>
          <w:rFonts w:ascii="Times New Roman" w:eastAsia="Calibri" w:hAnsi="Times New Roman"/>
          <w:noProof/>
          <w:color w:val="000000" w:themeColor="text1"/>
          <w:szCs w:val="24"/>
        </w:rPr>
        <w:t>2</w:t>
      </w:r>
      <w:r w:rsidRPr="007427AD">
        <w:rPr>
          <w:rFonts w:ascii="Times New Roman" w:eastAsia="Calibri" w:hAnsi="Times New Roman"/>
          <w:noProof/>
          <w:color w:val="000000" w:themeColor="text1"/>
          <w:szCs w:val="24"/>
        </w:rPr>
        <w:t>.</w:t>
      </w:r>
      <w:r>
        <w:rPr>
          <w:rFonts w:ascii="Times New Roman" w:eastAsia="Calibri" w:hAnsi="Times New Roman"/>
          <w:noProof/>
          <w:color w:val="000000" w:themeColor="text1"/>
          <w:szCs w:val="24"/>
        </w:rPr>
        <w:t> </w:t>
      </w:r>
      <w:r w:rsidRPr="007427AD">
        <w:rPr>
          <w:rFonts w:ascii="Times New Roman" w:eastAsia="Calibri" w:hAnsi="Times New Roman"/>
          <w:noProof/>
          <w:color w:val="000000" w:themeColor="text1"/>
          <w:szCs w:val="24"/>
        </w:rPr>
        <w:t>gadu. Uzņēmuma ienākuma nodoklis (UIN) 202</w:t>
      </w:r>
      <w:r>
        <w:rPr>
          <w:rFonts w:ascii="Times New Roman" w:eastAsia="Calibri" w:hAnsi="Times New Roman"/>
          <w:noProof/>
          <w:color w:val="000000" w:themeColor="text1"/>
          <w:szCs w:val="24"/>
        </w:rPr>
        <w:t>3</w:t>
      </w:r>
      <w:r w:rsidRPr="007427AD">
        <w:rPr>
          <w:rFonts w:ascii="Times New Roman" w:eastAsia="Calibri" w:hAnsi="Times New Roman"/>
          <w:noProof/>
          <w:color w:val="000000" w:themeColor="text1"/>
          <w:szCs w:val="24"/>
        </w:rPr>
        <w:t>.</w:t>
      </w:r>
      <w:r>
        <w:rPr>
          <w:rFonts w:ascii="Times New Roman" w:eastAsia="Calibri" w:hAnsi="Times New Roman"/>
          <w:noProof/>
          <w:color w:val="000000" w:themeColor="text1"/>
          <w:szCs w:val="24"/>
        </w:rPr>
        <w:t> </w:t>
      </w:r>
      <w:r w:rsidRPr="007427AD">
        <w:rPr>
          <w:rFonts w:ascii="Times New Roman" w:eastAsia="Calibri" w:hAnsi="Times New Roman"/>
          <w:noProof/>
          <w:color w:val="000000" w:themeColor="text1"/>
          <w:szCs w:val="24"/>
        </w:rPr>
        <w:t>gadā</w:t>
      </w:r>
      <w:r>
        <w:rPr>
          <w:rFonts w:ascii="Times New Roman" w:eastAsia="Calibri" w:hAnsi="Times New Roman"/>
          <w:noProof/>
          <w:color w:val="000000" w:themeColor="text1"/>
          <w:szCs w:val="24"/>
        </w:rPr>
        <w:t>,</w:t>
      </w:r>
      <w:r w:rsidRPr="007427AD">
        <w:rPr>
          <w:rFonts w:ascii="Times New Roman" w:eastAsia="Calibri" w:hAnsi="Times New Roman"/>
          <w:noProof/>
          <w:color w:val="000000" w:themeColor="text1"/>
          <w:szCs w:val="24"/>
        </w:rPr>
        <w:t xml:space="preserve"> </w:t>
      </w:r>
      <w:r w:rsidRPr="00BD2720">
        <w:rPr>
          <w:rFonts w:ascii="Times New Roman" w:eastAsia="Calibri" w:hAnsi="Times New Roman"/>
          <w:noProof/>
          <w:color w:val="000000" w:themeColor="text1"/>
          <w:szCs w:val="24"/>
        </w:rPr>
        <w:t>palielinoties sadalāmās peļņas apmēriem</w:t>
      </w:r>
      <w:r>
        <w:rPr>
          <w:rFonts w:ascii="Times New Roman" w:eastAsia="Calibri" w:hAnsi="Times New Roman"/>
          <w:noProof/>
          <w:color w:val="000000" w:themeColor="text1"/>
          <w:szCs w:val="24"/>
        </w:rPr>
        <w:t xml:space="preserve">, </w:t>
      </w:r>
      <w:r w:rsidRPr="00706438">
        <w:rPr>
          <w:rFonts w:ascii="Times New Roman" w:eastAsia="Calibri" w:hAnsi="Times New Roman"/>
          <w:noProof/>
          <w:color w:val="000000" w:themeColor="text1"/>
          <w:szCs w:val="24"/>
        </w:rPr>
        <w:t xml:space="preserve">tai skaitā lielākajos valsts uzņēmumos, </w:t>
      </w:r>
      <w:r>
        <w:rPr>
          <w:rFonts w:ascii="Times New Roman" w:eastAsia="Calibri" w:hAnsi="Times New Roman"/>
          <w:noProof/>
          <w:color w:val="000000" w:themeColor="text1"/>
          <w:szCs w:val="24"/>
        </w:rPr>
        <w:t>pieauga</w:t>
      </w:r>
      <w:r w:rsidRPr="00706438">
        <w:rPr>
          <w:rFonts w:ascii="Times New Roman" w:eastAsia="Calibri" w:hAnsi="Times New Roman"/>
          <w:noProof/>
          <w:color w:val="000000" w:themeColor="text1"/>
          <w:szCs w:val="24"/>
        </w:rPr>
        <w:t xml:space="preserve"> par 166,1</w:t>
      </w:r>
      <w:r>
        <w:rPr>
          <w:rFonts w:ascii="Times New Roman" w:eastAsia="Calibri" w:hAnsi="Times New Roman"/>
          <w:noProof/>
          <w:color w:val="000000" w:themeColor="text1"/>
          <w:szCs w:val="24"/>
        </w:rPr>
        <w:t> </w:t>
      </w:r>
      <w:r w:rsidRPr="00706438">
        <w:rPr>
          <w:rFonts w:ascii="Times New Roman" w:eastAsia="Calibri" w:hAnsi="Times New Roman"/>
          <w:noProof/>
          <w:color w:val="000000" w:themeColor="text1"/>
          <w:szCs w:val="24"/>
        </w:rPr>
        <w:t>mil</w:t>
      </w:r>
      <w:r>
        <w:rPr>
          <w:rFonts w:ascii="Times New Roman" w:eastAsia="Calibri" w:hAnsi="Times New Roman"/>
          <w:noProof/>
          <w:color w:val="000000" w:themeColor="text1"/>
          <w:szCs w:val="24"/>
        </w:rPr>
        <w:t>j.</w:t>
      </w:r>
      <w:r w:rsidRPr="00706438">
        <w:rPr>
          <w:rFonts w:ascii="Times New Roman" w:eastAsia="Calibri" w:hAnsi="Times New Roman"/>
          <w:noProof/>
          <w:color w:val="000000" w:themeColor="text1"/>
          <w:szCs w:val="24"/>
        </w:rPr>
        <w:t xml:space="preserve"> </w:t>
      </w:r>
      <w:r w:rsidRPr="00706438">
        <w:rPr>
          <w:rFonts w:ascii="Times New Roman" w:eastAsia="Calibri" w:hAnsi="Times New Roman"/>
          <w:i/>
          <w:iCs/>
          <w:noProof/>
          <w:color w:val="000000" w:themeColor="text1"/>
          <w:szCs w:val="24"/>
        </w:rPr>
        <w:t>euro</w:t>
      </w:r>
      <w:r w:rsidRPr="00706438">
        <w:rPr>
          <w:rFonts w:ascii="Times New Roman" w:eastAsia="Calibri" w:hAnsi="Times New Roman"/>
          <w:noProof/>
          <w:color w:val="000000" w:themeColor="text1"/>
          <w:szCs w:val="24"/>
        </w:rPr>
        <w:t xml:space="preserve"> jeb 43,8%. Lielākās š</w:t>
      </w:r>
      <w:r w:rsidR="00CF6C5C">
        <w:rPr>
          <w:rFonts w:ascii="Times New Roman" w:eastAsia="Calibri" w:hAnsi="Times New Roman"/>
          <w:noProof/>
          <w:color w:val="000000" w:themeColor="text1"/>
          <w:szCs w:val="24"/>
        </w:rPr>
        <w:t>ī</w:t>
      </w:r>
      <w:r w:rsidRPr="00706438">
        <w:rPr>
          <w:rFonts w:ascii="Times New Roman" w:eastAsia="Calibri" w:hAnsi="Times New Roman"/>
          <w:noProof/>
          <w:color w:val="000000" w:themeColor="text1"/>
          <w:szCs w:val="24"/>
        </w:rPr>
        <w:t xml:space="preserve"> nodokļa iemaksas vērojamas enerģētikas, mežsaimniecības, tirdzniecības un finanšu pakalpojumu nozarēs.</w:t>
      </w:r>
    </w:p>
    <w:p w14:paraId="20E092F2" w14:textId="7A007802" w:rsidR="00FF2041" w:rsidRDefault="00FF2041" w:rsidP="00BA387D">
      <w:pPr>
        <w:pStyle w:val="teksts"/>
        <w:spacing w:after="0"/>
        <w:ind w:firstLine="720"/>
        <w:rPr>
          <w:rFonts w:ascii="Times New Roman" w:eastAsia="Calibri" w:hAnsi="Times New Roman"/>
          <w:noProof/>
          <w:color w:val="000000" w:themeColor="text1"/>
          <w:szCs w:val="24"/>
        </w:rPr>
      </w:pPr>
      <w:r w:rsidRPr="00706438">
        <w:rPr>
          <w:rFonts w:ascii="Times New Roman" w:eastAsia="Calibri" w:hAnsi="Times New Roman"/>
          <w:color w:val="000000" w:themeColor="text1"/>
          <w:szCs w:val="24"/>
        </w:rPr>
        <w:t>Augsts pieauguma temps 2023.</w:t>
      </w:r>
      <w:r>
        <w:rPr>
          <w:rFonts w:ascii="Times New Roman" w:eastAsia="Calibri" w:hAnsi="Times New Roman"/>
          <w:color w:val="000000" w:themeColor="text1"/>
          <w:szCs w:val="24"/>
        </w:rPr>
        <w:t> </w:t>
      </w:r>
      <w:r w:rsidRPr="00706438">
        <w:rPr>
          <w:rFonts w:ascii="Times New Roman" w:eastAsia="Calibri" w:hAnsi="Times New Roman"/>
          <w:color w:val="000000" w:themeColor="text1"/>
          <w:szCs w:val="24"/>
        </w:rPr>
        <w:t xml:space="preserve">gadā vērojams darbaspēka nodokļu ieņēmumos. Pozitīva dinamika darba </w:t>
      </w:r>
      <w:r w:rsidRPr="00706438">
        <w:rPr>
          <w:rFonts w:ascii="Times New Roman" w:eastAsia="Calibri" w:hAnsi="Times New Roman"/>
          <w:noProof/>
          <w:color w:val="000000" w:themeColor="text1"/>
          <w:szCs w:val="24"/>
        </w:rPr>
        <w:t>samaksas fondā sekmēja darbaspēka nodokļu ieņēmumu augstu pieauguma tempu visa gada griezumā. Tādejādi sociālās iemaksas</w:t>
      </w:r>
      <w:r>
        <w:rPr>
          <w:rFonts w:ascii="Times New Roman" w:eastAsia="Calibri" w:hAnsi="Times New Roman"/>
          <w:noProof/>
          <w:color w:val="000000" w:themeColor="text1"/>
          <w:szCs w:val="24"/>
        </w:rPr>
        <w:t xml:space="preserve"> </w:t>
      </w:r>
      <w:r w:rsidRPr="00104384">
        <w:rPr>
          <w:rFonts w:ascii="Times New Roman" w:eastAsia="Calibri" w:hAnsi="Times New Roman"/>
          <w:noProof/>
          <w:color w:val="000000" w:themeColor="text1"/>
          <w:szCs w:val="24"/>
        </w:rPr>
        <w:t xml:space="preserve">(D.61) </w:t>
      </w:r>
      <w:r w:rsidRPr="00706438">
        <w:rPr>
          <w:rFonts w:ascii="Times New Roman" w:eastAsia="Calibri" w:hAnsi="Times New Roman"/>
          <w:noProof/>
          <w:color w:val="000000" w:themeColor="text1"/>
          <w:szCs w:val="24"/>
        </w:rPr>
        <w:t>pērn sastādīja 4</w:t>
      </w:r>
      <w:r>
        <w:rPr>
          <w:rFonts w:ascii="Times New Roman" w:eastAsia="Calibri" w:hAnsi="Times New Roman"/>
          <w:noProof/>
          <w:color w:val="000000" w:themeColor="text1"/>
          <w:szCs w:val="24"/>
        </w:rPr>
        <w:t>,2 </w:t>
      </w:r>
      <w:r w:rsidRPr="00706438">
        <w:rPr>
          <w:rFonts w:ascii="Times New Roman" w:eastAsia="Calibri" w:hAnsi="Times New Roman"/>
          <w:noProof/>
          <w:color w:val="000000" w:themeColor="text1"/>
          <w:szCs w:val="24"/>
        </w:rPr>
        <w:t>mljr</w:t>
      </w:r>
      <w:r w:rsidR="002768B3">
        <w:rPr>
          <w:rFonts w:ascii="Times New Roman" w:eastAsia="Calibri" w:hAnsi="Times New Roman"/>
          <w:noProof/>
          <w:color w:val="000000" w:themeColor="text1"/>
          <w:szCs w:val="24"/>
        </w:rPr>
        <w:t>d.</w:t>
      </w:r>
      <w:r w:rsidRPr="00706438">
        <w:rPr>
          <w:rFonts w:ascii="Times New Roman" w:eastAsia="Calibri" w:hAnsi="Times New Roman"/>
          <w:noProof/>
          <w:color w:val="000000" w:themeColor="text1"/>
          <w:szCs w:val="24"/>
        </w:rPr>
        <w:t xml:space="preserve"> </w:t>
      </w:r>
      <w:r w:rsidRPr="00706438">
        <w:rPr>
          <w:rFonts w:ascii="Times New Roman" w:eastAsia="Calibri" w:hAnsi="Times New Roman"/>
          <w:i/>
          <w:iCs/>
          <w:noProof/>
          <w:color w:val="000000" w:themeColor="text1"/>
          <w:szCs w:val="24"/>
        </w:rPr>
        <w:t>euro</w:t>
      </w:r>
      <w:r w:rsidRPr="00706438">
        <w:rPr>
          <w:rFonts w:ascii="Times New Roman" w:eastAsia="Calibri" w:hAnsi="Times New Roman"/>
          <w:noProof/>
          <w:color w:val="000000" w:themeColor="text1"/>
          <w:szCs w:val="24"/>
        </w:rPr>
        <w:t xml:space="preserve">, pieaugot par </w:t>
      </w:r>
      <w:r>
        <w:rPr>
          <w:rFonts w:ascii="Times New Roman" w:eastAsia="Calibri" w:hAnsi="Times New Roman"/>
          <w:noProof/>
          <w:color w:val="000000" w:themeColor="text1"/>
          <w:szCs w:val="24"/>
        </w:rPr>
        <w:t>470,2</w:t>
      </w:r>
      <w:r w:rsidRPr="00706438">
        <w:rPr>
          <w:rFonts w:ascii="Times New Roman" w:eastAsia="Calibri" w:hAnsi="Times New Roman"/>
          <w:noProof/>
          <w:color w:val="000000" w:themeColor="text1"/>
          <w:szCs w:val="24"/>
        </w:rPr>
        <w:t xml:space="preserve"> milj</w:t>
      </w:r>
      <w:r>
        <w:rPr>
          <w:rFonts w:ascii="Times New Roman" w:eastAsia="Calibri" w:hAnsi="Times New Roman"/>
          <w:noProof/>
          <w:color w:val="000000" w:themeColor="text1"/>
          <w:szCs w:val="24"/>
        </w:rPr>
        <w:t>.</w:t>
      </w:r>
      <w:r w:rsidRPr="00706438">
        <w:rPr>
          <w:rFonts w:ascii="Times New Roman" w:eastAsia="Calibri" w:hAnsi="Times New Roman"/>
          <w:noProof/>
          <w:color w:val="000000" w:themeColor="text1"/>
          <w:szCs w:val="24"/>
        </w:rPr>
        <w:t xml:space="preserve"> </w:t>
      </w:r>
      <w:r w:rsidRPr="00706438">
        <w:rPr>
          <w:rFonts w:ascii="Times New Roman" w:eastAsia="Calibri" w:hAnsi="Times New Roman"/>
          <w:i/>
          <w:iCs/>
          <w:noProof/>
          <w:color w:val="000000" w:themeColor="text1"/>
          <w:szCs w:val="24"/>
        </w:rPr>
        <w:t>euro</w:t>
      </w:r>
      <w:r w:rsidRPr="00706438">
        <w:rPr>
          <w:rFonts w:ascii="Times New Roman" w:eastAsia="Calibri" w:hAnsi="Times New Roman"/>
          <w:noProof/>
          <w:color w:val="000000" w:themeColor="text1"/>
          <w:szCs w:val="24"/>
        </w:rPr>
        <w:t xml:space="preserve"> jeb </w:t>
      </w:r>
      <w:r>
        <w:rPr>
          <w:rFonts w:ascii="Times New Roman" w:eastAsia="Calibri" w:hAnsi="Times New Roman"/>
          <w:noProof/>
          <w:color w:val="000000" w:themeColor="text1"/>
          <w:szCs w:val="24"/>
        </w:rPr>
        <w:t>12,5</w:t>
      </w:r>
      <w:r w:rsidRPr="00706438">
        <w:rPr>
          <w:rFonts w:ascii="Times New Roman" w:eastAsia="Calibri" w:hAnsi="Times New Roman"/>
          <w:noProof/>
          <w:color w:val="000000" w:themeColor="text1"/>
          <w:szCs w:val="24"/>
        </w:rPr>
        <w:t>%. IIN ieņēmumi bija 2,5 mljrd</w:t>
      </w:r>
      <w:r w:rsidR="002768B3">
        <w:rPr>
          <w:rFonts w:ascii="Times New Roman" w:eastAsia="Calibri" w:hAnsi="Times New Roman"/>
          <w:noProof/>
          <w:color w:val="000000" w:themeColor="text1"/>
          <w:szCs w:val="24"/>
        </w:rPr>
        <w:t>.</w:t>
      </w:r>
      <w:r w:rsidRPr="00706438">
        <w:rPr>
          <w:rFonts w:ascii="Times New Roman" w:eastAsia="Calibri" w:hAnsi="Times New Roman"/>
          <w:noProof/>
          <w:color w:val="000000" w:themeColor="text1"/>
          <w:szCs w:val="24"/>
        </w:rPr>
        <w:t xml:space="preserve"> </w:t>
      </w:r>
      <w:r w:rsidRPr="00706438">
        <w:rPr>
          <w:rFonts w:ascii="Times New Roman" w:eastAsia="Calibri" w:hAnsi="Times New Roman"/>
          <w:i/>
          <w:iCs/>
          <w:noProof/>
          <w:color w:val="000000" w:themeColor="text1"/>
          <w:szCs w:val="24"/>
        </w:rPr>
        <w:t>euro</w:t>
      </w:r>
      <w:r w:rsidRPr="00706438">
        <w:rPr>
          <w:rFonts w:ascii="Times New Roman" w:eastAsia="Calibri" w:hAnsi="Times New Roman"/>
          <w:noProof/>
          <w:color w:val="000000" w:themeColor="text1"/>
          <w:szCs w:val="24"/>
        </w:rPr>
        <w:t xml:space="preserve"> – par 238,3</w:t>
      </w:r>
      <w:r>
        <w:rPr>
          <w:rFonts w:ascii="Times New Roman" w:eastAsia="Calibri" w:hAnsi="Times New Roman"/>
          <w:noProof/>
          <w:color w:val="000000" w:themeColor="text1"/>
          <w:szCs w:val="24"/>
        </w:rPr>
        <w:t> </w:t>
      </w:r>
      <w:r w:rsidRPr="00706438">
        <w:rPr>
          <w:rFonts w:ascii="Times New Roman" w:eastAsia="Calibri" w:hAnsi="Times New Roman"/>
          <w:noProof/>
          <w:color w:val="000000" w:themeColor="text1"/>
          <w:szCs w:val="24"/>
        </w:rPr>
        <w:t>milj</w:t>
      </w:r>
      <w:r>
        <w:rPr>
          <w:rFonts w:ascii="Times New Roman" w:eastAsia="Calibri" w:hAnsi="Times New Roman"/>
          <w:noProof/>
          <w:color w:val="000000" w:themeColor="text1"/>
          <w:szCs w:val="24"/>
        </w:rPr>
        <w:t>.</w:t>
      </w:r>
      <w:r w:rsidRPr="00706438">
        <w:rPr>
          <w:rFonts w:ascii="Times New Roman" w:eastAsia="Calibri" w:hAnsi="Times New Roman"/>
          <w:noProof/>
          <w:color w:val="000000" w:themeColor="text1"/>
          <w:szCs w:val="24"/>
        </w:rPr>
        <w:t xml:space="preserve"> </w:t>
      </w:r>
      <w:r w:rsidRPr="00706438">
        <w:rPr>
          <w:rFonts w:ascii="Times New Roman" w:eastAsia="Calibri" w:hAnsi="Times New Roman"/>
          <w:i/>
          <w:iCs/>
          <w:noProof/>
          <w:color w:val="000000" w:themeColor="text1"/>
          <w:szCs w:val="24"/>
        </w:rPr>
        <w:t>euro</w:t>
      </w:r>
      <w:r w:rsidRPr="00706438">
        <w:rPr>
          <w:rFonts w:ascii="Times New Roman" w:eastAsia="Calibri" w:hAnsi="Times New Roman"/>
          <w:noProof/>
          <w:color w:val="000000" w:themeColor="text1"/>
          <w:szCs w:val="24"/>
        </w:rPr>
        <w:t xml:space="preserve"> jeb 10,5% augstāki nekā gadu iepriekš. </w:t>
      </w:r>
    </w:p>
    <w:p w14:paraId="6272135F" w14:textId="287140D9" w:rsidR="00FF2041" w:rsidRDefault="00FF2041" w:rsidP="00BA387D">
      <w:pPr>
        <w:rPr>
          <w:rFonts w:eastAsia="Calibri"/>
          <w:noProof/>
          <w:sz w:val="24"/>
          <w:szCs w:val="24"/>
        </w:rPr>
      </w:pPr>
      <w:r w:rsidRPr="00562314">
        <w:rPr>
          <w:rFonts w:eastAsia="Calibri"/>
          <w:noProof/>
          <w:sz w:val="24"/>
          <w:szCs w:val="24"/>
        </w:rPr>
        <w:t>Būtiski pieauguši ieņēmumi no īpašuma ienākuma</w:t>
      </w:r>
      <w:r w:rsidRPr="00F16A36">
        <w:rPr>
          <w:rFonts w:eastAsia="Calibri"/>
          <w:noProof/>
          <w:sz w:val="24"/>
          <w:szCs w:val="24"/>
        </w:rPr>
        <w:t xml:space="preserve"> (D.4)</w:t>
      </w:r>
      <w:r>
        <w:rPr>
          <w:rFonts w:eastAsia="Calibri"/>
          <w:noProof/>
          <w:sz w:val="24"/>
          <w:szCs w:val="24"/>
        </w:rPr>
        <w:t xml:space="preserve">, kas </w:t>
      </w:r>
      <w:r w:rsidRPr="00F16A36">
        <w:rPr>
          <w:rFonts w:eastAsia="Calibri"/>
          <w:noProof/>
          <w:sz w:val="24"/>
          <w:szCs w:val="24"/>
        </w:rPr>
        <w:t>20</w:t>
      </w:r>
      <w:r>
        <w:rPr>
          <w:rFonts w:eastAsia="Calibri"/>
          <w:noProof/>
          <w:sz w:val="24"/>
          <w:szCs w:val="24"/>
        </w:rPr>
        <w:t>23</w:t>
      </w:r>
      <w:r w:rsidRPr="00F16A36">
        <w:rPr>
          <w:rFonts w:eastAsia="Calibri"/>
          <w:noProof/>
          <w:sz w:val="24"/>
          <w:szCs w:val="24"/>
        </w:rPr>
        <w:t>.</w:t>
      </w:r>
      <w:r>
        <w:rPr>
          <w:rFonts w:eastAsia="Calibri"/>
          <w:noProof/>
          <w:sz w:val="24"/>
          <w:szCs w:val="24"/>
        </w:rPr>
        <w:t> </w:t>
      </w:r>
      <w:r w:rsidRPr="00F16A36">
        <w:rPr>
          <w:rFonts w:eastAsia="Calibri"/>
          <w:noProof/>
          <w:sz w:val="24"/>
          <w:szCs w:val="24"/>
        </w:rPr>
        <w:t>gad</w:t>
      </w:r>
      <w:r>
        <w:rPr>
          <w:rFonts w:eastAsia="Calibri"/>
          <w:noProof/>
          <w:sz w:val="24"/>
          <w:szCs w:val="24"/>
        </w:rPr>
        <w:t>ā 557,9 milj. </w:t>
      </w:r>
      <w:r w:rsidRPr="0029065F">
        <w:rPr>
          <w:rFonts w:eastAsia="Calibri"/>
          <w:i/>
          <w:iCs/>
          <w:noProof/>
          <w:sz w:val="24"/>
          <w:szCs w:val="24"/>
        </w:rPr>
        <w:t>euro</w:t>
      </w:r>
      <w:r>
        <w:rPr>
          <w:rFonts w:eastAsia="Calibri"/>
          <w:noProof/>
          <w:sz w:val="24"/>
          <w:szCs w:val="24"/>
        </w:rPr>
        <w:t xml:space="preserve"> </w:t>
      </w:r>
      <w:r w:rsidRPr="00F16A36">
        <w:rPr>
          <w:rFonts w:eastAsia="Calibri"/>
          <w:noProof/>
          <w:sz w:val="24"/>
          <w:szCs w:val="24"/>
        </w:rPr>
        <w:t xml:space="preserve"> </w:t>
      </w:r>
      <w:r>
        <w:rPr>
          <w:rFonts w:eastAsia="Calibri"/>
          <w:noProof/>
          <w:sz w:val="24"/>
          <w:szCs w:val="24"/>
        </w:rPr>
        <w:t xml:space="preserve">apmērā pieauga par </w:t>
      </w:r>
      <w:r w:rsidRPr="0029065F">
        <w:rPr>
          <w:rFonts w:eastAsia="Calibri"/>
          <w:noProof/>
          <w:sz w:val="24"/>
          <w:szCs w:val="24"/>
        </w:rPr>
        <w:t>351,4</w:t>
      </w:r>
      <w:r>
        <w:rPr>
          <w:rFonts w:eastAsia="Calibri"/>
          <w:noProof/>
          <w:sz w:val="24"/>
          <w:szCs w:val="24"/>
        </w:rPr>
        <w:t xml:space="preserve"> milj. </w:t>
      </w:r>
      <w:r w:rsidRPr="0029065F">
        <w:rPr>
          <w:rFonts w:eastAsia="Calibri"/>
          <w:i/>
          <w:iCs/>
          <w:noProof/>
          <w:sz w:val="24"/>
          <w:szCs w:val="24"/>
        </w:rPr>
        <w:t>euro</w:t>
      </w:r>
      <w:r>
        <w:rPr>
          <w:rFonts w:eastAsia="Calibri"/>
          <w:noProof/>
          <w:sz w:val="24"/>
          <w:szCs w:val="24"/>
        </w:rPr>
        <w:t xml:space="preserve"> un veidoja 1,4</w:t>
      </w:r>
      <w:r w:rsidRPr="00F16A36">
        <w:rPr>
          <w:rFonts w:eastAsia="Calibri"/>
          <w:noProof/>
          <w:sz w:val="24"/>
          <w:szCs w:val="24"/>
        </w:rPr>
        <w:t xml:space="preserve">% no IKP. </w:t>
      </w:r>
      <w:r w:rsidRPr="0029065F">
        <w:rPr>
          <w:rFonts w:eastAsia="Calibri"/>
          <w:noProof/>
          <w:sz w:val="24"/>
          <w:szCs w:val="24"/>
        </w:rPr>
        <w:t>To veicināja 2023.</w:t>
      </w:r>
      <w:r>
        <w:rPr>
          <w:rFonts w:eastAsia="Calibri"/>
          <w:noProof/>
          <w:sz w:val="24"/>
          <w:szCs w:val="24"/>
        </w:rPr>
        <w:t> </w:t>
      </w:r>
      <w:r w:rsidRPr="0029065F">
        <w:rPr>
          <w:rFonts w:eastAsia="Calibri"/>
          <w:noProof/>
          <w:sz w:val="24"/>
          <w:szCs w:val="24"/>
        </w:rPr>
        <w:t xml:space="preserve">gada pirmajā pusē veiktie valsts lielāko kapitālsabiedrību dividenžu maksājumi. </w:t>
      </w:r>
      <w:r w:rsidR="000D713B">
        <w:rPr>
          <w:rFonts w:eastAsia="Calibri"/>
          <w:noProof/>
          <w:sz w:val="24"/>
          <w:szCs w:val="24"/>
        </w:rPr>
        <w:t>Akciju sabiedrība</w:t>
      </w:r>
      <w:r w:rsidRPr="0029065F">
        <w:rPr>
          <w:rFonts w:eastAsia="Calibri"/>
          <w:noProof/>
          <w:sz w:val="24"/>
          <w:szCs w:val="24"/>
        </w:rPr>
        <w:t xml:space="preserve"> </w:t>
      </w:r>
      <w:r>
        <w:rPr>
          <w:rFonts w:eastAsia="Calibri"/>
          <w:noProof/>
          <w:sz w:val="24"/>
          <w:szCs w:val="24"/>
        </w:rPr>
        <w:t>“</w:t>
      </w:r>
      <w:r w:rsidRPr="0029065F">
        <w:rPr>
          <w:rFonts w:eastAsia="Calibri"/>
          <w:noProof/>
          <w:sz w:val="24"/>
          <w:szCs w:val="24"/>
        </w:rPr>
        <w:t>Latvenergo</w:t>
      </w:r>
      <w:r>
        <w:rPr>
          <w:rFonts w:eastAsia="Calibri"/>
          <w:noProof/>
          <w:sz w:val="24"/>
          <w:szCs w:val="24"/>
        </w:rPr>
        <w:t>”</w:t>
      </w:r>
      <w:r w:rsidRPr="0029065F">
        <w:rPr>
          <w:rFonts w:eastAsia="Calibri"/>
          <w:noProof/>
          <w:sz w:val="24"/>
          <w:szCs w:val="24"/>
        </w:rPr>
        <w:t xml:space="preserve"> 2023.</w:t>
      </w:r>
      <w:r>
        <w:rPr>
          <w:rFonts w:eastAsia="Calibri"/>
          <w:noProof/>
          <w:sz w:val="24"/>
          <w:szCs w:val="24"/>
        </w:rPr>
        <w:t> </w:t>
      </w:r>
      <w:r w:rsidRPr="0029065F">
        <w:rPr>
          <w:rFonts w:eastAsia="Calibri"/>
          <w:noProof/>
          <w:sz w:val="24"/>
          <w:szCs w:val="24"/>
        </w:rPr>
        <w:t>gada maijā dividendēs valstij izmaksāja 134</w:t>
      </w:r>
      <w:r>
        <w:rPr>
          <w:rFonts w:eastAsia="Calibri"/>
          <w:noProof/>
          <w:sz w:val="24"/>
          <w:szCs w:val="24"/>
        </w:rPr>
        <w:t> </w:t>
      </w:r>
      <w:r w:rsidRPr="0029065F">
        <w:rPr>
          <w:rFonts w:eastAsia="Calibri"/>
          <w:noProof/>
          <w:sz w:val="24"/>
          <w:szCs w:val="24"/>
        </w:rPr>
        <w:t>milj</w:t>
      </w:r>
      <w:r>
        <w:rPr>
          <w:rFonts w:eastAsia="Calibri"/>
          <w:noProof/>
          <w:sz w:val="24"/>
          <w:szCs w:val="24"/>
        </w:rPr>
        <w:t>. </w:t>
      </w:r>
      <w:r w:rsidRPr="0029065F">
        <w:rPr>
          <w:rFonts w:eastAsia="Calibri"/>
          <w:i/>
          <w:iCs/>
          <w:noProof/>
          <w:sz w:val="24"/>
          <w:szCs w:val="24"/>
        </w:rPr>
        <w:t>euro</w:t>
      </w:r>
      <w:r w:rsidRPr="0029065F">
        <w:rPr>
          <w:rFonts w:eastAsia="Calibri"/>
          <w:noProof/>
          <w:sz w:val="24"/>
          <w:szCs w:val="24"/>
        </w:rPr>
        <w:t>, kas ir par 63,8 milj</w:t>
      </w:r>
      <w:r>
        <w:rPr>
          <w:rFonts w:eastAsia="Calibri"/>
          <w:noProof/>
          <w:sz w:val="24"/>
          <w:szCs w:val="24"/>
        </w:rPr>
        <w:t>.</w:t>
      </w:r>
      <w:r w:rsidRPr="0029065F">
        <w:rPr>
          <w:rFonts w:eastAsia="Calibri"/>
          <w:noProof/>
          <w:sz w:val="24"/>
          <w:szCs w:val="24"/>
        </w:rPr>
        <w:t xml:space="preserve"> </w:t>
      </w:r>
      <w:r w:rsidRPr="006636E2">
        <w:rPr>
          <w:rFonts w:eastAsia="Calibri"/>
          <w:i/>
          <w:iCs/>
          <w:noProof/>
          <w:sz w:val="24"/>
          <w:szCs w:val="24"/>
        </w:rPr>
        <w:t>euro</w:t>
      </w:r>
      <w:r w:rsidRPr="0029065F">
        <w:rPr>
          <w:rFonts w:eastAsia="Calibri"/>
          <w:noProof/>
          <w:sz w:val="24"/>
          <w:szCs w:val="24"/>
        </w:rPr>
        <w:t xml:space="preserve"> vairāk nekā gadu iepriekš. Jāatzīmē arī 2023.</w:t>
      </w:r>
      <w:r>
        <w:rPr>
          <w:rFonts w:eastAsia="Calibri"/>
          <w:noProof/>
          <w:sz w:val="24"/>
          <w:szCs w:val="24"/>
        </w:rPr>
        <w:t> </w:t>
      </w:r>
      <w:r w:rsidRPr="0029065F">
        <w:rPr>
          <w:rFonts w:eastAsia="Calibri"/>
          <w:noProof/>
          <w:sz w:val="24"/>
          <w:szCs w:val="24"/>
        </w:rPr>
        <w:t xml:space="preserve">gada novembrī </w:t>
      </w:r>
      <w:r w:rsidR="000D713B">
        <w:rPr>
          <w:rFonts w:eastAsia="Calibri"/>
          <w:noProof/>
          <w:sz w:val="24"/>
          <w:szCs w:val="24"/>
        </w:rPr>
        <w:t>akciju sabiedrība</w:t>
      </w:r>
      <w:r w:rsidRPr="0029065F">
        <w:rPr>
          <w:rFonts w:eastAsia="Calibri"/>
          <w:noProof/>
          <w:sz w:val="24"/>
          <w:szCs w:val="24"/>
        </w:rPr>
        <w:t xml:space="preserve"> “Latvenergo” budžetā papildus iemaksātie 18,5</w:t>
      </w:r>
      <w:r>
        <w:rPr>
          <w:rFonts w:eastAsia="Calibri"/>
          <w:noProof/>
          <w:sz w:val="24"/>
          <w:szCs w:val="24"/>
        </w:rPr>
        <w:t> </w:t>
      </w:r>
      <w:r w:rsidRPr="0029065F">
        <w:rPr>
          <w:rFonts w:eastAsia="Calibri"/>
          <w:noProof/>
          <w:sz w:val="24"/>
          <w:szCs w:val="24"/>
        </w:rPr>
        <w:t>milj</w:t>
      </w:r>
      <w:r>
        <w:rPr>
          <w:rFonts w:eastAsia="Calibri"/>
          <w:noProof/>
          <w:sz w:val="24"/>
          <w:szCs w:val="24"/>
        </w:rPr>
        <w:t>.</w:t>
      </w:r>
      <w:r w:rsidRPr="0029065F">
        <w:rPr>
          <w:rFonts w:eastAsia="Calibri"/>
          <w:noProof/>
          <w:sz w:val="24"/>
          <w:szCs w:val="24"/>
        </w:rPr>
        <w:t xml:space="preserve"> </w:t>
      </w:r>
      <w:r w:rsidRPr="006636E2">
        <w:rPr>
          <w:rFonts w:eastAsia="Calibri"/>
          <w:i/>
          <w:iCs/>
          <w:noProof/>
          <w:sz w:val="24"/>
          <w:szCs w:val="24"/>
        </w:rPr>
        <w:t>euro</w:t>
      </w:r>
      <w:r w:rsidRPr="0029065F">
        <w:rPr>
          <w:rFonts w:eastAsia="Calibri"/>
          <w:noProof/>
          <w:sz w:val="24"/>
          <w:szCs w:val="24"/>
        </w:rPr>
        <w:t xml:space="preserve"> elektroenerģijas sadales tarifu samazinājuma kompensācijām. Arī </w:t>
      </w:r>
      <w:r w:rsidR="000D713B">
        <w:rPr>
          <w:rFonts w:eastAsia="Calibri"/>
          <w:noProof/>
          <w:sz w:val="24"/>
          <w:szCs w:val="24"/>
        </w:rPr>
        <w:t>akciju sabiedrība</w:t>
      </w:r>
      <w:r w:rsidRPr="0029065F">
        <w:rPr>
          <w:rFonts w:eastAsia="Calibri"/>
          <w:noProof/>
          <w:sz w:val="24"/>
          <w:szCs w:val="24"/>
        </w:rPr>
        <w:t xml:space="preserve"> “Latvijas valsts meži” 2023.</w:t>
      </w:r>
      <w:r>
        <w:rPr>
          <w:rFonts w:eastAsia="Calibri"/>
          <w:noProof/>
          <w:sz w:val="24"/>
          <w:szCs w:val="24"/>
        </w:rPr>
        <w:t> </w:t>
      </w:r>
      <w:r w:rsidRPr="0029065F">
        <w:rPr>
          <w:rFonts w:eastAsia="Calibri"/>
          <w:noProof/>
          <w:sz w:val="24"/>
          <w:szCs w:val="24"/>
        </w:rPr>
        <w:t xml:space="preserve">gada </w:t>
      </w:r>
      <w:r w:rsidRPr="0029065F">
        <w:rPr>
          <w:rFonts w:eastAsia="Calibri"/>
          <w:noProof/>
          <w:sz w:val="24"/>
          <w:szCs w:val="24"/>
        </w:rPr>
        <w:lastRenderedPageBreak/>
        <w:t>jūnijā dividendēs iemaksāja 162,5</w:t>
      </w:r>
      <w:r>
        <w:rPr>
          <w:rFonts w:eastAsia="Calibri"/>
          <w:noProof/>
          <w:sz w:val="24"/>
          <w:szCs w:val="24"/>
        </w:rPr>
        <w:t> </w:t>
      </w:r>
      <w:r w:rsidRPr="0029065F">
        <w:rPr>
          <w:rFonts w:eastAsia="Calibri"/>
          <w:noProof/>
          <w:sz w:val="24"/>
          <w:szCs w:val="24"/>
        </w:rPr>
        <w:t>milj</w:t>
      </w:r>
      <w:r>
        <w:rPr>
          <w:rFonts w:eastAsia="Calibri"/>
          <w:noProof/>
          <w:sz w:val="24"/>
          <w:szCs w:val="24"/>
        </w:rPr>
        <w:t>.</w:t>
      </w:r>
      <w:r w:rsidRPr="0029065F">
        <w:rPr>
          <w:rFonts w:eastAsia="Calibri"/>
          <w:noProof/>
          <w:sz w:val="24"/>
          <w:szCs w:val="24"/>
        </w:rPr>
        <w:t xml:space="preserve"> </w:t>
      </w:r>
      <w:r w:rsidRPr="006636E2">
        <w:rPr>
          <w:rFonts w:eastAsia="Calibri"/>
          <w:i/>
          <w:iCs/>
          <w:noProof/>
          <w:sz w:val="24"/>
          <w:szCs w:val="24"/>
        </w:rPr>
        <w:t>euro</w:t>
      </w:r>
      <w:r w:rsidRPr="0029065F">
        <w:rPr>
          <w:rFonts w:eastAsia="Calibri"/>
          <w:noProof/>
          <w:sz w:val="24"/>
          <w:szCs w:val="24"/>
        </w:rPr>
        <w:t xml:space="preserve"> jeb par 91 milj</w:t>
      </w:r>
      <w:r>
        <w:rPr>
          <w:rFonts w:eastAsia="Calibri"/>
          <w:noProof/>
          <w:sz w:val="24"/>
          <w:szCs w:val="24"/>
        </w:rPr>
        <w:t>.</w:t>
      </w:r>
      <w:r w:rsidRPr="0029065F">
        <w:rPr>
          <w:rFonts w:eastAsia="Calibri"/>
          <w:noProof/>
          <w:sz w:val="24"/>
          <w:szCs w:val="24"/>
        </w:rPr>
        <w:t xml:space="preserve"> </w:t>
      </w:r>
      <w:r w:rsidRPr="006636E2">
        <w:rPr>
          <w:rFonts w:eastAsia="Calibri"/>
          <w:i/>
          <w:iCs/>
          <w:noProof/>
          <w:sz w:val="24"/>
          <w:szCs w:val="24"/>
        </w:rPr>
        <w:t>euro</w:t>
      </w:r>
      <w:r w:rsidRPr="0029065F">
        <w:rPr>
          <w:rFonts w:eastAsia="Calibri"/>
          <w:noProof/>
          <w:sz w:val="24"/>
          <w:szCs w:val="24"/>
        </w:rPr>
        <w:t xml:space="preserve"> vairāk nekā </w:t>
      </w:r>
      <w:r>
        <w:rPr>
          <w:rFonts w:eastAsia="Calibri"/>
          <w:noProof/>
          <w:sz w:val="24"/>
          <w:szCs w:val="24"/>
        </w:rPr>
        <w:t>2022. gadā</w:t>
      </w:r>
      <w:r w:rsidRPr="0029065F">
        <w:rPr>
          <w:rFonts w:eastAsia="Calibri"/>
          <w:noProof/>
          <w:sz w:val="24"/>
          <w:szCs w:val="24"/>
        </w:rPr>
        <w:t>.</w:t>
      </w:r>
      <w:r w:rsidRPr="006636E2">
        <w:rPr>
          <w:noProof/>
        </w:rPr>
        <w:t xml:space="preserve"> </w:t>
      </w:r>
      <w:r w:rsidRPr="006636E2">
        <w:rPr>
          <w:rFonts w:eastAsia="Calibri"/>
          <w:noProof/>
          <w:sz w:val="24"/>
          <w:szCs w:val="24"/>
        </w:rPr>
        <w:t>Valsts nodevās 2023.</w:t>
      </w:r>
      <w:r>
        <w:rPr>
          <w:rFonts w:eastAsia="Calibri"/>
          <w:noProof/>
          <w:sz w:val="24"/>
          <w:szCs w:val="24"/>
        </w:rPr>
        <w:t> </w:t>
      </w:r>
      <w:r w:rsidRPr="006636E2">
        <w:rPr>
          <w:rFonts w:eastAsia="Calibri"/>
          <w:noProof/>
          <w:sz w:val="24"/>
          <w:szCs w:val="24"/>
        </w:rPr>
        <w:t>gadā iekasēts par 48,8 milj</w:t>
      </w:r>
      <w:r>
        <w:rPr>
          <w:rFonts w:eastAsia="Calibri"/>
          <w:noProof/>
          <w:sz w:val="24"/>
          <w:szCs w:val="24"/>
        </w:rPr>
        <w:t>.</w:t>
      </w:r>
      <w:r w:rsidRPr="006636E2">
        <w:rPr>
          <w:rFonts w:eastAsia="Calibri"/>
          <w:noProof/>
          <w:sz w:val="24"/>
          <w:szCs w:val="24"/>
        </w:rPr>
        <w:t xml:space="preserve"> </w:t>
      </w:r>
      <w:r w:rsidRPr="006636E2">
        <w:rPr>
          <w:rFonts w:eastAsia="Calibri"/>
          <w:i/>
          <w:iCs/>
          <w:noProof/>
          <w:sz w:val="24"/>
          <w:szCs w:val="24"/>
        </w:rPr>
        <w:t>euro</w:t>
      </w:r>
      <w:r w:rsidRPr="006636E2">
        <w:rPr>
          <w:rFonts w:eastAsia="Calibri"/>
          <w:noProof/>
          <w:sz w:val="24"/>
          <w:szCs w:val="24"/>
        </w:rPr>
        <w:t xml:space="preserve"> jeb 29% vairāk nekā pirms gada, tostarp valsts nodeva par naftas produktu drošības rezervju uzturēšanu iekasēta par 44,4 milj</w:t>
      </w:r>
      <w:r>
        <w:rPr>
          <w:rFonts w:eastAsia="Calibri"/>
          <w:noProof/>
          <w:sz w:val="24"/>
          <w:szCs w:val="24"/>
        </w:rPr>
        <w:t>.</w:t>
      </w:r>
      <w:r w:rsidRPr="006636E2">
        <w:rPr>
          <w:rFonts w:eastAsia="Calibri"/>
          <w:noProof/>
          <w:sz w:val="24"/>
          <w:szCs w:val="24"/>
        </w:rPr>
        <w:t xml:space="preserve"> </w:t>
      </w:r>
      <w:r w:rsidRPr="006636E2">
        <w:rPr>
          <w:rFonts w:eastAsia="Calibri"/>
          <w:i/>
          <w:iCs/>
          <w:noProof/>
          <w:sz w:val="24"/>
          <w:szCs w:val="24"/>
        </w:rPr>
        <w:t>euro</w:t>
      </w:r>
      <w:r w:rsidRPr="006636E2">
        <w:rPr>
          <w:rFonts w:eastAsia="Calibri"/>
          <w:noProof/>
          <w:sz w:val="24"/>
          <w:szCs w:val="24"/>
        </w:rPr>
        <w:t xml:space="preserve"> lielākā apmērā nekā</w:t>
      </w:r>
      <w:r w:rsidRPr="006636E2">
        <w:rPr>
          <w:rFonts w:eastAsia="Calibri"/>
          <w:sz w:val="24"/>
          <w:szCs w:val="24"/>
        </w:rPr>
        <w:t xml:space="preserve"> </w:t>
      </w:r>
      <w:r>
        <w:rPr>
          <w:rFonts w:eastAsia="Calibri"/>
          <w:sz w:val="24"/>
          <w:szCs w:val="24"/>
        </w:rPr>
        <w:t>2022. gadā</w:t>
      </w:r>
      <w:r w:rsidRPr="006636E2">
        <w:rPr>
          <w:rFonts w:eastAsia="Calibri"/>
          <w:sz w:val="24"/>
          <w:szCs w:val="24"/>
        </w:rPr>
        <w:t>. Savukārt, procentu ieņēmumi no depozītiem un kontu atlikumiem 2023.</w:t>
      </w:r>
      <w:r>
        <w:rPr>
          <w:rFonts w:eastAsia="Calibri"/>
          <w:sz w:val="24"/>
          <w:szCs w:val="24"/>
        </w:rPr>
        <w:t> </w:t>
      </w:r>
      <w:r w:rsidRPr="006636E2">
        <w:rPr>
          <w:rFonts w:eastAsia="Calibri"/>
          <w:sz w:val="24"/>
          <w:szCs w:val="24"/>
        </w:rPr>
        <w:t>gadā pieauguši par 62,7 milj</w:t>
      </w:r>
      <w:r>
        <w:rPr>
          <w:rFonts w:eastAsia="Calibri"/>
          <w:sz w:val="24"/>
          <w:szCs w:val="24"/>
        </w:rPr>
        <w:t>.</w:t>
      </w:r>
      <w:r w:rsidRPr="006636E2">
        <w:rPr>
          <w:rFonts w:eastAsia="Calibri"/>
          <w:sz w:val="24"/>
          <w:szCs w:val="24"/>
        </w:rPr>
        <w:t xml:space="preserve"> </w:t>
      </w:r>
      <w:r w:rsidRPr="006636E2">
        <w:rPr>
          <w:rFonts w:eastAsia="Calibri"/>
          <w:i/>
          <w:iCs/>
          <w:noProof/>
          <w:sz w:val="24"/>
          <w:szCs w:val="24"/>
        </w:rPr>
        <w:t>euro</w:t>
      </w:r>
      <w:r w:rsidRPr="006636E2">
        <w:rPr>
          <w:rFonts w:eastAsia="Calibri"/>
          <w:noProof/>
          <w:sz w:val="24"/>
          <w:szCs w:val="24"/>
        </w:rPr>
        <w:t xml:space="preserve">, kas saistāms ar </w:t>
      </w:r>
      <w:r w:rsidR="00E17156">
        <w:rPr>
          <w:rFonts w:eastAsia="Calibri"/>
          <w:noProof/>
          <w:sz w:val="24"/>
          <w:szCs w:val="24"/>
        </w:rPr>
        <w:t>ECB</w:t>
      </w:r>
      <w:r w:rsidRPr="006636E2">
        <w:rPr>
          <w:rFonts w:eastAsia="Calibri"/>
          <w:noProof/>
          <w:sz w:val="24"/>
          <w:szCs w:val="24"/>
        </w:rPr>
        <w:t xml:space="preserve"> īstenoto monetāro politiku inflācijas ierobežošanai. Tās rezultātā sākot ar 2022. gada 21. jūliju tika veikta procentu likmju vairākkārtēja paaugstināšana.</w:t>
      </w:r>
    </w:p>
    <w:p w14:paraId="4D5E0BF6" w14:textId="1C56794B" w:rsidR="00FF2041" w:rsidRDefault="00FF2041" w:rsidP="00BA387D">
      <w:pPr>
        <w:rPr>
          <w:rFonts w:eastAsia="Times New Roman" w:cs="Times New Roman"/>
          <w:noProof/>
          <w:sz w:val="24"/>
          <w:szCs w:val="24"/>
          <w:lang w:eastAsia="lv-LV"/>
        </w:rPr>
      </w:pPr>
      <w:r>
        <w:rPr>
          <w:rFonts w:eastAsia="Times New Roman" w:cs="Times New Roman"/>
          <w:noProof/>
          <w:sz w:val="24"/>
          <w:szCs w:val="24"/>
          <w:lang w:eastAsia="lv-LV"/>
        </w:rPr>
        <w:t>2024. </w:t>
      </w:r>
      <w:r w:rsidRPr="00D24261">
        <w:rPr>
          <w:rFonts w:eastAsia="Times New Roman" w:cs="Times New Roman"/>
          <w:noProof/>
          <w:sz w:val="24"/>
          <w:szCs w:val="24"/>
          <w:lang w:eastAsia="lv-LV"/>
        </w:rPr>
        <w:t xml:space="preserve">gada pirmajos divos mēnešos konsolidētā kopbudžeta ieņēmumi </w:t>
      </w:r>
      <w:r>
        <w:rPr>
          <w:rFonts w:eastAsia="Times New Roman" w:cs="Times New Roman"/>
          <w:noProof/>
          <w:sz w:val="24"/>
          <w:szCs w:val="24"/>
          <w:lang w:eastAsia="lv-LV"/>
        </w:rPr>
        <w:t xml:space="preserve">(atbilstoši naudas plūsmas metodoloģijai) </w:t>
      </w:r>
      <w:r w:rsidRPr="00D24261">
        <w:rPr>
          <w:rFonts w:eastAsia="Times New Roman" w:cs="Times New Roman"/>
          <w:noProof/>
          <w:sz w:val="24"/>
          <w:szCs w:val="24"/>
          <w:lang w:eastAsia="lv-LV"/>
        </w:rPr>
        <w:t xml:space="preserve">bija par </w:t>
      </w:r>
      <w:r w:rsidRPr="00C6019E">
        <w:rPr>
          <w:rFonts w:eastAsia="Times New Roman" w:cs="Times New Roman"/>
          <w:noProof/>
          <w:sz w:val="24"/>
          <w:szCs w:val="24"/>
          <w:lang w:eastAsia="lv-LV"/>
        </w:rPr>
        <w:t xml:space="preserve">269,8 </w:t>
      </w:r>
      <w:r>
        <w:rPr>
          <w:rFonts w:eastAsia="Times New Roman" w:cs="Times New Roman"/>
          <w:noProof/>
          <w:sz w:val="24"/>
          <w:szCs w:val="24"/>
          <w:lang w:eastAsia="lv-LV"/>
        </w:rPr>
        <w:t xml:space="preserve"> </w:t>
      </w:r>
      <w:r w:rsidRPr="00E95E3C">
        <w:rPr>
          <w:rFonts w:eastAsia="Times New Roman" w:cs="Times New Roman"/>
          <w:noProof/>
          <w:sz w:val="24"/>
          <w:szCs w:val="24"/>
          <w:lang w:eastAsia="lv-LV"/>
        </w:rPr>
        <w:t xml:space="preserve">milj. </w:t>
      </w:r>
      <w:r w:rsidRPr="00E95E3C">
        <w:rPr>
          <w:rFonts w:eastAsia="Times New Roman" w:cs="Times New Roman"/>
          <w:i/>
          <w:iCs/>
          <w:noProof/>
          <w:sz w:val="24"/>
          <w:szCs w:val="24"/>
          <w:lang w:eastAsia="lv-LV"/>
        </w:rPr>
        <w:t>euro</w:t>
      </w:r>
      <w:r w:rsidRPr="00E95E3C">
        <w:rPr>
          <w:rFonts w:eastAsia="Times New Roman" w:cs="Times New Roman"/>
          <w:noProof/>
          <w:sz w:val="24"/>
          <w:szCs w:val="24"/>
          <w:lang w:eastAsia="lv-LV"/>
        </w:rPr>
        <w:t xml:space="preserve"> jeb 10,</w:t>
      </w:r>
      <w:r>
        <w:rPr>
          <w:rFonts w:eastAsia="Times New Roman" w:cs="Times New Roman"/>
          <w:noProof/>
          <w:sz w:val="24"/>
          <w:szCs w:val="24"/>
          <w:lang w:eastAsia="lv-LV"/>
        </w:rPr>
        <w:t>2</w:t>
      </w:r>
      <w:r w:rsidRPr="00E95E3C">
        <w:rPr>
          <w:rFonts w:eastAsia="Times New Roman" w:cs="Times New Roman"/>
          <w:noProof/>
          <w:sz w:val="24"/>
          <w:szCs w:val="24"/>
          <w:lang w:eastAsia="lv-LV"/>
        </w:rPr>
        <w:t>% augstāki kā pērn attiecīgajā periodā, veidojot 2,</w:t>
      </w:r>
      <w:r>
        <w:rPr>
          <w:rFonts w:eastAsia="Times New Roman" w:cs="Times New Roman"/>
          <w:noProof/>
          <w:sz w:val="24"/>
          <w:szCs w:val="24"/>
          <w:lang w:eastAsia="lv-LV"/>
        </w:rPr>
        <w:t>9</w:t>
      </w:r>
      <w:r w:rsidRPr="00E95E3C">
        <w:rPr>
          <w:rFonts w:eastAsia="Times New Roman" w:cs="Times New Roman"/>
          <w:noProof/>
          <w:sz w:val="24"/>
          <w:szCs w:val="24"/>
          <w:lang w:eastAsia="lv-LV"/>
        </w:rPr>
        <w:t xml:space="preserve"> mljrd. </w:t>
      </w:r>
      <w:r w:rsidRPr="00E95E3C">
        <w:rPr>
          <w:rFonts w:eastAsia="Times New Roman" w:cs="Times New Roman"/>
          <w:i/>
          <w:iCs/>
          <w:noProof/>
          <w:sz w:val="24"/>
          <w:szCs w:val="24"/>
          <w:lang w:eastAsia="lv-LV"/>
        </w:rPr>
        <w:t>euro</w:t>
      </w:r>
      <w:r w:rsidRPr="00E95E3C">
        <w:rPr>
          <w:rFonts w:eastAsia="Times New Roman" w:cs="Times New Roman"/>
          <w:noProof/>
          <w:sz w:val="24"/>
          <w:szCs w:val="24"/>
          <w:lang w:eastAsia="lv-LV"/>
        </w:rPr>
        <w:t xml:space="preserve">. </w:t>
      </w:r>
      <w:r>
        <w:rPr>
          <w:rFonts w:eastAsia="Times New Roman" w:cs="Times New Roman"/>
          <w:noProof/>
          <w:sz w:val="24"/>
          <w:szCs w:val="24"/>
          <w:lang w:eastAsia="lv-LV"/>
        </w:rPr>
        <w:t>Kopbudžeta i</w:t>
      </w:r>
      <w:r w:rsidRPr="00C6019E">
        <w:rPr>
          <w:rFonts w:eastAsia="Times New Roman" w:cs="Times New Roman"/>
          <w:noProof/>
          <w:sz w:val="24"/>
          <w:szCs w:val="24"/>
          <w:lang w:eastAsia="lv-LV"/>
        </w:rPr>
        <w:t xml:space="preserve">eņēmumu kāpumu pamatā skaidro saņemtie </w:t>
      </w:r>
      <w:r>
        <w:rPr>
          <w:rFonts w:eastAsia="Times New Roman" w:cs="Times New Roman"/>
          <w:noProof/>
          <w:sz w:val="24"/>
          <w:szCs w:val="24"/>
          <w:lang w:eastAsia="lv-LV"/>
        </w:rPr>
        <w:t>ārvalstu finanšu palīdzības (</w:t>
      </w:r>
      <w:r w:rsidRPr="00C6019E">
        <w:rPr>
          <w:rFonts w:eastAsia="Times New Roman" w:cs="Times New Roman"/>
          <w:noProof/>
          <w:sz w:val="24"/>
          <w:szCs w:val="24"/>
          <w:lang w:eastAsia="lv-LV"/>
        </w:rPr>
        <w:t>ĀFP</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ieņēmumi par īstenotajiem ES fondu projektiem, kas šogad  saņemti būtiski augstākā apmērā (par 155,1 milj</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 xml:space="preserve"> vairāk</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nekā gadu iepriekš. Tāpat ieņēmumu pieaugumu nodrošināja nenodokļu ieņēmumi, kas kopbudžetā 2024.</w:t>
      </w:r>
      <w:r>
        <w:rPr>
          <w:rFonts w:eastAsia="Times New Roman" w:cs="Times New Roman"/>
          <w:noProof/>
          <w:sz w:val="24"/>
          <w:szCs w:val="24"/>
          <w:lang w:eastAsia="lv-LV"/>
        </w:rPr>
        <w:t> </w:t>
      </w:r>
      <w:r w:rsidRPr="00C6019E">
        <w:rPr>
          <w:rFonts w:eastAsia="Times New Roman" w:cs="Times New Roman"/>
          <w:noProof/>
          <w:sz w:val="24"/>
          <w:szCs w:val="24"/>
          <w:lang w:eastAsia="lv-LV"/>
        </w:rPr>
        <w:t>gada divos mēnešos iekasēti 154,6 milj</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 xml:space="preserve"> apmērā, t.i., par 52,3 milj</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 xml:space="preserve"> jeb 51,1% vairāk nekā gadu iepriekš. Ieņēmumu kāpums pamatā skaidrojams ar </w:t>
      </w:r>
      <w:r w:rsidR="00CF6C5C">
        <w:rPr>
          <w:rFonts w:eastAsia="Times New Roman" w:cs="Times New Roman"/>
          <w:noProof/>
          <w:sz w:val="24"/>
          <w:szCs w:val="24"/>
          <w:lang w:eastAsia="lv-LV"/>
        </w:rPr>
        <w:t>2024.</w:t>
      </w:r>
      <w:r w:rsidRPr="00C6019E">
        <w:rPr>
          <w:rFonts w:eastAsia="Times New Roman" w:cs="Times New Roman"/>
          <w:noProof/>
          <w:sz w:val="24"/>
          <w:szCs w:val="24"/>
          <w:lang w:eastAsia="lv-LV"/>
        </w:rPr>
        <w:t xml:space="preserve"> gada janvārī komercbanku iemaks</w:t>
      </w:r>
      <w:r w:rsidR="00CF6C5C">
        <w:rPr>
          <w:rFonts w:eastAsia="Times New Roman" w:cs="Times New Roman"/>
          <w:noProof/>
          <w:sz w:val="24"/>
          <w:szCs w:val="24"/>
          <w:lang w:eastAsia="lv-LV"/>
        </w:rPr>
        <w:t>āto</w:t>
      </w:r>
      <w:r w:rsidRPr="00C6019E">
        <w:rPr>
          <w:rFonts w:eastAsia="Times New Roman" w:cs="Times New Roman"/>
          <w:noProof/>
          <w:sz w:val="24"/>
          <w:szCs w:val="24"/>
          <w:lang w:eastAsia="lv-LV"/>
        </w:rPr>
        <w:t xml:space="preserve"> speciāliem mērķiem paredzēt</w:t>
      </w:r>
      <w:r w:rsidR="00CF6C5C">
        <w:rPr>
          <w:rFonts w:eastAsia="Times New Roman" w:cs="Times New Roman"/>
          <w:noProof/>
          <w:sz w:val="24"/>
          <w:szCs w:val="24"/>
          <w:lang w:eastAsia="lv-LV"/>
        </w:rPr>
        <w:t>o</w:t>
      </w:r>
      <w:r w:rsidRPr="00C6019E">
        <w:rPr>
          <w:rFonts w:eastAsia="Times New Roman" w:cs="Times New Roman"/>
          <w:noProof/>
          <w:sz w:val="24"/>
          <w:szCs w:val="24"/>
          <w:lang w:eastAsia="lv-LV"/>
        </w:rPr>
        <w:t xml:space="preserve"> valsts nodev</w:t>
      </w:r>
      <w:r w:rsidR="00CF6C5C">
        <w:rPr>
          <w:rFonts w:eastAsia="Times New Roman" w:cs="Times New Roman"/>
          <w:noProof/>
          <w:sz w:val="24"/>
          <w:szCs w:val="24"/>
          <w:lang w:eastAsia="lv-LV"/>
        </w:rPr>
        <w:t>u</w:t>
      </w:r>
      <w:r w:rsidRPr="00C6019E">
        <w:rPr>
          <w:rFonts w:eastAsia="Times New Roman" w:cs="Times New Roman"/>
          <w:noProof/>
          <w:sz w:val="24"/>
          <w:szCs w:val="24"/>
          <w:lang w:eastAsia="lv-LV"/>
        </w:rPr>
        <w:t xml:space="preserve"> 24,2 milj</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 xml:space="preserve"> apmērā, kas </w:t>
      </w:r>
      <w:r w:rsidR="00CF6C5C">
        <w:rPr>
          <w:rFonts w:eastAsia="Times New Roman" w:cs="Times New Roman"/>
          <w:noProof/>
          <w:sz w:val="24"/>
          <w:szCs w:val="24"/>
          <w:lang w:eastAsia="lv-LV"/>
        </w:rPr>
        <w:t>uz</w:t>
      </w:r>
      <w:r w:rsidRPr="00C6019E">
        <w:rPr>
          <w:rFonts w:eastAsia="Times New Roman" w:cs="Times New Roman"/>
          <w:noProof/>
          <w:sz w:val="24"/>
          <w:szCs w:val="24"/>
          <w:lang w:eastAsia="lv-LV"/>
        </w:rPr>
        <w:t>rādīsies kopbudžeta izdevumos, izmaksājot kompensācijas hipotekāro kredītu ņēmēju</w:t>
      </w:r>
      <w:r w:rsidRPr="00C6019E">
        <w:rPr>
          <w:rFonts w:eastAsia="Times New Roman" w:cs="Times New Roman"/>
          <w:sz w:val="24"/>
          <w:szCs w:val="24"/>
          <w:lang w:eastAsia="lv-LV"/>
        </w:rPr>
        <w:t xml:space="preserve"> atbalstam. Savukārt, kopbudžeta nodokļu ieņēmumi, ieskaitot atlikumu vienotajā nodokļu kontā, šā gada divos mēnešos iekasēti vien par 44,</w:t>
      </w:r>
      <w:r w:rsidRPr="00C6019E">
        <w:rPr>
          <w:rFonts w:eastAsia="Times New Roman" w:cs="Times New Roman"/>
          <w:noProof/>
          <w:sz w:val="24"/>
          <w:szCs w:val="24"/>
          <w:lang w:eastAsia="lv-LV"/>
        </w:rPr>
        <w:t>1 milj</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 xml:space="preserve"> jeb 2,1% vairāk salīdzinājumā ar 2023. gada attiecīgo periodu, veidojot 2,1 mljrd</w:t>
      </w:r>
      <w:r w:rsidR="002768B3">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w:t>
      </w:r>
      <w:r>
        <w:rPr>
          <w:rFonts w:eastAsia="Times New Roman" w:cs="Times New Roman"/>
          <w:noProof/>
          <w:sz w:val="24"/>
          <w:szCs w:val="24"/>
          <w:lang w:eastAsia="lv-LV"/>
        </w:rPr>
        <w:t xml:space="preserve"> </w:t>
      </w:r>
      <w:r w:rsidRPr="00C6019E">
        <w:rPr>
          <w:rFonts w:eastAsia="Times New Roman" w:cs="Times New Roman"/>
          <w:noProof/>
          <w:sz w:val="24"/>
          <w:szCs w:val="24"/>
          <w:lang w:eastAsia="lv-LV"/>
        </w:rPr>
        <w:t>Jāatzīmē, ka iepriekšējos gados pirmajos divos mēnešos nodokļu ieņēmumu kāpums bija ievērojami straujāks</w:t>
      </w:r>
      <w:r>
        <w:rPr>
          <w:rFonts w:eastAsia="Times New Roman" w:cs="Times New Roman"/>
          <w:noProof/>
          <w:sz w:val="24"/>
          <w:szCs w:val="24"/>
          <w:lang w:eastAsia="lv-LV"/>
        </w:rPr>
        <w:t xml:space="preserve">, būtiski kāpjot </w:t>
      </w:r>
      <w:r w:rsidRPr="00C6019E">
        <w:rPr>
          <w:rFonts w:eastAsia="Times New Roman" w:cs="Times New Roman"/>
          <w:noProof/>
          <w:sz w:val="24"/>
          <w:szCs w:val="24"/>
          <w:lang w:eastAsia="lv-LV"/>
        </w:rPr>
        <w:t>PVN ieņēmumiem. Ja 2022. gada divos mēnešos bija vērojams PVN ieņēmumu kāpums par 27,8% un 2023. gada pirmajos divos mēnešos par 25,9%, tad šogad PVN ieņēmumi iekasēti par 81,2 milj</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 xml:space="preserve"> jeb 11,8% mazāk nekā pērn, veidojot 606,7</w:t>
      </w:r>
      <w:r>
        <w:rPr>
          <w:rFonts w:eastAsia="Times New Roman" w:cs="Times New Roman"/>
          <w:noProof/>
          <w:sz w:val="24"/>
          <w:szCs w:val="24"/>
          <w:lang w:eastAsia="lv-LV"/>
        </w:rPr>
        <w:t> </w:t>
      </w:r>
      <w:r w:rsidRPr="00C6019E">
        <w:rPr>
          <w:rFonts w:eastAsia="Times New Roman" w:cs="Times New Roman"/>
          <w:noProof/>
          <w:sz w:val="24"/>
          <w:szCs w:val="24"/>
          <w:lang w:eastAsia="lv-LV"/>
        </w:rPr>
        <w:t>milj</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 Augstā inflācija un energoresursu cenas pērn gada sākumā veicināja nodokļu ieņēmumu kāpumu elektroenerģijas, gāzes apgādes un siltumapgādes nozarēs, kas gada otrajā pusē sāka samazināties</w:t>
      </w:r>
      <w:r w:rsidRPr="00C6019E">
        <w:rPr>
          <w:rFonts w:eastAsia="Times New Roman" w:cs="Times New Roman"/>
          <w:sz w:val="24"/>
          <w:szCs w:val="24"/>
          <w:lang w:eastAsia="lv-LV"/>
        </w:rPr>
        <w:t xml:space="preserve"> un ietekmēja arī šā gada PVN ieņēmumus. </w:t>
      </w:r>
      <w:r>
        <w:rPr>
          <w:rFonts w:eastAsia="Times New Roman" w:cs="Times New Roman"/>
          <w:sz w:val="24"/>
          <w:szCs w:val="24"/>
          <w:lang w:eastAsia="lv-LV"/>
        </w:rPr>
        <w:t>Jāatzīmē, ka b</w:t>
      </w:r>
      <w:r w:rsidRPr="00C6019E">
        <w:rPr>
          <w:rFonts w:eastAsia="Times New Roman" w:cs="Times New Roman"/>
          <w:sz w:val="24"/>
          <w:szCs w:val="24"/>
          <w:lang w:eastAsia="lv-LV"/>
        </w:rPr>
        <w:t xml:space="preserve">ūtisks kritums vērojams PVN ieņēmumos vairumtirdzniecības nozarē, kur mazākas iemaksas veikuši naftas produktu un degvielas, kā arī lauksaimniecības preču vairumtirgotāji. Savukārt, būvniecības nozarē </w:t>
      </w:r>
      <w:r w:rsidR="00CF6C5C">
        <w:rPr>
          <w:rFonts w:eastAsia="Times New Roman" w:cs="Times New Roman"/>
          <w:sz w:val="24"/>
          <w:szCs w:val="24"/>
          <w:lang w:eastAsia="lv-LV"/>
        </w:rPr>
        <w:t>2023.</w:t>
      </w:r>
      <w:r w:rsidRPr="00C6019E">
        <w:rPr>
          <w:rFonts w:eastAsia="Times New Roman" w:cs="Times New Roman"/>
          <w:sz w:val="24"/>
          <w:szCs w:val="24"/>
          <w:lang w:eastAsia="lv-LV"/>
        </w:rPr>
        <w:t xml:space="preserve"> gada pēdējā ceturksnī bija vērojami augsti apjoma indeksi, kas sekmēja PVN ieņēmumu kritumu šā gada janvārī būtiski augstāku atmaksu dēļ nozarē. Turpretī darbaspēka nodokļu ieņēmumu pieauguma temps turpina palielināties. Atbilstoši VID datiem 2024. gada divos mēnešos darba samaksas fonds pieauga par 11,1%. </w:t>
      </w:r>
      <w:r w:rsidRPr="00C6019E">
        <w:rPr>
          <w:rFonts w:eastAsia="Times New Roman" w:cs="Times New Roman"/>
          <w:noProof/>
          <w:sz w:val="24"/>
          <w:szCs w:val="24"/>
          <w:lang w:eastAsia="lv-LV"/>
        </w:rPr>
        <w:t xml:space="preserve">Privātajā sektorā pieaugums algu fondā bijis 7,5%, kamēr sabiedriskajā sektorā 19,8%. Tādejādi sociālās iemaksas </w:t>
      </w:r>
      <w:r w:rsidR="00CF6C5C">
        <w:rPr>
          <w:rFonts w:eastAsia="Times New Roman" w:cs="Times New Roman"/>
          <w:noProof/>
          <w:sz w:val="24"/>
          <w:szCs w:val="24"/>
          <w:lang w:eastAsia="lv-LV"/>
        </w:rPr>
        <w:t>2024.</w:t>
      </w:r>
      <w:r w:rsidRPr="00C6019E">
        <w:rPr>
          <w:rFonts w:eastAsia="Times New Roman" w:cs="Times New Roman"/>
          <w:noProof/>
          <w:sz w:val="24"/>
          <w:szCs w:val="24"/>
          <w:lang w:eastAsia="lv-LV"/>
        </w:rPr>
        <w:t xml:space="preserve"> gada divos mēnešos sastādīja 749,4</w:t>
      </w:r>
      <w:r>
        <w:rPr>
          <w:rFonts w:eastAsia="Times New Roman" w:cs="Times New Roman"/>
          <w:noProof/>
          <w:sz w:val="24"/>
          <w:szCs w:val="24"/>
          <w:lang w:eastAsia="lv-LV"/>
        </w:rPr>
        <w:t> </w:t>
      </w:r>
      <w:r w:rsidRPr="00C6019E">
        <w:rPr>
          <w:rFonts w:eastAsia="Times New Roman" w:cs="Times New Roman"/>
          <w:noProof/>
          <w:sz w:val="24"/>
          <w:szCs w:val="24"/>
          <w:lang w:eastAsia="lv-LV"/>
        </w:rPr>
        <w:t>milj</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 pieaugot par 73 milj</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 xml:space="preserve"> jeb 10,8%. IIN ieņēmumi bija 511,5 milj</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 xml:space="preserve"> – par 68,1 milj</w:t>
      </w:r>
      <w:r>
        <w:rPr>
          <w:rFonts w:eastAsia="Times New Roman" w:cs="Times New Roman"/>
          <w:noProof/>
          <w:sz w:val="24"/>
          <w:szCs w:val="24"/>
          <w:lang w:eastAsia="lv-LV"/>
        </w:rPr>
        <w:t>.</w:t>
      </w:r>
      <w:r w:rsidRPr="00C6019E">
        <w:rPr>
          <w:rFonts w:eastAsia="Times New Roman" w:cs="Times New Roman"/>
          <w:noProof/>
          <w:sz w:val="24"/>
          <w:szCs w:val="24"/>
          <w:lang w:eastAsia="lv-LV"/>
        </w:rPr>
        <w:t xml:space="preserve"> </w:t>
      </w:r>
      <w:r w:rsidRPr="001029CF">
        <w:rPr>
          <w:rFonts w:eastAsia="Times New Roman" w:cs="Times New Roman"/>
          <w:i/>
          <w:iCs/>
          <w:noProof/>
          <w:sz w:val="24"/>
          <w:szCs w:val="24"/>
          <w:lang w:eastAsia="lv-LV"/>
        </w:rPr>
        <w:t>euro</w:t>
      </w:r>
      <w:r w:rsidRPr="00C6019E">
        <w:rPr>
          <w:rFonts w:eastAsia="Times New Roman" w:cs="Times New Roman"/>
          <w:noProof/>
          <w:sz w:val="24"/>
          <w:szCs w:val="24"/>
          <w:lang w:eastAsia="lv-LV"/>
        </w:rPr>
        <w:t xml:space="preserve"> jeb 15,3% augstāki nekā gadu iepriekš. IIN ieņēmumi janvārī-februārī pieauguši straujāk nekā ieņēmumi no sociālajām iemaksām, ko ietekmē IIN likmes progresivitāte un diferencētais neapliekamais minimums, kas pie augstāka darba samaksas līmeņa samazinās, tādējādi ar IIN apliekamai ienākumu bāzei kļūstot lielākai.</w:t>
      </w:r>
    </w:p>
    <w:p w14:paraId="2BFDBE26" w14:textId="77777777" w:rsidR="00FF2041" w:rsidRDefault="00FF2041" w:rsidP="00FF2041">
      <w:pPr>
        <w:spacing w:before="120" w:after="120"/>
        <w:rPr>
          <w:rFonts w:eastAsia="Calibri"/>
        </w:rPr>
        <w:sectPr w:rsidR="00FF2041" w:rsidSect="00162345">
          <w:type w:val="continuous"/>
          <w:pgSz w:w="11906" w:h="16838"/>
          <w:pgMar w:top="1418" w:right="1134" w:bottom="568" w:left="1701" w:header="1417" w:footer="1134" w:gutter="0"/>
          <w:cols w:space="709"/>
          <w:titlePg/>
          <w:docGrid w:linePitch="360"/>
        </w:sectPr>
      </w:pPr>
      <w:r>
        <w:rPr>
          <w:noProof/>
        </w:rPr>
        <w:lastRenderedPageBreak/>
        <w:drawing>
          <wp:anchor distT="0" distB="0" distL="114300" distR="114300" simplePos="0" relativeHeight="251705344" behindDoc="0" locked="0" layoutInCell="1" allowOverlap="1" wp14:anchorId="7287286C" wp14:editId="4626BACF">
            <wp:simplePos x="0" y="0"/>
            <wp:positionH relativeFrom="margin">
              <wp:posOffset>-635</wp:posOffset>
            </wp:positionH>
            <wp:positionV relativeFrom="paragraph">
              <wp:posOffset>217170</wp:posOffset>
            </wp:positionV>
            <wp:extent cx="2971800" cy="2874645"/>
            <wp:effectExtent l="0" t="0" r="0" b="1905"/>
            <wp:wrapSquare wrapText="bothSides"/>
            <wp:docPr id="1175386360" name="Picture 2" descr="A graph of numbers and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86360" name="Picture 2" descr="A graph of numbers and a bar chart&#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71800" cy="287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0" locked="0" layoutInCell="1" allowOverlap="1" wp14:anchorId="56D96F8A" wp14:editId="6E98E0E3">
            <wp:simplePos x="0" y="0"/>
            <wp:positionH relativeFrom="column">
              <wp:posOffset>3015615</wp:posOffset>
            </wp:positionH>
            <wp:positionV relativeFrom="paragraph">
              <wp:posOffset>177165</wp:posOffset>
            </wp:positionV>
            <wp:extent cx="2882900" cy="2911475"/>
            <wp:effectExtent l="0" t="0" r="0" b="3175"/>
            <wp:wrapSquare wrapText="bothSides"/>
            <wp:docPr id="1697232644" name="Picture 1" descr="A graph of numbers and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32644" name="Picture 1" descr="A graph of numbers and colored bars&#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2900" cy="291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749338" w14:textId="480C0E82" w:rsidR="00FF2041" w:rsidRPr="004576B5" w:rsidRDefault="00FF2041" w:rsidP="00FF2041">
      <w:pPr>
        <w:pStyle w:val="teksts"/>
        <w:spacing w:after="0"/>
        <w:jc w:val="center"/>
        <w:rPr>
          <w:rFonts w:ascii="Times New Roman" w:hAnsi="Times New Roman"/>
          <w:b/>
          <w:i/>
          <w:iCs/>
          <w:szCs w:val="24"/>
        </w:rPr>
      </w:pPr>
      <w:r w:rsidRPr="004576B5">
        <w:rPr>
          <w:rFonts w:ascii="Times New Roman" w:eastAsia="Calibri" w:hAnsi="Times New Roman"/>
          <w:b/>
          <w:i/>
          <w:iCs/>
          <w:szCs w:val="24"/>
        </w:rPr>
        <w:t>3.3. att. Vispārējās valdības ieņēmumu struktūra, % no IKP</w:t>
      </w:r>
      <w:r w:rsidRPr="004576B5">
        <w:rPr>
          <w:rFonts w:ascii="Times New Roman" w:eastAsia="Calibri" w:hAnsi="Times New Roman"/>
          <w:b/>
          <w:i/>
          <w:iCs/>
          <w:szCs w:val="24"/>
        </w:rPr>
        <w:br/>
        <w:t xml:space="preserve">(Datu </w:t>
      </w:r>
      <w:r w:rsidRPr="004576B5">
        <w:rPr>
          <w:rFonts w:ascii="Times New Roman" w:eastAsia="Calibri" w:hAnsi="Times New Roman"/>
          <w:b/>
          <w:i/>
          <w:iCs/>
          <w:noProof/>
          <w:szCs w:val="24"/>
        </w:rPr>
        <w:t>avots: Eurostat, FM</w:t>
      </w:r>
      <w:r w:rsidRPr="004576B5">
        <w:rPr>
          <w:rFonts w:ascii="Times New Roman" w:eastAsia="Calibri" w:hAnsi="Times New Roman"/>
          <w:b/>
          <w:i/>
          <w:iCs/>
          <w:szCs w:val="24"/>
        </w:rPr>
        <w:t>)</w:t>
      </w:r>
    </w:p>
    <w:p w14:paraId="534095E6" w14:textId="1932AC63" w:rsidR="00FF2041" w:rsidRPr="004576B5" w:rsidRDefault="00FF2041" w:rsidP="00FF2041">
      <w:pPr>
        <w:pStyle w:val="teksts"/>
        <w:spacing w:after="0"/>
        <w:jc w:val="center"/>
        <w:rPr>
          <w:rFonts w:ascii="Times New Roman" w:eastAsia="Calibri" w:hAnsi="Times New Roman"/>
          <w:b/>
          <w:i/>
          <w:iCs/>
          <w:szCs w:val="24"/>
        </w:rPr>
        <w:sectPr w:rsidR="00FF2041" w:rsidRPr="004576B5" w:rsidSect="00162345">
          <w:type w:val="continuous"/>
          <w:pgSz w:w="11906" w:h="16838"/>
          <w:pgMar w:top="1418" w:right="1134" w:bottom="568" w:left="1701" w:header="1417" w:footer="1134" w:gutter="0"/>
          <w:cols w:num="2" w:space="709"/>
          <w:titlePg/>
          <w:docGrid w:linePitch="360"/>
        </w:sectPr>
      </w:pPr>
      <w:r w:rsidRPr="004576B5">
        <w:rPr>
          <w:rFonts w:ascii="Times New Roman" w:eastAsia="Calibri" w:hAnsi="Times New Roman"/>
          <w:b/>
          <w:i/>
          <w:iCs/>
          <w:szCs w:val="24"/>
        </w:rPr>
        <w:t>3.4. att. Vispārējās valdības izdevumu struktūra, % no IKP</w:t>
      </w:r>
      <w:r w:rsidRPr="004576B5">
        <w:rPr>
          <w:rFonts w:ascii="Times New Roman" w:eastAsia="Calibri" w:hAnsi="Times New Roman"/>
          <w:b/>
          <w:i/>
          <w:iCs/>
          <w:szCs w:val="24"/>
        </w:rPr>
        <w:br/>
        <w:t xml:space="preserve">(Datu </w:t>
      </w:r>
      <w:r w:rsidRPr="004576B5">
        <w:rPr>
          <w:rFonts w:ascii="Times New Roman" w:eastAsia="Calibri" w:hAnsi="Times New Roman"/>
          <w:b/>
          <w:i/>
          <w:iCs/>
          <w:noProof/>
          <w:szCs w:val="24"/>
        </w:rPr>
        <w:t>avots: Eurostat, FM</w:t>
      </w:r>
      <w:r w:rsidRPr="004576B5">
        <w:rPr>
          <w:rFonts w:ascii="Times New Roman" w:eastAsia="Calibri" w:hAnsi="Times New Roman"/>
          <w:b/>
          <w:i/>
          <w:iCs/>
          <w:szCs w:val="24"/>
        </w:rPr>
        <w:t>)</w:t>
      </w:r>
    </w:p>
    <w:p w14:paraId="6FC36820" w14:textId="77777777" w:rsidR="00FF2041" w:rsidRPr="00385D64" w:rsidRDefault="00FF2041" w:rsidP="00FF2041">
      <w:pPr>
        <w:pStyle w:val="teksts"/>
        <w:spacing w:after="0"/>
        <w:jc w:val="center"/>
        <w:rPr>
          <w:rFonts w:ascii="Times New Roman" w:hAnsi="Times New Roman"/>
          <w:b/>
          <w:szCs w:val="24"/>
        </w:rPr>
        <w:sectPr w:rsidR="00FF2041" w:rsidRPr="00385D64" w:rsidSect="00162345">
          <w:type w:val="continuous"/>
          <w:pgSz w:w="11906" w:h="16838"/>
          <w:pgMar w:top="1418" w:right="1134" w:bottom="568" w:left="1701" w:header="1417" w:footer="1134" w:gutter="0"/>
          <w:cols w:space="709"/>
          <w:titlePg/>
          <w:docGrid w:linePitch="360"/>
        </w:sectPr>
      </w:pPr>
    </w:p>
    <w:p w14:paraId="367E9015" w14:textId="6FD15EBA" w:rsidR="00FF2041" w:rsidRDefault="00FF2041" w:rsidP="00BA387D">
      <w:pPr>
        <w:pStyle w:val="teksts"/>
        <w:spacing w:after="0"/>
        <w:ind w:firstLine="720"/>
        <w:rPr>
          <w:rFonts w:ascii="Times New Roman" w:hAnsi="Times New Roman"/>
          <w:szCs w:val="24"/>
          <w:highlight w:val="white"/>
        </w:rPr>
      </w:pPr>
      <w:r w:rsidRPr="00F42440">
        <w:rPr>
          <w:rFonts w:ascii="Times New Roman" w:hAnsi="Times New Roman"/>
          <w:szCs w:val="24"/>
          <w:highlight w:val="white"/>
        </w:rPr>
        <w:t xml:space="preserve">Vispārējās </w:t>
      </w:r>
      <w:r w:rsidRPr="00F42440">
        <w:rPr>
          <w:rFonts w:ascii="Times New Roman" w:hAnsi="Times New Roman"/>
          <w:noProof/>
          <w:szCs w:val="24"/>
          <w:highlight w:val="white"/>
        </w:rPr>
        <w:t xml:space="preserve">valdības budžeta izdevumi </w:t>
      </w:r>
      <w:r>
        <w:rPr>
          <w:rFonts w:ascii="Times New Roman" w:hAnsi="Times New Roman"/>
          <w:noProof/>
          <w:szCs w:val="24"/>
          <w:highlight w:val="white"/>
        </w:rPr>
        <w:t xml:space="preserve">2023. gadā </w:t>
      </w:r>
      <w:r w:rsidRPr="00F42440">
        <w:rPr>
          <w:rFonts w:ascii="Times New Roman" w:hAnsi="Times New Roman"/>
          <w:noProof/>
          <w:szCs w:val="24"/>
          <w:highlight w:val="white"/>
        </w:rPr>
        <w:t xml:space="preserve">pieauga par </w:t>
      </w:r>
      <w:r w:rsidRPr="006636E2">
        <w:rPr>
          <w:rFonts w:ascii="Times New Roman" w:hAnsi="Times New Roman"/>
          <w:noProof/>
          <w:szCs w:val="24"/>
        </w:rPr>
        <w:t>1</w:t>
      </w:r>
      <w:r>
        <w:rPr>
          <w:rFonts w:ascii="Times New Roman" w:hAnsi="Times New Roman"/>
          <w:noProof/>
          <w:szCs w:val="24"/>
        </w:rPr>
        <w:t> </w:t>
      </w:r>
      <w:r w:rsidRPr="006636E2">
        <w:rPr>
          <w:rFonts w:ascii="Times New Roman" w:hAnsi="Times New Roman"/>
          <w:noProof/>
          <w:szCs w:val="24"/>
        </w:rPr>
        <w:t xml:space="preserve">148,7 </w:t>
      </w:r>
      <w:r>
        <w:rPr>
          <w:rFonts w:ascii="Times New Roman" w:hAnsi="Times New Roman"/>
          <w:noProof/>
          <w:szCs w:val="24"/>
          <w:highlight w:val="white"/>
        </w:rPr>
        <w:t>milj.</w:t>
      </w:r>
      <w:r w:rsidRPr="00F42440">
        <w:rPr>
          <w:rFonts w:ascii="Times New Roman" w:hAnsi="Times New Roman"/>
          <w:noProof/>
          <w:szCs w:val="24"/>
          <w:highlight w:val="white"/>
        </w:rPr>
        <w:t xml:space="preserve"> </w:t>
      </w:r>
      <w:r w:rsidRPr="00F42440">
        <w:rPr>
          <w:rFonts w:ascii="Times New Roman" w:eastAsia="Calibri" w:hAnsi="Times New Roman"/>
          <w:i/>
          <w:noProof/>
          <w:szCs w:val="24"/>
        </w:rPr>
        <w:t>euro</w:t>
      </w:r>
      <w:r w:rsidRPr="00F42440">
        <w:rPr>
          <w:rFonts w:ascii="Times New Roman" w:hAnsi="Times New Roman"/>
          <w:noProof/>
          <w:szCs w:val="24"/>
          <w:highlight w:val="white"/>
        </w:rPr>
        <w:t xml:space="preserve"> jeb </w:t>
      </w:r>
      <w:r>
        <w:rPr>
          <w:rFonts w:ascii="Times New Roman" w:hAnsi="Times New Roman"/>
          <w:noProof/>
          <w:szCs w:val="24"/>
          <w:highlight w:val="white"/>
        </w:rPr>
        <w:t>7,3</w:t>
      </w:r>
      <w:r w:rsidRPr="00F42440">
        <w:rPr>
          <w:rFonts w:ascii="Times New Roman" w:hAnsi="Times New Roman"/>
          <w:noProof/>
          <w:szCs w:val="24"/>
          <w:highlight w:val="white"/>
        </w:rPr>
        <w:t xml:space="preserve">%, sasniedzot </w:t>
      </w:r>
      <w:r>
        <w:rPr>
          <w:rFonts w:ascii="Times New Roman" w:hAnsi="Times New Roman"/>
          <w:noProof/>
          <w:szCs w:val="24"/>
          <w:highlight w:val="white"/>
        </w:rPr>
        <w:t>16,9</w:t>
      </w:r>
      <w:r w:rsidRPr="00F42440">
        <w:rPr>
          <w:rFonts w:ascii="Times New Roman" w:hAnsi="Times New Roman"/>
          <w:noProof/>
          <w:szCs w:val="24"/>
          <w:highlight w:val="white"/>
        </w:rPr>
        <w:t> m</w:t>
      </w:r>
      <w:r>
        <w:rPr>
          <w:rFonts w:ascii="Times New Roman" w:hAnsi="Times New Roman"/>
          <w:noProof/>
          <w:szCs w:val="24"/>
          <w:highlight w:val="white"/>
        </w:rPr>
        <w:t>ljrd.</w:t>
      </w:r>
      <w:r w:rsidRPr="00F42440">
        <w:rPr>
          <w:rFonts w:ascii="Times New Roman" w:hAnsi="Times New Roman"/>
          <w:noProof/>
          <w:szCs w:val="24"/>
          <w:highlight w:val="white"/>
        </w:rPr>
        <w:t xml:space="preserve"> </w:t>
      </w:r>
      <w:r w:rsidRPr="00F42440">
        <w:rPr>
          <w:rFonts w:ascii="Times New Roman" w:eastAsia="Calibri" w:hAnsi="Times New Roman"/>
          <w:i/>
          <w:noProof/>
          <w:szCs w:val="24"/>
        </w:rPr>
        <w:t>euro</w:t>
      </w:r>
      <w:r w:rsidRPr="00F42440">
        <w:rPr>
          <w:rFonts w:ascii="Times New Roman" w:hAnsi="Times New Roman"/>
          <w:noProof/>
          <w:szCs w:val="24"/>
          <w:highlight w:val="white"/>
        </w:rPr>
        <w:t xml:space="preserve"> jeb </w:t>
      </w:r>
      <w:r>
        <w:rPr>
          <w:rFonts w:ascii="Times New Roman" w:hAnsi="Times New Roman"/>
          <w:noProof/>
          <w:szCs w:val="24"/>
          <w:highlight w:val="white"/>
        </w:rPr>
        <w:t>41,8</w:t>
      </w:r>
      <w:r w:rsidRPr="00F42440">
        <w:rPr>
          <w:rFonts w:ascii="Times New Roman" w:hAnsi="Times New Roman"/>
          <w:noProof/>
          <w:szCs w:val="24"/>
          <w:highlight w:val="white"/>
        </w:rPr>
        <w:t>% no IKP</w:t>
      </w:r>
      <w:r>
        <w:rPr>
          <w:rFonts w:ascii="Times New Roman" w:hAnsi="Times New Roman"/>
          <w:noProof/>
          <w:szCs w:val="24"/>
          <w:highlight w:val="white"/>
        </w:rPr>
        <w:t xml:space="preserve"> </w:t>
      </w:r>
      <w:r w:rsidRPr="00F42440">
        <w:rPr>
          <w:rFonts w:ascii="Times New Roman" w:hAnsi="Times New Roman"/>
          <w:noProof/>
          <w:szCs w:val="24"/>
        </w:rPr>
        <w:t>(skat. 3.</w:t>
      </w:r>
      <w:r>
        <w:rPr>
          <w:rFonts w:ascii="Times New Roman" w:hAnsi="Times New Roman"/>
          <w:noProof/>
          <w:szCs w:val="24"/>
        </w:rPr>
        <w:t>4</w:t>
      </w:r>
      <w:r w:rsidRPr="00F42440">
        <w:rPr>
          <w:rFonts w:ascii="Times New Roman" w:hAnsi="Times New Roman"/>
          <w:noProof/>
          <w:szCs w:val="24"/>
        </w:rPr>
        <w:t>.</w:t>
      </w:r>
      <w:r>
        <w:rPr>
          <w:rFonts w:ascii="Times New Roman" w:hAnsi="Times New Roman"/>
          <w:noProof/>
          <w:szCs w:val="24"/>
        </w:rPr>
        <w:t> </w:t>
      </w:r>
      <w:r w:rsidRPr="00F42440">
        <w:rPr>
          <w:rFonts w:ascii="Times New Roman" w:hAnsi="Times New Roman"/>
          <w:noProof/>
          <w:szCs w:val="24"/>
        </w:rPr>
        <w:t>attēlu)</w:t>
      </w:r>
      <w:r w:rsidRPr="00F42440">
        <w:rPr>
          <w:rFonts w:ascii="Times New Roman" w:hAnsi="Times New Roman"/>
          <w:noProof/>
          <w:szCs w:val="24"/>
          <w:highlight w:val="white"/>
        </w:rPr>
        <w:t>.</w:t>
      </w:r>
      <w:r>
        <w:rPr>
          <w:rFonts w:ascii="Times New Roman" w:hAnsi="Times New Roman"/>
          <w:noProof/>
          <w:szCs w:val="24"/>
          <w:highlight w:val="white"/>
        </w:rPr>
        <w:t xml:space="preserve"> </w:t>
      </w:r>
      <w:r>
        <w:rPr>
          <w:rFonts w:ascii="Times New Roman" w:hAnsi="Times New Roman"/>
          <w:noProof/>
          <w:szCs w:val="24"/>
        </w:rPr>
        <w:t>Jāatzīmē, ka v</w:t>
      </w:r>
      <w:r w:rsidRPr="00480B48">
        <w:rPr>
          <w:rFonts w:ascii="Times New Roman" w:hAnsi="Times New Roman"/>
          <w:noProof/>
          <w:szCs w:val="24"/>
        </w:rPr>
        <w:t>ispārējās valdības budžeta i</w:t>
      </w:r>
      <w:r>
        <w:rPr>
          <w:rFonts w:ascii="Times New Roman" w:hAnsi="Times New Roman"/>
          <w:noProof/>
          <w:szCs w:val="24"/>
        </w:rPr>
        <w:t>zdevumu</w:t>
      </w:r>
      <w:r w:rsidRPr="00480B48">
        <w:rPr>
          <w:rFonts w:ascii="Times New Roman" w:hAnsi="Times New Roman"/>
          <w:noProof/>
          <w:szCs w:val="24"/>
        </w:rPr>
        <w:t xml:space="preserve"> īpatsvars </w:t>
      </w:r>
      <w:r w:rsidR="003A5220">
        <w:rPr>
          <w:rFonts w:ascii="Times New Roman" w:hAnsi="Times New Roman"/>
          <w:noProof/>
          <w:szCs w:val="24"/>
        </w:rPr>
        <w:t>IKP</w:t>
      </w:r>
      <w:r w:rsidRPr="00480B48">
        <w:rPr>
          <w:rFonts w:ascii="Times New Roman" w:hAnsi="Times New Roman"/>
          <w:noProof/>
          <w:szCs w:val="24"/>
        </w:rPr>
        <w:t xml:space="preserve"> 202</w:t>
      </w:r>
      <w:r>
        <w:rPr>
          <w:rFonts w:ascii="Times New Roman" w:hAnsi="Times New Roman"/>
          <w:noProof/>
          <w:szCs w:val="24"/>
        </w:rPr>
        <w:t>3</w:t>
      </w:r>
      <w:r w:rsidRPr="00480B48">
        <w:rPr>
          <w:rFonts w:ascii="Times New Roman" w:hAnsi="Times New Roman"/>
          <w:noProof/>
          <w:szCs w:val="24"/>
        </w:rPr>
        <w:t>.</w:t>
      </w:r>
      <w:r>
        <w:rPr>
          <w:rFonts w:ascii="Times New Roman" w:hAnsi="Times New Roman"/>
          <w:noProof/>
          <w:szCs w:val="24"/>
        </w:rPr>
        <w:t> </w:t>
      </w:r>
      <w:r w:rsidRPr="00480B48">
        <w:rPr>
          <w:rFonts w:ascii="Times New Roman" w:hAnsi="Times New Roman"/>
          <w:noProof/>
          <w:szCs w:val="24"/>
        </w:rPr>
        <w:t xml:space="preserve">gadā </w:t>
      </w:r>
      <w:r>
        <w:rPr>
          <w:rFonts w:ascii="Times New Roman" w:hAnsi="Times New Roman"/>
          <w:noProof/>
          <w:szCs w:val="24"/>
        </w:rPr>
        <w:t>palielinājās</w:t>
      </w:r>
      <w:r w:rsidRPr="00480B48">
        <w:rPr>
          <w:rFonts w:ascii="Times New Roman" w:hAnsi="Times New Roman"/>
          <w:noProof/>
          <w:szCs w:val="24"/>
        </w:rPr>
        <w:t xml:space="preserve"> par </w:t>
      </w:r>
      <w:r>
        <w:rPr>
          <w:rFonts w:ascii="Times New Roman" w:hAnsi="Times New Roman"/>
          <w:noProof/>
          <w:szCs w:val="24"/>
        </w:rPr>
        <w:t>1,4 </w:t>
      </w:r>
      <w:r w:rsidRPr="00480B48">
        <w:rPr>
          <w:rFonts w:ascii="Times New Roman" w:hAnsi="Times New Roman"/>
          <w:noProof/>
          <w:szCs w:val="24"/>
        </w:rPr>
        <w:t>procentpunkt</w:t>
      </w:r>
      <w:r>
        <w:rPr>
          <w:rFonts w:ascii="Times New Roman" w:hAnsi="Times New Roman"/>
          <w:noProof/>
          <w:szCs w:val="24"/>
        </w:rPr>
        <w:t xml:space="preserve">iem. </w:t>
      </w:r>
      <w:r w:rsidRPr="00EA0F56">
        <w:rPr>
          <w:rFonts w:ascii="Times New Roman" w:hAnsi="Times New Roman"/>
          <w:noProof/>
          <w:szCs w:val="24"/>
        </w:rPr>
        <w:t xml:space="preserve">Izdevumu apjomam turpinot kāpt gan </w:t>
      </w:r>
      <w:r>
        <w:rPr>
          <w:rFonts w:ascii="Times New Roman" w:hAnsi="Times New Roman"/>
          <w:noProof/>
          <w:szCs w:val="24"/>
        </w:rPr>
        <w:t>sociālā nodrošinājuma fondā</w:t>
      </w:r>
      <w:r w:rsidRPr="00EA0F56">
        <w:rPr>
          <w:rFonts w:ascii="Times New Roman" w:hAnsi="Times New Roman"/>
          <w:noProof/>
          <w:szCs w:val="24"/>
        </w:rPr>
        <w:t xml:space="preserve">, gan </w:t>
      </w:r>
      <w:r>
        <w:rPr>
          <w:rFonts w:ascii="Times New Roman" w:hAnsi="Times New Roman"/>
          <w:noProof/>
          <w:szCs w:val="24"/>
        </w:rPr>
        <w:t>vietējās valdības</w:t>
      </w:r>
      <w:r w:rsidRPr="00EA0F56">
        <w:rPr>
          <w:rFonts w:ascii="Times New Roman" w:hAnsi="Times New Roman"/>
          <w:noProof/>
          <w:szCs w:val="24"/>
        </w:rPr>
        <w:t xml:space="preserve"> budžetā, bilances šajos budžeta līmeņos strauji samazinājās. Savukārt, </w:t>
      </w:r>
      <w:r>
        <w:rPr>
          <w:rFonts w:ascii="Times New Roman" w:hAnsi="Times New Roman"/>
          <w:noProof/>
          <w:szCs w:val="24"/>
        </w:rPr>
        <w:t>centrālās valdības budžets</w:t>
      </w:r>
      <w:r w:rsidRPr="00EA0F56">
        <w:rPr>
          <w:rFonts w:ascii="Times New Roman" w:hAnsi="Times New Roman"/>
          <w:noProof/>
          <w:szCs w:val="24"/>
        </w:rPr>
        <w:t xml:space="preserve"> 2023.</w:t>
      </w:r>
      <w:r>
        <w:rPr>
          <w:rFonts w:ascii="Times New Roman" w:hAnsi="Times New Roman"/>
          <w:noProof/>
          <w:szCs w:val="24"/>
        </w:rPr>
        <w:t> </w:t>
      </w:r>
      <w:r w:rsidRPr="00EA0F56">
        <w:rPr>
          <w:rFonts w:ascii="Times New Roman" w:hAnsi="Times New Roman"/>
          <w:noProof/>
          <w:szCs w:val="24"/>
        </w:rPr>
        <w:t>gads noslēgts ar ievērojami zemāku deficītu nekā gadu iepriekš. Tas pamatā skaidrojams ar 2022. gadā</w:t>
      </w:r>
      <w:r w:rsidRPr="00EA0F56">
        <w:rPr>
          <w:rFonts w:ascii="Times New Roman" w:hAnsi="Times New Roman"/>
          <w:szCs w:val="24"/>
        </w:rPr>
        <w:t xml:space="preserve"> veiktajiem izdevumiem stratēģisko gāzes rezervju nodrošināšanai, kā arī ar būtiski zemākiem valdības tēriņiem 2023.</w:t>
      </w:r>
      <w:r>
        <w:rPr>
          <w:rFonts w:ascii="Times New Roman" w:hAnsi="Times New Roman"/>
          <w:szCs w:val="24"/>
        </w:rPr>
        <w:t> </w:t>
      </w:r>
      <w:r w:rsidRPr="00EA0F56">
        <w:rPr>
          <w:rFonts w:ascii="Times New Roman" w:hAnsi="Times New Roman"/>
          <w:szCs w:val="24"/>
        </w:rPr>
        <w:t>gadā Covid-19 atbalsta pasākumu finansēšanai. Taču ievērojami lielāks ES fondu finansējuma izlietojums 2023. gadā atspoguļojas subsīdiju un dotāciju, kā arī kapitālo izdevumu kāpumā.</w:t>
      </w:r>
    </w:p>
    <w:p w14:paraId="306A443B" w14:textId="4E2C0BC4" w:rsidR="00FF2041" w:rsidRDefault="00FF2041" w:rsidP="00BA387D">
      <w:pPr>
        <w:pStyle w:val="teksts"/>
        <w:spacing w:after="0"/>
        <w:ind w:firstLine="720"/>
        <w:rPr>
          <w:rFonts w:ascii="Times New Roman" w:hAnsi="Times New Roman"/>
          <w:noProof/>
          <w:szCs w:val="24"/>
        </w:rPr>
      </w:pPr>
      <w:r w:rsidRPr="00F42440">
        <w:rPr>
          <w:rFonts w:ascii="Times New Roman" w:hAnsi="Times New Roman"/>
          <w:szCs w:val="24"/>
          <w:highlight w:val="white"/>
        </w:rPr>
        <w:t xml:space="preserve">Kopējie </w:t>
      </w:r>
      <w:r w:rsidRPr="00F42440">
        <w:rPr>
          <w:rFonts w:ascii="Times New Roman" w:hAnsi="Times New Roman"/>
          <w:noProof/>
          <w:szCs w:val="24"/>
          <w:highlight w:val="white"/>
        </w:rPr>
        <w:t xml:space="preserve">izdevumi </w:t>
      </w:r>
      <w:r w:rsidRPr="0012092B">
        <w:rPr>
          <w:rFonts w:ascii="Times New Roman" w:hAnsi="Times New Roman"/>
          <w:noProof/>
          <w:szCs w:val="24"/>
        </w:rPr>
        <w:t>atalgojumam</w:t>
      </w:r>
      <w:r w:rsidRPr="00F42440">
        <w:rPr>
          <w:rFonts w:ascii="Times New Roman" w:hAnsi="Times New Roman"/>
          <w:noProof/>
          <w:szCs w:val="24"/>
          <w:highlight w:val="white"/>
        </w:rPr>
        <w:t xml:space="preserve"> (D.1) 202</w:t>
      </w:r>
      <w:r>
        <w:rPr>
          <w:rFonts w:ascii="Times New Roman" w:hAnsi="Times New Roman"/>
          <w:noProof/>
          <w:szCs w:val="24"/>
          <w:highlight w:val="white"/>
        </w:rPr>
        <w:t>3</w:t>
      </w:r>
      <w:r w:rsidRPr="00F42440">
        <w:rPr>
          <w:rFonts w:ascii="Times New Roman" w:hAnsi="Times New Roman"/>
          <w:noProof/>
          <w:szCs w:val="24"/>
          <w:highlight w:val="white"/>
        </w:rPr>
        <w:t>.</w:t>
      </w:r>
      <w:r>
        <w:rPr>
          <w:rFonts w:ascii="Times New Roman" w:hAnsi="Times New Roman"/>
          <w:noProof/>
          <w:szCs w:val="24"/>
          <w:highlight w:val="white"/>
        </w:rPr>
        <w:t xml:space="preserve"> </w:t>
      </w:r>
      <w:r w:rsidRPr="00F42440">
        <w:rPr>
          <w:rFonts w:ascii="Times New Roman" w:hAnsi="Times New Roman"/>
          <w:noProof/>
          <w:szCs w:val="24"/>
          <w:highlight w:val="white"/>
        </w:rPr>
        <w:t xml:space="preserve">gadā pieauguši par </w:t>
      </w:r>
      <w:r>
        <w:rPr>
          <w:rFonts w:ascii="Times New Roman" w:hAnsi="Times New Roman"/>
          <w:noProof/>
          <w:szCs w:val="24"/>
        </w:rPr>
        <w:t xml:space="preserve">487,5 </w:t>
      </w:r>
      <w:r>
        <w:rPr>
          <w:rFonts w:ascii="Times New Roman" w:hAnsi="Times New Roman"/>
          <w:noProof/>
          <w:szCs w:val="24"/>
          <w:highlight w:val="white"/>
        </w:rPr>
        <w:t>milj.</w:t>
      </w:r>
      <w:r w:rsidRPr="00F42440">
        <w:rPr>
          <w:rFonts w:ascii="Times New Roman" w:hAnsi="Times New Roman"/>
          <w:noProof/>
          <w:szCs w:val="24"/>
          <w:highlight w:val="white"/>
        </w:rPr>
        <w:t xml:space="preserve"> </w:t>
      </w:r>
      <w:r w:rsidRPr="00F42440">
        <w:rPr>
          <w:rFonts w:ascii="Times New Roman" w:eastAsia="Calibri" w:hAnsi="Times New Roman"/>
          <w:i/>
          <w:noProof/>
          <w:szCs w:val="24"/>
        </w:rPr>
        <w:t>euro</w:t>
      </w:r>
      <w:r w:rsidRPr="00F42440">
        <w:rPr>
          <w:rFonts w:ascii="Times New Roman" w:hAnsi="Times New Roman"/>
          <w:noProof/>
          <w:szCs w:val="24"/>
          <w:highlight w:val="white"/>
        </w:rPr>
        <w:t xml:space="preserve"> jeb </w:t>
      </w:r>
      <w:r>
        <w:rPr>
          <w:rFonts w:ascii="Times New Roman" w:hAnsi="Times New Roman"/>
          <w:noProof/>
          <w:szCs w:val="24"/>
          <w:highlight w:val="white"/>
        </w:rPr>
        <w:t>11,8</w:t>
      </w:r>
      <w:r w:rsidRPr="00F42440">
        <w:rPr>
          <w:rFonts w:ascii="Times New Roman" w:hAnsi="Times New Roman"/>
          <w:noProof/>
          <w:szCs w:val="24"/>
          <w:highlight w:val="white"/>
        </w:rPr>
        <w:t>%</w:t>
      </w:r>
      <w:r>
        <w:rPr>
          <w:rFonts w:ascii="Times New Roman" w:hAnsi="Times New Roman"/>
          <w:noProof/>
          <w:szCs w:val="24"/>
        </w:rPr>
        <w:t xml:space="preserve">. </w:t>
      </w:r>
      <w:r w:rsidRPr="0073089B">
        <w:rPr>
          <w:rFonts w:ascii="Times New Roman" w:hAnsi="Times New Roman"/>
          <w:noProof/>
          <w:szCs w:val="24"/>
        </w:rPr>
        <w:t xml:space="preserve">To veicināja gan minimālās algas paaugstināšana no 500 </w:t>
      </w:r>
      <w:r w:rsidRPr="0073089B">
        <w:rPr>
          <w:rFonts w:ascii="Times New Roman" w:hAnsi="Times New Roman"/>
          <w:i/>
          <w:iCs/>
          <w:noProof/>
          <w:szCs w:val="24"/>
        </w:rPr>
        <w:t>euro</w:t>
      </w:r>
      <w:r w:rsidRPr="0073089B">
        <w:rPr>
          <w:rFonts w:ascii="Times New Roman" w:hAnsi="Times New Roman"/>
          <w:noProof/>
          <w:szCs w:val="24"/>
        </w:rPr>
        <w:t xml:space="preserve"> līdz 620</w:t>
      </w:r>
      <w:r>
        <w:rPr>
          <w:rFonts w:ascii="Times New Roman" w:hAnsi="Times New Roman"/>
          <w:noProof/>
          <w:szCs w:val="24"/>
        </w:rPr>
        <w:t> </w:t>
      </w:r>
      <w:r w:rsidRPr="0073089B">
        <w:rPr>
          <w:rFonts w:ascii="Times New Roman" w:hAnsi="Times New Roman"/>
          <w:i/>
          <w:iCs/>
          <w:noProof/>
          <w:szCs w:val="24"/>
        </w:rPr>
        <w:t>e</w:t>
      </w:r>
      <w:r>
        <w:rPr>
          <w:rFonts w:ascii="Times New Roman" w:hAnsi="Times New Roman"/>
          <w:i/>
          <w:iCs/>
          <w:noProof/>
          <w:szCs w:val="24"/>
        </w:rPr>
        <w:t>u</w:t>
      </w:r>
      <w:r w:rsidRPr="0073089B">
        <w:rPr>
          <w:rFonts w:ascii="Times New Roman" w:hAnsi="Times New Roman"/>
          <w:i/>
          <w:iCs/>
          <w:noProof/>
          <w:szCs w:val="24"/>
        </w:rPr>
        <w:t>ro</w:t>
      </w:r>
      <w:r w:rsidRPr="0073089B">
        <w:rPr>
          <w:rFonts w:ascii="Times New Roman" w:hAnsi="Times New Roman"/>
          <w:noProof/>
          <w:szCs w:val="24"/>
        </w:rPr>
        <w:t xml:space="preserve"> ar 2023.</w:t>
      </w:r>
      <w:r>
        <w:rPr>
          <w:rFonts w:ascii="Times New Roman" w:hAnsi="Times New Roman"/>
          <w:noProof/>
          <w:szCs w:val="24"/>
        </w:rPr>
        <w:t> </w:t>
      </w:r>
      <w:r w:rsidRPr="0073089B">
        <w:rPr>
          <w:rFonts w:ascii="Times New Roman" w:hAnsi="Times New Roman"/>
          <w:noProof/>
          <w:szCs w:val="24"/>
        </w:rPr>
        <w:t>gada 1.</w:t>
      </w:r>
      <w:r w:rsidR="003A5220">
        <w:rPr>
          <w:rFonts w:ascii="Times New Roman" w:hAnsi="Times New Roman"/>
          <w:noProof/>
          <w:szCs w:val="24"/>
        </w:rPr>
        <w:t xml:space="preserve"> </w:t>
      </w:r>
      <w:r w:rsidRPr="0073089B">
        <w:rPr>
          <w:rFonts w:ascii="Times New Roman" w:hAnsi="Times New Roman"/>
          <w:noProof/>
          <w:szCs w:val="24"/>
        </w:rPr>
        <w:t>janvāri</w:t>
      </w:r>
      <w:r>
        <w:rPr>
          <w:rFonts w:ascii="Times New Roman" w:hAnsi="Times New Roman"/>
          <w:noProof/>
          <w:szCs w:val="24"/>
        </w:rPr>
        <w:t>.</w:t>
      </w:r>
      <w:r w:rsidRPr="00960DDD">
        <w:rPr>
          <w:rFonts w:ascii="Times New Roman" w:hAnsi="Times New Roman"/>
          <w:noProof/>
          <w:szCs w:val="24"/>
        </w:rPr>
        <w:t xml:space="preserve"> Lielākais kāpums vērojams </w:t>
      </w:r>
      <w:r>
        <w:rPr>
          <w:rFonts w:ascii="Times New Roman" w:hAnsi="Times New Roman"/>
          <w:noProof/>
          <w:szCs w:val="24"/>
        </w:rPr>
        <w:t xml:space="preserve">vietējās valdības budžetā, tostarp, </w:t>
      </w:r>
      <w:r w:rsidRPr="00960DDD">
        <w:rPr>
          <w:rFonts w:ascii="Times New Roman" w:hAnsi="Times New Roman"/>
          <w:noProof/>
          <w:szCs w:val="24"/>
        </w:rPr>
        <w:t>pedagogu darba samaksas celšanai</w:t>
      </w:r>
      <w:r>
        <w:rPr>
          <w:rFonts w:ascii="Times New Roman" w:hAnsi="Times New Roman"/>
          <w:noProof/>
          <w:szCs w:val="24"/>
        </w:rPr>
        <w:t>.</w:t>
      </w:r>
      <w:r w:rsidRPr="00960DDD">
        <w:rPr>
          <w:rFonts w:ascii="Times New Roman" w:hAnsi="Times New Roman"/>
          <w:noProof/>
          <w:szCs w:val="24"/>
        </w:rPr>
        <w:t xml:space="preserve"> </w:t>
      </w:r>
      <w:r>
        <w:rPr>
          <w:rFonts w:ascii="Times New Roman" w:hAnsi="Times New Roman"/>
          <w:noProof/>
          <w:szCs w:val="24"/>
        </w:rPr>
        <w:t>Tāpat palielinājušies arī centrālas valdības</w:t>
      </w:r>
      <w:r w:rsidRPr="00960DDD">
        <w:rPr>
          <w:rFonts w:ascii="Times New Roman" w:hAnsi="Times New Roman"/>
          <w:noProof/>
          <w:szCs w:val="24"/>
        </w:rPr>
        <w:t xml:space="preserve"> </w:t>
      </w:r>
      <w:r>
        <w:rPr>
          <w:rFonts w:ascii="Times New Roman" w:hAnsi="Times New Roman"/>
          <w:noProof/>
          <w:szCs w:val="24"/>
        </w:rPr>
        <w:t>i</w:t>
      </w:r>
      <w:r w:rsidRPr="00960DDD">
        <w:rPr>
          <w:rFonts w:ascii="Times New Roman" w:hAnsi="Times New Roman"/>
          <w:noProof/>
          <w:szCs w:val="24"/>
        </w:rPr>
        <w:t xml:space="preserve">zdevumi </w:t>
      </w:r>
      <w:r>
        <w:rPr>
          <w:rFonts w:ascii="Times New Roman" w:hAnsi="Times New Roman"/>
          <w:noProof/>
          <w:szCs w:val="24"/>
        </w:rPr>
        <w:t xml:space="preserve">atalgojumam, galvenokārt, </w:t>
      </w:r>
      <w:r w:rsidRPr="00960DDD">
        <w:rPr>
          <w:rFonts w:ascii="Times New Roman" w:hAnsi="Times New Roman"/>
          <w:noProof/>
          <w:szCs w:val="24"/>
        </w:rPr>
        <w:t>aizsardzības</w:t>
      </w:r>
      <w:r>
        <w:rPr>
          <w:rFonts w:ascii="Times New Roman" w:hAnsi="Times New Roman"/>
          <w:noProof/>
          <w:szCs w:val="24"/>
        </w:rPr>
        <w:t>, i</w:t>
      </w:r>
      <w:r w:rsidRPr="00960DDD">
        <w:rPr>
          <w:rFonts w:ascii="Times New Roman" w:hAnsi="Times New Roman"/>
          <w:noProof/>
          <w:szCs w:val="24"/>
        </w:rPr>
        <w:t>ekšlietu</w:t>
      </w:r>
      <w:r>
        <w:rPr>
          <w:rFonts w:ascii="Times New Roman" w:hAnsi="Times New Roman"/>
          <w:noProof/>
          <w:szCs w:val="24"/>
        </w:rPr>
        <w:t xml:space="preserve"> un tieslietu</w:t>
      </w:r>
      <w:r w:rsidRPr="00960DDD">
        <w:rPr>
          <w:rFonts w:ascii="Times New Roman" w:hAnsi="Times New Roman"/>
          <w:noProof/>
          <w:szCs w:val="24"/>
        </w:rPr>
        <w:t xml:space="preserve"> struktūrās</w:t>
      </w:r>
      <w:r>
        <w:rPr>
          <w:rFonts w:ascii="Times New Roman" w:hAnsi="Times New Roman"/>
          <w:noProof/>
          <w:szCs w:val="24"/>
        </w:rPr>
        <w:t>.</w:t>
      </w:r>
    </w:p>
    <w:p w14:paraId="77C853A9" w14:textId="77777777" w:rsidR="00FF2041" w:rsidRDefault="00FF2041" w:rsidP="000D713B">
      <w:pPr>
        <w:pStyle w:val="teksts"/>
        <w:spacing w:after="0"/>
        <w:ind w:firstLine="720"/>
        <w:rPr>
          <w:rFonts w:ascii="Times New Roman" w:hAnsi="Times New Roman"/>
          <w:noProof/>
          <w:szCs w:val="24"/>
        </w:rPr>
      </w:pPr>
      <w:r w:rsidRPr="00F42440">
        <w:rPr>
          <w:rFonts w:ascii="Times New Roman" w:hAnsi="Times New Roman"/>
          <w:noProof/>
          <w:szCs w:val="24"/>
          <w:highlight w:val="white"/>
        </w:rPr>
        <w:t xml:space="preserve">Izdevumi sociālajiem pabalstiem (D.632 un D.62) pieauguši par </w:t>
      </w:r>
      <w:r>
        <w:rPr>
          <w:rFonts w:ascii="Times New Roman" w:hAnsi="Times New Roman"/>
          <w:noProof/>
          <w:szCs w:val="24"/>
        </w:rPr>
        <w:t xml:space="preserve">325,3 </w:t>
      </w:r>
      <w:r>
        <w:rPr>
          <w:rFonts w:ascii="Times New Roman" w:hAnsi="Times New Roman"/>
          <w:noProof/>
          <w:szCs w:val="24"/>
          <w:highlight w:val="white"/>
        </w:rPr>
        <w:t>milj.</w:t>
      </w:r>
      <w:r w:rsidRPr="00F42440">
        <w:rPr>
          <w:rFonts w:ascii="Times New Roman" w:hAnsi="Times New Roman"/>
          <w:noProof/>
          <w:szCs w:val="24"/>
          <w:highlight w:val="white"/>
        </w:rPr>
        <w:t xml:space="preserve"> </w:t>
      </w:r>
      <w:r w:rsidRPr="00F42440">
        <w:rPr>
          <w:rFonts w:ascii="Times New Roman" w:eastAsia="Calibri" w:hAnsi="Times New Roman"/>
          <w:i/>
          <w:noProof/>
          <w:szCs w:val="24"/>
        </w:rPr>
        <w:t>euro</w:t>
      </w:r>
      <w:r w:rsidRPr="00F42440">
        <w:rPr>
          <w:rFonts w:ascii="Times New Roman" w:hAnsi="Times New Roman"/>
          <w:noProof/>
          <w:szCs w:val="24"/>
          <w:highlight w:val="white"/>
        </w:rPr>
        <w:t xml:space="preserve"> jeb </w:t>
      </w:r>
      <w:r>
        <w:rPr>
          <w:rFonts w:ascii="Times New Roman" w:hAnsi="Times New Roman"/>
          <w:noProof/>
          <w:szCs w:val="24"/>
          <w:highlight w:val="white"/>
        </w:rPr>
        <w:t>6,4</w:t>
      </w:r>
      <w:r w:rsidRPr="00F42440">
        <w:rPr>
          <w:rFonts w:ascii="Times New Roman" w:hAnsi="Times New Roman"/>
          <w:noProof/>
          <w:szCs w:val="24"/>
          <w:highlight w:val="white"/>
        </w:rPr>
        <w:t>%</w:t>
      </w:r>
      <w:r>
        <w:rPr>
          <w:rFonts w:ascii="Times New Roman" w:hAnsi="Times New Roman"/>
          <w:noProof/>
          <w:szCs w:val="24"/>
          <w:highlight w:val="white"/>
        </w:rPr>
        <w:t xml:space="preserve">. </w:t>
      </w:r>
      <w:r w:rsidRPr="001A0499">
        <w:rPr>
          <w:rFonts w:ascii="Times New Roman" w:hAnsi="Times New Roman"/>
          <w:noProof/>
          <w:szCs w:val="24"/>
        </w:rPr>
        <w:t xml:space="preserve">Taču situācija pa </w:t>
      </w:r>
      <w:r>
        <w:rPr>
          <w:rFonts w:ascii="Times New Roman" w:hAnsi="Times New Roman"/>
          <w:noProof/>
          <w:szCs w:val="24"/>
        </w:rPr>
        <w:t xml:space="preserve">vispārējās valdības </w:t>
      </w:r>
      <w:r w:rsidRPr="001A0499">
        <w:rPr>
          <w:rFonts w:ascii="Times New Roman" w:hAnsi="Times New Roman"/>
          <w:noProof/>
          <w:szCs w:val="24"/>
        </w:rPr>
        <w:t xml:space="preserve">budžeta </w:t>
      </w:r>
      <w:r>
        <w:rPr>
          <w:rFonts w:ascii="Times New Roman" w:hAnsi="Times New Roman"/>
          <w:noProof/>
          <w:szCs w:val="24"/>
        </w:rPr>
        <w:t>apakšektoriem</w:t>
      </w:r>
      <w:r w:rsidRPr="001A0499">
        <w:rPr>
          <w:rFonts w:ascii="Times New Roman" w:hAnsi="Times New Roman"/>
          <w:noProof/>
          <w:szCs w:val="24"/>
        </w:rPr>
        <w:t xml:space="preserve"> bija atšķirīga – kamēr </w:t>
      </w:r>
      <w:r>
        <w:rPr>
          <w:rFonts w:ascii="Times New Roman" w:hAnsi="Times New Roman"/>
          <w:noProof/>
          <w:szCs w:val="24"/>
        </w:rPr>
        <w:t>centrālās valdības</w:t>
      </w:r>
      <w:r w:rsidRPr="001A0499">
        <w:rPr>
          <w:rFonts w:ascii="Times New Roman" w:hAnsi="Times New Roman"/>
          <w:noProof/>
          <w:szCs w:val="24"/>
        </w:rPr>
        <w:t xml:space="preserve"> izdevumi sociāla rakstura maksājumiem samazinājušies par </w:t>
      </w:r>
      <w:r w:rsidRPr="009D5C3A">
        <w:rPr>
          <w:rFonts w:ascii="Times New Roman" w:hAnsi="Times New Roman"/>
          <w:noProof/>
          <w:szCs w:val="24"/>
        </w:rPr>
        <w:t>16</w:t>
      </w:r>
      <w:r>
        <w:rPr>
          <w:rFonts w:ascii="Times New Roman" w:hAnsi="Times New Roman"/>
          <w:noProof/>
          <w:szCs w:val="24"/>
        </w:rPr>
        <w:t>0,1</w:t>
      </w:r>
      <w:r w:rsidRPr="001A0499">
        <w:rPr>
          <w:rFonts w:ascii="Times New Roman" w:hAnsi="Times New Roman"/>
          <w:noProof/>
          <w:szCs w:val="24"/>
        </w:rPr>
        <w:t xml:space="preserve"> milj</w:t>
      </w:r>
      <w:r>
        <w:rPr>
          <w:rFonts w:ascii="Times New Roman" w:hAnsi="Times New Roman"/>
          <w:noProof/>
          <w:szCs w:val="24"/>
        </w:rPr>
        <w:t>.</w:t>
      </w:r>
      <w:r w:rsidRPr="001A0499">
        <w:rPr>
          <w:rFonts w:ascii="Times New Roman" w:hAnsi="Times New Roman"/>
          <w:noProof/>
          <w:szCs w:val="24"/>
        </w:rPr>
        <w:t xml:space="preserve"> </w:t>
      </w:r>
      <w:r w:rsidRPr="001A0499">
        <w:rPr>
          <w:rFonts w:ascii="Times New Roman" w:hAnsi="Times New Roman"/>
          <w:i/>
          <w:iCs/>
          <w:noProof/>
          <w:szCs w:val="24"/>
        </w:rPr>
        <w:t>euro</w:t>
      </w:r>
      <w:r w:rsidRPr="001A0499">
        <w:rPr>
          <w:rFonts w:ascii="Times New Roman" w:hAnsi="Times New Roman"/>
          <w:noProof/>
          <w:szCs w:val="24"/>
        </w:rPr>
        <w:t xml:space="preserve"> jeb </w:t>
      </w:r>
      <w:r>
        <w:rPr>
          <w:rFonts w:ascii="Times New Roman" w:hAnsi="Times New Roman"/>
          <w:noProof/>
          <w:szCs w:val="24"/>
        </w:rPr>
        <w:t>12,6</w:t>
      </w:r>
      <w:r w:rsidRPr="001A0499">
        <w:rPr>
          <w:rFonts w:ascii="Times New Roman" w:hAnsi="Times New Roman"/>
          <w:noProof/>
          <w:szCs w:val="24"/>
        </w:rPr>
        <w:t xml:space="preserve">%, </w:t>
      </w:r>
      <w:r>
        <w:rPr>
          <w:rFonts w:ascii="Times New Roman" w:hAnsi="Times New Roman"/>
          <w:noProof/>
          <w:szCs w:val="24"/>
        </w:rPr>
        <w:t>sociālā nodrošinājuma fondā</w:t>
      </w:r>
      <w:r w:rsidRPr="001A0499">
        <w:rPr>
          <w:rFonts w:ascii="Times New Roman" w:hAnsi="Times New Roman"/>
          <w:noProof/>
          <w:szCs w:val="24"/>
        </w:rPr>
        <w:t xml:space="preserve"> vērojams izdevumu kāpums par </w:t>
      </w:r>
      <w:r w:rsidRPr="009D5C3A">
        <w:rPr>
          <w:rFonts w:ascii="Times New Roman" w:hAnsi="Times New Roman"/>
          <w:noProof/>
          <w:szCs w:val="24"/>
        </w:rPr>
        <w:t>359,2</w:t>
      </w:r>
      <w:r>
        <w:rPr>
          <w:rFonts w:ascii="Times New Roman" w:hAnsi="Times New Roman"/>
          <w:noProof/>
          <w:szCs w:val="24"/>
        </w:rPr>
        <w:t> </w:t>
      </w:r>
      <w:r w:rsidRPr="001A0499">
        <w:rPr>
          <w:rFonts w:ascii="Times New Roman" w:hAnsi="Times New Roman"/>
          <w:noProof/>
          <w:szCs w:val="24"/>
        </w:rPr>
        <w:t>milj</w:t>
      </w:r>
      <w:r>
        <w:rPr>
          <w:rFonts w:ascii="Times New Roman" w:hAnsi="Times New Roman"/>
          <w:noProof/>
          <w:szCs w:val="24"/>
        </w:rPr>
        <w:t>.</w:t>
      </w:r>
      <w:r w:rsidRPr="001A0499">
        <w:rPr>
          <w:rFonts w:ascii="Times New Roman" w:hAnsi="Times New Roman"/>
          <w:noProof/>
          <w:szCs w:val="24"/>
        </w:rPr>
        <w:t xml:space="preserve"> </w:t>
      </w:r>
      <w:r w:rsidRPr="001A0499">
        <w:rPr>
          <w:rFonts w:ascii="Times New Roman" w:hAnsi="Times New Roman"/>
          <w:i/>
          <w:iCs/>
          <w:noProof/>
          <w:szCs w:val="24"/>
        </w:rPr>
        <w:t>euro</w:t>
      </w:r>
      <w:r w:rsidRPr="001A0499">
        <w:rPr>
          <w:rFonts w:ascii="Times New Roman" w:hAnsi="Times New Roman"/>
          <w:noProof/>
          <w:szCs w:val="24"/>
        </w:rPr>
        <w:t xml:space="preserve"> jeb 1</w:t>
      </w:r>
      <w:r>
        <w:rPr>
          <w:rFonts w:ascii="Times New Roman" w:hAnsi="Times New Roman"/>
          <w:noProof/>
          <w:szCs w:val="24"/>
        </w:rPr>
        <w:t>0</w:t>
      </w:r>
      <w:r w:rsidRPr="001A0499">
        <w:rPr>
          <w:rFonts w:ascii="Times New Roman" w:hAnsi="Times New Roman"/>
          <w:noProof/>
          <w:szCs w:val="24"/>
        </w:rPr>
        <w:t xml:space="preserve">%. Mazāki </w:t>
      </w:r>
      <w:r>
        <w:rPr>
          <w:rFonts w:ascii="Times New Roman" w:hAnsi="Times New Roman"/>
          <w:noProof/>
          <w:szCs w:val="24"/>
        </w:rPr>
        <w:t xml:space="preserve">centrālās valdības </w:t>
      </w:r>
      <w:r w:rsidRPr="001A0499">
        <w:rPr>
          <w:rFonts w:ascii="Times New Roman" w:hAnsi="Times New Roman"/>
          <w:noProof/>
          <w:szCs w:val="24"/>
        </w:rPr>
        <w:t>izdevumi skaidrojami ar ievērojami augstāku izdevumu bāzi 202</w:t>
      </w:r>
      <w:r>
        <w:rPr>
          <w:rFonts w:ascii="Times New Roman" w:hAnsi="Times New Roman"/>
          <w:noProof/>
          <w:szCs w:val="24"/>
        </w:rPr>
        <w:t>2</w:t>
      </w:r>
      <w:r w:rsidRPr="001A0499">
        <w:rPr>
          <w:rFonts w:ascii="Times New Roman" w:hAnsi="Times New Roman"/>
          <w:noProof/>
          <w:szCs w:val="24"/>
        </w:rPr>
        <w:t>.</w:t>
      </w:r>
      <w:r>
        <w:rPr>
          <w:rFonts w:ascii="Times New Roman" w:hAnsi="Times New Roman"/>
          <w:noProof/>
          <w:szCs w:val="24"/>
        </w:rPr>
        <w:t> </w:t>
      </w:r>
      <w:r w:rsidRPr="001A0499">
        <w:rPr>
          <w:rFonts w:ascii="Times New Roman" w:hAnsi="Times New Roman"/>
          <w:noProof/>
          <w:szCs w:val="24"/>
        </w:rPr>
        <w:t>gad</w:t>
      </w:r>
      <w:r>
        <w:rPr>
          <w:rFonts w:ascii="Times New Roman" w:hAnsi="Times New Roman"/>
          <w:noProof/>
          <w:szCs w:val="24"/>
        </w:rPr>
        <w:t>ā</w:t>
      </w:r>
      <w:r w:rsidRPr="001A0499">
        <w:rPr>
          <w:rFonts w:ascii="Times New Roman" w:hAnsi="Times New Roman"/>
          <w:noProof/>
          <w:szCs w:val="24"/>
        </w:rPr>
        <w:t xml:space="preserve">, </w:t>
      </w:r>
      <w:r w:rsidRPr="009D5C3A">
        <w:rPr>
          <w:rFonts w:ascii="Times New Roman" w:hAnsi="Times New Roman"/>
          <w:noProof/>
          <w:szCs w:val="24"/>
        </w:rPr>
        <w:t>kad tika izmaksāti vienreizējie pabalsti ģimenēm un senioriem energoresursu cenu pieauguma negatīvo efektu kompensācijai</w:t>
      </w:r>
      <w:r w:rsidRPr="001A0499">
        <w:rPr>
          <w:rFonts w:ascii="Times New Roman" w:hAnsi="Times New Roman"/>
          <w:noProof/>
          <w:szCs w:val="24"/>
        </w:rPr>
        <w:t xml:space="preserve">. Turpretī, </w:t>
      </w:r>
      <w:r>
        <w:rPr>
          <w:rFonts w:ascii="Times New Roman" w:hAnsi="Times New Roman"/>
          <w:noProof/>
          <w:szCs w:val="24"/>
        </w:rPr>
        <w:t>sociālā nodrošinājuma fondā</w:t>
      </w:r>
      <w:r w:rsidRPr="001A0499">
        <w:rPr>
          <w:rFonts w:ascii="Times New Roman" w:hAnsi="Times New Roman"/>
          <w:noProof/>
          <w:szCs w:val="24"/>
        </w:rPr>
        <w:t>, ņemot vērā 202</w:t>
      </w:r>
      <w:r>
        <w:rPr>
          <w:rFonts w:ascii="Times New Roman" w:hAnsi="Times New Roman"/>
          <w:noProof/>
          <w:szCs w:val="24"/>
        </w:rPr>
        <w:t>3</w:t>
      </w:r>
      <w:r w:rsidRPr="001A0499">
        <w:rPr>
          <w:rFonts w:ascii="Times New Roman" w:hAnsi="Times New Roman"/>
          <w:noProof/>
          <w:szCs w:val="24"/>
        </w:rPr>
        <w:t>.</w:t>
      </w:r>
      <w:r>
        <w:rPr>
          <w:rFonts w:ascii="Times New Roman" w:hAnsi="Times New Roman"/>
          <w:noProof/>
          <w:szCs w:val="24"/>
        </w:rPr>
        <w:t> </w:t>
      </w:r>
      <w:r w:rsidRPr="001A0499">
        <w:rPr>
          <w:rFonts w:ascii="Times New Roman" w:hAnsi="Times New Roman"/>
          <w:noProof/>
          <w:szCs w:val="24"/>
        </w:rPr>
        <w:t>gada ļoti augsto pensiju indeksācijas koeficientu, vērojami augstāki izdevumi vecuma</w:t>
      </w:r>
      <w:r>
        <w:rPr>
          <w:rFonts w:ascii="Times New Roman" w:hAnsi="Times New Roman"/>
          <w:noProof/>
          <w:szCs w:val="24"/>
        </w:rPr>
        <w:t xml:space="preserve"> un invaliditātes</w:t>
      </w:r>
      <w:r w:rsidRPr="001A0499">
        <w:rPr>
          <w:rFonts w:ascii="Times New Roman" w:hAnsi="Times New Roman"/>
          <w:noProof/>
          <w:szCs w:val="24"/>
        </w:rPr>
        <w:t xml:space="preserve"> pensijām. </w:t>
      </w:r>
      <w:r w:rsidRPr="009D5C3A">
        <w:rPr>
          <w:rFonts w:ascii="Times New Roman" w:hAnsi="Times New Roman"/>
          <w:noProof/>
          <w:szCs w:val="24"/>
        </w:rPr>
        <w:t>Jāatzīmē, ka izdevumi slimības pabalstiem 2023. gadā bijuši mazāki nekā pirms gada. Pozitīvi vērtējams straujais slimības pabalstu saņēmēju skaita kritums par 25% salīdzinājumā ar 2022. gadu, kas saistāms ar plašo Covid-19 vīrusa omikrona paveida izplatību gadu iepriekš.</w:t>
      </w:r>
      <w:r w:rsidRPr="009D5C3A">
        <w:rPr>
          <w:noProof/>
        </w:rPr>
        <w:t xml:space="preserve"> </w:t>
      </w:r>
      <w:r w:rsidRPr="009D5C3A">
        <w:rPr>
          <w:rFonts w:ascii="Times New Roman" w:hAnsi="Times New Roman"/>
          <w:noProof/>
          <w:szCs w:val="24"/>
        </w:rPr>
        <w:t xml:space="preserve">Arī </w:t>
      </w:r>
      <w:r>
        <w:rPr>
          <w:rFonts w:ascii="Times New Roman" w:hAnsi="Times New Roman"/>
          <w:noProof/>
          <w:szCs w:val="24"/>
        </w:rPr>
        <w:t>vietējās valdības</w:t>
      </w:r>
      <w:r w:rsidRPr="009D5C3A">
        <w:rPr>
          <w:rFonts w:ascii="Times New Roman" w:hAnsi="Times New Roman"/>
          <w:noProof/>
          <w:szCs w:val="24"/>
        </w:rPr>
        <w:t xml:space="preserve"> budžeta sociāla rakstura maksājumiem vērojams </w:t>
      </w:r>
      <w:r w:rsidRPr="009D5C3A">
        <w:rPr>
          <w:rFonts w:ascii="Times New Roman" w:hAnsi="Times New Roman"/>
          <w:noProof/>
          <w:szCs w:val="24"/>
        </w:rPr>
        <w:lastRenderedPageBreak/>
        <w:t>straujš izdevumu kāpums</w:t>
      </w:r>
      <w:r>
        <w:rPr>
          <w:rFonts w:ascii="Times New Roman" w:hAnsi="Times New Roman"/>
          <w:noProof/>
          <w:szCs w:val="24"/>
        </w:rPr>
        <w:t>. I</w:t>
      </w:r>
      <w:r w:rsidRPr="009D5C3A">
        <w:rPr>
          <w:rFonts w:ascii="Times New Roman" w:hAnsi="Times New Roman"/>
          <w:noProof/>
          <w:szCs w:val="24"/>
        </w:rPr>
        <w:t>zdevumi pieauga mājokļa pabalstiem, kas galvenokārt saistāms ar palīdzības sniegšanu Ukrainas civiliedzīvotājiem. Vairāk tērēts arī samaksai par aprūpi mājās un samaksai par sociālās aprūpes un rehabilitācijas pakalpojumiem.</w:t>
      </w:r>
    </w:p>
    <w:p w14:paraId="5B3E7E7E" w14:textId="77777777" w:rsidR="00FF2041" w:rsidRPr="00F42440" w:rsidRDefault="00FF2041" w:rsidP="000D713B">
      <w:pPr>
        <w:pStyle w:val="teksts"/>
        <w:spacing w:after="0"/>
        <w:ind w:firstLine="720"/>
        <w:rPr>
          <w:rFonts w:ascii="Times New Roman" w:hAnsi="Times New Roman"/>
          <w:noProof/>
          <w:color w:val="000000" w:themeColor="text1"/>
          <w:szCs w:val="24"/>
        </w:rPr>
      </w:pPr>
      <w:r w:rsidRPr="00F42440">
        <w:rPr>
          <w:rFonts w:ascii="Times New Roman" w:hAnsi="Times New Roman"/>
          <w:szCs w:val="24"/>
          <w:highlight w:val="white"/>
        </w:rPr>
        <w:t xml:space="preserve">Vispārējās valdības </w:t>
      </w:r>
      <w:r w:rsidRPr="00F42440">
        <w:rPr>
          <w:rFonts w:ascii="Times New Roman" w:hAnsi="Times New Roman"/>
          <w:noProof/>
          <w:szCs w:val="24"/>
          <w:highlight w:val="white"/>
        </w:rPr>
        <w:t xml:space="preserve">izdevumi </w:t>
      </w:r>
      <w:r>
        <w:rPr>
          <w:rFonts w:ascii="Times New Roman" w:hAnsi="Times New Roman"/>
          <w:noProof/>
          <w:szCs w:val="24"/>
          <w:highlight w:val="white"/>
        </w:rPr>
        <w:t xml:space="preserve">bruto </w:t>
      </w:r>
      <w:r w:rsidRPr="00F42440">
        <w:rPr>
          <w:rFonts w:ascii="Times New Roman" w:hAnsi="Times New Roman"/>
          <w:noProof/>
          <w:szCs w:val="24"/>
          <w:highlight w:val="white"/>
        </w:rPr>
        <w:t xml:space="preserve">pamatkapitāla veidošanai (P.51G) </w:t>
      </w:r>
      <w:r>
        <w:rPr>
          <w:rFonts w:ascii="Times New Roman" w:hAnsi="Times New Roman"/>
          <w:noProof/>
          <w:szCs w:val="24"/>
          <w:highlight w:val="white"/>
        </w:rPr>
        <w:t>2023. gadā palielinājušies</w:t>
      </w:r>
      <w:r w:rsidRPr="00F42440">
        <w:rPr>
          <w:rFonts w:ascii="Times New Roman" w:hAnsi="Times New Roman"/>
          <w:noProof/>
          <w:szCs w:val="24"/>
          <w:highlight w:val="white"/>
        </w:rPr>
        <w:t xml:space="preserve"> par </w:t>
      </w:r>
      <w:r w:rsidRPr="007E69AF">
        <w:rPr>
          <w:rFonts w:ascii="Times New Roman" w:hAnsi="Times New Roman"/>
          <w:noProof/>
          <w:szCs w:val="24"/>
        </w:rPr>
        <w:t>128,2</w:t>
      </w:r>
      <w:r>
        <w:rPr>
          <w:rFonts w:ascii="Times New Roman" w:hAnsi="Times New Roman"/>
          <w:noProof/>
          <w:szCs w:val="24"/>
        </w:rPr>
        <w:t> </w:t>
      </w:r>
      <w:r>
        <w:rPr>
          <w:rFonts w:ascii="Times New Roman" w:hAnsi="Times New Roman"/>
          <w:noProof/>
          <w:szCs w:val="24"/>
          <w:highlight w:val="white"/>
        </w:rPr>
        <w:t>milj.</w:t>
      </w:r>
      <w:r w:rsidRPr="00F42440">
        <w:rPr>
          <w:rFonts w:ascii="Times New Roman" w:hAnsi="Times New Roman"/>
          <w:noProof/>
          <w:szCs w:val="24"/>
          <w:highlight w:val="white"/>
        </w:rPr>
        <w:t xml:space="preserve"> </w:t>
      </w:r>
      <w:r w:rsidRPr="00F42440">
        <w:rPr>
          <w:rFonts w:ascii="Times New Roman" w:eastAsia="Calibri" w:hAnsi="Times New Roman"/>
          <w:i/>
          <w:noProof/>
          <w:szCs w:val="24"/>
        </w:rPr>
        <w:t>euro</w:t>
      </w:r>
      <w:r w:rsidRPr="00F42440">
        <w:rPr>
          <w:rFonts w:ascii="Times New Roman" w:hAnsi="Times New Roman"/>
          <w:noProof/>
          <w:szCs w:val="24"/>
          <w:highlight w:val="white"/>
        </w:rPr>
        <w:t xml:space="preserve"> jeb </w:t>
      </w:r>
      <w:r>
        <w:rPr>
          <w:rFonts w:ascii="Times New Roman" w:hAnsi="Times New Roman"/>
          <w:noProof/>
          <w:szCs w:val="24"/>
          <w:highlight w:val="white"/>
        </w:rPr>
        <w:t>8,5</w:t>
      </w:r>
      <w:r w:rsidRPr="00F42440">
        <w:rPr>
          <w:rFonts w:ascii="Times New Roman" w:hAnsi="Times New Roman"/>
          <w:noProof/>
          <w:szCs w:val="24"/>
          <w:highlight w:val="white"/>
        </w:rPr>
        <w:t xml:space="preserve">%. </w:t>
      </w:r>
      <w:r>
        <w:rPr>
          <w:rFonts w:ascii="Times New Roman" w:hAnsi="Times New Roman"/>
          <w:noProof/>
          <w:color w:val="000000" w:themeColor="text1"/>
          <w:szCs w:val="24"/>
        </w:rPr>
        <w:t>V</w:t>
      </w:r>
      <w:r w:rsidRPr="007E69AF">
        <w:rPr>
          <w:rFonts w:ascii="Times New Roman" w:hAnsi="Times New Roman"/>
          <w:noProof/>
          <w:color w:val="000000" w:themeColor="text1"/>
          <w:szCs w:val="24"/>
        </w:rPr>
        <w:t>airāk tērēt</w:t>
      </w:r>
      <w:r>
        <w:rPr>
          <w:rFonts w:ascii="Times New Roman" w:hAnsi="Times New Roman"/>
          <w:noProof/>
          <w:color w:val="000000" w:themeColor="text1"/>
          <w:szCs w:val="24"/>
        </w:rPr>
        <w:t>s</w:t>
      </w:r>
      <w:r w:rsidRPr="007E69AF">
        <w:rPr>
          <w:rFonts w:ascii="Times New Roman" w:hAnsi="Times New Roman"/>
          <w:noProof/>
          <w:color w:val="000000" w:themeColor="text1"/>
          <w:szCs w:val="24"/>
        </w:rPr>
        <w:t xml:space="preserve"> sakaru un datortehnikas iegādei, rekonstrukciju un būvniecības projektiem aizsardzības resorā un transportlīdzekļu iegādei iekšlietu resorā</w:t>
      </w:r>
      <w:r>
        <w:rPr>
          <w:rFonts w:ascii="Times New Roman" w:hAnsi="Times New Roman"/>
          <w:noProof/>
          <w:color w:val="000000" w:themeColor="text1"/>
          <w:szCs w:val="24"/>
        </w:rPr>
        <w:t xml:space="preserve">, kā arī </w:t>
      </w:r>
      <w:r w:rsidRPr="007E69AF">
        <w:rPr>
          <w:rFonts w:ascii="Times New Roman" w:hAnsi="Times New Roman"/>
          <w:noProof/>
          <w:color w:val="000000" w:themeColor="text1"/>
          <w:szCs w:val="24"/>
        </w:rPr>
        <w:t xml:space="preserve">ES līdzfinansētu projektu īstenošanai satiksmes nozarē. </w:t>
      </w:r>
      <w:r>
        <w:rPr>
          <w:rFonts w:ascii="Times New Roman" w:hAnsi="Times New Roman"/>
          <w:noProof/>
          <w:color w:val="000000" w:themeColor="text1"/>
          <w:szCs w:val="24"/>
        </w:rPr>
        <w:t>Bruto pamatkapitāla veidošanās pieaugumu ierobežoja zemākas aplēses par vispārējās valdības sektorā klasificēto komersantu investīciju projektiem, kā arī novērtētā militārā inventāra  palīdzības apmēra nemainīgi augstais līmenis.</w:t>
      </w:r>
    </w:p>
    <w:p w14:paraId="07878A9C" w14:textId="77777777" w:rsidR="00FF2041" w:rsidRDefault="00FF2041" w:rsidP="000D713B">
      <w:pPr>
        <w:pStyle w:val="teksts"/>
        <w:spacing w:after="0"/>
        <w:ind w:firstLine="720"/>
        <w:rPr>
          <w:rFonts w:ascii="Times New Roman" w:hAnsi="Times New Roman"/>
          <w:szCs w:val="24"/>
        </w:rPr>
      </w:pPr>
      <w:r w:rsidRPr="00F42440">
        <w:rPr>
          <w:rFonts w:ascii="Times New Roman" w:hAnsi="Times New Roman"/>
          <w:noProof/>
          <w:szCs w:val="24"/>
          <w:highlight w:val="white"/>
        </w:rPr>
        <w:t xml:space="preserve">Izdevumi starppatēriņam (P.2) </w:t>
      </w:r>
      <w:r>
        <w:rPr>
          <w:rFonts w:ascii="Times New Roman" w:hAnsi="Times New Roman"/>
          <w:noProof/>
          <w:szCs w:val="24"/>
        </w:rPr>
        <w:t xml:space="preserve">pērn pieauguši par 120,1 milj. </w:t>
      </w:r>
      <w:r w:rsidRPr="00710782">
        <w:rPr>
          <w:rFonts w:ascii="Times New Roman" w:hAnsi="Times New Roman"/>
          <w:i/>
          <w:iCs/>
          <w:noProof/>
          <w:szCs w:val="24"/>
        </w:rPr>
        <w:t>euro</w:t>
      </w:r>
      <w:r>
        <w:rPr>
          <w:rFonts w:ascii="Times New Roman" w:hAnsi="Times New Roman"/>
          <w:i/>
          <w:iCs/>
          <w:noProof/>
          <w:szCs w:val="24"/>
        </w:rPr>
        <w:t xml:space="preserve"> </w:t>
      </w:r>
      <w:r>
        <w:rPr>
          <w:rFonts w:ascii="Times New Roman" w:hAnsi="Times New Roman"/>
          <w:noProof/>
          <w:szCs w:val="24"/>
        </w:rPr>
        <w:t>jeb 4,7%. Salīdzinoši pieticīgais izdevumu pieaugums skaidrojams ar centrālās</w:t>
      </w:r>
      <w:r>
        <w:rPr>
          <w:rFonts w:ascii="Times New Roman" w:hAnsi="Times New Roman"/>
          <w:szCs w:val="24"/>
        </w:rPr>
        <w:t xml:space="preserve"> valdības veikto vienreizējo energoapgādes drošuma rezervju iepirkumu 2022. gada rudenī. Savukārt izdevumu palielināšanos sekmēja c</w:t>
      </w:r>
      <w:r w:rsidRPr="00310167">
        <w:rPr>
          <w:rFonts w:ascii="Times New Roman" w:hAnsi="Times New Roman"/>
          <w:szCs w:val="24"/>
        </w:rPr>
        <w:t xml:space="preserve">enu kāpuma ietekmē </w:t>
      </w:r>
      <w:r>
        <w:rPr>
          <w:rFonts w:ascii="Times New Roman" w:hAnsi="Times New Roman"/>
          <w:szCs w:val="24"/>
        </w:rPr>
        <w:t>pieaugusī pieklasificēto komersantu aplēse par izdevumiem precēm un pakalpojumiem, kā arī vietējās valdības</w:t>
      </w:r>
      <w:r w:rsidRPr="00310167">
        <w:rPr>
          <w:rFonts w:ascii="Times New Roman" w:hAnsi="Times New Roman"/>
          <w:szCs w:val="24"/>
        </w:rPr>
        <w:t xml:space="preserve"> budžeta izdevumi </w:t>
      </w:r>
      <w:r>
        <w:rPr>
          <w:rFonts w:ascii="Times New Roman" w:hAnsi="Times New Roman"/>
          <w:szCs w:val="24"/>
        </w:rPr>
        <w:t xml:space="preserve">par </w:t>
      </w:r>
      <w:r w:rsidRPr="00310167">
        <w:rPr>
          <w:rFonts w:ascii="Times New Roman" w:hAnsi="Times New Roman"/>
          <w:szCs w:val="24"/>
        </w:rPr>
        <w:t>siltumenerģiju, ēdināšanu, nekustamo īpašumu un autoceļu uzturēšanu.</w:t>
      </w:r>
    </w:p>
    <w:p w14:paraId="75DD262F" w14:textId="062A87F0" w:rsidR="00FF2041" w:rsidRDefault="00FF2041" w:rsidP="000D713B">
      <w:pPr>
        <w:rPr>
          <w:rFonts w:cs="Times New Roman"/>
          <w:sz w:val="24"/>
        </w:rPr>
      </w:pPr>
      <w:r w:rsidRPr="00B13C38">
        <w:rPr>
          <w:rFonts w:cs="Times New Roman"/>
          <w:noProof/>
          <w:sz w:val="24"/>
        </w:rPr>
        <w:t>202</w:t>
      </w:r>
      <w:r>
        <w:rPr>
          <w:rFonts w:cs="Times New Roman"/>
          <w:noProof/>
          <w:sz w:val="24"/>
        </w:rPr>
        <w:t>4</w:t>
      </w:r>
      <w:r w:rsidRPr="00B13C38">
        <w:rPr>
          <w:rFonts w:cs="Times New Roman"/>
          <w:noProof/>
          <w:sz w:val="24"/>
        </w:rPr>
        <w:t>.</w:t>
      </w:r>
      <w:r>
        <w:rPr>
          <w:rFonts w:cs="Times New Roman"/>
          <w:noProof/>
          <w:sz w:val="24"/>
        </w:rPr>
        <w:t> </w:t>
      </w:r>
      <w:r w:rsidRPr="00B13C38">
        <w:rPr>
          <w:rFonts w:cs="Times New Roman"/>
          <w:noProof/>
          <w:sz w:val="24"/>
        </w:rPr>
        <w:t>gada pirmajos divos mēnešos konsolidētā kopbudžeta i</w:t>
      </w:r>
      <w:r>
        <w:rPr>
          <w:rFonts w:cs="Times New Roman"/>
          <w:noProof/>
          <w:sz w:val="24"/>
        </w:rPr>
        <w:t>zdevumi</w:t>
      </w:r>
      <w:r w:rsidRPr="00B13C38">
        <w:rPr>
          <w:rFonts w:cs="Times New Roman"/>
          <w:noProof/>
          <w:sz w:val="24"/>
        </w:rPr>
        <w:t xml:space="preserve"> (atbilstoši naudas plūsmas metodoloģijai) </w:t>
      </w:r>
      <w:r>
        <w:rPr>
          <w:rFonts w:cs="Times New Roman"/>
          <w:noProof/>
          <w:sz w:val="24"/>
        </w:rPr>
        <w:t xml:space="preserve">2,7 </w:t>
      </w:r>
      <w:r w:rsidRPr="00B13C38">
        <w:rPr>
          <w:rFonts w:cs="Times New Roman"/>
          <w:noProof/>
          <w:sz w:val="24"/>
        </w:rPr>
        <w:t>mlj</w:t>
      </w:r>
      <w:r>
        <w:rPr>
          <w:rFonts w:cs="Times New Roman"/>
          <w:noProof/>
          <w:sz w:val="24"/>
        </w:rPr>
        <w:t>rd</w:t>
      </w:r>
      <w:r w:rsidR="002768B3">
        <w:rPr>
          <w:rFonts w:cs="Times New Roman"/>
          <w:noProof/>
          <w:sz w:val="24"/>
        </w:rPr>
        <w:t>.</w:t>
      </w:r>
      <w:r w:rsidRPr="00B13C38">
        <w:rPr>
          <w:rFonts w:cs="Times New Roman"/>
          <w:noProof/>
          <w:sz w:val="24"/>
        </w:rPr>
        <w:t xml:space="preserve"> </w:t>
      </w:r>
      <w:r w:rsidRPr="00B13C38">
        <w:rPr>
          <w:rFonts w:cs="Times New Roman"/>
          <w:i/>
          <w:iCs/>
          <w:noProof/>
          <w:sz w:val="24"/>
        </w:rPr>
        <w:t>e</w:t>
      </w:r>
      <w:r>
        <w:rPr>
          <w:rFonts w:cs="Times New Roman"/>
          <w:i/>
          <w:iCs/>
          <w:noProof/>
          <w:sz w:val="24"/>
        </w:rPr>
        <w:t>u</w:t>
      </w:r>
      <w:r w:rsidRPr="00B13C38">
        <w:rPr>
          <w:rFonts w:cs="Times New Roman"/>
          <w:i/>
          <w:iCs/>
          <w:noProof/>
          <w:sz w:val="24"/>
        </w:rPr>
        <w:t>ro</w:t>
      </w:r>
      <w:r w:rsidRPr="00B13C38">
        <w:rPr>
          <w:rFonts w:cs="Times New Roman"/>
          <w:noProof/>
          <w:sz w:val="24"/>
        </w:rPr>
        <w:t xml:space="preserve"> apmērā bija par </w:t>
      </w:r>
      <w:r w:rsidRPr="000C1A76">
        <w:rPr>
          <w:rFonts w:cs="Times New Roman"/>
          <w:noProof/>
          <w:sz w:val="24"/>
        </w:rPr>
        <w:t xml:space="preserve">236,3 </w:t>
      </w:r>
      <w:r w:rsidRPr="00B13C38">
        <w:rPr>
          <w:rFonts w:cs="Times New Roman"/>
          <w:noProof/>
          <w:sz w:val="24"/>
        </w:rPr>
        <w:t>milj</w:t>
      </w:r>
      <w:r>
        <w:rPr>
          <w:rFonts w:cs="Times New Roman"/>
          <w:noProof/>
          <w:sz w:val="24"/>
        </w:rPr>
        <w:t>.</w:t>
      </w:r>
      <w:r w:rsidRPr="00B13C38">
        <w:rPr>
          <w:rFonts w:cs="Times New Roman"/>
          <w:noProof/>
          <w:sz w:val="24"/>
        </w:rPr>
        <w:t xml:space="preserve"> </w:t>
      </w:r>
      <w:r w:rsidRPr="00B13C38">
        <w:rPr>
          <w:rFonts w:cs="Times New Roman"/>
          <w:i/>
          <w:iCs/>
          <w:noProof/>
          <w:sz w:val="24"/>
        </w:rPr>
        <w:t>euro</w:t>
      </w:r>
      <w:r w:rsidRPr="00B13C38">
        <w:rPr>
          <w:rFonts w:cs="Times New Roman"/>
          <w:noProof/>
          <w:sz w:val="24"/>
        </w:rPr>
        <w:t xml:space="preserve"> jeb </w:t>
      </w:r>
      <w:r>
        <w:rPr>
          <w:rFonts w:cs="Times New Roman"/>
          <w:noProof/>
          <w:sz w:val="24"/>
        </w:rPr>
        <w:t>9,5</w:t>
      </w:r>
      <w:r w:rsidRPr="00B13C38">
        <w:rPr>
          <w:rFonts w:cs="Times New Roman"/>
          <w:noProof/>
          <w:sz w:val="24"/>
        </w:rPr>
        <w:t xml:space="preserve">% </w:t>
      </w:r>
      <w:r>
        <w:rPr>
          <w:rFonts w:cs="Times New Roman"/>
          <w:noProof/>
          <w:sz w:val="24"/>
        </w:rPr>
        <w:t>augstāki</w:t>
      </w:r>
      <w:r w:rsidRPr="00B13C38">
        <w:rPr>
          <w:rFonts w:cs="Times New Roman"/>
          <w:noProof/>
          <w:sz w:val="24"/>
        </w:rPr>
        <w:t xml:space="preserve"> nekā gadu iepriekš</w:t>
      </w:r>
      <w:r>
        <w:rPr>
          <w:rFonts w:cs="Times New Roman"/>
          <w:noProof/>
          <w:sz w:val="24"/>
        </w:rPr>
        <w:t xml:space="preserve">. </w:t>
      </w:r>
      <w:r w:rsidRPr="000C1A76">
        <w:rPr>
          <w:rFonts w:cs="Times New Roman"/>
          <w:noProof/>
          <w:sz w:val="24"/>
        </w:rPr>
        <w:t>Izdevumu pieaugumu sekmēja lielāki ĀFP izdevumi, ko šā gada janvārī noteica izmaksu uzsākšana lauksaimniekiem jaunā Latvijas kopējās lauksaimniecības politikas stratēģiskā plāna 2023.-2027. gadam ietvaros. Tāpat Atveseļošanas fonda projektiem veikti maksājumi 16 mil</w:t>
      </w:r>
      <w:r>
        <w:rPr>
          <w:rFonts w:cs="Times New Roman"/>
          <w:noProof/>
          <w:sz w:val="24"/>
        </w:rPr>
        <w:t>j.</w:t>
      </w:r>
      <w:r w:rsidRPr="000C1A76">
        <w:rPr>
          <w:rFonts w:cs="Times New Roman"/>
          <w:noProof/>
          <w:sz w:val="24"/>
        </w:rPr>
        <w:t xml:space="preserve"> </w:t>
      </w:r>
      <w:r w:rsidRPr="000C1A76">
        <w:rPr>
          <w:rFonts w:cs="Times New Roman"/>
          <w:i/>
          <w:iCs/>
          <w:noProof/>
          <w:sz w:val="24"/>
        </w:rPr>
        <w:t>euro</w:t>
      </w:r>
      <w:r w:rsidRPr="000C1A76">
        <w:rPr>
          <w:rFonts w:cs="Times New Roman"/>
          <w:noProof/>
          <w:sz w:val="24"/>
        </w:rPr>
        <w:t xml:space="preserve"> apmērā un</w:t>
      </w:r>
      <w:r w:rsidRPr="000C1A76">
        <w:rPr>
          <w:rFonts w:cs="Times New Roman"/>
          <w:i/>
          <w:iCs/>
          <w:noProof/>
          <w:sz w:val="24"/>
        </w:rPr>
        <w:t xml:space="preserve"> RailBaltica</w:t>
      </w:r>
      <w:r w:rsidRPr="000C1A76">
        <w:rPr>
          <w:rFonts w:cs="Times New Roman"/>
          <w:noProof/>
          <w:sz w:val="24"/>
        </w:rPr>
        <w:t xml:space="preserve"> izdevumi 2024. gada divos mēnešos valsts pamatbudžetā sasniedza 18</w:t>
      </w:r>
      <w:r>
        <w:rPr>
          <w:rFonts w:cs="Times New Roman"/>
          <w:noProof/>
          <w:sz w:val="24"/>
        </w:rPr>
        <w:t> </w:t>
      </w:r>
      <w:r w:rsidRPr="000C1A76">
        <w:rPr>
          <w:rFonts w:cs="Times New Roman"/>
          <w:noProof/>
          <w:sz w:val="24"/>
        </w:rPr>
        <w:t>milj</w:t>
      </w:r>
      <w:r>
        <w:rPr>
          <w:rFonts w:cs="Times New Roman"/>
          <w:noProof/>
          <w:sz w:val="24"/>
        </w:rPr>
        <w:t>.</w:t>
      </w:r>
      <w:r w:rsidRPr="000C1A76">
        <w:rPr>
          <w:rFonts w:cs="Times New Roman"/>
          <w:noProof/>
          <w:sz w:val="24"/>
        </w:rPr>
        <w:t xml:space="preserve"> </w:t>
      </w:r>
      <w:r w:rsidRPr="000C1A76">
        <w:rPr>
          <w:rFonts w:cs="Times New Roman"/>
          <w:i/>
          <w:iCs/>
          <w:noProof/>
          <w:sz w:val="24"/>
        </w:rPr>
        <w:t>euro</w:t>
      </w:r>
      <w:r w:rsidRPr="000C1A76">
        <w:rPr>
          <w:rFonts w:cs="Times New Roman"/>
          <w:noProof/>
          <w:sz w:val="24"/>
        </w:rPr>
        <w:t>. Savukārt, noslēdzoties iepriekšējam plānošanas periodam un pakāpeniski uzsākot projektus jaunajā plānošanas periodā, Kohēzijas politikas fondu izdevumi šā gada divos mēnešos bijuši par 74,3 milj</w:t>
      </w:r>
      <w:r>
        <w:rPr>
          <w:rFonts w:cs="Times New Roman"/>
          <w:noProof/>
          <w:sz w:val="24"/>
        </w:rPr>
        <w:t>.</w:t>
      </w:r>
      <w:r w:rsidRPr="000C1A76">
        <w:rPr>
          <w:rFonts w:cs="Times New Roman"/>
          <w:noProof/>
          <w:sz w:val="24"/>
        </w:rPr>
        <w:t xml:space="preserve"> </w:t>
      </w:r>
      <w:r w:rsidRPr="000C1A76">
        <w:rPr>
          <w:rFonts w:cs="Times New Roman"/>
          <w:i/>
          <w:iCs/>
          <w:noProof/>
          <w:sz w:val="24"/>
        </w:rPr>
        <w:t>euro</w:t>
      </w:r>
      <w:r w:rsidRPr="000C1A76">
        <w:rPr>
          <w:rFonts w:cs="Times New Roman"/>
          <w:noProof/>
          <w:sz w:val="24"/>
        </w:rPr>
        <w:t xml:space="preserve"> mazāki nekā pērn un veidoja 40,7 milj</w:t>
      </w:r>
      <w:r>
        <w:rPr>
          <w:rFonts w:cs="Times New Roman"/>
          <w:noProof/>
          <w:sz w:val="24"/>
        </w:rPr>
        <w:t>.</w:t>
      </w:r>
      <w:r w:rsidRPr="000C1A76">
        <w:rPr>
          <w:rFonts w:cs="Times New Roman"/>
          <w:noProof/>
          <w:sz w:val="24"/>
        </w:rPr>
        <w:t xml:space="preserve"> </w:t>
      </w:r>
      <w:r w:rsidRPr="000C1A76">
        <w:rPr>
          <w:rFonts w:cs="Times New Roman"/>
          <w:i/>
          <w:iCs/>
          <w:noProof/>
          <w:sz w:val="24"/>
        </w:rPr>
        <w:t>euro</w:t>
      </w:r>
      <w:r w:rsidRPr="000C1A76">
        <w:rPr>
          <w:rFonts w:cs="Times New Roman"/>
          <w:noProof/>
          <w:sz w:val="24"/>
        </w:rPr>
        <w:t>.</w:t>
      </w:r>
      <w:r>
        <w:rPr>
          <w:rFonts w:cs="Times New Roman"/>
          <w:noProof/>
          <w:sz w:val="24"/>
        </w:rPr>
        <w:t xml:space="preserve"> </w:t>
      </w:r>
      <w:r w:rsidRPr="000C1A76">
        <w:rPr>
          <w:rFonts w:cs="Times New Roman"/>
          <w:noProof/>
          <w:sz w:val="24"/>
        </w:rPr>
        <w:t xml:space="preserve">Tāpat izdevumu pieaugumu kopbudžetā 2024. gada divos mēnešos noteica būtiski </w:t>
      </w:r>
      <w:r>
        <w:rPr>
          <w:rFonts w:cs="Times New Roman"/>
          <w:noProof/>
          <w:sz w:val="24"/>
        </w:rPr>
        <w:t>augstāki</w:t>
      </w:r>
      <w:r w:rsidRPr="000C1A76">
        <w:rPr>
          <w:rFonts w:cs="Times New Roman"/>
          <w:noProof/>
          <w:sz w:val="24"/>
        </w:rPr>
        <w:t xml:space="preserve"> kopbudžeta izdevumi atlīdzībai</w:t>
      </w:r>
      <w:r>
        <w:rPr>
          <w:rFonts w:cs="Times New Roman"/>
          <w:noProof/>
          <w:sz w:val="24"/>
        </w:rPr>
        <w:t xml:space="preserve">. </w:t>
      </w:r>
      <w:r w:rsidRPr="000C1A76">
        <w:rPr>
          <w:rFonts w:cs="Times New Roman"/>
          <w:noProof/>
          <w:sz w:val="24"/>
        </w:rPr>
        <w:t>Kāpumu veicināja gan minimālās algas paaugstināšana valstī no 620</w:t>
      </w:r>
      <w:r w:rsidRPr="00C14E6E">
        <w:rPr>
          <w:rFonts w:cs="Times New Roman"/>
          <w:i/>
          <w:iCs/>
          <w:noProof/>
          <w:sz w:val="24"/>
        </w:rPr>
        <w:t xml:space="preserve"> euro</w:t>
      </w:r>
      <w:r w:rsidRPr="000C1A76">
        <w:rPr>
          <w:rFonts w:cs="Times New Roman"/>
          <w:noProof/>
          <w:sz w:val="24"/>
        </w:rPr>
        <w:t xml:space="preserve"> uz 700 </w:t>
      </w:r>
      <w:r w:rsidRPr="00C14E6E">
        <w:rPr>
          <w:rFonts w:cs="Times New Roman"/>
          <w:i/>
          <w:iCs/>
          <w:noProof/>
          <w:sz w:val="24"/>
        </w:rPr>
        <w:t>euro</w:t>
      </w:r>
      <w:r w:rsidRPr="000C1A76">
        <w:rPr>
          <w:rFonts w:cs="Times New Roman"/>
          <w:noProof/>
          <w:sz w:val="24"/>
        </w:rPr>
        <w:t xml:space="preserve"> ar šā gada 1.</w:t>
      </w:r>
      <w:r>
        <w:rPr>
          <w:rFonts w:cs="Times New Roman"/>
          <w:noProof/>
          <w:sz w:val="24"/>
        </w:rPr>
        <w:t> </w:t>
      </w:r>
      <w:r w:rsidRPr="000C1A76">
        <w:rPr>
          <w:rFonts w:cs="Times New Roman"/>
          <w:noProof/>
          <w:sz w:val="24"/>
        </w:rPr>
        <w:t>janvāri, kā arī atalgojuma pieaugums aizsardzības, iekšlietu un tieslietu sektorā strādājošajiem, tostarp izdienas pabalstu izmaksa iekšlietu un tieslietu resora amatpersonām ar speciālajām dienesta pakāpēm par katriem pieciem nepārtrauktas izdienas gadiem. Arī pašvaldību budžetā izdevumi atlīdzībai būtiski pieauga, kas lielā mērā saistāms ar lielākiem izdevumiem</w:t>
      </w:r>
      <w:r w:rsidRPr="000C1A76">
        <w:rPr>
          <w:rFonts w:cs="Times New Roman"/>
          <w:sz w:val="24"/>
        </w:rPr>
        <w:t xml:space="preserve"> pedagogu darba samaksai.</w:t>
      </w:r>
    </w:p>
    <w:p w14:paraId="6E14ADC2" w14:textId="064C41A1" w:rsidR="00A735D7" w:rsidRPr="00FF2041" w:rsidRDefault="00FF2041" w:rsidP="000D713B">
      <w:pPr>
        <w:rPr>
          <w:rFonts w:cs="Times New Roman"/>
          <w:noProof/>
          <w:sz w:val="24"/>
        </w:rPr>
      </w:pPr>
      <w:r>
        <w:rPr>
          <w:rFonts w:cs="Times New Roman"/>
          <w:sz w:val="24"/>
        </w:rPr>
        <w:t xml:space="preserve">Savukārt, kopbudžeta kapitālo izdevumu kāpums pamatā saistāms ar lielākiem izdevumiem </w:t>
      </w:r>
      <w:r>
        <w:rPr>
          <w:rFonts w:cs="Times New Roman"/>
          <w:noProof/>
          <w:sz w:val="24"/>
        </w:rPr>
        <w:t xml:space="preserve">pamatfunkciju veikšanai pamatbudžetā, </w:t>
      </w:r>
      <w:r w:rsidRPr="000C1A76">
        <w:rPr>
          <w:rFonts w:cs="Times New Roman"/>
          <w:noProof/>
          <w:sz w:val="24"/>
        </w:rPr>
        <w:t xml:space="preserve">kur </w:t>
      </w:r>
      <w:r>
        <w:rPr>
          <w:rFonts w:cs="Times New Roman"/>
          <w:noProof/>
          <w:sz w:val="24"/>
        </w:rPr>
        <w:t>aizsardzības resorā</w:t>
      </w:r>
      <w:r w:rsidRPr="000C1A76">
        <w:rPr>
          <w:rFonts w:cs="Times New Roman"/>
          <w:noProof/>
          <w:sz w:val="24"/>
        </w:rPr>
        <w:t xml:space="preserve"> šā gada februārī 145,3 milj</w:t>
      </w:r>
      <w:r>
        <w:rPr>
          <w:rFonts w:cs="Times New Roman"/>
          <w:noProof/>
          <w:sz w:val="24"/>
        </w:rPr>
        <w:t>.</w:t>
      </w:r>
      <w:r w:rsidRPr="000C1A76">
        <w:rPr>
          <w:rFonts w:cs="Times New Roman"/>
          <w:noProof/>
          <w:sz w:val="24"/>
        </w:rPr>
        <w:t xml:space="preserve"> </w:t>
      </w:r>
      <w:r w:rsidRPr="00C14E6E">
        <w:rPr>
          <w:rFonts w:cs="Times New Roman"/>
          <w:i/>
          <w:iCs/>
          <w:noProof/>
          <w:sz w:val="24"/>
        </w:rPr>
        <w:t xml:space="preserve">euro </w:t>
      </w:r>
      <w:r w:rsidRPr="000C1A76">
        <w:rPr>
          <w:rFonts w:cs="Times New Roman"/>
          <w:noProof/>
          <w:sz w:val="24"/>
        </w:rPr>
        <w:t xml:space="preserve">izlietoti </w:t>
      </w:r>
      <w:r w:rsidR="00780F46" w:rsidRPr="00780F46">
        <w:rPr>
          <w:rFonts w:cs="Times New Roman"/>
          <w:noProof/>
          <w:sz w:val="24"/>
        </w:rPr>
        <w:t>Nacionāl</w:t>
      </w:r>
      <w:r w:rsidR="00780F46">
        <w:rPr>
          <w:rFonts w:cs="Times New Roman"/>
          <w:noProof/>
          <w:sz w:val="24"/>
        </w:rPr>
        <w:t>o</w:t>
      </w:r>
      <w:r w:rsidR="00780F46" w:rsidRPr="00780F46">
        <w:rPr>
          <w:rFonts w:cs="Times New Roman"/>
          <w:noProof/>
          <w:sz w:val="24"/>
        </w:rPr>
        <w:t xml:space="preserve"> bruņot</w:t>
      </w:r>
      <w:r w:rsidR="00780F46">
        <w:rPr>
          <w:rFonts w:cs="Times New Roman"/>
          <w:noProof/>
          <w:sz w:val="24"/>
        </w:rPr>
        <w:t>o</w:t>
      </w:r>
      <w:r w:rsidR="00780F46" w:rsidRPr="00780F46">
        <w:rPr>
          <w:rFonts w:cs="Times New Roman"/>
          <w:noProof/>
          <w:sz w:val="24"/>
        </w:rPr>
        <w:t xml:space="preserve"> spēk</w:t>
      </w:r>
      <w:r w:rsidR="00780F46">
        <w:rPr>
          <w:rFonts w:cs="Times New Roman"/>
          <w:noProof/>
          <w:sz w:val="24"/>
        </w:rPr>
        <w:t>u</w:t>
      </w:r>
      <w:r w:rsidRPr="000C1A76">
        <w:rPr>
          <w:rFonts w:cs="Times New Roman"/>
          <w:noProof/>
          <w:sz w:val="24"/>
        </w:rPr>
        <w:t xml:space="preserve"> tehnikas iegādei</w:t>
      </w:r>
      <w:r>
        <w:rPr>
          <w:rFonts w:cs="Times New Roman"/>
          <w:noProof/>
          <w:sz w:val="24"/>
        </w:rPr>
        <w:t xml:space="preserve">, </w:t>
      </w:r>
      <w:r w:rsidRPr="000C1A76">
        <w:rPr>
          <w:rFonts w:cs="Times New Roman"/>
          <w:noProof/>
          <w:sz w:val="24"/>
        </w:rPr>
        <w:t xml:space="preserve">kamēr pašvaldību budžetā kapitālie izdevumi bijuši mazāki nekā pērn. Darba samaksas kāpums un inflācija, kas ietekmē sociālo pabalstu un pensiju apmērus, šogad veicināja arī sociālā rakstura maksājumu pieaugumu kopbudžetā. Saņēmēju skaitam paliekot pērnā gada līmenī, bet pieaugot vidējam apmēram, </w:t>
      </w:r>
      <w:r>
        <w:rPr>
          <w:rFonts w:cs="Times New Roman"/>
          <w:noProof/>
          <w:sz w:val="24"/>
        </w:rPr>
        <w:t xml:space="preserve">auguši </w:t>
      </w:r>
      <w:r w:rsidRPr="000C1A76">
        <w:rPr>
          <w:rFonts w:cs="Times New Roman"/>
          <w:noProof/>
          <w:sz w:val="24"/>
        </w:rPr>
        <w:t>izdevumi vecuma pensijām un invaliditātes pensijām valsts speciālajā budžetā</w:t>
      </w:r>
      <w:r>
        <w:rPr>
          <w:rFonts w:cs="Times New Roman"/>
          <w:noProof/>
          <w:sz w:val="24"/>
        </w:rPr>
        <w:t>.</w:t>
      </w:r>
      <w:r w:rsidRPr="000C1A76">
        <w:rPr>
          <w:rFonts w:cs="Times New Roman"/>
          <w:noProof/>
          <w:sz w:val="24"/>
        </w:rPr>
        <w:t xml:space="preserve"> </w:t>
      </w:r>
      <w:r>
        <w:rPr>
          <w:rFonts w:cs="Times New Roman"/>
          <w:noProof/>
          <w:sz w:val="24"/>
        </w:rPr>
        <w:t xml:space="preserve">Tāpat izdevumi kāpuši </w:t>
      </w:r>
      <w:r w:rsidRPr="000C1A76">
        <w:rPr>
          <w:rFonts w:cs="Times New Roman"/>
          <w:noProof/>
          <w:sz w:val="24"/>
        </w:rPr>
        <w:t>slimības pabalstiem</w:t>
      </w:r>
      <w:r>
        <w:rPr>
          <w:rFonts w:cs="Times New Roman"/>
          <w:noProof/>
          <w:sz w:val="24"/>
        </w:rPr>
        <w:t>, k</w:t>
      </w:r>
      <w:r w:rsidRPr="000C1A76">
        <w:rPr>
          <w:rFonts w:cs="Times New Roman"/>
          <w:noProof/>
          <w:sz w:val="24"/>
        </w:rPr>
        <w:t xml:space="preserve">o noteica slimības pabalsta vidējā apmēra pieaugums (šā gada divos mēnešos par 19,3%), kamēr saņēmēju skaits samazinājās salīdzinājumā ar 2023. gada diviem mēnešiem. Sociāla rakstura maksājumi aug arī pašvaldību budžetā, palielinoties samaksai par sociālās aprūpes pakalpojumiem, tai skaitā </w:t>
      </w:r>
      <w:r>
        <w:rPr>
          <w:rFonts w:cs="Times New Roman"/>
          <w:noProof/>
          <w:sz w:val="24"/>
        </w:rPr>
        <w:t xml:space="preserve">par </w:t>
      </w:r>
      <w:r w:rsidRPr="000C1A76">
        <w:rPr>
          <w:rFonts w:cs="Times New Roman"/>
          <w:noProof/>
          <w:sz w:val="24"/>
        </w:rPr>
        <w:t>aprūpi mājās.</w:t>
      </w:r>
    </w:p>
    <w:p w14:paraId="78EFDF38" w14:textId="77777777" w:rsidR="00247690" w:rsidRPr="00874664" w:rsidRDefault="00247690" w:rsidP="00247690">
      <w:pPr>
        <w:rPr>
          <w:rFonts w:eastAsia="Times New Roman" w:cs="Times New Roman"/>
          <w:sz w:val="24"/>
          <w:highlight w:val="lightGray"/>
        </w:rPr>
      </w:pPr>
    </w:p>
    <w:p w14:paraId="634D654E" w14:textId="4BC94FEA" w:rsidR="00581441" w:rsidRPr="00581E0E" w:rsidRDefault="002E0152" w:rsidP="002E0152">
      <w:pPr>
        <w:pStyle w:val="Heading2"/>
        <w:numPr>
          <w:ilvl w:val="0"/>
          <w:numId w:val="0"/>
        </w:numPr>
        <w:spacing w:before="0" w:after="240"/>
        <w:ind w:left="576" w:hanging="576"/>
        <w:rPr>
          <w:rFonts w:cs="Times New Roman"/>
          <w:sz w:val="28"/>
        </w:rPr>
      </w:pPr>
      <w:bookmarkStart w:id="40" w:name="_Toc164679825"/>
      <w:r>
        <w:rPr>
          <w:rFonts w:cs="Times New Roman"/>
          <w:sz w:val="28"/>
        </w:rPr>
        <w:t xml:space="preserve">3.3. </w:t>
      </w:r>
      <w:r w:rsidR="00E9430A" w:rsidRPr="00581E0E">
        <w:rPr>
          <w:rFonts w:cs="Times New Roman"/>
          <w:sz w:val="28"/>
        </w:rPr>
        <w:t>Atbalsta pasākumi krīžu seku mazināšanai</w:t>
      </w:r>
      <w:bookmarkEnd w:id="40"/>
    </w:p>
    <w:p w14:paraId="770E016F" w14:textId="77777777" w:rsidR="00E45B42" w:rsidRDefault="00E45B42" w:rsidP="00BA387D">
      <w:pPr>
        <w:rPr>
          <w:rFonts w:eastAsia="Calibri" w:cs="Times New Roman"/>
          <w:noProof/>
          <w:color w:val="000000"/>
          <w:sz w:val="24"/>
          <w:szCs w:val="24"/>
        </w:rPr>
      </w:pPr>
      <w:r w:rsidRPr="00581E0E">
        <w:rPr>
          <w:rFonts w:eastAsia="Calibri" w:cs="Times New Roman"/>
          <w:noProof/>
          <w:color w:val="000000"/>
          <w:sz w:val="24"/>
          <w:szCs w:val="24"/>
        </w:rPr>
        <w:t>Kopš 2020. gada Latvijā, līdzīgi kā pārējās reģiona valstīs, ir bijusi nepieciešamība</w:t>
      </w:r>
      <w:r w:rsidRPr="00D96A30">
        <w:rPr>
          <w:rFonts w:eastAsia="Calibri" w:cs="Times New Roman"/>
          <w:noProof/>
          <w:color w:val="000000"/>
          <w:sz w:val="24"/>
          <w:szCs w:val="24"/>
        </w:rPr>
        <w:t xml:space="preserve"> papildus regulārajiem izdevumiem atvēlēt </w:t>
      </w:r>
      <w:r>
        <w:rPr>
          <w:rFonts w:eastAsia="Calibri" w:cs="Times New Roman"/>
          <w:noProof/>
          <w:color w:val="000000"/>
          <w:sz w:val="24"/>
          <w:szCs w:val="24"/>
        </w:rPr>
        <w:t xml:space="preserve">būtisku, bet vienlaikus terminētu </w:t>
      </w:r>
      <w:r w:rsidRPr="00D96A30">
        <w:rPr>
          <w:rFonts w:eastAsia="Calibri" w:cs="Times New Roman"/>
          <w:noProof/>
          <w:color w:val="000000"/>
          <w:sz w:val="24"/>
          <w:szCs w:val="24"/>
        </w:rPr>
        <w:t>finansējumu Covid-19 pandēmijas radīto seku mazināšanai</w:t>
      </w:r>
      <w:r>
        <w:rPr>
          <w:rFonts w:eastAsia="Calibri" w:cs="Times New Roman"/>
          <w:noProof/>
          <w:color w:val="000000"/>
          <w:sz w:val="24"/>
          <w:szCs w:val="24"/>
        </w:rPr>
        <w:t>,</w:t>
      </w:r>
      <w:r w:rsidRPr="00D96A30">
        <w:rPr>
          <w:rFonts w:eastAsia="Calibri" w:cs="Times New Roman"/>
          <w:noProof/>
          <w:color w:val="000000"/>
          <w:sz w:val="24"/>
          <w:szCs w:val="24"/>
        </w:rPr>
        <w:t xml:space="preserve"> savukārt kopš 2022. gada arī </w:t>
      </w:r>
      <w:r>
        <w:rPr>
          <w:rFonts w:eastAsia="Calibri" w:cs="Times New Roman"/>
          <w:noProof/>
          <w:color w:val="000000"/>
          <w:sz w:val="24"/>
          <w:szCs w:val="24"/>
        </w:rPr>
        <w:t xml:space="preserve">līdzekļus </w:t>
      </w:r>
      <w:r w:rsidRPr="00D96A30">
        <w:rPr>
          <w:rFonts w:eastAsia="Calibri" w:cs="Times New Roman"/>
          <w:noProof/>
          <w:color w:val="000000"/>
          <w:sz w:val="24"/>
          <w:szCs w:val="24"/>
        </w:rPr>
        <w:t>energoresursu cenu pieauguma ietekmes mazināšanai un Ukrainas bēgļu atbalstam.</w:t>
      </w:r>
      <w:r>
        <w:rPr>
          <w:rFonts w:eastAsia="Calibri" w:cs="Times New Roman"/>
          <w:noProof/>
          <w:color w:val="000000"/>
          <w:sz w:val="24"/>
          <w:szCs w:val="24"/>
        </w:rPr>
        <w:t xml:space="preserve"> </w:t>
      </w:r>
    </w:p>
    <w:p w14:paraId="6F59E7EC" w14:textId="311078CA" w:rsidR="00E45B42" w:rsidRDefault="00E45B42" w:rsidP="00BA387D">
      <w:pPr>
        <w:rPr>
          <w:rFonts w:eastAsia="Calibri" w:cs="Times New Roman"/>
          <w:noProof/>
          <w:color w:val="000000"/>
          <w:sz w:val="24"/>
          <w:szCs w:val="24"/>
        </w:rPr>
      </w:pPr>
      <w:r w:rsidRPr="00A57F9C">
        <w:rPr>
          <w:rFonts w:eastAsia="Calibri" w:cs="Times New Roman"/>
          <w:noProof/>
          <w:color w:val="000000"/>
          <w:sz w:val="24"/>
          <w:szCs w:val="24"/>
        </w:rPr>
        <w:t>Izdevumi atbalsta pasākumiem 2023.</w:t>
      </w:r>
      <w:r>
        <w:rPr>
          <w:rFonts w:eastAsia="Calibri" w:cs="Times New Roman"/>
          <w:noProof/>
          <w:color w:val="000000"/>
          <w:sz w:val="24"/>
          <w:szCs w:val="24"/>
        </w:rPr>
        <w:t> </w:t>
      </w:r>
      <w:r w:rsidRPr="00A57F9C">
        <w:rPr>
          <w:rFonts w:eastAsia="Calibri" w:cs="Times New Roman"/>
          <w:noProof/>
          <w:color w:val="000000"/>
          <w:sz w:val="24"/>
          <w:szCs w:val="24"/>
        </w:rPr>
        <w:t>gadā bijuši būtiski zemākā apmērā nekā gadu iepriekš</w:t>
      </w:r>
      <w:r>
        <w:rPr>
          <w:rFonts w:eastAsia="Calibri" w:cs="Times New Roman"/>
          <w:noProof/>
          <w:color w:val="000000"/>
          <w:sz w:val="24"/>
          <w:szCs w:val="24"/>
        </w:rPr>
        <w:t>, t.i., nepilni 600 </w:t>
      </w:r>
      <w:r w:rsidRPr="00A57F9C">
        <w:rPr>
          <w:rFonts w:eastAsia="Calibri" w:cs="Times New Roman"/>
          <w:noProof/>
          <w:color w:val="000000"/>
          <w:sz w:val="24"/>
          <w:szCs w:val="24"/>
        </w:rPr>
        <w:t>milj</w:t>
      </w:r>
      <w:r>
        <w:rPr>
          <w:rFonts w:eastAsia="Calibri" w:cs="Times New Roman"/>
          <w:noProof/>
          <w:color w:val="000000"/>
          <w:sz w:val="24"/>
          <w:szCs w:val="24"/>
        </w:rPr>
        <w:t>.</w:t>
      </w:r>
      <w:r w:rsidRPr="00A57F9C">
        <w:rPr>
          <w:rFonts w:eastAsia="Calibri" w:cs="Times New Roman"/>
          <w:noProof/>
          <w:color w:val="000000"/>
          <w:sz w:val="24"/>
          <w:szCs w:val="24"/>
        </w:rPr>
        <w:t xml:space="preserve"> </w:t>
      </w:r>
      <w:r w:rsidRPr="00E45B42">
        <w:rPr>
          <w:rFonts w:eastAsia="Calibri" w:cs="Times New Roman"/>
          <w:i/>
          <w:iCs/>
          <w:noProof/>
          <w:color w:val="000000"/>
          <w:sz w:val="24"/>
          <w:szCs w:val="24"/>
        </w:rPr>
        <w:t>euro</w:t>
      </w:r>
      <w:r>
        <w:rPr>
          <w:rFonts w:eastAsia="Calibri" w:cs="Times New Roman"/>
          <w:noProof/>
          <w:color w:val="000000"/>
          <w:sz w:val="24"/>
          <w:szCs w:val="24"/>
        </w:rPr>
        <w:t>.</w:t>
      </w:r>
      <w:r w:rsidRPr="00A57F9C">
        <w:rPr>
          <w:rFonts w:eastAsia="Calibri" w:cs="Times New Roman"/>
          <w:noProof/>
          <w:color w:val="000000"/>
          <w:sz w:val="24"/>
          <w:szCs w:val="24"/>
        </w:rPr>
        <w:t xml:space="preserve"> </w:t>
      </w:r>
      <w:r>
        <w:rPr>
          <w:rFonts w:eastAsia="Calibri" w:cs="Times New Roman"/>
          <w:noProof/>
          <w:color w:val="000000"/>
          <w:sz w:val="24"/>
          <w:szCs w:val="24"/>
        </w:rPr>
        <w:t>Lielāko daļu veidoja e</w:t>
      </w:r>
      <w:r w:rsidRPr="00A57F9C">
        <w:rPr>
          <w:rFonts w:eastAsia="Calibri" w:cs="Times New Roman"/>
          <w:noProof/>
          <w:color w:val="000000"/>
          <w:sz w:val="24"/>
          <w:szCs w:val="24"/>
        </w:rPr>
        <w:t>nergoatbalst</w:t>
      </w:r>
      <w:r>
        <w:rPr>
          <w:rFonts w:eastAsia="Calibri" w:cs="Times New Roman"/>
          <w:noProof/>
          <w:color w:val="000000"/>
          <w:sz w:val="24"/>
          <w:szCs w:val="24"/>
        </w:rPr>
        <w:t xml:space="preserve">s – </w:t>
      </w:r>
      <w:r w:rsidRPr="00A57F9C">
        <w:rPr>
          <w:rFonts w:eastAsia="Calibri" w:cs="Times New Roman"/>
          <w:noProof/>
          <w:color w:val="000000"/>
          <w:sz w:val="24"/>
          <w:szCs w:val="24"/>
        </w:rPr>
        <w:t>454</w:t>
      </w:r>
      <w:r>
        <w:rPr>
          <w:rFonts w:eastAsia="Calibri" w:cs="Times New Roman"/>
          <w:noProof/>
          <w:color w:val="000000"/>
          <w:sz w:val="24"/>
          <w:szCs w:val="24"/>
        </w:rPr>
        <w:t> </w:t>
      </w:r>
      <w:r w:rsidRPr="00A57F9C">
        <w:rPr>
          <w:rFonts w:eastAsia="Calibri" w:cs="Times New Roman"/>
          <w:noProof/>
          <w:color w:val="000000"/>
          <w:sz w:val="24"/>
          <w:szCs w:val="24"/>
        </w:rPr>
        <w:t>milj</w:t>
      </w:r>
      <w:r>
        <w:rPr>
          <w:rFonts w:eastAsia="Calibri" w:cs="Times New Roman"/>
          <w:noProof/>
          <w:color w:val="000000"/>
          <w:sz w:val="24"/>
          <w:szCs w:val="24"/>
        </w:rPr>
        <w:t>.</w:t>
      </w:r>
      <w:r w:rsidRPr="00A57F9C">
        <w:rPr>
          <w:rFonts w:eastAsia="Calibri" w:cs="Times New Roman"/>
          <w:noProof/>
          <w:color w:val="000000"/>
          <w:sz w:val="24"/>
          <w:szCs w:val="24"/>
        </w:rPr>
        <w:t xml:space="preserve"> </w:t>
      </w:r>
      <w:r w:rsidRPr="00E45B42">
        <w:rPr>
          <w:rFonts w:eastAsia="Calibri" w:cs="Times New Roman"/>
          <w:i/>
          <w:iCs/>
          <w:noProof/>
          <w:color w:val="000000"/>
          <w:sz w:val="24"/>
          <w:szCs w:val="24"/>
        </w:rPr>
        <w:t>euro</w:t>
      </w:r>
      <w:r>
        <w:rPr>
          <w:rFonts w:eastAsia="Calibri" w:cs="Times New Roman"/>
          <w:noProof/>
          <w:color w:val="000000"/>
          <w:sz w:val="24"/>
          <w:szCs w:val="24"/>
        </w:rPr>
        <w:t xml:space="preserve">, </w:t>
      </w:r>
      <w:r>
        <w:rPr>
          <w:rFonts w:eastAsia="Calibri" w:cs="Times New Roman"/>
          <w:noProof/>
          <w:color w:val="000000"/>
          <w:sz w:val="24"/>
          <w:szCs w:val="24"/>
        </w:rPr>
        <w:lastRenderedPageBreak/>
        <w:t xml:space="preserve">galvenokārt kompensējot siltumenerģijas un elektroenerģijas izmaksu pieaugumu uzņēmumiem un mājsaimniecībām, Covid-19 atbalstam tika izlietoti 77 milj. </w:t>
      </w:r>
      <w:r w:rsidRPr="00E45B42">
        <w:rPr>
          <w:rFonts w:eastAsia="Calibri" w:cs="Times New Roman"/>
          <w:i/>
          <w:iCs/>
          <w:noProof/>
          <w:color w:val="000000"/>
          <w:sz w:val="24"/>
          <w:szCs w:val="24"/>
        </w:rPr>
        <w:t>euro</w:t>
      </w:r>
      <w:r>
        <w:rPr>
          <w:rFonts w:eastAsia="Calibri" w:cs="Times New Roman"/>
          <w:noProof/>
          <w:color w:val="000000"/>
          <w:sz w:val="24"/>
          <w:szCs w:val="24"/>
        </w:rPr>
        <w:t xml:space="preserve"> un Ukrainas civiliedzīvotāju atbalstam 68 milj. </w:t>
      </w:r>
      <w:r w:rsidRPr="00E45B42">
        <w:rPr>
          <w:rFonts w:eastAsia="Calibri" w:cs="Times New Roman"/>
          <w:i/>
          <w:iCs/>
          <w:noProof/>
          <w:color w:val="000000"/>
          <w:sz w:val="24"/>
          <w:szCs w:val="24"/>
        </w:rPr>
        <w:t>euro</w:t>
      </w:r>
      <w:r>
        <w:rPr>
          <w:rFonts w:eastAsia="Calibri" w:cs="Times New Roman"/>
          <w:noProof/>
          <w:color w:val="000000"/>
          <w:sz w:val="24"/>
          <w:szCs w:val="24"/>
        </w:rPr>
        <w:t>. Kopējā atbalsta ietekme uz vispārējās valdības budžeta bilanci 2023. gadā bija negatīva – 1,5% no IKP, no kuriem 1,1% no IKP energoatbalstam, 0,2% no IKP Covid-19 un 0,2% no IKP Ukrainas civiliedzīvotāju atbalstam.</w:t>
      </w:r>
    </w:p>
    <w:p w14:paraId="60BF3CA7" w14:textId="77777777" w:rsidR="00E45B42" w:rsidRDefault="00E45B42" w:rsidP="00E45B42">
      <w:pPr>
        <w:ind w:firstLine="709"/>
        <w:rPr>
          <w:rFonts w:eastAsia="Calibri" w:cs="Times New Roman"/>
          <w:noProof/>
          <w:color w:val="000000"/>
          <w:sz w:val="24"/>
          <w:szCs w:val="24"/>
        </w:rPr>
      </w:pPr>
    </w:p>
    <w:p w14:paraId="67233873" w14:textId="7D43F6B9" w:rsidR="00E45B42" w:rsidRPr="004576B5" w:rsidRDefault="00E45B42" w:rsidP="00E45B42">
      <w:pPr>
        <w:spacing w:after="120"/>
        <w:jc w:val="right"/>
        <w:rPr>
          <w:rFonts w:eastAsia="Calibri" w:cs="Times New Roman"/>
          <w:b/>
          <w:bCs/>
          <w:i/>
          <w:iCs/>
          <w:noProof/>
          <w:sz w:val="24"/>
          <w:szCs w:val="24"/>
        </w:rPr>
      </w:pPr>
      <w:r w:rsidRPr="004576B5">
        <w:rPr>
          <w:rFonts w:eastAsia="Calibri" w:cs="Times New Roman"/>
          <w:b/>
          <w:bCs/>
          <w:i/>
          <w:iCs/>
          <w:noProof/>
          <w:sz w:val="24"/>
          <w:szCs w:val="24"/>
        </w:rPr>
        <w:t>3.</w:t>
      </w:r>
      <w:r w:rsidR="00692526">
        <w:rPr>
          <w:rFonts w:eastAsia="Calibri" w:cs="Times New Roman"/>
          <w:b/>
          <w:bCs/>
          <w:i/>
          <w:iCs/>
          <w:noProof/>
          <w:sz w:val="24"/>
          <w:szCs w:val="24"/>
        </w:rPr>
        <w:t>7</w:t>
      </w:r>
      <w:r w:rsidRPr="004576B5">
        <w:rPr>
          <w:rFonts w:eastAsia="Calibri" w:cs="Times New Roman"/>
          <w:b/>
          <w:bCs/>
          <w:i/>
          <w:iCs/>
          <w:noProof/>
          <w:sz w:val="24"/>
          <w:szCs w:val="24"/>
        </w:rPr>
        <w:t>. tabula Atbalsta apjoms un tā ietekme uz vispārējās valdības budžeta bilanci,</w:t>
      </w:r>
      <w:r w:rsidRPr="004576B5">
        <w:rPr>
          <w:rFonts w:eastAsia="Calibri" w:cs="Times New Roman"/>
          <w:b/>
          <w:bCs/>
          <w:i/>
          <w:iCs/>
          <w:noProof/>
          <w:sz w:val="24"/>
          <w:szCs w:val="24"/>
        </w:rPr>
        <w:br/>
        <w:t>milj. euro un % no IKP</w:t>
      </w:r>
    </w:p>
    <w:tbl>
      <w:tblPr>
        <w:tblW w:w="9364" w:type="dxa"/>
        <w:jc w:val="center"/>
        <w:tblLook w:val="04A0" w:firstRow="1" w:lastRow="0" w:firstColumn="1" w:lastColumn="0" w:noHBand="0" w:noVBand="1"/>
      </w:tblPr>
      <w:tblGrid>
        <w:gridCol w:w="1030"/>
        <w:gridCol w:w="857"/>
        <w:gridCol w:w="857"/>
        <w:gridCol w:w="857"/>
        <w:gridCol w:w="857"/>
        <w:gridCol w:w="739"/>
        <w:gridCol w:w="857"/>
        <w:gridCol w:w="857"/>
        <w:gridCol w:w="857"/>
        <w:gridCol w:w="857"/>
        <w:gridCol w:w="739"/>
      </w:tblGrid>
      <w:tr w:rsidR="00E45B42" w:rsidRPr="00E45B42" w14:paraId="565D4F46" w14:textId="77777777" w:rsidTr="00E45B42">
        <w:trPr>
          <w:trHeight w:val="219"/>
          <w:jc w:val="center"/>
        </w:trPr>
        <w:tc>
          <w:tcPr>
            <w:tcW w:w="1030" w:type="dxa"/>
            <w:vMerge w:val="restart"/>
            <w:tcBorders>
              <w:top w:val="single" w:sz="4" w:space="0" w:color="auto"/>
              <w:left w:val="single" w:sz="4" w:space="0" w:color="auto"/>
              <w:right w:val="nil"/>
            </w:tcBorders>
            <w:shd w:val="clear" w:color="auto" w:fill="BDD6EE"/>
            <w:noWrap/>
            <w:vAlign w:val="center"/>
          </w:tcPr>
          <w:p w14:paraId="34C23B6B" w14:textId="77777777" w:rsidR="00E45B42" w:rsidRPr="00E45B42" w:rsidRDefault="00E45B42" w:rsidP="00E45B42">
            <w:pPr>
              <w:ind w:firstLine="0"/>
              <w:jc w:val="center"/>
              <w:rPr>
                <w:rFonts w:eastAsia="Calibri" w:cs="Times New Roman"/>
                <w:noProof/>
                <w:sz w:val="20"/>
                <w:szCs w:val="20"/>
                <w:lang w:eastAsia="lv-LV"/>
              </w:rPr>
            </w:pPr>
          </w:p>
        </w:tc>
        <w:tc>
          <w:tcPr>
            <w:tcW w:w="4167" w:type="dxa"/>
            <w:gridSpan w:val="5"/>
            <w:tcBorders>
              <w:top w:val="single" w:sz="4" w:space="0" w:color="auto"/>
              <w:left w:val="single" w:sz="4" w:space="0" w:color="auto"/>
              <w:bottom w:val="single" w:sz="4" w:space="0" w:color="auto"/>
              <w:right w:val="double" w:sz="4" w:space="0" w:color="auto"/>
            </w:tcBorders>
            <w:shd w:val="clear" w:color="auto" w:fill="BDD6EE"/>
            <w:noWrap/>
            <w:vAlign w:val="center"/>
          </w:tcPr>
          <w:p w14:paraId="1A6E541C" w14:textId="77777777" w:rsidR="00E45B42" w:rsidRPr="00E45B42" w:rsidRDefault="00E45B42" w:rsidP="00E45B42">
            <w:pPr>
              <w:ind w:firstLine="0"/>
              <w:jc w:val="center"/>
              <w:rPr>
                <w:rFonts w:eastAsia="Calibri" w:cs="Times New Roman"/>
                <w:b/>
                <w:bCs/>
                <w:noProof/>
                <w:sz w:val="22"/>
                <w:lang w:eastAsia="lv-LV"/>
              </w:rPr>
            </w:pPr>
            <w:r w:rsidRPr="00E45B42">
              <w:rPr>
                <w:rFonts w:eastAsia="Calibri" w:cs="Times New Roman"/>
                <w:b/>
                <w:bCs/>
                <w:noProof/>
                <w:sz w:val="22"/>
              </w:rPr>
              <w:t>Atbalsta apjoms</w:t>
            </w:r>
          </w:p>
        </w:tc>
        <w:tc>
          <w:tcPr>
            <w:tcW w:w="4167" w:type="dxa"/>
            <w:gridSpan w:val="5"/>
            <w:tcBorders>
              <w:top w:val="single" w:sz="4" w:space="0" w:color="auto"/>
              <w:left w:val="double" w:sz="4" w:space="0" w:color="auto"/>
              <w:bottom w:val="single" w:sz="4" w:space="0" w:color="auto"/>
              <w:right w:val="single" w:sz="4" w:space="0" w:color="auto"/>
            </w:tcBorders>
            <w:shd w:val="clear" w:color="auto" w:fill="BDD6EE"/>
            <w:vAlign w:val="center"/>
          </w:tcPr>
          <w:p w14:paraId="159D80A7" w14:textId="77777777" w:rsidR="00E45B42" w:rsidRPr="00E45B42" w:rsidRDefault="00E45B42" w:rsidP="00E45B42">
            <w:pPr>
              <w:ind w:firstLine="0"/>
              <w:jc w:val="center"/>
              <w:rPr>
                <w:rFonts w:eastAsia="Calibri" w:cs="Times New Roman"/>
                <w:b/>
                <w:bCs/>
                <w:noProof/>
                <w:sz w:val="22"/>
                <w:lang w:eastAsia="lv-LV"/>
              </w:rPr>
            </w:pPr>
            <w:r w:rsidRPr="00E45B42">
              <w:rPr>
                <w:rFonts w:eastAsia="Calibri" w:cs="Times New Roman"/>
                <w:b/>
                <w:bCs/>
                <w:noProof/>
                <w:sz w:val="22"/>
              </w:rPr>
              <w:t>Ietekme uz budžeta bilanci</w:t>
            </w:r>
          </w:p>
        </w:tc>
      </w:tr>
      <w:tr w:rsidR="00E45B42" w:rsidRPr="00E45B42" w14:paraId="0C0B81A8" w14:textId="77777777" w:rsidTr="00E45B42">
        <w:trPr>
          <w:trHeight w:val="211"/>
          <w:jc w:val="center"/>
        </w:trPr>
        <w:tc>
          <w:tcPr>
            <w:tcW w:w="1030" w:type="dxa"/>
            <w:vMerge/>
            <w:tcBorders>
              <w:left w:val="single" w:sz="4" w:space="0" w:color="auto"/>
              <w:right w:val="nil"/>
            </w:tcBorders>
            <w:shd w:val="clear" w:color="auto" w:fill="BDD6EE"/>
            <w:noWrap/>
            <w:vAlign w:val="center"/>
            <w:hideMark/>
          </w:tcPr>
          <w:p w14:paraId="54B70AA4" w14:textId="77777777" w:rsidR="00E45B42" w:rsidRPr="00E45B42" w:rsidRDefault="00E45B42" w:rsidP="00E45B42">
            <w:pPr>
              <w:ind w:firstLine="0"/>
              <w:jc w:val="center"/>
              <w:rPr>
                <w:rFonts w:eastAsia="Calibri" w:cs="Times New Roman"/>
                <w:noProof/>
                <w:sz w:val="20"/>
                <w:szCs w:val="20"/>
                <w:lang w:eastAsia="lv-LV"/>
              </w:rPr>
            </w:pPr>
          </w:p>
        </w:tc>
        <w:tc>
          <w:tcPr>
            <w:tcW w:w="857"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14:paraId="0D202A18" w14:textId="77777777" w:rsidR="00E45B42" w:rsidRPr="00E45B42" w:rsidRDefault="00E45B42" w:rsidP="00E45B42">
            <w:pPr>
              <w:ind w:firstLine="0"/>
              <w:jc w:val="center"/>
              <w:rPr>
                <w:rFonts w:eastAsia="Calibri" w:cs="Times New Roman"/>
                <w:b/>
                <w:bCs/>
                <w:noProof/>
                <w:sz w:val="20"/>
                <w:szCs w:val="20"/>
                <w:lang w:eastAsia="lv-LV"/>
              </w:rPr>
            </w:pPr>
            <w:r w:rsidRPr="00E45B42">
              <w:rPr>
                <w:rFonts w:eastAsia="Calibri" w:cs="Times New Roman"/>
                <w:b/>
                <w:bCs/>
                <w:noProof/>
                <w:sz w:val="20"/>
                <w:szCs w:val="20"/>
                <w:lang w:eastAsia="lv-LV"/>
              </w:rPr>
              <w:t>2020</w:t>
            </w:r>
          </w:p>
        </w:tc>
        <w:tc>
          <w:tcPr>
            <w:tcW w:w="857" w:type="dxa"/>
            <w:tcBorders>
              <w:top w:val="single" w:sz="4" w:space="0" w:color="auto"/>
              <w:left w:val="nil"/>
              <w:bottom w:val="single" w:sz="4" w:space="0" w:color="auto"/>
              <w:right w:val="single" w:sz="4" w:space="0" w:color="auto"/>
            </w:tcBorders>
            <w:shd w:val="clear" w:color="auto" w:fill="BDD6EE"/>
            <w:noWrap/>
            <w:vAlign w:val="center"/>
            <w:hideMark/>
          </w:tcPr>
          <w:p w14:paraId="25FB9F81" w14:textId="77777777" w:rsidR="00E45B42" w:rsidRPr="00E45B42" w:rsidRDefault="00E45B42" w:rsidP="00E45B42">
            <w:pPr>
              <w:ind w:firstLine="0"/>
              <w:jc w:val="center"/>
              <w:rPr>
                <w:rFonts w:eastAsia="Calibri" w:cs="Times New Roman"/>
                <w:b/>
                <w:bCs/>
                <w:noProof/>
                <w:sz w:val="20"/>
                <w:szCs w:val="20"/>
                <w:lang w:eastAsia="lv-LV"/>
              </w:rPr>
            </w:pPr>
            <w:r w:rsidRPr="00E45B42">
              <w:rPr>
                <w:rFonts w:eastAsia="Calibri" w:cs="Times New Roman"/>
                <w:b/>
                <w:bCs/>
                <w:noProof/>
                <w:sz w:val="20"/>
                <w:szCs w:val="20"/>
                <w:lang w:eastAsia="lv-LV"/>
              </w:rPr>
              <w:t>2021</w:t>
            </w:r>
          </w:p>
        </w:tc>
        <w:tc>
          <w:tcPr>
            <w:tcW w:w="857" w:type="dxa"/>
            <w:tcBorders>
              <w:top w:val="single" w:sz="4" w:space="0" w:color="auto"/>
              <w:left w:val="nil"/>
              <w:bottom w:val="single" w:sz="4" w:space="0" w:color="auto"/>
              <w:right w:val="single" w:sz="4" w:space="0" w:color="auto"/>
            </w:tcBorders>
            <w:shd w:val="clear" w:color="auto" w:fill="BDD6EE"/>
            <w:noWrap/>
            <w:vAlign w:val="center"/>
            <w:hideMark/>
          </w:tcPr>
          <w:p w14:paraId="4122E7F6" w14:textId="77777777" w:rsidR="00E45B42" w:rsidRPr="00E45B42" w:rsidRDefault="00E45B42" w:rsidP="00E45B42">
            <w:pPr>
              <w:ind w:firstLine="0"/>
              <w:jc w:val="center"/>
              <w:rPr>
                <w:rFonts w:eastAsia="Calibri" w:cs="Times New Roman"/>
                <w:b/>
                <w:bCs/>
                <w:noProof/>
                <w:sz w:val="20"/>
                <w:szCs w:val="20"/>
                <w:lang w:eastAsia="lv-LV"/>
              </w:rPr>
            </w:pPr>
            <w:r w:rsidRPr="00E45B42">
              <w:rPr>
                <w:rFonts w:eastAsia="Calibri" w:cs="Times New Roman"/>
                <w:b/>
                <w:bCs/>
                <w:noProof/>
                <w:sz w:val="20"/>
                <w:szCs w:val="20"/>
                <w:lang w:eastAsia="lv-LV"/>
              </w:rPr>
              <w:t>2022</w:t>
            </w:r>
          </w:p>
        </w:tc>
        <w:tc>
          <w:tcPr>
            <w:tcW w:w="857" w:type="dxa"/>
            <w:tcBorders>
              <w:top w:val="single" w:sz="4" w:space="0" w:color="auto"/>
              <w:left w:val="nil"/>
              <w:bottom w:val="single" w:sz="4" w:space="0" w:color="auto"/>
              <w:right w:val="nil"/>
            </w:tcBorders>
            <w:shd w:val="clear" w:color="auto" w:fill="BDD6EE"/>
            <w:noWrap/>
            <w:vAlign w:val="center"/>
            <w:hideMark/>
          </w:tcPr>
          <w:p w14:paraId="7329A8DF" w14:textId="77777777" w:rsidR="00E45B42" w:rsidRPr="00E45B42" w:rsidRDefault="00E45B42" w:rsidP="00E45B42">
            <w:pPr>
              <w:ind w:firstLine="0"/>
              <w:jc w:val="center"/>
              <w:rPr>
                <w:rFonts w:eastAsia="Calibri" w:cs="Times New Roman"/>
                <w:b/>
                <w:bCs/>
                <w:noProof/>
                <w:sz w:val="20"/>
                <w:szCs w:val="20"/>
                <w:lang w:eastAsia="lv-LV"/>
              </w:rPr>
            </w:pPr>
            <w:r w:rsidRPr="00E45B42">
              <w:rPr>
                <w:rFonts w:eastAsia="Calibri" w:cs="Times New Roman"/>
                <w:b/>
                <w:bCs/>
                <w:noProof/>
                <w:sz w:val="20"/>
                <w:szCs w:val="20"/>
                <w:lang w:eastAsia="lv-LV"/>
              </w:rPr>
              <w:t>2023</w:t>
            </w:r>
          </w:p>
        </w:tc>
        <w:tc>
          <w:tcPr>
            <w:tcW w:w="739" w:type="dxa"/>
            <w:tcBorders>
              <w:top w:val="single" w:sz="4" w:space="0" w:color="auto"/>
              <w:left w:val="single" w:sz="4" w:space="0" w:color="auto"/>
              <w:bottom w:val="single" w:sz="4" w:space="0" w:color="auto"/>
              <w:right w:val="double" w:sz="4" w:space="0" w:color="auto"/>
            </w:tcBorders>
            <w:shd w:val="clear" w:color="auto" w:fill="BDD6EE"/>
            <w:noWrap/>
            <w:vAlign w:val="center"/>
            <w:hideMark/>
          </w:tcPr>
          <w:p w14:paraId="2040716B" w14:textId="77777777" w:rsidR="00E45B42" w:rsidRPr="00E45B42" w:rsidRDefault="00E45B42" w:rsidP="00E45B42">
            <w:pPr>
              <w:ind w:firstLine="0"/>
              <w:jc w:val="center"/>
              <w:rPr>
                <w:rFonts w:eastAsia="Calibri" w:cs="Times New Roman"/>
                <w:b/>
                <w:bCs/>
                <w:noProof/>
                <w:sz w:val="20"/>
                <w:szCs w:val="20"/>
                <w:lang w:eastAsia="lv-LV"/>
              </w:rPr>
            </w:pPr>
            <w:r w:rsidRPr="00E45B42">
              <w:rPr>
                <w:rFonts w:eastAsia="Calibri" w:cs="Times New Roman"/>
                <w:b/>
                <w:bCs/>
                <w:noProof/>
                <w:sz w:val="20"/>
                <w:szCs w:val="20"/>
                <w:lang w:eastAsia="lv-LV"/>
              </w:rPr>
              <w:t>2024</w:t>
            </w:r>
          </w:p>
        </w:tc>
        <w:tc>
          <w:tcPr>
            <w:tcW w:w="857" w:type="dxa"/>
            <w:tcBorders>
              <w:top w:val="single" w:sz="4" w:space="0" w:color="auto"/>
              <w:left w:val="double" w:sz="4" w:space="0" w:color="auto"/>
              <w:bottom w:val="single" w:sz="4" w:space="0" w:color="auto"/>
              <w:right w:val="single" w:sz="4" w:space="0" w:color="auto"/>
            </w:tcBorders>
            <w:shd w:val="clear" w:color="auto" w:fill="BDD6EE"/>
            <w:vAlign w:val="center"/>
          </w:tcPr>
          <w:p w14:paraId="634BD9D4" w14:textId="77777777" w:rsidR="00E45B42" w:rsidRPr="00E45B42" w:rsidRDefault="00E45B42" w:rsidP="00E45B42">
            <w:pPr>
              <w:ind w:firstLine="0"/>
              <w:jc w:val="center"/>
              <w:rPr>
                <w:rFonts w:eastAsia="Calibri" w:cs="Times New Roman"/>
                <w:b/>
                <w:bCs/>
                <w:noProof/>
                <w:sz w:val="20"/>
                <w:szCs w:val="20"/>
                <w:lang w:eastAsia="lv-LV"/>
              </w:rPr>
            </w:pPr>
            <w:r w:rsidRPr="00E45B42">
              <w:rPr>
                <w:rFonts w:eastAsia="Calibri" w:cs="Times New Roman"/>
                <w:b/>
                <w:bCs/>
                <w:noProof/>
                <w:sz w:val="20"/>
                <w:szCs w:val="20"/>
                <w:lang w:eastAsia="lv-LV"/>
              </w:rPr>
              <w:t>2020</w:t>
            </w:r>
          </w:p>
        </w:tc>
        <w:tc>
          <w:tcPr>
            <w:tcW w:w="857" w:type="dxa"/>
            <w:tcBorders>
              <w:top w:val="single" w:sz="4" w:space="0" w:color="auto"/>
              <w:left w:val="single" w:sz="4" w:space="0" w:color="auto"/>
              <w:bottom w:val="single" w:sz="4" w:space="0" w:color="auto"/>
              <w:right w:val="single" w:sz="4" w:space="0" w:color="auto"/>
            </w:tcBorders>
            <w:shd w:val="clear" w:color="auto" w:fill="BDD6EE"/>
            <w:vAlign w:val="center"/>
          </w:tcPr>
          <w:p w14:paraId="6FF0908D" w14:textId="77777777" w:rsidR="00E45B42" w:rsidRPr="00E45B42" w:rsidRDefault="00E45B42" w:rsidP="00E45B42">
            <w:pPr>
              <w:ind w:firstLine="0"/>
              <w:jc w:val="center"/>
              <w:rPr>
                <w:rFonts w:eastAsia="Calibri" w:cs="Times New Roman"/>
                <w:b/>
                <w:bCs/>
                <w:noProof/>
                <w:sz w:val="20"/>
                <w:szCs w:val="20"/>
                <w:lang w:eastAsia="lv-LV"/>
              </w:rPr>
            </w:pPr>
            <w:r w:rsidRPr="00E45B42">
              <w:rPr>
                <w:rFonts w:eastAsia="Calibri" w:cs="Times New Roman"/>
                <w:b/>
                <w:bCs/>
                <w:noProof/>
                <w:sz w:val="20"/>
                <w:szCs w:val="20"/>
                <w:lang w:eastAsia="lv-LV"/>
              </w:rPr>
              <w:t>2021</w:t>
            </w:r>
          </w:p>
        </w:tc>
        <w:tc>
          <w:tcPr>
            <w:tcW w:w="857" w:type="dxa"/>
            <w:tcBorders>
              <w:top w:val="single" w:sz="4" w:space="0" w:color="auto"/>
              <w:left w:val="single" w:sz="4" w:space="0" w:color="auto"/>
              <w:bottom w:val="single" w:sz="4" w:space="0" w:color="auto"/>
              <w:right w:val="single" w:sz="4" w:space="0" w:color="auto"/>
            </w:tcBorders>
            <w:shd w:val="clear" w:color="auto" w:fill="BDD6EE"/>
            <w:vAlign w:val="center"/>
          </w:tcPr>
          <w:p w14:paraId="7AE658B2" w14:textId="77777777" w:rsidR="00E45B42" w:rsidRPr="00E45B42" w:rsidRDefault="00E45B42" w:rsidP="00E45B42">
            <w:pPr>
              <w:ind w:firstLine="0"/>
              <w:jc w:val="center"/>
              <w:rPr>
                <w:rFonts w:eastAsia="Calibri" w:cs="Times New Roman"/>
                <w:b/>
                <w:bCs/>
                <w:noProof/>
                <w:sz w:val="20"/>
                <w:szCs w:val="20"/>
                <w:lang w:eastAsia="lv-LV"/>
              </w:rPr>
            </w:pPr>
            <w:r w:rsidRPr="00E45B42">
              <w:rPr>
                <w:rFonts w:eastAsia="Calibri" w:cs="Times New Roman"/>
                <w:b/>
                <w:bCs/>
                <w:noProof/>
                <w:sz w:val="20"/>
                <w:szCs w:val="20"/>
                <w:lang w:eastAsia="lv-LV"/>
              </w:rPr>
              <w:t>2022</w:t>
            </w:r>
          </w:p>
        </w:tc>
        <w:tc>
          <w:tcPr>
            <w:tcW w:w="857" w:type="dxa"/>
            <w:tcBorders>
              <w:top w:val="single" w:sz="4" w:space="0" w:color="auto"/>
              <w:left w:val="single" w:sz="4" w:space="0" w:color="auto"/>
              <w:bottom w:val="single" w:sz="4" w:space="0" w:color="auto"/>
              <w:right w:val="single" w:sz="4" w:space="0" w:color="auto"/>
            </w:tcBorders>
            <w:shd w:val="clear" w:color="auto" w:fill="BDD6EE"/>
            <w:vAlign w:val="center"/>
          </w:tcPr>
          <w:p w14:paraId="71E59F05" w14:textId="77777777" w:rsidR="00E45B42" w:rsidRPr="00E45B42" w:rsidRDefault="00E45B42" w:rsidP="00E45B42">
            <w:pPr>
              <w:ind w:firstLine="0"/>
              <w:jc w:val="center"/>
              <w:rPr>
                <w:rFonts w:eastAsia="Calibri" w:cs="Times New Roman"/>
                <w:b/>
                <w:bCs/>
                <w:noProof/>
                <w:sz w:val="20"/>
                <w:szCs w:val="20"/>
                <w:lang w:eastAsia="lv-LV"/>
              </w:rPr>
            </w:pPr>
            <w:r w:rsidRPr="00E45B42">
              <w:rPr>
                <w:rFonts w:eastAsia="Calibri" w:cs="Times New Roman"/>
                <w:b/>
                <w:bCs/>
                <w:noProof/>
                <w:sz w:val="20"/>
                <w:szCs w:val="20"/>
                <w:lang w:eastAsia="lv-LV"/>
              </w:rPr>
              <w:t>2023</w:t>
            </w:r>
          </w:p>
        </w:tc>
        <w:tc>
          <w:tcPr>
            <w:tcW w:w="739" w:type="dxa"/>
            <w:tcBorders>
              <w:top w:val="single" w:sz="4" w:space="0" w:color="auto"/>
              <w:left w:val="single" w:sz="4" w:space="0" w:color="auto"/>
              <w:bottom w:val="single" w:sz="4" w:space="0" w:color="auto"/>
              <w:right w:val="single" w:sz="4" w:space="0" w:color="auto"/>
            </w:tcBorders>
            <w:shd w:val="clear" w:color="auto" w:fill="BDD6EE"/>
            <w:vAlign w:val="center"/>
          </w:tcPr>
          <w:p w14:paraId="1112747C" w14:textId="77777777" w:rsidR="00E45B42" w:rsidRPr="00E45B42" w:rsidRDefault="00E45B42" w:rsidP="00E45B42">
            <w:pPr>
              <w:ind w:firstLine="0"/>
              <w:jc w:val="center"/>
              <w:rPr>
                <w:rFonts w:eastAsia="Calibri" w:cs="Times New Roman"/>
                <w:b/>
                <w:bCs/>
                <w:noProof/>
                <w:sz w:val="20"/>
                <w:szCs w:val="20"/>
                <w:lang w:eastAsia="lv-LV"/>
              </w:rPr>
            </w:pPr>
            <w:r w:rsidRPr="00E45B42">
              <w:rPr>
                <w:rFonts w:eastAsia="Calibri" w:cs="Times New Roman"/>
                <w:b/>
                <w:bCs/>
                <w:noProof/>
                <w:sz w:val="20"/>
                <w:szCs w:val="20"/>
                <w:lang w:eastAsia="lv-LV"/>
              </w:rPr>
              <w:t>2024</w:t>
            </w:r>
          </w:p>
        </w:tc>
      </w:tr>
      <w:tr w:rsidR="00E45B42" w:rsidRPr="00E45B42" w14:paraId="5F972CE3" w14:textId="77777777" w:rsidTr="00E45B42">
        <w:trPr>
          <w:trHeight w:val="325"/>
          <w:jc w:val="center"/>
        </w:trPr>
        <w:tc>
          <w:tcPr>
            <w:tcW w:w="1030" w:type="dxa"/>
            <w:vMerge/>
            <w:tcBorders>
              <w:left w:val="single" w:sz="4" w:space="0" w:color="auto"/>
              <w:bottom w:val="nil"/>
              <w:right w:val="nil"/>
            </w:tcBorders>
            <w:shd w:val="clear" w:color="auto" w:fill="BDD6EE"/>
            <w:noWrap/>
            <w:vAlign w:val="center"/>
            <w:hideMark/>
          </w:tcPr>
          <w:p w14:paraId="3079BDE2" w14:textId="77777777" w:rsidR="00E45B42" w:rsidRPr="00E45B42" w:rsidRDefault="00E45B42" w:rsidP="00E45B42">
            <w:pPr>
              <w:ind w:firstLine="0"/>
              <w:jc w:val="center"/>
              <w:rPr>
                <w:rFonts w:eastAsia="Calibri" w:cs="Times New Roman"/>
                <w:noProof/>
                <w:sz w:val="22"/>
                <w:lang w:eastAsia="lv-LV"/>
              </w:rPr>
            </w:pPr>
          </w:p>
        </w:tc>
        <w:tc>
          <w:tcPr>
            <w:tcW w:w="3428" w:type="dxa"/>
            <w:gridSpan w:val="4"/>
            <w:tcBorders>
              <w:top w:val="nil"/>
              <w:left w:val="single" w:sz="4" w:space="0" w:color="auto"/>
              <w:bottom w:val="nil"/>
              <w:right w:val="single" w:sz="4" w:space="0" w:color="auto"/>
            </w:tcBorders>
            <w:shd w:val="clear" w:color="auto" w:fill="BDD6EE"/>
            <w:noWrap/>
            <w:vAlign w:val="center"/>
            <w:hideMark/>
          </w:tcPr>
          <w:p w14:paraId="49765540" w14:textId="77777777" w:rsidR="00E45B42" w:rsidRPr="00E45B42" w:rsidRDefault="00E45B42" w:rsidP="00E45B42">
            <w:pPr>
              <w:ind w:firstLine="0"/>
              <w:jc w:val="center"/>
              <w:rPr>
                <w:rFonts w:eastAsia="Calibri" w:cs="Times New Roman"/>
                <w:noProof/>
                <w:sz w:val="20"/>
                <w:szCs w:val="20"/>
                <w:lang w:eastAsia="lv-LV"/>
              </w:rPr>
            </w:pPr>
            <w:r w:rsidRPr="00E45B42">
              <w:rPr>
                <w:rFonts w:eastAsia="Calibri" w:cs="Times New Roman"/>
                <w:noProof/>
                <w:sz w:val="20"/>
                <w:szCs w:val="20"/>
                <w:lang w:eastAsia="lv-LV"/>
              </w:rPr>
              <w:t>Izpilde</w:t>
            </w:r>
          </w:p>
        </w:tc>
        <w:tc>
          <w:tcPr>
            <w:tcW w:w="739" w:type="dxa"/>
            <w:tcBorders>
              <w:top w:val="nil"/>
              <w:left w:val="nil"/>
              <w:bottom w:val="nil"/>
              <w:right w:val="double" w:sz="4" w:space="0" w:color="auto"/>
            </w:tcBorders>
            <w:shd w:val="clear" w:color="auto" w:fill="BDD6EE"/>
            <w:noWrap/>
            <w:vAlign w:val="center"/>
            <w:hideMark/>
          </w:tcPr>
          <w:p w14:paraId="5BB16365" w14:textId="77777777" w:rsidR="00E45B42" w:rsidRPr="00E45B42" w:rsidRDefault="00E45B42" w:rsidP="00E45B42">
            <w:pPr>
              <w:ind w:firstLine="0"/>
              <w:jc w:val="center"/>
              <w:rPr>
                <w:rFonts w:eastAsia="Calibri" w:cs="Times New Roman"/>
                <w:noProof/>
                <w:sz w:val="20"/>
                <w:szCs w:val="20"/>
                <w:lang w:eastAsia="lv-LV"/>
              </w:rPr>
            </w:pPr>
            <w:r w:rsidRPr="00E45B42">
              <w:rPr>
                <w:rFonts w:eastAsia="Calibri" w:cs="Times New Roman"/>
                <w:noProof/>
                <w:sz w:val="20"/>
                <w:szCs w:val="20"/>
                <w:lang w:eastAsia="lv-LV"/>
              </w:rPr>
              <w:t>Plāns</w:t>
            </w:r>
          </w:p>
        </w:tc>
        <w:tc>
          <w:tcPr>
            <w:tcW w:w="3428" w:type="dxa"/>
            <w:gridSpan w:val="4"/>
            <w:tcBorders>
              <w:top w:val="nil"/>
              <w:left w:val="double" w:sz="4" w:space="0" w:color="auto"/>
              <w:bottom w:val="nil"/>
              <w:right w:val="single" w:sz="4" w:space="0" w:color="auto"/>
            </w:tcBorders>
            <w:shd w:val="clear" w:color="auto" w:fill="BDD6EE"/>
            <w:vAlign w:val="center"/>
          </w:tcPr>
          <w:p w14:paraId="3F3F1027" w14:textId="77777777" w:rsidR="00E45B42" w:rsidRPr="00E45B42" w:rsidRDefault="00E45B42" w:rsidP="00E45B42">
            <w:pPr>
              <w:ind w:firstLine="0"/>
              <w:jc w:val="center"/>
              <w:rPr>
                <w:rFonts w:eastAsia="Calibri" w:cs="Times New Roman"/>
                <w:noProof/>
                <w:sz w:val="20"/>
                <w:szCs w:val="20"/>
                <w:lang w:eastAsia="lv-LV"/>
              </w:rPr>
            </w:pPr>
            <w:r w:rsidRPr="00E45B42">
              <w:rPr>
                <w:rFonts w:eastAsia="Calibri" w:cs="Times New Roman"/>
                <w:noProof/>
                <w:sz w:val="20"/>
                <w:szCs w:val="20"/>
                <w:lang w:eastAsia="lv-LV"/>
              </w:rPr>
              <w:t>Izpilde</w:t>
            </w:r>
          </w:p>
        </w:tc>
        <w:tc>
          <w:tcPr>
            <w:tcW w:w="739" w:type="dxa"/>
            <w:tcBorders>
              <w:top w:val="nil"/>
              <w:left w:val="nil"/>
              <w:bottom w:val="nil"/>
              <w:right w:val="single" w:sz="4" w:space="0" w:color="auto"/>
            </w:tcBorders>
            <w:shd w:val="clear" w:color="auto" w:fill="BDD6EE"/>
            <w:vAlign w:val="center"/>
          </w:tcPr>
          <w:p w14:paraId="715B88AC" w14:textId="77777777" w:rsidR="00E45B42" w:rsidRPr="00E45B42" w:rsidRDefault="00E45B42" w:rsidP="00E45B42">
            <w:pPr>
              <w:ind w:firstLine="0"/>
              <w:jc w:val="center"/>
              <w:rPr>
                <w:rFonts w:eastAsia="Calibri" w:cs="Times New Roman"/>
                <w:noProof/>
                <w:sz w:val="20"/>
                <w:szCs w:val="20"/>
                <w:lang w:eastAsia="lv-LV"/>
              </w:rPr>
            </w:pPr>
            <w:r w:rsidRPr="00E45B42">
              <w:rPr>
                <w:rFonts w:eastAsia="Calibri" w:cs="Times New Roman"/>
                <w:noProof/>
                <w:sz w:val="20"/>
                <w:szCs w:val="20"/>
                <w:lang w:eastAsia="lv-LV"/>
              </w:rPr>
              <w:t>Plāns</w:t>
            </w:r>
          </w:p>
        </w:tc>
      </w:tr>
      <w:tr w:rsidR="00E45B42" w:rsidRPr="00E45B42" w14:paraId="3A701239" w14:textId="77777777" w:rsidTr="0049223A">
        <w:trPr>
          <w:trHeight w:val="325"/>
          <w:jc w:val="center"/>
        </w:trPr>
        <w:tc>
          <w:tcPr>
            <w:tcW w:w="1030" w:type="dxa"/>
            <w:vMerge w:val="restart"/>
            <w:tcBorders>
              <w:top w:val="single" w:sz="4" w:space="0" w:color="auto"/>
              <w:left w:val="single" w:sz="4" w:space="0" w:color="auto"/>
              <w:bottom w:val="single" w:sz="4" w:space="0" w:color="000000"/>
              <w:right w:val="single" w:sz="4" w:space="0" w:color="auto"/>
            </w:tcBorders>
            <w:shd w:val="clear" w:color="FFFFFF" w:fill="auto"/>
            <w:noWrap/>
            <w:vAlign w:val="center"/>
            <w:hideMark/>
          </w:tcPr>
          <w:p w14:paraId="45A1EACA" w14:textId="77777777" w:rsidR="00E45B42" w:rsidRPr="00E45B42" w:rsidRDefault="00E45B42" w:rsidP="00E45B42">
            <w:pPr>
              <w:ind w:firstLine="0"/>
              <w:jc w:val="center"/>
              <w:rPr>
                <w:rFonts w:eastAsia="Times New Roman" w:cs="Times New Roman"/>
                <w:b/>
                <w:bCs/>
                <w:noProof/>
                <w:color w:val="000000"/>
                <w:sz w:val="20"/>
                <w:szCs w:val="20"/>
                <w:lang w:eastAsia="lv-LV"/>
              </w:rPr>
            </w:pPr>
            <w:r w:rsidRPr="00E45B42">
              <w:rPr>
                <w:rFonts w:eastAsia="Times New Roman" w:cs="Times New Roman"/>
                <w:b/>
                <w:bCs/>
                <w:noProof/>
                <w:color w:val="000000"/>
                <w:sz w:val="20"/>
                <w:szCs w:val="20"/>
                <w:lang w:eastAsia="lv-LV"/>
              </w:rPr>
              <w:t>Covid-19</w:t>
            </w:r>
          </w:p>
        </w:tc>
        <w:tc>
          <w:tcPr>
            <w:tcW w:w="857" w:type="dxa"/>
            <w:tcBorders>
              <w:top w:val="single" w:sz="4" w:space="0" w:color="auto"/>
              <w:left w:val="nil"/>
              <w:bottom w:val="nil"/>
              <w:right w:val="single" w:sz="4" w:space="0" w:color="auto"/>
            </w:tcBorders>
            <w:shd w:val="clear" w:color="FFFFFF" w:fill="auto"/>
            <w:noWrap/>
            <w:vAlign w:val="center"/>
            <w:hideMark/>
          </w:tcPr>
          <w:p w14:paraId="6FB9178E"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1 282</w:t>
            </w:r>
          </w:p>
        </w:tc>
        <w:tc>
          <w:tcPr>
            <w:tcW w:w="857" w:type="dxa"/>
            <w:tcBorders>
              <w:top w:val="single" w:sz="4" w:space="0" w:color="auto"/>
              <w:left w:val="nil"/>
              <w:bottom w:val="nil"/>
              <w:right w:val="single" w:sz="4" w:space="0" w:color="auto"/>
            </w:tcBorders>
            <w:shd w:val="clear" w:color="FFFFFF" w:fill="auto"/>
            <w:noWrap/>
            <w:vAlign w:val="center"/>
            <w:hideMark/>
          </w:tcPr>
          <w:p w14:paraId="2AC98A10"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2 315</w:t>
            </w:r>
          </w:p>
        </w:tc>
        <w:tc>
          <w:tcPr>
            <w:tcW w:w="857" w:type="dxa"/>
            <w:tcBorders>
              <w:top w:val="single" w:sz="4" w:space="0" w:color="auto"/>
              <w:left w:val="nil"/>
              <w:bottom w:val="nil"/>
              <w:right w:val="single" w:sz="4" w:space="0" w:color="auto"/>
            </w:tcBorders>
            <w:shd w:val="clear" w:color="auto" w:fill="auto"/>
            <w:noWrap/>
            <w:vAlign w:val="center"/>
            <w:hideMark/>
          </w:tcPr>
          <w:p w14:paraId="10C25BCF"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966</w:t>
            </w:r>
          </w:p>
        </w:tc>
        <w:tc>
          <w:tcPr>
            <w:tcW w:w="857" w:type="dxa"/>
            <w:tcBorders>
              <w:top w:val="single" w:sz="4" w:space="0" w:color="auto"/>
              <w:left w:val="nil"/>
              <w:bottom w:val="nil"/>
              <w:right w:val="single" w:sz="4" w:space="0" w:color="auto"/>
            </w:tcBorders>
            <w:shd w:val="clear" w:color="auto" w:fill="auto"/>
            <w:noWrap/>
            <w:vAlign w:val="center"/>
            <w:hideMark/>
          </w:tcPr>
          <w:p w14:paraId="0B48DF6E"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77</w:t>
            </w:r>
          </w:p>
        </w:tc>
        <w:tc>
          <w:tcPr>
            <w:tcW w:w="739" w:type="dxa"/>
            <w:tcBorders>
              <w:top w:val="single" w:sz="4" w:space="0" w:color="auto"/>
              <w:left w:val="nil"/>
              <w:bottom w:val="nil"/>
              <w:right w:val="double" w:sz="4" w:space="0" w:color="auto"/>
            </w:tcBorders>
            <w:shd w:val="clear" w:color="auto" w:fill="auto"/>
            <w:noWrap/>
            <w:vAlign w:val="center"/>
            <w:hideMark/>
          </w:tcPr>
          <w:p w14:paraId="05B04087" w14:textId="77777777" w:rsidR="00E45B42" w:rsidRPr="00E45B42" w:rsidRDefault="00E45B42" w:rsidP="00E45B42">
            <w:pPr>
              <w:ind w:firstLine="0"/>
              <w:jc w:val="center"/>
              <w:rPr>
                <w:rFonts w:eastAsia="Times New Roman" w:cs="Times New Roman"/>
                <w:sz w:val="20"/>
                <w:szCs w:val="20"/>
                <w:lang w:eastAsia="lv-LV"/>
              </w:rPr>
            </w:pPr>
            <w:r w:rsidRPr="00E45B42">
              <w:rPr>
                <w:rFonts w:eastAsia="Times New Roman" w:cs="Times New Roman"/>
                <w:sz w:val="20"/>
                <w:szCs w:val="20"/>
                <w:lang w:eastAsia="lv-LV"/>
              </w:rPr>
              <w:t>29</w:t>
            </w:r>
          </w:p>
        </w:tc>
        <w:tc>
          <w:tcPr>
            <w:tcW w:w="857" w:type="dxa"/>
            <w:tcBorders>
              <w:top w:val="single" w:sz="4" w:space="0" w:color="auto"/>
              <w:left w:val="double" w:sz="4" w:space="0" w:color="auto"/>
              <w:bottom w:val="nil"/>
              <w:right w:val="single" w:sz="4" w:space="0" w:color="auto"/>
            </w:tcBorders>
          </w:tcPr>
          <w:p w14:paraId="55A82C0C"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-961</w:t>
            </w:r>
          </w:p>
        </w:tc>
        <w:tc>
          <w:tcPr>
            <w:tcW w:w="857" w:type="dxa"/>
            <w:tcBorders>
              <w:top w:val="single" w:sz="4" w:space="0" w:color="auto"/>
              <w:left w:val="nil"/>
              <w:bottom w:val="nil"/>
              <w:right w:val="single" w:sz="4" w:space="0" w:color="auto"/>
            </w:tcBorders>
          </w:tcPr>
          <w:p w14:paraId="2FAE9A42"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-2 103</w:t>
            </w:r>
          </w:p>
        </w:tc>
        <w:tc>
          <w:tcPr>
            <w:tcW w:w="857" w:type="dxa"/>
            <w:tcBorders>
              <w:top w:val="single" w:sz="4" w:space="0" w:color="auto"/>
              <w:left w:val="nil"/>
              <w:bottom w:val="nil"/>
              <w:right w:val="single" w:sz="4" w:space="0" w:color="auto"/>
            </w:tcBorders>
          </w:tcPr>
          <w:p w14:paraId="58609DE8"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-796</w:t>
            </w:r>
          </w:p>
        </w:tc>
        <w:tc>
          <w:tcPr>
            <w:tcW w:w="857" w:type="dxa"/>
            <w:tcBorders>
              <w:top w:val="single" w:sz="4" w:space="0" w:color="auto"/>
              <w:left w:val="nil"/>
              <w:bottom w:val="nil"/>
              <w:right w:val="single" w:sz="4" w:space="0" w:color="auto"/>
            </w:tcBorders>
          </w:tcPr>
          <w:p w14:paraId="0D96B583"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-95</w:t>
            </w:r>
          </w:p>
        </w:tc>
        <w:tc>
          <w:tcPr>
            <w:tcW w:w="739" w:type="dxa"/>
            <w:tcBorders>
              <w:top w:val="single" w:sz="4" w:space="0" w:color="auto"/>
              <w:left w:val="nil"/>
              <w:bottom w:val="nil"/>
              <w:right w:val="single" w:sz="4" w:space="0" w:color="auto"/>
            </w:tcBorders>
          </w:tcPr>
          <w:p w14:paraId="69BE091A"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-37</w:t>
            </w:r>
          </w:p>
        </w:tc>
      </w:tr>
      <w:tr w:rsidR="00E45B42" w:rsidRPr="00E45B42" w14:paraId="2BB6E5E1" w14:textId="77777777" w:rsidTr="0049223A">
        <w:trPr>
          <w:trHeight w:val="158"/>
          <w:jc w:val="center"/>
        </w:trPr>
        <w:tc>
          <w:tcPr>
            <w:tcW w:w="1030" w:type="dxa"/>
            <w:vMerge/>
            <w:tcBorders>
              <w:top w:val="single" w:sz="4" w:space="0" w:color="auto"/>
              <w:left w:val="single" w:sz="4" w:space="0" w:color="auto"/>
              <w:bottom w:val="single" w:sz="4" w:space="0" w:color="000000"/>
              <w:right w:val="single" w:sz="4" w:space="0" w:color="auto"/>
            </w:tcBorders>
            <w:vAlign w:val="center"/>
            <w:hideMark/>
          </w:tcPr>
          <w:p w14:paraId="7877DE22" w14:textId="77777777" w:rsidR="00E45B42" w:rsidRPr="00E45B42" w:rsidRDefault="00E45B42" w:rsidP="00E45B42">
            <w:pPr>
              <w:ind w:firstLine="0"/>
              <w:jc w:val="center"/>
              <w:rPr>
                <w:rFonts w:eastAsia="Times New Roman" w:cs="Times New Roman"/>
                <w:b/>
                <w:bCs/>
                <w:noProof/>
                <w:color w:val="000000"/>
                <w:sz w:val="20"/>
                <w:szCs w:val="20"/>
                <w:lang w:eastAsia="lv-LV"/>
              </w:rPr>
            </w:pPr>
          </w:p>
        </w:tc>
        <w:tc>
          <w:tcPr>
            <w:tcW w:w="857" w:type="dxa"/>
            <w:tcBorders>
              <w:top w:val="nil"/>
              <w:left w:val="nil"/>
              <w:bottom w:val="single" w:sz="4" w:space="0" w:color="auto"/>
              <w:right w:val="single" w:sz="4" w:space="0" w:color="auto"/>
            </w:tcBorders>
            <w:shd w:val="clear" w:color="FFFFFF" w:fill="auto"/>
            <w:noWrap/>
            <w:vAlign w:val="center"/>
            <w:hideMark/>
          </w:tcPr>
          <w:p w14:paraId="2991BEDB"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4,3%</w:t>
            </w:r>
          </w:p>
        </w:tc>
        <w:tc>
          <w:tcPr>
            <w:tcW w:w="857" w:type="dxa"/>
            <w:tcBorders>
              <w:top w:val="nil"/>
              <w:left w:val="nil"/>
              <w:bottom w:val="single" w:sz="4" w:space="0" w:color="auto"/>
              <w:right w:val="single" w:sz="4" w:space="0" w:color="auto"/>
            </w:tcBorders>
            <w:shd w:val="clear" w:color="FFFFFF" w:fill="auto"/>
            <w:noWrap/>
            <w:vAlign w:val="center"/>
            <w:hideMark/>
          </w:tcPr>
          <w:p w14:paraId="57539ED0"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6,9%</w:t>
            </w:r>
          </w:p>
        </w:tc>
        <w:tc>
          <w:tcPr>
            <w:tcW w:w="857" w:type="dxa"/>
            <w:tcBorders>
              <w:top w:val="nil"/>
              <w:left w:val="nil"/>
              <w:bottom w:val="single" w:sz="4" w:space="0" w:color="auto"/>
              <w:right w:val="single" w:sz="4" w:space="0" w:color="auto"/>
            </w:tcBorders>
            <w:shd w:val="clear" w:color="FFFFFF" w:fill="auto"/>
            <w:noWrap/>
            <w:vAlign w:val="center"/>
            <w:hideMark/>
          </w:tcPr>
          <w:p w14:paraId="3E0087CD"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2,5%</w:t>
            </w:r>
          </w:p>
        </w:tc>
        <w:tc>
          <w:tcPr>
            <w:tcW w:w="857" w:type="dxa"/>
            <w:tcBorders>
              <w:top w:val="nil"/>
              <w:left w:val="nil"/>
              <w:bottom w:val="single" w:sz="4" w:space="0" w:color="auto"/>
              <w:right w:val="single" w:sz="4" w:space="0" w:color="auto"/>
            </w:tcBorders>
            <w:shd w:val="clear" w:color="FFFFFF" w:fill="auto"/>
            <w:noWrap/>
            <w:vAlign w:val="center"/>
            <w:hideMark/>
          </w:tcPr>
          <w:p w14:paraId="35668F14"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0,2%</w:t>
            </w:r>
          </w:p>
        </w:tc>
        <w:tc>
          <w:tcPr>
            <w:tcW w:w="739" w:type="dxa"/>
            <w:tcBorders>
              <w:top w:val="nil"/>
              <w:left w:val="nil"/>
              <w:bottom w:val="single" w:sz="4" w:space="0" w:color="auto"/>
              <w:right w:val="double" w:sz="4" w:space="0" w:color="auto"/>
            </w:tcBorders>
            <w:shd w:val="clear" w:color="FFFFFF" w:fill="auto"/>
            <w:noWrap/>
            <w:vAlign w:val="center"/>
            <w:hideMark/>
          </w:tcPr>
          <w:p w14:paraId="3A8BB04F" w14:textId="77777777" w:rsidR="00E45B42" w:rsidRPr="00E45B42" w:rsidRDefault="00E45B42" w:rsidP="00E45B42">
            <w:pPr>
              <w:ind w:firstLine="0"/>
              <w:jc w:val="center"/>
              <w:rPr>
                <w:rFonts w:eastAsia="Times New Roman" w:cs="Times New Roman"/>
                <w:sz w:val="20"/>
                <w:szCs w:val="20"/>
                <w:lang w:eastAsia="lv-LV"/>
              </w:rPr>
            </w:pPr>
            <w:r w:rsidRPr="00E45B42">
              <w:rPr>
                <w:rFonts w:eastAsia="Times New Roman" w:cs="Times New Roman"/>
                <w:sz w:val="20"/>
                <w:szCs w:val="20"/>
                <w:lang w:eastAsia="lv-LV"/>
              </w:rPr>
              <w:t>0,1%</w:t>
            </w:r>
          </w:p>
        </w:tc>
        <w:tc>
          <w:tcPr>
            <w:tcW w:w="857" w:type="dxa"/>
            <w:tcBorders>
              <w:top w:val="nil"/>
              <w:left w:val="double" w:sz="4" w:space="0" w:color="auto"/>
              <w:bottom w:val="single" w:sz="4" w:space="0" w:color="auto"/>
              <w:right w:val="single" w:sz="4" w:space="0" w:color="auto"/>
            </w:tcBorders>
            <w:shd w:val="clear" w:color="FFFFFF" w:fill="auto"/>
            <w:vAlign w:val="bottom"/>
          </w:tcPr>
          <w:p w14:paraId="1BF78976"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-3,2%</w:t>
            </w:r>
          </w:p>
        </w:tc>
        <w:tc>
          <w:tcPr>
            <w:tcW w:w="857" w:type="dxa"/>
            <w:tcBorders>
              <w:top w:val="nil"/>
              <w:left w:val="nil"/>
              <w:bottom w:val="single" w:sz="4" w:space="0" w:color="auto"/>
              <w:right w:val="single" w:sz="4" w:space="0" w:color="auto"/>
            </w:tcBorders>
            <w:shd w:val="clear" w:color="FFFFFF" w:fill="auto"/>
            <w:vAlign w:val="bottom"/>
          </w:tcPr>
          <w:p w14:paraId="026147A4"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-6,3%</w:t>
            </w:r>
          </w:p>
        </w:tc>
        <w:tc>
          <w:tcPr>
            <w:tcW w:w="857" w:type="dxa"/>
            <w:tcBorders>
              <w:top w:val="nil"/>
              <w:left w:val="nil"/>
              <w:bottom w:val="single" w:sz="4" w:space="0" w:color="auto"/>
              <w:right w:val="single" w:sz="4" w:space="0" w:color="auto"/>
            </w:tcBorders>
            <w:shd w:val="clear" w:color="FFFFFF" w:fill="auto"/>
            <w:vAlign w:val="bottom"/>
          </w:tcPr>
          <w:p w14:paraId="690614E6"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-2,1%</w:t>
            </w:r>
          </w:p>
        </w:tc>
        <w:tc>
          <w:tcPr>
            <w:tcW w:w="857" w:type="dxa"/>
            <w:tcBorders>
              <w:top w:val="nil"/>
              <w:left w:val="nil"/>
              <w:bottom w:val="single" w:sz="4" w:space="0" w:color="auto"/>
              <w:right w:val="single" w:sz="4" w:space="0" w:color="auto"/>
            </w:tcBorders>
            <w:shd w:val="clear" w:color="FFFFFF" w:fill="auto"/>
            <w:vAlign w:val="bottom"/>
          </w:tcPr>
          <w:p w14:paraId="295CAFD9"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-0,2%</w:t>
            </w:r>
          </w:p>
        </w:tc>
        <w:tc>
          <w:tcPr>
            <w:tcW w:w="739" w:type="dxa"/>
            <w:tcBorders>
              <w:top w:val="nil"/>
              <w:left w:val="nil"/>
              <w:bottom w:val="single" w:sz="4" w:space="0" w:color="auto"/>
              <w:right w:val="single" w:sz="4" w:space="0" w:color="auto"/>
            </w:tcBorders>
            <w:shd w:val="clear" w:color="FFFFFF" w:fill="auto"/>
            <w:vAlign w:val="bottom"/>
          </w:tcPr>
          <w:p w14:paraId="63D2DEB6"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-0,1%</w:t>
            </w:r>
          </w:p>
        </w:tc>
      </w:tr>
      <w:tr w:rsidR="00E45B42" w:rsidRPr="00E45B42" w14:paraId="3A329C79" w14:textId="77777777" w:rsidTr="0049223A">
        <w:trPr>
          <w:trHeight w:val="325"/>
          <w:jc w:val="center"/>
        </w:trPr>
        <w:tc>
          <w:tcPr>
            <w:tcW w:w="1030" w:type="dxa"/>
            <w:vMerge w:val="restart"/>
            <w:tcBorders>
              <w:top w:val="nil"/>
              <w:left w:val="single" w:sz="4" w:space="0" w:color="auto"/>
              <w:bottom w:val="single" w:sz="4" w:space="0" w:color="000000"/>
              <w:right w:val="single" w:sz="4" w:space="0" w:color="auto"/>
            </w:tcBorders>
            <w:shd w:val="clear" w:color="FFFFFF" w:fill="auto"/>
            <w:noWrap/>
            <w:vAlign w:val="center"/>
            <w:hideMark/>
          </w:tcPr>
          <w:p w14:paraId="229DA296" w14:textId="77777777" w:rsidR="00E45B42" w:rsidRPr="00E45B42" w:rsidRDefault="00E45B42" w:rsidP="00E45B42">
            <w:pPr>
              <w:ind w:firstLine="0"/>
              <w:jc w:val="center"/>
              <w:rPr>
                <w:rFonts w:eastAsia="Times New Roman" w:cs="Times New Roman"/>
                <w:b/>
                <w:bCs/>
                <w:noProof/>
                <w:color w:val="000000"/>
                <w:sz w:val="20"/>
                <w:szCs w:val="20"/>
                <w:lang w:eastAsia="lv-LV"/>
              </w:rPr>
            </w:pPr>
            <w:r w:rsidRPr="00E45B42">
              <w:rPr>
                <w:rFonts w:eastAsia="Times New Roman" w:cs="Times New Roman"/>
                <w:b/>
                <w:bCs/>
                <w:noProof/>
                <w:color w:val="000000"/>
                <w:sz w:val="20"/>
                <w:szCs w:val="20"/>
                <w:lang w:eastAsia="lv-LV"/>
              </w:rPr>
              <w:t>Energo</w:t>
            </w:r>
          </w:p>
        </w:tc>
        <w:tc>
          <w:tcPr>
            <w:tcW w:w="857" w:type="dxa"/>
            <w:tcBorders>
              <w:top w:val="nil"/>
              <w:left w:val="nil"/>
              <w:bottom w:val="nil"/>
              <w:right w:val="single" w:sz="4" w:space="0" w:color="auto"/>
            </w:tcBorders>
            <w:shd w:val="clear" w:color="FFFFFF" w:fill="auto"/>
            <w:noWrap/>
            <w:vAlign w:val="center"/>
            <w:hideMark/>
          </w:tcPr>
          <w:p w14:paraId="147310AA" w14:textId="77777777" w:rsidR="00E45B42" w:rsidRPr="00E45B42" w:rsidRDefault="00E45B42" w:rsidP="00E45B42">
            <w:pPr>
              <w:ind w:firstLine="0"/>
              <w:jc w:val="center"/>
              <w:rPr>
                <w:rFonts w:eastAsia="Times New Roman" w:cs="Times New Roman"/>
                <w:b/>
                <w:bCs/>
                <w:color w:val="000000"/>
                <w:sz w:val="20"/>
                <w:szCs w:val="20"/>
                <w:lang w:eastAsia="lv-LV"/>
              </w:rPr>
            </w:pPr>
          </w:p>
        </w:tc>
        <w:tc>
          <w:tcPr>
            <w:tcW w:w="857" w:type="dxa"/>
            <w:tcBorders>
              <w:top w:val="nil"/>
              <w:left w:val="nil"/>
              <w:bottom w:val="nil"/>
              <w:right w:val="single" w:sz="4" w:space="0" w:color="auto"/>
            </w:tcBorders>
            <w:shd w:val="clear" w:color="FFFFFF" w:fill="auto"/>
            <w:noWrap/>
            <w:vAlign w:val="center"/>
            <w:hideMark/>
          </w:tcPr>
          <w:p w14:paraId="1D52F7C4"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2</w:t>
            </w:r>
          </w:p>
        </w:tc>
        <w:tc>
          <w:tcPr>
            <w:tcW w:w="857" w:type="dxa"/>
            <w:tcBorders>
              <w:top w:val="nil"/>
              <w:left w:val="nil"/>
              <w:bottom w:val="nil"/>
              <w:right w:val="single" w:sz="4" w:space="0" w:color="auto"/>
            </w:tcBorders>
            <w:shd w:val="clear" w:color="FFFFFF" w:fill="auto"/>
            <w:noWrap/>
            <w:vAlign w:val="center"/>
            <w:hideMark/>
          </w:tcPr>
          <w:p w14:paraId="12F7E1EA"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604</w:t>
            </w:r>
          </w:p>
        </w:tc>
        <w:tc>
          <w:tcPr>
            <w:tcW w:w="857" w:type="dxa"/>
            <w:tcBorders>
              <w:top w:val="nil"/>
              <w:left w:val="nil"/>
              <w:bottom w:val="nil"/>
              <w:right w:val="single" w:sz="4" w:space="0" w:color="auto"/>
            </w:tcBorders>
            <w:shd w:val="clear" w:color="FFFFFF" w:fill="auto"/>
            <w:noWrap/>
            <w:vAlign w:val="center"/>
            <w:hideMark/>
          </w:tcPr>
          <w:p w14:paraId="4AA27AF7"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454</w:t>
            </w:r>
          </w:p>
        </w:tc>
        <w:tc>
          <w:tcPr>
            <w:tcW w:w="739" w:type="dxa"/>
            <w:tcBorders>
              <w:top w:val="nil"/>
              <w:left w:val="nil"/>
              <w:bottom w:val="nil"/>
              <w:right w:val="double" w:sz="4" w:space="0" w:color="auto"/>
            </w:tcBorders>
            <w:shd w:val="clear" w:color="FFFFFF" w:fill="auto"/>
            <w:noWrap/>
            <w:vAlign w:val="center"/>
            <w:hideMark/>
          </w:tcPr>
          <w:p w14:paraId="56542EF8" w14:textId="77777777" w:rsidR="00E45B42" w:rsidRPr="00E45B42" w:rsidRDefault="00E45B42" w:rsidP="00E45B42">
            <w:pPr>
              <w:ind w:firstLine="0"/>
              <w:jc w:val="center"/>
              <w:rPr>
                <w:rFonts w:eastAsia="Times New Roman" w:cs="Times New Roman"/>
                <w:sz w:val="20"/>
                <w:szCs w:val="20"/>
                <w:lang w:eastAsia="lv-LV"/>
              </w:rPr>
            </w:pPr>
            <w:r w:rsidRPr="00E45B42">
              <w:rPr>
                <w:rFonts w:eastAsia="Times New Roman" w:cs="Times New Roman"/>
                <w:sz w:val="20"/>
                <w:szCs w:val="20"/>
                <w:lang w:eastAsia="lv-LV"/>
              </w:rPr>
              <w:t>50</w:t>
            </w:r>
          </w:p>
        </w:tc>
        <w:tc>
          <w:tcPr>
            <w:tcW w:w="857" w:type="dxa"/>
            <w:tcBorders>
              <w:top w:val="nil"/>
              <w:left w:val="double" w:sz="4" w:space="0" w:color="auto"/>
              <w:bottom w:val="nil"/>
              <w:right w:val="single" w:sz="4" w:space="0" w:color="auto"/>
            </w:tcBorders>
            <w:shd w:val="clear" w:color="FFFFFF" w:fill="auto"/>
          </w:tcPr>
          <w:p w14:paraId="769AC6BE"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 </w:t>
            </w:r>
          </w:p>
        </w:tc>
        <w:tc>
          <w:tcPr>
            <w:tcW w:w="857" w:type="dxa"/>
            <w:tcBorders>
              <w:top w:val="nil"/>
              <w:left w:val="nil"/>
              <w:bottom w:val="nil"/>
              <w:right w:val="single" w:sz="4" w:space="0" w:color="auto"/>
            </w:tcBorders>
            <w:shd w:val="clear" w:color="FFFFFF" w:fill="auto"/>
          </w:tcPr>
          <w:p w14:paraId="2AC76162"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-2</w:t>
            </w:r>
          </w:p>
        </w:tc>
        <w:tc>
          <w:tcPr>
            <w:tcW w:w="857" w:type="dxa"/>
            <w:tcBorders>
              <w:top w:val="nil"/>
              <w:left w:val="nil"/>
              <w:bottom w:val="nil"/>
              <w:right w:val="single" w:sz="4" w:space="0" w:color="auto"/>
            </w:tcBorders>
            <w:shd w:val="clear" w:color="FFFFFF" w:fill="auto"/>
          </w:tcPr>
          <w:p w14:paraId="3DEFB7E8"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-604</w:t>
            </w:r>
          </w:p>
        </w:tc>
        <w:tc>
          <w:tcPr>
            <w:tcW w:w="857" w:type="dxa"/>
            <w:tcBorders>
              <w:top w:val="nil"/>
              <w:left w:val="nil"/>
              <w:bottom w:val="nil"/>
              <w:right w:val="single" w:sz="4" w:space="0" w:color="auto"/>
            </w:tcBorders>
            <w:shd w:val="clear" w:color="FFFFFF" w:fill="auto"/>
          </w:tcPr>
          <w:p w14:paraId="306F07D0"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-436</w:t>
            </w:r>
          </w:p>
        </w:tc>
        <w:tc>
          <w:tcPr>
            <w:tcW w:w="739" w:type="dxa"/>
            <w:tcBorders>
              <w:top w:val="nil"/>
              <w:left w:val="nil"/>
              <w:bottom w:val="nil"/>
              <w:right w:val="single" w:sz="4" w:space="0" w:color="auto"/>
            </w:tcBorders>
            <w:shd w:val="clear" w:color="FFFFFF" w:fill="auto"/>
          </w:tcPr>
          <w:p w14:paraId="2E8B89CF"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0</w:t>
            </w:r>
          </w:p>
        </w:tc>
      </w:tr>
      <w:tr w:rsidR="00E45B42" w:rsidRPr="00E45B42" w14:paraId="6BA404E4" w14:textId="77777777" w:rsidTr="0049223A">
        <w:trPr>
          <w:trHeight w:val="55"/>
          <w:jc w:val="center"/>
        </w:trPr>
        <w:tc>
          <w:tcPr>
            <w:tcW w:w="1030" w:type="dxa"/>
            <w:vMerge/>
            <w:tcBorders>
              <w:top w:val="nil"/>
              <w:left w:val="single" w:sz="4" w:space="0" w:color="auto"/>
              <w:bottom w:val="single" w:sz="4" w:space="0" w:color="000000"/>
              <w:right w:val="single" w:sz="4" w:space="0" w:color="auto"/>
            </w:tcBorders>
            <w:vAlign w:val="center"/>
            <w:hideMark/>
          </w:tcPr>
          <w:p w14:paraId="42A9925E" w14:textId="77777777" w:rsidR="00E45B42" w:rsidRPr="00E45B42" w:rsidRDefault="00E45B42" w:rsidP="00E45B42">
            <w:pPr>
              <w:ind w:firstLine="0"/>
              <w:jc w:val="center"/>
              <w:rPr>
                <w:rFonts w:eastAsia="Times New Roman" w:cs="Times New Roman"/>
                <w:b/>
                <w:bCs/>
                <w:noProof/>
                <w:color w:val="000000"/>
                <w:sz w:val="20"/>
                <w:szCs w:val="20"/>
                <w:lang w:eastAsia="lv-LV"/>
              </w:rPr>
            </w:pPr>
          </w:p>
        </w:tc>
        <w:tc>
          <w:tcPr>
            <w:tcW w:w="857" w:type="dxa"/>
            <w:tcBorders>
              <w:top w:val="nil"/>
              <w:left w:val="nil"/>
              <w:bottom w:val="single" w:sz="4" w:space="0" w:color="auto"/>
              <w:right w:val="single" w:sz="4" w:space="0" w:color="auto"/>
            </w:tcBorders>
            <w:shd w:val="clear" w:color="FFFFFF" w:fill="auto"/>
            <w:noWrap/>
            <w:vAlign w:val="center"/>
            <w:hideMark/>
          </w:tcPr>
          <w:p w14:paraId="7E60F3C4" w14:textId="77777777" w:rsidR="00E45B42" w:rsidRPr="00E45B42" w:rsidRDefault="00E45B42" w:rsidP="00E45B42">
            <w:pPr>
              <w:ind w:firstLine="0"/>
              <w:jc w:val="center"/>
              <w:rPr>
                <w:rFonts w:eastAsia="Times New Roman" w:cs="Times New Roman"/>
                <w:color w:val="000000"/>
                <w:sz w:val="20"/>
                <w:szCs w:val="20"/>
                <w:lang w:eastAsia="lv-LV"/>
              </w:rPr>
            </w:pPr>
          </w:p>
        </w:tc>
        <w:tc>
          <w:tcPr>
            <w:tcW w:w="857" w:type="dxa"/>
            <w:tcBorders>
              <w:top w:val="nil"/>
              <w:left w:val="nil"/>
              <w:bottom w:val="single" w:sz="4" w:space="0" w:color="auto"/>
              <w:right w:val="single" w:sz="4" w:space="0" w:color="auto"/>
            </w:tcBorders>
            <w:shd w:val="clear" w:color="FFFFFF" w:fill="auto"/>
            <w:noWrap/>
            <w:vAlign w:val="center"/>
            <w:hideMark/>
          </w:tcPr>
          <w:p w14:paraId="68749B50"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0,0%</w:t>
            </w:r>
          </w:p>
        </w:tc>
        <w:tc>
          <w:tcPr>
            <w:tcW w:w="857" w:type="dxa"/>
            <w:tcBorders>
              <w:top w:val="nil"/>
              <w:left w:val="nil"/>
              <w:bottom w:val="single" w:sz="4" w:space="0" w:color="auto"/>
              <w:right w:val="single" w:sz="4" w:space="0" w:color="auto"/>
            </w:tcBorders>
            <w:shd w:val="clear" w:color="FFFFFF" w:fill="auto"/>
            <w:noWrap/>
            <w:vAlign w:val="center"/>
            <w:hideMark/>
          </w:tcPr>
          <w:p w14:paraId="5C7748AB"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1,6%</w:t>
            </w:r>
          </w:p>
        </w:tc>
        <w:tc>
          <w:tcPr>
            <w:tcW w:w="857" w:type="dxa"/>
            <w:tcBorders>
              <w:top w:val="nil"/>
              <w:left w:val="nil"/>
              <w:bottom w:val="single" w:sz="4" w:space="0" w:color="auto"/>
              <w:right w:val="single" w:sz="4" w:space="0" w:color="auto"/>
            </w:tcBorders>
            <w:shd w:val="clear" w:color="FFFFFF" w:fill="auto"/>
            <w:noWrap/>
            <w:vAlign w:val="center"/>
            <w:hideMark/>
          </w:tcPr>
          <w:p w14:paraId="672BA495"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1,1%</w:t>
            </w:r>
          </w:p>
        </w:tc>
        <w:tc>
          <w:tcPr>
            <w:tcW w:w="739" w:type="dxa"/>
            <w:tcBorders>
              <w:top w:val="nil"/>
              <w:left w:val="nil"/>
              <w:bottom w:val="single" w:sz="4" w:space="0" w:color="auto"/>
              <w:right w:val="double" w:sz="4" w:space="0" w:color="auto"/>
            </w:tcBorders>
            <w:shd w:val="clear" w:color="FFFFFF" w:fill="auto"/>
            <w:noWrap/>
            <w:vAlign w:val="center"/>
            <w:hideMark/>
          </w:tcPr>
          <w:p w14:paraId="1055C784" w14:textId="77777777" w:rsidR="00E45B42" w:rsidRPr="00E45B42" w:rsidRDefault="00E45B42" w:rsidP="00E45B42">
            <w:pPr>
              <w:ind w:firstLine="0"/>
              <w:jc w:val="center"/>
              <w:rPr>
                <w:rFonts w:eastAsia="Times New Roman" w:cs="Times New Roman"/>
                <w:sz w:val="20"/>
                <w:szCs w:val="20"/>
                <w:lang w:eastAsia="lv-LV"/>
              </w:rPr>
            </w:pPr>
            <w:r w:rsidRPr="00E45B42">
              <w:rPr>
                <w:rFonts w:eastAsia="Times New Roman" w:cs="Times New Roman"/>
                <w:sz w:val="20"/>
                <w:szCs w:val="20"/>
                <w:lang w:eastAsia="lv-LV"/>
              </w:rPr>
              <w:t>0,1%</w:t>
            </w:r>
          </w:p>
        </w:tc>
        <w:tc>
          <w:tcPr>
            <w:tcW w:w="857" w:type="dxa"/>
            <w:tcBorders>
              <w:top w:val="nil"/>
              <w:left w:val="double" w:sz="4" w:space="0" w:color="auto"/>
              <w:bottom w:val="single" w:sz="4" w:space="0" w:color="auto"/>
              <w:right w:val="single" w:sz="4" w:space="0" w:color="auto"/>
            </w:tcBorders>
            <w:shd w:val="clear" w:color="FFFFFF" w:fill="auto"/>
            <w:vAlign w:val="bottom"/>
          </w:tcPr>
          <w:p w14:paraId="45D3CF32"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 </w:t>
            </w:r>
          </w:p>
        </w:tc>
        <w:tc>
          <w:tcPr>
            <w:tcW w:w="857" w:type="dxa"/>
            <w:tcBorders>
              <w:top w:val="nil"/>
              <w:left w:val="nil"/>
              <w:bottom w:val="single" w:sz="4" w:space="0" w:color="auto"/>
              <w:right w:val="single" w:sz="4" w:space="0" w:color="auto"/>
            </w:tcBorders>
            <w:shd w:val="clear" w:color="FFFFFF" w:fill="auto"/>
            <w:vAlign w:val="bottom"/>
          </w:tcPr>
          <w:p w14:paraId="69C08C80"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0,0%</w:t>
            </w:r>
          </w:p>
        </w:tc>
        <w:tc>
          <w:tcPr>
            <w:tcW w:w="857" w:type="dxa"/>
            <w:tcBorders>
              <w:top w:val="nil"/>
              <w:left w:val="nil"/>
              <w:bottom w:val="single" w:sz="4" w:space="0" w:color="auto"/>
              <w:right w:val="single" w:sz="4" w:space="0" w:color="auto"/>
            </w:tcBorders>
            <w:shd w:val="clear" w:color="FFFFFF" w:fill="auto"/>
            <w:vAlign w:val="bottom"/>
          </w:tcPr>
          <w:p w14:paraId="1ADAF474"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-1,6%</w:t>
            </w:r>
          </w:p>
        </w:tc>
        <w:tc>
          <w:tcPr>
            <w:tcW w:w="857" w:type="dxa"/>
            <w:tcBorders>
              <w:top w:val="nil"/>
              <w:left w:val="nil"/>
              <w:bottom w:val="single" w:sz="4" w:space="0" w:color="auto"/>
              <w:right w:val="single" w:sz="4" w:space="0" w:color="auto"/>
            </w:tcBorders>
            <w:shd w:val="clear" w:color="FFFFFF" w:fill="auto"/>
            <w:vAlign w:val="bottom"/>
          </w:tcPr>
          <w:p w14:paraId="5CE0B379"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-1,1%</w:t>
            </w:r>
          </w:p>
        </w:tc>
        <w:tc>
          <w:tcPr>
            <w:tcW w:w="739" w:type="dxa"/>
            <w:tcBorders>
              <w:top w:val="nil"/>
              <w:left w:val="nil"/>
              <w:bottom w:val="single" w:sz="4" w:space="0" w:color="auto"/>
              <w:right w:val="single" w:sz="4" w:space="0" w:color="auto"/>
            </w:tcBorders>
            <w:shd w:val="clear" w:color="FFFFFF" w:fill="auto"/>
            <w:vAlign w:val="bottom"/>
          </w:tcPr>
          <w:p w14:paraId="3351FEAD"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0,0%</w:t>
            </w:r>
          </w:p>
        </w:tc>
      </w:tr>
      <w:tr w:rsidR="00E45B42" w:rsidRPr="00E45B42" w14:paraId="4BE230A0" w14:textId="77777777" w:rsidTr="0049223A">
        <w:trPr>
          <w:trHeight w:val="325"/>
          <w:jc w:val="center"/>
        </w:trPr>
        <w:tc>
          <w:tcPr>
            <w:tcW w:w="1030" w:type="dxa"/>
            <w:vMerge w:val="restart"/>
            <w:tcBorders>
              <w:top w:val="nil"/>
              <w:left w:val="single" w:sz="4" w:space="0" w:color="auto"/>
              <w:bottom w:val="single" w:sz="4" w:space="0" w:color="000000"/>
              <w:right w:val="single" w:sz="4" w:space="0" w:color="auto"/>
            </w:tcBorders>
            <w:shd w:val="clear" w:color="FFFFFF" w:fill="auto"/>
            <w:noWrap/>
            <w:vAlign w:val="center"/>
            <w:hideMark/>
          </w:tcPr>
          <w:p w14:paraId="0E5C9B10" w14:textId="77777777" w:rsidR="00E45B42" w:rsidRPr="00E45B42" w:rsidRDefault="00E45B42" w:rsidP="00E45B42">
            <w:pPr>
              <w:ind w:firstLine="0"/>
              <w:jc w:val="center"/>
              <w:rPr>
                <w:rFonts w:eastAsia="Times New Roman" w:cs="Times New Roman"/>
                <w:b/>
                <w:bCs/>
                <w:noProof/>
                <w:color w:val="000000"/>
                <w:sz w:val="20"/>
                <w:szCs w:val="20"/>
                <w:lang w:eastAsia="lv-LV"/>
              </w:rPr>
            </w:pPr>
            <w:r w:rsidRPr="00E45B42">
              <w:rPr>
                <w:rFonts w:eastAsia="Times New Roman" w:cs="Times New Roman"/>
                <w:b/>
                <w:bCs/>
                <w:noProof/>
                <w:color w:val="000000"/>
                <w:sz w:val="20"/>
                <w:szCs w:val="20"/>
                <w:lang w:eastAsia="lv-LV"/>
              </w:rPr>
              <w:t>Ukraina</w:t>
            </w:r>
          </w:p>
        </w:tc>
        <w:tc>
          <w:tcPr>
            <w:tcW w:w="857" w:type="dxa"/>
            <w:tcBorders>
              <w:top w:val="nil"/>
              <w:left w:val="nil"/>
              <w:bottom w:val="nil"/>
              <w:right w:val="single" w:sz="4" w:space="0" w:color="auto"/>
            </w:tcBorders>
            <w:shd w:val="clear" w:color="FFFFFF" w:fill="auto"/>
            <w:noWrap/>
            <w:vAlign w:val="center"/>
            <w:hideMark/>
          </w:tcPr>
          <w:p w14:paraId="11B56E96" w14:textId="77777777" w:rsidR="00E45B42" w:rsidRPr="00E45B42" w:rsidRDefault="00E45B42" w:rsidP="00E45B42">
            <w:pPr>
              <w:ind w:firstLine="0"/>
              <w:jc w:val="center"/>
              <w:rPr>
                <w:rFonts w:eastAsia="Times New Roman" w:cs="Times New Roman"/>
                <w:b/>
                <w:bCs/>
                <w:color w:val="000000"/>
                <w:sz w:val="20"/>
                <w:szCs w:val="20"/>
                <w:lang w:eastAsia="lv-LV"/>
              </w:rPr>
            </w:pPr>
          </w:p>
        </w:tc>
        <w:tc>
          <w:tcPr>
            <w:tcW w:w="857" w:type="dxa"/>
            <w:tcBorders>
              <w:top w:val="nil"/>
              <w:left w:val="nil"/>
              <w:bottom w:val="nil"/>
              <w:right w:val="single" w:sz="4" w:space="0" w:color="auto"/>
            </w:tcBorders>
            <w:shd w:val="clear" w:color="FFFFFF" w:fill="auto"/>
            <w:noWrap/>
            <w:vAlign w:val="center"/>
            <w:hideMark/>
          </w:tcPr>
          <w:p w14:paraId="786025B0" w14:textId="77777777" w:rsidR="00E45B42" w:rsidRPr="00E45B42" w:rsidRDefault="00E45B42" w:rsidP="00E45B42">
            <w:pPr>
              <w:ind w:firstLine="0"/>
              <w:jc w:val="center"/>
              <w:rPr>
                <w:rFonts w:eastAsia="Times New Roman" w:cs="Times New Roman"/>
                <w:b/>
                <w:bCs/>
                <w:color w:val="000000"/>
                <w:sz w:val="20"/>
                <w:szCs w:val="20"/>
                <w:lang w:eastAsia="lv-LV"/>
              </w:rPr>
            </w:pPr>
          </w:p>
        </w:tc>
        <w:tc>
          <w:tcPr>
            <w:tcW w:w="857" w:type="dxa"/>
            <w:tcBorders>
              <w:top w:val="nil"/>
              <w:left w:val="nil"/>
              <w:bottom w:val="nil"/>
              <w:right w:val="single" w:sz="4" w:space="0" w:color="auto"/>
            </w:tcBorders>
            <w:shd w:val="clear" w:color="FFFFFF" w:fill="auto"/>
            <w:noWrap/>
            <w:vAlign w:val="center"/>
            <w:hideMark/>
          </w:tcPr>
          <w:p w14:paraId="1B92CFCB"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81</w:t>
            </w:r>
          </w:p>
        </w:tc>
        <w:tc>
          <w:tcPr>
            <w:tcW w:w="857" w:type="dxa"/>
            <w:tcBorders>
              <w:top w:val="nil"/>
              <w:left w:val="nil"/>
              <w:bottom w:val="nil"/>
              <w:right w:val="single" w:sz="4" w:space="0" w:color="auto"/>
            </w:tcBorders>
            <w:shd w:val="clear" w:color="FFFFFF" w:fill="auto"/>
            <w:noWrap/>
            <w:vAlign w:val="center"/>
            <w:hideMark/>
          </w:tcPr>
          <w:p w14:paraId="6A3A6627"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68</w:t>
            </w:r>
          </w:p>
        </w:tc>
        <w:tc>
          <w:tcPr>
            <w:tcW w:w="739" w:type="dxa"/>
            <w:tcBorders>
              <w:top w:val="nil"/>
              <w:left w:val="nil"/>
              <w:bottom w:val="nil"/>
              <w:right w:val="double" w:sz="4" w:space="0" w:color="auto"/>
            </w:tcBorders>
            <w:shd w:val="clear" w:color="FFFFFF" w:fill="auto"/>
            <w:noWrap/>
            <w:vAlign w:val="center"/>
            <w:hideMark/>
          </w:tcPr>
          <w:p w14:paraId="5D6DC3FA" w14:textId="77777777" w:rsidR="00E45B42" w:rsidRPr="00E45B42" w:rsidRDefault="00E45B42" w:rsidP="00E45B42">
            <w:pPr>
              <w:ind w:firstLine="0"/>
              <w:jc w:val="center"/>
              <w:rPr>
                <w:rFonts w:eastAsia="Times New Roman" w:cs="Times New Roman"/>
                <w:sz w:val="20"/>
                <w:szCs w:val="20"/>
                <w:lang w:eastAsia="lv-LV"/>
              </w:rPr>
            </w:pPr>
            <w:r w:rsidRPr="00E45B42">
              <w:rPr>
                <w:rFonts w:eastAsia="Times New Roman" w:cs="Times New Roman"/>
                <w:sz w:val="20"/>
                <w:szCs w:val="20"/>
                <w:lang w:eastAsia="lv-LV"/>
              </w:rPr>
              <w:t>70</w:t>
            </w:r>
          </w:p>
        </w:tc>
        <w:tc>
          <w:tcPr>
            <w:tcW w:w="857" w:type="dxa"/>
            <w:tcBorders>
              <w:top w:val="nil"/>
              <w:left w:val="double" w:sz="4" w:space="0" w:color="auto"/>
              <w:bottom w:val="nil"/>
              <w:right w:val="single" w:sz="4" w:space="0" w:color="auto"/>
            </w:tcBorders>
            <w:shd w:val="clear" w:color="FFFFFF" w:fill="auto"/>
          </w:tcPr>
          <w:p w14:paraId="5704378B"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 </w:t>
            </w:r>
          </w:p>
        </w:tc>
        <w:tc>
          <w:tcPr>
            <w:tcW w:w="857" w:type="dxa"/>
            <w:tcBorders>
              <w:top w:val="nil"/>
              <w:left w:val="nil"/>
              <w:bottom w:val="nil"/>
              <w:right w:val="single" w:sz="4" w:space="0" w:color="auto"/>
            </w:tcBorders>
            <w:shd w:val="clear" w:color="FFFFFF" w:fill="auto"/>
          </w:tcPr>
          <w:p w14:paraId="57D3B4A6"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 </w:t>
            </w:r>
          </w:p>
        </w:tc>
        <w:tc>
          <w:tcPr>
            <w:tcW w:w="857" w:type="dxa"/>
            <w:tcBorders>
              <w:top w:val="nil"/>
              <w:left w:val="nil"/>
              <w:bottom w:val="nil"/>
              <w:right w:val="single" w:sz="4" w:space="0" w:color="auto"/>
            </w:tcBorders>
            <w:shd w:val="clear" w:color="FFFFFF" w:fill="auto"/>
          </w:tcPr>
          <w:p w14:paraId="6FC62662"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-81</w:t>
            </w:r>
          </w:p>
        </w:tc>
        <w:tc>
          <w:tcPr>
            <w:tcW w:w="857" w:type="dxa"/>
            <w:tcBorders>
              <w:top w:val="nil"/>
              <w:left w:val="nil"/>
              <w:bottom w:val="nil"/>
              <w:right w:val="single" w:sz="4" w:space="0" w:color="auto"/>
            </w:tcBorders>
            <w:shd w:val="clear" w:color="FFFFFF" w:fill="auto"/>
          </w:tcPr>
          <w:p w14:paraId="1FBB74E4"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-68</w:t>
            </w:r>
          </w:p>
        </w:tc>
        <w:tc>
          <w:tcPr>
            <w:tcW w:w="739" w:type="dxa"/>
            <w:tcBorders>
              <w:top w:val="nil"/>
              <w:left w:val="nil"/>
              <w:bottom w:val="nil"/>
              <w:right w:val="single" w:sz="4" w:space="0" w:color="auto"/>
            </w:tcBorders>
            <w:shd w:val="clear" w:color="FFFFFF" w:fill="auto"/>
          </w:tcPr>
          <w:p w14:paraId="758008E5"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-70</w:t>
            </w:r>
          </w:p>
        </w:tc>
      </w:tr>
      <w:tr w:rsidR="00E45B42" w:rsidRPr="00E45B42" w14:paraId="39CFE5CB" w14:textId="77777777" w:rsidTr="0049223A">
        <w:trPr>
          <w:trHeight w:val="55"/>
          <w:jc w:val="center"/>
        </w:trPr>
        <w:tc>
          <w:tcPr>
            <w:tcW w:w="1030" w:type="dxa"/>
            <w:vMerge/>
            <w:tcBorders>
              <w:top w:val="nil"/>
              <w:left w:val="single" w:sz="4" w:space="0" w:color="auto"/>
              <w:bottom w:val="single" w:sz="4" w:space="0" w:color="000000"/>
              <w:right w:val="single" w:sz="4" w:space="0" w:color="auto"/>
            </w:tcBorders>
            <w:vAlign w:val="center"/>
            <w:hideMark/>
          </w:tcPr>
          <w:p w14:paraId="3F7058A5" w14:textId="77777777" w:rsidR="00E45B42" w:rsidRPr="00E45B42" w:rsidRDefault="00E45B42" w:rsidP="00E45B42">
            <w:pPr>
              <w:ind w:firstLine="0"/>
              <w:jc w:val="center"/>
              <w:rPr>
                <w:rFonts w:eastAsia="Times New Roman" w:cs="Times New Roman"/>
                <w:b/>
                <w:bCs/>
                <w:color w:val="000000"/>
                <w:sz w:val="20"/>
                <w:szCs w:val="20"/>
                <w:lang w:eastAsia="lv-LV"/>
              </w:rPr>
            </w:pPr>
          </w:p>
        </w:tc>
        <w:tc>
          <w:tcPr>
            <w:tcW w:w="857" w:type="dxa"/>
            <w:tcBorders>
              <w:top w:val="nil"/>
              <w:left w:val="nil"/>
              <w:bottom w:val="single" w:sz="4" w:space="0" w:color="auto"/>
              <w:right w:val="single" w:sz="4" w:space="0" w:color="auto"/>
            </w:tcBorders>
            <w:shd w:val="clear" w:color="FFFFFF" w:fill="auto"/>
            <w:noWrap/>
            <w:vAlign w:val="center"/>
            <w:hideMark/>
          </w:tcPr>
          <w:p w14:paraId="540588B5" w14:textId="77777777" w:rsidR="00E45B42" w:rsidRPr="00E45B42" w:rsidRDefault="00E45B42" w:rsidP="00E45B42">
            <w:pPr>
              <w:ind w:firstLine="0"/>
              <w:jc w:val="center"/>
              <w:rPr>
                <w:rFonts w:eastAsia="Times New Roman" w:cs="Times New Roman"/>
                <w:color w:val="000000"/>
                <w:sz w:val="20"/>
                <w:szCs w:val="20"/>
                <w:lang w:eastAsia="lv-LV"/>
              </w:rPr>
            </w:pPr>
          </w:p>
        </w:tc>
        <w:tc>
          <w:tcPr>
            <w:tcW w:w="857" w:type="dxa"/>
            <w:tcBorders>
              <w:top w:val="nil"/>
              <w:left w:val="nil"/>
              <w:bottom w:val="single" w:sz="4" w:space="0" w:color="auto"/>
              <w:right w:val="single" w:sz="4" w:space="0" w:color="auto"/>
            </w:tcBorders>
            <w:shd w:val="clear" w:color="FFFFFF" w:fill="auto"/>
            <w:noWrap/>
            <w:vAlign w:val="center"/>
            <w:hideMark/>
          </w:tcPr>
          <w:p w14:paraId="735A6EA1" w14:textId="77777777" w:rsidR="00E45B42" w:rsidRPr="00E45B42" w:rsidRDefault="00E45B42" w:rsidP="00E45B42">
            <w:pPr>
              <w:ind w:firstLine="0"/>
              <w:jc w:val="center"/>
              <w:rPr>
                <w:rFonts w:eastAsia="Times New Roman" w:cs="Times New Roman"/>
                <w:color w:val="000000"/>
                <w:sz w:val="20"/>
                <w:szCs w:val="20"/>
                <w:lang w:eastAsia="lv-LV"/>
              </w:rPr>
            </w:pPr>
          </w:p>
        </w:tc>
        <w:tc>
          <w:tcPr>
            <w:tcW w:w="857" w:type="dxa"/>
            <w:tcBorders>
              <w:top w:val="nil"/>
              <w:left w:val="nil"/>
              <w:bottom w:val="single" w:sz="4" w:space="0" w:color="auto"/>
              <w:right w:val="single" w:sz="4" w:space="0" w:color="auto"/>
            </w:tcBorders>
            <w:shd w:val="clear" w:color="FFFFFF" w:fill="auto"/>
            <w:noWrap/>
            <w:vAlign w:val="center"/>
            <w:hideMark/>
          </w:tcPr>
          <w:p w14:paraId="6F52FF63"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0,2%</w:t>
            </w:r>
          </w:p>
        </w:tc>
        <w:tc>
          <w:tcPr>
            <w:tcW w:w="857" w:type="dxa"/>
            <w:tcBorders>
              <w:top w:val="nil"/>
              <w:left w:val="nil"/>
              <w:bottom w:val="single" w:sz="4" w:space="0" w:color="auto"/>
              <w:right w:val="single" w:sz="4" w:space="0" w:color="auto"/>
            </w:tcBorders>
            <w:shd w:val="clear" w:color="FFFFFF" w:fill="auto"/>
            <w:noWrap/>
            <w:vAlign w:val="center"/>
            <w:hideMark/>
          </w:tcPr>
          <w:p w14:paraId="5E1C5E31" w14:textId="77777777" w:rsidR="00E45B42" w:rsidRPr="00E45B42" w:rsidRDefault="00E45B42" w:rsidP="00E45B42">
            <w:pPr>
              <w:ind w:firstLine="0"/>
              <w:jc w:val="center"/>
              <w:rPr>
                <w:rFonts w:eastAsia="Times New Roman" w:cs="Times New Roman"/>
                <w:color w:val="000000"/>
                <w:sz w:val="20"/>
                <w:szCs w:val="20"/>
                <w:lang w:eastAsia="lv-LV"/>
              </w:rPr>
            </w:pPr>
            <w:r w:rsidRPr="00E45B42">
              <w:rPr>
                <w:rFonts w:eastAsia="Times New Roman" w:cs="Times New Roman"/>
                <w:color w:val="000000"/>
                <w:sz w:val="20"/>
                <w:szCs w:val="20"/>
                <w:lang w:eastAsia="lv-LV"/>
              </w:rPr>
              <w:t>0,2%</w:t>
            </w:r>
          </w:p>
        </w:tc>
        <w:tc>
          <w:tcPr>
            <w:tcW w:w="739" w:type="dxa"/>
            <w:tcBorders>
              <w:top w:val="nil"/>
              <w:left w:val="nil"/>
              <w:bottom w:val="single" w:sz="4" w:space="0" w:color="auto"/>
              <w:right w:val="double" w:sz="4" w:space="0" w:color="auto"/>
            </w:tcBorders>
            <w:shd w:val="clear" w:color="FFFFFF" w:fill="auto"/>
            <w:noWrap/>
            <w:vAlign w:val="center"/>
            <w:hideMark/>
          </w:tcPr>
          <w:p w14:paraId="015666EE" w14:textId="77777777" w:rsidR="00E45B42" w:rsidRPr="00E45B42" w:rsidRDefault="00E45B42" w:rsidP="00E45B42">
            <w:pPr>
              <w:ind w:firstLine="0"/>
              <w:jc w:val="center"/>
              <w:rPr>
                <w:rFonts w:eastAsia="Times New Roman" w:cs="Times New Roman"/>
                <w:sz w:val="20"/>
                <w:szCs w:val="20"/>
                <w:lang w:eastAsia="lv-LV"/>
              </w:rPr>
            </w:pPr>
            <w:r w:rsidRPr="00E45B42">
              <w:rPr>
                <w:rFonts w:eastAsia="Times New Roman" w:cs="Times New Roman"/>
                <w:sz w:val="20"/>
                <w:szCs w:val="20"/>
                <w:lang w:eastAsia="lv-LV"/>
              </w:rPr>
              <w:t>0,2%</w:t>
            </w:r>
          </w:p>
        </w:tc>
        <w:tc>
          <w:tcPr>
            <w:tcW w:w="857" w:type="dxa"/>
            <w:tcBorders>
              <w:top w:val="nil"/>
              <w:left w:val="double" w:sz="4" w:space="0" w:color="auto"/>
              <w:bottom w:val="single" w:sz="4" w:space="0" w:color="auto"/>
              <w:right w:val="single" w:sz="4" w:space="0" w:color="auto"/>
            </w:tcBorders>
            <w:shd w:val="clear" w:color="FFFFFF" w:fill="auto"/>
            <w:vAlign w:val="bottom"/>
          </w:tcPr>
          <w:p w14:paraId="6AB765DD"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 </w:t>
            </w:r>
          </w:p>
        </w:tc>
        <w:tc>
          <w:tcPr>
            <w:tcW w:w="857" w:type="dxa"/>
            <w:tcBorders>
              <w:top w:val="nil"/>
              <w:left w:val="nil"/>
              <w:bottom w:val="single" w:sz="4" w:space="0" w:color="auto"/>
              <w:right w:val="single" w:sz="4" w:space="0" w:color="auto"/>
            </w:tcBorders>
            <w:shd w:val="clear" w:color="FFFFFF" w:fill="auto"/>
            <w:vAlign w:val="bottom"/>
          </w:tcPr>
          <w:p w14:paraId="18CBD257"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 </w:t>
            </w:r>
          </w:p>
        </w:tc>
        <w:tc>
          <w:tcPr>
            <w:tcW w:w="857" w:type="dxa"/>
            <w:tcBorders>
              <w:top w:val="nil"/>
              <w:left w:val="nil"/>
              <w:bottom w:val="single" w:sz="4" w:space="0" w:color="auto"/>
              <w:right w:val="single" w:sz="4" w:space="0" w:color="auto"/>
            </w:tcBorders>
            <w:shd w:val="clear" w:color="FFFFFF" w:fill="auto"/>
            <w:vAlign w:val="bottom"/>
          </w:tcPr>
          <w:p w14:paraId="5E5106A1"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-0,2%</w:t>
            </w:r>
          </w:p>
        </w:tc>
        <w:tc>
          <w:tcPr>
            <w:tcW w:w="857" w:type="dxa"/>
            <w:tcBorders>
              <w:top w:val="nil"/>
              <w:left w:val="nil"/>
              <w:bottom w:val="single" w:sz="4" w:space="0" w:color="auto"/>
              <w:right w:val="single" w:sz="4" w:space="0" w:color="auto"/>
            </w:tcBorders>
            <w:shd w:val="clear" w:color="FFFFFF" w:fill="auto"/>
            <w:vAlign w:val="bottom"/>
          </w:tcPr>
          <w:p w14:paraId="65784313"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-0,2%</w:t>
            </w:r>
          </w:p>
        </w:tc>
        <w:tc>
          <w:tcPr>
            <w:tcW w:w="739" w:type="dxa"/>
            <w:tcBorders>
              <w:top w:val="nil"/>
              <w:left w:val="nil"/>
              <w:bottom w:val="single" w:sz="4" w:space="0" w:color="auto"/>
              <w:right w:val="single" w:sz="4" w:space="0" w:color="auto"/>
            </w:tcBorders>
            <w:shd w:val="clear" w:color="FFFFFF" w:fill="auto"/>
            <w:vAlign w:val="bottom"/>
          </w:tcPr>
          <w:p w14:paraId="51B22204" w14:textId="77777777" w:rsidR="00E45B42" w:rsidRPr="00E45B42" w:rsidRDefault="00E45B42" w:rsidP="00E45B42">
            <w:pPr>
              <w:ind w:firstLine="0"/>
              <w:jc w:val="center"/>
              <w:rPr>
                <w:rFonts w:eastAsia="Times New Roman" w:cs="Times New Roman"/>
                <w:sz w:val="20"/>
                <w:szCs w:val="20"/>
                <w:lang w:eastAsia="lv-LV"/>
              </w:rPr>
            </w:pPr>
            <w:r w:rsidRPr="00E45B42">
              <w:rPr>
                <w:rFonts w:eastAsia="Calibri" w:cs="Times New Roman"/>
                <w:noProof/>
                <w:sz w:val="20"/>
                <w:szCs w:val="20"/>
                <w:lang w:eastAsia="lv-LV"/>
              </w:rPr>
              <w:t>-0,2%</w:t>
            </w:r>
          </w:p>
        </w:tc>
      </w:tr>
      <w:tr w:rsidR="00E45B42" w:rsidRPr="00E45B42" w14:paraId="2BE214DB" w14:textId="77777777" w:rsidTr="00E45B42">
        <w:trPr>
          <w:trHeight w:val="435"/>
          <w:jc w:val="center"/>
        </w:trPr>
        <w:tc>
          <w:tcPr>
            <w:tcW w:w="1030" w:type="dxa"/>
            <w:tcBorders>
              <w:top w:val="nil"/>
              <w:left w:val="single" w:sz="4" w:space="0" w:color="auto"/>
              <w:bottom w:val="nil"/>
              <w:right w:val="nil"/>
            </w:tcBorders>
            <w:shd w:val="clear" w:color="auto" w:fill="DEEAF6"/>
            <w:noWrap/>
            <w:vAlign w:val="center"/>
            <w:hideMark/>
          </w:tcPr>
          <w:p w14:paraId="77AF7DA0" w14:textId="77777777" w:rsidR="00E45B42" w:rsidRPr="00E45B42" w:rsidRDefault="00E45B42" w:rsidP="00E45B42">
            <w:pPr>
              <w:ind w:firstLine="0"/>
              <w:jc w:val="center"/>
              <w:rPr>
                <w:rFonts w:eastAsia="Times New Roman" w:cs="Times New Roman"/>
                <w:b/>
                <w:bCs/>
                <w:color w:val="000000"/>
                <w:sz w:val="20"/>
                <w:szCs w:val="20"/>
                <w:lang w:eastAsia="lv-LV"/>
              </w:rPr>
            </w:pPr>
            <w:r w:rsidRPr="00E45B42">
              <w:rPr>
                <w:rFonts w:eastAsia="Times New Roman" w:cs="Times New Roman"/>
                <w:b/>
                <w:bCs/>
                <w:color w:val="000000"/>
                <w:sz w:val="20"/>
                <w:szCs w:val="20"/>
                <w:lang w:eastAsia="lv-LV"/>
              </w:rPr>
              <w:t>Atbalsts KOPĀ</w:t>
            </w:r>
          </w:p>
        </w:tc>
        <w:tc>
          <w:tcPr>
            <w:tcW w:w="857" w:type="dxa"/>
            <w:tcBorders>
              <w:top w:val="nil"/>
              <w:left w:val="single" w:sz="4" w:space="0" w:color="auto"/>
              <w:bottom w:val="nil"/>
              <w:right w:val="single" w:sz="4" w:space="0" w:color="auto"/>
            </w:tcBorders>
            <w:shd w:val="clear" w:color="auto" w:fill="DEEAF6"/>
            <w:noWrap/>
            <w:vAlign w:val="center"/>
            <w:hideMark/>
          </w:tcPr>
          <w:p w14:paraId="22735E02" w14:textId="77777777" w:rsidR="00E45B42" w:rsidRPr="00E45B42" w:rsidRDefault="00E45B42" w:rsidP="00E45B42">
            <w:pPr>
              <w:ind w:firstLine="0"/>
              <w:jc w:val="center"/>
              <w:rPr>
                <w:rFonts w:eastAsia="Times New Roman" w:cs="Times New Roman"/>
                <w:b/>
                <w:bCs/>
                <w:color w:val="000000"/>
                <w:sz w:val="20"/>
                <w:szCs w:val="20"/>
                <w:lang w:eastAsia="lv-LV"/>
              </w:rPr>
            </w:pPr>
            <w:r w:rsidRPr="00E45B42">
              <w:rPr>
                <w:rFonts w:eastAsia="Times New Roman" w:cs="Times New Roman"/>
                <w:b/>
                <w:bCs/>
                <w:color w:val="000000"/>
                <w:sz w:val="20"/>
                <w:szCs w:val="20"/>
                <w:lang w:eastAsia="lv-LV"/>
              </w:rPr>
              <w:t>1 282</w:t>
            </w:r>
          </w:p>
        </w:tc>
        <w:tc>
          <w:tcPr>
            <w:tcW w:w="857" w:type="dxa"/>
            <w:tcBorders>
              <w:top w:val="nil"/>
              <w:left w:val="nil"/>
              <w:bottom w:val="nil"/>
              <w:right w:val="single" w:sz="4" w:space="0" w:color="auto"/>
            </w:tcBorders>
            <w:shd w:val="clear" w:color="auto" w:fill="DEEAF6"/>
            <w:noWrap/>
            <w:vAlign w:val="center"/>
            <w:hideMark/>
          </w:tcPr>
          <w:p w14:paraId="3EEA485F" w14:textId="77777777" w:rsidR="00E45B42" w:rsidRPr="00E45B42" w:rsidRDefault="00E45B42" w:rsidP="00E45B42">
            <w:pPr>
              <w:ind w:firstLine="0"/>
              <w:jc w:val="center"/>
              <w:rPr>
                <w:rFonts w:eastAsia="Times New Roman" w:cs="Times New Roman"/>
                <w:b/>
                <w:bCs/>
                <w:color w:val="000000"/>
                <w:sz w:val="20"/>
                <w:szCs w:val="20"/>
                <w:lang w:eastAsia="lv-LV"/>
              </w:rPr>
            </w:pPr>
            <w:r w:rsidRPr="00E45B42">
              <w:rPr>
                <w:rFonts w:eastAsia="Times New Roman" w:cs="Times New Roman"/>
                <w:b/>
                <w:bCs/>
                <w:color w:val="000000"/>
                <w:sz w:val="20"/>
                <w:szCs w:val="20"/>
                <w:lang w:eastAsia="lv-LV"/>
              </w:rPr>
              <w:t>2 317</w:t>
            </w:r>
          </w:p>
        </w:tc>
        <w:tc>
          <w:tcPr>
            <w:tcW w:w="857" w:type="dxa"/>
            <w:tcBorders>
              <w:top w:val="nil"/>
              <w:left w:val="nil"/>
              <w:bottom w:val="nil"/>
              <w:right w:val="single" w:sz="4" w:space="0" w:color="auto"/>
            </w:tcBorders>
            <w:shd w:val="clear" w:color="auto" w:fill="DEEAF6"/>
            <w:noWrap/>
            <w:vAlign w:val="center"/>
            <w:hideMark/>
          </w:tcPr>
          <w:p w14:paraId="3CE72F97" w14:textId="77777777" w:rsidR="00E45B42" w:rsidRPr="00E45B42" w:rsidRDefault="00E45B42" w:rsidP="00E45B42">
            <w:pPr>
              <w:ind w:firstLine="0"/>
              <w:jc w:val="center"/>
              <w:rPr>
                <w:rFonts w:eastAsia="Times New Roman" w:cs="Times New Roman"/>
                <w:b/>
                <w:bCs/>
                <w:color w:val="000000"/>
                <w:sz w:val="20"/>
                <w:szCs w:val="20"/>
                <w:lang w:eastAsia="lv-LV"/>
              </w:rPr>
            </w:pPr>
            <w:r w:rsidRPr="00E45B42">
              <w:rPr>
                <w:rFonts w:eastAsia="Times New Roman" w:cs="Times New Roman"/>
                <w:b/>
                <w:bCs/>
                <w:color w:val="000000"/>
                <w:sz w:val="20"/>
                <w:szCs w:val="20"/>
                <w:lang w:eastAsia="lv-LV"/>
              </w:rPr>
              <w:t>1 650</w:t>
            </w:r>
          </w:p>
        </w:tc>
        <w:tc>
          <w:tcPr>
            <w:tcW w:w="857" w:type="dxa"/>
            <w:tcBorders>
              <w:top w:val="nil"/>
              <w:left w:val="nil"/>
              <w:bottom w:val="nil"/>
              <w:right w:val="single" w:sz="4" w:space="0" w:color="auto"/>
            </w:tcBorders>
            <w:shd w:val="clear" w:color="auto" w:fill="DEEAF6"/>
            <w:noWrap/>
            <w:vAlign w:val="center"/>
            <w:hideMark/>
          </w:tcPr>
          <w:p w14:paraId="0C198DD9" w14:textId="77777777" w:rsidR="00E45B42" w:rsidRPr="00E45B42" w:rsidRDefault="00E45B42" w:rsidP="00E45B42">
            <w:pPr>
              <w:ind w:firstLine="0"/>
              <w:jc w:val="center"/>
              <w:rPr>
                <w:rFonts w:eastAsia="Times New Roman" w:cs="Times New Roman"/>
                <w:b/>
                <w:bCs/>
                <w:color w:val="000000"/>
                <w:sz w:val="20"/>
                <w:szCs w:val="20"/>
                <w:lang w:eastAsia="lv-LV"/>
              </w:rPr>
            </w:pPr>
            <w:r w:rsidRPr="00E45B42">
              <w:rPr>
                <w:rFonts w:eastAsia="Times New Roman" w:cs="Times New Roman"/>
                <w:b/>
                <w:bCs/>
                <w:color w:val="000000"/>
                <w:sz w:val="20"/>
                <w:szCs w:val="20"/>
                <w:lang w:eastAsia="lv-LV"/>
              </w:rPr>
              <w:t>599</w:t>
            </w:r>
          </w:p>
        </w:tc>
        <w:tc>
          <w:tcPr>
            <w:tcW w:w="739" w:type="dxa"/>
            <w:tcBorders>
              <w:top w:val="nil"/>
              <w:left w:val="nil"/>
              <w:bottom w:val="nil"/>
              <w:right w:val="double" w:sz="4" w:space="0" w:color="auto"/>
            </w:tcBorders>
            <w:shd w:val="clear" w:color="auto" w:fill="DEEAF6"/>
            <w:noWrap/>
            <w:vAlign w:val="center"/>
            <w:hideMark/>
          </w:tcPr>
          <w:p w14:paraId="4B637714"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Times New Roman" w:cs="Times New Roman"/>
                <w:b/>
                <w:bCs/>
                <w:sz w:val="20"/>
                <w:szCs w:val="20"/>
                <w:lang w:eastAsia="lv-LV"/>
              </w:rPr>
              <w:t>149</w:t>
            </w:r>
          </w:p>
        </w:tc>
        <w:tc>
          <w:tcPr>
            <w:tcW w:w="857" w:type="dxa"/>
            <w:tcBorders>
              <w:top w:val="nil"/>
              <w:left w:val="double" w:sz="4" w:space="0" w:color="auto"/>
              <w:bottom w:val="nil"/>
              <w:right w:val="single" w:sz="4" w:space="0" w:color="auto"/>
            </w:tcBorders>
            <w:shd w:val="clear" w:color="auto" w:fill="DEEAF6"/>
            <w:vAlign w:val="center"/>
          </w:tcPr>
          <w:p w14:paraId="41DC0B6A"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Calibri" w:cs="Times New Roman"/>
                <w:b/>
                <w:bCs/>
                <w:noProof/>
                <w:sz w:val="20"/>
                <w:szCs w:val="20"/>
                <w:lang w:eastAsia="lv-LV"/>
              </w:rPr>
              <w:t>-961</w:t>
            </w:r>
          </w:p>
        </w:tc>
        <w:tc>
          <w:tcPr>
            <w:tcW w:w="857" w:type="dxa"/>
            <w:tcBorders>
              <w:top w:val="nil"/>
              <w:left w:val="nil"/>
              <w:bottom w:val="nil"/>
              <w:right w:val="single" w:sz="4" w:space="0" w:color="auto"/>
            </w:tcBorders>
            <w:shd w:val="clear" w:color="auto" w:fill="DEEAF6"/>
            <w:vAlign w:val="center"/>
          </w:tcPr>
          <w:p w14:paraId="31AEB07C"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Calibri" w:cs="Times New Roman"/>
                <w:b/>
                <w:bCs/>
                <w:noProof/>
                <w:sz w:val="20"/>
                <w:szCs w:val="20"/>
                <w:lang w:eastAsia="lv-LV"/>
              </w:rPr>
              <w:t>-2 105</w:t>
            </w:r>
          </w:p>
        </w:tc>
        <w:tc>
          <w:tcPr>
            <w:tcW w:w="857" w:type="dxa"/>
            <w:tcBorders>
              <w:top w:val="nil"/>
              <w:left w:val="nil"/>
              <w:bottom w:val="nil"/>
              <w:right w:val="single" w:sz="4" w:space="0" w:color="auto"/>
            </w:tcBorders>
            <w:shd w:val="clear" w:color="auto" w:fill="DEEAF6"/>
            <w:vAlign w:val="center"/>
          </w:tcPr>
          <w:p w14:paraId="15B549C2"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Calibri" w:cs="Times New Roman"/>
                <w:b/>
                <w:bCs/>
                <w:noProof/>
                <w:sz w:val="20"/>
                <w:szCs w:val="20"/>
                <w:lang w:eastAsia="lv-LV"/>
              </w:rPr>
              <w:t>-1 481</w:t>
            </w:r>
          </w:p>
        </w:tc>
        <w:tc>
          <w:tcPr>
            <w:tcW w:w="857" w:type="dxa"/>
            <w:tcBorders>
              <w:top w:val="nil"/>
              <w:left w:val="nil"/>
              <w:bottom w:val="nil"/>
              <w:right w:val="single" w:sz="4" w:space="0" w:color="auto"/>
            </w:tcBorders>
            <w:shd w:val="clear" w:color="auto" w:fill="DEEAF6"/>
            <w:vAlign w:val="center"/>
          </w:tcPr>
          <w:p w14:paraId="66DB609B"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Calibri" w:cs="Times New Roman"/>
                <w:b/>
                <w:bCs/>
                <w:noProof/>
                <w:sz w:val="20"/>
                <w:szCs w:val="20"/>
                <w:lang w:eastAsia="lv-LV"/>
              </w:rPr>
              <w:t>-599</w:t>
            </w:r>
          </w:p>
        </w:tc>
        <w:tc>
          <w:tcPr>
            <w:tcW w:w="739" w:type="dxa"/>
            <w:tcBorders>
              <w:top w:val="nil"/>
              <w:left w:val="nil"/>
              <w:bottom w:val="nil"/>
              <w:right w:val="single" w:sz="4" w:space="0" w:color="auto"/>
            </w:tcBorders>
            <w:shd w:val="clear" w:color="auto" w:fill="DEEAF6"/>
            <w:vAlign w:val="center"/>
          </w:tcPr>
          <w:p w14:paraId="0915FEF1"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Calibri" w:cs="Times New Roman"/>
                <w:b/>
                <w:bCs/>
                <w:noProof/>
                <w:sz w:val="20"/>
                <w:szCs w:val="20"/>
                <w:lang w:eastAsia="lv-LV"/>
              </w:rPr>
              <w:t>-107</w:t>
            </w:r>
          </w:p>
        </w:tc>
      </w:tr>
      <w:tr w:rsidR="00E45B42" w:rsidRPr="00E45B42" w14:paraId="218BFB0C" w14:textId="77777777" w:rsidTr="0049223A">
        <w:trPr>
          <w:trHeight w:val="352"/>
          <w:jc w:val="center"/>
        </w:trPr>
        <w:tc>
          <w:tcPr>
            <w:tcW w:w="1030" w:type="dxa"/>
            <w:tcBorders>
              <w:top w:val="nil"/>
              <w:left w:val="single" w:sz="4" w:space="0" w:color="auto"/>
              <w:bottom w:val="single" w:sz="4" w:space="0" w:color="auto"/>
              <w:right w:val="nil"/>
            </w:tcBorders>
            <w:shd w:val="clear" w:color="FFFFFF" w:fill="BDD7EE"/>
            <w:noWrap/>
            <w:vAlign w:val="center"/>
            <w:hideMark/>
          </w:tcPr>
          <w:p w14:paraId="1B46DCF8" w14:textId="77777777" w:rsidR="00E45B42" w:rsidRPr="00E45B42" w:rsidRDefault="00E45B42" w:rsidP="00E45B42">
            <w:pPr>
              <w:ind w:firstLine="0"/>
              <w:jc w:val="center"/>
              <w:rPr>
                <w:rFonts w:eastAsia="Times New Roman" w:cs="Times New Roman"/>
                <w:b/>
                <w:bCs/>
                <w:color w:val="000000"/>
                <w:sz w:val="20"/>
                <w:szCs w:val="20"/>
                <w:lang w:eastAsia="lv-LV"/>
              </w:rPr>
            </w:pPr>
            <w:r w:rsidRPr="00E45B42">
              <w:rPr>
                <w:rFonts w:eastAsia="Times New Roman" w:cs="Times New Roman"/>
                <w:b/>
                <w:bCs/>
                <w:color w:val="000000"/>
                <w:sz w:val="20"/>
                <w:szCs w:val="20"/>
                <w:lang w:eastAsia="lv-LV"/>
              </w:rPr>
              <w:t>% no IKP</w:t>
            </w:r>
          </w:p>
        </w:tc>
        <w:tc>
          <w:tcPr>
            <w:tcW w:w="857" w:type="dxa"/>
            <w:tcBorders>
              <w:top w:val="nil"/>
              <w:left w:val="single" w:sz="4" w:space="0" w:color="auto"/>
              <w:bottom w:val="single" w:sz="4" w:space="0" w:color="auto"/>
              <w:right w:val="single" w:sz="4" w:space="0" w:color="auto"/>
            </w:tcBorders>
            <w:shd w:val="clear" w:color="FFFFFF" w:fill="BDD7EE"/>
            <w:noWrap/>
            <w:vAlign w:val="center"/>
            <w:hideMark/>
          </w:tcPr>
          <w:p w14:paraId="0897CD8B" w14:textId="77777777" w:rsidR="00E45B42" w:rsidRPr="00E45B42" w:rsidRDefault="00E45B42" w:rsidP="00E45B42">
            <w:pPr>
              <w:ind w:firstLine="0"/>
              <w:jc w:val="center"/>
              <w:rPr>
                <w:rFonts w:eastAsia="Times New Roman" w:cs="Times New Roman"/>
                <w:b/>
                <w:bCs/>
                <w:color w:val="000000"/>
                <w:sz w:val="20"/>
                <w:szCs w:val="20"/>
                <w:lang w:eastAsia="lv-LV"/>
              </w:rPr>
            </w:pPr>
            <w:r w:rsidRPr="00E45B42">
              <w:rPr>
                <w:rFonts w:eastAsia="Times New Roman" w:cs="Times New Roman"/>
                <w:b/>
                <w:bCs/>
                <w:color w:val="000000"/>
                <w:sz w:val="20"/>
                <w:szCs w:val="20"/>
                <w:lang w:eastAsia="lv-LV"/>
              </w:rPr>
              <w:t>4,3%</w:t>
            </w:r>
          </w:p>
        </w:tc>
        <w:tc>
          <w:tcPr>
            <w:tcW w:w="857" w:type="dxa"/>
            <w:tcBorders>
              <w:top w:val="nil"/>
              <w:left w:val="nil"/>
              <w:bottom w:val="single" w:sz="4" w:space="0" w:color="auto"/>
              <w:right w:val="single" w:sz="4" w:space="0" w:color="auto"/>
            </w:tcBorders>
            <w:shd w:val="clear" w:color="FFFFFF" w:fill="BDD7EE"/>
            <w:noWrap/>
            <w:vAlign w:val="center"/>
            <w:hideMark/>
          </w:tcPr>
          <w:p w14:paraId="42B510DB" w14:textId="77777777" w:rsidR="00E45B42" w:rsidRPr="00E45B42" w:rsidRDefault="00E45B42" w:rsidP="00E45B42">
            <w:pPr>
              <w:ind w:firstLine="0"/>
              <w:jc w:val="center"/>
              <w:rPr>
                <w:rFonts w:eastAsia="Times New Roman" w:cs="Times New Roman"/>
                <w:b/>
                <w:bCs/>
                <w:color w:val="000000"/>
                <w:sz w:val="20"/>
                <w:szCs w:val="20"/>
                <w:lang w:eastAsia="lv-LV"/>
              </w:rPr>
            </w:pPr>
            <w:r w:rsidRPr="00E45B42">
              <w:rPr>
                <w:rFonts w:eastAsia="Times New Roman" w:cs="Times New Roman"/>
                <w:b/>
                <w:bCs/>
                <w:color w:val="000000"/>
                <w:sz w:val="20"/>
                <w:szCs w:val="20"/>
                <w:lang w:eastAsia="lv-LV"/>
              </w:rPr>
              <w:t>6,9%</w:t>
            </w:r>
          </w:p>
        </w:tc>
        <w:tc>
          <w:tcPr>
            <w:tcW w:w="857" w:type="dxa"/>
            <w:tcBorders>
              <w:top w:val="nil"/>
              <w:left w:val="nil"/>
              <w:bottom w:val="single" w:sz="4" w:space="0" w:color="auto"/>
              <w:right w:val="single" w:sz="4" w:space="0" w:color="auto"/>
            </w:tcBorders>
            <w:shd w:val="clear" w:color="FFFFFF" w:fill="BDD7EE"/>
            <w:noWrap/>
            <w:vAlign w:val="center"/>
            <w:hideMark/>
          </w:tcPr>
          <w:p w14:paraId="375486B6" w14:textId="77777777" w:rsidR="00E45B42" w:rsidRPr="00E45B42" w:rsidRDefault="00E45B42" w:rsidP="00E45B42">
            <w:pPr>
              <w:ind w:firstLine="0"/>
              <w:jc w:val="center"/>
              <w:rPr>
                <w:rFonts w:eastAsia="Times New Roman" w:cs="Times New Roman"/>
                <w:b/>
                <w:bCs/>
                <w:color w:val="000000"/>
                <w:sz w:val="20"/>
                <w:szCs w:val="20"/>
                <w:lang w:eastAsia="lv-LV"/>
              </w:rPr>
            </w:pPr>
            <w:r w:rsidRPr="00E45B42">
              <w:rPr>
                <w:rFonts w:eastAsia="Times New Roman" w:cs="Times New Roman"/>
                <w:b/>
                <w:bCs/>
                <w:color w:val="000000"/>
                <w:sz w:val="20"/>
                <w:szCs w:val="20"/>
                <w:lang w:eastAsia="lv-LV"/>
              </w:rPr>
              <w:t>4,3%</w:t>
            </w:r>
          </w:p>
        </w:tc>
        <w:tc>
          <w:tcPr>
            <w:tcW w:w="857" w:type="dxa"/>
            <w:tcBorders>
              <w:top w:val="nil"/>
              <w:left w:val="nil"/>
              <w:bottom w:val="single" w:sz="4" w:space="0" w:color="auto"/>
              <w:right w:val="single" w:sz="4" w:space="0" w:color="auto"/>
            </w:tcBorders>
            <w:shd w:val="clear" w:color="FFFFFF" w:fill="BDD7EE"/>
            <w:noWrap/>
            <w:vAlign w:val="center"/>
            <w:hideMark/>
          </w:tcPr>
          <w:p w14:paraId="40C0D633" w14:textId="77777777" w:rsidR="00E45B42" w:rsidRPr="00E45B42" w:rsidRDefault="00E45B42" w:rsidP="00E45B42">
            <w:pPr>
              <w:ind w:firstLine="0"/>
              <w:jc w:val="center"/>
              <w:rPr>
                <w:rFonts w:eastAsia="Times New Roman" w:cs="Times New Roman"/>
                <w:b/>
                <w:bCs/>
                <w:color w:val="000000"/>
                <w:sz w:val="20"/>
                <w:szCs w:val="20"/>
                <w:lang w:eastAsia="lv-LV"/>
              </w:rPr>
            </w:pPr>
            <w:r w:rsidRPr="00E45B42">
              <w:rPr>
                <w:rFonts w:eastAsia="Times New Roman" w:cs="Times New Roman"/>
                <w:b/>
                <w:bCs/>
                <w:color w:val="000000"/>
                <w:sz w:val="20"/>
                <w:szCs w:val="20"/>
                <w:lang w:eastAsia="lv-LV"/>
              </w:rPr>
              <w:t>1,5%</w:t>
            </w:r>
          </w:p>
        </w:tc>
        <w:tc>
          <w:tcPr>
            <w:tcW w:w="739" w:type="dxa"/>
            <w:tcBorders>
              <w:top w:val="nil"/>
              <w:left w:val="nil"/>
              <w:bottom w:val="single" w:sz="4" w:space="0" w:color="auto"/>
              <w:right w:val="double" w:sz="4" w:space="0" w:color="auto"/>
            </w:tcBorders>
            <w:shd w:val="clear" w:color="FFFFFF" w:fill="BDD7EE"/>
            <w:noWrap/>
            <w:vAlign w:val="center"/>
            <w:hideMark/>
          </w:tcPr>
          <w:p w14:paraId="40E63373"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Times New Roman" w:cs="Times New Roman"/>
                <w:b/>
                <w:bCs/>
                <w:sz w:val="20"/>
                <w:szCs w:val="20"/>
                <w:lang w:eastAsia="lv-LV"/>
              </w:rPr>
              <w:t>0,4%</w:t>
            </w:r>
          </w:p>
        </w:tc>
        <w:tc>
          <w:tcPr>
            <w:tcW w:w="857" w:type="dxa"/>
            <w:tcBorders>
              <w:top w:val="nil"/>
              <w:left w:val="double" w:sz="4" w:space="0" w:color="auto"/>
              <w:bottom w:val="single" w:sz="4" w:space="0" w:color="auto"/>
              <w:right w:val="single" w:sz="4" w:space="0" w:color="auto"/>
            </w:tcBorders>
            <w:shd w:val="clear" w:color="FFFFFF" w:fill="BDD7EE"/>
            <w:vAlign w:val="center"/>
          </w:tcPr>
          <w:p w14:paraId="5A50A335"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Calibri" w:cs="Times New Roman"/>
                <w:b/>
                <w:bCs/>
                <w:noProof/>
                <w:sz w:val="20"/>
                <w:szCs w:val="20"/>
                <w:lang w:eastAsia="lv-LV"/>
              </w:rPr>
              <w:t>-3,2%</w:t>
            </w:r>
          </w:p>
        </w:tc>
        <w:tc>
          <w:tcPr>
            <w:tcW w:w="857" w:type="dxa"/>
            <w:tcBorders>
              <w:top w:val="nil"/>
              <w:left w:val="nil"/>
              <w:bottom w:val="single" w:sz="4" w:space="0" w:color="auto"/>
              <w:right w:val="single" w:sz="4" w:space="0" w:color="auto"/>
            </w:tcBorders>
            <w:shd w:val="clear" w:color="FFFFFF" w:fill="BDD7EE"/>
            <w:vAlign w:val="center"/>
          </w:tcPr>
          <w:p w14:paraId="62921FB0"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Calibri" w:cs="Times New Roman"/>
                <w:b/>
                <w:bCs/>
                <w:noProof/>
                <w:sz w:val="20"/>
                <w:szCs w:val="20"/>
                <w:lang w:eastAsia="lv-LV"/>
              </w:rPr>
              <w:t>-6,3%</w:t>
            </w:r>
          </w:p>
        </w:tc>
        <w:tc>
          <w:tcPr>
            <w:tcW w:w="857" w:type="dxa"/>
            <w:tcBorders>
              <w:top w:val="nil"/>
              <w:left w:val="nil"/>
              <w:bottom w:val="single" w:sz="4" w:space="0" w:color="auto"/>
              <w:right w:val="single" w:sz="4" w:space="0" w:color="auto"/>
            </w:tcBorders>
            <w:shd w:val="clear" w:color="FFFFFF" w:fill="BDD7EE"/>
            <w:vAlign w:val="center"/>
          </w:tcPr>
          <w:p w14:paraId="1AD6914F"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Calibri" w:cs="Times New Roman"/>
                <w:b/>
                <w:bCs/>
                <w:noProof/>
                <w:sz w:val="20"/>
                <w:szCs w:val="20"/>
                <w:lang w:eastAsia="lv-LV"/>
              </w:rPr>
              <w:t>-3,9%</w:t>
            </w:r>
          </w:p>
        </w:tc>
        <w:tc>
          <w:tcPr>
            <w:tcW w:w="857" w:type="dxa"/>
            <w:tcBorders>
              <w:top w:val="nil"/>
              <w:left w:val="nil"/>
              <w:bottom w:val="single" w:sz="4" w:space="0" w:color="auto"/>
              <w:right w:val="single" w:sz="4" w:space="0" w:color="auto"/>
            </w:tcBorders>
            <w:shd w:val="clear" w:color="FFFFFF" w:fill="BDD7EE"/>
            <w:vAlign w:val="center"/>
          </w:tcPr>
          <w:p w14:paraId="34914C88"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Calibri" w:cs="Times New Roman"/>
                <w:b/>
                <w:bCs/>
                <w:noProof/>
                <w:sz w:val="20"/>
                <w:szCs w:val="20"/>
                <w:lang w:eastAsia="lv-LV"/>
              </w:rPr>
              <w:t>-1,5%</w:t>
            </w:r>
          </w:p>
        </w:tc>
        <w:tc>
          <w:tcPr>
            <w:tcW w:w="739" w:type="dxa"/>
            <w:tcBorders>
              <w:top w:val="nil"/>
              <w:left w:val="nil"/>
              <w:bottom w:val="single" w:sz="4" w:space="0" w:color="auto"/>
              <w:right w:val="single" w:sz="4" w:space="0" w:color="auto"/>
            </w:tcBorders>
            <w:shd w:val="clear" w:color="FFFFFF" w:fill="BDD7EE"/>
            <w:vAlign w:val="center"/>
          </w:tcPr>
          <w:p w14:paraId="4531C629" w14:textId="77777777" w:rsidR="00E45B42" w:rsidRPr="00E45B42" w:rsidRDefault="00E45B42" w:rsidP="00E45B42">
            <w:pPr>
              <w:ind w:firstLine="0"/>
              <w:jc w:val="center"/>
              <w:rPr>
                <w:rFonts w:eastAsia="Times New Roman" w:cs="Times New Roman"/>
                <w:b/>
                <w:bCs/>
                <w:sz w:val="20"/>
                <w:szCs w:val="20"/>
                <w:lang w:eastAsia="lv-LV"/>
              </w:rPr>
            </w:pPr>
            <w:r w:rsidRPr="00E45B42">
              <w:rPr>
                <w:rFonts w:eastAsia="Calibri" w:cs="Times New Roman"/>
                <w:b/>
                <w:bCs/>
                <w:noProof/>
                <w:sz w:val="20"/>
                <w:szCs w:val="20"/>
                <w:lang w:eastAsia="lv-LV"/>
              </w:rPr>
              <w:t>-0,3%</w:t>
            </w:r>
          </w:p>
        </w:tc>
      </w:tr>
    </w:tbl>
    <w:p w14:paraId="555BD7AA" w14:textId="77777777" w:rsidR="00E45B42" w:rsidRDefault="00E45B42" w:rsidP="00BA387D">
      <w:pPr>
        <w:ind w:firstLine="0"/>
      </w:pPr>
    </w:p>
    <w:p w14:paraId="3F6D71E5" w14:textId="5F45C8E3" w:rsidR="00E45B42" w:rsidRPr="006C087F" w:rsidRDefault="00E45B42" w:rsidP="00BA387D">
      <w:pPr>
        <w:rPr>
          <w:rFonts w:eastAsia="Calibri" w:cs="Times New Roman"/>
          <w:sz w:val="24"/>
          <w:szCs w:val="24"/>
        </w:rPr>
      </w:pPr>
      <w:r w:rsidRPr="00E44900">
        <w:rPr>
          <w:rFonts w:eastAsia="Calibri" w:cs="Times New Roman"/>
          <w:color w:val="000000"/>
          <w:sz w:val="24"/>
          <w:szCs w:val="24"/>
        </w:rPr>
        <w:t xml:space="preserve">Jāatzīmē, ka Covid-19 atbalsts kopš 2022. gada jau ir būtiski samazinājies un 2023. gadā tika veikti izdevumi tikai atsevišķiem </w:t>
      </w:r>
      <w:r w:rsidRPr="003A35B1">
        <w:rPr>
          <w:rFonts w:eastAsia="Calibri" w:cs="Times New Roman"/>
          <w:color w:val="000000"/>
          <w:sz w:val="24"/>
          <w:szCs w:val="24"/>
        </w:rPr>
        <w:t>uzsāktajiem investīciju projektiem, iepriekš pasūtītajām Covid-19 vakcīnām, kā arī finanšu institūcijas</w:t>
      </w:r>
      <w:r w:rsidR="007C1EEE">
        <w:rPr>
          <w:rFonts w:eastAsia="Calibri" w:cs="Times New Roman"/>
          <w:color w:val="000000"/>
          <w:sz w:val="24"/>
          <w:szCs w:val="24"/>
        </w:rPr>
        <w:t>, a</w:t>
      </w:r>
      <w:r w:rsidR="007C1EEE" w:rsidRPr="007C1EEE">
        <w:rPr>
          <w:rFonts w:eastAsia="Calibri" w:cs="Times New Roman"/>
          <w:color w:val="000000"/>
          <w:sz w:val="24"/>
          <w:szCs w:val="24"/>
        </w:rPr>
        <w:t>kciju sabiedrība</w:t>
      </w:r>
      <w:r w:rsidR="007C1EEE">
        <w:rPr>
          <w:rFonts w:eastAsia="Calibri" w:cs="Times New Roman"/>
          <w:color w:val="000000"/>
          <w:sz w:val="24"/>
          <w:szCs w:val="24"/>
        </w:rPr>
        <w:t>s</w:t>
      </w:r>
      <w:r w:rsidR="007C1EEE" w:rsidRPr="007C1EEE">
        <w:rPr>
          <w:rFonts w:eastAsia="Calibri" w:cs="Times New Roman"/>
          <w:color w:val="000000"/>
          <w:sz w:val="24"/>
          <w:szCs w:val="24"/>
        </w:rPr>
        <w:t xml:space="preserve"> “Attīstības finanšu institūcija </w:t>
      </w:r>
      <w:proofErr w:type="spellStart"/>
      <w:r w:rsidR="007C1EEE" w:rsidRPr="007C1EEE">
        <w:rPr>
          <w:rFonts w:eastAsia="Calibri" w:cs="Times New Roman"/>
          <w:color w:val="000000"/>
          <w:sz w:val="24"/>
          <w:szCs w:val="24"/>
        </w:rPr>
        <w:t>Altum</w:t>
      </w:r>
      <w:proofErr w:type="spellEnd"/>
      <w:r w:rsidR="007C1EEE" w:rsidRPr="007C1EEE">
        <w:rPr>
          <w:rFonts w:eastAsia="Calibri" w:cs="Times New Roman"/>
          <w:color w:val="000000"/>
          <w:sz w:val="24"/>
          <w:szCs w:val="24"/>
        </w:rPr>
        <w:t>”</w:t>
      </w:r>
      <w:r w:rsidR="007C1EEE">
        <w:rPr>
          <w:rFonts w:eastAsia="Calibri" w:cs="Times New Roman"/>
          <w:color w:val="000000"/>
          <w:sz w:val="24"/>
          <w:szCs w:val="24"/>
        </w:rPr>
        <w:t xml:space="preserve"> (</w:t>
      </w:r>
      <w:proofErr w:type="spellStart"/>
      <w:r w:rsidRPr="003A35B1">
        <w:rPr>
          <w:rFonts w:eastAsia="Calibri" w:cs="Times New Roman"/>
          <w:color w:val="000000"/>
          <w:sz w:val="24"/>
          <w:szCs w:val="24"/>
        </w:rPr>
        <w:t>A</w:t>
      </w:r>
      <w:r w:rsidR="00D200BC">
        <w:rPr>
          <w:rFonts w:eastAsia="Calibri" w:cs="Times New Roman"/>
          <w:color w:val="000000"/>
          <w:sz w:val="24"/>
          <w:szCs w:val="24"/>
        </w:rPr>
        <w:t>ltum</w:t>
      </w:r>
      <w:proofErr w:type="spellEnd"/>
      <w:r w:rsidR="007C1EEE">
        <w:rPr>
          <w:rFonts w:eastAsia="Calibri" w:cs="Times New Roman"/>
          <w:color w:val="000000"/>
          <w:sz w:val="24"/>
          <w:szCs w:val="24"/>
        </w:rPr>
        <w:t>)</w:t>
      </w:r>
      <w:r w:rsidRPr="003A35B1">
        <w:rPr>
          <w:rFonts w:eastAsia="Calibri" w:cs="Times New Roman"/>
          <w:color w:val="000000"/>
          <w:sz w:val="24"/>
          <w:szCs w:val="24"/>
        </w:rPr>
        <w:t xml:space="preserve"> programmu īstenošanai. 2024.</w:t>
      </w:r>
      <w:r>
        <w:rPr>
          <w:rFonts w:eastAsia="Calibri" w:cs="Times New Roman"/>
          <w:color w:val="000000"/>
          <w:sz w:val="24"/>
          <w:szCs w:val="24"/>
        </w:rPr>
        <w:t> </w:t>
      </w:r>
      <w:r w:rsidRPr="003A35B1">
        <w:rPr>
          <w:rFonts w:eastAsia="Calibri" w:cs="Times New Roman"/>
          <w:color w:val="000000"/>
          <w:sz w:val="24"/>
          <w:szCs w:val="24"/>
        </w:rPr>
        <w:t xml:space="preserve">gadā Covid-19 atbalsts tiek plānots vēl mazākā apmērā, </w:t>
      </w:r>
      <w:bookmarkStart w:id="41" w:name="_Hlk161921613"/>
      <w:r w:rsidRPr="003A35B1">
        <w:rPr>
          <w:rFonts w:eastAsia="Calibri" w:cs="Times New Roman"/>
          <w:color w:val="000000"/>
          <w:sz w:val="24"/>
          <w:szCs w:val="24"/>
        </w:rPr>
        <w:t>faktiski noslēdzoties uzsāktajiem investīciju projektiem un</w:t>
      </w:r>
      <w:r>
        <w:rPr>
          <w:rFonts w:eastAsia="Calibri" w:cs="Times New Roman"/>
          <w:color w:val="000000"/>
          <w:sz w:val="24"/>
          <w:szCs w:val="24"/>
        </w:rPr>
        <w:t>, tāpat kā 2023. gadā,</w:t>
      </w:r>
      <w:r w:rsidRPr="003A35B1">
        <w:rPr>
          <w:rFonts w:eastAsia="Calibri" w:cs="Times New Roman"/>
          <w:color w:val="000000"/>
          <w:sz w:val="24"/>
          <w:szCs w:val="24"/>
        </w:rPr>
        <w:t xml:space="preserve"> paredzot finansējumu Covid-19 vakcīnu iegādei, kas iepriekš pasūtītas, kā arī turpinoties finanšu institūcijas </w:t>
      </w:r>
      <w:proofErr w:type="spellStart"/>
      <w:r w:rsidRPr="003A35B1">
        <w:rPr>
          <w:rFonts w:eastAsia="Calibri" w:cs="Times New Roman"/>
          <w:color w:val="000000"/>
          <w:sz w:val="24"/>
          <w:szCs w:val="24"/>
        </w:rPr>
        <w:t>A</w:t>
      </w:r>
      <w:r w:rsidR="00D200BC">
        <w:rPr>
          <w:rFonts w:eastAsia="Calibri" w:cs="Times New Roman"/>
          <w:color w:val="000000"/>
          <w:sz w:val="24"/>
          <w:szCs w:val="24"/>
        </w:rPr>
        <w:t>ltum</w:t>
      </w:r>
      <w:proofErr w:type="spellEnd"/>
      <w:r w:rsidRPr="003A35B1">
        <w:rPr>
          <w:rFonts w:eastAsia="Calibri" w:cs="Times New Roman"/>
          <w:color w:val="000000"/>
          <w:sz w:val="24"/>
          <w:szCs w:val="24"/>
        </w:rPr>
        <w:t xml:space="preserve"> programmu īstenošanai ar ietekmi līdz pat 2027</w:t>
      </w:r>
      <w:r w:rsidRPr="003A35B1">
        <w:rPr>
          <w:rFonts w:eastAsia="Calibri" w:cs="Times New Roman"/>
          <w:sz w:val="24"/>
          <w:szCs w:val="24"/>
        </w:rPr>
        <w:t>. gadam, kas izriet no programmu realizācijas rādītājiem.</w:t>
      </w:r>
      <w:r w:rsidRPr="00E844F8">
        <w:rPr>
          <w:rFonts w:eastAsia="Calibri" w:cs="Times New Roman"/>
          <w:sz w:val="24"/>
          <w:szCs w:val="24"/>
        </w:rPr>
        <w:t xml:space="preserve"> </w:t>
      </w:r>
      <w:bookmarkEnd w:id="41"/>
    </w:p>
    <w:p w14:paraId="64B74691" w14:textId="4ED7EA57" w:rsidR="00E45B42" w:rsidRPr="00316AE1" w:rsidRDefault="00E45B42" w:rsidP="00BA387D">
      <w:pPr>
        <w:rPr>
          <w:rFonts w:eastAsia="Times New Roman" w:cs="Times New Roman"/>
          <w:noProof/>
          <w:sz w:val="24"/>
          <w:szCs w:val="28"/>
        </w:rPr>
      </w:pPr>
      <w:r w:rsidRPr="0059537B">
        <w:rPr>
          <w:rFonts w:eastAsia="Times New Roman" w:cs="Times New Roman"/>
          <w:noProof/>
          <w:sz w:val="24"/>
          <w:szCs w:val="28"/>
        </w:rPr>
        <w:t>Savukārt, attiecībā uz energoatbalstu, ja vēl 2023. gadā turpinājās</w:t>
      </w:r>
      <w:r>
        <w:rPr>
          <w:rFonts w:eastAsia="Times New Roman" w:cs="Times New Roman"/>
          <w:noProof/>
          <w:sz w:val="24"/>
          <w:szCs w:val="28"/>
        </w:rPr>
        <w:t xml:space="preserve"> c</w:t>
      </w:r>
      <w:r w:rsidRPr="0059537B">
        <w:rPr>
          <w:rFonts w:eastAsia="Times New Roman" w:cs="Times New Roman"/>
          <w:noProof/>
          <w:sz w:val="24"/>
          <w:szCs w:val="28"/>
        </w:rPr>
        <w:t>entralizētās siltumenerģijas apgādes izmaksu pieauguma kompensācija mājsaimniecībām</w:t>
      </w:r>
      <w:r>
        <w:rPr>
          <w:rFonts w:eastAsia="Times New Roman" w:cs="Times New Roman"/>
          <w:noProof/>
          <w:sz w:val="24"/>
          <w:szCs w:val="28"/>
        </w:rPr>
        <w:t>, e</w:t>
      </w:r>
      <w:r w:rsidRPr="0059537B">
        <w:rPr>
          <w:rFonts w:eastAsia="Times New Roman" w:cs="Times New Roman"/>
          <w:noProof/>
          <w:sz w:val="24"/>
          <w:szCs w:val="28"/>
        </w:rPr>
        <w:t>lektroenerģijas sistēmas pakalpojuma maksas samazinājums uzņēmumiem pilnā apmērā</w:t>
      </w:r>
      <w:r>
        <w:rPr>
          <w:rFonts w:eastAsia="Times New Roman" w:cs="Times New Roman"/>
          <w:noProof/>
          <w:sz w:val="24"/>
          <w:szCs w:val="28"/>
        </w:rPr>
        <w:t xml:space="preserve"> un a</w:t>
      </w:r>
      <w:r w:rsidRPr="0059537B">
        <w:rPr>
          <w:rFonts w:eastAsia="Times New Roman" w:cs="Times New Roman"/>
          <w:noProof/>
          <w:sz w:val="24"/>
          <w:szCs w:val="28"/>
        </w:rPr>
        <w:t>tbalsts senioriem, personām ar invaliditāti, apgādnieku zaudējušām personām</w:t>
      </w:r>
      <w:r>
        <w:rPr>
          <w:rFonts w:eastAsia="Times New Roman" w:cs="Times New Roman"/>
          <w:noProof/>
          <w:sz w:val="24"/>
          <w:szCs w:val="28"/>
        </w:rPr>
        <w:t xml:space="preserve"> u.c. atbalsta pasākumi, </w:t>
      </w:r>
      <w:r w:rsidRPr="0059537B">
        <w:rPr>
          <w:rFonts w:eastAsia="Times New Roman" w:cs="Times New Roman"/>
          <w:noProof/>
          <w:sz w:val="24"/>
          <w:szCs w:val="28"/>
        </w:rPr>
        <w:t>tad 2024. gadā, ņemot vērā energoresursu cenu samazināšanos, tiek plānots atbalsts 50 mi</w:t>
      </w:r>
      <w:r w:rsidRPr="00171BA6">
        <w:rPr>
          <w:rFonts w:eastAsia="Times New Roman" w:cs="Times New Roman"/>
          <w:noProof/>
          <w:sz w:val="24"/>
          <w:szCs w:val="28"/>
        </w:rPr>
        <w:t xml:space="preserve">lj. </w:t>
      </w:r>
      <w:r w:rsidRPr="00581E0E">
        <w:rPr>
          <w:rFonts w:eastAsia="Times New Roman" w:cs="Times New Roman"/>
          <w:i/>
          <w:iCs/>
          <w:noProof/>
          <w:sz w:val="24"/>
          <w:szCs w:val="28"/>
        </w:rPr>
        <w:t>e</w:t>
      </w:r>
      <w:r w:rsidR="00581E0E" w:rsidRPr="00581E0E">
        <w:rPr>
          <w:rFonts w:eastAsia="Times New Roman" w:cs="Times New Roman"/>
          <w:i/>
          <w:iCs/>
          <w:noProof/>
          <w:sz w:val="24"/>
          <w:szCs w:val="28"/>
        </w:rPr>
        <w:t>u</w:t>
      </w:r>
      <w:r w:rsidRPr="00581E0E">
        <w:rPr>
          <w:rFonts w:eastAsia="Times New Roman" w:cs="Times New Roman"/>
          <w:i/>
          <w:iCs/>
          <w:noProof/>
          <w:sz w:val="24"/>
          <w:szCs w:val="28"/>
        </w:rPr>
        <w:t>ro</w:t>
      </w:r>
      <w:r>
        <w:rPr>
          <w:rFonts w:eastAsia="Times New Roman" w:cs="Times New Roman"/>
          <w:noProof/>
          <w:sz w:val="24"/>
          <w:szCs w:val="28"/>
        </w:rPr>
        <w:t xml:space="preserve"> apjomā</w:t>
      </w:r>
      <w:r w:rsidRPr="00171BA6">
        <w:rPr>
          <w:rFonts w:eastAsia="Times New Roman" w:cs="Times New Roman"/>
          <w:noProof/>
          <w:sz w:val="24"/>
          <w:szCs w:val="28"/>
        </w:rPr>
        <w:t xml:space="preserve">, lai </w:t>
      </w:r>
      <w:r>
        <w:rPr>
          <w:rFonts w:eastAsia="Times New Roman" w:cs="Times New Roman"/>
          <w:noProof/>
          <w:sz w:val="24"/>
          <w:szCs w:val="28"/>
        </w:rPr>
        <w:t xml:space="preserve">mājsaimniecībām </w:t>
      </w:r>
      <w:r w:rsidRPr="00171BA6">
        <w:rPr>
          <w:rFonts w:eastAsia="Times New Roman" w:cs="Times New Roman"/>
          <w:noProof/>
          <w:sz w:val="24"/>
          <w:szCs w:val="28"/>
        </w:rPr>
        <w:t xml:space="preserve">mazinātu ietekmi </w:t>
      </w:r>
      <w:r w:rsidRPr="00265F30">
        <w:rPr>
          <w:rFonts w:eastAsia="Times New Roman" w:cs="Times New Roman"/>
          <w:noProof/>
          <w:sz w:val="24"/>
          <w:szCs w:val="28"/>
        </w:rPr>
        <w:t>no elektroenerģijas sadales tarifu pieauguma</w:t>
      </w:r>
      <w:r w:rsidR="00316094">
        <w:rPr>
          <w:rFonts w:eastAsia="Times New Roman" w:cs="Times New Roman"/>
          <w:noProof/>
          <w:sz w:val="24"/>
          <w:szCs w:val="28"/>
        </w:rPr>
        <w:t>.</w:t>
      </w:r>
      <w:r w:rsidR="004811B6">
        <w:rPr>
          <w:rFonts w:eastAsia="Times New Roman" w:cs="Times New Roman"/>
          <w:noProof/>
          <w:sz w:val="24"/>
          <w:szCs w:val="28"/>
        </w:rPr>
        <w:t xml:space="preserve"> </w:t>
      </w:r>
      <w:r w:rsidR="00316094">
        <w:rPr>
          <w:rFonts w:eastAsia="Times New Roman" w:cs="Times New Roman"/>
          <w:noProof/>
          <w:sz w:val="24"/>
          <w:szCs w:val="24"/>
        </w:rPr>
        <w:t xml:space="preserve">Daļēji šie budžeta izdevumi tiek kompensēti ar ieņēmumiem no </w:t>
      </w:r>
      <w:r w:rsidR="0091078B">
        <w:rPr>
          <w:rFonts w:eastAsia="Times New Roman" w:cs="Times New Roman"/>
          <w:noProof/>
          <w:sz w:val="24"/>
          <w:szCs w:val="24"/>
        </w:rPr>
        <w:t>akciju sabiedrības “L</w:t>
      </w:r>
      <w:r w:rsidR="00316094">
        <w:rPr>
          <w:rFonts w:eastAsia="Times New Roman" w:cs="Times New Roman"/>
          <w:noProof/>
          <w:sz w:val="24"/>
          <w:szCs w:val="24"/>
        </w:rPr>
        <w:t>atv</w:t>
      </w:r>
      <w:r w:rsidR="0091078B">
        <w:rPr>
          <w:rFonts w:eastAsia="Times New Roman" w:cs="Times New Roman"/>
          <w:noProof/>
          <w:sz w:val="24"/>
          <w:szCs w:val="24"/>
        </w:rPr>
        <w:t>en</w:t>
      </w:r>
      <w:r w:rsidR="00316094">
        <w:rPr>
          <w:rFonts w:eastAsia="Times New Roman" w:cs="Times New Roman"/>
          <w:noProof/>
          <w:sz w:val="24"/>
          <w:szCs w:val="24"/>
        </w:rPr>
        <w:t>ergo</w:t>
      </w:r>
      <w:r w:rsidR="0091078B">
        <w:rPr>
          <w:rFonts w:eastAsia="Times New Roman" w:cs="Times New Roman"/>
          <w:noProof/>
          <w:sz w:val="24"/>
          <w:szCs w:val="24"/>
        </w:rPr>
        <w:t>”</w:t>
      </w:r>
      <w:r w:rsidR="00316094">
        <w:rPr>
          <w:rFonts w:eastAsia="Times New Roman" w:cs="Times New Roman"/>
          <w:noProof/>
          <w:sz w:val="24"/>
          <w:szCs w:val="24"/>
        </w:rPr>
        <w:t xml:space="preserve"> dividendēm. </w:t>
      </w:r>
    </w:p>
    <w:p w14:paraId="661B037D" w14:textId="09057A3E" w:rsidR="00E45B42" w:rsidRDefault="00E45B42" w:rsidP="00BA387D">
      <w:pPr>
        <w:rPr>
          <w:rFonts w:eastAsia="Times New Roman" w:cs="Times New Roman"/>
          <w:noProof/>
          <w:sz w:val="24"/>
          <w:szCs w:val="24"/>
        </w:rPr>
      </w:pPr>
      <w:r w:rsidRPr="0007245B">
        <w:rPr>
          <w:rFonts w:eastAsia="Times New Roman" w:cs="Times New Roman"/>
          <w:noProof/>
          <w:sz w:val="24"/>
          <w:szCs w:val="24"/>
        </w:rPr>
        <w:t>Kopš 2022.</w:t>
      </w:r>
      <w:r>
        <w:rPr>
          <w:rFonts w:eastAsia="Times New Roman" w:cs="Times New Roman"/>
          <w:noProof/>
          <w:sz w:val="24"/>
          <w:szCs w:val="24"/>
        </w:rPr>
        <w:t> </w:t>
      </w:r>
      <w:r w:rsidRPr="0007245B">
        <w:rPr>
          <w:rFonts w:eastAsia="Times New Roman" w:cs="Times New Roman"/>
          <w:noProof/>
          <w:sz w:val="24"/>
          <w:szCs w:val="24"/>
        </w:rPr>
        <w:t xml:space="preserve">gada Ukrainas iedzīvotājiem, kuri ieceļojuši Latvijā Krievijas agresijas dēļ, tiek sniegta sociālā palīdzība un nodrošināti sociālie pakalpojumi. Latvijā šobrīd reģistrēti </w:t>
      </w:r>
      <w:r w:rsidR="002768B3">
        <w:rPr>
          <w:rFonts w:eastAsia="Times New Roman" w:cs="Times New Roman"/>
          <w:noProof/>
          <w:sz w:val="24"/>
          <w:szCs w:val="24"/>
        </w:rPr>
        <w:t>nepilni</w:t>
      </w:r>
      <w:r w:rsidRPr="0051263B">
        <w:rPr>
          <w:rFonts w:eastAsia="Times New Roman" w:cs="Times New Roman"/>
          <w:noProof/>
          <w:sz w:val="24"/>
          <w:szCs w:val="24"/>
        </w:rPr>
        <w:t xml:space="preserve"> 32 </w:t>
      </w:r>
      <w:r w:rsidR="002768B3">
        <w:rPr>
          <w:rFonts w:eastAsia="Times New Roman" w:cs="Times New Roman"/>
          <w:noProof/>
          <w:sz w:val="24"/>
          <w:szCs w:val="24"/>
        </w:rPr>
        <w:t>tūkst.</w:t>
      </w:r>
      <w:r w:rsidRPr="0051263B">
        <w:rPr>
          <w:rFonts w:eastAsia="Times New Roman" w:cs="Times New Roman"/>
          <w:noProof/>
          <w:sz w:val="24"/>
          <w:szCs w:val="24"/>
        </w:rPr>
        <w:t> Ukrainas civiliedzīvotāji, kuri saņem palīdzību no pašvaldībām</w:t>
      </w:r>
      <w:r w:rsidRPr="00EF3C17">
        <w:rPr>
          <w:rStyle w:val="FootnoteReference"/>
          <w:rFonts w:ascii="Times New Roman" w:eastAsia="Times New Roman" w:hAnsi="Times New Roman" w:cs="Times New Roman"/>
          <w:noProof/>
          <w:sz w:val="24"/>
          <w:szCs w:val="24"/>
        </w:rPr>
        <w:footnoteReference w:id="18"/>
      </w:r>
      <w:r w:rsidRPr="00EF3C17">
        <w:rPr>
          <w:rFonts w:eastAsia="Times New Roman" w:cs="Times New Roman"/>
          <w:noProof/>
          <w:sz w:val="24"/>
          <w:szCs w:val="24"/>
        </w:rPr>
        <w:t>.</w:t>
      </w:r>
      <w:r>
        <w:rPr>
          <w:rFonts w:eastAsia="Times New Roman" w:cs="Times New Roman"/>
          <w:noProof/>
          <w:sz w:val="24"/>
          <w:szCs w:val="24"/>
        </w:rPr>
        <w:t xml:space="preserve"> </w:t>
      </w:r>
      <w:r w:rsidRPr="00BF42AA">
        <w:rPr>
          <w:rFonts w:eastAsia="Times New Roman" w:cs="Times New Roman"/>
          <w:noProof/>
          <w:sz w:val="24"/>
          <w:szCs w:val="24"/>
        </w:rPr>
        <w:t>2023.</w:t>
      </w:r>
      <w:r>
        <w:rPr>
          <w:rFonts w:eastAsia="Times New Roman" w:cs="Times New Roman"/>
          <w:noProof/>
          <w:sz w:val="24"/>
          <w:szCs w:val="24"/>
        </w:rPr>
        <w:t> </w:t>
      </w:r>
      <w:r w:rsidRPr="00BF42AA">
        <w:rPr>
          <w:rFonts w:eastAsia="Times New Roman" w:cs="Times New Roman"/>
          <w:noProof/>
          <w:sz w:val="24"/>
          <w:szCs w:val="24"/>
        </w:rPr>
        <w:t>gadā atbalsts Ukraina</w:t>
      </w:r>
      <w:r>
        <w:rPr>
          <w:rFonts w:eastAsia="Times New Roman" w:cs="Times New Roman"/>
          <w:noProof/>
          <w:sz w:val="24"/>
          <w:szCs w:val="24"/>
        </w:rPr>
        <w:t>s bēgļiem</w:t>
      </w:r>
      <w:r w:rsidRPr="00BF42AA">
        <w:rPr>
          <w:rFonts w:eastAsia="Times New Roman" w:cs="Times New Roman"/>
          <w:noProof/>
          <w:sz w:val="24"/>
          <w:szCs w:val="24"/>
        </w:rPr>
        <w:t xml:space="preserve"> bija 68</w:t>
      </w:r>
      <w:r>
        <w:rPr>
          <w:rFonts w:eastAsia="Times New Roman" w:cs="Times New Roman"/>
          <w:noProof/>
          <w:sz w:val="24"/>
          <w:szCs w:val="24"/>
        </w:rPr>
        <w:t> </w:t>
      </w:r>
      <w:r w:rsidRPr="00BF42AA">
        <w:rPr>
          <w:rFonts w:eastAsia="Times New Roman" w:cs="Times New Roman"/>
          <w:noProof/>
          <w:sz w:val="24"/>
          <w:szCs w:val="24"/>
        </w:rPr>
        <w:t xml:space="preserve">milj. </w:t>
      </w:r>
      <w:r w:rsidRPr="00581E0E">
        <w:rPr>
          <w:rFonts w:eastAsia="Times New Roman" w:cs="Times New Roman"/>
          <w:i/>
          <w:iCs/>
          <w:noProof/>
          <w:sz w:val="24"/>
          <w:szCs w:val="24"/>
        </w:rPr>
        <w:t>e</w:t>
      </w:r>
      <w:r w:rsidR="00581E0E" w:rsidRPr="00581E0E">
        <w:rPr>
          <w:rFonts w:eastAsia="Times New Roman" w:cs="Times New Roman"/>
          <w:i/>
          <w:iCs/>
          <w:noProof/>
          <w:sz w:val="24"/>
          <w:szCs w:val="24"/>
        </w:rPr>
        <w:t>u</w:t>
      </w:r>
      <w:r w:rsidRPr="00581E0E">
        <w:rPr>
          <w:rFonts w:eastAsia="Times New Roman" w:cs="Times New Roman"/>
          <w:i/>
          <w:iCs/>
          <w:noProof/>
          <w:sz w:val="24"/>
          <w:szCs w:val="24"/>
        </w:rPr>
        <w:t>ro</w:t>
      </w:r>
      <w:r w:rsidRPr="00BF42AA">
        <w:rPr>
          <w:rFonts w:eastAsia="Times New Roman" w:cs="Times New Roman"/>
          <w:noProof/>
          <w:sz w:val="24"/>
          <w:szCs w:val="24"/>
        </w:rPr>
        <w:t>, no kuriem 28,9</w:t>
      </w:r>
      <w:r>
        <w:rPr>
          <w:rFonts w:eastAsia="Times New Roman" w:cs="Times New Roman"/>
          <w:noProof/>
          <w:sz w:val="24"/>
          <w:szCs w:val="24"/>
        </w:rPr>
        <w:t> </w:t>
      </w:r>
      <w:r w:rsidRPr="00BF42AA">
        <w:rPr>
          <w:rFonts w:eastAsia="Times New Roman" w:cs="Times New Roman"/>
          <w:noProof/>
          <w:sz w:val="24"/>
          <w:szCs w:val="24"/>
        </w:rPr>
        <w:t xml:space="preserve">milj. </w:t>
      </w:r>
      <w:r w:rsidRPr="00581E0E">
        <w:rPr>
          <w:rFonts w:eastAsia="Times New Roman" w:cs="Times New Roman"/>
          <w:i/>
          <w:iCs/>
          <w:noProof/>
          <w:sz w:val="24"/>
          <w:szCs w:val="24"/>
        </w:rPr>
        <w:t>e</w:t>
      </w:r>
      <w:r w:rsidR="00581E0E" w:rsidRPr="00581E0E">
        <w:rPr>
          <w:rFonts w:eastAsia="Times New Roman" w:cs="Times New Roman"/>
          <w:i/>
          <w:iCs/>
          <w:noProof/>
          <w:sz w:val="24"/>
          <w:szCs w:val="24"/>
        </w:rPr>
        <w:t>u</w:t>
      </w:r>
      <w:r w:rsidRPr="00581E0E">
        <w:rPr>
          <w:rFonts w:eastAsia="Times New Roman" w:cs="Times New Roman"/>
          <w:i/>
          <w:iCs/>
          <w:noProof/>
          <w:sz w:val="24"/>
          <w:szCs w:val="24"/>
        </w:rPr>
        <w:t>ro</w:t>
      </w:r>
      <w:r w:rsidRPr="00BF42AA">
        <w:rPr>
          <w:rFonts w:eastAsia="Times New Roman" w:cs="Times New Roman"/>
          <w:noProof/>
          <w:sz w:val="24"/>
          <w:szCs w:val="24"/>
        </w:rPr>
        <w:t xml:space="preserve"> tika piešķirti  </w:t>
      </w:r>
      <w:r w:rsidRPr="00FC7279">
        <w:rPr>
          <w:rFonts w:eastAsia="Times New Roman" w:cs="Times New Roman"/>
          <w:noProof/>
          <w:sz w:val="24"/>
          <w:szCs w:val="24"/>
        </w:rPr>
        <w:t xml:space="preserve">pašvaldībām bēgļu izmitināšanai un ēdināšanai, </w:t>
      </w:r>
      <w:r>
        <w:rPr>
          <w:rFonts w:eastAsia="Times New Roman" w:cs="Times New Roman"/>
          <w:noProof/>
          <w:sz w:val="24"/>
          <w:szCs w:val="24"/>
        </w:rPr>
        <w:t xml:space="preserve">kā arī </w:t>
      </w:r>
      <w:r w:rsidRPr="00FC7279">
        <w:rPr>
          <w:rFonts w:eastAsia="Times New Roman" w:cs="Times New Roman"/>
          <w:noProof/>
          <w:sz w:val="24"/>
          <w:szCs w:val="24"/>
        </w:rPr>
        <w:t>izglītības izdevumiem bērniem,</w:t>
      </w:r>
      <w:r>
        <w:rPr>
          <w:rFonts w:eastAsia="Times New Roman" w:cs="Times New Roman"/>
          <w:noProof/>
          <w:sz w:val="24"/>
          <w:szCs w:val="24"/>
        </w:rPr>
        <w:t xml:space="preserve"> </w:t>
      </w:r>
      <w:r w:rsidRPr="00FC7279">
        <w:rPr>
          <w:rFonts w:eastAsia="Times New Roman" w:cs="Times New Roman"/>
          <w:noProof/>
          <w:sz w:val="24"/>
          <w:szCs w:val="24"/>
        </w:rPr>
        <w:t>10</w:t>
      </w:r>
      <w:r>
        <w:rPr>
          <w:rFonts w:eastAsia="Times New Roman" w:cs="Times New Roman"/>
          <w:noProof/>
          <w:sz w:val="24"/>
          <w:szCs w:val="24"/>
        </w:rPr>
        <w:t> </w:t>
      </w:r>
      <w:r w:rsidRPr="00FC7279">
        <w:rPr>
          <w:rFonts w:eastAsia="Times New Roman" w:cs="Times New Roman"/>
          <w:noProof/>
          <w:sz w:val="24"/>
          <w:szCs w:val="24"/>
        </w:rPr>
        <w:t xml:space="preserve">milj. </w:t>
      </w:r>
      <w:r w:rsidRPr="00581E0E">
        <w:rPr>
          <w:rFonts w:eastAsia="Times New Roman" w:cs="Times New Roman"/>
          <w:i/>
          <w:iCs/>
          <w:noProof/>
          <w:sz w:val="24"/>
          <w:szCs w:val="24"/>
        </w:rPr>
        <w:t>e</w:t>
      </w:r>
      <w:r w:rsidR="00581E0E" w:rsidRPr="00581E0E">
        <w:rPr>
          <w:rFonts w:eastAsia="Times New Roman" w:cs="Times New Roman"/>
          <w:i/>
          <w:iCs/>
          <w:noProof/>
          <w:sz w:val="24"/>
          <w:szCs w:val="24"/>
        </w:rPr>
        <w:t>u</w:t>
      </w:r>
      <w:r w:rsidRPr="00581E0E">
        <w:rPr>
          <w:rFonts w:eastAsia="Times New Roman" w:cs="Times New Roman"/>
          <w:i/>
          <w:iCs/>
          <w:noProof/>
          <w:sz w:val="24"/>
          <w:szCs w:val="24"/>
        </w:rPr>
        <w:t>ro</w:t>
      </w:r>
      <w:r w:rsidRPr="00FC7279">
        <w:rPr>
          <w:rFonts w:eastAsia="Times New Roman" w:cs="Times New Roman"/>
          <w:noProof/>
          <w:sz w:val="24"/>
          <w:szCs w:val="24"/>
        </w:rPr>
        <w:t xml:space="preserve"> iemaksām starptautiskajās organizācijās </w:t>
      </w:r>
      <w:r w:rsidRPr="00857BD9">
        <w:rPr>
          <w:rFonts w:eastAsia="Times New Roman" w:cs="Times New Roman"/>
          <w:noProof/>
          <w:sz w:val="24"/>
          <w:szCs w:val="24"/>
        </w:rPr>
        <w:t>humānās un militārās palīdzības sniegšanai Ukrainai</w:t>
      </w:r>
      <w:r>
        <w:rPr>
          <w:rFonts w:eastAsia="Times New Roman" w:cs="Times New Roman"/>
          <w:noProof/>
          <w:sz w:val="24"/>
          <w:szCs w:val="24"/>
        </w:rPr>
        <w:t xml:space="preserve"> </w:t>
      </w:r>
      <w:r w:rsidRPr="00FC7279">
        <w:rPr>
          <w:rFonts w:eastAsia="Times New Roman" w:cs="Times New Roman"/>
          <w:noProof/>
          <w:sz w:val="24"/>
          <w:szCs w:val="24"/>
        </w:rPr>
        <w:t>un 29</w:t>
      </w:r>
      <w:r>
        <w:rPr>
          <w:rFonts w:eastAsia="Times New Roman" w:cs="Times New Roman"/>
          <w:noProof/>
          <w:sz w:val="24"/>
          <w:szCs w:val="24"/>
        </w:rPr>
        <w:t> </w:t>
      </w:r>
      <w:r w:rsidRPr="00FC7279">
        <w:rPr>
          <w:rFonts w:eastAsia="Times New Roman" w:cs="Times New Roman"/>
          <w:noProof/>
          <w:sz w:val="24"/>
          <w:szCs w:val="24"/>
        </w:rPr>
        <w:t>milj.</w:t>
      </w:r>
      <w:r>
        <w:rPr>
          <w:rFonts w:eastAsia="Times New Roman" w:cs="Times New Roman"/>
          <w:noProof/>
          <w:sz w:val="24"/>
          <w:szCs w:val="24"/>
        </w:rPr>
        <w:t> </w:t>
      </w:r>
      <w:r w:rsidRPr="00FC7279">
        <w:rPr>
          <w:rFonts w:eastAsia="Times New Roman" w:cs="Times New Roman"/>
          <w:noProof/>
          <w:sz w:val="24"/>
          <w:szCs w:val="24"/>
        </w:rPr>
        <w:t>citiem ar MK rīkojumu piešķirtajiem izdevumiem.</w:t>
      </w:r>
    </w:p>
    <w:p w14:paraId="6F224FFC" w14:textId="26D9824B" w:rsidR="00E45B42" w:rsidRPr="00E45B42" w:rsidRDefault="00E45B42" w:rsidP="00BA387D">
      <w:pPr>
        <w:rPr>
          <w:sz w:val="24"/>
          <w:szCs w:val="24"/>
          <w:highlight w:val="lightGray"/>
        </w:rPr>
      </w:pPr>
      <w:r>
        <w:rPr>
          <w:rFonts w:eastAsia="Times New Roman" w:cs="Times New Roman"/>
          <w:noProof/>
          <w:sz w:val="24"/>
          <w:szCs w:val="24"/>
        </w:rPr>
        <w:t xml:space="preserve">Savukārt </w:t>
      </w:r>
      <w:r w:rsidRPr="00FC7279">
        <w:rPr>
          <w:rFonts w:eastAsia="Times New Roman" w:cs="Times New Roman"/>
          <w:sz w:val="24"/>
          <w:szCs w:val="24"/>
        </w:rPr>
        <w:t>2024.</w:t>
      </w:r>
      <w:r>
        <w:rPr>
          <w:rFonts w:eastAsia="Times New Roman" w:cs="Times New Roman"/>
          <w:sz w:val="24"/>
          <w:szCs w:val="24"/>
        </w:rPr>
        <w:t> </w:t>
      </w:r>
      <w:r w:rsidRPr="00FC7279">
        <w:rPr>
          <w:rFonts w:eastAsia="Times New Roman" w:cs="Times New Roman"/>
          <w:sz w:val="24"/>
          <w:szCs w:val="24"/>
        </w:rPr>
        <w:t>gadā plānots Ukrainas atbalstam izlietot 70</w:t>
      </w:r>
      <w:r>
        <w:rPr>
          <w:rFonts w:eastAsia="Times New Roman" w:cs="Times New Roman"/>
          <w:sz w:val="24"/>
          <w:szCs w:val="24"/>
        </w:rPr>
        <w:t> </w:t>
      </w:r>
      <w:r w:rsidRPr="00FC7279">
        <w:rPr>
          <w:rFonts w:eastAsia="Times New Roman" w:cs="Times New Roman"/>
          <w:sz w:val="24"/>
          <w:szCs w:val="24"/>
        </w:rPr>
        <w:t xml:space="preserve">milj. </w:t>
      </w:r>
      <w:proofErr w:type="spellStart"/>
      <w:r w:rsidRPr="00581E0E">
        <w:rPr>
          <w:rFonts w:eastAsia="Times New Roman" w:cs="Times New Roman"/>
          <w:i/>
          <w:iCs/>
          <w:sz w:val="24"/>
          <w:szCs w:val="24"/>
        </w:rPr>
        <w:t>e</w:t>
      </w:r>
      <w:r w:rsidR="00581E0E" w:rsidRPr="00581E0E">
        <w:rPr>
          <w:rFonts w:eastAsia="Times New Roman" w:cs="Times New Roman"/>
          <w:i/>
          <w:iCs/>
          <w:sz w:val="24"/>
          <w:szCs w:val="24"/>
        </w:rPr>
        <w:t>u</w:t>
      </w:r>
      <w:r w:rsidRPr="00581E0E">
        <w:rPr>
          <w:rFonts w:eastAsia="Times New Roman" w:cs="Times New Roman"/>
          <w:i/>
          <w:iCs/>
          <w:sz w:val="24"/>
          <w:szCs w:val="24"/>
        </w:rPr>
        <w:t>ro</w:t>
      </w:r>
      <w:proofErr w:type="spellEnd"/>
      <w:r w:rsidRPr="00FC7279">
        <w:rPr>
          <w:rFonts w:eastAsia="Times New Roman" w:cs="Times New Roman"/>
          <w:sz w:val="24"/>
          <w:szCs w:val="24"/>
        </w:rPr>
        <w:t>, no kuriem tiks sniegts primārais atbalsts izmitināšanai un ēdināšanai, sociāl</w:t>
      </w:r>
      <w:r>
        <w:rPr>
          <w:rFonts w:eastAsia="Times New Roman" w:cs="Times New Roman"/>
          <w:sz w:val="24"/>
          <w:szCs w:val="24"/>
        </w:rPr>
        <w:t>ajai</w:t>
      </w:r>
      <w:r w:rsidRPr="00FC7279">
        <w:rPr>
          <w:rFonts w:eastAsia="Times New Roman" w:cs="Times New Roman"/>
          <w:sz w:val="24"/>
          <w:szCs w:val="24"/>
        </w:rPr>
        <w:t xml:space="preserve"> palīdzība</w:t>
      </w:r>
      <w:r>
        <w:rPr>
          <w:rFonts w:eastAsia="Times New Roman" w:cs="Times New Roman"/>
          <w:sz w:val="24"/>
          <w:szCs w:val="24"/>
        </w:rPr>
        <w:t>i</w:t>
      </w:r>
      <w:r w:rsidRPr="00FC7279">
        <w:rPr>
          <w:rFonts w:eastAsia="Times New Roman" w:cs="Times New Roman"/>
          <w:sz w:val="24"/>
          <w:szCs w:val="24"/>
        </w:rPr>
        <w:t xml:space="preserve">, finansiālā atbalsta pasākumi, piekļuve izglītībai un veselības aprūpei, ar nodarbinātības veicināšanu saistīti atbalsta pasākumi, valodas apmācības, </w:t>
      </w:r>
      <w:r w:rsidRPr="00FC7279">
        <w:rPr>
          <w:rFonts w:eastAsia="Times New Roman" w:cs="Times New Roman"/>
          <w:noProof/>
          <w:sz w:val="24"/>
          <w:szCs w:val="24"/>
        </w:rPr>
        <w:t>kultūrorientācijas un citi</w:t>
      </w:r>
      <w:r w:rsidRPr="00FC7279">
        <w:rPr>
          <w:rFonts w:eastAsia="Times New Roman" w:cs="Times New Roman"/>
          <w:sz w:val="24"/>
          <w:szCs w:val="24"/>
        </w:rPr>
        <w:t xml:space="preserve"> integrācijas pasākumi.</w:t>
      </w:r>
      <w:r>
        <w:rPr>
          <w:rFonts w:eastAsia="Times New Roman" w:cs="Times New Roman"/>
          <w:sz w:val="24"/>
          <w:szCs w:val="24"/>
        </w:rPr>
        <w:t xml:space="preserve"> Plānojot </w:t>
      </w:r>
      <w:r>
        <w:rPr>
          <w:rFonts w:eastAsia="Times New Roman" w:cs="Times New Roman"/>
          <w:sz w:val="24"/>
          <w:szCs w:val="24"/>
        </w:rPr>
        <w:lastRenderedPageBreak/>
        <w:t xml:space="preserve">finansējumu, aprēķinos tiek pieņemts, ka </w:t>
      </w:r>
      <w:r w:rsidRPr="00BF42AA">
        <w:rPr>
          <w:rFonts w:eastAsia="Times New Roman" w:cs="Times New Roman"/>
          <w:noProof/>
          <w:sz w:val="24"/>
          <w:szCs w:val="24"/>
        </w:rPr>
        <w:t>2024.</w:t>
      </w:r>
      <w:r>
        <w:rPr>
          <w:rFonts w:eastAsia="Times New Roman" w:cs="Times New Roman"/>
          <w:noProof/>
          <w:sz w:val="24"/>
          <w:szCs w:val="24"/>
        </w:rPr>
        <w:t> </w:t>
      </w:r>
      <w:r w:rsidRPr="00BF42AA">
        <w:rPr>
          <w:rFonts w:eastAsia="Times New Roman" w:cs="Times New Roman"/>
          <w:noProof/>
          <w:sz w:val="24"/>
          <w:szCs w:val="24"/>
        </w:rPr>
        <w:t>gadā Latvijā no jauna varētu ierasties aptuveni 12</w:t>
      </w:r>
      <w:r>
        <w:rPr>
          <w:rFonts w:eastAsia="Times New Roman" w:cs="Times New Roman"/>
          <w:noProof/>
          <w:sz w:val="24"/>
          <w:szCs w:val="24"/>
        </w:rPr>
        <w:t> </w:t>
      </w:r>
      <w:r w:rsidR="002768B3">
        <w:rPr>
          <w:rFonts w:eastAsia="Times New Roman" w:cs="Times New Roman"/>
          <w:noProof/>
          <w:sz w:val="24"/>
          <w:szCs w:val="24"/>
        </w:rPr>
        <w:t>tūkst.</w:t>
      </w:r>
      <w:r w:rsidRPr="00BF42AA">
        <w:rPr>
          <w:rFonts w:eastAsia="Times New Roman" w:cs="Times New Roman"/>
          <w:noProof/>
          <w:sz w:val="24"/>
          <w:szCs w:val="24"/>
        </w:rPr>
        <w:t xml:space="preserve"> Ukrainas civiliedzīvotāji</w:t>
      </w:r>
      <w:r>
        <w:rPr>
          <w:rFonts w:eastAsia="Times New Roman" w:cs="Times New Roman"/>
          <w:noProof/>
          <w:sz w:val="24"/>
          <w:szCs w:val="24"/>
        </w:rPr>
        <w:t>.</w:t>
      </w:r>
    </w:p>
    <w:p w14:paraId="453B943D" w14:textId="556ED32D" w:rsidR="00A107D8" w:rsidRPr="00493C86" w:rsidRDefault="00BF4753" w:rsidP="004F034A">
      <w:pPr>
        <w:pStyle w:val="Heading2"/>
        <w:numPr>
          <w:ilvl w:val="1"/>
          <w:numId w:val="9"/>
        </w:numPr>
        <w:spacing w:before="240" w:after="240"/>
        <w:ind w:left="0" w:firstLine="0"/>
        <w:rPr>
          <w:rFonts w:eastAsia="Times New Roman"/>
          <w:sz w:val="28"/>
          <w:szCs w:val="24"/>
        </w:rPr>
      </w:pPr>
      <w:bookmarkStart w:id="42" w:name="_Toc164679826"/>
      <w:bookmarkStart w:id="43" w:name="_Toc5627371"/>
      <w:r w:rsidRPr="00493C86">
        <w:rPr>
          <w:rFonts w:eastAsia="Times New Roman"/>
          <w:sz w:val="28"/>
          <w:szCs w:val="24"/>
        </w:rPr>
        <w:t xml:space="preserve">Fiskālās attīstības </w:t>
      </w:r>
      <w:r w:rsidR="00C04DB4" w:rsidRPr="00493C86">
        <w:rPr>
          <w:rFonts w:eastAsia="Times New Roman"/>
          <w:sz w:val="28"/>
          <w:szCs w:val="24"/>
        </w:rPr>
        <w:t>scenārij</w:t>
      </w:r>
      <w:bookmarkStart w:id="44" w:name="_Toc98250553"/>
      <w:bookmarkStart w:id="45" w:name="_Hlk98250307"/>
      <w:r w:rsidR="00C13AFE" w:rsidRPr="00493C86">
        <w:rPr>
          <w:rFonts w:eastAsia="Times New Roman"/>
          <w:sz w:val="28"/>
          <w:szCs w:val="24"/>
        </w:rPr>
        <w:t>s</w:t>
      </w:r>
      <w:bookmarkEnd w:id="42"/>
    </w:p>
    <w:p w14:paraId="17A8590A" w14:textId="4218C1B7" w:rsidR="00C13AFE" w:rsidRPr="00493C86" w:rsidRDefault="00D0194F" w:rsidP="008A7D6A">
      <w:pPr>
        <w:pStyle w:val="Heading3"/>
        <w:numPr>
          <w:ilvl w:val="0"/>
          <w:numId w:val="0"/>
        </w:numPr>
        <w:spacing w:before="240" w:after="240"/>
        <w:jc w:val="center"/>
        <w:rPr>
          <w:sz w:val="24"/>
          <w:szCs w:val="20"/>
        </w:rPr>
      </w:pPr>
      <w:bookmarkStart w:id="46" w:name="_Toc130571192"/>
      <w:bookmarkStart w:id="47" w:name="_Toc164679827"/>
      <w:r w:rsidRPr="00493C86">
        <w:rPr>
          <w:sz w:val="24"/>
          <w:szCs w:val="20"/>
        </w:rPr>
        <w:t xml:space="preserve">3.4.1. </w:t>
      </w:r>
      <w:r w:rsidR="00CF6F2B" w:rsidRPr="00493C86">
        <w:rPr>
          <w:sz w:val="24"/>
          <w:szCs w:val="20"/>
        </w:rPr>
        <w:t>Fiskālās</w:t>
      </w:r>
      <w:r w:rsidR="00C13AFE" w:rsidRPr="00493C86">
        <w:rPr>
          <w:sz w:val="24"/>
          <w:szCs w:val="20"/>
        </w:rPr>
        <w:t xml:space="preserve"> </w:t>
      </w:r>
      <w:r w:rsidR="00CF6F2B" w:rsidRPr="00493C86">
        <w:rPr>
          <w:sz w:val="24"/>
          <w:szCs w:val="20"/>
        </w:rPr>
        <w:t xml:space="preserve">attīstības </w:t>
      </w:r>
      <w:r w:rsidR="00C13AFE" w:rsidRPr="00493C86">
        <w:rPr>
          <w:sz w:val="24"/>
          <w:szCs w:val="20"/>
        </w:rPr>
        <w:t>scenārijs pie nemainīgas politikas</w:t>
      </w:r>
      <w:bookmarkEnd w:id="46"/>
      <w:bookmarkEnd w:id="47"/>
    </w:p>
    <w:bookmarkEnd w:id="44"/>
    <w:bookmarkEnd w:id="45"/>
    <w:p w14:paraId="08176FBB" w14:textId="77777777" w:rsidR="00493C86" w:rsidRPr="00493C86" w:rsidRDefault="00493C86" w:rsidP="00493C86">
      <w:pPr>
        <w:rPr>
          <w:rFonts w:eastAsia="Times New Roman" w:cs="Times New Roman"/>
          <w:color w:val="000000"/>
          <w:sz w:val="24"/>
          <w:szCs w:val="24"/>
          <w:highlight w:val="yellow"/>
        </w:rPr>
      </w:pPr>
      <w:r w:rsidRPr="00493C86">
        <w:rPr>
          <w:rFonts w:eastAsia="Times New Roman" w:cs="Times New Roman"/>
          <w:color w:val="000000"/>
          <w:sz w:val="24"/>
          <w:szCs w:val="24"/>
        </w:rPr>
        <w:t xml:space="preserve">Vispārējās valdības budžeta prognozes vidējam termiņam pie nemainīgas politikas tika sagatavotas, par pamatu ņemot 2023. gada 9. decembrī Saeimā apstiprināto likumu “Par valsts budžetu 2024. gadam un budžeta ietvaru 2024., 2025. un 2026. gadam” un aktualizējot ieņēmumu un atsevišķu izdevumu prognozes atbilstoši atjaunotajam makroekonomiskās attīstības </w:t>
      </w:r>
      <w:r w:rsidRPr="00493C86">
        <w:rPr>
          <w:rFonts w:eastAsia="Times New Roman" w:cs="Times New Roman"/>
          <w:sz w:val="24"/>
          <w:szCs w:val="24"/>
        </w:rPr>
        <w:t xml:space="preserve">scenārijam un budžeta izpildes tendencēm 2024. gada pirmajos divos mēnešos. Vispārējās valdības budžeta deficīts 2024. gadā tiek prognozēts par 0,1 procentpunktu augstāks nekā plānots budžetā, t.i., 2,9% no IKP apmērā. Scenārijā pie nemainīgas politikas vispārējās valdības budžeta deficīts 2025. gadā tiek </w:t>
      </w:r>
      <w:r w:rsidRPr="00022B0F">
        <w:rPr>
          <w:rFonts w:eastAsia="Times New Roman" w:cs="Times New Roman"/>
          <w:sz w:val="24"/>
          <w:szCs w:val="24"/>
        </w:rPr>
        <w:t xml:space="preserve">prognozēts 2,7% no IKP, 2026. gadā 2,2% no IKP, 2027. gadā 2,0% no IKP un 2028. gadā 1,7% no IKP (skat. 3.5. attēlu). </w:t>
      </w:r>
    </w:p>
    <w:p w14:paraId="0625FD6D" w14:textId="1AC664DA" w:rsidR="00493C86" w:rsidRDefault="00493C86" w:rsidP="00493C86">
      <w:pPr>
        <w:rPr>
          <w:rFonts w:eastAsia="Times New Roman" w:cs="Times New Roman"/>
          <w:color w:val="000000"/>
          <w:sz w:val="24"/>
          <w:szCs w:val="24"/>
        </w:rPr>
      </w:pPr>
      <w:r w:rsidRPr="00493C86">
        <w:rPr>
          <w:rFonts w:eastAsia="Times New Roman" w:cs="Times New Roman"/>
          <w:color w:val="000000"/>
          <w:sz w:val="24"/>
          <w:szCs w:val="24"/>
        </w:rPr>
        <w:t>Atbilstoši prognozēm vispārējās valdības ieņēmumu īpatsvars IKP 2024. gadā būs augstāks kā 2023. gadā un sasniegs 41,3% no IKP, bet turpmākajos gados samazināsies – 2025. gadā līdz 40,3% no IKP, 2026. gadā līdz 39,8% no IKP, 2027. gadā līdz 38,9% no IKP un 2028. gadā attiecīgi līdz 38,2% no IKP. Augstu ieņēmumu īpatsvaru 2024. gadā noteiks nodokļu ieņēmumu un sociālo iemaksu palielināšanās attiecībā pret IKP, kas saistāms ar augstu darba samaksas fonda pieaugumu un uzņēmuma ienākuma nodokli banku sektoram. Savukārt turpmākajos gados ieņēmumu īpatsvara pret IKP samazināšanos ietekmēs prognozētais saņemto dividenžu apmērs no publiskā sektora kapitālsabiedrībām. Tāpat ar 2026. gadu sagaidāms ieņēmumu samazinājums ES investīciju finansējumā, kas saistīts ar Atveseļošanas fonda īstenošanas perioda noslēgšanos.</w:t>
      </w:r>
    </w:p>
    <w:p w14:paraId="5E04CC4B" w14:textId="77777777" w:rsidR="00C128B2" w:rsidRDefault="00C128B2" w:rsidP="00493C86">
      <w:pPr>
        <w:rPr>
          <w:rFonts w:eastAsia="Times New Roman" w:cs="Times New Roman"/>
          <w:color w:val="000000"/>
          <w:sz w:val="24"/>
          <w:szCs w:val="24"/>
        </w:rPr>
      </w:pPr>
    </w:p>
    <w:p w14:paraId="1AEA7301" w14:textId="12215B08" w:rsidR="00C128B2" w:rsidRDefault="00C128B2" w:rsidP="00C128B2">
      <w:pPr>
        <w:jc w:val="center"/>
        <w:rPr>
          <w:rFonts w:eastAsia="Times New Roman" w:cs="Times New Roman"/>
          <w:color w:val="000000"/>
          <w:sz w:val="24"/>
          <w:szCs w:val="24"/>
        </w:rPr>
      </w:pPr>
      <w:r>
        <w:rPr>
          <w:rFonts w:eastAsia="Times New Roman" w:cs="Times New Roman"/>
          <w:noProof/>
          <w:color w:val="000000"/>
          <w:sz w:val="24"/>
          <w:szCs w:val="24"/>
        </w:rPr>
        <w:drawing>
          <wp:inline distT="0" distB="0" distL="0" distR="0" wp14:anchorId="30B42B14" wp14:editId="5E8E3F5A">
            <wp:extent cx="4791710" cy="3243580"/>
            <wp:effectExtent l="0" t="0" r="8890" b="0"/>
            <wp:docPr id="1930098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91710" cy="3243580"/>
                    </a:xfrm>
                    <a:prstGeom prst="rect">
                      <a:avLst/>
                    </a:prstGeom>
                    <a:noFill/>
                  </pic:spPr>
                </pic:pic>
              </a:graphicData>
            </a:graphic>
          </wp:inline>
        </w:drawing>
      </w:r>
    </w:p>
    <w:p w14:paraId="17BCAE37" w14:textId="4411428A" w:rsidR="00C128B2" w:rsidRPr="006F3EEF" w:rsidRDefault="00C128B2" w:rsidP="006F3EEF">
      <w:pPr>
        <w:spacing w:after="240"/>
        <w:ind w:firstLine="0"/>
        <w:jc w:val="center"/>
        <w:rPr>
          <w:rFonts w:eastAsia="Calibri" w:cs="Times New Roman"/>
          <w:b/>
          <w:i/>
          <w:iCs/>
          <w:sz w:val="24"/>
          <w:szCs w:val="24"/>
          <w:highlight w:val="yellow"/>
        </w:rPr>
      </w:pPr>
      <w:r w:rsidRPr="00592793">
        <w:rPr>
          <w:rFonts w:eastAsia="Calibri" w:cs="Times New Roman"/>
          <w:b/>
          <w:i/>
          <w:iCs/>
          <w:sz w:val="24"/>
          <w:szCs w:val="24"/>
        </w:rPr>
        <w:t>3.5. att. Vispārējās valdības ieņēmumi, izdevumi un bilance, % no IKP</w:t>
      </w:r>
      <w:r w:rsidRPr="00592793">
        <w:rPr>
          <w:rFonts w:eastAsia="Calibri" w:cs="Times New Roman"/>
          <w:b/>
          <w:i/>
          <w:iCs/>
          <w:sz w:val="24"/>
          <w:szCs w:val="24"/>
        </w:rPr>
        <w:br/>
        <w:t xml:space="preserve">(Datu </w:t>
      </w:r>
      <w:r w:rsidRPr="00592793">
        <w:rPr>
          <w:rFonts w:eastAsia="Calibri" w:cs="Times New Roman"/>
          <w:b/>
          <w:i/>
          <w:iCs/>
          <w:noProof/>
          <w:sz w:val="24"/>
          <w:szCs w:val="24"/>
        </w:rPr>
        <w:t xml:space="preserve">avots: </w:t>
      </w:r>
      <w:r w:rsidRPr="006F3EEF">
        <w:rPr>
          <w:rFonts w:eastAsia="Calibri" w:cs="Times New Roman"/>
          <w:b/>
          <w:i/>
          <w:iCs/>
          <w:noProof/>
          <w:sz w:val="24"/>
          <w:szCs w:val="24"/>
        </w:rPr>
        <w:t>Eurostat</w:t>
      </w:r>
      <w:r w:rsidR="006F3EEF" w:rsidRPr="006F3EEF">
        <w:rPr>
          <w:rStyle w:val="FootnoteReference"/>
          <w:rFonts w:ascii="Times New Roman" w:eastAsia="Calibri" w:hAnsi="Times New Roman" w:cs="Times New Roman"/>
          <w:b/>
          <w:i/>
          <w:iCs/>
          <w:noProof/>
          <w:sz w:val="24"/>
          <w:szCs w:val="24"/>
        </w:rPr>
        <w:footnoteReference w:id="19"/>
      </w:r>
      <w:r w:rsidRPr="00592793">
        <w:rPr>
          <w:rFonts w:eastAsia="Calibri" w:cs="Times New Roman"/>
          <w:b/>
          <w:i/>
          <w:iCs/>
          <w:noProof/>
          <w:sz w:val="24"/>
          <w:szCs w:val="24"/>
        </w:rPr>
        <w:t>, FM)</w:t>
      </w:r>
    </w:p>
    <w:p w14:paraId="4189D92C" w14:textId="074EBAC3" w:rsidR="00493C86" w:rsidRPr="00493C86" w:rsidRDefault="00493C86" w:rsidP="00C128B2">
      <w:pPr>
        <w:rPr>
          <w:rFonts w:eastAsia="Times New Roman" w:cs="Times New Roman"/>
          <w:color w:val="000000"/>
          <w:sz w:val="24"/>
          <w:szCs w:val="24"/>
        </w:rPr>
      </w:pPr>
      <w:r w:rsidRPr="00493C86">
        <w:rPr>
          <w:rFonts w:eastAsia="Times New Roman" w:cs="Times New Roman"/>
          <w:color w:val="000000"/>
          <w:sz w:val="24"/>
          <w:szCs w:val="24"/>
        </w:rPr>
        <w:lastRenderedPageBreak/>
        <w:t xml:space="preserve">Sagaidāms, ka vispārējās valdības izdevumu īpatsvars IKP 2024. gadā nozīmīgi augs, jo paredzēts nozīmīgs finansējums iekšējās un ārējās drošības stiprināšanai, tāpat arī ceļot atalgojumu sabiedriskajā sektorā nodarbinātajiem (D.1), jo īpaši spēka struktūrās un pedagogiem. </w:t>
      </w:r>
      <w:r w:rsidRPr="00493C86">
        <w:rPr>
          <w:rFonts w:eastAsia="Times New Roman" w:cs="Times New Roman"/>
          <w:sz w:val="24"/>
          <w:szCs w:val="24"/>
        </w:rPr>
        <w:t xml:space="preserve">Atbilstoši prognozēm vispārējās valdības izdevumu īpatsvars IKP 2024. gadā būs ievērojami augstāks nekā 2023. gadā un sasniegs 44,2% no IKP, bet turpmākajos gados tas samazināsies – 2025. gadā līdz 43% no IKP, 2026. gadā līdz 42% no IKP, 2027. gadā līdz 40,9% no IKP un 2028. gadā attiecīgi līdz 39,9% no IKP. </w:t>
      </w:r>
      <w:r w:rsidRPr="00493C86">
        <w:rPr>
          <w:rFonts w:eastAsia="Times New Roman" w:cs="Times New Roman"/>
          <w:color w:val="000000"/>
          <w:sz w:val="24"/>
          <w:szCs w:val="24"/>
        </w:rPr>
        <w:t>2025. gadā budžetā vairs netiek paredzēts atbalsts iedzīvotājiem energoresursu cenu pieauguma mazināšanai</w:t>
      </w:r>
      <w:r w:rsidRPr="00493C86">
        <w:rPr>
          <w:rFonts w:eastAsia="Times New Roman" w:cs="Times New Roman"/>
          <w:noProof/>
          <w:sz w:val="24"/>
          <w:szCs w:val="24"/>
        </w:rPr>
        <w:t>, kā arī atbalsts Ukrainas civiliedzīvotājiem, par ko lēmumi valdībā nav pieņemti</w:t>
      </w:r>
      <w:r w:rsidRPr="00493C86">
        <w:rPr>
          <w:rFonts w:eastAsia="Times New Roman" w:cs="Times New Roman"/>
          <w:color w:val="000000"/>
          <w:sz w:val="24"/>
          <w:szCs w:val="24"/>
        </w:rPr>
        <w:t>. Nominālā izteiksmē gan ieņēmumu, gan izdevumu kopējais apjoms ik gadu pieaugs.</w:t>
      </w:r>
    </w:p>
    <w:p w14:paraId="605D4D7E" w14:textId="1A59EB5F" w:rsidR="00493C86" w:rsidRPr="00493C86" w:rsidRDefault="00493C86" w:rsidP="00493C86">
      <w:pPr>
        <w:rPr>
          <w:rFonts w:eastAsia="Calibri" w:cs="Times New Roman"/>
          <w:sz w:val="24"/>
          <w:szCs w:val="24"/>
        </w:rPr>
      </w:pPr>
      <w:r w:rsidRPr="00493C86">
        <w:rPr>
          <w:rFonts w:eastAsia="Calibri" w:cs="Times New Roman"/>
          <w:sz w:val="24"/>
          <w:szCs w:val="24"/>
        </w:rPr>
        <w:t xml:space="preserve">Izdevumi atlīdzībai (D.1) 2024. gadā kopumā augs par 14,4% un sasniegs 12,5% no IKP, kamēr 2023. gadā atlīdzības izdevumu attiecība pret IKP bija 11,4% no IKP. </w:t>
      </w:r>
    </w:p>
    <w:p w14:paraId="7672B2D0" w14:textId="3DE1828C" w:rsidR="00493C86" w:rsidRPr="00493C86" w:rsidRDefault="00493C86" w:rsidP="00493C86">
      <w:pPr>
        <w:rPr>
          <w:rFonts w:eastAsia="Calibri" w:cs="Times New Roman"/>
          <w:sz w:val="24"/>
          <w:szCs w:val="24"/>
        </w:rPr>
      </w:pPr>
      <w:r w:rsidRPr="00493C86">
        <w:rPr>
          <w:rFonts w:eastAsia="Calibri" w:cs="Times New Roman"/>
          <w:sz w:val="24"/>
          <w:szCs w:val="24"/>
        </w:rPr>
        <w:t xml:space="preserve">Izdevumi starppatēriņam (P.2) 2024. gadā prognozēti 6,5% apmērā no IKP, aptuveni tādā pašā līmenī kā iepriekšējos gados, ko nosaka nemainīgi augsts izdevumu līmenis precēm un pakalpojumiem, lielā mērā dēļ pieaugošajiem izdevumiem par komunālajiem pakalpojumiem un degvielu. Lai gan nominālā izteiksmē izdevumi starppatēriņam gadu no gada plānoti ar pieaugumu, tomēr procentos pret IKP tie mēreni samazināsies un 2025. gadā plānoti 6,4% no IKP, bet līdz 2028. gadam saruks līdz 6% no IKP. </w:t>
      </w:r>
    </w:p>
    <w:p w14:paraId="2942BFD0" w14:textId="77777777" w:rsidR="00493C86" w:rsidRPr="00493C86" w:rsidRDefault="00493C86" w:rsidP="00493C86">
      <w:pPr>
        <w:rPr>
          <w:rFonts w:eastAsia="Calibri" w:cs="Times New Roman"/>
          <w:sz w:val="24"/>
          <w:szCs w:val="24"/>
        </w:rPr>
      </w:pPr>
      <w:r w:rsidRPr="00493C86">
        <w:rPr>
          <w:rFonts w:eastAsia="Calibri" w:cs="Times New Roman"/>
          <w:sz w:val="24"/>
          <w:szCs w:val="24"/>
        </w:rPr>
        <w:t>Procentu izdevumu (D.41) īpatsvars pret IKP kopš 2023. gada palielinās, un šāda tendence plānota līdz pat 2028. gadam. Augstās procentu likmes un nominālā deficīta apmērs palielina aizņemšanās nepieciešamību, tādējādi procentu izdevumu īpatsvars no 0,8% no IKP 2024. gadā augs līdz 1,4% no IKP 2028. gadā.</w:t>
      </w:r>
    </w:p>
    <w:p w14:paraId="2AF3B713" w14:textId="754A37A4" w:rsidR="00571AB4" w:rsidRDefault="00493C86" w:rsidP="00FF1B5A">
      <w:pPr>
        <w:rPr>
          <w:rFonts w:eastAsia="Times New Roman" w:cs="Times New Roman"/>
          <w:color w:val="000000"/>
          <w:sz w:val="24"/>
          <w:szCs w:val="24"/>
        </w:rPr>
      </w:pPr>
      <w:r w:rsidRPr="00493C86">
        <w:rPr>
          <w:rFonts w:eastAsia="Times New Roman" w:cs="Times New Roman"/>
          <w:color w:val="000000"/>
          <w:sz w:val="24"/>
          <w:szCs w:val="24"/>
        </w:rPr>
        <w:t xml:space="preserve">Investīciju izdevumi (P.51g) 2024. – 2026. gadā tiek prognozēti virs iepriekšējo gadu līmeņiem – attiecīgi 5,3% no IKP 2024. gadā, 5,7% no IKP 2025. gadā, ko noteiks gan investīcijas valsts iekšējā un ārējā drošībā, gan aktīvā ES fondu projektu un </w:t>
      </w:r>
      <w:r w:rsidRPr="00493C86">
        <w:rPr>
          <w:rFonts w:eastAsia="Times New Roman" w:cs="Times New Roman"/>
          <w:i/>
          <w:iCs/>
          <w:color w:val="000000"/>
          <w:sz w:val="24"/>
          <w:szCs w:val="24"/>
        </w:rPr>
        <w:t xml:space="preserve">Rail </w:t>
      </w:r>
      <w:proofErr w:type="spellStart"/>
      <w:r w:rsidRPr="00493C86">
        <w:rPr>
          <w:rFonts w:eastAsia="Times New Roman" w:cs="Times New Roman"/>
          <w:i/>
          <w:iCs/>
          <w:color w:val="000000"/>
          <w:sz w:val="24"/>
          <w:szCs w:val="24"/>
        </w:rPr>
        <w:t>Baltica</w:t>
      </w:r>
      <w:proofErr w:type="spellEnd"/>
      <w:r w:rsidRPr="00493C86">
        <w:rPr>
          <w:rFonts w:eastAsia="Times New Roman" w:cs="Times New Roman"/>
          <w:color w:val="000000"/>
          <w:sz w:val="24"/>
          <w:szCs w:val="24"/>
        </w:rPr>
        <w:t xml:space="preserve"> projekta īstenošana. </w:t>
      </w:r>
    </w:p>
    <w:p w14:paraId="771039FD" w14:textId="77777777" w:rsidR="00FF1B5A" w:rsidRPr="00FF1B5A" w:rsidRDefault="00FF1B5A" w:rsidP="00FF1B5A">
      <w:pPr>
        <w:rPr>
          <w:rFonts w:eastAsia="Times New Roman" w:cs="Times New Roman"/>
          <w:color w:val="000000"/>
          <w:sz w:val="24"/>
          <w:szCs w:val="24"/>
        </w:rPr>
      </w:pPr>
    </w:p>
    <w:p w14:paraId="2DCAA58B" w14:textId="3DBD8713" w:rsidR="00493C86" w:rsidRPr="00493C86" w:rsidRDefault="00493C86" w:rsidP="00FF1B5A">
      <w:pPr>
        <w:spacing w:after="120"/>
        <w:jc w:val="right"/>
        <w:rPr>
          <w:rFonts w:eastAsia="Calibri" w:cs="Times New Roman"/>
          <w:b/>
          <w:i/>
          <w:iCs/>
          <w:sz w:val="24"/>
          <w:szCs w:val="24"/>
        </w:rPr>
      </w:pPr>
      <w:r w:rsidRPr="00592793">
        <w:rPr>
          <w:rFonts w:eastAsia="Calibri" w:cs="Times New Roman"/>
          <w:b/>
          <w:i/>
          <w:iCs/>
          <w:sz w:val="24"/>
          <w:szCs w:val="24"/>
        </w:rPr>
        <w:t>3.</w:t>
      </w:r>
      <w:r w:rsidR="00592793" w:rsidRPr="00592793">
        <w:rPr>
          <w:rFonts w:eastAsia="Calibri" w:cs="Times New Roman"/>
          <w:b/>
          <w:i/>
          <w:iCs/>
          <w:sz w:val="24"/>
          <w:szCs w:val="24"/>
        </w:rPr>
        <w:t>8</w:t>
      </w:r>
      <w:r w:rsidRPr="00592793">
        <w:rPr>
          <w:rFonts w:eastAsia="Calibri" w:cs="Times New Roman"/>
          <w:b/>
          <w:i/>
          <w:iCs/>
          <w:sz w:val="24"/>
          <w:szCs w:val="24"/>
        </w:rPr>
        <w:t>. tabula.</w:t>
      </w:r>
      <w:r w:rsidRPr="00493C86">
        <w:rPr>
          <w:rFonts w:eastAsia="Calibri" w:cs="Times New Roman"/>
          <w:b/>
          <w:i/>
          <w:iCs/>
          <w:sz w:val="24"/>
          <w:szCs w:val="24"/>
        </w:rPr>
        <w:t xml:space="preserve"> Fiskālās attīstības scenārijs pie nemainīgas politikas</w:t>
      </w:r>
    </w:p>
    <w:tbl>
      <w:tblPr>
        <w:tblStyle w:val="TableGrid7"/>
        <w:tblW w:w="9067" w:type="dxa"/>
        <w:jc w:val="center"/>
        <w:tblLayout w:type="fixed"/>
        <w:tblLook w:val="0000" w:firstRow="0" w:lastRow="0" w:firstColumn="0" w:lastColumn="0" w:noHBand="0" w:noVBand="0"/>
      </w:tblPr>
      <w:tblGrid>
        <w:gridCol w:w="2689"/>
        <w:gridCol w:w="1134"/>
        <w:gridCol w:w="874"/>
        <w:gridCol w:w="874"/>
        <w:gridCol w:w="874"/>
        <w:gridCol w:w="874"/>
        <w:gridCol w:w="874"/>
        <w:gridCol w:w="874"/>
      </w:tblGrid>
      <w:tr w:rsidR="00493C86" w:rsidRPr="00493C86" w14:paraId="0218345B" w14:textId="77777777" w:rsidTr="00493C86">
        <w:trPr>
          <w:trHeight w:val="249"/>
          <w:tblHeader/>
          <w:jc w:val="center"/>
        </w:trPr>
        <w:tc>
          <w:tcPr>
            <w:tcW w:w="2689" w:type="dxa"/>
            <w:shd w:val="clear" w:color="auto" w:fill="BDD6EE"/>
          </w:tcPr>
          <w:p w14:paraId="523D90CD" w14:textId="77777777" w:rsidR="00493C86" w:rsidRPr="00493C86" w:rsidRDefault="00493C86" w:rsidP="00493C86">
            <w:pPr>
              <w:ind w:firstLine="0"/>
              <w:rPr>
                <w:rFonts w:eastAsia="Times New Roman" w:cs="Times New Roman"/>
                <w:b/>
                <w:sz w:val="20"/>
                <w:szCs w:val="20"/>
              </w:rPr>
            </w:pPr>
          </w:p>
        </w:tc>
        <w:tc>
          <w:tcPr>
            <w:tcW w:w="1134" w:type="dxa"/>
            <w:shd w:val="clear" w:color="auto" w:fill="BDD6EE"/>
          </w:tcPr>
          <w:p w14:paraId="1EE8DC82" w14:textId="77777777" w:rsidR="00493C86" w:rsidRPr="00493C86" w:rsidRDefault="00493C86" w:rsidP="00493C86">
            <w:pPr>
              <w:ind w:firstLine="0"/>
              <w:rPr>
                <w:rFonts w:eastAsia="Times New Roman" w:cs="Times New Roman"/>
                <w:b/>
                <w:sz w:val="20"/>
                <w:szCs w:val="20"/>
              </w:rPr>
            </w:pPr>
          </w:p>
        </w:tc>
        <w:tc>
          <w:tcPr>
            <w:tcW w:w="874" w:type="dxa"/>
            <w:shd w:val="clear" w:color="auto" w:fill="BDD6EE"/>
          </w:tcPr>
          <w:p w14:paraId="666022B8" w14:textId="77777777" w:rsidR="00493C86" w:rsidRPr="00493C86" w:rsidRDefault="00493C86" w:rsidP="00493C86">
            <w:pPr>
              <w:ind w:firstLine="0"/>
              <w:jc w:val="center"/>
              <w:rPr>
                <w:rFonts w:eastAsia="Times New Roman" w:cs="Times New Roman"/>
                <w:b/>
                <w:sz w:val="20"/>
                <w:szCs w:val="20"/>
              </w:rPr>
            </w:pPr>
            <w:r w:rsidRPr="00493C86">
              <w:rPr>
                <w:rFonts w:eastAsia="Times New Roman" w:cs="Times New Roman"/>
                <w:b/>
                <w:sz w:val="20"/>
                <w:szCs w:val="20"/>
              </w:rPr>
              <w:t>2023</w:t>
            </w:r>
          </w:p>
        </w:tc>
        <w:tc>
          <w:tcPr>
            <w:tcW w:w="874" w:type="dxa"/>
            <w:shd w:val="clear" w:color="auto" w:fill="BDD6EE"/>
          </w:tcPr>
          <w:p w14:paraId="1120CF3A" w14:textId="77777777" w:rsidR="00493C86" w:rsidRPr="00493C86" w:rsidRDefault="00493C86" w:rsidP="00493C86">
            <w:pPr>
              <w:ind w:firstLine="0"/>
              <w:jc w:val="center"/>
              <w:rPr>
                <w:rFonts w:eastAsia="Times New Roman" w:cs="Times New Roman"/>
                <w:b/>
                <w:sz w:val="20"/>
                <w:szCs w:val="20"/>
              </w:rPr>
            </w:pPr>
            <w:r w:rsidRPr="00493C86">
              <w:rPr>
                <w:rFonts w:eastAsia="Times New Roman" w:cs="Times New Roman"/>
                <w:b/>
                <w:sz w:val="20"/>
                <w:szCs w:val="20"/>
              </w:rPr>
              <w:t>2024</w:t>
            </w:r>
          </w:p>
        </w:tc>
        <w:tc>
          <w:tcPr>
            <w:tcW w:w="874" w:type="dxa"/>
            <w:shd w:val="clear" w:color="auto" w:fill="BDD6EE"/>
          </w:tcPr>
          <w:p w14:paraId="32BAAA81" w14:textId="77777777" w:rsidR="00493C86" w:rsidRPr="00493C86" w:rsidRDefault="00493C86" w:rsidP="00493C86">
            <w:pPr>
              <w:ind w:firstLine="0"/>
              <w:jc w:val="center"/>
              <w:rPr>
                <w:rFonts w:eastAsia="Times New Roman" w:cs="Times New Roman"/>
                <w:b/>
                <w:sz w:val="20"/>
                <w:szCs w:val="20"/>
              </w:rPr>
            </w:pPr>
            <w:r w:rsidRPr="00493C86">
              <w:rPr>
                <w:rFonts w:eastAsia="Times New Roman" w:cs="Times New Roman"/>
                <w:b/>
                <w:sz w:val="20"/>
                <w:szCs w:val="20"/>
              </w:rPr>
              <w:t>2025</w:t>
            </w:r>
          </w:p>
        </w:tc>
        <w:tc>
          <w:tcPr>
            <w:tcW w:w="874" w:type="dxa"/>
            <w:shd w:val="clear" w:color="auto" w:fill="BDD6EE"/>
          </w:tcPr>
          <w:p w14:paraId="3E2BE6D0" w14:textId="77777777" w:rsidR="00493C86" w:rsidRPr="00493C86" w:rsidRDefault="00493C86" w:rsidP="00493C86">
            <w:pPr>
              <w:ind w:firstLine="0"/>
              <w:jc w:val="center"/>
              <w:rPr>
                <w:rFonts w:eastAsia="Times New Roman" w:cs="Times New Roman"/>
                <w:b/>
                <w:sz w:val="20"/>
                <w:szCs w:val="20"/>
              </w:rPr>
            </w:pPr>
            <w:r w:rsidRPr="00493C86">
              <w:rPr>
                <w:rFonts w:eastAsia="Times New Roman" w:cs="Times New Roman"/>
                <w:b/>
                <w:sz w:val="20"/>
                <w:szCs w:val="20"/>
              </w:rPr>
              <w:t>2026</w:t>
            </w:r>
          </w:p>
        </w:tc>
        <w:tc>
          <w:tcPr>
            <w:tcW w:w="874" w:type="dxa"/>
            <w:shd w:val="clear" w:color="auto" w:fill="BDD6EE"/>
          </w:tcPr>
          <w:p w14:paraId="35428C22" w14:textId="77777777" w:rsidR="00493C86" w:rsidRPr="00493C86" w:rsidRDefault="00493C86" w:rsidP="00493C86">
            <w:pPr>
              <w:ind w:firstLine="0"/>
              <w:jc w:val="center"/>
              <w:rPr>
                <w:rFonts w:eastAsia="Times New Roman" w:cs="Times New Roman"/>
                <w:b/>
                <w:sz w:val="20"/>
                <w:szCs w:val="20"/>
              </w:rPr>
            </w:pPr>
            <w:r w:rsidRPr="00493C86">
              <w:rPr>
                <w:rFonts w:eastAsia="Times New Roman" w:cs="Times New Roman"/>
                <w:b/>
                <w:sz w:val="20"/>
                <w:szCs w:val="20"/>
              </w:rPr>
              <w:t>2027</w:t>
            </w:r>
          </w:p>
        </w:tc>
        <w:tc>
          <w:tcPr>
            <w:tcW w:w="874" w:type="dxa"/>
            <w:shd w:val="clear" w:color="auto" w:fill="BDD6EE"/>
          </w:tcPr>
          <w:p w14:paraId="5506D4A2" w14:textId="77777777" w:rsidR="00493C86" w:rsidRPr="00493C86" w:rsidRDefault="00493C86" w:rsidP="00493C86">
            <w:pPr>
              <w:ind w:firstLine="0"/>
              <w:jc w:val="center"/>
              <w:rPr>
                <w:rFonts w:eastAsia="Times New Roman" w:cs="Times New Roman"/>
                <w:b/>
                <w:sz w:val="20"/>
                <w:szCs w:val="20"/>
              </w:rPr>
            </w:pPr>
            <w:r w:rsidRPr="00493C86">
              <w:rPr>
                <w:rFonts w:eastAsia="Times New Roman" w:cs="Times New Roman"/>
                <w:b/>
                <w:sz w:val="20"/>
                <w:szCs w:val="20"/>
              </w:rPr>
              <w:t>2028</w:t>
            </w:r>
          </w:p>
        </w:tc>
      </w:tr>
      <w:tr w:rsidR="00493C86" w:rsidRPr="00493C86" w14:paraId="0032A67E" w14:textId="77777777" w:rsidTr="00720F17">
        <w:trPr>
          <w:trHeight w:val="67"/>
          <w:tblHeader/>
          <w:jc w:val="center"/>
        </w:trPr>
        <w:tc>
          <w:tcPr>
            <w:tcW w:w="2689" w:type="dxa"/>
          </w:tcPr>
          <w:p w14:paraId="759D30F1" w14:textId="77777777" w:rsidR="00493C86" w:rsidRPr="00493C86" w:rsidRDefault="00493C86" w:rsidP="00493C86">
            <w:pPr>
              <w:ind w:firstLine="0"/>
              <w:rPr>
                <w:rFonts w:eastAsia="Times New Roman" w:cs="Times New Roman"/>
                <w:sz w:val="20"/>
                <w:szCs w:val="20"/>
              </w:rPr>
            </w:pPr>
          </w:p>
        </w:tc>
        <w:tc>
          <w:tcPr>
            <w:tcW w:w="1134" w:type="dxa"/>
            <w:vAlign w:val="center"/>
          </w:tcPr>
          <w:p w14:paraId="2A6B7C00" w14:textId="77777777" w:rsidR="00493C86" w:rsidRPr="00493C86" w:rsidRDefault="00493C86" w:rsidP="00493C86">
            <w:pPr>
              <w:ind w:firstLine="0"/>
              <w:jc w:val="center"/>
              <w:rPr>
                <w:rFonts w:eastAsia="Times New Roman" w:cs="Times New Roman"/>
                <w:b/>
                <w:sz w:val="20"/>
                <w:szCs w:val="20"/>
              </w:rPr>
            </w:pPr>
            <w:r w:rsidRPr="00493C86">
              <w:rPr>
                <w:rFonts w:eastAsia="Times New Roman" w:cs="Times New Roman"/>
                <w:b/>
                <w:sz w:val="20"/>
                <w:szCs w:val="20"/>
              </w:rPr>
              <w:t>EKS kods</w:t>
            </w:r>
          </w:p>
        </w:tc>
        <w:tc>
          <w:tcPr>
            <w:tcW w:w="5244" w:type="dxa"/>
            <w:gridSpan w:val="6"/>
            <w:vAlign w:val="center"/>
          </w:tcPr>
          <w:p w14:paraId="7880CC83" w14:textId="77777777" w:rsidR="00493C86" w:rsidRPr="00493C86" w:rsidRDefault="00493C86" w:rsidP="00493C86">
            <w:pPr>
              <w:ind w:firstLine="0"/>
              <w:jc w:val="center"/>
              <w:rPr>
                <w:rFonts w:eastAsia="Times New Roman" w:cs="Times New Roman"/>
                <w:b/>
                <w:sz w:val="20"/>
                <w:szCs w:val="20"/>
              </w:rPr>
            </w:pPr>
            <w:r w:rsidRPr="00493C86">
              <w:rPr>
                <w:rFonts w:eastAsia="Times New Roman" w:cs="Times New Roman"/>
                <w:b/>
                <w:sz w:val="20"/>
                <w:szCs w:val="20"/>
              </w:rPr>
              <w:t>% no IKP</w:t>
            </w:r>
          </w:p>
        </w:tc>
      </w:tr>
      <w:tr w:rsidR="00493C86" w:rsidRPr="00493C86" w14:paraId="0DB4CC45" w14:textId="77777777" w:rsidTr="00493C86">
        <w:trPr>
          <w:trHeight w:val="258"/>
          <w:jc w:val="center"/>
        </w:trPr>
        <w:tc>
          <w:tcPr>
            <w:tcW w:w="9067" w:type="dxa"/>
            <w:gridSpan w:val="8"/>
            <w:shd w:val="clear" w:color="auto" w:fill="BDD6EE"/>
            <w:vAlign w:val="center"/>
          </w:tcPr>
          <w:p w14:paraId="3229EEA4" w14:textId="77777777" w:rsidR="00493C86" w:rsidRPr="00493C86" w:rsidRDefault="00493C86" w:rsidP="00493C86">
            <w:pPr>
              <w:ind w:firstLine="0"/>
              <w:jc w:val="center"/>
              <w:rPr>
                <w:rFonts w:eastAsia="Times New Roman" w:cs="Times New Roman"/>
                <w:b/>
                <w:sz w:val="20"/>
                <w:szCs w:val="20"/>
              </w:rPr>
            </w:pPr>
            <w:r w:rsidRPr="00493C86">
              <w:rPr>
                <w:rFonts w:eastAsia="Times New Roman" w:cs="Times New Roman"/>
                <w:b/>
                <w:sz w:val="20"/>
                <w:szCs w:val="20"/>
              </w:rPr>
              <w:t xml:space="preserve">Neto aizdevumi (+) vai aizņēmumi (-) (B.9) pa </w:t>
            </w:r>
            <w:proofErr w:type="spellStart"/>
            <w:r w:rsidRPr="00493C86">
              <w:rPr>
                <w:rFonts w:eastAsia="Times New Roman" w:cs="Times New Roman"/>
                <w:b/>
                <w:sz w:val="20"/>
                <w:szCs w:val="20"/>
              </w:rPr>
              <w:t>apakšsektoriem</w:t>
            </w:r>
            <w:proofErr w:type="spellEnd"/>
          </w:p>
        </w:tc>
      </w:tr>
      <w:tr w:rsidR="00493C86" w:rsidRPr="00493C86" w14:paraId="6CB07233" w14:textId="77777777" w:rsidTr="00720F17">
        <w:trPr>
          <w:trHeight w:val="249"/>
          <w:jc w:val="center"/>
        </w:trPr>
        <w:tc>
          <w:tcPr>
            <w:tcW w:w="2689" w:type="dxa"/>
          </w:tcPr>
          <w:p w14:paraId="6C0D27E3" w14:textId="77777777" w:rsidR="00493C86" w:rsidRPr="00493C86" w:rsidRDefault="00493C86" w:rsidP="00493C86">
            <w:pPr>
              <w:ind w:firstLine="0"/>
              <w:rPr>
                <w:rFonts w:eastAsia="Times New Roman" w:cs="Times New Roman"/>
                <w:snapToGrid w:val="0"/>
                <w:sz w:val="20"/>
                <w:szCs w:val="20"/>
              </w:rPr>
            </w:pPr>
            <w:r w:rsidRPr="00493C86">
              <w:rPr>
                <w:rFonts w:eastAsia="Times New Roman" w:cs="Times New Roman"/>
                <w:snapToGrid w:val="0"/>
                <w:sz w:val="20"/>
                <w:szCs w:val="20"/>
              </w:rPr>
              <w:t>Vispārējā valdība</w:t>
            </w:r>
          </w:p>
        </w:tc>
        <w:tc>
          <w:tcPr>
            <w:tcW w:w="1134" w:type="dxa"/>
            <w:vAlign w:val="center"/>
          </w:tcPr>
          <w:p w14:paraId="4FC031D7" w14:textId="77777777" w:rsidR="00493C86" w:rsidRPr="00493C86" w:rsidRDefault="00493C86" w:rsidP="00493C86">
            <w:pPr>
              <w:ind w:firstLine="0"/>
              <w:jc w:val="center"/>
              <w:rPr>
                <w:rFonts w:eastAsia="Times New Roman" w:cs="Times New Roman"/>
                <w:sz w:val="20"/>
                <w:szCs w:val="20"/>
              </w:rPr>
            </w:pPr>
            <w:r w:rsidRPr="00493C86">
              <w:rPr>
                <w:rFonts w:eastAsia="Times New Roman" w:cs="Times New Roman"/>
                <w:sz w:val="20"/>
                <w:szCs w:val="20"/>
              </w:rPr>
              <w:t>S.13</w:t>
            </w:r>
          </w:p>
        </w:tc>
        <w:tc>
          <w:tcPr>
            <w:tcW w:w="874" w:type="dxa"/>
            <w:shd w:val="clear" w:color="auto" w:fill="auto"/>
            <w:vAlign w:val="center"/>
          </w:tcPr>
          <w:p w14:paraId="1B44E10C"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-2,3</w:t>
            </w:r>
          </w:p>
        </w:tc>
        <w:tc>
          <w:tcPr>
            <w:tcW w:w="874" w:type="dxa"/>
            <w:shd w:val="clear" w:color="auto" w:fill="auto"/>
            <w:vAlign w:val="center"/>
          </w:tcPr>
          <w:p w14:paraId="3C7A37F7"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-2,9</w:t>
            </w:r>
          </w:p>
        </w:tc>
        <w:tc>
          <w:tcPr>
            <w:tcW w:w="874" w:type="dxa"/>
            <w:shd w:val="clear" w:color="auto" w:fill="auto"/>
            <w:vAlign w:val="center"/>
          </w:tcPr>
          <w:p w14:paraId="37C1D7D2"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-2,7</w:t>
            </w:r>
          </w:p>
        </w:tc>
        <w:tc>
          <w:tcPr>
            <w:tcW w:w="874" w:type="dxa"/>
            <w:shd w:val="clear" w:color="auto" w:fill="auto"/>
            <w:vAlign w:val="center"/>
          </w:tcPr>
          <w:p w14:paraId="22816C02"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-2,2</w:t>
            </w:r>
          </w:p>
        </w:tc>
        <w:tc>
          <w:tcPr>
            <w:tcW w:w="874" w:type="dxa"/>
            <w:vAlign w:val="center"/>
          </w:tcPr>
          <w:p w14:paraId="5A193E99"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-2,0</w:t>
            </w:r>
          </w:p>
        </w:tc>
        <w:tc>
          <w:tcPr>
            <w:tcW w:w="874" w:type="dxa"/>
            <w:shd w:val="clear" w:color="auto" w:fill="auto"/>
            <w:vAlign w:val="center"/>
          </w:tcPr>
          <w:p w14:paraId="1583646D"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-1,7</w:t>
            </w:r>
          </w:p>
        </w:tc>
      </w:tr>
      <w:tr w:rsidR="00493C86" w:rsidRPr="00493C86" w14:paraId="07502464" w14:textId="77777777" w:rsidTr="00493C86">
        <w:trPr>
          <w:trHeight w:val="214"/>
          <w:jc w:val="center"/>
        </w:trPr>
        <w:tc>
          <w:tcPr>
            <w:tcW w:w="2689" w:type="dxa"/>
            <w:shd w:val="clear" w:color="auto" w:fill="DEEAF6"/>
          </w:tcPr>
          <w:p w14:paraId="481A0F1B" w14:textId="77777777" w:rsidR="00493C86" w:rsidRPr="00493C86" w:rsidRDefault="00493C86" w:rsidP="00493C86">
            <w:pPr>
              <w:ind w:firstLine="0"/>
              <w:jc w:val="right"/>
              <w:rPr>
                <w:rFonts w:eastAsia="Times New Roman" w:cs="Times New Roman"/>
                <w:snapToGrid w:val="0"/>
                <w:sz w:val="18"/>
                <w:szCs w:val="18"/>
              </w:rPr>
            </w:pPr>
            <w:r w:rsidRPr="00493C86">
              <w:rPr>
                <w:rFonts w:eastAsia="Times New Roman" w:cs="Times New Roman"/>
                <w:snapToGrid w:val="0"/>
                <w:sz w:val="18"/>
                <w:szCs w:val="18"/>
              </w:rPr>
              <w:t>t.sk. komersanti</w:t>
            </w:r>
            <w:r w:rsidRPr="00493C86">
              <w:rPr>
                <w:rFonts w:eastAsia="Times New Roman" w:cs="Times New Roman"/>
                <w:snapToGrid w:val="0"/>
                <w:sz w:val="18"/>
                <w:szCs w:val="18"/>
                <w:vertAlign w:val="superscript"/>
              </w:rPr>
              <w:footnoteReference w:id="20"/>
            </w:r>
          </w:p>
        </w:tc>
        <w:tc>
          <w:tcPr>
            <w:tcW w:w="1134" w:type="dxa"/>
            <w:shd w:val="clear" w:color="auto" w:fill="DEEAF6"/>
            <w:vAlign w:val="center"/>
          </w:tcPr>
          <w:p w14:paraId="2AC24CF6" w14:textId="77777777" w:rsidR="00493C86" w:rsidRPr="00493C86" w:rsidRDefault="00493C86" w:rsidP="00493C86">
            <w:pPr>
              <w:ind w:firstLine="0"/>
              <w:jc w:val="right"/>
              <w:rPr>
                <w:rFonts w:eastAsia="Times New Roman" w:cs="Times New Roman"/>
                <w:sz w:val="18"/>
                <w:szCs w:val="18"/>
              </w:rPr>
            </w:pPr>
          </w:p>
        </w:tc>
        <w:tc>
          <w:tcPr>
            <w:tcW w:w="874" w:type="dxa"/>
            <w:shd w:val="clear" w:color="auto" w:fill="DEEAF6"/>
            <w:vAlign w:val="center"/>
          </w:tcPr>
          <w:p w14:paraId="7B0F3E26"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-0,3</w:t>
            </w:r>
          </w:p>
        </w:tc>
        <w:tc>
          <w:tcPr>
            <w:tcW w:w="874" w:type="dxa"/>
            <w:shd w:val="clear" w:color="auto" w:fill="DEEAF6"/>
            <w:vAlign w:val="center"/>
          </w:tcPr>
          <w:p w14:paraId="12D02E45"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-0,3</w:t>
            </w:r>
          </w:p>
        </w:tc>
        <w:tc>
          <w:tcPr>
            <w:tcW w:w="874" w:type="dxa"/>
            <w:shd w:val="clear" w:color="auto" w:fill="DEEAF6"/>
            <w:vAlign w:val="center"/>
          </w:tcPr>
          <w:p w14:paraId="578BC749"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-0,1</w:t>
            </w:r>
          </w:p>
        </w:tc>
        <w:tc>
          <w:tcPr>
            <w:tcW w:w="874" w:type="dxa"/>
            <w:shd w:val="clear" w:color="auto" w:fill="DEEAF6"/>
            <w:vAlign w:val="center"/>
          </w:tcPr>
          <w:p w14:paraId="28691A88"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0,0</w:t>
            </w:r>
          </w:p>
        </w:tc>
        <w:tc>
          <w:tcPr>
            <w:tcW w:w="874" w:type="dxa"/>
            <w:shd w:val="clear" w:color="auto" w:fill="DEEAF6"/>
            <w:vAlign w:val="center"/>
          </w:tcPr>
          <w:p w14:paraId="632B932B" w14:textId="77777777" w:rsidR="00493C86" w:rsidRPr="00493C86" w:rsidRDefault="00493C86" w:rsidP="00493C86">
            <w:pPr>
              <w:ind w:firstLine="0"/>
              <w:jc w:val="right"/>
              <w:rPr>
                <w:rFonts w:eastAsia="Calibri" w:cs="Times New Roman"/>
                <w:sz w:val="18"/>
                <w:szCs w:val="18"/>
              </w:rPr>
            </w:pPr>
            <w:r w:rsidRPr="00493C86">
              <w:rPr>
                <w:rFonts w:eastAsia="Calibri" w:cs="Times New Roman"/>
                <w:sz w:val="18"/>
                <w:szCs w:val="18"/>
              </w:rPr>
              <w:t>0,0</w:t>
            </w:r>
          </w:p>
        </w:tc>
        <w:tc>
          <w:tcPr>
            <w:tcW w:w="874" w:type="dxa"/>
            <w:shd w:val="clear" w:color="auto" w:fill="DEEAF6"/>
            <w:vAlign w:val="center"/>
          </w:tcPr>
          <w:p w14:paraId="19B9C891"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0,0</w:t>
            </w:r>
          </w:p>
        </w:tc>
      </w:tr>
      <w:tr w:rsidR="00493C86" w:rsidRPr="00493C86" w14:paraId="2A6F100C" w14:textId="77777777" w:rsidTr="00720F17">
        <w:trPr>
          <w:trHeight w:val="249"/>
          <w:jc w:val="center"/>
        </w:trPr>
        <w:tc>
          <w:tcPr>
            <w:tcW w:w="2689" w:type="dxa"/>
          </w:tcPr>
          <w:p w14:paraId="2890CF45" w14:textId="77777777" w:rsidR="00493C86" w:rsidRPr="00493C86" w:rsidRDefault="00493C86" w:rsidP="00493C86">
            <w:pPr>
              <w:ind w:firstLine="0"/>
              <w:rPr>
                <w:rFonts w:eastAsia="Times New Roman" w:cs="Times New Roman"/>
                <w:snapToGrid w:val="0"/>
                <w:sz w:val="20"/>
                <w:szCs w:val="20"/>
              </w:rPr>
            </w:pPr>
            <w:r w:rsidRPr="00493C86">
              <w:rPr>
                <w:rFonts w:eastAsia="Times New Roman" w:cs="Times New Roman"/>
                <w:snapToGrid w:val="0"/>
                <w:sz w:val="20"/>
                <w:szCs w:val="20"/>
              </w:rPr>
              <w:t>Centrālā valdība</w:t>
            </w:r>
          </w:p>
        </w:tc>
        <w:tc>
          <w:tcPr>
            <w:tcW w:w="1134" w:type="dxa"/>
            <w:vAlign w:val="center"/>
          </w:tcPr>
          <w:p w14:paraId="566C53B8" w14:textId="77777777" w:rsidR="00493C86" w:rsidRPr="00493C86" w:rsidRDefault="00493C86" w:rsidP="00493C86">
            <w:pPr>
              <w:ind w:firstLine="0"/>
              <w:jc w:val="center"/>
              <w:rPr>
                <w:rFonts w:eastAsia="Times New Roman" w:cs="Times New Roman"/>
                <w:sz w:val="20"/>
                <w:szCs w:val="20"/>
              </w:rPr>
            </w:pPr>
            <w:r w:rsidRPr="00493C86">
              <w:rPr>
                <w:rFonts w:eastAsia="Times New Roman" w:cs="Times New Roman"/>
                <w:sz w:val="20"/>
                <w:szCs w:val="20"/>
              </w:rPr>
              <w:t>S.1311</w:t>
            </w:r>
          </w:p>
        </w:tc>
        <w:tc>
          <w:tcPr>
            <w:tcW w:w="874" w:type="dxa"/>
            <w:shd w:val="clear" w:color="auto" w:fill="auto"/>
            <w:vAlign w:val="center"/>
          </w:tcPr>
          <w:p w14:paraId="14D4A8E4"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-2,8</w:t>
            </w:r>
          </w:p>
        </w:tc>
        <w:tc>
          <w:tcPr>
            <w:tcW w:w="874" w:type="dxa"/>
            <w:shd w:val="clear" w:color="auto" w:fill="auto"/>
            <w:vAlign w:val="bottom"/>
          </w:tcPr>
          <w:p w14:paraId="3D5FEDA6"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-3,5</w:t>
            </w:r>
          </w:p>
        </w:tc>
        <w:tc>
          <w:tcPr>
            <w:tcW w:w="874" w:type="dxa"/>
            <w:shd w:val="clear" w:color="auto" w:fill="auto"/>
            <w:vAlign w:val="center"/>
          </w:tcPr>
          <w:p w14:paraId="242CC356"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-3,3</w:t>
            </w:r>
          </w:p>
        </w:tc>
        <w:tc>
          <w:tcPr>
            <w:tcW w:w="874" w:type="dxa"/>
            <w:shd w:val="clear" w:color="auto" w:fill="auto"/>
            <w:vAlign w:val="center"/>
          </w:tcPr>
          <w:p w14:paraId="644E7F66"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-2,7</w:t>
            </w:r>
          </w:p>
        </w:tc>
        <w:tc>
          <w:tcPr>
            <w:tcW w:w="874" w:type="dxa"/>
            <w:vAlign w:val="center"/>
          </w:tcPr>
          <w:p w14:paraId="327A5EFF"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-2,4</w:t>
            </w:r>
          </w:p>
        </w:tc>
        <w:tc>
          <w:tcPr>
            <w:tcW w:w="874" w:type="dxa"/>
            <w:shd w:val="clear" w:color="auto" w:fill="auto"/>
            <w:vAlign w:val="center"/>
          </w:tcPr>
          <w:p w14:paraId="1B9B288B"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-2,1</w:t>
            </w:r>
          </w:p>
        </w:tc>
      </w:tr>
      <w:tr w:rsidR="00493C86" w:rsidRPr="00493C86" w14:paraId="69C60202" w14:textId="77777777" w:rsidTr="00493C86">
        <w:trPr>
          <w:trHeight w:val="214"/>
          <w:jc w:val="center"/>
        </w:trPr>
        <w:tc>
          <w:tcPr>
            <w:tcW w:w="2689" w:type="dxa"/>
            <w:shd w:val="clear" w:color="auto" w:fill="DEEAF6"/>
          </w:tcPr>
          <w:p w14:paraId="01C77501" w14:textId="77777777" w:rsidR="00493C86" w:rsidRPr="00493C86" w:rsidRDefault="00493C86" w:rsidP="00493C86">
            <w:pPr>
              <w:ind w:firstLine="0"/>
              <w:jc w:val="right"/>
              <w:rPr>
                <w:rFonts w:eastAsia="Times New Roman" w:cs="Times New Roman"/>
                <w:snapToGrid w:val="0"/>
                <w:sz w:val="18"/>
                <w:szCs w:val="18"/>
              </w:rPr>
            </w:pPr>
            <w:r w:rsidRPr="00493C86">
              <w:rPr>
                <w:rFonts w:eastAsia="Times New Roman" w:cs="Times New Roman"/>
                <w:snapToGrid w:val="0"/>
                <w:sz w:val="18"/>
                <w:szCs w:val="18"/>
              </w:rPr>
              <w:t>t.sk. komersanti</w:t>
            </w:r>
          </w:p>
        </w:tc>
        <w:tc>
          <w:tcPr>
            <w:tcW w:w="1134" w:type="dxa"/>
            <w:shd w:val="clear" w:color="auto" w:fill="DEEAF6"/>
            <w:vAlign w:val="center"/>
          </w:tcPr>
          <w:p w14:paraId="5BE05644" w14:textId="77777777" w:rsidR="00493C86" w:rsidRPr="00493C86" w:rsidRDefault="00493C86" w:rsidP="00493C86">
            <w:pPr>
              <w:ind w:firstLine="0"/>
              <w:jc w:val="right"/>
              <w:rPr>
                <w:rFonts w:eastAsia="Times New Roman" w:cs="Times New Roman"/>
                <w:sz w:val="18"/>
                <w:szCs w:val="18"/>
              </w:rPr>
            </w:pPr>
          </w:p>
        </w:tc>
        <w:tc>
          <w:tcPr>
            <w:tcW w:w="874" w:type="dxa"/>
            <w:shd w:val="clear" w:color="auto" w:fill="DEEAF6"/>
            <w:vAlign w:val="center"/>
          </w:tcPr>
          <w:p w14:paraId="485A63AB"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-0,3</w:t>
            </w:r>
          </w:p>
        </w:tc>
        <w:tc>
          <w:tcPr>
            <w:tcW w:w="874" w:type="dxa"/>
            <w:shd w:val="clear" w:color="auto" w:fill="DEEAF6"/>
            <w:vAlign w:val="center"/>
          </w:tcPr>
          <w:p w14:paraId="4EAE765B"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-0,3</w:t>
            </w:r>
          </w:p>
        </w:tc>
        <w:tc>
          <w:tcPr>
            <w:tcW w:w="874" w:type="dxa"/>
            <w:shd w:val="clear" w:color="auto" w:fill="DEEAF6"/>
            <w:vAlign w:val="center"/>
          </w:tcPr>
          <w:p w14:paraId="15FF55BB"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-0,1</w:t>
            </w:r>
          </w:p>
        </w:tc>
        <w:tc>
          <w:tcPr>
            <w:tcW w:w="874" w:type="dxa"/>
            <w:shd w:val="clear" w:color="auto" w:fill="DEEAF6"/>
            <w:vAlign w:val="center"/>
          </w:tcPr>
          <w:p w14:paraId="7F88A425"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0,0</w:t>
            </w:r>
          </w:p>
        </w:tc>
        <w:tc>
          <w:tcPr>
            <w:tcW w:w="874" w:type="dxa"/>
            <w:shd w:val="clear" w:color="auto" w:fill="DEEAF6"/>
            <w:vAlign w:val="center"/>
          </w:tcPr>
          <w:p w14:paraId="380E2F01" w14:textId="77777777" w:rsidR="00493C86" w:rsidRPr="00493C86" w:rsidRDefault="00493C86" w:rsidP="00493C86">
            <w:pPr>
              <w:ind w:firstLine="0"/>
              <w:jc w:val="right"/>
              <w:rPr>
                <w:rFonts w:eastAsia="Calibri" w:cs="Times New Roman"/>
                <w:sz w:val="18"/>
                <w:szCs w:val="18"/>
              </w:rPr>
            </w:pPr>
            <w:r w:rsidRPr="00493C86">
              <w:rPr>
                <w:rFonts w:eastAsia="Calibri" w:cs="Times New Roman"/>
                <w:sz w:val="18"/>
                <w:szCs w:val="18"/>
              </w:rPr>
              <w:t>0,0</w:t>
            </w:r>
          </w:p>
        </w:tc>
        <w:tc>
          <w:tcPr>
            <w:tcW w:w="874" w:type="dxa"/>
            <w:shd w:val="clear" w:color="auto" w:fill="DEEAF6"/>
            <w:vAlign w:val="center"/>
          </w:tcPr>
          <w:p w14:paraId="132E141B"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0,0</w:t>
            </w:r>
          </w:p>
        </w:tc>
      </w:tr>
      <w:tr w:rsidR="00493C86" w:rsidRPr="00493C86" w14:paraId="548FE190" w14:textId="77777777" w:rsidTr="00720F17">
        <w:trPr>
          <w:trHeight w:val="249"/>
          <w:jc w:val="center"/>
        </w:trPr>
        <w:tc>
          <w:tcPr>
            <w:tcW w:w="2689" w:type="dxa"/>
          </w:tcPr>
          <w:p w14:paraId="6C47FB63" w14:textId="77777777" w:rsidR="00493C86" w:rsidRPr="00493C86" w:rsidRDefault="00493C86" w:rsidP="00493C86">
            <w:pPr>
              <w:ind w:firstLine="0"/>
              <w:rPr>
                <w:rFonts w:eastAsia="Times New Roman" w:cs="Times New Roman"/>
                <w:snapToGrid w:val="0"/>
                <w:sz w:val="20"/>
                <w:szCs w:val="20"/>
              </w:rPr>
            </w:pPr>
            <w:r w:rsidRPr="00493C86">
              <w:rPr>
                <w:rFonts w:eastAsia="Times New Roman" w:cs="Times New Roman"/>
                <w:snapToGrid w:val="0"/>
                <w:sz w:val="20"/>
                <w:szCs w:val="20"/>
              </w:rPr>
              <w:t>Vietējā valdība</w:t>
            </w:r>
          </w:p>
        </w:tc>
        <w:tc>
          <w:tcPr>
            <w:tcW w:w="1134" w:type="dxa"/>
            <w:vAlign w:val="center"/>
          </w:tcPr>
          <w:p w14:paraId="2083FE0D" w14:textId="77777777" w:rsidR="00493C86" w:rsidRPr="00493C86" w:rsidRDefault="00493C86" w:rsidP="00493C86">
            <w:pPr>
              <w:ind w:firstLine="0"/>
              <w:jc w:val="center"/>
              <w:rPr>
                <w:rFonts w:eastAsia="Times New Roman" w:cs="Times New Roman"/>
                <w:sz w:val="20"/>
                <w:szCs w:val="20"/>
              </w:rPr>
            </w:pPr>
            <w:r w:rsidRPr="00493C86">
              <w:rPr>
                <w:rFonts w:eastAsia="Times New Roman" w:cs="Times New Roman"/>
                <w:sz w:val="20"/>
                <w:szCs w:val="20"/>
              </w:rPr>
              <w:t>S.1313</w:t>
            </w:r>
          </w:p>
        </w:tc>
        <w:tc>
          <w:tcPr>
            <w:tcW w:w="874" w:type="dxa"/>
            <w:shd w:val="clear" w:color="auto" w:fill="auto"/>
            <w:vAlign w:val="center"/>
          </w:tcPr>
          <w:p w14:paraId="02B60095"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-0,3</w:t>
            </w:r>
          </w:p>
        </w:tc>
        <w:tc>
          <w:tcPr>
            <w:tcW w:w="874" w:type="dxa"/>
            <w:shd w:val="clear" w:color="auto" w:fill="auto"/>
            <w:vAlign w:val="bottom"/>
          </w:tcPr>
          <w:p w14:paraId="1B410F06"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-0,1</w:t>
            </w:r>
          </w:p>
        </w:tc>
        <w:tc>
          <w:tcPr>
            <w:tcW w:w="874" w:type="dxa"/>
            <w:shd w:val="clear" w:color="auto" w:fill="auto"/>
            <w:vAlign w:val="center"/>
          </w:tcPr>
          <w:p w14:paraId="29EA2A2E"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-0,1</w:t>
            </w:r>
          </w:p>
        </w:tc>
        <w:tc>
          <w:tcPr>
            <w:tcW w:w="874" w:type="dxa"/>
            <w:shd w:val="clear" w:color="auto" w:fill="auto"/>
            <w:vAlign w:val="center"/>
          </w:tcPr>
          <w:p w14:paraId="1760FEC1"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0,0</w:t>
            </w:r>
          </w:p>
        </w:tc>
        <w:tc>
          <w:tcPr>
            <w:tcW w:w="874" w:type="dxa"/>
            <w:vAlign w:val="center"/>
          </w:tcPr>
          <w:p w14:paraId="7F19F5FF"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-0,1</w:t>
            </w:r>
          </w:p>
        </w:tc>
        <w:tc>
          <w:tcPr>
            <w:tcW w:w="874" w:type="dxa"/>
            <w:shd w:val="clear" w:color="auto" w:fill="auto"/>
            <w:vAlign w:val="center"/>
          </w:tcPr>
          <w:p w14:paraId="21FF2735"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0,0</w:t>
            </w:r>
          </w:p>
        </w:tc>
      </w:tr>
      <w:tr w:rsidR="00493C86" w:rsidRPr="00493C86" w14:paraId="0E4EE423" w14:textId="77777777" w:rsidTr="00493C86">
        <w:trPr>
          <w:trHeight w:val="214"/>
          <w:jc w:val="center"/>
        </w:trPr>
        <w:tc>
          <w:tcPr>
            <w:tcW w:w="2689" w:type="dxa"/>
            <w:shd w:val="clear" w:color="auto" w:fill="DEEAF6"/>
          </w:tcPr>
          <w:p w14:paraId="2ECD2BD4" w14:textId="77777777" w:rsidR="00493C86" w:rsidRPr="00493C86" w:rsidRDefault="00493C86" w:rsidP="00493C86">
            <w:pPr>
              <w:ind w:firstLine="0"/>
              <w:jc w:val="right"/>
              <w:rPr>
                <w:rFonts w:eastAsia="Times New Roman" w:cs="Times New Roman"/>
                <w:snapToGrid w:val="0"/>
                <w:sz w:val="18"/>
                <w:szCs w:val="18"/>
              </w:rPr>
            </w:pPr>
            <w:r w:rsidRPr="00493C86">
              <w:rPr>
                <w:rFonts w:eastAsia="Times New Roman" w:cs="Times New Roman"/>
                <w:snapToGrid w:val="0"/>
                <w:sz w:val="18"/>
                <w:szCs w:val="18"/>
              </w:rPr>
              <w:t>t.sk. komersanti</w:t>
            </w:r>
          </w:p>
        </w:tc>
        <w:tc>
          <w:tcPr>
            <w:tcW w:w="1134" w:type="dxa"/>
            <w:shd w:val="clear" w:color="auto" w:fill="DEEAF6"/>
            <w:vAlign w:val="center"/>
          </w:tcPr>
          <w:p w14:paraId="101727AE" w14:textId="77777777" w:rsidR="00493C86" w:rsidRPr="00493C86" w:rsidRDefault="00493C86" w:rsidP="00493C86">
            <w:pPr>
              <w:ind w:firstLine="0"/>
              <w:jc w:val="right"/>
              <w:rPr>
                <w:rFonts w:eastAsia="Times New Roman" w:cs="Times New Roman"/>
                <w:sz w:val="18"/>
                <w:szCs w:val="18"/>
              </w:rPr>
            </w:pPr>
          </w:p>
        </w:tc>
        <w:tc>
          <w:tcPr>
            <w:tcW w:w="874" w:type="dxa"/>
            <w:shd w:val="clear" w:color="auto" w:fill="DEEAF6"/>
            <w:vAlign w:val="center"/>
          </w:tcPr>
          <w:p w14:paraId="6359F282"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0,0</w:t>
            </w:r>
          </w:p>
        </w:tc>
        <w:tc>
          <w:tcPr>
            <w:tcW w:w="874" w:type="dxa"/>
            <w:shd w:val="clear" w:color="auto" w:fill="DEEAF6"/>
            <w:vAlign w:val="center"/>
          </w:tcPr>
          <w:p w14:paraId="0CB95D31"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0,0</w:t>
            </w:r>
          </w:p>
        </w:tc>
        <w:tc>
          <w:tcPr>
            <w:tcW w:w="874" w:type="dxa"/>
            <w:shd w:val="clear" w:color="auto" w:fill="DEEAF6"/>
            <w:vAlign w:val="center"/>
          </w:tcPr>
          <w:p w14:paraId="3E38CCDC"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0,0</w:t>
            </w:r>
          </w:p>
        </w:tc>
        <w:tc>
          <w:tcPr>
            <w:tcW w:w="874" w:type="dxa"/>
            <w:shd w:val="clear" w:color="auto" w:fill="DEEAF6"/>
            <w:vAlign w:val="center"/>
          </w:tcPr>
          <w:p w14:paraId="2417E645"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0,0</w:t>
            </w:r>
          </w:p>
        </w:tc>
        <w:tc>
          <w:tcPr>
            <w:tcW w:w="874" w:type="dxa"/>
            <w:shd w:val="clear" w:color="auto" w:fill="DEEAF6"/>
            <w:vAlign w:val="center"/>
          </w:tcPr>
          <w:p w14:paraId="43E9B072" w14:textId="77777777" w:rsidR="00493C86" w:rsidRPr="00493C86" w:rsidRDefault="00493C86" w:rsidP="00493C86">
            <w:pPr>
              <w:ind w:firstLine="0"/>
              <w:jc w:val="right"/>
              <w:rPr>
                <w:rFonts w:eastAsia="Calibri" w:cs="Times New Roman"/>
                <w:sz w:val="18"/>
                <w:szCs w:val="18"/>
              </w:rPr>
            </w:pPr>
            <w:r w:rsidRPr="00493C86">
              <w:rPr>
                <w:rFonts w:eastAsia="Calibri" w:cs="Times New Roman"/>
                <w:sz w:val="18"/>
                <w:szCs w:val="18"/>
              </w:rPr>
              <w:t>0,0</w:t>
            </w:r>
          </w:p>
        </w:tc>
        <w:tc>
          <w:tcPr>
            <w:tcW w:w="874" w:type="dxa"/>
            <w:shd w:val="clear" w:color="auto" w:fill="DEEAF6"/>
            <w:vAlign w:val="center"/>
          </w:tcPr>
          <w:p w14:paraId="7722D4E9" w14:textId="77777777" w:rsidR="00493C86" w:rsidRPr="00493C86" w:rsidRDefault="00493C86" w:rsidP="00493C86">
            <w:pPr>
              <w:ind w:firstLine="0"/>
              <w:jc w:val="right"/>
              <w:rPr>
                <w:rFonts w:eastAsia="Times New Roman" w:cs="Times New Roman"/>
                <w:sz w:val="18"/>
                <w:szCs w:val="18"/>
              </w:rPr>
            </w:pPr>
            <w:r w:rsidRPr="00493C86">
              <w:rPr>
                <w:rFonts w:eastAsia="Calibri" w:cs="Times New Roman"/>
                <w:sz w:val="18"/>
                <w:szCs w:val="18"/>
              </w:rPr>
              <w:t>0,0</w:t>
            </w:r>
          </w:p>
        </w:tc>
      </w:tr>
      <w:tr w:rsidR="00493C86" w:rsidRPr="00493C86" w14:paraId="3B17A498" w14:textId="77777777" w:rsidTr="00720F17">
        <w:trPr>
          <w:trHeight w:val="258"/>
          <w:jc w:val="center"/>
        </w:trPr>
        <w:tc>
          <w:tcPr>
            <w:tcW w:w="2689" w:type="dxa"/>
          </w:tcPr>
          <w:p w14:paraId="0392BF00" w14:textId="77777777" w:rsidR="00493C86" w:rsidRPr="00493C86" w:rsidRDefault="00493C86" w:rsidP="00493C86">
            <w:pPr>
              <w:ind w:firstLine="0"/>
              <w:jc w:val="left"/>
              <w:rPr>
                <w:rFonts w:eastAsia="Times New Roman" w:cs="Times New Roman"/>
                <w:snapToGrid w:val="0"/>
                <w:sz w:val="20"/>
                <w:szCs w:val="20"/>
              </w:rPr>
            </w:pPr>
            <w:r w:rsidRPr="00493C86">
              <w:rPr>
                <w:rFonts w:eastAsia="Times New Roman" w:cs="Times New Roman"/>
                <w:snapToGrid w:val="0"/>
                <w:sz w:val="20"/>
                <w:szCs w:val="20"/>
              </w:rPr>
              <w:t>Sociālās nodrošināšanas fondi</w:t>
            </w:r>
          </w:p>
        </w:tc>
        <w:tc>
          <w:tcPr>
            <w:tcW w:w="1134" w:type="dxa"/>
            <w:vAlign w:val="center"/>
          </w:tcPr>
          <w:p w14:paraId="2FB623E4" w14:textId="77777777" w:rsidR="00493C86" w:rsidRPr="00493C86" w:rsidRDefault="00493C86" w:rsidP="00493C86">
            <w:pPr>
              <w:ind w:firstLine="0"/>
              <w:jc w:val="center"/>
              <w:rPr>
                <w:rFonts w:eastAsia="Times New Roman" w:cs="Times New Roman"/>
                <w:sz w:val="20"/>
                <w:szCs w:val="20"/>
              </w:rPr>
            </w:pPr>
            <w:r w:rsidRPr="00493C86">
              <w:rPr>
                <w:rFonts w:eastAsia="Times New Roman" w:cs="Times New Roman"/>
                <w:sz w:val="20"/>
                <w:szCs w:val="20"/>
              </w:rPr>
              <w:t>S.1314</w:t>
            </w:r>
          </w:p>
        </w:tc>
        <w:tc>
          <w:tcPr>
            <w:tcW w:w="874" w:type="dxa"/>
            <w:shd w:val="clear" w:color="auto" w:fill="auto"/>
            <w:vAlign w:val="center"/>
          </w:tcPr>
          <w:p w14:paraId="798BA0D7"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0,8</w:t>
            </w:r>
          </w:p>
        </w:tc>
        <w:tc>
          <w:tcPr>
            <w:tcW w:w="874" w:type="dxa"/>
            <w:shd w:val="clear" w:color="auto" w:fill="auto"/>
            <w:vAlign w:val="bottom"/>
          </w:tcPr>
          <w:p w14:paraId="7CA64F17"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0,7</w:t>
            </w:r>
          </w:p>
        </w:tc>
        <w:tc>
          <w:tcPr>
            <w:tcW w:w="874" w:type="dxa"/>
            <w:shd w:val="clear" w:color="auto" w:fill="auto"/>
            <w:vAlign w:val="center"/>
          </w:tcPr>
          <w:p w14:paraId="13351048"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0,7</w:t>
            </w:r>
          </w:p>
        </w:tc>
        <w:tc>
          <w:tcPr>
            <w:tcW w:w="874" w:type="dxa"/>
            <w:shd w:val="clear" w:color="auto" w:fill="auto"/>
            <w:vAlign w:val="center"/>
          </w:tcPr>
          <w:p w14:paraId="75BE556C"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0,6</w:t>
            </w:r>
          </w:p>
        </w:tc>
        <w:tc>
          <w:tcPr>
            <w:tcW w:w="874" w:type="dxa"/>
            <w:vAlign w:val="center"/>
          </w:tcPr>
          <w:p w14:paraId="21E00413"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0,4</w:t>
            </w:r>
          </w:p>
        </w:tc>
        <w:tc>
          <w:tcPr>
            <w:tcW w:w="874" w:type="dxa"/>
            <w:shd w:val="clear" w:color="auto" w:fill="auto"/>
            <w:vAlign w:val="center"/>
          </w:tcPr>
          <w:p w14:paraId="2A091FDA"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0,4</w:t>
            </w:r>
          </w:p>
        </w:tc>
      </w:tr>
      <w:tr w:rsidR="00493C86" w:rsidRPr="00493C86" w14:paraId="75CC9AA7" w14:textId="77777777" w:rsidTr="00493C86">
        <w:trPr>
          <w:trHeight w:val="249"/>
          <w:jc w:val="center"/>
        </w:trPr>
        <w:tc>
          <w:tcPr>
            <w:tcW w:w="9067" w:type="dxa"/>
            <w:gridSpan w:val="8"/>
            <w:shd w:val="clear" w:color="auto" w:fill="BDD6EE"/>
            <w:vAlign w:val="center"/>
          </w:tcPr>
          <w:p w14:paraId="1512301E" w14:textId="77777777" w:rsidR="00493C86" w:rsidRPr="00493C86" w:rsidRDefault="00493C86" w:rsidP="00493C86">
            <w:pPr>
              <w:ind w:firstLine="0"/>
              <w:jc w:val="center"/>
              <w:rPr>
                <w:rFonts w:eastAsia="Times New Roman" w:cs="Times New Roman"/>
                <w:b/>
                <w:sz w:val="20"/>
                <w:szCs w:val="20"/>
              </w:rPr>
            </w:pPr>
            <w:r w:rsidRPr="00493C86">
              <w:rPr>
                <w:rFonts w:eastAsia="Times New Roman" w:cs="Times New Roman"/>
                <w:b/>
                <w:sz w:val="20"/>
                <w:szCs w:val="20"/>
              </w:rPr>
              <w:t>Vispārējā valdība (S.13)</w:t>
            </w:r>
          </w:p>
        </w:tc>
      </w:tr>
      <w:tr w:rsidR="00493C86" w:rsidRPr="00493C86" w14:paraId="33330582" w14:textId="77777777" w:rsidTr="00720F17">
        <w:trPr>
          <w:trHeight w:val="249"/>
          <w:jc w:val="center"/>
        </w:trPr>
        <w:tc>
          <w:tcPr>
            <w:tcW w:w="2689" w:type="dxa"/>
          </w:tcPr>
          <w:p w14:paraId="4555FBDE" w14:textId="77777777" w:rsidR="00493C86" w:rsidRPr="00493C86" w:rsidRDefault="00493C86" w:rsidP="00493C86">
            <w:pPr>
              <w:ind w:firstLine="0"/>
              <w:rPr>
                <w:rFonts w:eastAsia="Times New Roman" w:cs="Times New Roman"/>
                <w:snapToGrid w:val="0"/>
                <w:sz w:val="20"/>
                <w:szCs w:val="20"/>
              </w:rPr>
            </w:pPr>
            <w:r w:rsidRPr="00493C86">
              <w:rPr>
                <w:rFonts w:eastAsia="Times New Roman" w:cs="Times New Roman"/>
                <w:snapToGrid w:val="0"/>
                <w:sz w:val="20"/>
                <w:szCs w:val="20"/>
              </w:rPr>
              <w:t xml:space="preserve">Kopējie ieņēmumi </w:t>
            </w:r>
          </w:p>
        </w:tc>
        <w:tc>
          <w:tcPr>
            <w:tcW w:w="1134" w:type="dxa"/>
            <w:shd w:val="clear" w:color="auto" w:fill="auto"/>
            <w:vAlign w:val="center"/>
          </w:tcPr>
          <w:p w14:paraId="0EAC4F97" w14:textId="77777777" w:rsidR="00493C86" w:rsidRPr="00493C86" w:rsidRDefault="00493C86" w:rsidP="00493C86">
            <w:pPr>
              <w:ind w:firstLine="0"/>
              <w:jc w:val="center"/>
              <w:rPr>
                <w:rFonts w:eastAsia="Times New Roman" w:cs="Times New Roman"/>
                <w:sz w:val="20"/>
                <w:szCs w:val="20"/>
              </w:rPr>
            </w:pPr>
            <w:r w:rsidRPr="00493C86">
              <w:rPr>
                <w:rFonts w:eastAsia="Times New Roman" w:cs="Times New Roman"/>
                <w:sz w:val="20"/>
                <w:szCs w:val="20"/>
              </w:rPr>
              <w:t>TR</w:t>
            </w:r>
          </w:p>
        </w:tc>
        <w:tc>
          <w:tcPr>
            <w:tcW w:w="874" w:type="dxa"/>
            <w:shd w:val="clear" w:color="auto" w:fill="auto"/>
            <w:vAlign w:val="center"/>
          </w:tcPr>
          <w:p w14:paraId="03760277"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39,5</w:t>
            </w:r>
          </w:p>
        </w:tc>
        <w:tc>
          <w:tcPr>
            <w:tcW w:w="874" w:type="dxa"/>
            <w:shd w:val="clear" w:color="auto" w:fill="auto"/>
            <w:vAlign w:val="center"/>
          </w:tcPr>
          <w:p w14:paraId="614941F5"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41,3</w:t>
            </w:r>
          </w:p>
        </w:tc>
        <w:tc>
          <w:tcPr>
            <w:tcW w:w="874" w:type="dxa"/>
            <w:shd w:val="clear" w:color="auto" w:fill="auto"/>
            <w:vAlign w:val="center"/>
          </w:tcPr>
          <w:p w14:paraId="52742CB8"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40,3</w:t>
            </w:r>
          </w:p>
        </w:tc>
        <w:tc>
          <w:tcPr>
            <w:tcW w:w="874" w:type="dxa"/>
            <w:shd w:val="clear" w:color="auto" w:fill="auto"/>
            <w:vAlign w:val="center"/>
          </w:tcPr>
          <w:p w14:paraId="4DE46B14"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39,8</w:t>
            </w:r>
          </w:p>
        </w:tc>
        <w:tc>
          <w:tcPr>
            <w:tcW w:w="874" w:type="dxa"/>
            <w:vAlign w:val="center"/>
          </w:tcPr>
          <w:p w14:paraId="4EECCF1B"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38,9</w:t>
            </w:r>
          </w:p>
        </w:tc>
        <w:tc>
          <w:tcPr>
            <w:tcW w:w="874" w:type="dxa"/>
            <w:shd w:val="clear" w:color="auto" w:fill="auto"/>
            <w:vAlign w:val="center"/>
          </w:tcPr>
          <w:p w14:paraId="6DD22DC6"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38,2</w:t>
            </w:r>
          </w:p>
        </w:tc>
      </w:tr>
      <w:tr w:rsidR="00493C86" w:rsidRPr="00493C86" w14:paraId="53A154DB" w14:textId="77777777" w:rsidTr="00493C86">
        <w:trPr>
          <w:trHeight w:val="163"/>
          <w:jc w:val="center"/>
        </w:trPr>
        <w:tc>
          <w:tcPr>
            <w:tcW w:w="2689" w:type="dxa"/>
            <w:shd w:val="clear" w:color="auto" w:fill="DEEAF6"/>
          </w:tcPr>
          <w:p w14:paraId="47671A60" w14:textId="77777777" w:rsidR="00493C86" w:rsidRPr="00493C86" w:rsidRDefault="00493C86" w:rsidP="00493C86">
            <w:pPr>
              <w:ind w:firstLine="0"/>
              <w:rPr>
                <w:rFonts w:eastAsia="Times New Roman" w:cs="Times New Roman"/>
                <w:snapToGrid w:val="0"/>
                <w:sz w:val="20"/>
                <w:szCs w:val="20"/>
              </w:rPr>
            </w:pPr>
            <w:r w:rsidRPr="00493C86">
              <w:rPr>
                <w:rFonts w:eastAsia="Times New Roman" w:cs="Times New Roman"/>
                <w:snapToGrid w:val="0"/>
                <w:sz w:val="20"/>
                <w:szCs w:val="20"/>
              </w:rPr>
              <w:t>Kopējie izdevumi</w:t>
            </w:r>
          </w:p>
        </w:tc>
        <w:tc>
          <w:tcPr>
            <w:tcW w:w="1134" w:type="dxa"/>
            <w:shd w:val="clear" w:color="auto" w:fill="DEEAF6"/>
            <w:vAlign w:val="center"/>
          </w:tcPr>
          <w:p w14:paraId="596BC005" w14:textId="77777777" w:rsidR="00493C86" w:rsidRPr="00493C86" w:rsidRDefault="00493C86" w:rsidP="00493C86">
            <w:pPr>
              <w:ind w:firstLine="0"/>
              <w:jc w:val="center"/>
              <w:rPr>
                <w:rFonts w:eastAsia="Times New Roman" w:cs="Times New Roman"/>
                <w:sz w:val="20"/>
                <w:szCs w:val="20"/>
              </w:rPr>
            </w:pPr>
            <w:r w:rsidRPr="00493C86">
              <w:rPr>
                <w:rFonts w:eastAsia="Times New Roman" w:cs="Times New Roman"/>
                <w:sz w:val="20"/>
                <w:szCs w:val="20"/>
              </w:rPr>
              <w:t>TE</w:t>
            </w:r>
          </w:p>
        </w:tc>
        <w:tc>
          <w:tcPr>
            <w:tcW w:w="874" w:type="dxa"/>
            <w:shd w:val="clear" w:color="auto" w:fill="DEEAF6"/>
            <w:vAlign w:val="center"/>
          </w:tcPr>
          <w:p w14:paraId="15B27648"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41,8</w:t>
            </w:r>
          </w:p>
        </w:tc>
        <w:tc>
          <w:tcPr>
            <w:tcW w:w="874" w:type="dxa"/>
            <w:shd w:val="clear" w:color="auto" w:fill="DEEAF6"/>
            <w:vAlign w:val="center"/>
          </w:tcPr>
          <w:p w14:paraId="7A70624C"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44,2</w:t>
            </w:r>
          </w:p>
        </w:tc>
        <w:tc>
          <w:tcPr>
            <w:tcW w:w="874" w:type="dxa"/>
            <w:shd w:val="clear" w:color="auto" w:fill="DEEAF6"/>
            <w:vAlign w:val="center"/>
          </w:tcPr>
          <w:p w14:paraId="4477FC03"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43,0</w:t>
            </w:r>
          </w:p>
        </w:tc>
        <w:tc>
          <w:tcPr>
            <w:tcW w:w="874" w:type="dxa"/>
            <w:shd w:val="clear" w:color="auto" w:fill="DEEAF6"/>
            <w:vAlign w:val="center"/>
          </w:tcPr>
          <w:p w14:paraId="4A0BE96A"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42,0</w:t>
            </w:r>
          </w:p>
        </w:tc>
        <w:tc>
          <w:tcPr>
            <w:tcW w:w="874" w:type="dxa"/>
            <w:shd w:val="clear" w:color="auto" w:fill="DEEAF6"/>
            <w:vAlign w:val="center"/>
          </w:tcPr>
          <w:p w14:paraId="460657AE"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40,9</w:t>
            </w:r>
          </w:p>
        </w:tc>
        <w:tc>
          <w:tcPr>
            <w:tcW w:w="874" w:type="dxa"/>
            <w:shd w:val="clear" w:color="auto" w:fill="DEEAF6"/>
            <w:vAlign w:val="center"/>
          </w:tcPr>
          <w:p w14:paraId="7C5E95AF"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39,9</w:t>
            </w:r>
          </w:p>
        </w:tc>
      </w:tr>
      <w:tr w:rsidR="00493C86" w:rsidRPr="00493C86" w14:paraId="01F03699" w14:textId="77777777" w:rsidTr="00720F17">
        <w:trPr>
          <w:trHeight w:val="71"/>
          <w:jc w:val="center"/>
        </w:trPr>
        <w:tc>
          <w:tcPr>
            <w:tcW w:w="2689" w:type="dxa"/>
          </w:tcPr>
          <w:p w14:paraId="6F41402E" w14:textId="77777777" w:rsidR="00493C86" w:rsidRPr="00493C86" w:rsidRDefault="00493C86" w:rsidP="00493C86">
            <w:pPr>
              <w:ind w:firstLine="0"/>
              <w:rPr>
                <w:rFonts w:eastAsia="Times New Roman" w:cs="Times New Roman"/>
                <w:snapToGrid w:val="0"/>
                <w:sz w:val="20"/>
                <w:szCs w:val="20"/>
              </w:rPr>
            </w:pPr>
            <w:r w:rsidRPr="00493C86">
              <w:rPr>
                <w:rFonts w:eastAsia="Times New Roman" w:cs="Times New Roman"/>
                <w:snapToGrid w:val="0"/>
                <w:sz w:val="20"/>
                <w:szCs w:val="20"/>
              </w:rPr>
              <w:t>Procentu izdevumi</w:t>
            </w:r>
          </w:p>
        </w:tc>
        <w:tc>
          <w:tcPr>
            <w:tcW w:w="1134" w:type="dxa"/>
            <w:vAlign w:val="center"/>
          </w:tcPr>
          <w:p w14:paraId="354810C2" w14:textId="77777777" w:rsidR="00493C86" w:rsidRPr="00493C86" w:rsidRDefault="00493C86" w:rsidP="00493C86">
            <w:pPr>
              <w:ind w:firstLine="0"/>
              <w:jc w:val="center"/>
              <w:rPr>
                <w:rFonts w:eastAsia="Times New Roman" w:cs="Times New Roman"/>
                <w:sz w:val="20"/>
                <w:szCs w:val="20"/>
              </w:rPr>
            </w:pPr>
            <w:r w:rsidRPr="00493C86">
              <w:rPr>
                <w:rFonts w:eastAsia="Times New Roman" w:cs="Times New Roman"/>
                <w:sz w:val="20"/>
                <w:szCs w:val="20"/>
              </w:rPr>
              <w:t>D.41</w:t>
            </w:r>
          </w:p>
        </w:tc>
        <w:tc>
          <w:tcPr>
            <w:tcW w:w="874" w:type="dxa"/>
            <w:shd w:val="clear" w:color="auto" w:fill="auto"/>
            <w:vAlign w:val="center"/>
          </w:tcPr>
          <w:p w14:paraId="28B7B99F"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0,8</w:t>
            </w:r>
          </w:p>
        </w:tc>
        <w:tc>
          <w:tcPr>
            <w:tcW w:w="874" w:type="dxa"/>
            <w:shd w:val="clear" w:color="auto" w:fill="auto"/>
            <w:vAlign w:val="center"/>
          </w:tcPr>
          <w:p w14:paraId="2B58C5C1"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1,0</w:t>
            </w:r>
          </w:p>
        </w:tc>
        <w:tc>
          <w:tcPr>
            <w:tcW w:w="874" w:type="dxa"/>
            <w:shd w:val="clear" w:color="auto" w:fill="auto"/>
            <w:vAlign w:val="center"/>
          </w:tcPr>
          <w:p w14:paraId="07A75169"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1,2</w:t>
            </w:r>
          </w:p>
        </w:tc>
        <w:tc>
          <w:tcPr>
            <w:tcW w:w="874" w:type="dxa"/>
            <w:shd w:val="clear" w:color="auto" w:fill="auto"/>
            <w:vAlign w:val="center"/>
          </w:tcPr>
          <w:p w14:paraId="38EAE9E2"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1,3</w:t>
            </w:r>
          </w:p>
        </w:tc>
        <w:tc>
          <w:tcPr>
            <w:tcW w:w="874" w:type="dxa"/>
            <w:vAlign w:val="center"/>
          </w:tcPr>
          <w:p w14:paraId="271B5A8B"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1,4</w:t>
            </w:r>
          </w:p>
        </w:tc>
        <w:tc>
          <w:tcPr>
            <w:tcW w:w="874" w:type="dxa"/>
            <w:shd w:val="clear" w:color="auto" w:fill="auto"/>
            <w:vAlign w:val="center"/>
          </w:tcPr>
          <w:p w14:paraId="5F6D5F5C"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1,4</w:t>
            </w:r>
          </w:p>
        </w:tc>
      </w:tr>
      <w:tr w:rsidR="00493C86" w:rsidRPr="00493C86" w14:paraId="6A953AA5" w14:textId="77777777" w:rsidTr="00493C86">
        <w:trPr>
          <w:trHeight w:val="249"/>
          <w:jc w:val="center"/>
        </w:trPr>
        <w:tc>
          <w:tcPr>
            <w:tcW w:w="9067" w:type="dxa"/>
            <w:gridSpan w:val="8"/>
            <w:shd w:val="clear" w:color="auto" w:fill="BDD6EE"/>
            <w:vAlign w:val="center"/>
          </w:tcPr>
          <w:p w14:paraId="776B4DD1" w14:textId="77777777" w:rsidR="00493C86" w:rsidRPr="00493C86" w:rsidRDefault="00493C86" w:rsidP="00493C86">
            <w:pPr>
              <w:ind w:firstLine="0"/>
              <w:jc w:val="center"/>
              <w:rPr>
                <w:rFonts w:eastAsia="Times New Roman" w:cs="Times New Roman"/>
                <w:b/>
                <w:sz w:val="20"/>
                <w:szCs w:val="20"/>
              </w:rPr>
            </w:pPr>
            <w:r w:rsidRPr="00493C86">
              <w:rPr>
                <w:rFonts w:eastAsia="Times New Roman" w:cs="Times New Roman"/>
                <w:b/>
                <w:sz w:val="20"/>
                <w:szCs w:val="20"/>
              </w:rPr>
              <w:t>Cikliskā attīstība</w:t>
            </w:r>
          </w:p>
        </w:tc>
      </w:tr>
      <w:tr w:rsidR="00493C86" w:rsidRPr="00493C86" w14:paraId="3D9025DF" w14:textId="77777777" w:rsidTr="00720F17">
        <w:trPr>
          <w:trHeight w:val="249"/>
          <w:jc w:val="center"/>
        </w:trPr>
        <w:tc>
          <w:tcPr>
            <w:tcW w:w="2689" w:type="dxa"/>
            <w:shd w:val="clear" w:color="auto" w:fill="auto"/>
          </w:tcPr>
          <w:p w14:paraId="79F7B61D" w14:textId="77777777" w:rsidR="00493C86" w:rsidRPr="00493C86" w:rsidRDefault="00493C86" w:rsidP="00493C86">
            <w:pPr>
              <w:ind w:firstLine="0"/>
              <w:jc w:val="left"/>
              <w:rPr>
                <w:rFonts w:eastAsia="Times New Roman" w:cs="Times New Roman"/>
                <w:snapToGrid w:val="0"/>
                <w:sz w:val="20"/>
                <w:szCs w:val="20"/>
              </w:rPr>
            </w:pPr>
            <w:r w:rsidRPr="00493C86">
              <w:rPr>
                <w:rFonts w:eastAsia="Times New Roman" w:cs="Times New Roman"/>
                <w:snapToGrid w:val="0"/>
                <w:sz w:val="20"/>
                <w:szCs w:val="20"/>
              </w:rPr>
              <w:t>Budžeta bilances cikliskā komponente</w:t>
            </w:r>
            <w:r w:rsidRPr="00493C86">
              <w:rPr>
                <w:rFonts w:eastAsia="Times New Roman" w:cs="Times New Roman"/>
                <w:snapToGrid w:val="0"/>
                <w:sz w:val="20"/>
                <w:szCs w:val="20"/>
                <w:vertAlign w:val="superscript"/>
              </w:rPr>
              <w:footnoteReference w:id="21"/>
            </w:r>
          </w:p>
        </w:tc>
        <w:tc>
          <w:tcPr>
            <w:tcW w:w="1134" w:type="dxa"/>
            <w:shd w:val="clear" w:color="auto" w:fill="auto"/>
            <w:vAlign w:val="center"/>
          </w:tcPr>
          <w:p w14:paraId="2F125F23" w14:textId="77777777" w:rsidR="00493C86" w:rsidRPr="00493C86" w:rsidRDefault="00493C86" w:rsidP="00493C86">
            <w:pPr>
              <w:ind w:firstLine="0"/>
              <w:rPr>
                <w:rFonts w:eastAsia="Times New Roman" w:cs="Times New Roman"/>
                <w:sz w:val="20"/>
                <w:szCs w:val="20"/>
              </w:rPr>
            </w:pPr>
          </w:p>
        </w:tc>
        <w:tc>
          <w:tcPr>
            <w:tcW w:w="874" w:type="dxa"/>
            <w:shd w:val="clear" w:color="auto" w:fill="auto"/>
            <w:vAlign w:val="center"/>
          </w:tcPr>
          <w:p w14:paraId="6ED88B11"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-0,1</w:t>
            </w:r>
          </w:p>
        </w:tc>
        <w:tc>
          <w:tcPr>
            <w:tcW w:w="874" w:type="dxa"/>
            <w:shd w:val="clear" w:color="auto" w:fill="auto"/>
            <w:vAlign w:val="center"/>
          </w:tcPr>
          <w:p w14:paraId="045C04B7"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-0,4</w:t>
            </w:r>
          </w:p>
        </w:tc>
        <w:tc>
          <w:tcPr>
            <w:tcW w:w="874" w:type="dxa"/>
            <w:shd w:val="clear" w:color="auto" w:fill="auto"/>
            <w:vAlign w:val="center"/>
          </w:tcPr>
          <w:p w14:paraId="592D8592"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-0,1</w:t>
            </w:r>
          </w:p>
        </w:tc>
        <w:tc>
          <w:tcPr>
            <w:tcW w:w="874" w:type="dxa"/>
            <w:shd w:val="clear" w:color="auto" w:fill="auto"/>
            <w:vAlign w:val="center"/>
          </w:tcPr>
          <w:p w14:paraId="426A0882"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0,0</w:t>
            </w:r>
          </w:p>
        </w:tc>
        <w:tc>
          <w:tcPr>
            <w:tcW w:w="874" w:type="dxa"/>
            <w:vAlign w:val="center"/>
          </w:tcPr>
          <w:p w14:paraId="78D52E3A"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0,0</w:t>
            </w:r>
          </w:p>
        </w:tc>
        <w:tc>
          <w:tcPr>
            <w:tcW w:w="874" w:type="dxa"/>
            <w:shd w:val="clear" w:color="auto" w:fill="auto"/>
            <w:vAlign w:val="center"/>
          </w:tcPr>
          <w:p w14:paraId="255B6075"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0,0</w:t>
            </w:r>
          </w:p>
        </w:tc>
      </w:tr>
      <w:tr w:rsidR="00493C86" w:rsidRPr="00493C86" w14:paraId="5E7774FD" w14:textId="77777777" w:rsidTr="00493C86">
        <w:trPr>
          <w:trHeight w:val="249"/>
          <w:jc w:val="center"/>
        </w:trPr>
        <w:tc>
          <w:tcPr>
            <w:tcW w:w="2689" w:type="dxa"/>
            <w:shd w:val="clear" w:color="auto" w:fill="DEEAF6"/>
          </w:tcPr>
          <w:p w14:paraId="5E09ACC8" w14:textId="77777777" w:rsidR="00493C86" w:rsidRPr="00493C86" w:rsidRDefault="00493C86" w:rsidP="00493C86">
            <w:pPr>
              <w:ind w:firstLine="0"/>
              <w:jc w:val="left"/>
              <w:rPr>
                <w:rFonts w:eastAsia="Times New Roman" w:cs="Times New Roman"/>
                <w:snapToGrid w:val="0"/>
                <w:sz w:val="20"/>
                <w:szCs w:val="20"/>
              </w:rPr>
            </w:pPr>
            <w:r w:rsidRPr="00493C86">
              <w:rPr>
                <w:rFonts w:eastAsia="Times New Roman" w:cs="Times New Roman"/>
                <w:snapToGrid w:val="0"/>
                <w:sz w:val="20"/>
                <w:szCs w:val="20"/>
              </w:rPr>
              <w:t>Vienreizējie un citi īslaicīgi pasākumi</w:t>
            </w:r>
          </w:p>
        </w:tc>
        <w:tc>
          <w:tcPr>
            <w:tcW w:w="1134" w:type="dxa"/>
            <w:shd w:val="clear" w:color="auto" w:fill="DEEAF6"/>
            <w:vAlign w:val="center"/>
          </w:tcPr>
          <w:p w14:paraId="34366D84" w14:textId="77777777" w:rsidR="00493C86" w:rsidRPr="00493C86" w:rsidRDefault="00493C86" w:rsidP="00493C86">
            <w:pPr>
              <w:ind w:firstLine="0"/>
              <w:rPr>
                <w:rFonts w:eastAsia="Times New Roman" w:cs="Times New Roman"/>
                <w:sz w:val="20"/>
                <w:szCs w:val="20"/>
              </w:rPr>
            </w:pPr>
          </w:p>
        </w:tc>
        <w:tc>
          <w:tcPr>
            <w:tcW w:w="874" w:type="dxa"/>
            <w:shd w:val="clear" w:color="auto" w:fill="DEEAF6"/>
            <w:vAlign w:val="center"/>
          </w:tcPr>
          <w:p w14:paraId="27143A45"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-2,0</w:t>
            </w:r>
          </w:p>
        </w:tc>
        <w:tc>
          <w:tcPr>
            <w:tcW w:w="874" w:type="dxa"/>
            <w:shd w:val="clear" w:color="auto" w:fill="DEEAF6"/>
            <w:vAlign w:val="center"/>
          </w:tcPr>
          <w:p w14:paraId="4E0C3053"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-1,7</w:t>
            </w:r>
          </w:p>
        </w:tc>
        <w:tc>
          <w:tcPr>
            <w:tcW w:w="874" w:type="dxa"/>
            <w:shd w:val="clear" w:color="auto" w:fill="DEEAF6"/>
            <w:vAlign w:val="center"/>
          </w:tcPr>
          <w:p w14:paraId="44A6B007"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-1,6</w:t>
            </w:r>
          </w:p>
        </w:tc>
        <w:tc>
          <w:tcPr>
            <w:tcW w:w="874" w:type="dxa"/>
            <w:shd w:val="clear" w:color="auto" w:fill="DEEAF6"/>
            <w:vAlign w:val="center"/>
          </w:tcPr>
          <w:p w14:paraId="49BBC825"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-1,6</w:t>
            </w:r>
          </w:p>
        </w:tc>
        <w:tc>
          <w:tcPr>
            <w:tcW w:w="874" w:type="dxa"/>
            <w:shd w:val="clear" w:color="auto" w:fill="DEEAF6"/>
            <w:vAlign w:val="center"/>
          </w:tcPr>
          <w:p w14:paraId="43FA17D8"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-1,5</w:t>
            </w:r>
          </w:p>
        </w:tc>
        <w:tc>
          <w:tcPr>
            <w:tcW w:w="874" w:type="dxa"/>
            <w:shd w:val="clear" w:color="auto" w:fill="DEEAF6"/>
            <w:vAlign w:val="center"/>
          </w:tcPr>
          <w:p w14:paraId="6C71A297"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-1,3</w:t>
            </w:r>
          </w:p>
        </w:tc>
      </w:tr>
      <w:tr w:rsidR="00493C86" w:rsidRPr="00493C86" w14:paraId="52A0865D" w14:textId="77777777" w:rsidTr="00720F17">
        <w:trPr>
          <w:trHeight w:val="249"/>
          <w:jc w:val="center"/>
        </w:trPr>
        <w:tc>
          <w:tcPr>
            <w:tcW w:w="2689" w:type="dxa"/>
            <w:shd w:val="clear" w:color="auto" w:fill="auto"/>
          </w:tcPr>
          <w:p w14:paraId="27CFEAC0" w14:textId="77777777" w:rsidR="00493C86" w:rsidRPr="00493C86" w:rsidRDefault="00493C86" w:rsidP="00493C86">
            <w:pPr>
              <w:ind w:firstLine="0"/>
              <w:jc w:val="left"/>
              <w:rPr>
                <w:rFonts w:eastAsia="Times New Roman" w:cs="Times New Roman"/>
                <w:snapToGrid w:val="0"/>
                <w:sz w:val="20"/>
                <w:szCs w:val="20"/>
              </w:rPr>
            </w:pPr>
            <w:r w:rsidRPr="00493C86">
              <w:rPr>
                <w:rFonts w:eastAsia="Times New Roman" w:cs="Times New Roman"/>
                <w:snapToGrid w:val="0"/>
                <w:sz w:val="20"/>
                <w:szCs w:val="20"/>
              </w:rPr>
              <w:lastRenderedPageBreak/>
              <w:t>Cikliski koriģētā bilance</w:t>
            </w:r>
          </w:p>
        </w:tc>
        <w:tc>
          <w:tcPr>
            <w:tcW w:w="1134" w:type="dxa"/>
            <w:shd w:val="clear" w:color="auto" w:fill="auto"/>
            <w:vAlign w:val="center"/>
          </w:tcPr>
          <w:p w14:paraId="6E6D7D3F" w14:textId="77777777" w:rsidR="00493C86" w:rsidRPr="00493C86" w:rsidRDefault="00493C86" w:rsidP="00493C86">
            <w:pPr>
              <w:ind w:firstLine="0"/>
              <w:rPr>
                <w:rFonts w:eastAsia="Times New Roman" w:cs="Times New Roman"/>
                <w:sz w:val="20"/>
                <w:szCs w:val="20"/>
              </w:rPr>
            </w:pPr>
          </w:p>
        </w:tc>
        <w:tc>
          <w:tcPr>
            <w:tcW w:w="874" w:type="dxa"/>
            <w:shd w:val="clear" w:color="auto" w:fill="auto"/>
            <w:vAlign w:val="center"/>
          </w:tcPr>
          <w:p w14:paraId="796ACE3F"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-2,1</w:t>
            </w:r>
          </w:p>
        </w:tc>
        <w:tc>
          <w:tcPr>
            <w:tcW w:w="874" w:type="dxa"/>
            <w:shd w:val="clear" w:color="auto" w:fill="auto"/>
            <w:vAlign w:val="center"/>
          </w:tcPr>
          <w:p w14:paraId="11774A8A"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-2,5</w:t>
            </w:r>
          </w:p>
        </w:tc>
        <w:tc>
          <w:tcPr>
            <w:tcW w:w="874" w:type="dxa"/>
            <w:shd w:val="clear" w:color="auto" w:fill="auto"/>
            <w:vAlign w:val="center"/>
          </w:tcPr>
          <w:p w14:paraId="28734928"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-2,6</w:t>
            </w:r>
          </w:p>
        </w:tc>
        <w:tc>
          <w:tcPr>
            <w:tcW w:w="874" w:type="dxa"/>
            <w:shd w:val="clear" w:color="auto" w:fill="auto"/>
            <w:vAlign w:val="center"/>
          </w:tcPr>
          <w:p w14:paraId="69CA3FC5"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-2,2</w:t>
            </w:r>
          </w:p>
        </w:tc>
        <w:tc>
          <w:tcPr>
            <w:tcW w:w="874" w:type="dxa"/>
            <w:vAlign w:val="center"/>
          </w:tcPr>
          <w:p w14:paraId="0EFD6A45"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-2,0</w:t>
            </w:r>
          </w:p>
        </w:tc>
        <w:tc>
          <w:tcPr>
            <w:tcW w:w="874" w:type="dxa"/>
            <w:shd w:val="clear" w:color="auto" w:fill="auto"/>
            <w:vAlign w:val="center"/>
          </w:tcPr>
          <w:p w14:paraId="2AE29CA7"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-1,7</w:t>
            </w:r>
          </w:p>
        </w:tc>
      </w:tr>
      <w:tr w:rsidR="00493C86" w:rsidRPr="00493C86" w14:paraId="3925D99F" w14:textId="77777777" w:rsidTr="00493C86">
        <w:trPr>
          <w:trHeight w:val="163"/>
          <w:jc w:val="center"/>
        </w:trPr>
        <w:tc>
          <w:tcPr>
            <w:tcW w:w="2689" w:type="dxa"/>
            <w:shd w:val="clear" w:color="auto" w:fill="DEEAF6"/>
          </w:tcPr>
          <w:p w14:paraId="734F7380" w14:textId="77777777" w:rsidR="00493C86" w:rsidRPr="00493C86" w:rsidRDefault="00493C86" w:rsidP="00493C86">
            <w:pPr>
              <w:ind w:firstLine="0"/>
              <w:jc w:val="left"/>
              <w:rPr>
                <w:rFonts w:eastAsia="Times New Roman" w:cs="Times New Roman"/>
                <w:snapToGrid w:val="0"/>
                <w:sz w:val="20"/>
                <w:szCs w:val="20"/>
              </w:rPr>
            </w:pPr>
            <w:r w:rsidRPr="00493C86">
              <w:rPr>
                <w:rFonts w:eastAsia="Times New Roman" w:cs="Times New Roman"/>
                <w:snapToGrid w:val="0"/>
                <w:sz w:val="20"/>
                <w:szCs w:val="20"/>
              </w:rPr>
              <w:t>Cikliski koriģētā primārā bilance</w:t>
            </w:r>
          </w:p>
        </w:tc>
        <w:tc>
          <w:tcPr>
            <w:tcW w:w="1134" w:type="dxa"/>
            <w:shd w:val="clear" w:color="auto" w:fill="DEEAF6"/>
            <w:vAlign w:val="center"/>
          </w:tcPr>
          <w:p w14:paraId="4A0EEDE9" w14:textId="77777777" w:rsidR="00493C86" w:rsidRPr="00493C86" w:rsidRDefault="00493C86" w:rsidP="00493C86">
            <w:pPr>
              <w:ind w:firstLine="0"/>
              <w:rPr>
                <w:rFonts w:eastAsia="Times New Roman" w:cs="Times New Roman"/>
                <w:sz w:val="20"/>
                <w:szCs w:val="20"/>
              </w:rPr>
            </w:pPr>
          </w:p>
        </w:tc>
        <w:tc>
          <w:tcPr>
            <w:tcW w:w="874" w:type="dxa"/>
            <w:shd w:val="clear" w:color="auto" w:fill="DEEAF6"/>
            <w:vAlign w:val="center"/>
          </w:tcPr>
          <w:p w14:paraId="39C9D997"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-1,3</w:t>
            </w:r>
          </w:p>
        </w:tc>
        <w:tc>
          <w:tcPr>
            <w:tcW w:w="874" w:type="dxa"/>
            <w:shd w:val="clear" w:color="auto" w:fill="DEEAF6"/>
            <w:vAlign w:val="center"/>
          </w:tcPr>
          <w:p w14:paraId="0FAD3672"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-1,4</w:t>
            </w:r>
          </w:p>
        </w:tc>
        <w:tc>
          <w:tcPr>
            <w:tcW w:w="874" w:type="dxa"/>
            <w:shd w:val="clear" w:color="auto" w:fill="DEEAF6"/>
            <w:vAlign w:val="center"/>
          </w:tcPr>
          <w:p w14:paraId="030E7CEC"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-1,4</w:t>
            </w:r>
          </w:p>
        </w:tc>
        <w:tc>
          <w:tcPr>
            <w:tcW w:w="874" w:type="dxa"/>
            <w:shd w:val="clear" w:color="auto" w:fill="DEEAF6"/>
            <w:vAlign w:val="center"/>
          </w:tcPr>
          <w:p w14:paraId="5DDB247A"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-0,9</w:t>
            </w:r>
          </w:p>
        </w:tc>
        <w:tc>
          <w:tcPr>
            <w:tcW w:w="874" w:type="dxa"/>
            <w:shd w:val="clear" w:color="auto" w:fill="DEEAF6"/>
            <w:vAlign w:val="center"/>
          </w:tcPr>
          <w:p w14:paraId="3B1345BF"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-0,7</w:t>
            </w:r>
          </w:p>
        </w:tc>
        <w:tc>
          <w:tcPr>
            <w:tcW w:w="874" w:type="dxa"/>
            <w:shd w:val="clear" w:color="auto" w:fill="DEEAF6"/>
            <w:vAlign w:val="center"/>
          </w:tcPr>
          <w:p w14:paraId="6D6790AB"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-0,3</w:t>
            </w:r>
          </w:p>
        </w:tc>
      </w:tr>
      <w:tr w:rsidR="00493C86" w:rsidRPr="00493C86" w14:paraId="2E2C5156" w14:textId="77777777" w:rsidTr="00720F17">
        <w:trPr>
          <w:trHeight w:val="190"/>
          <w:jc w:val="center"/>
        </w:trPr>
        <w:tc>
          <w:tcPr>
            <w:tcW w:w="2689" w:type="dxa"/>
            <w:shd w:val="clear" w:color="auto" w:fill="auto"/>
          </w:tcPr>
          <w:p w14:paraId="7C1A7902" w14:textId="77777777" w:rsidR="00493C86" w:rsidRPr="00493C86" w:rsidRDefault="00493C86" w:rsidP="00493C86">
            <w:pPr>
              <w:ind w:firstLine="0"/>
              <w:rPr>
                <w:rFonts w:eastAsia="Times New Roman" w:cs="Times New Roman"/>
                <w:snapToGrid w:val="0"/>
                <w:sz w:val="20"/>
                <w:szCs w:val="20"/>
              </w:rPr>
            </w:pPr>
            <w:r w:rsidRPr="00493C86">
              <w:rPr>
                <w:rFonts w:eastAsia="Times New Roman" w:cs="Times New Roman"/>
                <w:snapToGrid w:val="0"/>
                <w:sz w:val="20"/>
                <w:szCs w:val="20"/>
              </w:rPr>
              <w:t>Strukturālā bilance</w:t>
            </w:r>
          </w:p>
        </w:tc>
        <w:tc>
          <w:tcPr>
            <w:tcW w:w="1134" w:type="dxa"/>
            <w:shd w:val="clear" w:color="auto" w:fill="auto"/>
            <w:vAlign w:val="center"/>
          </w:tcPr>
          <w:p w14:paraId="1EA1302C" w14:textId="77777777" w:rsidR="00493C86" w:rsidRPr="00493C86" w:rsidRDefault="00493C86" w:rsidP="00493C86">
            <w:pPr>
              <w:ind w:firstLine="0"/>
              <w:rPr>
                <w:rFonts w:eastAsia="Times New Roman" w:cs="Times New Roman"/>
                <w:sz w:val="20"/>
                <w:szCs w:val="20"/>
              </w:rPr>
            </w:pPr>
          </w:p>
        </w:tc>
        <w:tc>
          <w:tcPr>
            <w:tcW w:w="874" w:type="dxa"/>
            <w:shd w:val="clear" w:color="auto" w:fill="auto"/>
            <w:vAlign w:val="center"/>
          </w:tcPr>
          <w:p w14:paraId="28C1D7EF"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-0,1</w:t>
            </w:r>
          </w:p>
        </w:tc>
        <w:tc>
          <w:tcPr>
            <w:tcW w:w="874" w:type="dxa"/>
            <w:shd w:val="clear" w:color="auto" w:fill="auto"/>
            <w:vAlign w:val="center"/>
          </w:tcPr>
          <w:p w14:paraId="2F85BE66"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-0,8</w:t>
            </w:r>
          </w:p>
        </w:tc>
        <w:tc>
          <w:tcPr>
            <w:tcW w:w="874" w:type="dxa"/>
            <w:shd w:val="clear" w:color="auto" w:fill="auto"/>
            <w:vAlign w:val="center"/>
          </w:tcPr>
          <w:p w14:paraId="38E608FA"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-1,0</w:t>
            </w:r>
          </w:p>
        </w:tc>
        <w:tc>
          <w:tcPr>
            <w:tcW w:w="874" w:type="dxa"/>
            <w:shd w:val="clear" w:color="auto" w:fill="auto"/>
            <w:vAlign w:val="center"/>
          </w:tcPr>
          <w:p w14:paraId="6BF321F4"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-0,5</w:t>
            </w:r>
          </w:p>
        </w:tc>
        <w:tc>
          <w:tcPr>
            <w:tcW w:w="874" w:type="dxa"/>
            <w:vAlign w:val="center"/>
          </w:tcPr>
          <w:p w14:paraId="696A8440" w14:textId="77777777" w:rsidR="00493C86" w:rsidRPr="00493C86" w:rsidRDefault="00493C86" w:rsidP="00493C86">
            <w:pPr>
              <w:ind w:firstLine="0"/>
              <w:jc w:val="center"/>
              <w:rPr>
                <w:rFonts w:eastAsia="Calibri" w:cs="Times New Roman"/>
                <w:sz w:val="20"/>
                <w:szCs w:val="20"/>
              </w:rPr>
            </w:pPr>
            <w:r w:rsidRPr="00493C86">
              <w:rPr>
                <w:rFonts w:eastAsia="Calibri" w:cs="Times New Roman"/>
                <w:sz w:val="20"/>
                <w:szCs w:val="20"/>
              </w:rPr>
              <w:t>-0,6</w:t>
            </w:r>
          </w:p>
        </w:tc>
        <w:tc>
          <w:tcPr>
            <w:tcW w:w="874" w:type="dxa"/>
            <w:shd w:val="clear" w:color="auto" w:fill="auto"/>
            <w:vAlign w:val="center"/>
          </w:tcPr>
          <w:p w14:paraId="366079C5" w14:textId="77777777" w:rsidR="00493C86" w:rsidRPr="00493C86" w:rsidRDefault="00493C86" w:rsidP="00493C86">
            <w:pPr>
              <w:ind w:firstLine="0"/>
              <w:jc w:val="center"/>
              <w:rPr>
                <w:rFonts w:eastAsia="Times New Roman" w:cs="Times New Roman"/>
                <w:snapToGrid w:val="0"/>
                <w:sz w:val="20"/>
                <w:szCs w:val="20"/>
              </w:rPr>
            </w:pPr>
            <w:r w:rsidRPr="00493C86">
              <w:rPr>
                <w:rFonts w:eastAsia="Calibri" w:cs="Times New Roman"/>
                <w:sz w:val="20"/>
                <w:szCs w:val="20"/>
              </w:rPr>
              <w:t>-0,4</w:t>
            </w:r>
          </w:p>
        </w:tc>
      </w:tr>
    </w:tbl>
    <w:p w14:paraId="753910C1" w14:textId="7D8F3CC2" w:rsidR="00493C86" w:rsidRPr="00493C86" w:rsidRDefault="00493C86" w:rsidP="006F3EEF">
      <w:pPr>
        <w:spacing w:before="240" w:after="160" w:line="259" w:lineRule="auto"/>
        <w:ind w:firstLine="0"/>
        <w:jc w:val="left"/>
        <w:rPr>
          <w:rFonts w:eastAsia="Times New Roman" w:cs="Times New Roman"/>
          <w:b/>
          <w:vanish/>
          <w:color w:val="000000"/>
          <w:sz w:val="24"/>
          <w:szCs w:val="24"/>
        </w:rPr>
      </w:pPr>
      <w:r w:rsidRPr="00493C86">
        <w:rPr>
          <w:rFonts w:eastAsia="Times New Roman" w:cs="Times New Roman"/>
          <w:b/>
          <w:color w:val="000000"/>
          <w:sz w:val="24"/>
          <w:szCs w:val="24"/>
        </w:rPr>
        <w:t>Centrālās valdības budžets</w:t>
      </w:r>
    </w:p>
    <w:p w14:paraId="2944A504" w14:textId="77777777" w:rsidR="00493C86" w:rsidRPr="00493C86" w:rsidRDefault="00493C86" w:rsidP="00493C86">
      <w:pPr>
        <w:numPr>
          <w:ilvl w:val="0"/>
          <w:numId w:val="33"/>
        </w:numPr>
        <w:spacing w:after="120" w:line="259" w:lineRule="auto"/>
        <w:jc w:val="left"/>
        <w:rPr>
          <w:rFonts w:eastAsia="Calibri" w:cs="Times New Roman"/>
          <w:color w:val="000000"/>
          <w:sz w:val="24"/>
          <w:szCs w:val="24"/>
        </w:rPr>
      </w:pPr>
    </w:p>
    <w:p w14:paraId="497B4951" w14:textId="638657BA" w:rsidR="00493C86" w:rsidRPr="00493C86" w:rsidRDefault="00493C86" w:rsidP="00493C86">
      <w:pPr>
        <w:spacing w:after="120"/>
        <w:rPr>
          <w:rFonts w:eastAsia="Calibri" w:cs="Times New Roman"/>
          <w:color w:val="000000"/>
          <w:sz w:val="24"/>
          <w:szCs w:val="24"/>
        </w:rPr>
      </w:pPr>
      <w:r w:rsidRPr="00493C86">
        <w:rPr>
          <w:rFonts w:eastAsia="Calibri" w:cs="Times New Roman"/>
          <w:color w:val="000000"/>
          <w:sz w:val="24"/>
          <w:szCs w:val="24"/>
        </w:rPr>
        <w:t xml:space="preserve">Centrālās valdības budžetā 2024. gadā salīdzinājumā ar 2023. gadu izdevumu pieaugums tiek prognozēts 11,4% apmērā, kamēr ieņēmumi palielināsies tikai par 8,6%. Savukārt turpmākajos gados, ņemot vērā pieņēmumu par nemainīgu politiku, izdevumi prognozēti stabilā līmenī. Prognozēts, ka ieņēmumu apmērs līdz ar augstākiem nodokļu ieņēmumiem ik gadu pieaugs. Vidējā termiņā kopumā prognozēts visu lielāko nodokļu ikgadējs pieaugums, ko veicinās augošais darba samaksas fonds un arī patēriņa pieaugums. Tādējādi nodokļu ieņēmumu īpatsvars 2024. gadā un arī turpmākajos būs ievērojami virs vidējā nodokļu ieņēmumu īpatsvara </w:t>
      </w:r>
      <w:r w:rsidRPr="00AC4F33">
        <w:rPr>
          <w:rFonts w:eastAsia="Calibri" w:cs="Times New Roman"/>
          <w:color w:val="000000"/>
          <w:sz w:val="24"/>
          <w:szCs w:val="24"/>
        </w:rPr>
        <w:t>IKP</w:t>
      </w:r>
      <w:r w:rsidRPr="00493C86">
        <w:rPr>
          <w:rFonts w:eastAsia="Calibri" w:cs="Times New Roman"/>
          <w:color w:val="000000"/>
          <w:sz w:val="24"/>
          <w:szCs w:val="24"/>
        </w:rPr>
        <w:t xml:space="preserve"> iepriekšējos gados. 2024.</w:t>
      </w:r>
      <w:r w:rsidRPr="00AC4F33">
        <w:rPr>
          <w:rFonts w:eastAsia="Calibri" w:cs="Times New Roman"/>
          <w:color w:val="000000"/>
          <w:sz w:val="24"/>
          <w:szCs w:val="24"/>
        </w:rPr>
        <w:t xml:space="preserve"> – </w:t>
      </w:r>
      <w:r w:rsidRPr="00493C86">
        <w:rPr>
          <w:rFonts w:eastAsia="Calibri" w:cs="Times New Roman"/>
          <w:color w:val="000000"/>
          <w:sz w:val="24"/>
          <w:szCs w:val="24"/>
        </w:rPr>
        <w:t xml:space="preserve">2026. gadā sagaidāmi arī augsti ĀFP ieņēmumi, kas arī noteiks augstāku kopējo centrālās valdības ieņēmumu īpatsvaru IKP. </w:t>
      </w:r>
    </w:p>
    <w:p w14:paraId="19B8917A" w14:textId="77777777" w:rsidR="00493C86" w:rsidRPr="00493C86" w:rsidRDefault="00493C86" w:rsidP="00AC4F33">
      <w:pPr>
        <w:numPr>
          <w:ilvl w:val="0"/>
          <w:numId w:val="33"/>
        </w:numPr>
        <w:spacing w:after="120" w:line="259" w:lineRule="auto"/>
        <w:ind w:left="782" w:hanging="357"/>
        <w:rPr>
          <w:rFonts w:eastAsia="Calibri" w:cs="Times New Roman"/>
          <w:color w:val="000000"/>
          <w:sz w:val="24"/>
          <w:szCs w:val="24"/>
        </w:rPr>
      </w:pPr>
      <w:r w:rsidRPr="00493C86">
        <w:rPr>
          <w:rFonts w:eastAsia="Calibri" w:cs="Times New Roman"/>
          <w:color w:val="000000"/>
          <w:sz w:val="24"/>
          <w:szCs w:val="24"/>
        </w:rPr>
        <w:t xml:space="preserve">Plaša </w:t>
      </w:r>
      <w:proofErr w:type="spellStart"/>
      <w:r w:rsidRPr="00493C86">
        <w:rPr>
          <w:rFonts w:eastAsia="Calibri" w:cs="Times New Roman"/>
          <w:color w:val="000000"/>
          <w:sz w:val="24"/>
          <w:szCs w:val="24"/>
        </w:rPr>
        <w:t>energoatbalsta</w:t>
      </w:r>
      <w:proofErr w:type="spellEnd"/>
      <w:r w:rsidRPr="00493C86">
        <w:rPr>
          <w:rFonts w:eastAsia="Calibri" w:cs="Times New Roman"/>
          <w:color w:val="000000"/>
          <w:sz w:val="24"/>
          <w:szCs w:val="24"/>
        </w:rPr>
        <w:t xml:space="preserve"> sniegšana 2024. gada budžetā netika paredzēta, un valdība atvēlējusi 50 milj. </w:t>
      </w:r>
      <w:proofErr w:type="spellStart"/>
      <w:r w:rsidRPr="00493C86">
        <w:rPr>
          <w:rFonts w:eastAsia="Calibri" w:cs="Times New Roman"/>
          <w:i/>
          <w:iCs/>
          <w:color w:val="000000"/>
          <w:sz w:val="24"/>
          <w:szCs w:val="24"/>
        </w:rPr>
        <w:t>euro</w:t>
      </w:r>
      <w:proofErr w:type="spellEnd"/>
      <w:r w:rsidRPr="00493C86">
        <w:rPr>
          <w:rFonts w:eastAsia="Calibri" w:cs="Times New Roman"/>
          <w:color w:val="000000"/>
          <w:sz w:val="24"/>
          <w:szCs w:val="24"/>
        </w:rPr>
        <w:t xml:space="preserve">, lai mazinātu ietekmi no elektroenerģijas sadales tarifu pieauguma, bet 70 milj. </w:t>
      </w:r>
      <w:proofErr w:type="spellStart"/>
      <w:r w:rsidRPr="00493C86">
        <w:rPr>
          <w:rFonts w:eastAsia="Calibri" w:cs="Times New Roman"/>
          <w:i/>
          <w:iCs/>
          <w:color w:val="000000"/>
          <w:sz w:val="24"/>
          <w:szCs w:val="24"/>
        </w:rPr>
        <w:t>euro</w:t>
      </w:r>
      <w:proofErr w:type="spellEnd"/>
      <w:r w:rsidRPr="00493C86">
        <w:rPr>
          <w:rFonts w:eastAsia="Calibri" w:cs="Times New Roman"/>
          <w:color w:val="000000"/>
          <w:sz w:val="24"/>
          <w:szCs w:val="24"/>
        </w:rPr>
        <w:t xml:space="preserve"> paredzēti Ukrainas civiliedzīvotāju atbalstam. Šis finansējums saglabāts tuvu iepriekšējos gados veikto izdevumu līmenim. </w:t>
      </w:r>
    </w:p>
    <w:p w14:paraId="58B1C21F" w14:textId="75BB0375" w:rsidR="00493C86" w:rsidRPr="00493C86" w:rsidRDefault="00493C86" w:rsidP="00AC4F33">
      <w:pPr>
        <w:numPr>
          <w:ilvl w:val="0"/>
          <w:numId w:val="33"/>
        </w:numPr>
        <w:spacing w:after="120" w:line="259" w:lineRule="auto"/>
        <w:ind w:left="782" w:hanging="357"/>
        <w:rPr>
          <w:rFonts w:eastAsia="Times New Roman" w:cs="Times New Roman"/>
          <w:color w:val="000000"/>
          <w:sz w:val="24"/>
          <w:szCs w:val="24"/>
        </w:rPr>
      </w:pPr>
      <w:r w:rsidRPr="00493C86">
        <w:rPr>
          <w:rFonts w:eastAsia="Times New Roman" w:cs="Times New Roman"/>
          <w:color w:val="000000"/>
          <w:sz w:val="24"/>
          <w:szCs w:val="24"/>
        </w:rPr>
        <w:t>2024. gada budžetā galvenās prioritātes tika noteiktas iekšējā un ārējā drošība, arī izglītības un veselības nozare. Īpaši nozīmīgi pieaugs aizsardzības izdevumi funkcionālā dalījumā: 2024.</w:t>
      </w:r>
      <w:r w:rsidRPr="00AC4F33">
        <w:rPr>
          <w:rFonts w:eastAsia="Times New Roman" w:cs="Times New Roman"/>
          <w:color w:val="000000"/>
          <w:sz w:val="24"/>
          <w:szCs w:val="24"/>
        </w:rPr>
        <w:t xml:space="preserve"> – </w:t>
      </w:r>
      <w:r w:rsidRPr="00493C86">
        <w:rPr>
          <w:rFonts w:eastAsia="Times New Roman" w:cs="Times New Roman"/>
          <w:color w:val="000000"/>
          <w:sz w:val="24"/>
          <w:szCs w:val="24"/>
        </w:rPr>
        <w:t>2025. gadā līdz 2,9% no IKP, 2026. gadā līdz 3,5% no IKP un 2027.-2028. gadā 3,7% no IKP.</w:t>
      </w:r>
    </w:p>
    <w:p w14:paraId="36710012" w14:textId="77777777" w:rsidR="00493C86" w:rsidRPr="00493C86" w:rsidRDefault="00493C86" w:rsidP="00AC4F33">
      <w:pPr>
        <w:numPr>
          <w:ilvl w:val="0"/>
          <w:numId w:val="33"/>
        </w:numPr>
        <w:spacing w:after="120" w:line="259" w:lineRule="auto"/>
        <w:ind w:left="782" w:hanging="357"/>
        <w:rPr>
          <w:rFonts w:eastAsia="Calibri" w:cs="Times New Roman"/>
          <w:color w:val="000000"/>
          <w:sz w:val="24"/>
          <w:szCs w:val="24"/>
        </w:rPr>
      </w:pPr>
      <w:r w:rsidRPr="00493C86">
        <w:rPr>
          <w:rFonts w:eastAsia="Calibri" w:cs="Times New Roman"/>
          <w:color w:val="000000"/>
          <w:sz w:val="24"/>
          <w:szCs w:val="24"/>
        </w:rPr>
        <w:t>Jauno elektrovilcienu piegāde tika uzsākta 2023. gada izskaņā un turpinās 2024. gadā. Lai gan sākotnēji daļu no 32 jaunajiem elektrovilcieniem bija plānots finansēt no valsts budžeta līdzekļiem, šobrīd plānots, ka visu vilcienu iegādes darījums tiek finansēts no ES Kohēzijas fonda līdzekļiem ar valsts budžeta līdzfinansējumu. Atbilstoši EKS metodoloģijai izdevumi vispārējās valdības budžetā tiks uzskaitīti atbilstoši vilcienu faktiskajai piegādei.</w:t>
      </w:r>
    </w:p>
    <w:p w14:paraId="281C8017" w14:textId="00254370" w:rsidR="00493C86" w:rsidRPr="00493C86" w:rsidRDefault="00493C86" w:rsidP="00AC4F33">
      <w:pPr>
        <w:numPr>
          <w:ilvl w:val="0"/>
          <w:numId w:val="33"/>
        </w:numPr>
        <w:spacing w:after="120" w:line="259" w:lineRule="auto"/>
        <w:ind w:left="782" w:hanging="357"/>
        <w:rPr>
          <w:rFonts w:eastAsia="Calibri" w:cs="Times New Roman"/>
          <w:color w:val="000000"/>
          <w:sz w:val="24"/>
          <w:szCs w:val="24"/>
        </w:rPr>
      </w:pPr>
      <w:r w:rsidRPr="00493C86">
        <w:rPr>
          <w:rFonts w:eastAsia="Calibri" w:cs="Times New Roman"/>
          <w:color w:val="000000"/>
          <w:sz w:val="24"/>
          <w:szCs w:val="24"/>
        </w:rPr>
        <w:t>Prognozēs iekļaut</w:t>
      </w:r>
      <w:r w:rsidR="00234A32">
        <w:rPr>
          <w:rFonts w:eastAsia="Calibri" w:cs="Times New Roman"/>
          <w:color w:val="000000"/>
          <w:sz w:val="24"/>
          <w:szCs w:val="24"/>
        </w:rPr>
        <w:t>s</w:t>
      </w:r>
      <w:r w:rsidRPr="00493C86">
        <w:rPr>
          <w:rFonts w:eastAsia="Calibri" w:cs="Times New Roman"/>
          <w:color w:val="000000"/>
          <w:sz w:val="24"/>
          <w:szCs w:val="24"/>
        </w:rPr>
        <w:t xml:space="preserve"> arī Latvijas lielākais dzelzceļa kravu pārvadātājs – valsts akciju sabiedrība “Latvijas dzelzceļš”, kas vispārējās valdības sektorā tika pieklasificēta 2024. gada aprīļa vispārējās valdības notifikācijas (EDP) laikā. Šī komersanta ietekme uz vispārējās valdības budžeta deficītu (B.9) 2023.</w:t>
      </w:r>
      <w:r w:rsidR="00AC4F33" w:rsidRPr="00AC4F33">
        <w:rPr>
          <w:rFonts w:eastAsia="Calibri" w:cs="Times New Roman"/>
          <w:color w:val="000000"/>
          <w:sz w:val="24"/>
          <w:szCs w:val="24"/>
        </w:rPr>
        <w:t xml:space="preserve"> – </w:t>
      </w:r>
      <w:r w:rsidRPr="00493C86">
        <w:rPr>
          <w:rFonts w:eastAsia="Calibri" w:cs="Times New Roman"/>
          <w:color w:val="000000"/>
          <w:sz w:val="24"/>
          <w:szCs w:val="24"/>
        </w:rPr>
        <w:t>2024. gadā novērtēta negatīva 0,1% no IKP apmērā, bet 2025. gadā tiek prognozēta zem 0,1% no IKP.</w:t>
      </w:r>
    </w:p>
    <w:p w14:paraId="686ACC1E" w14:textId="77777777" w:rsidR="00493C86" w:rsidRPr="00493C86" w:rsidRDefault="00493C86" w:rsidP="00FF1B5A">
      <w:pPr>
        <w:ind w:firstLine="425"/>
        <w:rPr>
          <w:rFonts w:eastAsia="Times New Roman" w:cs="Times New Roman"/>
          <w:b/>
          <w:sz w:val="24"/>
          <w:szCs w:val="24"/>
        </w:rPr>
      </w:pPr>
    </w:p>
    <w:p w14:paraId="64258BF7" w14:textId="77777777" w:rsidR="00493C86" w:rsidRPr="00493C86" w:rsidRDefault="00493C86" w:rsidP="00FF1B5A">
      <w:pPr>
        <w:spacing w:after="120"/>
        <w:ind w:firstLine="0"/>
        <w:rPr>
          <w:rFonts w:eastAsia="Times New Roman" w:cs="Times New Roman"/>
          <w:sz w:val="24"/>
          <w:szCs w:val="24"/>
        </w:rPr>
      </w:pPr>
      <w:r w:rsidRPr="00493C86">
        <w:rPr>
          <w:rFonts w:eastAsia="Times New Roman" w:cs="Times New Roman"/>
          <w:b/>
          <w:sz w:val="24"/>
          <w:szCs w:val="24"/>
        </w:rPr>
        <w:t>Sociālās nodrošināšanas fonds</w:t>
      </w:r>
    </w:p>
    <w:p w14:paraId="0F77603F" w14:textId="77777777" w:rsidR="00493C86" w:rsidRPr="00493C86" w:rsidRDefault="00493C86" w:rsidP="00AC4F33">
      <w:pPr>
        <w:numPr>
          <w:ilvl w:val="0"/>
          <w:numId w:val="34"/>
        </w:numPr>
        <w:spacing w:before="120" w:after="120" w:line="259" w:lineRule="auto"/>
        <w:rPr>
          <w:rFonts w:eastAsia="Times New Roman" w:cs="Times New Roman"/>
          <w:noProof/>
          <w:color w:val="000000"/>
          <w:sz w:val="24"/>
          <w:szCs w:val="32"/>
        </w:rPr>
      </w:pPr>
      <w:r w:rsidRPr="00493C86">
        <w:rPr>
          <w:rFonts w:eastAsia="Calibri" w:cs="Times New Roman"/>
          <w:sz w:val="24"/>
          <w:szCs w:val="24"/>
        </w:rPr>
        <w:t xml:space="preserve">Sociālās nodrošināšanas fondā jau kopš 2017. gada bijis pārpalikums un arī līdz pat 2028. gadam sagaidāma pārpalikuma veidošanās. Kopumā tiek prognozēts, ka ieņēmumi sociālās nodrošināšanas fondā augs nedaudz mērenāk par izdevumiem un pārpalikuma apmērs samazināsies no 0,7% no IKP 2024. gadā līdz 0,4% no IKP 2028. gadā. Izdevumi pensijām pieaugtu vēl straujāk, ja netiktu īstenota pensiju  reforma, kas tika ieviesta 2014. gadā un paredz ik gadu par trim mēnešiem līdz 2025. gadam celt pensionēšanās vecumu līdz 65 gadiem. Tās rezultātā pensiju saņēmēju skaits sarūk, un šobrīd tiek prognozēts, ka turpinās samazināties arī līdz reformas </w:t>
      </w:r>
      <w:r w:rsidRPr="00493C86">
        <w:rPr>
          <w:rFonts w:eastAsia="Calibri" w:cs="Times New Roman"/>
          <w:sz w:val="24"/>
          <w:szCs w:val="24"/>
        </w:rPr>
        <w:lastRenderedPageBreak/>
        <w:t xml:space="preserve">noslēgumam. Savukārt jau ar 2026. gadu pensiju saņēmēju skaita samazināšanās apstāsies, un turpmākajos gados atbilstoši </w:t>
      </w:r>
      <w:proofErr w:type="spellStart"/>
      <w:r w:rsidRPr="00493C86">
        <w:rPr>
          <w:rFonts w:eastAsia="Calibri" w:cs="Times New Roman"/>
          <w:i/>
          <w:iCs/>
          <w:sz w:val="24"/>
          <w:szCs w:val="24"/>
        </w:rPr>
        <w:t>Eurostat</w:t>
      </w:r>
      <w:proofErr w:type="spellEnd"/>
      <w:r w:rsidRPr="00493C86">
        <w:rPr>
          <w:rFonts w:eastAsia="Calibri" w:cs="Times New Roman"/>
          <w:sz w:val="24"/>
          <w:szCs w:val="24"/>
        </w:rPr>
        <w:t xml:space="preserve"> demogrāfiskajām prognozēm ir sagaidāms iedzīvotāju 65+ skaita pieaugums, kas vienlaikus ar vidēja pensijas apmēra pieaugumu ietekmēs straujāku izdevumu palielināšanos.</w:t>
      </w:r>
    </w:p>
    <w:p w14:paraId="71B3F85F" w14:textId="469D641D" w:rsidR="00493C86" w:rsidRPr="00493C86" w:rsidRDefault="00493C86" w:rsidP="00AC4F33">
      <w:pPr>
        <w:numPr>
          <w:ilvl w:val="0"/>
          <w:numId w:val="34"/>
        </w:numPr>
        <w:spacing w:before="120" w:after="120" w:line="259" w:lineRule="auto"/>
        <w:rPr>
          <w:rFonts w:eastAsia="Times New Roman" w:cs="Times New Roman"/>
          <w:noProof/>
          <w:color w:val="000000"/>
          <w:sz w:val="24"/>
          <w:szCs w:val="32"/>
        </w:rPr>
      </w:pPr>
      <w:r w:rsidRPr="00493C86">
        <w:rPr>
          <w:rFonts w:eastAsia="Times New Roman" w:cs="Times New Roman"/>
          <w:sz w:val="24"/>
          <w:szCs w:val="32"/>
        </w:rPr>
        <w:t>Ik gadu 1. oktobrī Latvijā tiek</w:t>
      </w:r>
      <w:r w:rsidRPr="00493C86">
        <w:rPr>
          <w:rFonts w:eastAsia="Times New Roman" w:cs="Times New Roman"/>
          <w:noProof/>
          <w:sz w:val="24"/>
          <w:szCs w:val="32"/>
        </w:rPr>
        <w:t xml:space="preserve"> pārskatītas (indeksētas) vecuma, invaliditātes, izdienas, apgādnieka zaudējuma pensijas un apdrošināšanas atlīdzības, kas ņemts vērā arī izstrādājot prognozes līdz 2028. gadam. </w:t>
      </w:r>
      <w:r w:rsidR="00AC4F33" w:rsidRPr="00AC4F33">
        <w:rPr>
          <w:rFonts w:eastAsia="Times New Roman" w:cs="Times New Roman"/>
          <w:noProof/>
          <w:sz w:val="24"/>
          <w:szCs w:val="32"/>
        </w:rPr>
        <w:t>2023. gada</w:t>
      </w:r>
      <w:r w:rsidRPr="00493C86">
        <w:rPr>
          <w:rFonts w:eastAsia="Times New Roman" w:cs="Times New Roman"/>
          <w:noProof/>
          <w:sz w:val="24"/>
          <w:szCs w:val="32"/>
        </w:rPr>
        <w:t xml:space="preserve"> 1. oktobrī </w:t>
      </w:r>
      <w:r w:rsidR="00AC4F33" w:rsidRPr="00AC4F33">
        <w:rPr>
          <w:rFonts w:eastAsia="Times New Roman" w:cs="Times New Roman"/>
          <w:noProof/>
          <w:sz w:val="24"/>
          <w:szCs w:val="32"/>
        </w:rPr>
        <w:t>LM</w:t>
      </w:r>
      <w:r w:rsidRPr="00493C86">
        <w:rPr>
          <w:rFonts w:eastAsia="Times New Roman" w:cs="Times New Roman"/>
          <w:noProof/>
          <w:sz w:val="24"/>
          <w:szCs w:val="32"/>
        </w:rPr>
        <w:t xml:space="preserve"> aprēķinātais indekss bija 1,064, un tika indeksētas pensijas, kuru apmērs nepārsniedz 609 </w:t>
      </w:r>
      <w:r w:rsidRPr="00493C86">
        <w:rPr>
          <w:rFonts w:eastAsia="Times New Roman" w:cs="Times New Roman"/>
          <w:i/>
          <w:noProof/>
          <w:sz w:val="24"/>
          <w:szCs w:val="32"/>
        </w:rPr>
        <w:t xml:space="preserve">euro </w:t>
      </w:r>
      <w:r w:rsidRPr="00493C86">
        <w:rPr>
          <w:rFonts w:eastAsia="Times New Roman" w:cs="Times New Roman"/>
          <w:iCs/>
          <w:noProof/>
          <w:sz w:val="24"/>
          <w:szCs w:val="32"/>
        </w:rPr>
        <w:t>(50% no iepriekšējā kalendārā gada vidējās apdrošināšanas iemaksu algas valstī)</w:t>
      </w:r>
      <w:r w:rsidRPr="00493C86">
        <w:rPr>
          <w:rFonts w:eastAsia="Times New Roman" w:cs="Times New Roman"/>
          <w:noProof/>
          <w:sz w:val="24"/>
          <w:szCs w:val="32"/>
        </w:rPr>
        <w:t>, bet pensijas un apdrošināšanas atlīdzības, kuru apmērs pārsniedz 609 </w:t>
      </w:r>
      <w:r w:rsidRPr="00493C86">
        <w:rPr>
          <w:rFonts w:eastAsia="Times New Roman" w:cs="Times New Roman"/>
          <w:i/>
          <w:noProof/>
          <w:sz w:val="24"/>
          <w:szCs w:val="32"/>
        </w:rPr>
        <w:t>euro</w:t>
      </w:r>
      <w:r w:rsidRPr="00493C86">
        <w:rPr>
          <w:rFonts w:eastAsia="Times New Roman" w:cs="Times New Roman"/>
          <w:noProof/>
          <w:sz w:val="24"/>
          <w:szCs w:val="32"/>
        </w:rPr>
        <w:t>, pārskata tikai tās daļas apmēru – 609 </w:t>
      </w:r>
      <w:r w:rsidRPr="00493C86">
        <w:rPr>
          <w:rFonts w:eastAsia="Times New Roman" w:cs="Times New Roman"/>
          <w:i/>
          <w:noProof/>
          <w:sz w:val="24"/>
          <w:szCs w:val="32"/>
        </w:rPr>
        <w:t>euro</w:t>
      </w:r>
      <w:r w:rsidRPr="00493C86">
        <w:rPr>
          <w:rFonts w:eastAsia="Times New Roman" w:cs="Times New Roman"/>
          <w:noProof/>
          <w:sz w:val="24"/>
          <w:szCs w:val="32"/>
        </w:rPr>
        <w:t xml:space="preserve">. </w:t>
      </w:r>
    </w:p>
    <w:p w14:paraId="204C4A27" w14:textId="6C844C1A" w:rsidR="00493C86" w:rsidRPr="00493C86" w:rsidRDefault="00493C86" w:rsidP="00AC4F33">
      <w:pPr>
        <w:numPr>
          <w:ilvl w:val="0"/>
          <w:numId w:val="34"/>
        </w:numPr>
        <w:spacing w:before="120" w:after="120" w:line="259" w:lineRule="auto"/>
        <w:rPr>
          <w:rFonts w:eastAsia="Times New Roman" w:cs="Times New Roman"/>
          <w:noProof/>
          <w:color w:val="000000"/>
          <w:sz w:val="24"/>
          <w:szCs w:val="32"/>
        </w:rPr>
      </w:pPr>
      <w:r w:rsidRPr="00493C86">
        <w:rPr>
          <w:rFonts w:eastAsia="Times New Roman" w:cs="Times New Roman"/>
          <w:noProof/>
          <w:sz w:val="24"/>
          <w:szCs w:val="32"/>
        </w:rPr>
        <w:t xml:space="preserve">Atbilstoši </w:t>
      </w:r>
      <w:r w:rsidR="00AC4F33" w:rsidRPr="00AC4F33">
        <w:rPr>
          <w:rFonts w:eastAsia="Times New Roman" w:cs="Times New Roman"/>
          <w:noProof/>
          <w:sz w:val="24"/>
          <w:szCs w:val="32"/>
        </w:rPr>
        <w:t>LM</w:t>
      </w:r>
      <w:r w:rsidRPr="00493C86">
        <w:rPr>
          <w:rFonts w:eastAsia="Times New Roman" w:cs="Times New Roman"/>
          <w:noProof/>
          <w:sz w:val="24"/>
          <w:szCs w:val="32"/>
        </w:rPr>
        <w:t xml:space="preserve"> prognozēm vecuma pensiju saņēmēju vidējais skaits mēnesī no 424,7 tūkst</w:t>
      </w:r>
      <w:r w:rsidR="00AC4F33" w:rsidRPr="00AC4F33">
        <w:rPr>
          <w:rFonts w:eastAsia="Times New Roman" w:cs="Times New Roman"/>
          <w:noProof/>
          <w:sz w:val="24"/>
          <w:szCs w:val="32"/>
        </w:rPr>
        <w:t>.</w:t>
      </w:r>
      <w:r w:rsidRPr="00493C86">
        <w:rPr>
          <w:rFonts w:eastAsia="Times New Roman" w:cs="Times New Roman"/>
          <w:noProof/>
          <w:sz w:val="24"/>
          <w:szCs w:val="32"/>
        </w:rPr>
        <w:t xml:space="preserve"> 2024. gadā pieaugs līdz 429,4 tūkst</w:t>
      </w:r>
      <w:r w:rsidR="00AC4F33" w:rsidRPr="00AC4F33">
        <w:rPr>
          <w:rFonts w:eastAsia="Times New Roman" w:cs="Times New Roman"/>
          <w:noProof/>
          <w:sz w:val="24"/>
          <w:szCs w:val="32"/>
        </w:rPr>
        <w:t>.</w:t>
      </w:r>
      <w:r w:rsidRPr="00493C86">
        <w:rPr>
          <w:rFonts w:eastAsia="Times New Roman" w:cs="Times New Roman"/>
          <w:noProof/>
          <w:sz w:val="24"/>
          <w:szCs w:val="32"/>
        </w:rPr>
        <w:t xml:space="preserve"> 2028. gadā. Savukārt vecuma pensijas vidējais apmērs no 598 </w:t>
      </w:r>
      <w:r w:rsidRPr="00493C86">
        <w:rPr>
          <w:rFonts w:eastAsia="Times New Roman" w:cs="Times New Roman"/>
          <w:i/>
          <w:iCs/>
          <w:noProof/>
          <w:sz w:val="24"/>
          <w:szCs w:val="32"/>
        </w:rPr>
        <w:t>euro</w:t>
      </w:r>
      <w:r w:rsidRPr="00493C86">
        <w:rPr>
          <w:rFonts w:eastAsia="Times New Roman" w:cs="Times New Roman"/>
          <w:noProof/>
          <w:sz w:val="24"/>
          <w:szCs w:val="32"/>
        </w:rPr>
        <w:t xml:space="preserve"> 2024. gadā palielināsies līdz 773 </w:t>
      </w:r>
      <w:r w:rsidRPr="00493C86">
        <w:rPr>
          <w:rFonts w:eastAsia="Times New Roman" w:cs="Times New Roman"/>
          <w:i/>
          <w:iCs/>
          <w:noProof/>
          <w:sz w:val="24"/>
          <w:szCs w:val="32"/>
        </w:rPr>
        <w:t>euro</w:t>
      </w:r>
      <w:r w:rsidRPr="00493C86">
        <w:rPr>
          <w:rFonts w:eastAsia="Times New Roman" w:cs="Times New Roman"/>
          <w:noProof/>
          <w:sz w:val="24"/>
          <w:szCs w:val="32"/>
        </w:rPr>
        <w:t xml:space="preserve"> 2028. gadā.</w:t>
      </w:r>
    </w:p>
    <w:p w14:paraId="29C5748A" w14:textId="659B5A0D" w:rsidR="00493C86" w:rsidRPr="00493C86" w:rsidRDefault="00493C86" w:rsidP="00AC4F33">
      <w:pPr>
        <w:numPr>
          <w:ilvl w:val="0"/>
          <w:numId w:val="34"/>
        </w:numPr>
        <w:spacing w:after="120" w:line="259" w:lineRule="auto"/>
        <w:rPr>
          <w:rFonts w:eastAsia="Calibri" w:cs="Times New Roman"/>
          <w:sz w:val="24"/>
          <w:szCs w:val="24"/>
        </w:rPr>
      </w:pPr>
      <w:r w:rsidRPr="00493C86">
        <w:rPr>
          <w:rFonts w:eastAsia="Calibri" w:cs="Times New Roman"/>
          <w:sz w:val="24"/>
          <w:szCs w:val="24"/>
        </w:rPr>
        <w:t xml:space="preserve">Bezdarbnieku pabalstu saņēmēju skaits 2024. gadā būs par 1,0% augstāks kā 2023. gadā, tomēr pēc tam ik gadu samazināsies. </w:t>
      </w:r>
      <w:r w:rsidRPr="00493C86">
        <w:rPr>
          <w:rFonts w:eastAsia="Times New Roman" w:cs="Times New Roman"/>
          <w:noProof/>
          <w:sz w:val="24"/>
          <w:szCs w:val="32"/>
        </w:rPr>
        <w:t xml:space="preserve">Atbilstoši </w:t>
      </w:r>
      <w:r w:rsidR="00AC4F33" w:rsidRPr="00AC4F33">
        <w:rPr>
          <w:rFonts w:eastAsia="Times New Roman" w:cs="Times New Roman"/>
          <w:noProof/>
          <w:sz w:val="24"/>
          <w:szCs w:val="32"/>
        </w:rPr>
        <w:t>LM</w:t>
      </w:r>
      <w:r w:rsidRPr="00493C86">
        <w:rPr>
          <w:rFonts w:eastAsia="Times New Roman" w:cs="Times New Roman"/>
          <w:noProof/>
          <w:sz w:val="24"/>
          <w:szCs w:val="32"/>
        </w:rPr>
        <w:t xml:space="preserve"> prognozēm</w:t>
      </w:r>
      <w:r w:rsidR="00AC4F33" w:rsidRPr="00AC4F33">
        <w:rPr>
          <w:rFonts w:eastAsia="Times New Roman" w:cs="Times New Roman"/>
          <w:noProof/>
          <w:sz w:val="24"/>
          <w:szCs w:val="32"/>
        </w:rPr>
        <w:t xml:space="preserve">, </w:t>
      </w:r>
      <w:r w:rsidRPr="00493C86">
        <w:rPr>
          <w:rFonts w:eastAsia="Calibri" w:cs="Times New Roman"/>
          <w:sz w:val="24"/>
          <w:szCs w:val="24"/>
        </w:rPr>
        <w:t>bezdarbnieka pabalsta saņēmēju skaits vidēji mēnesī 2024. gadā būs 30,7 tūkst</w:t>
      </w:r>
      <w:r w:rsidR="00AC4F33" w:rsidRPr="00AC4F33">
        <w:rPr>
          <w:rFonts w:eastAsia="Calibri" w:cs="Times New Roman"/>
          <w:sz w:val="24"/>
          <w:szCs w:val="24"/>
        </w:rPr>
        <w:t>.</w:t>
      </w:r>
      <w:r w:rsidRPr="00493C86">
        <w:rPr>
          <w:rFonts w:eastAsia="Calibri" w:cs="Times New Roman"/>
          <w:sz w:val="24"/>
          <w:szCs w:val="24"/>
        </w:rPr>
        <w:t>, bet 2025. gadā tas samazināsies līdz 29,6 tūkst</w:t>
      </w:r>
      <w:r w:rsidR="00AC4F33" w:rsidRPr="00AC4F33">
        <w:rPr>
          <w:rFonts w:eastAsia="Calibri" w:cs="Times New Roman"/>
          <w:sz w:val="24"/>
          <w:szCs w:val="24"/>
        </w:rPr>
        <w:t>.</w:t>
      </w:r>
      <w:r w:rsidRPr="00493C86">
        <w:rPr>
          <w:rFonts w:eastAsia="Calibri" w:cs="Times New Roman"/>
          <w:sz w:val="24"/>
          <w:szCs w:val="24"/>
        </w:rPr>
        <w:t xml:space="preserve"> un 2028. gadā jau līdz 24,8 tūkst. Vidējā termiņā, ņemot vērā pabalsta vidējā apmēra pieaugumu, izdevumi bezdarbnieku pabalstiem pieaugs, nedaudz samazinoties tikai sākot ar 2027. gadu. </w:t>
      </w:r>
    </w:p>
    <w:p w14:paraId="0C33825E" w14:textId="587DB007" w:rsidR="00493C86" w:rsidRPr="00607477" w:rsidRDefault="00493C86" w:rsidP="00607477">
      <w:pPr>
        <w:numPr>
          <w:ilvl w:val="0"/>
          <w:numId w:val="34"/>
        </w:numPr>
        <w:spacing w:before="120" w:after="120" w:line="259" w:lineRule="auto"/>
        <w:rPr>
          <w:rFonts w:eastAsia="Times New Roman" w:cs="Times New Roman"/>
          <w:noProof/>
          <w:color w:val="000000"/>
          <w:sz w:val="24"/>
          <w:szCs w:val="32"/>
        </w:rPr>
      </w:pPr>
      <w:r w:rsidRPr="00493C86">
        <w:rPr>
          <w:rFonts w:eastAsia="Times New Roman" w:cs="Times New Roman"/>
          <w:noProof/>
          <w:color w:val="000000"/>
          <w:sz w:val="24"/>
          <w:szCs w:val="32"/>
        </w:rPr>
        <w:t xml:space="preserve">Neskatoties uz prognozēto slimības pabalstu saņēmēju skaita samazināšanos vidējā termiņā, izdevumi slimības pabalstiem 2024. gadā un visā vidējā termiņā tiek prognozēti ar pieaugumu, ko noteiks vidējā pabalsta apmēra pieaugums. Palielinājums saistīts gan ar prognozētajām iemaksu algas attīstības tendencēm, gan ar slimības dienu skaita (ilguma) prognozēto pieaugumu. </w:t>
      </w:r>
    </w:p>
    <w:p w14:paraId="1049E6F4" w14:textId="77777777" w:rsidR="00A715A3" w:rsidRDefault="00A715A3" w:rsidP="00607477">
      <w:pPr>
        <w:ind w:left="709" w:firstLine="0"/>
        <w:rPr>
          <w:rFonts w:eastAsia="Times New Roman" w:cs="Times New Roman"/>
          <w:b/>
          <w:color w:val="000000"/>
          <w:sz w:val="24"/>
          <w:szCs w:val="24"/>
        </w:rPr>
      </w:pPr>
    </w:p>
    <w:p w14:paraId="2F1D1A7B" w14:textId="6908C3BC" w:rsidR="00493C86" w:rsidRPr="00493C86" w:rsidRDefault="00493C86" w:rsidP="00607477">
      <w:pPr>
        <w:spacing w:before="120" w:after="120"/>
        <w:ind w:firstLine="0"/>
        <w:rPr>
          <w:rFonts w:eastAsia="Times New Roman" w:cs="Times New Roman"/>
          <w:color w:val="000000"/>
          <w:sz w:val="24"/>
          <w:szCs w:val="24"/>
        </w:rPr>
      </w:pPr>
      <w:r w:rsidRPr="00493C86">
        <w:rPr>
          <w:rFonts w:eastAsia="Times New Roman" w:cs="Times New Roman"/>
          <w:b/>
          <w:color w:val="000000"/>
          <w:sz w:val="24"/>
          <w:szCs w:val="24"/>
        </w:rPr>
        <w:t>Vietējās valdības (pašvaldību) budžets</w:t>
      </w:r>
    </w:p>
    <w:p w14:paraId="0A8D9B5B" w14:textId="77777777" w:rsidR="00493C86" w:rsidRPr="00493C86" w:rsidRDefault="00493C86" w:rsidP="00AC4F33">
      <w:pPr>
        <w:numPr>
          <w:ilvl w:val="0"/>
          <w:numId w:val="35"/>
        </w:numPr>
        <w:spacing w:after="120" w:line="259" w:lineRule="auto"/>
        <w:rPr>
          <w:rFonts w:eastAsia="Calibri" w:cs="Times New Roman"/>
          <w:sz w:val="24"/>
          <w:szCs w:val="24"/>
        </w:rPr>
      </w:pPr>
      <w:r w:rsidRPr="00493C86">
        <w:rPr>
          <w:rFonts w:eastAsia="Calibri" w:cs="Times New Roman"/>
          <w:sz w:val="24"/>
          <w:szCs w:val="24"/>
        </w:rPr>
        <w:t>2024. gadā vietējās valdības budžetā sagaidāms deficīts 0,1% no IKP apmērā, kamēr 2023. gadā pašvaldības saimniekoja ar deficītu 0,3% no IKP. Mazāks budžeta deficīts galvenokārt skaidrojams ar zemāku izdevumu pieauguma tempu (+4,7%) salīdzinājumā ar 2023. gadu, kamēr ieņēmumi šogad tiek prognozēti ar pieaugumu 6,5%. Neliels deficīts tiek prognozēts visā vidējā termiņā, taču jāatzīmē, ka vietējās valdības budžetā nozīmīgas ir ĀFP investīciju plūsmas un attiecīgi līdzfinansējums, kas ietekmē bilances svārstības pa gadiem.</w:t>
      </w:r>
    </w:p>
    <w:p w14:paraId="758DAE26" w14:textId="424CD3EE" w:rsidR="00493C86" w:rsidRPr="00493C86" w:rsidRDefault="00493C86" w:rsidP="00AC4F33">
      <w:pPr>
        <w:numPr>
          <w:ilvl w:val="0"/>
          <w:numId w:val="35"/>
        </w:numPr>
        <w:spacing w:after="120" w:line="259" w:lineRule="auto"/>
        <w:rPr>
          <w:rFonts w:eastAsia="Calibri" w:cs="Times New Roman"/>
          <w:sz w:val="24"/>
          <w:szCs w:val="24"/>
        </w:rPr>
      </w:pPr>
      <w:r w:rsidRPr="00493C86">
        <w:rPr>
          <w:rFonts w:eastAsia="Calibri" w:cs="Times New Roman"/>
          <w:sz w:val="24"/>
          <w:szCs w:val="24"/>
        </w:rPr>
        <w:t xml:space="preserve">Tiek prognozēts, ka 2024. gadā nedaudz samazināsies izdevumi visa veida preču un pakalpojumu iegādei, ko nosaka energoresursu cenu stabilizēšanās. Tāpat mazāki tiek prognozēti izdevumi sociālajam atbalstam. Mazākus izdevumus nosaka tas, ka šogad netiek plānoti izdevumi atsevišķām </w:t>
      </w:r>
      <w:proofErr w:type="spellStart"/>
      <w:r w:rsidRPr="00493C86">
        <w:rPr>
          <w:rFonts w:eastAsia="Calibri" w:cs="Times New Roman"/>
          <w:sz w:val="24"/>
          <w:szCs w:val="24"/>
        </w:rPr>
        <w:t>energoatbalsta</w:t>
      </w:r>
      <w:proofErr w:type="spellEnd"/>
      <w:r w:rsidRPr="00493C86">
        <w:rPr>
          <w:rFonts w:eastAsia="Calibri" w:cs="Times New Roman"/>
          <w:sz w:val="24"/>
          <w:szCs w:val="24"/>
        </w:rPr>
        <w:t xml:space="preserve"> izmaksām kā pērn, kā arī plānoti mazāki izdevumi, piemēram, mājokļa pabalstiem ukraiņu bēgļiem. Savukārt,</w:t>
      </w:r>
      <w:r w:rsidR="00AC4F33" w:rsidRPr="00AC4F33">
        <w:rPr>
          <w:rFonts w:eastAsia="Calibri" w:cs="Times New Roman"/>
          <w:sz w:val="24"/>
          <w:szCs w:val="24"/>
        </w:rPr>
        <w:t xml:space="preserve"> </w:t>
      </w:r>
      <w:r w:rsidRPr="00493C86">
        <w:rPr>
          <w:rFonts w:eastAsia="Calibri" w:cs="Times New Roman"/>
          <w:sz w:val="24"/>
          <w:szCs w:val="24"/>
        </w:rPr>
        <w:t xml:space="preserve">izdevumu kāpumu 2024. gadā sekmēs darba samaksas pieaugums pašvaldībās. Augstāku izdevumu līmeni pašvaldību budžetā nosaka  papildus piešķirtais finansējums pedagogu darba samaksas paaugstināšanai, minimālās algas paaugstināšanai un asistenta un pavadoņa pakalpojuma sniedzējiem. Tādējādi, vietējās valdības budžeta izdevumos 2024. gadā sagaidāms būtisks pieaugums atlīdzībai, kas arī vidējā termiņā turpinās pieaugt, taču mērenākā tempā, ņemot vērā pieņēmumu par nemainīgu politiku. </w:t>
      </w:r>
    </w:p>
    <w:p w14:paraId="575EDB91" w14:textId="77777777" w:rsidR="00493C86" w:rsidRPr="00493C86" w:rsidRDefault="00493C86" w:rsidP="00AC4F33">
      <w:pPr>
        <w:numPr>
          <w:ilvl w:val="0"/>
          <w:numId w:val="35"/>
        </w:numPr>
        <w:spacing w:after="120" w:line="259" w:lineRule="auto"/>
        <w:rPr>
          <w:rFonts w:eastAsia="Calibri" w:cs="Times New Roman"/>
          <w:sz w:val="24"/>
          <w:szCs w:val="24"/>
        </w:rPr>
      </w:pPr>
      <w:r w:rsidRPr="00493C86">
        <w:rPr>
          <w:rFonts w:eastAsia="Calibri" w:cs="Times New Roman"/>
          <w:sz w:val="24"/>
          <w:szCs w:val="24"/>
        </w:rPr>
        <w:lastRenderedPageBreak/>
        <w:t>2024. gadā sagaidāms kapitālo izdevumu samazinājums vietējās valdības budžetā, ko ietekmēs zemāks izdevumu līmenis pamatfunkciju investīcijām, kamēr ārvalstu finanšu palīdzības finansēto projektu investīcijas vidējā termiņā gadu no gada pieaugs. Sākot ar 2025. gadu un turpmāk investīciju pieaugums nozīmīgā apmērā plānots ik gadu.</w:t>
      </w:r>
    </w:p>
    <w:p w14:paraId="0ED932B0" w14:textId="5420C44C" w:rsidR="001C5C16" w:rsidRPr="00874664" w:rsidRDefault="001C5C16" w:rsidP="00D54A07">
      <w:pPr>
        <w:spacing w:after="120"/>
        <w:rPr>
          <w:rFonts w:eastAsia="Calibri" w:cs="Times New Roman"/>
          <w:sz w:val="24"/>
          <w:szCs w:val="24"/>
          <w:highlight w:val="lightGray"/>
        </w:rPr>
      </w:pPr>
    </w:p>
    <w:p w14:paraId="61E705AB" w14:textId="104BACF5" w:rsidR="00C13AFE" w:rsidRPr="00D200BC" w:rsidRDefault="00D0194F" w:rsidP="008A7D6A">
      <w:pPr>
        <w:pStyle w:val="Heading3"/>
        <w:numPr>
          <w:ilvl w:val="0"/>
          <w:numId w:val="0"/>
        </w:numPr>
        <w:spacing w:before="0" w:after="120"/>
        <w:jc w:val="center"/>
        <w:rPr>
          <w:sz w:val="24"/>
          <w:szCs w:val="20"/>
        </w:rPr>
      </w:pPr>
      <w:bookmarkStart w:id="48" w:name="_Toc98250556"/>
      <w:bookmarkStart w:id="49" w:name="_Toc130571194"/>
      <w:bookmarkStart w:id="50" w:name="_Toc164679828"/>
      <w:r w:rsidRPr="00D200BC">
        <w:rPr>
          <w:sz w:val="24"/>
          <w:szCs w:val="20"/>
        </w:rPr>
        <w:t xml:space="preserve">3.4.2. </w:t>
      </w:r>
      <w:r w:rsidR="00C13AFE" w:rsidRPr="00D200BC">
        <w:rPr>
          <w:sz w:val="24"/>
          <w:szCs w:val="20"/>
        </w:rPr>
        <w:t>No fiskālās stratēģijas izrietošie fiskālie rādītāji un fiskālā telpa</w:t>
      </w:r>
      <w:bookmarkEnd w:id="48"/>
      <w:bookmarkEnd w:id="49"/>
      <w:bookmarkEnd w:id="50"/>
    </w:p>
    <w:p w14:paraId="173E8FC0" w14:textId="77777777" w:rsidR="00D200BC" w:rsidRDefault="00D200BC" w:rsidP="00D200BC">
      <w:pPr>
        <w:rPr>
          <w:rFonts w:eastAsia="Calibri" w:cs="Times New Roman"/>
          <w:sz w:val="24"/>
        </w:rPr>
      </w:pPr>
      <w:r w:rsidRPr="005C706F">
        <w:rPr>
          <w:rFonts w:eastAsia="Calibri" w:cs="Times New Roman"/>
          <w:sz w:val="24"/>
        </w:rPr>
        <w:t>Saskaņā ar fiskālo stratēģiju</w:t>
      </w:r>
      <w:r>
        <w:rPr>
          <w:rFonts w:eastAsia="Calibri" w:cs="Times New Roman"/>
          <w:sz w:val="24"/>
        </w:rPr>
        <w:t xml:space="preserve"> (skat. 3.1.2. sadaļu)</w:t>
      </w:r>
      <w:r w:rsidRPr="005C706F">
        <w:rPr>
          <w:rFonts w:eastAsia="Calibri" w:cs="Times New Roman"/>
          <w:sz w:val="24"/>
        </w:rPr>
        <w:t xml:space="preserve"> vispārējās valdības budžeta strukturālās bilances mērķi </w:t>
      </w:r>
      <w:r w:rsidRPr="005C706F">
        <w:rPr>
          <w:rFonts w:eastAsia="Calibri" w:cs="Times New Roman"/>
          <w:b/>
          <w:sz w:val="24"/>
        </w:rPr>
        <w:t>0,5% no IKP 2025. gadam</w:t>
      </w:r>
      <w:r w:rsidRPr="005C706F">
        <w:rPr>
          <w:rFonts w:eastAsia="Calibri" w:cs="Times New Roman"/>
          <w:bCs/>
          <w:sz w:val="24"/>
        </w:rPr>
        <w:t xml:space="preserve">, </w:t>
      </w:r>
      <w:r w:rsidRPr="005C706F">
        <w:rPr>
          <w:rFonts w:eastAsia="Calibri" w:cs="Times New Roman"/>
          <w:b/>
          <w:sz w:val="24"/>
        </w:rPr>
        <w:t>-0,5% no IKP 2026. gadam</w:t>
      </w:r>
      <w:r w:rsidRPr="005C706F">
        <w:rPr>
          <w:rFonts w:eastAsia="Calibri" w:cs="Times New Roman"/>
          <w:bCs/>
          <w:sz w:val="24"/>
        </w:rPr>
        <w:t xml:space="preserve">, </w:t>
      </w:r>
      <w:r w:rsidRPr="005C706F">
        <w:rPr>
          <w:rFonts w:eastAsia="Calibri" w:cs="Times New Roman"/>
          <w:b/>
          <w:sz w:val="24"/>
        </w:rPr>
        <w:t>-0,5% no IKP 2027. gadam</w:t>
      </w:r>
      <w:r w:rsidRPr="005C706F">
        <w:rPr>
          <w:rFonts w:eastAsia="Calibri" w:cs="Times New Roman"/>
          <w:bCs/>
          <w:sz w:val="24"/>
        </w:rPr>
        <w:t xml:space="preserve"> un </w:t>
      </w:r>
      <w:r w:rsidRPr="005C706F">
        <w:rPr>
          <w:rFonts w:eastAsia="Calibri" w:cs="Times New Roman"/>
          <w:b/>
          <w:sz w:val="24"/>
        </w:rPr>
        <w:t>-0,5% no IKP 2028. gadam</w:t>
      </w:r>
      <w:r w:rsidRPr="005C706F">
        <w:rPr>
          <w:rFonts w:eastAsia="Calibri" w:cs="Times New Roman"/>
          <w:sz w:val="24"/>
        </w:rPr>
        <w:t xml:space="preserve">. </w:t>
      </w:r>
    </w:p>
    <w:p w14:paraId="561D7C56" w14:textId="76A11837" w:rsidR="00D200BC" w:rsidRPr="005C706F" w:rsidRDefault="00D200BC" w:rsidP="00D200BC">
      <w:pPr>
        <w:rPr>
          <w:rFonts w:eastAsia="Calibri" w:cs="Times New Roman"/>
          <w:sz w:val="24"/>
        </w:rPr>
      </w:pPr>
      <w:r w:rsidRPr="005C706F">
        <w:rPr>
          <w:rFonts w:eastAsia="Calibri" w:cs="Times New Roman"/>
          <w:sz w:val="24"/>
        </w:rPr>
        <w:t xml:space="preserve">No šiem mērķiem izrietošā vispārējās valdības </w:t>
      </w:r>
      <w:r w:rsidR="00677AEF">
        <w:rPr>
          <w:rFonts w:eastAsia="Calibri" w:cs="Times New Roman"/>
          <w:sz w:val="24"/>
        </w:rPr>
        <w:t xml:space="preserve">budžeta </w:t>
      </w:r>
      <w:r w:rsidRPr="005C706F">
        <w:rPr>
          <w:rFonts w:eastAsia="Calibri" w:cs="Times New Roman"/>
          <w:sz w:val="24"/>
        </w:rPr>
        <w:t>nominālā bilance ir aprēķināta 3.</w:t>
      </w:r>
      <w:r w:rsidR="00AD6DEF">
        <w:rPr>
          <w:rFonts w:eastAsia="Calibri" w:cs="Times New Roman"/>
          <w:sz w:val="24"/>
        </w:rPr>
        <w:t>9</w:t>
      </w:r>
      <w:r w:rsidRPr="005C706F">
        <w:rPr>
          <w:rFonts w:eastAsia="Calibri" w:cs="Times New Roman"/>
          <w:sz w:val="24"/>
        </w:rPr>
        <w:t>. tabulā.</w:t>
      </w:r>
    </w:p>
    <w:p w14:paraId="4437C2F0" w14:textId="2D95748A" w:rsidR="00D200BC" w:rsidRPr="00571AB4" w:rsidRDefault="00D200BC" w:rsidP="00D200BC">
      <w:pPr>
        <w:spacing w:before="240" w:after="120"/>
        <w:ind w:left="2410" w:firstLine="0"/>
        <w:jc w:val="right"/>
        <w:rPr>
          <w:rFonts w:eastAsia="Calibri" w:cs="Times New Roman"/>
          <w:b/>
          <w:bCs/>
          <w:i/>
          <w:iCs/>
          <w:sz w:val="24"/>
        </w:rPr>
      </w:pPr>
      <w:r w:rsidRPr="00571AB4">
        <w:rPr>
          <w:rFonts w:eastAsia="Calibri" w:cs="Times New Roman"/>
          <w:b/>
          <w:bCs/>
          <w:i/>
          <w:iCs/>
          <w:sz w:val="24"/>
        </w:rPr>
        <w:t>3.</w:t>
      </w:r>
      <w:r w:rsidR="00AD6DEF" w:rsidRPr="00571AB4">
        <w:rPr>
          <w:rFonts w:eastAsia="Calibri" w:cs="Times New Roman"/>
          <w:b/>
          <w:bCs/>
          <w:i/>
          <w:iCs/>
          <w:sz w:val="24"/>
        </w:rPr>
        <w:t>9</w:t>
      </w:r>
      <w:r w:rsidRPr="00571AB4">
        <w:rPr>
          <w:rFonts w:eastAsia="Calibri" w:cs="Times New Roman"/>
          <w:b/>
          <w:bCs/>
          <w:i/>
          <w:iCs/>
          <w:sz w:val="24"/>
        </w:rPr>
        <w:t>. tabula. No strukturālās bilances mērķa izrietošā vispārējās valdības budžeta nominālā bilance</w:t>
      </w:r>
    </w:p>
    <w:tbl>
      <w:tblPr>
        <w:tblW w:w="949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539"/>
        <w:gridCol w:w="1364"/>
        <w:gridCol w:w="1188"/>
        <w:gridCol w:w="1275"/>
        <w:gridCol w:w="993"/>
        <w:gridCol w:w="1134"/>
      </w:tblGrid>
      <w:tr w:rsidR="00D200BC" w:rsidRPr="005629A7" w14:paraId="060BC370" w14:textId="77777777" w:rsidTr="00571AB4">
        <w:trPr>
          <w:trHeight w:val="364"/>
          <w:tblHeader/>
        </w:trPr>
        <w:tc>
          <w:tcPr>
            <w:tcW w:w="3539" w:type="dxa"/>
            <w:shd w:val="clear" w:color="auto" w:fill="DEEAF6" w:themeFill="accent1" w:themeFillTint="33"/>
            <w:noWrap/>
            <w:vAlign w:val="bottom"/>
            <w:hideMark/>
          </w:tcPr>
          <w:p w14:paraId="2A3E46E8" w14:textId="77777777" w:rsidR="00D200BC" w:rsidRPr="005629A7" w:rsidRDefault="00D200BC" w:rsidP="0011009A">
            <w:pPr>
              <w:ind w:firstLine="0"/>
              <w:jc w:val="left"/>
              <w:rPr>
                <w:rFonts w:eastAsia="Times New Roman" w:cs="Times New Roman"/>
                <w:color w:val="000000"/>
                <w:sz w:val="18"/>
                <w:szCs w:val="18"/>
                <w:lang w:eastAsia="lv-LV"/>
              </w:rPr>
            </w:pPr>
            <w:r w:rsidRPr="005629A7">
              <w:rPr>
                <w:rFonts w:eastAsia="Times New Roman" w:cs="Times New Roman"/>
                <w:color w:val="000000"/>
                <w:sz w:val="18"/>
                <w:szCs w:val="18"/>
                <w:lang w:eastAsia="lv-LV"/>
              </w:rPr>
              <w:t> </w:t>
            </w:r>
          </w:p>
        </w:tc>
        <w:tc>
          <w:tcPr>
            <w:tcW w:w="1364" w:type="dxa"/>
            <w:shd w:val="clear" w:color="auto" w:fill="DEEAF6" w:themeFill="accent1" w:themeFillTint="33"/>
            <w:noWrap/>
            <w:vAlign w:val="center"/>
            <w:hideMark/>
          </w:tcPr>
          <w:p w14:paraId="32330454" w14:textId="77777777" w:rsidR="00D200BC" w:rsidRPr="005629A7" w:rsidRDefault="00D200BC" w:rsidP="0011009A">
            <w:pPr>
              <w:ind w:firstLine="0"/>
              <w:jc w:val="left"/>
              <w:rPr>
                <w:rFonts w:eastAsia="Times New Roman" w:cs="Times New Roman"/>
                <w:color w:val="000000"/>
                <w:sz w:val="18"/>
                <w:szCs w:val="18"/>
                <w:lang w:eastAsia="lv-LV"/>
              </w:rPr>
            </w:pPr>
            <w:r w:rsidRPr="005629A7">
              <w:rPr>
                <w:rFonts w:eastAsia="Times New Roman" w:cs="Times New Roman"/>
                <w:color w:val="000000"/>
                <w:sz w:val="18"/>
                <w:szCs w:val="18"/>
                <w:lang w:eastAsia="lv-LV"/>
              </w:rPr>
              <w:t> </w:t>
            </w:r>
          </w:p>
        </w:tc>
        <w:tc>
          <w:tcPr>
            <w:tcW w:w="1188" w:type="dxa"/>
            <w:shd w:val="clear" w:color="auto" w:fill="DEEAF6" w:themeFill="accent1" w:themeFillTint="33"/>
            <w:noWrap/>
            <w:vAlign w:val="center"/>
            <w:hideMark/>
          </w:tcPr>
          <w:p w14:paraId="6A39E062"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2025</w:t>
            </w:r>
          </w:p>
        </w:tc>
        <w:tc>
          <w:tcPr>
            <w:tcW w:w="1275" w:type="dxa"/>
            <w:shd w:val="clear" w:color="auto" w:fill="DEEAF6" w:themeFill="accent1" w:themeFillTint="33"/>
            <w:noWrap/>
            <w:vAlign w:val="center"/>
            <w:hideMark/>
          </w:tcPr>
          <w:p w14:paraId="4961EF96"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2026</w:t>
            </w:r>
          </w:p>
        </w:tc>
        <w:tc>
          <w:tcPr>
            <w:tcW w:w="993" w:type="dxa"/>
            <w:shd w:val="clear" w:color="auto" w:fill="DEEAF6" w:themeFill="accent1" w:themeFillTint="33"/>
            <w:vAlign w:val="center"/>
          </w:tcPr>
          <w:p w14:paraId="4D311B1E"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2027</w:t>
            </w:r>
          </w:p>
        </w:tc>
        <w:tc>
          <w:tcPr>
            <w:tcW w:w="1134" w:type="dxa"/>
            <w:shd w:val="clear" w:color="auto" w:fill="DEEAF6" w:themeFill="accent1" w:themeFillTint="33"/>
            <w:noWrap/>
            <w:vAlign w:val="center"/>
            <w:hideMark/>
          </w:tcPr>
          <w:p w14:paraId="6FEA2EA1"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2028</w:t>
            </w:r>
          </w:p>
        </w:tc>
      </w:tr>
      <w:tr w:rsidR="00D200BC" w:rsidRPr="005629A7" w14:paraId="4ED3DBF3" w14:textId="77777777" w:rsidTr="0011009A">
        <w:trPr>
          <w:trHeight w:val="61"/>
        </w:trPr>
        <w:tc>
          <w:tcPr>
            <w:tcW w:w="3539" w:type="dxa"/>
            <w:shd w:val="clear" w:color="auto" w:fill="auto"/>
            <w:noWrap/>
            <w:vAlign w:val="bottom"/>
          </w:tcPr>
          <w:p w14:paraId="0C55575D" w14:textId="42B1A810" w:rsidR="00D200BC" w:rsidRPr="005629A7" w:rsidRDefault="00D200BC" w:rsidP="0011009A">
            <w:pPr>
              <w:ind w:firstLine="0"/>
              <w:jc w:val="left"/>
              <w:rPr>
                <w:rFonts w:eastAsia="Times New Roman" w:cs="Times New Roman"/>
                <w:b/>
                <w:bCs/>
                <w:color w:val="000000"/>
                <w:sz w:val="20"/>
                <w:szCs w:val="20"/>
                <w:lang w:eastAsia="lv-LV"/>
              </w:rPr>
            </w:pPr>
            <w:r w:rsidRPr="005629A7">
              <w:rPr>
                <w:rFonts w:cs="Times New Roman"/>
                <w:b/>
                <w:bCs/>
                <w:color w:val="000000"/>
                <w:sz w:val="20"/>
                <w:szCs w:val="20"/>
              </w:rPr>
              <w:t xml:space="preserve">Vispārējās valdības </w:t>
            </w:r>
            <w:r w:rsidR="00C0107E">
              <w:rPr>
                <w:rFonts w:cs="Times New Roman"/>
                <w:b/>
                <w:bCs/>
                <w:color w:val="000000"/>
                <w:sz w:val="20"/>
                <w:szCs w:val="20"/>
              </w:rPr>
              <w:t xml:space="preserve">budžeta </w:t>
            </w:r>
            <w:r w:rsidRPr="005629A7">
              <w:rPr>
                <w:rFonts w:cs="Times New Roman"/>
                <w:b/>
                <w:bCs/>
                <w:color w:val="000000"/>
                <w:sz w:val="20"/>
                <w:szCs w:val="20"/>
              </w:rPr>
              <w:t>strukturālās bilances mērķi, % no IKP</w:t>
            </w:r>
          </w:p>
        </w:tc>
        <w:tc>
          <w:tcPr>
            <w:tcW w:w="1364" w:type="dxa"/>
            <w:shd w:val="clear" w:color="auto" w:fill="auto"/>
            <w:noWrap/>
            <w:vAlign w:val="center"/>
          </w:tcPr>
          <w:p w14:paraId="41053CB0" w14:textId="77777777" w:rsidR="00D200BC" w:rsidRPr="005629A7" w:rsidRDefault="00D200BC" w:rsidP="0011009A">
            <w:pPr>
              <w:ind w:firstLine="0"/>
              <w:jc w:val="left"/>
              <w:rPr>
                <w:rFonts w:eastAsia="Times New Roman" w:cs="Times New Roman"/>
                <w:b/>
                <w:bCs/>
                <w:color w:val="000000"/>
                <w:sz w:val="20"/>
                <w:szCs w:val="20"/>
                <w:lang w:eastAsia="lv-LV"/>
              </w:rPr>
            </w:pPr>
            <w:r w:rsidRPr="005629A7">
              <w:rPr>
                <w:rFonts w:eastAsia="Times New Roman" w:cs="Times New Roman"/>
                <w:b/>
                <w:bCs/>
                <w:color w:val="000000"/>
                <w:sz w:val="20"/>
                <w:szCs w:val="20"/>
                <w:lang w:eastAsia="lv-LV"/>
              </w:rPr>
              <w:t>(1)</w:t>
            </w:r>
          </w:p>
        </w:tc>
        <w:tc>
          <w:tcPr>
            <w:tcW w:w="1188" w:type="dxa"/>
            <w:shd w:val="clear" w:color="auto" w:fill="auto"/>
            <w:noWrap/>
            <w:vAlign w:val="center"/>
          </w:tcPr>
          <w:p w14:paraId="00F604BB"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b/>
                <w:bCs/>
                <w:sz w:val="20"/>
                <w:szCs w:val="20"/>
              </w:rPr>
              <w:t>-0,5</w:t>
            </w:r>
          </w:p>
        </w:tc>
        <w:tc>
          <w:tcPr>
            <w:tcW w:w="1275" w:type="dxa"/>
            <w:shd w:val="clear" w:color="auto" w:fill="auto"/>
            <w:noWrap/>
            <w:vAlign w:val="center"/>
          </w:tcPr>
          <w:p w14:paraId="792036C6"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b/>
                <w:bCs/>
                <w:sz w:val="20"/>
                <w:szCs w:val="20"/>
              </w:rPr>
              <w:t>-0,5</w:t>
            </w:r>
          </w:p>
        </w:tc>
        <w:tc>
          <w:tcPr>
            <w:tcW w:w="993" w:type="dxa"/>
            <w:vAlign w:val="center"/>
          </w:tcPr>
          <w:p w14:paraId="63E236A6" w14:textId="77777777" w:rsidR="00D200BC" w:rsidRPr="005629A7" w:rsidRDefault="00D200BC" w:rsidP="0011009A">
            <w:pPr>
              <w:ind w:firstLine="0"/>
              <w:jc w:val="center"/>
              <w:rPr>
                <w:rFonts w:cs="Times New Roman"/>
                <w:b/>
                <w:bCs/>
                <w:sz w:val="20"/>
                <w:szCs w:val="20"/>
              </w:rPr>
            </w:pPr>
            <w:r w:rsidRPr="005629A7">
              <w:rPr>
                <w:b/>
                <w:bCs/>
                <w:sz w:val="20"/>
                <w:szCs w:val="20"/>
              </w:rPr>
              <w:t>-0,5</w:t>
            </w:r>
          </w:p>
        </w:tc>
        <w:tc>
          <w:tcPr>
            <w:tcW w:w="1134" w:type="dxa"/>
            <w:shd w:val="clear" w:color="auto" w:fill="auto"/>
            <w:noWrap/>
            <w:vAlign w:val="center"/>
          </w:tcPr>
          <w:p w14:paraId="78577942"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b/>
                <w:bCs/>
                <w:sz w:val="20"/>
                <w:szCs w:val="20"/>
              </w:rPr>
              <w:t>-0,5</w:t>
            </w:r>
          </w:p>
        </w:tc>
      </w:tr>
      <w:tr w:rsidR="00D200BC" w:rsidRPr="005629A7" w14:paraId="17EF2BE5" w14:textId="77777777" w:rsidTr="0011009A">
        <w:trPr>
          <w:trHeight w:val="61"/>
        </w:trPr>
        <w:tc>
          <w:tcPr>
            <w:tcW w:w="3539" w:type="dxa"/>
            <w:shd w:val="clear" w:color="auto" w:fill="auto"/>
            <w:noWrap/>
            <w:vAlign w:val="bottom"/>
          </w:tcPr>
          <w:p w14:paraId="30A9E699" w14:textId="77777777" w:rsidR="00D200BC" w:rsidRPr="005629A7" w:rsidRDefault="00D200BC" w:rsidP="0011009A">
            <w:pPr>
              <w:ind w:firstLine="0"/>
              <w:jc w:val="left"/>
              <w:rPr>
                <w:rFonts w:eastAsia="Times New Roman" w:cs="Times New Roman"/>
                <w:b/>
                <w:bCs/>
                <w:color w:val="000000"/>
                <w:sz w:val="20"/>
                <w:szCs w:val="20"/>
                <w:lang w:eastAsia="lv-LV"/>
              </w:rPr>
            </w:pPr>
            <w:r w:rsidRPr="005629A7">
              <w:rPr>
                <w:rFonts w:cs="Times New Roman"/>
                <w:b/>
                <w:bCs/>
                <w:color w:val="000000"/>
                <w:sz w:val="20"/>
                <w:szCs w:val="20"/>
              </w:rPr>
              <w:t>Izlaižu starpība, % no potenciālā IKP</w:t>
            </w:r>
          </w:p>
        </w:tc>
        <w:tc>
          <w:tcPr>
            <w:tcW w:w="1364" w:type="dxa"/>
            <w:shd w:val="clear" w:color="auto" w:fill="auto"/>
            <w:noWrap/>
            <w:vAlign w:val="center"/>
            <w:hideMark/>
          </w:tcPr>
          <w:p w14:paraId="010055F3" w14:textId="77777777" w:rsidR="00D200BC" w:rsidRPr="005629A7" w:rsidRDefault="00D200BC" w:rsidP="0011009A">
            <w:pPr>
              <w:ind w:firstLine="0"/>
              <w:jc w:val="left"/>
              <w:rPr>
                <w:rFonts w:eastAsia="Times New Roman" w:cs="Times New Roman"/>
                <w:b/>
                <w:bCs/>
                <w:color w:val="000000"/>
                <w:sz w:val="20"/>
                <w:szCs w:val="20"/>
                <w:lang w:eastAsia="lv-LV"/>
              </w:rPr>
            </w:pPr>
            <w:r w:rsidRPr="005629A7">
              <w:rPr>
                <w:rFonts w:eastAsia="Times New Roman" w:cs="Times New Roman"/>
                <w:b/>
                <w:bCs/>
                <w:color w:val="000000"/>
                <w:sz w:val="20"/>
                <w:szCs w:val="20"/>
                <w:lang w:eastAsia="lv-LV"/>
              </w:rPr>
              <w:t>(2)</w:t>
            </w:r>
          </w:p>
        </w:tc>
        <w:tc>
          <w:tcPr>
            <w:tcW w:w="1188" w:type="dxa"/>
            <w:shd w:val="clear" w:color="auto" w:fill="auto"/>
            <w:noWrap/>
            <w:vAlign w:val="center"/>
          </w:tcPr>
          <w:p w14:paraId="04EE0101"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sz w:val="20"/>
                <w:szCs w:val="20"/>
              </w:rPr>
              <w:t>-0,3</w:t>
            </w:r>
          </w:p>
        </w:tc>
        <w:tc>
          <w:tcPr>
            <w:tcW w:w="1275" w:type="dxa"/>
            <w:shd w:val="clear" w:color="auto" w:fill="auto"/>
            <w:noWrap/>
            <w:vAlign w:val="center"/>
          </w:tcPr>
          <w:p w14:paraId="39A93FE8"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sz w:val="20"/>
                <w:szCs w:val="20"/>
              </w:rPr>
              <w:t>0,0</w:t>
            </w:r>
          </w:p>
        </w:tc>
        <w:tc>
          <w:tcPr>
            <w:tcW w:w="993" w:type="dxa"/>
            <w:vAlign w:val="center"/>
          </w:tcPr>
          <w:p w14:paraId="2D0583A1" w14:textId="77777777" w:rsidR="00D200BC" w:rsidRPr="005629A7" w:rsidRDefault="00D200BC" w:rsidP="0011009A">
            <w:pPr>
              <w:ind w:firstLine="0"/>
              <w:jc w:val="center"/>
              <w:rPr>
                <w:rFonts w:cs="Times New Roman"/>
                <w:b/>
                <w:bCs/>
                <w:sz w:val="20"/>
                <w:szCs w:val="20"/>
              </w:rPr>
            </w:pPr>
            <w:r w:rsidRPr="005629A7">
              <w:rPr>
                <w:sz w:val="20"/>
                <w:szCs w:val="20"/>
              </w:rPr>
              <w:t>0,0</w:t>
            </w:r>
          </w:p>
        </w:tc>
        <w:tc>
          <w:tcPr>
            <w:tcW w:w="1134" w:type="dxa"/>
            <w:shd w:val="clear" w:color="auto" w:fill="auto"/>
            <w:noWrap/>
            <w:vAlign w:val="center"/>
          </w:tcPr>
          <w:p w14:paraId="479771A2"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sz w:val="20"/>
                <w:szCs w:val="20"/>
              </w:rPr>
              <w:t>0,0</w:t>
            </w:r>
          </w:p>
        </w:tc>
      </w:tr>
      <w:tr w:rsidR="00D200BC" w:rsidRPr="005629A7" w14:paraId="47B61583" w14:textId="77777777" w:rsidTr="0011009A">
        <w:trPr>
          <w:trHeight w:val="61"/>
        </w:trPr>
        <w:tc>
          <w:tcPr>
            <w:tcW w:w="3539" w:type="dxa"/>
            <w:shd w:val="clear" w:color="auto" w:fill="auto"/>
            <w:noWrap/>
            <w:vAlign w:val="bottom"/>
          </w:tcPr>
          <w:p w14:paraId="4D73B413" w14:textId="77777777" w:rsidR="00D200BC" w:rsidRPr="005629A7" w:rsidRDefault="00D200BC" w:rsidP="0011009A">
            <w:pPr>
              <w:ind w:firstLine="0"/>
              <w:jc w:val="left"/>
              <w:rPr>
                <w:rFonts w:eastAsia="Times New Roman" w:cs="Times New Roman"/>
                <w:b/>
                <w:bCs/>
                <w:color w:val="000000"/>
                <w:sz w:val="20"/>
                <w:szCs w:val="20"/>
                <w:lang w:eastAsia="lv-LV"/>
              </w:rPr>
            </w:pPr>
            <w:r w:rsidRPr="005629A7">
              <w:rPr>
                <w:rFonts w:cs="Times New Roman"/>
                <w:b/>
                <w:bCs/>
                <w:color w:val="000000"/>
                <w:sz w:val="20"/>
                <w:szCs w:val="20"/>
              </w:rPr>
              <w:t>Bilances cikliskā komponente, % no IKP</w:t>
            </w:r>
          </w:p>
        </w:tc>
        <w:tc>
          <w:tcPr>
            <w:tcW w:w="1364" w:type="dxa"/>
            <w:shd w:val="clear" w:color="auto" w:fill="auto"/>
            <w:noWrap/>
            <w:vAlign w:val="center"/>
            <w:hideMark/>
          </w:tcPr>
          <w:p w14:paraId="6AD02C78" w14:textId="77777777" w:rsidR="00D200BC" w:rsidRPr="005629A7" w:rsidRDefault="00D200BC" w:rsidP="0011009A">
            <w:pPr>
              <w:ind w:firstLine="0"/>
              <w:jc w:val="left"/>
              <w:rPr>
                <w:rFonts w:eastAsia="Times New Roman" w:cs="Times New Roman"/>
                <w:b/>
                <w:bCs/>
                <w:color w:val="000000"/>
                <w:sz w:val="20"/>
                <w:szCs w:val="20"/>
                <w:lang w:eastAsia="lv-LV"/>
              </w:rPr>
            </w:pPr>
            <w:r w:rsidRPr="005629A7">
              <w:rPr>
                <w:rFonts w:eastAsia="Times New Roman" w:cs="Times New Roman"/>
                <w:b/>
                <w:bCs/>
                <w:color w:val="000000"/>
                <w:sz w:val="20"/>
                <w:szCs w:val="20"/>
                <w:lang w:eastAsia="lv-LV"/>
              </w:rPr>
              <w:t>(3)=0,378*(2)</w:t>
            </w:r>
          </w:p>
        </w:tc>
        <w:tc>
          <w:tcPr>
            <w:tcW w:w="1188" w:type="dxa"/>
            <w:shd w:val="clear" w:color="auto" w:fill="auto"/>
            <w:noWrap/>
            <w:vAlign w:val="center"/>
          </w:tcPr>
          <w:p w14:paraId="4F46E331"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sz w:val="20"/>
                <w:szCs w:val="20"/>
              </w:rPr>
              <w:t>-0,1</w:t>
            </w:r>
          </w:p>
        </w:tc>
        <w:tc>
          <w:tcPr>
            <w:tcW w:w="1275" w:type="dxa"/>
            <w:shd w:val="clear" w:color="auto" w:fill="auto"/>
            <w:noWrap/>
            <w:vAlign w:val="center"/>
          </w:tcPr>
          <w:p w14:paraId="6D86A258"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sz w:val="20"/>
                <w:szCs w:val="20"/>
              </w:rPr>
              <w:t>0,0</w:t>
            </w:r>
          </w:p>
        </w:tc>
        <w:tc>
          <w:tcPr>
            <w:tcW w:w="993" w:type="dxa"/>
            <w:vAlign w:val="center"/>
          </w:tcPr>
          <w:p w14:paraId="610EF81D" w14:textId="77777777" w:rsidR="00D200BC" w:rsidRPr="005629A7" w:rsidRDefault="00D200BC" w:rsidP="0011009A">
            <w:pPr>
              <w:ind w:firstLine="0"/>
              <w:jc w:val="center"/>
              <w:rPr>
                <w:rFonts w:cs="Times New Roman"/>
                <w:b/>
                <w:bCs/>
                <w:sz w:val="20"/>
                <w:szCs w:val="20"/>
              </w:rPr>
            </w:pPr>
            <w:r w:rsidRPr="005629A7">
              <w:rPr>
                <w:sz w:val="20"/>
                <w:szCs w:val="20"/>
              </w:rPr>
              <w:t>0,0</w:t>
            </w:r>
          </w:p>
        </w:tc>
        <w:tc>
          <w:tcPr>
            <w:tcW w:w="1134" w:type="dxa"/>
            <w:shd w:val="clear" w:color="auto" w:fill="auto"/>
            <w:noWrap/>
            <w:vAlign w:val="center"/>
          </w:tcPr>
          <w:p w14:paraId="16514AFA"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sz w:val="20"/>
                <w:szCs w:val="20"/>
              </w:rPr>
              <w:t>0,0</w:t>
            </w:r>
          </w:p>
        </w:tc>
      </w:tr>
      <w:tr w:rsidR="00D200BC" w:rsidRPr="005629A7" w14:paraId="4C32B92E" w14:textId="77777777" w:rsidTr="0011009A">
        <w:trPr>
          <w:trHeight w:val="61"/>
        </w:trPr>
        <w:tc>
          <w:tcPr>
            <w:tcW w:w="3539" w:type="dxa"/>
            <w:shd w:val="clear" w:color="auto" w:fill="auto"/>
            <w:noWrap/>
            <w:vAlign w:val="bottom"/>
          </w:tcPr>
          <w:p w14:paraId="2F642160" w14:textId="77777777" w:rsidR="00D200BC" w:rsidRPr="005629A7" w:rsidRDefault="00D200BC" w:rsidP="0011009A">
            <w:pPr>
              <w:ind w:firstLine="0"/>
              <w:rPr>
                <w:rFonts w:eastAsia="Times New Roman" w:cs="Times New Roman"/>
                <w:b/>
                <w:bCs/>
                <w:i/>
                <w:iCs/>
                <w:color w:val="000000"/>
                <w:sz w:val="20"/>
                <w:szCs w:val="20"/>
                <w:lang w:eastAsia="lv-LV"/>
              </w:rPr>
            </w:pPr>
            <w:proofErr w:type="spellStart"/>
            <w:r w:rsidRPr="005629A7">
              <w:rPr>
                <w:rFonts w:cs="Times New Roman"/>
                <w:b/>
                <w:bCs/>
                <w:i/>
                <w:iCs/>
                <w:color w:val="000000"/>
                <w:sz w:val="20"/>
                <w:szCs w:val="20"/>
              </w:rPr>
              <w:t>One-off</w:t>
            </w:r>
            <w:proofErr w:type="spellEnd"/>
            <w:r w:rsidRPr="005629A7">
              <w:rPr>
                <w:rFonts w:cs="Times New Roman"/>
                <w:b/>
                <w:bCs/>
                <w:i/>
                <w:iCs/>
                <w:color w:val="000000"/>
                <w:sz w:val="20"/>
                <w:szCs w:val="20"/>
              </w:rPr>
              <w:t xml:space="preserve"> un citi īslaicīgie pasākumi, % no IKP, tai skaitā</w:t>
            </w:r>
          </w:p>
        </w:tc>
        <w:tc>
          <w:tcPr>
            <w:tcW w:w="1364" w:type="dxa"/>
            <w:shd w:val="clear" w:color="auto" w:fill="auto"/>
            <w:noWrap/>
            <w:vAlign w:val="center"/>
            <w:hideMark/>
          </w:tcPr>
          <w:p w14:paraId="2F613119" w14:textId="77777777" w:rsidR="00D200BC" w:rsidRPr="005629A7" w:rsidRDefault="00D200BC" w:rsidP="0011009A">
            <w:pPr>
              <w:ind w:firstLine="0"/>
              <w:jc w:val="left"/>
              <w:rPr>
                <w:rFonts w:eastAsia="Times New Roman" w:cs="Times New Roman"/>
                <w:b/>
                <w:bCs/>
                <w:color w:val="000000"/>
                <w:sz w:val="20"/>
                <w:szCs w:val="20"/>
                <w:lang w:eastAsia="lv-LV"/>
              </w:rPr>
            </w:pPr>
            <w:r w:rsidRPr="005629A7">
              <w:rPr>
                <w:rFonts w:eastAsia="Times New Roman" w:cs="Times New Roman"/>
                <w:b/>
                <w:bCs/>
                <w:color w:val="000000"/>
                <w:sz w:val="20"/>
                <w:szCs w:val="20"/>
                <w:lang w:eastAsia="lv-LV"/>
              </w:rPr>
              <w:t>(4)</w:t>
            </w:r>
          </w:p>
        </w:tc>
        <w:tc>
          <w:tcPr>
            <w:tcW w:w="1188" w:type="dxa"/>
            <w:shd w:val="clear" w:color="auto" w:fill="auto"/>
            <w:noWrap/>
            <w:vAlign w:val="center"/>
          </w:tcPr>
          <w:p w14:paraId="3EA56206"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b/>
                <w:bCs/>
                <w:sz w:val="20"/>
                <w:szCs w:val="20"/>
              </w:rPr>
              <w:t>-1,6</w:t>
            </w:r>
          </w:p>
        </w:tc>
        <w:tc>
          <w:tcPr>
            <w:tcW w:w="1275" w:type="dxa"/>
            <w:shd w:val="clear" w:color="auto" w:fill="auto"/>
            <w:noWrap/>
            <w:vAlign w:val="center"/>
          </w:tcPr>
          <w:p w14:paraId="69AE6721"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b/>
                <w:bCs/>
                <w:sz w:val="20"/>
                <w:szCs w:val="20"/>
              </w:rPr>
              <w:t>-1,6</w:t>
            </w:r>
          </w:p>
        </w:tc>
        <w:tc>
          <w:tcPr>
            <w:tcW w:w="993" w:type="dxa"/>
            <w:vAlign w:val="center"/>
          </w:tcPr>
          <w:p w14:paraId="62B74CDB" w14:textId="77777777" w:rsidR="00D200BC" w:rsidRPr="005629A7" w:rsidRDefault="00D200BC" w:rsidP="0011009A">
            <w:pPr>
              <w:ind w:firstLine="0"/>
              <w:jc w:val="center"/>
              <w:rPr>
                <w:rFonts w:cs="Times New Roman"/>
                <w:b/>
                <w:bCs/>
                <w:sz w:val="20"/>
                <w:szCs w:val="20"/>
              </w:rPr>
            </w:pPr>
            <w:r w:rsidRPr="005629A7">
              <w:rPr>
                <w:b/>
                <w:bCs/>
                <w:sz w:val="20"/>
                <w:szCs w:val="20"/>
              </w:rPr>
              <w:t>-1,5</w:t>
            </w:r>
          </w:p>
        </w:tc>
        <w:tc>
          <w:tcPr>
            <w:tcW w:w="1134" w:type="dxa"/>
            <w:shd w:val="clear" w:color="auto" w:fill="auto"/>
            <w:noWrap/>
            <w:vAlign w:val="center"/>
          </w:tcPr>
          <w:p w14:paraId="2D0C4EAB" w14:textId="77777777" w:rsidR="00D200BC" w:rsidRPr="005629A7" w:rsidRDefault="00D200BC" w:rsidP="0011009A">
            <w:pPr>
              <w:ind w:firstLine="0"/>
              <w:jc w:val="center"/>
              <w:rPr>
                <w:rFonts w:eastAsia="Times New Roman" w:cs="Times New Roman"/>
                <w:b/>
                <w:bCs/>
                <w:color w:val="000000"/>
                <w:sz w:val="20"/>
                <w:szCs w:val="20"/>
                <w:lang w:eastAsia="lv-LV"/>
              </w:rPr>
            </w:pPr>
            <w:r w:rsidRPr="005629A7">
              <w:rPr>
                <w:b/>
                <w:bCs/>
                <w:sz w:val="20"/>
                <w:szCs w:val="20"/>
              </w:rPr>
              <w:t>-1,3</w:t>
            </w:r>
          </w:p>
        </w:tc>
      </w:tr>
      <w:tr w:rsidR="00D200BC" w:rsidRPr="005629A7" w14:paraId="06B08DB5" w14:textId="77777777" w:rsidTr="0011009A">
        <w:trPr>
          <w:trHeight w:val="61"/>
        </w:trPr>
        <w:tc>
          <w:tcPr>
            <w:tcW w:w="3539" w:type="dxa"/>
            <w:shd w:val="clear" w:color="auto" w:fill="auto"/>
            <w:noWrap/>
            <w:vAlign w:val="bottom"/>
          </w:tcPr>
          <w:p w14:paraId="50F7095A" w14:textId="77777777" w:rsidR="00D200BC" w:rsidRPr="005629A7" w:rsidRDefault="00D200BC" w:rsidP="0011009A">
            <w:pPr>
              <w:ind w:firstLineChars="200" w:firstLine="400"/>
              <w:jc w:val="left"/>
              <w:rPr>
                <w:rFonts w:eastAsia="Times New Roman" w:cs="Times New Roman"/>
                <w:color w:val="000000"/>
                <w:sz w:val="20"/>
                <w:szCs w:val="20"/>
                <w:lang w:eastAsia="lv-LV"/>
              </w:rPr>
            </w:pPr>
            <w:r w:rsidRPr="005629A7">
              <w:rPr>
                <w:rFonts w:cs="Times New Roman"/>
                <w:color w:val="000000"/>
                <w:sz w:val="20"/>
                <w:szCs w:val="20"/>
              </w:rPr>
              <w:t>COVID -19 pandēmijas mazināšanas pasākumi</w:t>
            </w:r>
          </w:p>
        </w:tc>
        <w:tc>
          <w:tcPr>
            <w:tcW w:w="1364" w:type="dxa"/>
            <w:shd w:val="clear" w:color="auto" w:fill="auto"/>
            <w:noWrap/>
            <w:vAlign w:val="center"/>
            <w:hideMark/>
          </w:tcPr>
          <w:p w14:paraId="302EB443" w14:textId="77777777" w:rsidR="00D200BC" w:rsidRPr="005629A7" w:rsidRDefault="00D200BC" w:rsidP="0011009A">
            <w:pPr>
              <w:ind w:firstLine="0"/>
              <w:jc w:val="left"/>
              <w:rPr>
                <w:rFonts w:eastAsia="Times New Roman" w:cs="Times New Roman"/>
                <w:color w:val="000000"/>
                <w:sz w:val="20"/>
                <w:szCs w:val="20"/>
                <w:lang w:eastAsia="lv-LV"/>
              </w:rPr>
            </w:pPr>
          </w:p>
        </w:tc>
        <w:tc>
          <w:tcPr>
            <w:tcW w:w="1188" w:type="dxa"/>
            <w:shd w:val="clear" w:color="auto" w:fill="auto"/>
            <w:noWrap/>
            <w:vAlign w:val="center"/>
          </w:tcPr>
          <w:p w14:paraId="0AC63DC4"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-0,01</w:t>
            </w:r>
          </w:p>
        </w:tc>
        <w:tc>
          <w:tcPr>
            <w:tcW w:w="1275" w:type="dxa"/>
            <w:shd w:val="clear" w:color="auto" w:fill="auto"/>
            <w:noWrap/>
            <w:vAlign w:val="center"/>
          </w:tcPr>
          <w:p w14:paraId="723C505B"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-0,01</w:t>
            </w:r>
          </w:p>
        </w:tc>
        <w:tc>
          <w:tcPr>
            <w:tcW w:w="993" w:type="dxa"/>
            <w:vAlign w:val="center"/>
          </w:tcPr>
          <w:p w14:paraId="0EE3B031" w14:textId="77777777" w:rsidR="00D200BC" w:rsidRPr="005629A7" w:rsidRDefault="00D200BC" w:rsidP="0011009A">
            <w:pPr>
              <w:ind w:firstLine="0"/>
              <w:jc w:val="center"/>
              <w:rPr>
                <w:rFonts w:cs="Times New Roman"/>
                <w:sz w:val="20"/>
                <w:szCs w:val="20"/>
              </w:rPr>
            </w:pPr>
            <w:r w:rsidRPr="005629A7">
              <w:rPr>
                <w:sz w:val="20"/>
                <w:szCs w:val="20"/>
              </w:rPr>
              <w:t>0,00</w:t>
            </w:r>
          </w:p>
        </w:tc>
        <w:tc>
          <w:tcPr>
            <w:tcW w:w="1134" w:type="dxa"/>
            <w:shd w:val="clear" w:color="auto" w:fill="auto"/>
            <w:noWrap/>
            <w:vAlign w:val="center"/>
          </w:tcPr>
          <w:p w14:paraId="4FEB0877"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0,00</w:t>
            </w:r>
          </w:p>
        </w:tc>
      </w:tr>
      <w:tr w:rsidR="00D200BC" w:rsidRPr="005629A7" w14:paraId="2963C780" w14:textId="77777777" w:rsidTr="0011009A">
        <w:trPr>
          <w:trHeight w:val="61"/>
        </w:trPr>
        <w:tc>
          <w:tcPr>
            <w:tcW w:w="3539" w:type="dxa"/>
            <w:shd w:val="clear" w:color="auto" w:fill="auto"/>
            <w:noWrap/>
            <w:vAlign w:val="bottom"/>
          </w:tcPr>
          <w:p w14:paraId="3E390F61" w14:textId="77777777" w:rsidR="00D200BC" w:rsidRPr="005629A7" w:rsidRDefault="00D200BC" w:rsidP="0011009A">
            <w:pPr>
              <w:ind w:firstLineChars="200" w:firstLine="400"/>
              <w:jc w:val="left"/>
              <w:rPr>
                <w:rFonts w:eastAsia="Times New Roman" w:cs="Times New Roman"/>
                <w:color w:val="000000"/>
                <w:sz w:val="20"/>
                <w:szCs w:val="20"/>
                <w:lang w:eastAsia="lv-LV"/>
              </w:rPr>
            </w:pPr>
            <w:r w:rsidRPr="005629A7">
              <w:rPr>
                <w:rFonts w:cs="Times New Roman"/>
                <w:color w:val="000000"/>
                <w:sz w:val="20"/>
                <w:szCs w:val="20"/>
              </w:rPr>
              <w:t>enerģijas cenas pieauguma mazināšanas pasākumi</w:t>
            </w:r>
          </w:p>
        </w:tc>
        <w:tc>
          <w:tcPr>
            <w:tcW w:w="1364" w:type="dxa"/>
            <w:shd w:val="clear" w:color="auto" w:fill="auto"/>
            <w:noWrap/>
            <w:vAlign w:val="center"/>
            <w:hideMark/>
          </w:tcPr>
          <w:p w14:paraId="2E0FBFAD" w14:textId="77777777" w:rsidR="00D200BC" w:rsidRPr="005629A7" w:rsidRDefault="00D200BC" w:rsidP="0011009A">
            <w:pPr>
              <w:ind w:firstLine="0"/>
              <w:jc w:val="left"/>
              <w:rPr>
                <w:rFonts w:eastAsia="Times New Roman" w:cs="Times New Roman"/>
                <w:color w:val="000000"/>
                <w:sz w:val="20"/>
                <w:szCs w:val="20"/>
                <w:lang w:eastAsia="lv-LV"/>
              </w:rPr>
            </w:pPr>
          </w:p>
        </w:tc>
        <w:tc>
          <w:tcPr>
            <w:tcW w:w="1188" w:type="dxa"/>
            <w:shd w:val="clear" w:color="auto" w:fill="auto"/>
            <w:noWrap/>
            <w:vAlign w:val="center"/>
          </w:tcPr>
          <w:p w14:paraId="2D39159B"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0,0</w:t>
            </w:r>
          </w:p>
        </w:tc>
        <w:tc>
          <w:tcPr>
            <w:tcW w:w="1275" w:type="dxa"/>
            <w:shd w:val="clear" w:color="auto" w:fill="auto"/>
            <w:noWrap/>
            <w:vAlign w:val="center"/>
          </w:tcPr>
          <w:p w14:paraId="01FEB946"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0,0</w:t>
            </w:r>
          </w:p>
        </w:tc>
        <w:tc>
          <w:tcPr>
            <w:tcW w:w="993" w:type="dxa"/>
            <w:vAlign w:val="center"/>
          </w:tcPr>
          <w:p w14:paraId="24165D5E" w14:textId="77777777" w:rsidR="00D200BC" w:rsidRPr="005629A7" w:rsidRDefault="00D200BC" w:rsidP="0011009A">
            <w:pPr>
              <w:ind w:firstLine="0"/>
              <w:jc w:val="center"/>
              <w:rPr>
                <w:rFonts w:cs="Times New Roman"/>
                <w:sz w:val="20"/>
                <w:szCs w:val="20"/>
              </w:rPr>
            </w:pPr>
            <w:r w:rsidRPr="005629A7">
              <w:rPr>
                <w:sz w:val="20"/>
                <w:szCs w:val="20"/>
              </w:rPr>
              <w:t>0,0</w:t>
            </w:r>
          </w:p>
        </w:tc>
        <w:tc>
          <w:tcPr>
            <w:tcW w:w="1134" w:type="dxa"/>
            <w:shd w:val="clear" w:color="auto" w:fill="auto"/>
            <w:noWrap/>
            <w:vAlign w:val="center"/>
          </w:tcPr>
          <w:p w14:paraId="090895B4"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0,0</w:t>
            </w:r>
          </w:p>
        </w:tc>
      </w:tr>
      <w:tr w:rsidR="00D200BC" w:rsidRPr="005629A7" w14:paraId="1C732828" w14:textId="77777777" w:rsidTr="0011009A">
        <w:trPr>
          <w:trHeight w:val="61"/>
        </w:trPr>
        <w:tc>
          <w:tcPr>
            <w:tcW w:w="3539" w:type="dxa"/>
            <w:shd w:val="clear" w:color="auto" w:fill="auto"/>
            <w:noWrap/>
            <w:vAlign w:val="bottom"/>
          </w:tcPr>
          <w:p w14:paraId="73E93A4F" w14:textId="77777777" w:rsidR="00D200BC" w:rsidRPr="005629A7" w:rsidRDefault="00D200BC" w:rsidP="0011009A">
            <w:pPr>
              <w:ind w:firstLineChars="200" w:firstLine="400"/>
              <w:jc w:val="left"/>
              <w:rPr>
                <w:rFonts w:eastAsia="Times New Roman" w:cs="Times New Roman"/>
                <w:color w:val="000000"/>
                <w:sz w:val="20"/>
                <w:szCs w:val="20"/>
                <w:lang w:eastAsia="lv-LV"/>
              </w:rPr>
            </w:pPr>
            <w:r w:rsidRPr="005629A7">
              <w:rPr>
                <w:rFonts w:cs="Times New Roman"/>
                <w:color w:val="000000"/>
                <w:sz w:val="20"/>
                <w:szCs w:val="20"/>
              </w:rPr>
              <w:t>aizsardzības un iekšējās drošības finansējums</w:t>
            </w:r>
          </w:p>
        </w:tc>
        <w:tc>
          <w:tcPr>
            <w:tcW w:w="1364" w:type="dxa"/>
            <w:shd w:val="clear" w:color="auto" w:fill="auto"/>
            <w:noWrap/>
            <w:vAlign w:val="center"/>
            <w:hideMark/>
          </w:tcPr>
          <w:p w14:paraId="556EED79" w14:textId="77777777" w:rsidR="00D200BC" w:rsidRPr="005629A7" w:rsidRDefault="00D200BC" w:rsidP="0011009A">
            <w:pPr>
              <w:ind w:firstLine="0"/>
              <w:jc w:val="left"/>
              <w:rPr>
                <w:rFonts w:eastAsia="Times New Roman" w:cs="Times New Roman"/>
                <w:color w:val="000000"/>
                <w:sz w:val="20"/>
                <w:szCs w:val="20"/>
                <w:lang w:eastAsia="lv-LV"/>
              </w:rPr>
            </w:pPr>
          </w:p>
        </w:tc>
        <w:tc>
          <w:tcPr>
            <w:tcW w:w="1188" w:type="dxa"/>
            <w:shd w:val="clear" w:color="auto" w:fill="auto"/>
            <w:noWrap/>
            <w:vAlign w:val="center"/>
          </w:tcPr>
          <w:p w14:paraId="1B990FB4"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-0,9</w:t>
            </w:r>
          </w:p>
        </w:tc>
        <w:tc>
          <w:tcPr>
            <w:tcW w:w="1275" w:type="dxa"/>
            <w:shd w:val="clear" w:color="auto" w:fill="auto"/>
            <w:noWrap/>
            <w:vAlign w:val="center"/>
          </w:tcPr>
          <w:p w14:paraId="59FC3093"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-1,0</w:t>
            </w:r>
          </w:p>
        </w:tc>
        <w:tc>
          <w:tcPr>
            <w:tcW w:w="993" w:type="dxa"/>
            <w:vAlign w:val="center"/>
          </w:tcPr>
          <w:p w14:paraId="3AE05C7B" w14:textId="77777777" w:rsidR="00D200BC" w:rsidRPr="005629A7" w:rsidRDefault="00D200BC" w:rsidP="0011009A">
            <w:pPr>
              <w:ind w:firstLine="0"/>
              <w:jc w:val="center"/>
              <w:rPr>
                <w:rFonts w:cs="Times New Roman"/>
                <w:sz w:val="20"/>
                <w:szCs w:val="20"/>
              </w:rPr>
            </w:pPr>
            <w:r w:rsidRPr="005629A7">
              <w:rPr>
                <w:sz w:val="20"/>
                <w:szCs w:val="20"/>
              </w:rPr>
              <w:t>-0,9</w:t>
            </w:r>
          </w:p>
        </w:tc>
        <w:tc>
          <w:tcPr>
            <w:tcW w:w="1134" w:type="dxa"/>
            <w:shd w:val="clear" w:color="auto" w:fill="auto"/>
            <w:noWrap/>
            <w:vAlign w:val="center"/>
          </w:tcPr>
          <w:p w14:paraId="4C48B5CC"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-0,7</w:t>
            </w:r>
          </w:p>
        </w:tc>
      </w:tr>
      <w:tr w:rsidR="00D200BC" w:rsidRPr="005629A7" w14:paraId="491D094D" w14:textId="77777777" w:rsidTr="0011009A">
        <w:trPr>
          <w:trHeight w:val="61"/>
        </w:trPr>
        <w:tc>
          <w:tcPr>
            <w:tcW w:w="3539" w:type="dxa"/>
            <w:shd w:val="clear" w:color="auto" w:fill="auto"/>
            <w:noWrap/>
            <w:vAlign w:val="bottom"/>
          </w:tcPr>
          <w:p w14:paraId="08D8403B" w14:textId="77777777" w:rsidR="00D200BC" w:rsidRPr="005629A7" w:rsidRDefault="00D200BC" w:rsidP="0011009A">
            <w:pPr>
              <w:ind w:firstLineChars="200" w:firstLine="400"/>
              <w:jc w:val="left"/>
              <w:rPr>
                <w:rFonts w:eastAsia="Times New Roman" w:cs="Times New Roman"/>
                <w:color w:val="000000"/>
                <w:sz w:val="20"/>
                <w:szCs w:val="20"/>
                <w:lang w:eastAsia="lv-LV"/>
              </w:rPr>
            </w:pPr>
            <w:r w:rsidRPr="005629A7">
              <w:rPr>
                <w:rFonts w:cs="Times New Roman"/>
                <w:sz w:val="20"/>
                <w:szCs w:val="20"/>
              </w:rPr>
              <w:t>atbalsts bēgļiem no Ukrainas</w:t>
            </w:r>
          </w:p>
        </w:tc>
        <w:tc>
          <w:tcPr>
            <w:tcW w:w="1364" w:type="dxa"/>
            <w:shd w:val="clear" w:color="auto" w:fill="auto"/>
            <w:noWrap/>
            <w:vAlign w:val="center"/>
          </w:tcPr>
          <w:p w14:paraId="6B24C5A9" w14:textId="77777777" w:rsidR="00D200BC" w:rsidRPr="005629A7" w:rsidRDefault="00D200BC" w:rsidP="0011009A">
            <w:pPr>
              <w:ind w:firstLine="0"/>
              <w:jc w:val="left"/>
              <w:rPr>
                <w:rFonts w:eastAsia="Times New Roman" w:cs="Times New Roman"/>
                <w:color w:val="000000"/>
                <w:sz w:val="20"/>
                <w:szCs w:val="20"/>
                <w:lang w:eastAsia="lv-LV"/>
              </w:rPr>
            </w:pPr>
          </w:p>
        </w:tc>
        <w:tc>
          <w:tcPr>
            <w:tcW w:w="1188" w:type="dxa"/>
            <w:shd w:val="clear" w:color="auto" w:fill="auto"/>
            <w:noWrap/>
            <w:vAlign w:val="center"/>
          </w:tcPr>
          <w:p w14:paraId="7CBFE75E"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0,0</w:t>
            </w:r>
          </w:p>
        </w:tc>
        <w:tc>
          <w:tcPr>
            <w:tcW w:w="1275" w:type="dxa"/>
            <w:shd w:val="clear" w:color="auto" w:fill="auto"/>
            <w:noWrap/>
            <w:vAlign w:val="center"/>
          </w:tcPr>
          <w:p w14:paraId="691BEE77"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0,0</w:t>
            </w:r>
          </w:p>
        </w:tc>
        <w:tc>
          <w:tcPr>
            <w:tcW w:w="993" w:type="dxa"/>
            <w:vAlign w:val="center"/>
          </w:tcPr>
          <w:p w14:paraId="6F984C08" w14:textId="77777777" w:rsidR="00D200BC" w:rsidRPr="005629A7" w:rsidRDefault="00D200BC" w:rsidP="0011009A">
            <w:pPr>
              <w:ind w:firstLine="0"/>
              <w:jc w:val="center"/>
              <w:rPr>
                <w:rFonts w:cs="Times New Roman"/>
                <w:sz w:val="20"/>
                <w:szCs w:val="20"/>
              </w:rPr>
            </w:pPr>
            <w:r w:rsidRPr="005629A7">
              <w:rPr>
                <w:sz w:val="20"/>
                <w:szCs w:val="20"/>
              </w:rPr>
              <w:t>0,0</w:t>
            </w:r>
          </w:p>
        </w:tc>
        <w:tc>
          <w:tcPr>
            <w:tcW w:w="1134" w:type="dxa"/>
            <w:shd w:val="clear" w:color="auto" w:fill="auto"/>
            <w:noWrap/>
            <w:vAlign w:val="center"/>
          </w:tcPr>
          <w:p w14:paraId="40A9B1F6"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0,0</w:t>
            </w:r>
          </w:p>
        </w:tc>
      </w:tr>
      <w:tr w:rsidR="00D200BC" w:rsidRPr="005629A7" w14:paraId="5BE8A6E4" w14:textId="77777777" w:rsidTr="0011009A">
        <w:trPr>
          <w:trHeight w:val="61"/>
        </w:trPr>
        <w:tc>
          <w:tcPr>
            <w:tcW w:w="3539" w:type="dxa"/>
            <w:shd w:val="clear" w:color="auto" w:fill="auto"/>
            <w:noWrap/>
            <w:vAlign w:val="center"/>
          </w:tcPr>
          <w:p w14:paraId="79FAAE21" w14:textId="77777777" w:rsidR="00D200BC" w:rsidRPr="005629A7" w:rsidRDefault="00D200BC" w:rsidP="0011009A">
            <w:pPr>
              <w:ind w:left="451" w:firstLine="0"/>
              <w:jc w:val="left"/>
              <w:rPr>
                <w:rFonts w:eastAsia="Times New Roman" w:cs="Times New Roman"/>
                <w:color w:val="000000"/>
                <w:sz w:val="20"/>
                <w:szCs w:val="20"/>
                <w:lang w:eastAsia="lv-LV"/>
              </w:rPr>
            </w:pPr>
            <w:r w:rsidRPr="005629A7">
              <w:rPr>
                <w:rFonts w:cs="Times New Roman"/>
                <w:sz w:val="20"/>
                <w:szCs w:val="20"/>
              </w:rPr>
              <w:t>vienreizējie izdevumi valsts aizsardzībai un iekšējai drošībai</w:t>
            </w:r>
          </w:p>
        </w:tc>
        <w:tc>
          <w:tcPr>
            <w:tcW w:w="1364" w:type="dxa"/>
            <w:shd w:val="clear" w:color="auto" w:fill="auto"/>
            <w:noWrap/>
            <w:vAlign w:val="center"/>
          </w:tcPr>
          <w:p w14:paraId="20F71C0E" w14:textId="77777777" w:rsidR="00D200BC" w:rsidRPr="005629A7" w:rsidRDefault="00D200BC" w:rsidP="0011009A">
            <w:pPr>
              <w:ind w:firstLine="0"/>
              <w:jc w:val="left"/>
              <w:rPr>
                <w:rFonts w:eastAsia="Times New Roman" w:cs="Times New Roman"/>
                <w:color w:val="000000"/>
                <w:sz w:val="20"/>
                <w:szCs w:val="20"/>
                <w:lang w:eastAsia="lv-LV"/>
              </w:rPr>
            </w:pPr>
          </w:p>
        </w:tc>
        <w:tc>
          <w:tcPr>
            <w:tcW w:w="1188" w:type="dxa"/>
            <w:shd w:val="clear" w:color="auto" w:fill="auto"/>
            <w:noWrap/>
            <w:vAlign w:val="center"/>
          </w:tcPr>
          <w:p w14:paraId="42FC0680"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-0,7</w:t>
            </w:r>
          </w:p>
        </w:tc>
        <w:tc>
          <w:tcPr>
            <w:tcW w:w="1275" w:type="dxa"/>
            <w:shd w:val="clear" w:color="auto" w:fill="auto"/>
            <w:noWrap/>
            <w:vAlign w:val="center"/>
          </w:tcPr>
          <w:p w14:paraId="599225EE"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-0,6</w:t>
            </w:r>
          </w:p>
        </w:tc>
        <w:tc>
          <w:tcPr>
            <w:tcW w:w="993" w:type="dxa"/>
            <w:vAlign w:val="center"/>
          </w:tcPr>
          <w:p w14:paraId="56C5F599" w14:textId="77777777" w:rsidR="00D200BC" w:rsidRPr="005629A7" w:rsidRDefault="00D200BC" w:rsidP="0011009A">
            <w:pPr>
              <w:ind w:firstLine="0"/>
              <w:jc w:val="center"/>
              <w:rPr>
                <w:rFonts w:cs="Times New Roman"/>
                <w:sz w:val="20"/>
                <w:szCs w:val="20"/>
              </w:rPr>
            </w:pPr>
            <w:r w:rsidRPr="005629A7">
              <w:rPr>
                <w:sz w:val="20"/>
                <w:szCs w:val="20"/>
              </w:rPr>
              <w:t>-0,6</w:t>
            </w:r>
          </w:p>
        </w:tc>
        <w:tc>
          <w:tcPr>
            <w:tcW w:w="1134" w:type="dxa"/>
            <w:shd w:val="clear" w:color="auto" w:fill="auto"/>
            <w:noWrap/>
            <w:vAlign w:val="center"/>
          </w:tcPr>
          <w:p w14:paraId="036BDC22"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sz w:val="20"/>
                <w:szCs w:val="20"/>
              </w:rPr>
              <w:t>-0,6</w:t>
            </w:r>
          </w:p>
        </w:tc>
      </w:tr>
      <w:tr w:rsidR="00D200BC" w:rsidRPr="005629A7" w14:paraId="3D316F11" w14:textId="77777777" w:rsidTr="0011009A">
        <w:trPr>
          <w:trHeight w:val="61"/>
        </w:trPr>
        <w:tc>
          <w:tcPr>
            <w:tcW w:w="3539" w:type="dxa"/>
            <w:shd w:val="clear" w:color="auto" w:fill="DEEAF6" w:themeFill="accent1" w:themeFillTint="33"/>
            <w:noWrap/>
            <w:vAlign w:val="bottom"/>
          </w:tcPr>
          <w:p w14:paraId="07576EEB" w14:textId="77777777" w:rsidR="00D200BC" w:rsidRPr="005629A7" w:rsidRDefault="00D200BC" w:rsidP="0011009A">
            <w:pPr>
              <w:ind w:firstLineChars="12" w:firstLine="24"/>
              <w:jc w:val="left"/>
              <w:rPr>
                <w:rFonts w:eastAsia="Times New Roman" w:cs="Times New Roman"/>
                <w:color w:val="000000"/>
                <w:sz w:val="20"/>
                <w:szCs w:val="20"/>
                <w:lang w:eastAsia="lv-LV"/>
              </w:rPr>
            </w:pPr>
            <w:r w:rsidRPr="005629A7">
              <w:rPr>
                <w:rFonts w:cs="Times New Roman"/>
                <w:b/>
                <w:bCs/>
                <w:color w:val="000000"/>
                <w:sz w:val="20"/>
                <w:szCs w:val="20"/>
              </w:rPr>
              <w:t>Vispārējās valdības budžeta nominālā bilance, % no IKP</w:t>
            </w:r>
          </w:p>
        </w:tc>
        <w:tc>
          <w:tcPr>
            <w:tcW w:w="1364" w:type="dxa"/>
            <w:shd w:val="clear" w:color="auto" w:fill="DEEAF6" w:themeFill="accent1" w:themeFillTint="33"/>
            <w:noWrap/>
            <w:vAlign w:val="center"/>
          </w:tcPr>
          <w:p w14:paraId="4046EB0A" w14:textId="77777777" w:rsidR="00D200BC" w:rsidRPr="005629A7" w:rsidRDefault="00D200BC" w:rsidP="0011009A">
            <w:pPr>
              <w:ind w:firstLine="0"/>
              <w:jc w:val="left"/>
              <w:rPr>
                <w:rFonts w:eastAsia="Times New Roman" w:cs="Times New Roman"/>
                <w:color w:val="000000"/>
                <w:sz w:val="20"/>
                <w:szCs w:val="20"/>
                <w:lang w:eastAsia="lv-LV"/>
              </w:rPr>
            </w:pPr>
            <w:r w:rsidRPr="005629A7">
              <w:rPr>
                <w:rFonts w:eastAsia="Times New Roman" w:cs="Times New Roman"/>
                <w:b/>
                <w:bCs/>
                <w:color w:val="000000"/>
                <w:sz w:val="18"/>
                <w:szCs w:val="18"/>
                <w:lang w:eastAsia="lv-LV"/>
              </w:rPr>
              <w:t>(5)=(1)+(3)+(4)</w:t>
            </w:r>
          </w:p>
        </w:tc>
        <w:tc>
          <w:tcPr>
            <w:tcW w:w="1188" w:type="dxa"/>
            <w:shd w:val="clear" w:color="auto" w:fill="DEEAF6" w:themeFill="accent1" w:themeFillTint="33"/>
            <w:noWrap/>
            <w:vAlign w:val="center"/>
          </w:tcPr>
          <w:p w14:paraId="7BB3A4EA"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b/>
                <w:bCs/>
                <w:sz w:val="20"/>
                <w:szCs w:val="20"/>
              </w:rPr>
              <w:t>-2,2</w:t>
            </w:r>
          </w:p>
        </w:tc>
        <w:tc>
          <w:tcPr>
            <w:tcW w:w="1275" w:type="dxa"/>
            <w:shd w:val="clear" w:color="auto" w:fill="DEEAF6" w:themeFill="accent1" w:themeFillTint="33"/>
            <w:noWrap/>
            <w:vAlign w:val="center"/>
          </w:tcPr>
          <w:p w14:paraId="35CA8D62"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b/>
                <w:bCs/>
                <w:sz w:val="20"/>
                <w:szCs w:val="20"/>
              </w:rPr>
              <w:t>-2,2</w:t>
            </w:r>
          </w:p>
        </w:tc>
        <w:tc>
          <w:tcPr>
            <w:tcW w:w="993" w:type="dxa"/>
            <w:shd w:val="clear" w:color="auto" w:fill="DEEAF6" w:themeFill="accent1" w:themeFillTint="33"/>
            <w:vAlign w:val="center"/>
          </w:tcPr>
          <w:p w14:paraId="369EC37E" w14:textId="77777777" w:rsidR="00D200BC" w:rsidRPr="005629A7" w:rsidRDefault="00D200BC" w:rsidP="0011009A">
            <w:pPr>
              <w:ind w:firstLine="0"/>
              <w:jc w:val="center"/>
              <w:rPr>
                <w:rFonts w:cs="Times New Roman"/>
                <w:b/>
                <w:bCs/>
                <w:sz w:val="20"/>
                <w:szCs w:val="20"/>
              </w:rPr>
            </w:pPr>
            <w:r w:rsidRPr="005629A7">
              <w:rPr>
                <w:b/>
                <w:bCs/>
                <w:sz w:val="20"/>
                <w:szCs w:val="20"/>
              </w:rPr>
              <w:t>-2,0</w:t>
            </w:r>
          </w:p>
        </w:tc>
        <w:tc>
          <w:tcPr>
            <w:tcW w:w="1134" w:type="dxa"/>
            <w:shd w:val="clear" w:color="auto" w:fill="DEEAF6" w:themeFill="accent1" w:themeFillTint="33"/>
            <w:noWrap/>
            <w:vAlign w:val="center"/>
          </w:tcPr>
          <w:p w14:paraId="03BE78EB" w14:textId="77777777" w:rsidR="00D200BC" w:rsidRPr="005629A7" w:rsidRDefault="00D200BC" w:rsidP="0011009A">
            <w:pPr>
              <w:ind w:firstLine="0"/>
              <w:jc w:val="center"/>
              <w:rPr>
                <w:rFonts w:eastAsia="Times New Roman" w:cs="Times New Roman"/>
                <w:color w:val="000000"/>
                <w:sz w:val="20"/>
                <w:szCs w:val="20"/>
                <w:lang w:eastAsia="lv-LV"/>
              </w:rPr>
            </w:pPr>
            <w:r w:rsidRPr="005629A7">
              <w:rPr>
                <w:b/>
                <w:bCs/>
                <w:sz w:val="20"/>
                <w:szCs w:val="20"/>
              </w:rPr>
              <w:t>-1,8</w:t>
            </w:r>
          </w:p>
        </w:tc>
      </w:tr>
    </w:tbl>
    <w:p w14:paraId="2C7EB2A6" w14:textId="77777777" w:rsidR="00D200BC" w:rsidRPr="005629A7" w:rsidRDefault="00D200BC" w:rsidP="00D200BC">
      <w:pPr>
        <w:ind w:firstLine="0"/>
        <w:rPr>
          <w:rFonts w:eastAsia="Calibri"/>
        </w:rPr>
      </w:pPr>
    </w:p>
    <w:p w14:paraId="13984B1F" w14:textId="1C5695C5" w:rsidR="00D200BC" w:rsidRPr="00571AB4" w:rsidRDefault="00D200BC" w:rsidP="00D200BC">
      <w:pPr>
        <w:spacing w:before="120" w:after="120"/>
        <w:ind w:firstLine="0"/>
        <w:jc w:val="right"/>
        <w:rPr>
          <w:rFonts w:eastAsia="Calibri"/>
          <w:i/>
          <w:iCs/>
        </w:rPr>
      </w:pPr>
      <w:r w:rsidRPr="00571AB4">
        <w:rPr>
          <w:rFonts w:eastAsia="Calibri"/>
          <w:b/>
          <w:bCs/>
          <w:i/>
          <w:iCs/>
          <w:sz w:val="24"/>
          <w:szCs w:val="20"/>
        </w:rPr>
        <w:t>3.</w:t>
      </w:r>
      <w:r w:rsidR="00AD6DEF" w:rsidRPr="00571AB4">
        <w:rPr>
          <w:rFonts w:eastAsia="Calibri"/>
          <w:b/>
          <w:bCs/>
          <w:i/>
          <w:iCs/>
          <w:sz w:val="24"/>
          <w:szCs w:val="20"/>
        </w:rPr>
        <w:t>10</w:t>
      </w:r>
      <w:r w:rsidRPr="00571AB4">
        <w:rPr>
          <w:rFonts w:eastAsia="Calibri"/>
          <w:b/>
          <w:bCs/>
          <w:i/>
          <w:iCs/>
          <w:sz w:val="24"/>
          <w:szCs w:val="20"/>
        </w:rPr>
        <w:t>. tabula. Fiskālā telpa</w:t>
      </w:r>
    </w:p>
    <w:tbl>
      <w:tblPr>
        <w:tblW w:w="949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539"/>
        <w:gridCol w:w="1443"/>
        <w:gridCol w:w="1109"/>
        <w:gridCol w:w="1275"/>
        <w:gridCol w:w="993"/>
        <w:gridCol w:w="1134"/>
      </w:tblGrid>
      <w:tr w:rsidR="00D200BC" w:rsidRPr="005629A7" w14:paraId="0D643334" w14:textId="77777777" w:rsidTr="0011009A">
        <w:trPr>
          <w:trHeight w:val="323"/>
          <w:tblHeader/>
        </w:trPr>
        <w:tc>
          <w:tcPr>
            <w:tcW w:w="3539" w:type="dxa"/>
            <w:shd w:val="clear" w:color="auto" w:fill="DEEAF6" w:themeFill="accent1" w:themeFillTint="33"/>
            <w:vAlign w:val="bottom"/>
            <w:hideMark/>
          </w:tcPr>
          <w:p w14:paraId="54869C4F" w14:textId="77777777" w:rsidR="00D200BC" w:rsidRPr="005629A7" w:rsidRDefault="00D200BC" w:rsidP="0011009A">
            <w:pPr>
              <w:ind w:firstLine="0"/>
              <w:jc w:val="left"/>
              <w:rPr>
                <w:rFonts w:eastAsia="Times New Roman" w:cs="Times New Roman"/>
                <w:color w:val="000000"/>
                <w:sz w:val="18"/>
                <w:szCs w:val="18"/>
                <w:lang w:eastAsia="lv-LV"/>
              </w:rPr>
            </w:pPr>
            <w:r w:rsidRPr="005629A7">
              <w:rPr>
                <w:rFonts w:eastAsia="Times New Roman" w:cs="Times New Roman"/>
                <w:color w:val="000000"/>
                <w:sz w:val="18"/>
                <w:szCs w:val="18"/>
                <w:lang w:eastAsia="lv-LV"/>
              </w:rPr>
              <w:t> </w:t>
            </w:r>
          </w:p>
        </w:tc>
        <w:tc>
          <w:tcPr>
            <w:tcW w:w="1443" w:type="dxa"/>
            <w:shd w:val="clear" w:color="auto" w:fill="DEEAF6" w:themeFill="accent1" w:themeFillTint="33"/>
            <w:noWrap/>
            <w:vAlign w:val="bottom"/>
            <w:hideMark/>
          </w:tcPr>
          <w:p w14:paraId="4B275771" w14:textId="77777777" w:rsidR="00D200BC" w:rsidRPr="005629A7" w:rsidRDefault="00D200BC" w:rsidP="0011009A">
            <w:pPr>
              <w:ind w:firstLine="0"/>
              <w:jc w:val="left"/>
              <w:rPr>
                <w:rFonts w:eastAsia="Times New Roman" w:cs="Times New Roman"/>
                <w:color w:val="000000"/>
                <w:sz w:val="18"/>
                <w:szCs w:val="18"/>
                <w:lang w:eastAsia="lv-LV"/>
              </w:rPr>
            </w:pPr>
            <w:r w:rsidRPr="005629A7">
              <w:rPr>
                <w:rFonts w:eastAsia="Times New Roman" w:cs="Times New Roman"/>
                <w:color w:val="000000"/>
                <w:sz w:val="18"/>
                <w:szCs w:val="18"/>
                <w:lang w:eastAsia="lv-LV"/>
              </w:rPr>
              <w:t> </w:t>
            </w:r>
          </w:p>
        </w:tc>
        <w:tc>
          <w:tcPr>
            <w:tcW w:w="1109" w:type="dxa"/>
            <w:shd w:val="clear" w:color="auto" w:fill="DEEAF6" w:themeFill="accent1" w:themeFillTint="33"/>
            <w:noWrap/>
            <w:vAlign w:val="center"/>
            <w:hideMark/>
          </w:tcPr>
          <w:p w14:paraId="3F527499"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2025</w:t>
            </w:r>
          </w:p>
        </w:tc>
        <w:tc>
          <w:tcPr>
            <w:tcW w:w="1275" w:type="dxa"/>
            <w:shd w:val="clear" w:color="auto" w:fill="DEEAF6" w:themeFill="accent1" w:themeFillTint="33"/>
            <w:noWrap/>
            <w:vAlign w:val="center"/>
            <w:hideMark/>
          </w:tcPr>
          <w:p w14:paraId="594FF6A9"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2026</w:t>
            </w:r>
          </w:p>
        </w:tc>
        <w:tc>
          <w:tcPr>
            <w:tcW w:w="993" w:type="dxa"/>
            <w:shd w:val="clear" w:color="auto" w:fill="DEEAF6" w:themeFill="accent1" w:themeFillTint="33"/>
            <w:vAlign w:val="center"/>
          </w:tcPr>
          <w:p w14:paraId="6BB68C81"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2027</w:t>
            </w:r>
          </w:p>
        </w:tc>
        <w:tc>
          <w:tcPr>
            <w:tcW w:w="1134" w:type="dxa"/>
            <w:shd w:val="clear" w:color="auto" w:fill="DEEAF6" w:themeFill="accent1" w:themeFillTint="33"/>
            <w:noWrap/>
            <w:vAlign w:val="center"/>
            <w:hideMark/>
          </w:tcPr>
          <w:p w14:paraId="55392C45"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2028</w:t>
            </w:r>
          </w:p>
        </w:tc>
      </w:tr>
      <w:tr w:rsidR="00D200BC" w:rsidRPr="005629A7" w14:paraId="1A2831FC" w14:textId="77777777" w:rsidTr="0011009A">
        <w:trPr>
          <w:trHeight w:val="190"/>
        </w:trPr>
        <w:tc>
          <w:tcPr>
            <w:tcW w:w="3539" w:type="dxa"/>
            <w:shd w:val="clear" w:color="auto" w:fill="auto"/>
            <w:vAlign w:val="center"/>
          </w:tcPr>
          <w:p w14:paraId="580D0717" w14:textId="661D228F" w:rsidR="00D200BC" w:rsidRPr="005629A7" w:rsidRDefault="00D200BC" w:rsidP="0011009A">
            <w:pPr>
              <w:ind w:firstLine="0"/>
              <w:jc w:val="left"/>
              <w:rPr>
                <w:rFonts w:eastAsia="Times New Roman" w:cs="Times New Roman"/>
                <w:b/>
                <w:bCs/>
                <w:color w:val="000000"/>
                <w:sz w:val="18"/>
                <w:szCs w:val="18"/>
                <w:lang w:eastAsia="lv-LV"/>
              </w:rPr>
            </w:pPr>
            <w:r w:rsidRPr="005629A7">
              <w:rPr>
                <w:b/>
                <w:bCs/>
                <w:color w:val="000000"/>
                <w:sz w:val="20"/>
                <w:szCs w:val="20"/>
              </w:rPr>
              <w:t>Vispārējās valdības</w:t>
            </w:r>
            <w:r w:rsidR="00C0107E">
              <w:rPr>
                <w:b/>
                <w:bCs/>
                <w:color w:val="000000"/>
                <w:sz w:val="20"/>
                <w:szCs w:val="20"/>
              </w:rPr>
              <w:t xml:space="preserve"> budžeta</w:t>
            </w:r>
            <w:r w:rsidRPr="005629A7">
              <w:rPr>
                <w:b/>
                <w:bCs/>
                <w:color w:val="000000"/>
                <w:sz w:val="20"/>
                <w:szCs w:val="20"/>
              </w:rPr>
              <w:t xml:space="preserve"> nominālās bilances prognoze pie nemainīgas politikas, % no IKP</w:t>
            </w:r>
          </w:p>
        </w:tc>
        <w:tc>
          <w:tcPr>
            <w:tcW w:w="1443" w:type="dxa"/>
            <w:shd w:val="clear" w:color="auto" w:fill="auto"/>
            <w:noWrap/>
            <w:vAlign w:val="center"/>
            <w:hideMark/>
          </w:tcPr>
          <w:p w14:paraId="06D5D5D9" w14:textId="77777777" w:rsidR="00D200BC" w:rsidRPr="005629A7" w:rsidRDefault="00D200BC" w:rsidP="0011009A">
            <w:pPr>
              <w:ind w:firstLine="0"/>
              <w:jc w:val="left"/>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(1)</w:t>
            </w:r>
          </w:p>
        </w:tc>
        <w:tc>
          <w:tcPr>
            <w:tcW w:w="1109" w:type="dxa"/>
            <w:shd w:val="clear" w:color="auto" w:fill="auto"/>
            <w:noWrap/>
            <w:vAlign w:val="center"/>
          </w:tcPr>
          <w:p w14:paraId="5479AD2A"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sz w:val="20"/>
                <w:szCs w:val="20"/>
              </w:rPr>
              <w:t>-2,7</w:t>
            </w:r>
          </w:p>
        </w:tc>
        <w:tc>
          <w:tcPr>
            <w:tcW w:w="1275" w:type="dxa"/>
            <w:shd w:val="clear" w:color="auto" w:fill="auto"/>
            <w:noWrap/>
            <w:vAlign w:val="center"/>
          </w:tcPr>
          <w:p w14:paraId="5AF4FB19"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sz w:val="20"/>
                <w:szCs w:val="20"/>
              </w:rPr>
              <w:t>-2,2</w:t>
            </w:r>
          </w:p>
        </w:tc>
        <w:tc>
          <w:tcPr>
            <w:tcW w:w="993" w:type="dxa"/>
            <w:vAlign w:val="center"/>
          </w:tcPr>
          <w:p w14:paraId="0351DBEE" w14:textId="77777777" w:rsidR="00D200BC" w:rsidRPr="005629A7" w:rsidRDefault="00D200BC" w:rsidP="0011009A">
            <w:pPr>
              <w:ind w:firstLine="0"/>
              <w:jc w:val="center"/>
              <w:rPr>
                <w:b/>
                <w:bCs/>
                <w:sz w:val="20"/>
                <w:szCs w:val="20"/>
              </w:rPr>
            </w:pPr>
            <w:r w:rsidRPr="005629A7">
              <w:rPr>
                <w:sz w:val="20"/>
                <w:szCs w:val="20"/>
              </w:rPr>
              <w:t>-2,0</w:t>
            </w:r>
          </w:p>
        </w:tc>
        <w:tc>
          <w:tcPr>
            <w:tcW w:w="1134" w:type="dxa"/>
            <w:shd w:val="clear" w:color="auto" w:fill="auto"/>
            <w:noWrap/>
            <w:vAlign w:val="center"/>
          </w:tcPr>
          <w:p w14:paraId="766EF7E0"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color w:val="000000"/>
                <w:sz w:val="20"/>
                <w:szCs w:val="20"/>
              </w:rPr>
              <w:t>-1,7</w:t>
            </w:r>
          </w:p>
        </w:tc>
      </w:tr>
      <w:tr w:rsidR="00D200BC" w:rsidRPr="005629A7" w14:paraId="6B1A856A" w14:textId="77777777" w:rsidTr="0011009A">
        <w:trPr>
          <w:trHeight w:val="54"/>
        </w:trPr>
        <w:tc>
          <w:tcPr>
            <w:tcW w:w="3539" w:type="dxa"/>
            <w:shd w:val="clear" w:color="auto" w:fill="auto"/>
            <w:vAlign w:val="center"/>
          </w:tcPr>
          <w:p w14:paraId="1312406E" w14:textId="77777777" w:rsidR="00D200BC" w:rsidRPr="005629A7" w:rsidRDefault="00D200BC" w:rsidP="0011009A">
            <w:pPr>
              <w:ind w:firstLine="0"/>
              <w:jc w:val="left"/>
              <w:rPr>
                <w:rFonts w:eastAsia="Times New Roman" w:cs="Times New Roman"/>
                <w:b/>
                <w:bCs/>
                <w:color w:val="000000"/>
                <w:sz w:val="18"/>
                <w:szCs w:val="18"/>
                <w:lang w:eastAsia="lv-LV"/>
              </w:rPr>
            </w:pPr>
            <w:r w:rsidRPr="005629A7">
              <w:rPr>
                <w:b/>
                <w:bCs/>
                <w:color w:val="000000"/>
                <w:sz w:val="20"/>
                <w:szCs w:val="20"/>
              </w:rPr>
              <w:t>Izlaižu starpība, % no potenciālā IKP</w:t>
            </w:r>
          </w:p>
        </w:tc>
        <w:tc>
          <w:tcPr>
            <w:tcW w:w="1443" w:type="dxa"/>
            <w:shd w:val="clear" w:color="auto" w:fill="auto"/>
            <w:noWrap/>
            <w:vAlign w:val="center"/>
            <w:hideMark/>
          </w:tcPr>
          <w:p w14:paraId="3E3E720F" w14:textId="77777777" w:rsidR="00D200BC" w:rsidRPr="005629A7" w:rsidRDefault="00D200BC" w:rsidP="0011009A">
            <w:pPr>
              <w:ind w:firstLine="0"/>
              <w:jc w:val="left"/>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(2)</w:t>
            </w:r>
          </w:p>
        </w:tc>
        <w:tc>
          <w:tcPr>
            <w:tcW w:w="1109" w:type="dxa"/>
            <w:shd w:val="clear" w:color="auto" w:fill="auto"/>
            <w:noWrap/>
            <w:vAlign w:val="center"/>
          </w:tcPr>
          <w:p w14:paraId="7CAA88D4"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color w:val="000000"/>
                <w:sz w:val="20"/>
                <w:szCs w:val="20"/>
              </w:rPr>
              <w:t>-0,3</w:t>
            </w:r>
          </w:p>
        </w:tc>
        <w:tc>
          <w:tcPr>
            <w:tcW w:w="1275" w:type="dxa"/>
            <w:shd w:val="clear" w:color="auto" w:fill="auto"/>
            <w:noWrap/>
            <w:vAlign w:val="center"/>
          </w:tcPr>
          <w:p w14:paraId="355035FC"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color w:val="000000"/>
                <w:sz w:val="20"/>
                <w:szCs w:val="20"/>
              </w:rPr>
              <w:t>0,0</w:t>
            </w:r>
          </w:p>
        </w:tc>
        <w:tc>
          <w:tcPr>
            <w:tcW w:w="993" w:type="dxa"/>
            <w:vAlign w:val="center"/>
          </w:tcPr>
          <w:p w14:paraId="6133DFE2" w14:textId="77777777" w:rsidR="00D200BC" w:rsidRPr="005629A7" w:rsidRDefault="00D200BC" w:rsidP="0011009A">
            <w:pPr>
              <w:ind w:firstLine="0"/>
              <w:jc w:val="center"/>
              <w:rPr>
                <w:b/>
                <w:bCs/>
                <w:color w:val="000000"/>
                <w:sz w:val="20"/>
                <w:szCs w:val="20"/>
              </w:rPr>
            </w:pPr>
            <w:r w:rsidRPr="005629A7">
              <w:rPr>
                <w:color w:val="000000"/>
                <w:sz w:val="20"/>
                <w:szCs w:val="20"/>
              </w:rPr>
              <w:t>0,0</w:t>
            </w:r>
          </w:p>
        </w:tc>
        <w:tc>
          <w:tcPr>
            <w:tcW w:w="1134" w:type="dxa"/>
            <w:shd w:val="clear" w:color="auto" w:fill="auto"/>
            <w:noWrap/>
            <w:vAlign w:val="center"/>
          </w:tcPr>
          <w:p w14:paraId="1E20CB0D"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color w:val="000000"/>
                <w:sz w:val="20"/>
                <w:szCs w:val="20"/>
              </w:rPr>
              <w:t>0,0</w:t>
            </w:r>
          </w:p>
        </w:tc>
      </w:tr>
      <w:tr w:rsidR="00D200BC" w:rsidRPr="005629A7" w14:paraId="27CA83E5" w14:textId="77777777" w:rsidTr="0011009A">
        <w:trPr>
          <w:trHeight w:val="54"/>
        </w:trPr>
        <w:tc>
          <w:tcPr>
            <w:tcW w:w="3539" w:type="dxa"/>
            <w:shd w:val="clear" w:color="auto" w:fill="auto"/>
            <w:vAlign w:val="center"/>
          </w:tcPr>
          <w:p w14:paraId="737D2F96" w14:textId="77777777" w:rsidR="00D200BC" w:rsidRPr="005629A7" w:rsidRDefault="00D200BC" w:rsidP="0011009A">
            <w:pPr>
              <w:ind w:firstLine="0"/>
              <w:jc w:val="left"/>
              <w:rPr>
                <w:rFonts w:eastAsia="Times New Roman" w:cs="Times New Roman"/>
                <w:b/>
                <w:bCs/>
                <w:color w:val="000000"/>
                <w:sz w:val="18"/>
                <w:szCs w:val="18"/>
                <w:lang w:eastAsia="lv-LV"/>
              </w:rPr>
            </w:pPr>
            <w:r w:rsidRPr="005629A7">
              <w:rPr>
                <w:b/>
                <w:bCs/>
                <w:color w:val="000000"/>
                <w:sz w:val="20"/>
                <w:szCs w:val="20"/>
              </w:rPr>
              <w:t>Bilances cikliskā komponente, % no IKP</w:t>
            </w:r>
          </w:p>
        </w:tc>
        <w:tc>
          <w:tcPr>
            <w:tcW w:w="1443" w:type="dxa"/>
            <w:shd w:val="clear" w:color="auto" w:fill="auto"/>
            <w:noWrap/>
            <w:vAlign w:val="center"/>
            <w:hideMark/>
          </w:tcPr>
          <w:p w14:paraId="249785E7" w14:textId="77777777" w:rsidR="00D200BC" w:rsidRPr="005629A7" w:rsidRDefault="00D200BC" w:rsidP="0011009A">
            <w:pPr>
              <w:ind w:firstLine="0"/>
              <w:jc w:val="left"/>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(3)=0,378*(2)</w:t>
            </w:r>
          </w:p>
        </w:tc>
        <w:tc>
          <w:tcPr>
            <w:tcW w:w="1109" w:type="dxa"/>
            <w:shd w:val="clear" w:color="auto" w:fill="auto"/>
            <w:noWrap/>
            <w:vAlign w:val="center"/>
          </w:tcPr>
          <w:p w14:paraId="63F8C4DC"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color w:val="000000"/>
                <w:sz w:val="20"/>
                <w:szCs w:val="20"/>
              </w:rPr>
              <w:t>-0,1</w:t>
            </w:r>
          </w:p>
        </w:tc>
        <w:tc>
          <w:tcPr>
            <w:tcW w:w="1275" w:type="dxa"/>
            <w:shd w:val="clear" w:color="auto" w:fill="auto"/>
            <w:noWrap/>
            <w:vAlign w:val="center"/>
          </w:tcPr>
          <w:p w14:paraId="59A512DF"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color w:val="000000"/>
                <w:sz w:val="20"/>
                <w:szCs w:val="20"/>
              </w:rPr>
              <w:t>0,0</w:t>
            </w:r>
          </w:p>
        </w:tc>
        <w:tc>
          <w:tcPr>
            <w:tcW w:w="993" w:type="dxa"/>
            <w:vAlign w:val="center"/>
          </w:tcPr>
          <w:p w14:paraId="2CD1E4E2" w14:textId="77777777" w:rsidR="00D200BC" w:rsidRPr="005629A7" w:rsidRDefault="00D200BC" w:rsidP="0011009A">
            <w:pPr>
              <w:ind w:firstLine="0"/>
              <w:jc w:val="center"/>
              <w:rPr>
                <w:b/>
                <w:bCs/>
                <w:color w:val="000000"/>
                <w:sz w:val="20"/>
                <w:szCs w:val="20"/>
              </w:rPr>
            </w:pPr>
            <w:r w:rsidRPr="005629A7">
              <w:rPr>
                <w:color w:val="000000"/>
                <w:sz w:val="20"/>
                <w:szCs w:val="20"/>
              </w:rPr>
              <w:t>0,0</w:t>
            </w:r>
          </w:p>
        </w:tc>
        <w:tc>
          <w:tcPr>
            <w:tcW w:w="1134" w:type="dxa"/>
            <w:shd w:val="clear" w:color="auto" w:fill="auto"/>
            <w:noWrap/>
            <w:vAlign w:val="center"/>
          </w:tcPr>
          <w:p w14:paraId="0B466CD9"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color w:val="000000"/>
                <w:sz w:val="20"/>
                <w:szCs w:val="20"/>
              </w:rPr>
              <w:t>0,0</w:t>
            </w:r>
          </w:p>
        </w:tc>
      </w:tr>
      <w:tr w:rsidR="00D200BC" w:rsidRPr="005629A7" w14:paraId="62AC98E4" w14:textId="77777777" w:rsidTr="0011009A">
        <w:trPr>
          <w:trHeight w:val="231"/>
        </w:trPr>
        <w:tc>
          <w:tcPr>
            <w:tcW w:w="3539" w:type="dxa"/>
            <w:shd w:val="clear" w:color="auto" w:fill="auto"/>
            <w:vAlign w:val="center"/>
          </w:tcPr>
          <w:p w14:paraId="1F32B179" w14:textId="77777777" w:rsidR="00D200BC" w:rsidRPr="005629A7" w:rsidRDefault="00D200BC" w:rsidP="0011009A">
            <w:pPr>
              <w:ind w:firstLine="0"/>
              <w:jc w:val="left"/>
              <w:rPr>
                <w:rFonts w:eastAsia="Times New Roman" w:cs="Times New Roman"/>
                <w:b/>
                <w:bCs/>
                <w:color w:val="000000"/>
                <w:sz w:val="18"/>
                <w:szCs w:val="18"/>
                <w:lang w:eastAsia="lv-LV"/>
              </w:rPr>
            </w:pPr>
            <w:proofErr w:type="spellStart"/>
            <w:r w:rsidRPr="005629A7">
              <w:rPr>
                <w:b/>
                <w:bCs/>
                <w:i/>
                <w:iCs/>
                <w:color w:val="000000"/>
                <w:sz w:val="20"/>
                <w:szCs w:val="20"/>
              </w:rPr>
              <w:t>One-off</w:t>
            </w:r>
            <w:proofErr w:type="spellEnd"/>
            <w:r w:rsidRPr="005629A7">
              <w:rPr>
                <w:b/>
                <w:bCs/>
                <w:color w:val="000000"/>
                <w:sz w:val="20"/>
                <w:szCs w:val="20"/>
              </w:rPr>
              <w:t xml:space="preserve"> un citi īslaicīgie pasākumi, kas iekļauti nemainīgas politikas scenārijā, % no IKP, tai skaitā</w:t>
            </w:r>
          </w:p>
        </w:tc>
        <w:tc>
          <w:tcPr>
            <w:tcW w:w="1443" w:type="dxa"/>
            <w:shd w:val="clear" w:color="auto" w:fill="auto"/>
            <w:noWrap/>
            <w:vAlign w:val="center"/>
            <w:hideMark/>
          </w:tcPr>
          <w:p w14:paraId="76CF3B28" w14:textId="77777777" w:rsidR="00D200BC" w:rsidRPr="005629A7" w:rsidRDefault="00D200BC" w:rsidP="0011009A">
            <w:pPr>
              <w:ind w:firstLine="0"/>
              <w:jc w:val="left"/>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(4)</w:t>
            </w:r>
          </w:p>
        </w:tc>
        <w:tc>
          <w:tcPr>
            <w:tcW w:w="1109" w:type="dxa"/>
            <w:shd w:val="clear" w:color="auto" w:fill="auto"/>
            <w:noWrap/>
            <w:vAlign w:val="center"/>
          </w:tcPr>
          <w:p w14:paraId="071D6353"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b/>
                <w:bCs/>
                <w:sz w:val="20"/>
                <w:szCs w:val="20"/>
              </w:rPr>
              <w:t>-1,6</w:t>
            </w:r>
          </w:p>
        </w:tc>
        <w:tc>
          <w:tcPr>
            <w:tcW w:w="1275" w:type="dxa"/>
            <w:shd w:val="clear" w:color="auto" w:fill="auto"/>
            <w:noWrap/>
            <w:vAlign w:val="center"/>
          </w:tcPr>
          <w:p w14:paraId="0D7808F3"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b/>
                <w:bCs/>
                <w:sz w:val="20"/>
                <w:szCs w:val="20"/>
              </w:rPr>
              <w:t>-1,6</w:t>
            </w:r>
          </w:p>
        </w:tc>
        <w:tc>
          <w:tcPr>
            <w:tcW w:w="993" w:type="dxa"/>
            <w:vAlign w:val="center"/>
          </w:tcPr>
          <w:p w14:paraId="50FC02AE" w14:textId="77777777" w:rsidR="00D200BC" w:rsidRPr="005629A7" w:rsidRDefault="00D200BC" w:rsidP="0011009A">
            <w:pPr>
              <w:ind w:firstLine="0"/>
              <w:jc w:val="center"/>
              <w:rPr>
                <w:b/>
                <w:bCs/>
                <w:sz w:val="20"/>
                <w:szCs w:val="20"/>
              </w:rPr>
            </w:pPr>
            <w:r w:rsidRPr="005629A7">
              <w:rPr>
                <w:b/>
                <w:bCs/>
                <w:sz w:val="20"/>
                <w:szCs w:val="20"/>
              </w:rPr>
              <w:t>-1,5</w:t>
            </w:r>
          </w:p>
        </w:tc>
        <w:tc>
          <w:tcPr>
            <w:tcW w:w="1134" w:type="dxa"/>
            <w:shd w:val="clear" w:color="auto" w:fill="auto"/>
            <w:noWrap/>
            <w:vAlign w:val="center"/>
          </w:tcPr>
          <w:p w14:paraId="6EFFB416"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b/>
                <w:bCs/>
                <w:sz w:val="20"/>
                <w:szCs w:val="20"/>
              </w:rPr>
              <w:t>-1,3</w:t>
            </w:r>
          </w:p>
        </w:tc>
      </w:tr>
      <w:tr w:rsidR="00D200BC" w:rsidRPr="005629A7" w14:paraId="2771DC4B" w14:textId="77777777" w:rsidTr="0011009A">
        <w:trPr>
          <w:trHeight w:val="54"/>
        </w:trPr>
        <w:tc>
          <w:tcPr>
            <w:tcW w:w="3539" w:type="dxa"/>
            <w:shd w:val="clear" w:color="auto" w:fill="auto"/>
            <w:vAlign w:val="bottom"/>
          </w:tcPr>
          <w:p w14:paraId="1272480F" w14:textId="77777777" w:rsidR="00D200BC" w:rsidRPr="005629A7" w:rsidRDefault="00D200BC" w:rsidP="0011009A">
            <w:pPr>
              <w:ind w:firstLineChars="200" w:firstLine="400"/>
              <w:jc w:val="left"/>
              <w:rPr>
                <w:rFonts w:eastAsia="Times New Roman" w:cs="Times New Roman"/>
                <w:color w:val="000000"/>
                <w:sz w:val="18"/>
                <w:szCs w:val="18"/>
                <w:lang w:eastAsia="lv-LV"/>
              </w:rPr>
            </w:pPr>
            <w:r w:rsidRPr="005629A7">
              <w:rPr>
                <w:color w:val="000000"/>
                <w:sz w:val="20"/>
                <w:szCs w:val="20"/>
              </w:rPr>
              <w:t>COVID -19 pandēmijas mazināšanas pasākumi</w:t>
            </w:r>
          </w:p>
        </w:tc>
        <w:tc>
          <w:tcPr>
            <w:tcW w:w="1443" w:type="dxa"/>
            <w:shd w:val="clear" w:color="auto" w:fill="auto"/>
            <w:noWrap/>
            <w:vAlign w:val="center"/>
            <w:hideMark/>
          </w:tcPr>
          <w:p w14:paraId="45432A23" w14:textId="77777777" w:rsidR="00D200BC" w:rsidRPr="005629A7" w:rsidRDefault="00D200BC" w:rsidP="0011009A">
            <w:pPr>
              <w:ind w:firstLine="0"/>
              <w:jc w:val="left"/>
              <w:rPr>
                <w:rFonts w:eastAsia="Times New Roman" w:cs="Times New Roman"/>
                <w:color w:val="000000"/>
                <w:sz w:val="18"/>
                <w:szCs w:val="18"/>
                <w:lang w:eastAsia="lv-LV"/>
              </w:rPr>
            </w:pPr>
            <w:r w:rsidRPr="005629A7">
              <w:rPr>
                <w:rFonts w:eastAsia="Times New Roman" w:cs="Times New Roman"/>
                <w:color w:val="000000"/>
                <w:sz w:val="18"/>
                <w:szCs w:val="18"/>
                <w:lang w:eastAsia="lv-LV"/>
              </w:rPr>
              <w:t> </w:t>
            </w:r>
          </w:p>
        </w:tc>
        <w:tc>
          <w:tcPr>
            <w:tcW w:w="1109" w:type="dxa"/>
            <w:shd w:val="clear" w:color="auto" w:fill="auto"/>
            <w:noWrap/>
            <w:vAlign w:val="center"/>
          </w:tcPr>
          <w:p w14:paraId="3CB44D84"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0,0</w:t>
            </w:r>
          </w:p>
        </w:tc>
        <w:tc>
          <w:tcPr>
            <w:tcW w:w="1275" w:type="dxa"/>
            <w:shd w:val="clear" w:color="auto" w:fill="auto"/>
            <w:noWrap/>
            <w:vAlign w:val="center"/>
          </w:tcPr>
          <w:p w14:paraId="6C0EA1C2"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0,0</w:t>
            </w:r>
          </w:p>
        </w:tc>
        <w:tc>
          <w:tcPr>
            <w:tcW w:w="993" w:type="dxa"/>
            <w:vAlign w:val="center"/>
          </w:tcPr>
          <w:p w14:paraId="08608365" w14:textId="77777777" w:rsidR="00D200BC" w:rsidRPr="005629A7" w:rsidRDefault="00D200BC" w:rsidP="0011009A">
            <w:pPr>
              <w:ind w:firstLine="0"/>
              <w:jc w:val="center"/>
              <w:rPr>
                <w:sz w:val="20"/>
                <w:szCs w:val="20"/>
              </w:rPr>
            </w:pPr>
            <w:r w:rsidRPr="005629A7">
              <w:rPr>
                <w:sz w:val="20"/>
                <w:szCs w:val="20"/>
              </w:rPr>
              <w:t>0,0</w:t>
            </w:r>
          </w:p>
        </w:tc>
        <w:tc>
          <w:tcPr>
            <w:tcW w:w="1134" w:type="dxa"/>
            <w:shd w:val="clear" w:color="auto" w:fill="auto"/>
            <w:noWrap/>
            <w:vAlign w:val="center"/>
          </w:tcPr>
          <w:p w14:paraId="799D6D2A"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0,0</w:t>
            </w:r>
          </w:p>
        </w:tc>
      </w:tr>
      <w:tr w:rsidR="00D200BC" w:rsidRPr="005629A7" w14:paraId="5D4534ED" w14:textId="77777777" w:rsidTr="0011009A">
        <w:trPr>
          <w:trHeight w:val="54"/>
        </w:trPr>
        <w:tc>
          <w:tcPr>
            <w:tcW w:w="3539" w:type="dxa"/>
            <w:shd w:val="clear" w:color="auto" w:fill="auto"/>
            <w:vAlign w:val="bottom"/>
          </w:tcPr>
          <w:p w14:paraId="561D02C9" w14:textId="77777777" w:rsidR="00D200BC" w:rsidRPr="005629A7" w:rsidRDefault="00D200BC" w:rsidP="0011009A">
            <w:pPr>
              <w:ind w:firstLineChars="200" w:firstLine="400"/>
              <w:jc w:val="left"/>
              <w:rPr>
                <w:rFonts w:eastAsia="Times New Roman" w:cs="Times New Roman"/>
                <w:color w:val="000000"/>
                <w:sz w:val="18"/>
                <w:szCs w:val="18"/>
                <w:lang w:eastAsia="lv-LV"/>
              </w:rPr>
            </w:pPr>
            <w:r w:rsidRPr="005629A7">
              <w:rPr>
                <w:color w:val="000000"/>
                <w:sz w:val="20"/>
                <w:szCs w:val="20"/>
              </w:rPr>
              <w:t>enerģijas cenas pieauguma mazināšanas pasākumi</w:t>
            </w:r>
          </w:p>
        </w:tc>
        <w:tc>
          <w:tcPr>
            <w:tcW w:w="1443" w:type="dxa"/>
            <w:shd w:val="clear" w:color="auto" w:fill="auto"/>
            <w:noWrap/>
            <w:vAlign w:val="center"/>
            <w:hideMark/>
          </w:tcPr>
          <w:p w14:paraId="3200B52F" w14:textId="77777777" w:rsidR="00D200BC" w:rsidRPr="005629A7" w:rsidRDefault="00D200BC" w:rsidP="0011009A">
            <w:pPr>
              <w:ind w:firstLine="0"/>
              <w:jc w:val="left"/>
              <w:rPr>
                <w:rFonts w:eastAsia="Times New Roman" w:cs="Times New Roman"/>
                <w:color w:val="000000"/>
                <w:sz w:val="18"/>
                <w:szCs w:val="18"/>
                <w:lang w:eastAsia="lv-LV"/>
              </w:rPr>
            </w:pPr>
            <w:r w:rsidRPr="005629A7">
              <w:rPr>
                <w:rFonts w:eastAsia="Times New Roman" w:cs="Times New Roman"/>
                <w:color w:val="000000"/>
                <w:sz w:val="18"/>
                <w:szCs w:val="18"/>
                <w:lang w:eastAsia="lv-LV"/>
              </w:rPr>
              <w:t> </w:t>
            </w:r>
          </w:p>
        </w:tc>
        <w:tc>
          <w:tcPr>
            <w:tcW w:w="1109" w:type="dxa"/>
            <w:shd w:val="clear" w:color="auto" w:fill="auto"/>
            <w:noWrap/>
            <w:vAlign w:val="center"/>
          </w:tcPr>
          <w:p w14:paraId="60338F95"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0,0</w:t>
            </w:r>
          </w:p>
        </w:tc>
        <w:tc>
          <w:tcPr>
            <w:tcW w:w="1275" w:type="dxa"/>
            <w:shd w:val="clear" w:color="auto" w:fill="auto"/>
            <w:noWrap/>
            <w:vAlign w:val="center"/>
          </w:tcPr>
          <w:p w14:paraId="35183A38"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0,0</w:t>
            </w:r>
          </w:p>
        </w:tc>
        <w:tc>
          <w:tcPr>
            <w:tcW w:w="993" w:type="dxa"/>
            <w:vAlign w:val="center"/>
          </w:tcPr>
          <w:p w14:paraId="7D7E502E" w14:textId="77777777" w:rsidR="00D200BC" w:rsidRPr="005629A7" w:rsidRDefault="00D200BC" w:rsidP="0011009A">
            <w:pPr>
              <w:ind w:firstLine="0"/>
              <w:jc w:val="center"/>
              <w:rPr>
                <w:sz w:val="20"/>
                <w:szCs w:val="20"/>
              </w:rPr>
            </w:pPr>
            <w:r w:rsidRPr="005629A7">
              <w:rPr>
                <w:sz w:val="20"/>
                <w:szCs w:val="20"/>
              </w:rPr>
              <w:t>0,0</w:t>
            </w:r>
          </w:p>
        </w:tc>
        <w:tc>
          <w:tcPr>
            <w:tcW w:w="1134" w:type="dxa"/>
            <w:shd w:val="clear" w:color="auto" w:fill="auto"/>
            <w:noWrap/>
            <w:vAlign w:val="center"/>
          </w:tcPr>
          <w:p w14:paraId="71D6ECBE"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0,0</w:t>
            </w:r>
          </w:p>
        </w:tc>
      </w:tr>
      <w:tr w:rsidR="00D200BC" w:rsidRPr="005629A7" w14:paraId="11E07DA1" w14:textId="77777777" w:rsidTr="0011009A">
        <w:trPr>
          <w:trHeight w:val="54"/>
        </w:trPr>
        <w:tc>
          <w:tcPr>
            <w:tcW w:w="3539" w:type="dxa"/>
            <w:shd w:val="clear" w:color="auto" w:fill="auto"/>
            <w:vAlign w:val="bottom"/>
          </w:tcPr>
          <w:p w14:paraId="430C4456" w14:textId="77777777" w:rsidR="00D200BC" w:rsidRPr="005629A7" w:rsidRDefault="00D200BC" w:rsidP="0011009A">
            <w:pPr>
              <w:ind w:firstLineChars="200" w:firstLine="400"/>
              <w:jc w:val="left"/>
              <w:rPr>
                <w:rFonts w:eastAsia="Times New Roman" w:cs="Times New Roman"/>
                <w:color w:val="000000"/>
                <w:sz w:val="18"/>
                <w:szCs w:val="18"/>
                <w:lang w:eastAsia="lv-LV"/>
              </w:rPr>
            </w:pPr>
            <w:r w:rsidRPr="005629A7">
              <w:rPr>
                <w:color w:val="000000"/>
                <w:sz w:val="20"/>
                <w:szCs w:val="20"/>
              </w:rPr>
              <w:t>aizsardzības un iekšējās drošības finansējums</w:t>
            </w:r>
          </w:p>
        </w:tc>
        <w:tc>
          <w:tcPr>
            <w:tcW w:w="1443" w:type="dxa"/>
            <w:shd w:val="clear" w:color="auto" w:fill="auto"/>
            <w:noWrap/>
            <w:vAlign w:val="center"/>
            <w:hideMark/>
          </w:tcPr>
          <w:p w14:paraId="48A661B9" w14:textId="77777777" w:rsidR="00D200BC" w:rsidRPr="005629A7" w:rsidRDefault="00D200BC" w:rsidP="0011009A">
            <w:pPr>
              <w:ind w:firstLine="0"/>
              <w:jc w:val="left"/>
              <w:rPr>
                <w:rFonts w:eastAsia="Times New Roman" w:cs="Times New Roman"/>
                <w:color w:val="000000"/>
                <w:sz w:val="18"/>
                <w:szCs w:val="18"/>
                <w:lang w:eastAsia="lv-LV"/>
              </w:rPr>
            </w:pPr>
            <w:r w:rsidRPr="005629A7">
              <w:rPr>
                <w:rFonts w:eastAsia="Times New Roman" w:cs="Times New Roman"/>
                <w:color w:val="000000"/>
                <w:sz w:val="18"/>
                <w:szCs w:val="18"/>
                <w:lang w:eastAsia="lv-LV"/>
              </w:rPr>
              <w:t> </w:t>
            </w:r>
          </w:p>
        </w:tc>
        <w:tc>
          <w:tcPr>
            <w:tcW w:w="1109" w:type="dxa"/>
            <w:shd w:val="clear" w:color="auto" w:fill="auto"/>
            <w:noWrap/>
            <w:vAlign w:val="center"/>
          </w:tcPr>
          <w:p w14:paraId="31FFBED0"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-0,9</w:t>
            </w:r>
          </w:p>
        </w:tc>
        <w:tc>
          <w:tcPr>
            <w:tcW w:w="1275" w:type="dxa"/>
            <w:shd w:val="clear" w:color="auto" w:fill="auto"/>
            <w:noWrap/>
            <w:vAlign w:val="center"/>
          </w:tcPr>
          <w:p w14:paraId="3B480BC7"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-1,0</w:t>
            </w:r>
          </w:p>
        </w:tc>
        <w:tc>
          <w:tcPr>
            <w:tcW w:w="993" w:type="dxa"/>
            <w:vAlign w:val="center"/>
          </w:tcPr>
          <w:p w14:paraId="55F89F71" w14:textId="77777777" w:rsidR="00D200BC" w:rsidRPr="005629A7" w:rsidRDefault="00D200BC" w:rsidP="0011009A">
            <w:pPr>
              <w:ind w:firstLine="0"/>
              <w:jc w:val="center"/>
              <w:rPr>
                <w:sz w:val="20"/>
                <w:szCs w:val="20"/>
              </w:rPr>
            </w:pPr>
            <w:r w:rsidRPr="005629A7">
              <w:rPr>
                <w:sz w:val="20"/>
                <w:szCs w:val="20"/>
              </w:rPr>
              <w:t>-0,9</w:t>
            </w:r>
          </w:p>
        </w:tc>
        <w:tc>
          <w:tcPr>
            <w:tcW w:w="1134" w:type="dxa"/>
            <w:shd w:val="clear" w:color="auto" w:fill="auto"/>
            <w:noWrap/>
            <w:vAlign w:val="center"/>
          </w:tcPr>
          <w:p w14:paraId="3E099D33"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-0,7</w:t>
            </w:r>
          </w:p>
        </w:tc>
      </w:tr>
      <w:tr w:rsidR="00D200BC" w:rsidRPr="005629A7" w14:paraId="4418A1AF" w14:textId="77777777" w:rsidTr="0011009A">
        <w:trPr>
          <w:trHeight w:val="54"/>
        </w:trPr>
        <w:tc>
          <w:tcPr>
            <w:tcW w:w="3539" w:type="dxa"/>
            <w:shd w:val="clear" w:color="auto" w:fill="auto"/>
            <w:vAlign w:val="bottom"/>
          </w:tcPr>
          <w:p w14:paraId="6C4043A1" w14:textId="77777777" w:rsidR="00D200BC" w:rsidRPr="005629A7" w:rsidRDefault="00D200BC" w:rsidP="0011009A">
            <w:pPr>
              <w:ind w:firstLineChars="200" w:firstLine="400"/>
              <w:jc w:val="left"/>
              <w:rPr>
                <w:rFonts w:eastAsia="Times New Roman" w:cs="Times New Roman"/>
                <w:color w:val="000000"/>
                <w:sz w:val="18"/>
                <w:szCs w:val="18"/>
                <w:lang w:eastAsia="lv-LV"/>
              </w:rPr>
            </w:pPr>
            <w:r w:rsidRPr="005629A7">
              <w:rPr>
                <w:sz w:val="20"/>
                <w:szCs w:val="20"/>
              </w:rPr>
              <w:t>atbalsts bēgļiem no Ukrainas</w:t>
            </w:r>
          </w:p>
        </w:tc>
        <w:tc>
          <w:tcPr>
            <w:tcW w:w="1443" w:type="dxa"/>
            <w:shd w:val="clear" w:color="auto" w:fill="auto"/>
            <w:noWrap/>
            <w:vAlign w:val="center"/>
            <w:hideMark/>
          </w:tcPr>
          <w:p w14:paraId="786F75E4" w14:textId="77777777" w:rsidR="00D200BC" w:rsidRPr="005629A7" w:rsidRDefault="00D200BC" w:rsidP="0011009A">
            <w:pPr>
              <w:ind w:firstLine="0"/>
              <w:jc w:val="left"/>
              <w:rPr>
                <w:rFonts w:eastAsia="Times New Roman" w:cs="Times New Roman"/>
                <w:color w:val="000000"/>
                <w:sz w:val="18"/>
                <w:szCs w:val="18"/>
                <w:lang w:eastAsia="lv-LV"/>
              </w:rPr>
            </w:pPr>
            <w:r w:rsidRPr="005629A7">
              <w:rPr>
                <w:rFonts w:eastAsia="Times New Roman" w:cs="Times New Roman"/>
                <w:color w:val="000000"/>
                <w:sz w:val="18"/>
                <w:szCs w:val="18"/>
                <w:lang w:eastAsia="lv-LV"/>
              </w:rPr>
              <w:t> </w:t>
            </w:r>
          </w:p>
        </w:tc>
        <w:tc>
          <w:tcPr>
            <w:tcW w:w="1109" w:type="dxa"/>
            <w:shd w:val="clear" w:color="auto" w:fill="auto"/>
            <w:noWrap/>
            <w:vAlign w:val="center"/>
          </w:tcPr>
          <w:p w14:paraId="670A9626"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0,0</w:t>
            </w:r>
          </w:p>
        </w:tc>
        <w:tc>
          <w:tcPr>
            <w:tcW w:w="1275" w:type="dxa"/>
            <w:shd w:val="clear" w:color="auto" w:fill="auto"/>
            <w:noWrap/>
            <w:vAlign w:val="center"/>
          </w:tcPr>
          <w:p w14:paraId="1C2F266B"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0,0</w:t>
            </w:r>
          </w:p>
        </w:tc>
        <w:tc>
          <w:tcPr>
            <w:tcW w:w="993" w:type="dxa"/>
            <w:vAlign w:val="center"/>
          </w:tcPr>
          <w:p w14:paraId="57E19EF3" w14:textId="77777777" w:rsidR="00D200BC" w:rsidRPr="005629A7" w:rsidRDefault="00D200BC" w:rsidP="0011009A">
            <w:pPr>
              <w:ind w:firstLine="0"/>
              <w:jc w:val="center"/>
              <w:rPr>
                <w:sz w:val="20"/>
                <w:szCs w:val="20"/>
              </w:rPr>
            </w:pPr>
            <w:r w:rsidRPr="005629A7">
              <w:rPr>
                <w:sz w:val="20"/>
                <w:szCs w:val="20"/>
              </w:rPr>
              <w:t>0,0</w:t>
            </w:r>
          </w:p>
        </w:tc>
        <w:tc>
          <w:tcPr>
            <w:tcW w:w="1134" w:type="dxa"/>
            <w:shd w:val="clear" w:color="auto" w:fill="auto"/>
            <w:noWrap/>
            <w:vAlign w:val="center"/>
          </w:tcPr>
          <w:p w14:paraId="059BC671"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0,0</w:t>
            </w:r>
          </w:p>
        </w:tc>
      </w:tr>
      <w:tr w:rsidR="00D200BC" w:rsidRPr="005629A7" w14:paraId="19550F9D" w14:textId="77777777" w:rsidTr="0011009A">
        <w:trPr>
          <w:trHeight w:val="187"/>
        </w:trPr>
        <w:tc>
          <w:tcPr>
            <w:tcW w:w="3539" w:type="dxa"/>
            <w:shd w:val="clear" w:color="auto" w:fill="auto"/>
            <w:vAlign w:val="center"/>
          </w:tcPr>
          <w:p w14:paraId="7FFF9F18" w14:textId="77777777" w:rsidR="00D200BC" w:rsidRPr="005629A7" w:rsidRDefault="00D200BC" w:rsidP="0011009A">
            <w:pPr>
              <w:ind w:left="451" w:firstLine="0"/>
              <w:jc w:val="left"/>
              <w:rPr>
                <w:rFonts w:eastAsia="Times New Roman" w:cs="Times New Roman"/>
                <w:color w:val="000000"/>
                <w:sz w:val="18"/>
                <w:szCs w:val="18"/>
                <w:lang w:eastAsia="lv-LV"/>
              </w:rPr>
            </w:pPr>
            <w:r w:rsidRPr="005629A7">
              <w:rPr>
                <w:sz w:val="20"/>
                <w:szCs w:val="20"/>
              </w:rPr>
              <w:t>vienreizējie izdevumi valsts aizsardzībai un iekšējai drošībai</w:t>
            </w:r>
          </w:p>
        </w:tc>
        <w:tc>
          <w:tcPr>
            <w:tcW w:w="1443" w:type="dxa"/>
            <w:shd w:val="clear" w:color="auto" w:fill="auto"/>
            <w:noWrap/>
            <w:vAlign w:val="center"/>
          </w:tcPr>
          <w:p w14:paraId="0C876AD6" w14:textId="77777777" w:rsidR="00D200BC" w:rsidRPr="005629A7" w:rsidRDefault="00D200BC" w:rsidP="0011009A">
            <w:pPr>
              <w:ind w:firstLine="0"/>
              <w:jc w:val="left"/>
              <w:rPr>
                <w:rFonts w:eastAsia="Times New Roman" w:cs="Times New Roman"/>
                <w:color w:val="000000"/>
                <w:sz w:val="18"/>
                <w:szCs w:val="18"/>
                <w:lang w:eastAsia="lv-LV"/>
              </w:rPr>
            </w:pPr>
          </w:p>
        </w:tc>
        <w:tc>
          <w:tcPr>
            <w:tcW w:w="1109" w:type="dxa"/>
            <w:shd w:val="clear" w:color="auto" w:fill="auto"/>
            <w:noWrap/>
            <w:vAlign w:val="center"/>
          </w:tcPr>
          <w:p w14:paraId="421A44D2"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-0,7</w:t>
            </w:r>
          </w:p>
        </w:tc>
        <w:tc>
          <w:tcPr>
            <w:tcW w:w="1275" w:type="dxa"/>
            <w:shd w:val="clear" w:color="auto" w:fill="auto"/>
            <w:noWrap/>
            <w:vAlign w:val="center"/>
          </w:tcPr>
          <w:p w14:paraId="04CF0528"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-0,6</w:t>
            </w:r>
          </w:p>
        </w:tc>
        <w:tc>
          <w:tcPr>
            <w:tcW w:w="993" w:type="dxa"/>
            <w:vAlign w:val="center"/>
          </w:tcPr>
          <w:p w14:paraId="15059358" w14:textId="77777777" w:rsidR="00D200BC" w:rsidRPr="005629A7" w:rsidRDefault="00D200BC" w:rsidP="0011009A">
            <w:pPr>
              <w:ind w:firstLine="0"/>
              <w:jc w:val="center"/>
              <w:rPr>
                <w:sz w:val="20"/>
                <w:szCs w:val="20"/>
              </w:rPr>
            </w:pPr>
            <w:r w:rsidRPr="005629A7">
              <w:rPr>
                <w:sz w:val="20"/>
                <w:szCs w:val="20"/>
              </w:rPr>
              <w:t>-0,6</w:t>
            </w:r>
          </w:p>
        </w:tc>
        <w:tc>
          <w:tcPr>
            <w:tcW w:w="1134" w:type="dxa"/>
            <w:shd w:val="clear" w:color="auto" w:fill="auto"/>
            <w:noWrap/>
            <w:vAlign w:val="center"/>
          </w:tcPr>
          <w:p w14:paraId="11F25935"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sz w:val="20"/>
                <w:szCs w:val="20"/>
              </w:rPr>
              <w:t>-0,6</w:t>
            </w:r>
          </w:p>
        </w:tc>
      </w:tr>
      <w:tr w:rsidR="00D200BC" w:rsidRPr="005629A7" w14:paraId="1BFB73D0" w14:textId="77777777" w:rsidTr="0011009A">
        <w:trPr>
          <w:trHeight w:val="54"/>
        </w:trPr>
        <w:tc>
          <w:tcPr>
            <w:tcW w:w="3539" w:type="dxa"/>
            <w:shd w:val="clear" w:color="auto" w:fill="auto"/>
            <w:vAlign w:val="center"/>
          </w:tcPr>
          <w:p w14:paraId="6F44A6D7" w14:textId="77777777" w:rsidR="00D200BC" w:rsidRPr="005629A7" w:rsidRDefault="00D200BC" w:rsidP="0011009A">
            <w:pPr>
              <w:ind w:firstLine="0"/>
              <w:jc w:val="left"/>
              <w:rPr>
                <w:rFonts w:eastAsia="Times New Roman" w:cs="Times New Roman"/>
                <w:color w:val="000000"/>
                <w:sz w:val="18"/>
                <w:szCs w:val="18"/>
                <w:lang w:eastAsia="lv-LV"/>
              </w:rPr>
            </w:pPr>
            <w:r w:rsidRPr="005629A7">
              <w:rPr>
                <w:sz w:val="20"/>
                <w:szCs w:val="20"/>
              </w:rPr>
              <w:lastRenderedPageBreak/>
              <w:t>Vispārējās valdības budžeta strukturālās bilances prognozes nemainīgas politikas scenārijā, % no IKP</w:t>
            </w:r>
          </w:p>
        </w:tc>
        <w:tc>
          <w:tcPr>
            <w:tcW w:w="1443" w:type="dxa"/>
            <w:shd w:val="clear" w:color="auto" w:fill="auto"/>
            <w:noWrap/>
            <w:vAlign w:val="center"/>
            <w:hideMark/>
          </w:tcPr>
          <w:p w14:paraId="37C177C6" w14:textId="77777777" w:rsidR="00D200BC" w:rsidRPr="005629A7" w:rsidRDefault="00D200BC" w:rsidP="0011009A">
            <w:pPr>
              <w:ind w:firstLine="0"/>
              <w:jc w:val="left"/>
              <w:rPr>
                <w:rFonts w:eastAsia="Times New Roman" w:cs="Times New Roman"/>
                <w:color w:val="000000"/>
                <w:sz w:val="18"/>
                <w:szCs w:val="18"/>
                <w:lang w:eastAsia="lv-LV"/>
              </w:rPr>
            </w:pPr>
            <w:r w:rsidRPr="005629A7">
              <w:rPr>
                <w:rFonts w:eastAsia="Times New Roman" w:cs="Times New Roman"/>
                <w:color w:val="000000"/>
                <w:sz w:val="18"/>
                <w:szCs w:val="18"/>
                <w:lang w:eastAsia="lv-LV"/>
              </w:rPr>
              <w:t>(5)=(1)-(3)-(4)</w:t>
            </w:r>
          </w:p>
        </w:tc>
        <w:tc>
          <w:tcPr>
            <w:tcW w:w="1109" w:type="dxa"/>
            <w:shd w:val="clear" w:color="auto" w:fill="auto"/>
            <w:noWrap/>
            <w:vAlign w:val="center"/>
          </w:tcPr>
          <w:p w14:paraId="141CAF8A"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b/>
                <w:bCs/>
                <w:sz w:val="20"/>
                <w:szCs w:val="20"/>
              </w:rPr>
              <w:t>-1,0</w:t>
            </w:r>
          </w:p>
        </w:tc>
        <w:tc>
          <w:tcPr>
            <w:tcW w:w="1275" w:type="dxa"/>
            <w:shd w:val="clear" w:color="auto" w:fill="auto"/>
            <w:noWrap/>
            <w:vAlign w:val="center"/>
          </w:tcPr>
          <w:p w14:paraId="2B86F4FC"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b/>
                <w:bCs/>
                <w:sz w:val="20"/>
                <w:szCs w:val="20"/>
              </w:rPr>
              <w:t>-0,5</w:t>
            </w:r>
          </w:p>
        </w:tc>
        <w:tc>
          <w:tcPr>
            <w:tcW w:w="993" w:type="dxa"/>
            <w:vAlign w:val="center"/>
          </w:tcPr>
          <w:p w14:paraId="737135B2" w14:textId="77777777" w:rsidR="00D200BC" w:rsidRPr="005629A7" w:rsidRDefault="00D200BC" w:rsidP="0011009A">
            <w:pPr>
              <w:ind w:firstLine="0"/>
              <w:jc w:val="center"/>
              <w:rPr>
                <w:sz w:val="20"/>
                <w:szCs w:val="20"/>
              </w:rPr>
            </w:pPr>
            <w:r w:rsidRPr="005629A7">
              <w:rPr>
                <w:b/>
                <w:bCs/>
                <w:sz w:val="20"/>
                <w:szCs w:val="20"/>
              </w:rPr>
              <w:t>-0,6</w:t>
            </w:r>
          </w:p>
        </w:tc>
        <w:tc>
          <w:tcPr>
            <w:tcW w:w="1134" w:type="dxa"/>
            <w:shd w:val="clear" w:color="auto" w:fill="auto"/>
            <w:noWrap/>
            <w:vAlign w:val="center"/>
          </w:tcPr>
          <w:p w14:paraId="5925D8CF" w14:textId="77777777" w:rsidR="00D200BC" w:rsidRPr="005629A7" w:rsidRDefault="00D200BC" w:rsidP="0011009A">
            <w:pPr>
              <w:ind w:firstLine="0"/>
              <w:jc w:val="center"/>
              <w:rPr>
                <w:rFonts w:eastAsia="Times New Roman" w:cs="Times New Roman"/>
                <w:color w:val="000000"/>
                <w:sz w:val="18"/>
                <w:szCs w:val="18"/>
                <w:lang w:eastAsia="lv-LV"/>
              </w:rPr>
            </w:pPr>
            <w:r w:rsidRPr="005629A7">
              <w:rPr>
                <w:b/>
                <w:bCs/>
                <w:sz w:val="20"/>
                <w:szCs w:val="20"/>
              </w:rPr>
              <w:t>-0,4</w:t>
            </w:r>
          </w:p>
        </w:tc>
      </w:tr>
      <w:tr w:rsidR="00D200BC" w:rsidRPr="005629A7" w14:paraId="6BEDC9B2" w14:textId="77777777" w:rsidTr="0011009A">
        <w:trPr>
          <w:trHeight w:val="54"/>
        </w:trPr>
        <w:tc>
          <w:tcPr>
            <w:tcW w:w="3539" w:type="dxa"/>
            <w:shd w:val="clear" w:color="auto" w:fill="auto"/>
            <w:vAlign w:val="center"/>
          </w:tcPr>
          <w:p w14:paraId="1896BAA5" w14:textId="77777777" w:rsidR="00D200BC" w:rsidRPr="005629A7" w:rsidRDefault="00D200BC" w:rsidP="0011009A">
            <w:pPr>
              <w:ind w:firstLine="0"/>
              <w:jc w:val="left"/>
              <w:rPr>
                <w:rFonts w:eastAsia="Times New Roman" w:cs="Times New Roman"/>
                <w:color w:val="000000"/>
                <w:sz w:val="18"/>
                <w:szCs w:val="18"/>
                <w:lang w:eastAsia="lv-LV"/>
              </w:rPr>
            </w:pPr>
            <w:r w:rsidRPr="005629A7">
              <w:rPr>
                <w:color w:val="000000"/>
                <w:sz w:val="20"/>
                <w:szCs w:val="20"/>
              </w:rPr>
              <w:t>Vispārējās valdības budžeta strukturālās bilances mērķi, % no IKP</w:t>
            </w:r>
          </w:p>
        </w:tc>
        <w:tc>
          <w:tcPr>
            <w:tcW w:w="1443" w:type="dxa"/>
            <w:shd w:val="clear" w:color="auto" w:fill="auto"/>
            <w:noWrap/>
            <w:vAlign w:val="center"/>
            <w:hideMark/>
          </w:tcPr>
          <w:p w14:paraId="69831BBD" w14:textId="77777777" w:rsidR="00D200BC" w:rsidRPr="005629A7" w:rsidRDefault="00D200BC" w:rsidP="0011009A">
            <w:pPr>
              <w:ind w:firstLine="0"/>
              <w:jc w:val="left"/>
              <w:rPr>
                <w:rFonts w:eastAsia="Times New Roman" w:cs="Times New Roman"/>
                <w:color w:val="000000"/>
                <w:sz w:val="18"/>
                <w:szCs w:val="18"/>
                <w:lang w:eastAsia="lv-LV"/>
              </w:rPr>
            </w:pPr>
            <w:r w:rsidRPr="005629A7">
              <w:rPr>
                <w:rFonts w:eastAsia="Times New Roman" w:cs="Times New Roman"/>
                <w:color w:val="000000"/>
                <w:sz w:val="18"/>
                <w:szCs w:val="18"/>
                <w:lang w:eastAsia="lv-LV"/>
              </w:rPr>
              <w:t>(6)</w:t>
            </w:r>
          </w:p>
        </w:tc>
        <w:tc>
          <w:tcPr>
            <w:tcW w:w="1109" w:type="dxa"/>
            <w:shd w:val="clear" w:color="auto" w:fill="auto"/>
            <w:noWrap/>
            <w:vAlign w:val="center"/>
          </w:tcPr>
          <w:p w14:paraId="65CC0CA8" w14:textId="77777777" w:rsidR="00D200BC" w:rsidRPr="002D5309" w:rsidRDefault="00D200BC" w:rsidP="0011009A">
            <w:pPr>
              <w:ind w:firstLine="0"/>
              <w:jc w:val="center"/>
              <w:rPr>
                <w:rFonts w:eastAsia="Times New Roman" w:cs="Times New Roman"/>
                <w:b/>
                <w:bCs/>
                <w:color w:val="000000"/>
                <w:sz w:val="18"/>
                <w:szCs w:val="18"/>
                <w:lang w:eastAsia="lv-LV"/>
              </w:rPr>
            </w:pPr>
            <w:r w:rsidRPr="002D5309">
              <w:rPr>
                <w:b/>
                <w:bCs/>
                <w:sz w:val="20"/>
                <w:szCs w:val="20"/>
              </w:rPr>
              <w:t>-0,5</w:t>
            </w:r>
          </w:p>
        </w:tc>
        <w:tc>
          <w:tcPr>
            <w:tcW w:w="1275" w:type="dxa"/>
            <w:shd w:val="clear" w:color="auto" w:fill="auto"/>
            <w:noWrap/>
            <w:vAlign w:val="center"/>
          </w:tcPr>
          <w:p w14:paraId="600E718E" w14:textId="77777777" w:rsidR="00D200BC" w:rsidRPr="002D5309" w:rsidRDefault="00D200BC" w:rsidP="0011009A">
            <w:pPr>
              <w:ind w:firstLine="0"/>
              <w:jc w:val="center"/>
              <w:rPr>
                <w:rFonts w:eastAsia="Times New Roman" w:cs="Times New Roman"/>
                <w:b/>
                <w:bCs/>
                <w:color w:val="000000"/>
                <w:sz w:val="18"/>
                <w:szCs w:val="18"/>
                <w:lang w:eastAsia="lv-LV"/>
              </w:rPr>
            </w:pPr>
            <w:r w:rsidRPr="002D5309">
              <w:rPr>
                <w:b/>
                <w:bCs/>
                <w:sz w:val="20"/>
                <w:szCs w:val="20"/>
              </w:rPr>
              <w:t>-0,5</w:t>
            </w:r>
          </w:p>
        </w:tc>
        <w:tc>
          <w:tcPr>
            <w:tcW w:w="993" w:type="dxa"/>
            <w:vAlign w:val="center"/>
          </w:tcPr>
          <w:p w14:paraId="25273D56" w14:textId="77777777" w:rsidR="00D200BC" w:rsidRPr="002D5309" w:rsidRDefault="00D200BC" w:rsidP="0011009A">
            <w:pPr>
              <w:ind w:firstLine="0"/>
              <w:jc w:val="center"/>
              <w:rPr>
                <w:b/>
                <w:bCs/>
                <w:sz w:val="20"/>
                <w:szCs w:val="20"/>
              </w:rPr>
            </w:pPr>
            <w:r w:rsidRPr="002D5309">
              <w:rPr>
                <w:b/>
                <w:bCs/>
                <w:sz w:val="20"/>
                <w:szCs w:val="20"/>
              </w:rPr>
              <w:t>-0,5</w:t>
            </w:r>
          </w:p>
        </w:tc>
        <w:tc>
          <w:tcPr>
            <w:tcW w:w="1134" w:type="dxa"/>
            <w:shd w:val="clear" w:color="auto" w:fill="auto"/>
            <w:noWrap/>
            <w:vAlign w:val="center"/>
          </w:tcPr>
          <w:p w14:paraId="6D68E388" w14:textId="77777777" w:rsidR="00D200BC" w:rsidRPr="002D5309" w:rsidRDefault="00D200BC" w:rsidP="0011009A">
            <w:pPr>
              <w:ind w:firstLine="0"/>
              <w:jc w:val="center"/>
              <w:rPr>
                <w:rFonts w:eastAsia="Times New Roman" w:cs="Times New Roman"/>
                <w:b/>
                <w:bCs/>
                <w:color w:val="000000"/>
                <w:sz w:val="18"/>
                <w:szCs w:val="18"/>
                <w:lang w:eastAsia="lv-LV"/>
              </w:rPr>
            </w:pPr>
            <w:r w:rsidRPr="002D5309">
              <w:rPr>
                <w:b/>
                <w:bCs/>
                <w:sz w:val="20"/>
                <w:szCs w:val="20"/>
              </w:rPr>
              <w:t>-0,5</w:t>
            </w:r>
          </w:p>
        </w:tc>
      </w:tr>
      <w:tr w:rsidR="00D200BC" w:rsidRPr="005629A7" w14:paraId="5381ED69" w14:textId="77777777" w:rsidTr="0011009A">
        <w:trPr>
          <w:trHeight w:val="54"/>
        </w:trPr>
        <w:tc>
          <w:tcPr>
            <w:tcW w:w="3539" w:type="dxa"/>
            <w:shd w:val="clear" w:color="auto" w:fill="auto"/>
            <w:vAlign w:val="center"/>
          </w:tcPr>
          <w:p w14:paraId="1C5FA415" w14:textId="77777777" w:rsidR="00D200BC" w:rsidRPr="00F72EED" w:rsidRDefault="00D200BC" w:rsidP="0011009A">
            <w:pPr>
              <w:ind w:firstLine="0"/>
              <w:jc w:val="left"/>
              <w:rPr>
                <w:rFonts w:eastAsia="Times New Roman" w:cs="Times New Roman"/>
                <w:b/>
                <w:bCs/>
                <w:color w:val="000000"/>
                <w:sz w:val="18"/>
                <w:szCs w:val="18"/>
                <w:lang w:eastAsia="lv-LV"/>
              </w:rPr>
            </w:pPr>
            <w:r w:rsidRPr="00F72EED">
              <w:rPr>
                <w:color w:val="000000"/>
                <w:sz w:val="20"/>
                <w:szCs w:val="20"/>
              </w:rPr>
              <w:t>Fiskālā nodrošinājuma rezerve, % no IKP</w:t>
            </w:r>
          </w:p>
        </w:tc>
        <w:tc>
          <w:tcPr>
            <w:tcW w:w="1443" w:type="dxa"/>
            <w:shd w:val="clear" w:color="auto" w:fill="auto"/>
            <w:noWrap/>
            <w:vAlign w:val="center"/>
            <w:hideMark/>
          </w:tcPr>
          <w:p w14:paraId="1C267B32" w14:textId="77777777" w:rsidR="00D200BC" w:rsidRPr="005629A7" w:rsidRDefault="00D200BC" w:rsidP="0011009A">
            <w:pPr>
              <w:ind w:firstLine="0"/>
              <w:jc w:val="left"/>
              <w:rPr>
                <w:rFonts w:eastAsia="Times New Roman" w:cs="Times New Roman"/>
                <w:b/>
                <w:bCs/>
                <w:color w:val="000000"/>
                <w:sz w:val="18"/>
                <w:szCs w:val="18"/>
                <w:lang w:eastAsia="lv-LV"/>
              </w:rPr>
            </w:pPr>
            <w:r w:rsidRPr="005629A7">
              <w:rPr>
                <w:rFonts w:eastAsia="Times New Roman" w:cs="Times New Roman"/>
                <w:color w:val="000000"/>
                <w:sz w:val="18"/>
                <w:szCs w:val="18"/>
                <w:lang w:eastAsia="lv-LV"/>
              </w:rPr>
              <w:t>(7)</w:t>
            </w:r>
          </w:p>
        </w:tc>
        <w:tc>
          <w:tcPr>
            <w:tcW w:w="1109" w:type="dxa"/>
            <w:shd w:val="clear" w:color="auto" w:fill="auto"/>
            <w:noWrap/>
            <w:vAlign w:val="center"/>
          </w:tcPr>
          <w:p w14:paraId="0B50DE2C"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sz w:val="20"/>
                <w:szCs w:val="20"/>
              </w:rPr>
              <w:t>0,1</w:t>
            </w:r>
          </w:p>
        </w:tc>
        <w:tc>
          <w:tcPr>
            <w:tcW w:w="1275" w:type="dxa"/>
            <w:shd w:val="clear" w:color="auto" w:fill="auto"/>
            <w:noWrap/>
            <w:vAlign w:val="center"/>
          </w:tcPr>
          <w:p w14:paraId="3867E985"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sz w:val="20"/>
                <w:szCs w:val="20"/>
              </w:rPr>
              <w:t>0,1</w:t>
            </w:r>
          </w:p>
        </w:tc>
        <w:tc>
          <w:tcPr>
            <w:tcW w:w="993" w:type="dxa"/>
            <w:vAlign w:val="center"/>
          </w:tcPr>
          <w:p w14:paraId="05765B40" w14:textId="77777777" w:rsidR="00D200BC" w:rsidRPr="005629A7" w:rsidRDefault="00D200BC" w:rsidP="0011009A">
            <w:pPr>
              <w:ind w:firstLine="0"/>
              <w:jc w:val="center"/>
              <w:rPr>
                <w:sz w:val="20"/>
                <w:szCs w:val="20"/>
              </w:rPr>
            </w:pPr>
            <w:r w:rsidRPr="005629A7">
              <w:rPr>
                <w:sz w:val="20"/>
                <w:szCs w:val="20"/>
              </w:rPr>
              <w:t>0,1</w:t>
            </w:r>
          </w:p>
        </w:tc>
        <w:tc>
          <w:tcPr>
            <w:tcW w:w="1134" w:type="dxa"/>
            <w:shd w:val="clear" w:color="auto" w:fill="auto"/>
            <w:noWrap/>
            <w:vAlign w:val="center"/>
          </w:tcPr>
          <w:p w14:paraId="2897681D"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sz w:val="20"/>
                <w:szCs w:val="20"/>
              </w:rPr>
              <w:t>0,1</w:t>
            </w:r>
          </w:p>
        </w:tc>
      </w:tr>
      <w:tr w:rsidR="00D200BC" w:rsidRPr="00C74060" w14:paraId="26457B96" w14:textId="77777777" w:rsidTr="0011009A">
        <w:trPr>
          <w:trHeight w:val="54"/>
        </w:trPr>
        <w:tc>
          <w:tcPr>
            <w:tcW w:w="3539" w:type="dxa"/>
            <w:shd w:val="clear" w:color="auto" w:fill="DEEAF6" w:themeFill="accent1" w:themeFillTint="33"/>
            <w:vAlign w:val="center"/>
          </w:tcPr>
          <w:p w14:paraId="3A7DBCEC" w14:textId="56FEF107" w:rsidR="00D200BC" w:rsidRPr="00F72EED" w:rsidRDefault="00D200BC" w:rsidP="0011009A">
            <w:pPr>
              <w:ind w:firstLine="0"/>
              <w:jc w:val="left"/>
              <w:rPr>
                <w:color w:val="000000"/>
                <w:sz w:val="20"/>
                <w:szCs w:val="20"/>
              </w:rPr>
            </w:pPr>
            <w:r w:rsidRPr="00F72EED">
              <w:rPr>
                <w:b/>
                <w:bCs/>
                <w:color w:val="000000"/>
                <w:sz w:val="20"/>
                <w:szCs w:val="20"/>
              </w:rPr>
              <w:t>Fiskālā telpa, % no IKP</w:t>
            </w:r>
          </w:p>
        </w:tc>
        <w:tc>
          <w:tcPr>
            <w:tcW w:w="1443" w:type="dxa"/>
            <w:shd w:val="clear" w:color="auto" w:fill="DEEAF6" w:themeFill="accent1" w:themeFillTint="33"/>
            <w:noWrap/>
            <w:vAlign w:val="center"/>
          </w:tcPr>
          <w:p w14:paraId="04C5732B" w14:textId="77777777" w:rsidR="00D200BC" w:rsidRPr="005629A7" w:rsidRDefault="00D200BC" w:rsidP="0011009A">
            <w:pPr>
              <w:ind w:firstLine="0"/>
              <w:jc w:val="left"/>
              <w:rPr>
                <w:rFonts w:eastAsia="Times New Roman" w:cs="Times New Roman"/>
                <w:b/>
                <w:bCs/>
                <w:color w:val="000000"/>
                <w:sz w:val="18"/>
                <w:szCs w:val="18"/>
                <w:lang w:eastAsia="lv-LV"/>
              </w:rPr>
            </w:pPr>
            <w:r w:rsidRPr="005629A7">
              <w:rPr>
                <w:rFonts w:eastAsia="Times New Roman" w:cs="Times New Roman"/>
                <w:b/>
                <w:bCs/>
                <w:color w:val="000000"/>
                <w:sz w:val="18"/>
                <w:szCs w:val="18"/>
                <w:lang w:eastAsia="lv-LV"/>
              </w:rPr>
              <w:t>(8)=(5)-(6)-(7)</w:t>
            </w:r>
          </w:p>
        </w:tc>
        <w:tc>
          <w:tcPr>
            <w:tcW w:w="1109" w:type="dxa"/>
            <w:shd w:val="clear" w:color="auto" w:fill="DEEAF6" w:themeFill="accent1" w:themeFillTint="33"/>
            <w:noWrap/>
            <w:vAlign w:val="center"/>
          </w:tcPr>
          <w:p w14:paraId="25DFEC66"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b/>
                <w:bCs/>
                <w:sz w:val="20"/>
                <w:szCs w:val="20"/>
              </w:rPr>
              <w:t>-0,6</w:t>
            </w:r>
          </w:p>
        </w:tc>
        <w:tc>
          <w:tcPr>
            <w:tcW w:w="1275" w:type="dxa"/>
            <w:shd w:val="clear" w:color="auto" w:fill="DEEAF6" w:themeFill="accent1" w:themeFillTint="33"/>
            <w:noWrap/>
            <w:vAlign w:val="center"/>
          </w:tcPr>
          <w:p w14:paraId="1A7CCC3D"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b/>
                <w:bCs/>
                <w:sz w:val="20"/>
                <w:szCs w:val="20"/>
              </w:rPr>
              <w:t>-0,1</w:t>
            </w:r>
          </w:p>
        </w:tc>
        <w:tc>
          <w:tcPr>
            <w:tcW w:w="993" w:type="dxa"/>
            <w:shd w:val="clear" w:color="auto" w:fill="DEEAF6" w:themeFill="accent1" w:themeFillTint="33"/>
            <w:vAlign w:val="center"/>
          </w:tcPr>
          <w:p w14:paraId="40B40911" w14:textId="77777777" w:rsidR="00D200BC" w:rsidRPr="005629A7" w:rsidRDefault="00D200BC" w:rsidP="0011009A">
            <w:pPr>
              <w:ind w:firstLine="0"/>
              <w:jc w:val="center"/>
              <w:rPr>
                <w:b/>
                <w:bCs/>
                <w:sz w:val="20"/>
                <w:szCs w:val="20"/>
              </w:rPr>
            </w:pPr>
            <w:r w:rsidRPr="005629A7">
              <w:rPr>
                <w:b/>
                <w:bCs/>
                <w:sz w:val="20"/>
                <w:szCs w:val="20"/>
              </w:rPr>
              <w:t>-0,2</w:t>
            </w:r>
          </w:p>
        </w:tc>
        <w:tc>
          <w:tcPr>
            <w:tcW w:w="1134" w:type="dxa"/>
            <w:shd w:val="clear" w:color="auto" w:fill="DEEAF6" w:themeFill="accent1" w:themeFillTint="33"/>
            <w:noWrap/>
            <w:vAlign w:val="center"/>
          </w:tcPr>
          <w:p w14:paraId="55CCA0E6" w14:textId="77777777" w:rsidR="00D200BC" w:rsidRPr="005629A7" w:rsidRDefault="00D200BC" w:rsidP="0011009A">
            <w:pPr>
              <w:ind w:firstLine="0"/>
              <w:jc w:val="center"/>
              <w:rPr>
                <w:rFonts w:eastAsia="Times New Roman" w:cs="Times New Roman"/>
                <w:b/>
                <w:bCs/>
                <w:color w:val="000000"/>
                <w:sz w:val="18"/>
                <w:szCs w:val="18"/>
                <w:lang w:eastAsia="lv-LV"/>
              </w:rPr>
            </w:pPr>
            <w:r w:rsidRPr="005629A7">
              <w:rPr>
                <w:b/>
                <w:bCs/>
                <w:sz w:val="20"/>
                <w:szCs w:val="20"/>
              </w:rPr>
              <w:t>0,0</w:t>
            </w:r>
            <w:r>
              <w:rPr>
                <w:b/>
                <w:bCs/>
                <w:sz w:val="20"/>
                <w:szCs w:val="20"/>
              </w:rPr>
              <w:t>2</w:t>
            </w:r>
          </w:p>
        </w:tc>
      </w:tr>
      <w:tr w:rsidR="00D200BC" w:rsidRPr="00C74060" w14:paraId="2B74834F" w14:textId="77777777" w:rsidTr="0011009A">
        <w:trPr>
          <w:trHeight w:val="54"/>
        </w:trPr>
        <w:tc>
          <w:tcPr>
            <w:tcW w:w="3539" w:type="dxa"/>
            <w:shd w:val="clear" w:color="auto" w:fill="DEEAF6" w:themeFill="accent1" w:themeFillTint="33"/>
            <w:vAlign w:val="center"/>
          </w:tcPr>
          <w:p w14:paraId="52A2EFC6" w14:textId="77777777" w:rsidR="00D200BC" w:rsidRPr="00F72EED" w:rsidRDefault="00D200BC" w:rsidP="0011009A">
            <w:pPr>
              <w:ind w:firstLine="0"/>
              <w:jc w:val="left"/>
              <w:rPr>
                <w:b/>
                <w:bCs/>
                <w:color w:val="000000"/>
                <w:sz w:val="20"/>
                <w:szCs w:val="20"/>
              </w:rPr>
            </w:pPr>
            <w:r w:rsidRPr="00F72EED">
              <w:rPr>
                <w:b/>
                <w:bCs/>
                <w:color w:val="000000"/>
                <w:sz w:val="20"/>
                <w:szCs w:val="20"/>
              </w:rPr>
              <w:t xml:space="preserve">Fiskālā telpa, milj. </w:t>
            </w:r>
            <w:proofErr w:type="spellStart"/>
            <w:r w:rsidRPr="00F72EED">
              <w:rPr>
                <w:b/>
                <w:bCs/>
                <w:i/>
                <w:iCs/>
                <w:color w:val="000000"/>
                <w:sz w:val="20"/>
                <w:szCs w:val="20"/>
              </w:rPr>
              <w:t>euro</w:t>
            </w:r>
            <w:proofErr w:type="spellEnd"/>
          </w:p>
        </w:tc>
        <w:tc>
          <w:tcPr>
            <w:tcW w:w="1443" w:type="dxa"/>
            <w:shd w:val="clear" w:color="auto" w:fill="DEEAF6" w:themeFill="accent1" w:themeFillTint="33"/>
            <w:noWrap/>
            <w:vAlign w:val="center"/>
          </w:tcPr>
          <w:p w14:paraId="4FD5674E" w14:textId="77777777" w:rsidR="00D200BC" w:rsidRPr="00C74060" w:rsidRDefault="00D200BC" w:rsidP="0011009A">
            <w:pPr>
              <w:ind w:firstLine="0"/>
              <w:jc w:val="left"/>
              <w:rPr>
                <w:rFonts w:eastAsia="Times New Roman" w:cs="Times New Roman"/>
                <w:b/>
                <w:bCs/>
                <w:color w:val="000000"/>
                <w:sz w:val="18"/>
                <w:szCs w:val="18"/>
                <w:highlight w:val="lightGray"/>
                <w:lang w:eastAsia="lv-LV"/>
              </w:rPr>
            </w:pPr>
          </w:p>
        </w:tc>
        <w:tc>
          <w:tcPr>
            <w:tcW w:w="1109" w:type="dxa"/>
            <w:shd w:val="clear" w:color="auto" w:fill="DEEAF6" w:themeFill="accent1" w:themeFillTint="33"/>
            <w:noWrap/>
            <w:vAlign w:val="center"/>
          </w:tcPr>
          <w:p w14:paraId="48E8F626" w14:textId="77777777" w:rsidR="00D200BC" w:rsidRDefault="00D200BC" w:rsidP="0011009A">
            <w:pPr>
              <w:ind w:firstLine="0"/>
              <w:jc w:val="center"/>
              <w:rPr>
                <w:b/>
                <w:bCs/>
                <w:sz w:val="20"/>
                <w:szCs w:val="20"/>
              </w:rPr>
            </w:pPr>
            <w:r>
              <w:rPr>
                <w:b/>
                <w:bCs/>
                <w:color w:val="000000"/>
                <w:sz w:val="20"/>
                <w:szCs w:val="20"/>
              </w:rPr>
              <w:t>-279,5</w:t>
            </w:r>
          </w:p>
        </w:tc>
        <w:tc>
          <w:tcPr>
            <w:tcW w:w="1275" w:type="dxa"/>
            <w:shd w:val="clear" w:color="auto" w:fill="DEEAF6" w:themeFill="accent1" w:themeFillTint="33"/>
            <w:noWrap/>
            <w:vAlign w:val="center"/>
          </w:tcPr>
          <w:p w14:paraId="2C37EF57" w14:textId="77777777" w:rsidR="00D200BC" w:rsidRDefault="00D200BC" w:rsidP="0011009A">
            <w:pPr>
              <w:ind w:firstLine="0"/>
              <w:jc w:val="center"/>
              <w:rPr>
                <w:b/>
                <w:bCs/>
                <w:sz w:val="20"/>
                <w:szCs w:val="20"/>
              </w:rPr>
            </w:pPr>
            <w:r>
              <w:rPr>
                <w:b/>
                <w:bCs/>
                <w:color w:val="000000"/>
                <w:sz w:val="20"/>
                <w:szCs w:val="20"/>
              </w:rPr>
              <w:t>-67,8</w:t>
            </w:r>
          </w:p>
        </w:tc>
        <w:tc>
          <w:tcPr>
            <w:tcW w:w="993" w:type="dxa"/>
            <w:shd w:val="clear" w:color="auto" w:fill="DEEAF6" w:themeFill="accent1" w:themeFillTint="33"/>
            <w:vAlign w:val="center"/>
          </w:tcPr>
          <w:p w14:paraId="78E5A6C8" w14:textId="77777777" w:rsidR="00D200BC" w:rsidRDefault="00D200BC" w:rsidP="0011009A">
            <w:pPr>
              <w:ind w:firstLine="0"/>
              <w:jc w:val="center"/>
              <w:rPr>
                <w:b/>
                <w:bCs/>
                <w:sz w:val="20"/>
                <w:szCs w:val="20"/>
              </w:rPr>
            </w:pPr>
            <w:r>
              <w:rPr>
                <w:b/>
                <w:bCs/>
                <w:color w:val="000000"/>
                <w:sz w:val="20"/>
                <w:szCs w:val="20"/>
              </w:rPr>
              <w:t>-77,8</w:t>
            </w:r>
          </w:p>
        </w:tc>
        <w:tc>
          <w:tcPr>
            <w:tcW w:w="1134" w:type="dxa"/>
            <w:shd w:val="clear" w:color="auto" w:fill="DEEAF6" w:themeFill="accent1" w:themeFillTint="33"/>
            <w:noWrap/>
            <w:vAlign w:val="center"/>
          </w:tcPr>
          <w:p w14:paraId="1D3C401E" w14:textId="77777777" w:rsidR="00D200BC" w:rsidRDefault="00D200BC" w:rsidP="0011009A">
            <w:pPr>
              <w:ind w:firstLine="0"/>
              <w:jc w:val="center"/>
              <w:rPr>
                <w:b/>
                <w:bCs/>
                <w:sz w:val="20"/>
                <w:szCs w:val="20"/>
              </w:rPr>
            </w:pPr>
            <w:r>
              <w:rPr>
                <w:b/>
                <w:bCs/>
                <w:color w:val="000000"/>
                <w:sz w:val="20"/>
                <w:szCs w:val="20"/>
              </w:rPr>
              <w:t>10,4</w:t>
            </w:r>
          </w:p>
        </w:tc>
      </w:tr>
    </w:tbl>
    <w:p w14:paraId="26732F54" w14:textId="038B1447" w:rsidR="009D2DE9" w:rsidRDefault="00D200BC" w:rsidP="005C399E">
      <w:pPr>
        <w:spacing w:before="240"/>
        <w:rPr>
          <w:rFonts w:eastAsia="Calibri" w:cs="Times New Roman"/>
          <w:sz w:val="24"/>
        </w:rPr>
      </w:pPr>
      <w:r w:rsidRPr="00F53CD0">
        <w:rPr>
          <w:rFonts w:eastAsia="Calibri" w:cs="Times New Roman"/>
          <w:sz w:val="24"/>
        </w:rPr>
        <w:t>Stabilitātes programmas fiskālās attīstības scenārijs prognozē negatīvu fiskālo telpu 2025. gadā 0,6 % no IKP apmērā</w:t>
      </w:r>
      <w:r w:rsidR="002D5309">
        <w:rPr>
          <w:rFonts w:eastAsia="Calibri" w:cs="Times New Roman"/>
          <w:sz w:val="24"/>
        </w:rPr>
        <w:t xml:space="preserve"> jeb 279,5 milj. </w:t>
      </w:r>
      <w:proofErr w:type="spellStart"/>
      <w:r w:rsidR="002D5309" w:rsidRPr="00CF68A1">
        <w:rPr>
          <w:rFonts w:eastAsia="Calibri" w:cs="Times New Roman"/>
          <w:i/>
          <w:iCs/>
          <w:sz w:val="24"/>
        </w:rPr>
        <w:t>euro</w:t>
      </w:r>
      <w:proofErr w:type="spellEnd"/>
      <w:r w:rsidRPr="00F53CD0">
        <w:rPr>
          <w:rFonts w:eastAsia="Calibri" w:cs="Times New Roman"/>
          <w:sz w:val="24"/>
        </w:rPr>
        <w:t>, 2026. gadā 0,1% no IKP</w:t>
      </w:r>
      <w:r w:rsidR="002D5309">
        <w:rPr>
          <w:rFonts w:eastAsia="Calibri" w:cs="Times New Roman"/>
          <w:sz w:val="24"/>
        </w:rPr>
        <w:t xml:space="preserve"> jeb 67,8 milj. </w:t>
      </w:r>
      <w:proofErr w:type="spellStart"/>
      <w:r w:rsidR="002D5309" w:rsidRPr="00CF68A1">
        <w:rPr>
          <w:rFonts w:eastAsia="Calibri" w:cs="Times New Roman"/>
          <w:i/>
          <w:iCs/>
          <w:sz w:val="24"/>
        </w:rPr>
        <w:t>euro</w:t>
      </w:r>
      <w:proofErr w:type="spellEnd"/>
      <w:r w:rsidRPr="00F53CD0">
        <w:rPr>
          <w:rFonts w:eastAsia="Calibri" w:cs="Times New Roman"/>
          <w:sz w:val="24"/>
        </w:rPr>
        <w:t xml:space="preserve">, 2027. gadā 0,2% no IKP </w:t>
      </w:r>
      <w:r w:rsidR="002D5309">
        <w:rPr>
          <w:rFonts w:eastAsia="Calibri" w:cs="Times New Roman"/>
          <w:sz w:val="24"/>
        </w:rPr>
        <w:t xml:space="preserve">jeb 77,8 milj. </w:t>
      </w:r>
      <w:proofErr w:type="spellStart"/>
      <w:r w:rsidR="002D5309" w:rsidRPr="00CF68A1">
        <w:rPr>
          <w:rFonts w:eastAsia="Calibri" w:cs="Times New Roman"/>
          <w:i/>
          <w:iCs/>
          <w:sz w:val="24"/>
        </w:rPr>
        <w:t>euro</w:t>
      </w:r>
      <w:proofErr w:type="spellEnd"/>
      <w:r w:rsidR="002D5309">
        <w:rPr>
          <w:rFonts w:eastAsia="Calibri" w:cs="Times New Roman"/>
          <w:sz w:val="24"/>
        </w:rPr>
        <w:t xml:space="preserve"> </w:t>
      </w:r>
      <w:r w:rsidRPr="00F53CD0">
        <w:rPr>
          <w:rFonts w:eastAsia="Calibri" w:cs="Times New Roman"/>
          <w:sz w:val="24"/>
        </w:rPr>
        <w:t>un pozitīvu fiskālo telpu 2028. gadā 0,02% no IKP</w:t>
      </w:r>
      <w:r w:rsidR="002D5309">
        <w:rPr>
          <w:rFonts w:eastAsia="Calibri" w:cs="Times New Roman"/>
          <w:sz w:val="24"/>
        </w:rPr>
        <w:t xml:space="preserve"> jeb 10,4 milj. </w:t>
      </w:r>
      <w:proofErr w:type="spellStart"/>
      <w:r w:rsidR="002D5309" w:rsidRPr="00CF68A1">
        <w:rPr>
          <w:rFonts w:eastAsia="Calibri" w:cs="Times New Roman"/>
          <w:i/>
          <w:iCs/>
          <w:sz w:val="24"/>
        </w:rPr>
        <w:t>euro</w:t>
      </w:r>
      <w:proofErr w:type="spellEnd"/>
      <w:r w:rsidRPr="00F53CD0">
        <w:rPr>
          <w:rFonts w:eastAsia="Calibri" w:cs="Times New Roman"/>
          <w:sz w:val="24"/>
        </w:rPr>
        <w:t>, neskaitot iespējamo papildus finansējumu vienreizējo pasākumu izdevumiem</w:t>
      </w:r>
      <w:r w:rsidR="009D2DE9">
        <w:rPr>
          <w:rFonts w:eastAsia="Calibri" w:cs="Times New Roman"/>
          <w:sz w:val="24"/>
        </w:rPr>
        <w:t xml:space="preserve">, kas jebkurā gadījumā </w:t>
      </w:r>
      <w:r w:rsidR="002D5309" w:rsidRPr="00562D85">
        <w:rPr>
          <w:rFonts w:eastAsia="Calibri" w:cs="Times New Roman"/>
          <w:sz w:val="24"/>
        </w:rPr>
        <w:t>2025. gadā</w:t>
      </w:r>
      <w:r w:rsidR="002D5309">
        <w:rPr>
          <w:rFonts w:eastAsia="Calibri" w:cs="Times New Roman"/>
          <w:sz w:val="24"/>
        </w:rPr>
        <w:t xml:space="preserve"> </w:t>
      </w:r>
      <w:r w:rsidR="009D2DE9">
        <w:rPr>
          <w:rFonts w:eastAsia="Calibri" w:cs="Times New Roman"/>
          <w:sz w:val="24"/>
        </w:rPr>
        <w:t>nevar pārsniegt 222</w:t>
      </w:r>
      <w:r w:rsidR="005108FF">
        <w:rPr>
          <w:rFonts w:eastAsia="Calibri" w:cs="Times New Roman"/>
          <w:sz w:val="24"/>
        </w:rPr>
        <w:t>,</w:t>
      </w:r>
      <w:r w:rsidR="009D2DE9">
        <w:rPr>
          <w:rFonts w:eastAsia="Calibri" w:cs="Times New Roman"/>
          <w:sz w:val="24"/>
        </w:rPr>
        <w:t xml:space="preserve">7 milj. </w:t>
      </w:r>
      <w:proofErr w:type="spellStart"/>
      <w:r w:rsidR="009D2DE9" w:rsidRPr="002D5309">
        <w:rPr>
          <w:rFonts w:eastAsia="Calibri" w:cs="Times New Roman"/>
          <w:i/>
          <w:iCs/>
          <w:sz w:val="24"/>
        </w:rPr>
        <w:t>euro</w:t>
      </w:r>
      <w:proofErr w:type="spellEnd"/>
      <w:r w:rsidR="002D5309">
        <w:rPr>
          <w:rFonts w:eastAsia="Calibri" w:cs="Times New Roman"/>
          <w:sz w:val="24"/>
        </w:rPr>
        <w:t>.</w:t>
      </w:r>
      <w:r w:rsidR="002D5309" w:rsidRPr="00CF68A1">
        <w:rPr>
          <w:rFonts w:eastAsia="Calibri" w:cs="Times New Roman"/>
          <w:sz w:val="24"/>
        </w:rPr>
        <w:t xml:space="preserve"> </w:t>
      </w:r>
    </w:p>
    <w:p w14:paraId="67C198B1" w14:textId="3C2AB877" w:rsidR="009D2DE9" w:rsidRDefault="009D2DE9" w:rsidP="002D5309">
      <w:pPr>
        <w:rPr>
          <w:rFonts w:eastAsia="Calibri" w:cs="Times New Roman"/>
          <w:sz w:val="24"/>
        </w:rPr>
      </w:pPr>
      <w:r>
        <w:rPr>
          <w:rFonts w:eastAsia="Calibri" w:cs="Times New Roman"/>
          <w:sz w:val="24"/>
        </w:rPr>
        <w:t xml:space="preserve">Ja tiek pieņemts </w:t>
      </w:r>
      <w:r w:rsidRPr="008C6DC2">
        <w:rPr>
          <w:rFonts w:eastAsia="Calibri" w:cs="Times New Roman"/>
          <w:sz w:val="24"/>
        </w:rPr>
        <w:t>lēmums par FDL</w:t>
      </w:r>
      <w:r w:rsidR="002D5309" w:rsidRPr="008C6DC2">
        <w:rPr>
          <w:rFonts w:eastAsia="Calibri" w:cs="Times New Roman"/>
          <w:sz w:val="24"/>
        </w:rPr>
        <w:t xml:space="preserve"> </w:t>
      </w:r>
      <w:r w:rsidRPr="008C6DC2">
        <w:rPr>
          <w:rFonts w:eastAsia="Calibri" w:cs="Times New Roman"/>
          <w:sz w:val="24"/>
        </w:rPr>
        <w:t>noteiktā pieļaujamā strukturālā deficīta palielinājumu no 0,5% no IKP uz 1% no IKP (skat 3.1.3 punktu)</w:t>
      </w:r>
      <w:r w:rsidR="005108FF" w:rsidRPr="008C6DC2">
        <w:rPr>
          <w:rFonts w:eastAsia="Calibri" w:cs="Times New Roman"/>
          <w:sz w:val="24"/>
        </w:rPr>
        <w:t>,</w:t>
      </w:r>
      <w:r w:rsidR="00D200BC" w:rsidRPr="008C6DC2">
        <w:rPr>
          <w:rFonts w:eastAsia="Calibri" w:cs="Times New Roman"/>
          <w:sz w:val="24"/>
        </w:rPr>
        <w:t xml:space="preserve"> </w:t>
      </w:r>
      <w:r w:rsidRPr="008C6DC2">
        <w:rPr>
          <w:rFonts w:eastAsia="Calibri" w:cs="Times New Roman"/>
          <w:sz w:val="24"/>
        </w:rPr>
        <w:t>fiskālā</w:t>
      </w:r>
      <w:r>
        <w:rPr>
          <w:rFonts w:eastAsia="Calibri" w:cs="Times New Roman"/>
          <w:sz w:val="24"/>
        </w:rPr>
        <w:t xml:space="preserve"> telpa būtiski uzlabojas. 2025. gadā tā joprojām ir negatīva 56,8 milj. </w:t>
      </w:r>
      <w:proofErr w:type="spellStart"/>
      <w:r w:rsidRPr="00CF68A1">
        <w:rPr>
          <w:rFonts w:eastAsia="Calibri" w:cs="Times New Roman"/>
          <w:i/>
          <w:iCs/>
          <w:sz w:val="24"/>
        </w:rPr>
        <w:t>euro</w:t>
      </w:r>
      <w:proofErr w:type="spellEnd"/>
      <w:r>
        <w:rPr>
          <w:rFonts w:eastAsia="Calibri" w:cs="Times New Roman"/>
          <w:sz w:val="24"/>
        </w:rPr>
        <w:t xml:space="preserve"> apmērā, bet turpmākajos gados tā ir pozitīva</w:t>
      </w:r>
      <w:r w:rsidR="005108FF">
        <w:rPr>
          <w:rFonts w:eastAsia="Calibri" w:cs="Times New Roman"/>
          <w:sz w:val="24"/>
        </w:rPr>
        <w:t>:</w:t>
      </w:r>
      <w:r>
        <w:rPr>
          <w:rFonts w:eastAsia="Calibri" w:cs="Times New Roman"/>
          <w:sz w:val="24"/>
        </w:rPr>
        <w:t xml:space="preserve"> 2026. gadā 153,0 milj. </w:t>
      </w:r>
      <w:proofErr w:type="spellStart"/>
      <w:r w:rsidRPr="00CF68A1">
        <w:rPr>
          <w:rFonts w:eastAsia="Calibri" w:cs="Times New Roman"/>
          <w:i/>
          <w:iCs/>
          <w:sz w:val="24"/>
        </w:rPr>
        <w:t>euro</w:t>
      </w:r>
      <w:proofErr w:type="spellEnd"/>
      <w:r>
        <w:rPr>
          <w:rFonts w:eastAsia="Calibri" w:cs="Times New Roman"/>
          <w:sz w:val="24"/>
        </w:rPr>
        <w:t xml:space="preserve">, 2027. gadā 168,6 milj. </w:t>
      </w:r>
      <w:proofErr w:type="spellStart"/>
      <w:r w:rsidRPr="00CF68A1">
        <w:rPr>
          <w:rFonts w:eastAsia="Calibri" w:cs="Times New Roman"/>
          <w:i/>
          <w:iCs/>
          <w:sz w:val="24"/>
        </w:rPr>
        <w:t>euro</w:t>
      </w:r>
      <w:proofErr w:type="spellEnd"/>
      <w:r>
        <w:rPr>
          <w:rFonts w:eastAsia="Calibri" w:cs="Times New Roman"/>
          <w:sz w:val="24"/>
        </w:rPr>
        <w:t xml:space="preserve"> un </w:t>
      </w:r>
      <w:r w:rsidR="005108FF">
        <w:rPr>
          <w:rFonts w:eastAsia="Calibri" w:cs="Times New Roman"/>
          <w:sz w:val="24"/>
        </w:rPr>
        <w:t xml:space="preserve">2028. gadā </w:t>
      </w:r>
      <w:r>
        <w:rPr>
          <w:rFonts w:eastAsia="Calibri" w:cs="Times New Roman"/>
          <w:sz w:val="24"/>
        </w:rPr>
        <w:t xml:space="preserve">269,3 milj. </w:t>
      </w:r>
      <w:proofErr w:type="spellStart"/>
      <w:r w:rsidRPr="00CF68A1">
        <w:rPr>
          <w:rFonts w:eastAsia="Calibri" w:cs="Times New Roman"/>
          <w:i/>
          <w:iCs/>
          <w:sz w:val="24"/>
        </w:rPr>
        <w:t>euro</w:t>
      </w:r>
      <w:proofErr w:type="spellEnd"/>
      <w:r>
        <w:rPr>
          <w:rFonts w:eastAsia="Calibri" w:cs="Times New Roman"/>
          <w:sz w:val="24"/>
        </w:rPr>
        <w:t>.</w:t>
      </w:r>
      <w:r w:rsidR="00743CE6">
        <w:rPr>
          <w:rFonts w:eastAsia="Calibri" w:cs="Times New Roman"/>
          <w:sz w:val="24"/>
        </w:rPr>
        <w:t xml:space="preserve"> Tomēr šajā gadījumā papildus vienreizējos pasākumus nav iespējams finansēt. </w:t>
      </w:r>
    </w:p>
    <w:p w14:paraId="06E4AF17" w14:textId="25013E54" w:rsidR="00743CE6" w:rsidRDefault="00743CE6" w:rsidP="002D5309">
      <w:pPr>
        <w:rPr>
          <w:rFonts w:eastAsia="Calibri" w:cs="Times New Roman"/>
          <w:sz w:val="24"/>
        </w:rPr>
      </w:pPr>
      <w:r>
        <w:rPr>
          <w:rFonts w:eastAsia="Calibri" w:cs="Times New Roman"/>
          <w:sz w:val="24"/>
        </w:rPr>
        <w:t>Atšķirība starp abiem variantiem nepastāv,</w:t>
      </w:r>
      <w:r w:rsidR="005108FF">
        <w:rPr>
          <w:rFonts w:eastAsia="Calibri" w:cs="Times New Roman"/>
          <w:sz w:val="24"/>
        </w:rPr>
        <w:t xml:space="preserve"> </w:t>
      </w:r>
      <w:r>
        <w:rPr>
          <w:rFonts w:eastAsia="Calibri" w:cs="Times New Roman"/>
          <w:sz w:val="24"/>
        </w:rPr>
        <w:t>ja 2026. gada budžeta sagatavošanas procesā tiktu konstatēts</w:t>
      </w:r>
      <w:r w:rsidR="005108FF">
        <w:rPr>
          <w:rFonts w:eastAsia="Calibri" w:cs="Times New Roman"/>
          <w:sz w:val="24"/>
        </w:rPr>
        <w:t>,</w:t>
      </w:r>
      <w:r>
        <w:rPr>
          <w:rFonts w:eastAsia="Calibri" w:cs="Times New Roman"/>
          <w:sz w:val="24"/>
        </w:rPr>
        <w:t xml:space="preserve"> ka ģeopolitisko izaicinājumu dēļ ir nepieciešams būtisks papildus finansējums valsts aizsardzībai –</w:t>
      </w:r>
      <w:r w:rsidR="005108FF">
        <w:rPr>
          <w:rFonts w:eastAsia="Calibri" w:cs="Times New Roman"/>
          <w:sz w:val="24"/>
        </w:rPr>
        <w:t xml:space="preserve"> </w:t>
      </w:r>
      <w:r>
        <w:rPr>
          <w:rFonts w:eastAsia="Calibri" w:cs="Times New Roman"/>
          <w:sz w:val="24"/>
        </w:rPr>
        <w:t xml:space="preserve">pirmajā gadījumā telpa ir mazāka, bet tas tiek finansēts ārpus </w:t>
      </w:r>
      <w:r w:rsidR="00A90860">
        <w:rPr>
          <w:rFonts w:eastAsia="Calibri" w:cs="Times New Roman"/>
          <w:sz w:val="24"/>
        </w:rPr>
        <w:t xml:space="preserve">fiskālās </w:t>
      </w:r>
      <w:r>
        <w:rPr>
          <w:rFonts w:eastAsia="Calibri" w:cs="Times New Roman"/>
          <w:sz w:val="24"/>
        </w:rPr>
        <w:t>telpas</w:t>
      </w:r>
      <w:r w:rsidR="005108FF">
        <w:rPr>
          <w:rFonts w:eastAsia="Calibri" w:cs="Times New Roman"/>
          <w:sz w:val="24"/>
        </w:rPr>
        <w:t>;</w:t>
      </w:r>
      <w:r>
        <w:rPr>
          <w:rFonts w:eastAsia="Calibri" w:cs="Times New Roman"/>
          <w:sz w:val="24"/>
        </w:rPr>
        <w:t xml:space="preserve"> </w:t>
      </w:r>
      <w:r w:rsidR="00A90860">
        <w:rPr>
          <w:rFonts w:eastAsia="Calibri" w:cs="Times New Roman"/>
          <w:sz w:val="24"/>
        </w:rPr>
        <w:t>savukārt,</w:t>
      </w:r>
      <w:r>
        <w:rPr>
          <w:rFonts w:eastAsia="Calibri" w:cs="Times New Roman"/>
          <w:sz w:val="24"/>
        </w:rPr>
        <w:t xml:space="preserve"> </w:t>
      </w:r>
      <w:r w:rsidR="00A90860">
        <w:rPr>
          <w:rFonts w:eastAsia="Calibri" w:cs="Times New Roman"/>
          <w:sz w:val="24"/>
        </w:rPr>
        <w:t xml:space="preserve">otrajā gadījumā </w:t>
      </w:r>
      <w:r>
        <w:rPr>
          <w:rFonts w:eastAsia="Calibri" w:cs="Times New Roman"/>
          <w:sz w:val="24"/>
        </w:rPr>
        <w:t xml:space="preserve">telpa ir lielāka, bet papildus izdevumi aizsardzībai tiek finansēti </w:t>
      </w:r>
      <w:r w:rsidR="00A90860">
        <w:rPr>
          <w:rFonts w:eastAsia="Calibri" w:cs="Times New Roman"/>
          <w:sz w:val="24"/>
        </w:rPr>
        <w:t xml:space="preserve">fiskālās </w:t>
      </w:r>
      <w:r>
        <w:rPr>
          <w:rFonts w:eastAsia="Calibri" w:cs="Times New Roman"/>
          <w:sz w:val="24"/>
        </w:rPr>
        <w:t>telpas ietvaros.</w:t>
      </w:r>
    </w:p>
    <w:p w14:paraId="0BCF75AB" w14:textId="0500F0BD" w:rsidR="008C6DC2" w:rsidRPr="008C6DC2" w:rsidRDefault="00743CE6" w:rsidP="00FF1B5A">
      <w:pPr>
        <w:rPr>
          <w:rFonts w:eastAsia="Calibri" w:cs="Times New Roman"/>
          <w:sz w:val="24"/>
        </w:rPr>
      </w:pPr>
      <w:r>
        <w:rPr>
          <w:rFonts w:eastAsia="Calibri" w:cs="Times New Roman"/>
          <w:sz w:val="24"/>
        </w:rPr>
        <w:t xml:space="preserve">Jāatzīmē arī, ka abos gadījumos telpa 2025. gadā ir negatīva un ar aizsardzību nesaistītajām politikas prioritātēm ir jāmeklē papildus finansējuma avoti.    </w:t>
      </w:r>
      <w:bookmarkStart w:id="51" w:name="_Hlk164328213"/>
    </w:p>
    <w:p w14:paraId="1950CF7E" w14:textId="77777777" w:rsidR="005C399E" w:rsidRDefault="005C399E" w:rsidP="00FF1B5A">
      <w:pPr>
        <w:pStyle w:val="ListParagraph"/>
        <w:spacing w:line="276" w:lineRule="auto"/>
        <w:ind w:left="0" w:firstLine="0"/>
        <w:contextualSpacing w:val="0"/>
        <w:jc w:val="right"/>
        <w:rPr>
          <w:rFonts w:eastAsia="Calibri" w:cs="Times New Roman"/>
          <w:b/>
          <w:sz w:val="24"/>
          <w:szCs w:val="24"/>
        </w:rPr>
      </w:pPr>
    </w:p>
    <w:p w14:paraId="286F0BC5" w14:textId="6634F967" w:rsidR="00C13AFE" w:rsidRPr="00FF1B5A" w:rsidRDefault="00C13AFE" w:rsidP="00FF1B5A">
      <w:pPr>
        <w:pStyle w:val="ListParagraph"/>
        <w:spacing w:after="120" w:line="276" w:lineRule="auto"/>
        <w:ind w:left="0" w:firstLine="0"/>
        <w:contextualSpacing w:val="0"/>
        <w:jc w:val="right"/>
        <w:rPr>
          <w:rFonts w:eastAsia="Calibri" w:cs="Times New Roman"/>
          <w:b/>
          <w:sz w:val="24"/>
          <w:szCs w:val="24"/>
        </w:rPr>
      </w:pPr>
      <w:r w:rsidRPr="00FF1B5A">
        <w:rPr>
          <w:rFonts w:eastAsia="Calibri" w:cs="Times New Roman"/>
          <w:b/>
          <w:sz w:val="24"/>
          <w:szCs w:val="24"/>
        </w:rPr>
        <w:t>3.</w:t>
      </w:r>
      <w:r w:rsidR="00BA03D2" w:rsidRPr="00FF1B5A">
        <w:rPr>
          <w:rFonts w:eastAsia="Calibri" w:cs="Times New Roman"/>
          <w:b/>
          <w:sz w:val="24"/>
          <w:szCs w:val="24"/>
        </w:rPr>
        <w:t>1</w:t>
      </w:r>
      <w:r w:rsidR="008C6DC2" w:rsidRPr="00FF1B5A">
        <w:rPr>
          <w:rFonts w:eastAsia="Calibri" w:cs="Times New Roman"/>
          <w:b/>
          <w:sz w:val="24"/>
          <w:szCs w:val="24"/>
        </w:rPr>
        <w:t>1</w:t>
      </w:r>
      <w:r w:rsidRPr="00FF1B5A">
        <w:rPr>
          <w:rFonts w:eastAsia="Calibri" w:cs="Times New Roman"/>
          <w:b/>
          <w:sz w:val="24"/>
          <w:szCs w:val="24"/>
        </w:rPr>
        <w:t>. tabula. Vidējā termiņa fiskālās attīstības scenārijs, % no IKP</w:t>
      </w:r>
    </w:p>
    <w:tbl>
      <w:tblPr>
        <w:tblStyle w:val="TableGrid7"/>
        <w:tblW w:w="9087" w:type="dxa"/>
        <w:tblInd w:w="137" w:type="dxa"/>
        <w:tblLayout w:type="fixed"/>
        <w:tblLook w:val="0000" w:firstRow="0" w:lastRow="0" w:firstColumn="0" w:lastColumn="0" w:noHBand="0" w:noVBand="0"/>
      </w:tblPr>
      <w:tblGrid>
        <w:gridCol w:w="2836"/>
        <w:gridCol w:w="987"/>
        <w:gridCol w:w="877"/>
        <w:gridCol w:w="876"/>
        <w:gridCol w:w="877"/>
        <w:gridCol w:w="876"/>
        <w:gridCol w:w="879"/>
        <w:gridCol w:w="879"/>
      </w:tblGrid>
      <w:tr w:rsidR="00207CB2" w:rsidRPr="00FF1B5A" w14:paraId="4C4BCBED" w14:textId="2E487444" w:rsidTr="00207CB2">
        <w:trPr>
          <w:trHeight w:val="251"/>
        </w:trPr>
        <w:tc>
          <w:tcPr>
            <w:tcW w:w="2836" w:type="dxa"/>
            <w:shd w:val="clear" w:color="auto" w:fill="BDD6EE" w:themeFill="accent1" w:themeFillTint="66"/>
          </w:tcPr>
          <w:p w14:paraId="47234036" w14:textId="77777777" w:rsidR="00207CB2" w:rsidRPr="00FF1B5A" w:rsidRDefault="00207CB2" w:rsidP="00A834DD">
            <w:pPr>
              <w:ind w:firstLine="0"/>
              <w:rPr>
                <w:rFonts w:eastAsia="Times New Roman" w:cs="Times New Roman"/>
                <w:b/>
                <w:sz w:val="18"/>
                <w:szCs w:val="18"/>
              </w:rPr>
            </w:pPr>
          </w:p>
        </w:tc>
        <w:tc>
          <w:tcPr>
            <w:tcW w:w="987" w:type="dxa"/>
            <w:shd w:val="clear" w:color="auto" w:fill="BDD6EE" w:themeFill="accent1" w:themeFillTint="66"/>
          </w:tcPr>
          <w:p w14:paraId="2E632193" w14:textId="77777777" w:rsidR="00207CB2" w:rsidRPr="00FF1B5A" w:rsidRDefault="00207CB2" w:rsidP="00A834DD">
            <w:pPr>
              <w:ind w:firstLine="0"/>
              <w:rPr>
                <w:rFonts w:eastAsia="Times New Roman" w:cs="Times New Roman"/>
                <w:b/>
                <w:sz w:val="18"/>
                <w:szCs w:val="18"/>
              </w:rPr>
            </w:pPr>
          </w:p>
        </w:tc>
        <w:tc>
          <w:tcPr>
            <w:tcW w:w="877" w:type="dxa"/>
            <w:shd w:val="clear" w:color="auto" w:fill="BDD6EE" w:themeFill="accent1" w:themeFillTint="66"/>
          </w:tcPr>
          <w:p w14:paraId="2C0BC298" w14:textId="7A40340A" w:rsidR="00207CB2" w:rsidRPr="00FF1B5A" w:rsidRDefault="00207CB2" w:rsidP="00A834DD">
            <w:pPr>
              <w:ind w:firstLine="0"/>
              <w:jc w:val="center"/>
              <w:rPr>
                <w:rFonts w:eastAsia="Times New Roman" w:cs="Times New Roman"/>
                <w:b/>
                <w:sz w:val="18"/>
                <w:szCs w:val="18"/>
              </w:rPr>
            </w:pPr>
            <w:r w:rsidRPr="00FF1B5A">
              <w:rPr>
                <w:rFonts w:eastAsia="Times New Roman" w:cs="Times New Roman"/>
                <w:b/>
                <w:sz w:val="18"/>
                <w:szCs w:val="18"/>
              </w:rPr>
              <w:t>2023</w:t>
            </w:r>
          </w:p>
        </w:tc>
        <w:tc>
          <w:tcPr>
            <w:tcW w:w="876" w:type="dxa"/>
            <w:shd w:val="clear" w:color="auto" w:fill="BDD6EE" w:themeFill="accent1" w:themeFillTint="66"/>
          </w:tcPr>
          <w:p w14:paraId="5A3511EA" w14:textId="22BDDE94" w:rsidR="00207CB2" w:rsidRPr="00FF1B5A" w:rsidRDefault="00207CB2" w:rsidP="00A834DD">
            <w:pPr>
              <w:ind w:firstLine="0"/>
              <w:jc w:val="center"/>
              <w:rPr>
                <w:rFonts w:eastAsia="Times New Roman" w:cs="Times New Roman"/>
                <w:b/>
                <w:sz w:val="18"/>
                <w:szCs w:val="18"/>
              </w:rPr>
            </w:pPr>
            <w:r w:rsidRPr="00FF1B5A">
              <w:rPr>
                <w:rFonts w:eastAsia="Times New Roman" w:cs="Times New Roman"/>
                <w:b/>
                <w:sz w:val="18"/>
                <w:szCs w:val="18"/>
              </w:rPr>
              <w:t>2024</w:t>
            </w:r>
          </w:p>
        </w:tc>
        <w:tc>
          <w:tcPr>
            <w:tcW w:w="877" w:type="dxa"/>
            <w:shd w:val="clear" w:color="auto" w:fill="BDD6EE" w:themeFill="accent1" w:themeFillTint="66"/>
          </w:tcPr>
          <w:p w14:paraId="40FD2FE6" w14:textId="4647FA77" w:rsidR="00207CB2" w:rsidRPr="00FF1B5A" w:rsidRDefault="00207CB2" w:rsidP="00A834DD">
            <w:pPr>
              <w:ind w:firstLine="0"/>
              <w:jc w:val="center"/>
              <w:rPr>
                <w:rFonts w:eastAsia="Times New Roman" w:cs="Times New Roman"/>
                <w:b/>
                <w:sz w:val="18"/>
                <w:szCs w:val="18"/>
              </w:rPr>
            </w:pPr>
            <w:r w:rsidRPr="00FF1B5A">
              <w:rPr>
                <w:rFonts w:eastAsia="Times New Roman" w:cs="Times New Roman"/>
                <w:b/>
                <w:sz w:val="18"/>
                <w:szCs w:val="18"/>
              </w:rPr>
              <w:t>2025</w:t>
            </w:r>
          </w:p>
        </w:tc>
        <w:tc>
          <w:tcPr>
            <w:tcW w:w="876" w:type="dxa"/>
            <w:shd w:val="clear" w:color="auto" w:fill="BDD6EE" w:themeFill="accent1" w:themeFillTint="66"/>
          </w:tcPr>
          <w:p w14:paraId="4C2367FD" w14:textId="2788A367" w:rsidR="00207CB2" w:rsidRPr="00FF1B5A" w:rsidRDefault="00207CB2" w:rsidP="00A834DD">
            <w:pPr>
              <w:ind w:firstLine="0"/>
              <w:jc w:val="center"/>
              <w:rPr>
                <w:rFonts w:eastAsia="Times New Roman" w:cs="Times New Roman"/>
                <w:b/>
                <w:sz w:val="18"/>
                <w:szCs w:val="18"/>
              </w:rPr>
            </w:pPr>
            <w:r w:rsidRPr="00FF1B5A">
              <w:rPr>
                <w:rFonts w:eastAsia="Times New Roman" w:cs="Times New Roman"/>
                <w:b/>
                <w:sz w:val="18"/>
                <w:szCs w:val="18"/>
              </w:rPr>
              <w:t>2026</w:t>
            </w:r>
          </w:p>
        </w:tc>
        <w:tc>
          <w:tcPr>
            <w:tcW w:w="879" w:type="dxa"/>
            <w:shd w:val="clear" w:color="auto" w:fill="BDD6EE" w:themeFill="accent1" w:themeFillTint="66"/>
          </w:tcPr>
          <w:p w14:paraId="05594229" w14:textId="46EC6E05" w:rsidR="00207CB2" w:rsidRPr="00FF1B5A" w:rsidRDefault="00207CB2" w:rsidP="00A834DD">
            <w:pPr>
              <w:ind w:firstLine="0"/>
              <w:jc w:val="center"/>
              <w:rPr>
                <w:rFonts w:eastAsia="Times New Roman" w:cs="Times New Roman"/>
                <w:b/>
                <w:sz w:val="18"/>
                <w:szCs w:val="18"/>
              </w:rPr>
            </w:pPr>
            <w:r w:rsidRPr="00FF1B5A">
              <w:rPr>
                <w:rFonts w:eastAsia="Times New Roman" w:cs="Times New Roman"/>
                <w:b/>
                <w:sz w:val="18"/>
                <w:szCs w:val="18"/>
              </w:rPr>
              <w:t>2027</w:t>
            </w:r>
          </w:p>
        </w:tc>
        <w:tc>
          <w:tcPr>
            <w:tcW w:w="879" w:type="dxa"/>
            <w:shd w:val="clear" w:color="auto" w:fill="BDD6EE" w:themeFill="accent1" w:themeFillTint="66"/>
          </w:tcPr>
          <w:p w14:paraId="2CA11824" w14:textId="2D6C93B4" w:rsidR="00207CB2" w:rsidRPr="00FF1B5A" w:rsidRDefault="00207CB2" w:rsidP="00A834DD">
            <w:pPr>
              <w:ind w:firstLine="0"/>
              <w:jc w:val="center"/>
              <w:rPr>
                <w:rFonts w:eastAsia="Times New Roman" w:cs="Times New Roman"/>
                <w:b/>
                <w:sz w:val="18"/>
                <w:szCs w:val="18"/>
              </w:rPr>
            </w:pPr>
            <w:r w:rsidRPr="00FF1B5A">
              <w:rPr>
                <w:rFonts w:eastAsia="Times New Roman" w:cs="Times New Roman"/>
                <w:b/>
                <w:sz w:val="18"/>
                <w:szCs w:val="18"/>
              </w:rPr>
              <w:t>2028</w:t>
            </w:r>
          </w:p>
        </w:tc>
      </w:tr>
      <w:tr w:rsidR="00207CB2" w:rsidRPr="00FF1B5A" w14:paraId="1536EDAD" w14:textId="3B27E2D6" w:rsidTr="00207CB2">
        <w:trPr>
          <w:trHeight w:val="239"/>
        </w:trPr>
        <w:tc>
          <w:tcPr>
            <w:tcW w:w="2836" w:type="dxa"/>
          </w:tcPr>
          <w:p w14:paraId="12DB234F" w14:textId="77777777" w:rsidR="00207CB2" w:rsidRPr="00FF1B5A" w:rsidRDefault="00207CB2" w:rsidP="00A834DD">
            <w:pPr>
              <w:ind w:firstLine="0"/>
              <w:rPr>
                <w:rFonts w:eastAsia="Times New Roman" w:cs="Times New Roman"/>
                <w:sz w:val="18"/>
                <w:szCs w:val="18"/>
              </w:rPr>
            </w:pPr>
          </w:p>
        </w:tc>
        <w:tc>
          <w:tcPr>
            <w:tcW w:w="987" w:type="dxa"/>
          </w:tcPr>
          <w:p w14:paraId="7BE649DD" w14:textId="77777777" w:rsidR="00207CB2" w:rsidRPr="00FF1B5A" w:rsidRDefault="00207CB2" w:rsidP="00A834DD">
            <w:pPr>
              <w:ind w:firstLine="0"/>
              <w:jc w:val="center"/>
              <w:rPr>
                <w:rFonts w:eastAsia="Times New Roman" w:cs="Times New Roman"/>
                <w:b/>
                <w:sz w:val="18"/>
                <w:szCs w:val="18"/>
              </w:rPr>
            </w:pPr>
            <w:r w:rsidRPr="00FF1B5A">
              <w:rPr>
                <w:rFonts w:eastAsia="Times New Roman" w:cs="Times New Roman"/>
                <w:b/>
                <w:sz w:val="18"/>
                <w:szCs w:val="18"/>
              </w:rPr>
              <w:t>EKS kods</w:t>
            </w:r>
          </w:p>
        </w:tc>
        <w:tc>
          <w:tcPr>
            <w:tcW w:w="4385" w:type="dxa"/>
            <w:gridSpan w:val="5"/>
            <w:vAlign w:val="center"/>
          </w:tcPr>
          <w:p w14:paraId="4CAC9E04" w14:textId="77777777" w:rsidR="00207CB2" w:rsidRPr="00FF1B5A" w:rsidRDefault="00207CB2" w:rsidP="00A834DD">
            <w:pPr>
              <w:ind w:firstLine="0"/>
              <w:jc w:val="center"/>
              <w:rPr>
                <w:rFonts w:eastAsia="Times New Roman" w:cs="Times New Roman"/>
                <w:b/>
                <w:sz w:val="18"/>
                <w:szCs w:val="18"/>
              </w:rPr>
            </w:pPr>
            <w:r w:rsidRPr="00FF1B5A">
              <w:rPr>
                <w:rFonts w:eastAsia="Times New Roman" w:cs="Times New Roman"/>
                <w:b/>
                <w:sz w:val="18"/>
                <w:szCs w:val="18"/>
              </w:rPr>
              <w:t>% no IKP</w:t>
            </w:r>
          </w:p>
        </w:tc>
        <w:tc>
          <w:tcPr>
            <w:tcW w:w="879" w:type="dxa"/>
          </w:tcPr>
          <w:p w14:paraId="043609B5" w14:textId="77777777" w:rsidR="00207CB2" w:rsidRPr="00FF1B5A" w:rsidRDefault="00207CB2" w:rsidP="00A834DD">
            <w:pPr>
              <w:ind w:firstLine="0"/>
              <w:jc w:val="center"/>
              <w:rPr>
                <w:rFonts w:eastAsia="Times New Roman" w:cs="Times New Roman"/>
                <w:b/>
                <w:sz w:val="18"/>
                <w:szCs w:val="18"/>
              </w:rPr>
            </w:pPr>
          </w:p>
        </w:tc>
      </w:tr>
      <w:tr w:rsidR="00207CB2" w:rsidRPr="00FF1B5A" w14:paraId="3D170A05" w14:textId="281F0FB1" w:rsidTr="00207CB2">
        <w:trPr>
          <w:trHeight w:val="251"/>
        </w:trPr>
        <w:tc>
          <w:tcPr>
            <w:tcW w:w="8208" w:type="dxa"/>
            <w:gridSpan w:val="7"/>
            <w:shd w:val="clear" w:color="auto" w:fill="BDD6EE" w:themeFill="accent1" w:themeFillTint="66"/>
          </w:tcPr>
          <w:p w14:paraId="7748C0BD" w14:textId="77777777" w:rsidR="00207CB2" w:rsidRPr="00FF1B5A" w:rsidRDefault="00207CB2" w:rsidP="00A834DD">
            <w:pPr>
              <w:ind w:firstLine="0"/>
              <w:jc w:val="center"/>
              <w:rPr>
                <w:rFonts w:eastAsia="Times New Roman" w:cs="Times New Roman"/>
                <w:b/>
                <w:sz w:val="18"/>
                <w:szCs w:val="18"/>
              </w:rPr>
            </w:pPr>
            <w:r w:rsidRPr="00FF1B5A">
              <w:rPr>
                <w:rFonts w:eastAsia="Times New Roman" w:cs="Times New Roman"/>
                <w:b/>
                <w:sz w:val="18"/>
                <w:szCs w:val="18"/>
              </w:rPr>
              <w:t xml:space="preserve">Neto aizdevumi (+) vai aizņēmumi (-) (B.9) pa </w:t>
            </w:r>
            <w:proofErr w:type="spellStart"/>
            <w:r w:rsidRPr="00FF1B5A">
              <w:rPr>
                <w:rFonts w:eastAsia="Times New Roman" w:cs="Times New Roman"/>
                <w:b/>
                <w:sz w:val="18"/>
                <w:szCs w:val="18"/>
              </w:rPr>
              <w:t>apakšsektoriem</w:t>
            </w:r>
            <w:proofErr w:type="spellEnd"/>
          </w:p>
        </w:tc>
        <w:tc>
          <w:tcPr>
            <w:tcW w:w="879" w:type="dxa"/>
            <w:shd w:val="clear" w:color="auto" w:fill="BDD6EE" w:themeFill="accent1" w:themeFillTint="66"/>
          </w:tcPr>
          <w:p w14:paraId="4AA9AFD9" w14:textId="77777777" w:rsidR="00207CB2" w:rsidRPr="00FF1B5A" w:rsidRDefault="00207CB2" w:rsidP="00A834DD">
            <w:pPr>
              <w:ind w:firstLine="0"/>
              <w:jc w:val="center"/>
              <w:rPr>
                <w:rFonts w:eastAsia="Times New Roman" w:cs="Times New Roman"/>
                <w:b/>
                <w:sz w:val="18"/>
                <w:szCs w:val="18"/>
              </w:rPr>
            </w:pPr>
          </w:p>
        </w:tc>
      </w:tr>
      <w:tr w:rsidR="00207CB2" w:rsidRPr="00FF1B5A" w14:paraId="338ADA31" w14:textId="6ACBFAA9" w:rsidTr="00200D0C">
        <w:trPr>
          <w:trHeight w:val="251"/>
        </w:trPr>
        <w:tc>
          <w:tcPr>
            <w:tcW w:w="2836" w:type="dxa"/>
          </w:tcPr>
          <w:p w14:paraId="37E8494B" w14:textId="77777777" w:rsidR="00207CB2" w:rsidRPr="00FF1B5A" w:rsidRDefault="00207CB2" w:rsidP="00207CB2">
            <w:pPr>
              <w:ind w:firstLine="0"/>
              <w:rPr>
                <w:rFonts w:eastAsia="Times New Roman" w:cs="Times New Roman"/>
                <w:snapToGrid w:val="0"/>
                <w:sz w:val="18"/>
                <w:szCs w:val="18"/>
              </w:rPr>
            </w:pPr>
            <w:r w:rsidRPr="00FF1B5A">
              <w:rPr>
                <w:rFonts w:eastAsia="Times New Roman" w:cs="Times New Roman"/>
                <w:snapToGrid w:val="0"/>
                <w:sz w:val="18"/>
                <w:szCs w:val="18"/>
              </w:rPr>
              <w:t>Vispārējā valdība</w:t>
            </w:r>
          </w:p>
        </w:tc>
        <w:tc>
          <w:tcPr>
            <w:tcW w:w="987" w:type="dxa"/>
          </w:tcPr>
          <w:p w14:paraId="6550962A" w14:textId="77777777" w:rsidR="00207CB2" w:rsidRPr="00FF1B5A" w:rsidRDefault="00207CB2" w:rsidP="00207CB2">
            <w:pPr>
              <w:ind w:firstLine="0"/>
              <w:jc w:val="center"/>
              <w:rPr>
                <w:rFonts w:eastAsia="Times New Roman" w:cs="Times New Roman"/>
                <w:sz w:val="18"/>
                <w:szCs w:val="18"/>
              </w:rPr>
            </w:pPr>
            <w:r w:rsidRPr="00FF1B5A">
              <w:rPr>
                <w:rFonts w:eastAsia="Times New Roman" w:cs="Times New Roman"/>
                <w:sz w:val="18"/>
                <w:szCs w:val="18"/>
              </w:rPr>
              <w:t>S.13</w:t>
            </w:r>
          </w:p>
        </w:tc>
        <w:tc>
          <w:tcPr>
            <w:tcW w:w="877" w:type="dxa"/>
            <w:shd w:val="clear" w:color="auto" w:fill="auto"/>
            <w:vAlign w:val="center"/>
          </w:tcPr>
          <w:p w14:paraId="5F9DB3E1" w14:textId="7B8FCFB5" w:rsidR="00207CB2" w:rsidRPr="00FF1B5A" w:rsidRDefault="00207CB2" w:rsidP="00200D0C">
            <w:pPr>
              <w:ind w:firstLine="0"/>
              <w:jc w:val="center"/>
              <w:rPr>
                <w:rFonts w:eastAsia="Times New Roman" w:cs="Times New Roman"/>
                <w:snapToGrid w:val="0"/>
                <w:sz w:val="20"/>
                <w:szCs w:val="20"/>
              </w:rPr>
            </w:pPr>
            <w:r w:rsidRPr="00FF1B5A">
              <w:rPr>
                <w:sz w:val="20"/>
                <w:szCs w:val="20"/>
              </w:rPr>
              <w:t>-2,3</w:t>
            </w:r>
          </w:p>
        </w:tc>
        <w:tc>
          <w:tcPr>
            <w:tcW w:w="876" w:type="dxa"/>
            <w:shd w:val="clear" w:color="auto" w:fill="auto"/>
            <w:vAlign w:val="center"/>
          </w:tcPr>
          <w:p w14:paraId="400AAAC9" w14:textId="0FC79F69" w:rsidR="00207CB2" w:rsidRPr="00FF1B5A" w:rsidRDefault="00207CB2" w:rsidP="00200D0C">
            <w:pPr>
              <w:ind w:firstLine="0"/>
              <w:jc w:val="center"/>
              <w:rPr>
                <w:rFonts w:eastAsia="Times New Roman" w:cs="Times New Roman"/>
                <w:snapToGrid w:val="0"/>
                <w:sz w:val="20"/>
                <w:szCs w:val="20"/>
              </w:rPr>
            </w:pPr>
            <w:r w:rsidRPr="00FF1B5A">
              <w:rPr>
                <w:sz w:val="20"/>
                <w:szCs w:val="20"/>
              </w:rPr>
              <w:t>-2,9</w:t>
            </w:r>
          </w:p>
        </w:tc>
        <w:tc>
          <w:tcPr>
            <w:tcW w:w="877" w:type="dxa"/>
            <w:shd w:val="clear" w:color="auto" w:fill="auto"/>
            <w:vAlign w:val="center"/>
          </w:tcPr>
          <w:p w14:paraId="7446B802" w14:textId="11F7F09A" w:rsidR="00207CB2" w:rsidRPr="00FF1B5A" w:rsidRDefault="00207CB2" w:rsidP="00200D0C">
            <w:pPr>
              <w:ind w:firstLine="0"/>
              <w:jc w:val="center"/>
              <w:rPr>
                <w:rFonts w:eastAsia="Times New Roman" w:cs="Times New Roman"/>
                <w:snapToGrid w:val="0"/>
                <w:sz w:val="20"/>
                <w:szCs w:val="20"/>
              </w:rPr>
            </w:pPr>
            <w:r w:rsidRPr="00FF1B5A">
              <w:rPr>
                <w:sz w:val="20"/>
                <w:szCs w:val="20"/>
              </w:rPr>
              <w:t>-2,2</w:t>
            </w:r>
          </w:p>
        </w:tc>
        <w:tc>
          <w:tcPr>
            <w:tcW w:w="876" w:type="dxa"/>
            <w:shd w:val="clear" w:color="auto" w:fill="auto"/>
            <w:vAlign w:val="center"/>
          </w:tcPr>
          <w:p w14:paraId="580E2082" w14:textId="7E427EBF" w:rsidR="00207CB2" w:rsidRPr="00FF1B5A" w:rsidRDefault="00207CB2" w:rsidP="00200D0C">
            <w:pPr>
              <w:ind w:firstLine="0"/>
              <w:jc w:val="center"/>
              <w:rPr>
                <w:rFonts w:eastAsia="Times New Roman" w:cs="Times New Roman"/>
                <w:snapToGrid w:val="0"/>
                <w:sz w:val="20"/>
                <w:szCs w:val="20"/>
              </w:rPr>
            </w:pPr>
            <w:r w:rsidRPr="00FF1B5A">
              <w:rPr>
                <w:sz w:val="20"/>
                <w:szCs w:val="20"/>
              </w:rPr>
              <w:t>-2,2</w:t>
            </w:r>
          </w:p>
        </w:tc>
        <w:tc>
          <w:tcPr>
            <w:tcW w:w="879" w:type="dxa"/>
            <w:shd w:val="clear" w:color="auto" w:fill="auto"/>
            <w:vAlign w:val="center"/>
          </w:tcPr>
          <w:p w14:paraId="3101F7C4" w14:textId="641C8C52" w:rsidR="00207CB2" w:rsidRPr="00FF1B5A" w:rsidRDefault="00207CB2" w:rsidP="00200D0C">
            <w:pPr>
              <w:ind w:firstLine="0"/>
              <w:jc w:val="center"/>
              <w:rPr>
                <w:rFonts w:eastAsia="Times New Roman" w:cs="Times New Roman"/>
                <w:snapToGrid w:val="0"/>
                <w:sz w:val="20"/>
                <w:szCs w:val="20"/>
              </w:rPr>
            </w:pPr>
            <w:r w:rsidRPr="00FF1B5A">
              <w:rPr>
                <w:sz w:val="20"/>
                <w:szCs w:val="20"/>
              </w:rPr>
              <w:t>-2,0</w:t>
            </w:r>
          </w:p>
        </w:tc>
        <w:tc>
          <w:tcPr>
            <w:tcW w:w="879" w:type="dxa"/>
            <w:vAlign w:val="center"/>
          </w:tcPr>
          <w:p w14:paraId="2E5C15A3" w14:textId="36401FA0" w:rsidR="00207CB2" w:rsidRPr="00FF1B5A" w:rsidRDefault="00207CB2" w:rsidP="00200D0C">
            <w:pPr>
              <w:ind w:firstLine="0"/>
              <w:jc w:val="center"/>
              <w:rPr>
                <w:sz w:val="20"/>
                <w:szCs w:val="20"/>
              </w:rPr>
            </w:pPr>
            <w:r w:rsidRPr="00FF1B5A">
              <w:rPr>
                <w:sz w:val="20"/>
                <w:szCs w:val="20"/>
              </w:rPr>
              <w:t>-1,8</w:t>
            </w:r>
          </w:p>
        </w:tc>
      </w:tr>
      <w:tr w:rsidR="00207CB2" w:rsidRPr="00FF1B5A" w14:paraId="6DF8D717" w14:textId="1DB6EBF4" w:rsidTr="00200D0C">
        <w:trPr>
          <w:trHeight w:val="251"/>
        </w:trPr>
        <w:tc>
          <w:tcPr>
            <w:tcW w:w="2836" w:type="dxa"/>
          </w:tcPr>
          <w:p w14:paraId="70E16848" w14:textId="77777777" w:rsidR="00207CB2" w:rsidRPr="00FF1B5A" w:rsidRDefault="00207CB2" w:rsidP="00207CB2">
            <w:pPr>
              <w:ind w:firstLine="0"/>
              <w:rPr>
                <w:rFonts w:eastAsia="Times New Roman" w:cs="Times New Roman"/>
                <w:snapToGrid w:val="0"/>
                <w:sz w:val="18"/>
                <w:szCs w:val="18"/>
              </w:rPr>
            </w:pPr>
            <w:r w:rsidRPr="00FF1B5A">
              <w:rPr>
                <w:rFonts w:eastAsia="Times New Roman" w:cs="Times New Roman"/>
                <w:snapToGrid w:val="0"/>
                <w:sz w:val="18"/>
                <w:szCs w:val="18"/>
              </w:rPr>
              <w:t>Centrālā valdība</w:t>
            </w:r>
          </w:p>
        </w:tc>
        <w:tc>
          <w:tcPr>
            <w:tcW w:w="987" w:type="dxa"/>
          </w:tcPr>
          <w:p w14:paraId="126A943C" w14:textId="77777777" w:rsidR="00207CB2" w:rsidRPr="00FF1B5A" w:rsidRDefault="00207CB2" w:rsidP="00207CB2">
            <w:pPr>
              <w:ind w:firstLine="0"/>
              <w:jc w:val="center"/>
              <w:rPr>
                <w:rFonts w:eastAsia="Times New Roman" w:cs="Times New Roman"/>
                <w:sz w:val="18"/>
                <w:szCs w:val="18"/>
              </w:rPr>
            </w:pPr>
            <w:r w:rsidRPr="00FF1B5A">
              <w:rPr>
                <w:rFonts w:eastAsia="Times New Roman" w:cs="Times New Roman"/>
                <w:sz w:val="18"/>
                <w:szCs w:val="18"/>
              </w:rPr>
              <w:t>S.1311</w:t>
            </w:r>
          </w:p>
        </w:tc>
        <w:tc>
          <w:tcPr>
            <w:tcW w:w="877" w:type="dxa"/>
            <w:shd w:val="clear" w:color="auto" w:fill="auto"/>
            <w:vAlign w:val="center"/>
          </w:tcPr>
          <w:p w14:paraId="1DC581DD" w14:textId="7B5FBE98" w:rsidR="00207CB2" w:rsidRPr="00FF1B5A" w:rsidRDefault="00207CB2" w:rsidP="00200D0C">
            <w:pPr>
              <w:ind w:firstLine="0"/>
              <w:jc w:val="center"/>
              <w:rPr>
                <w:rFonts w:eastAsia="Times New Roman" w:cs="Times New Roman"/>
                <w:snapToGrid w:val="0"/>
                <w:sz w:val="20"/>
                <w:szCs w:val="20"/>
              </w:rPr>
            </w:pPr>
            <w:r w:rsidRPr="00FF1B5A">
              <w:rPr>
                <w:sz w:val="20"/>
                <w:szCs w:val="20"/>
              </w:rPr>
              <w:t>-2,8</w:t>
            </w:r>
          </w:p>
        </w:tc>
        <w:tc>
          <w:tcPr>
            <w:tcW w:w="876" w:type="dxa"/>
            <w:shd w:val="clear" w:color="auto" w:fill="auto"/>
            <w:vAlign w:val="center"/>
          </w:tcPr>
          <w:p w14:paraId="3D13BA60" w14:textId="155502C7" w:rsidR="00207CB2" w:rsidRPr="00FF1B5A" w:rsidRDefault="00207CB2" w:rsidP="00200D0C">
            <w:pPr>
              <w:ind w:firstLine="0"/>
              <w:jc w:val="center"/>
              <w:rPr>
                <w:rFonts w:eastAsia="Times New Roman" w:cs="Times New Roman"/>
                <w:snapToGrid w:val="0"/>
                <w:sz w:val="20"/>
                <w:szCs w:val="20"/>
              </w:rPr>
            </w:pPr>
            <w:r w:rsidRPr="00FF1B5A">
              <w:rPr>
                <w:sz w:val="20"/>
                <w:szCs w:val="20"/>
              </w:rPr>
              <w:t>-3,5</w:t>
            </w:r>
          </w:p>
        </w:tc>
        <w:tc>
          <w:tcPr>
            <w:tcW w:w="877" w:type="dxa"/>
            <w:shd w:val="clear" w:color="auto" w:fill="auto"/>
            <w:vAlign w:val="center"/>
          </w:tcPr>
          <w:p w14:paraId="38E1CC78" w14:textId="5A7941D4" w:rsidR="00207CB2" w:rsidRPr="00FF1B5A" w:rsidRDefault="00207CB2" w:rsidP="00200D0C">
            <w:pPr>
              <w:ind w:firstLine="0"/>
              <w:jc w:val="center"/>
              <w:rPr>
                <w:rFonts w:eastAsia="Times New Roman" w:cs="Times New Roman"/>
                <w:snapToGrid w:val="0"/>
                <w:sz w:val="20"/>
                <w:szCs w:val="20"/>
              </w:rPr>
            </w:pPr>
            <w:r w:rsidRPr="00FF1B5A">
              <w:rPr>
                <w:sz w:val="20"/>
                <w:szCs w:val="20"/>
              </w:rPr>
              <w:t>-2,</w:t>
            </w:r>
            <w:r w:rsidR="00465CAE" w:rsidRPr="00FF1B5A">
              <w:rPr>
                <w:sz w:val="20"/>
                <w:szCs w:val="20"/>
              </w:rPr>
              <w:t>8</w:t>
            </w:r>
          </w:p>
        </w:tc>
        <w:tc>
          <w:tcPr>
            <w:tcW w:w="876" w:type="dxa"/>
            <w:shd w:val="clear" w:color="auto" w:fill="auto"/>
            <w:vAlign w:val="center"/>
          </w:tcPr>
          <w:p w14:paraId="496DD808" w14:textId="29B9F332" w:rsidR="00207CB2" w:rsidRPr="00FF1B5A" w:rsidRDefault="00207CB2" w:rsidP="00200D0C">
            <w:pPr>
              <w:ind w:firstLine="0"/>
              <w:jc w:val="center"/>
              <w:rPr>
                <w:rFonts w:eastAsia="Times New Roman" w:cs="Times New Roman"/>
                <w:snapToGrid w:val="0"/>
                <w:sz w:val="20"/>
                <w:szCs w:val="20"/>
              </w:rPr>
            </w:pPr>
            <w:r w:rsidRPr="00FF1B5A">
              <w:rPr>
                <w:sz w:val="20"/>
                <w:szCs w:val="20"/>
              </w:rPr>
              <w:t>-2,</w:t>
            </w:r>
            <w:r w:rsidR="00465CAE" w:rsidRPr="00FF1B5A">
              <w:rPr>
                <w:sz w:val="20"/>
                <w:szCs w:val="20"/>
              </w:rPr>
              <w:t>7</w:t>
            </w:r>
          </w:p>
        </w:tc>
        <w:tc>
          <w:tcPr>
            <w:tcW w:w="879" w:type="dxa"/>
            <w:shd w:val="clear" w:color="auto" w:fill="auto"/>
            <w:vAlign w:val="center"/>
          </w:tcPr>
          <w:p w14:paraId="16058CD7" w14:textId="1C277CDB" w:rsidR="00207CB2" w:rsidRPr="00FF1B5A" w:rsidRDefault="00207CB2" w:rsidP="00200D0C">
            <w:pPr>
              <w:ind w:firstLine="0"/>
              <w:jc w:val="center"/>
              <w:rPr>
                <w:rFonts w:eastAsia="Times New Roman" w:cs="Times New Roman"/>
                <w:snapToGrid w:val="0"/>
                <w:sz w:val="20"/>
                <w:szCs w:val="20"/>
              </w:rPr>
            </w:pPr>
            <w:r w:rsidRPr="00FF1B5A">
              <w:rPr>
                <w:sz w:val="20"/>
                <w:szCs w:val="20"/>
              </w:rPr>
              <w:t>-2,3</w:t>
            </w:r>
          </w:p>
        </w:tc>
        <w:tc>
          <w:tcPr>
            <w:tcW w:w="879" w:type="dxa"/>
            <w:vAlign w:val="center"/>
          </w:tcPr>
          <w:p w14:paraId="0D86AC09" w14:textId="4A5E6F48" w:rsidR="00207CB2" w:rsidRPr="00FF1B5A" w:rsidRDefault="00207CB2" w:rsidP="00200D0C">
            <w:pPr>
              <w:ind w:firstLine="0"/>
              <w:jc w:val="center"/>
              <w:rPr>
                <w:sz w:val="20"/>
                <w:szCs w:val="20"/>
              </w:rPr>
            </w:pPr>
            <w:r w:rsidRPr="00FF1B5A">
              <w:rPr>
                <w:sz w:val="20"/>
                <w:szCs w:val="20"/>
              </w:rPr>
              <w:t>-2,</w:t>
            </w:r>
            <w:r w:rsidR="00465CAE" w:rsidRPr="00FF1B5A">
              <w:rPr>
                <w:sz w:val="20"/>
                <w:szCs w:val="20"/>
              </w:rPr>
              <w:t>2</w:t>
            </w:r>
          </w:p>
        </w:tc>
      </w:tr>
      <w:tr w:rsidR="00207CB2" w:rsidRPr="00FF1B5A" w14:paraId="6673BB83" w14:textId="0282982F" w:rsidTr="00200D0C">
        <w:trPr>
          <w:trHeight w:val="251"/>
        </w:trPr>
        <w:tc>
          <w:tcPr>
            <w:tcW w:w="2836" w:type="dxa"/>
          </w:tcPr>
          <w:p w14:paraId="7E607607" w14:textId="77777777" w:rsidR="00207CB2" w:rsidRPr="00FF1B5A" w:rsidRDefault="00207CB2" w:rsidP="00207CB2">
            <w:pPr>
              <w:ind w:firstLine="0"/>
              <w:rPr>
                <w:rFonts w:eastAsia="Times New Roman" w:cs="Times New Roman"/>
                <w:snapToGrid w:val="0"/>
                <w:sz w:val="18"/>
                <w:szCs w:val="18"/>
              </w:rPr>
            </w:pPr>
            <w:r w:rsidRPr="00FF1B5A">
              <w:rPr>
                <w:rFonts w:eastAsia="Times New Roman" w:cs="Times New Roman"/>
                <w:snapToGrid w:val="0"/>
                <w:sz w:val="18"/>
                <w:szCs w:val="18"/>
              </w:rPr>
              <w:t>Vietējā valdība</w:t>
            </w:r>
          </w:p>
        </w:tc>
        <w:tc>
          <w:tcPr>
            <w:tcW w:w="987" w:type="dxa"/>
          </w:tcPr>
          <w:p w14:paraId="559CE14E" w14:textId="77777777" w:rsidR="00207CB2" w:rsidRPr="00FF1B5A" w:rsidRDefault="00207CB2" w:rsidP="00207CB2">
            <w:pPr>
              <w:ind w:firstLine="0"/>
              <w:jc w:val="center"/>
              <w:rPr>
                <w:rFonts w:eastAsia="Times New Roman" w:cs="Times New Roman"/>
                <w:sz w:val="18"/>
                <w:szCs w:val="18"/>
              </w:rPr>
            </w:pPr>
            <w:r w:rsidRPr="00FF1B5A">
              <w:rPr>
                <w:rFonts w:eastAsia="Times New Roman" w:cs="Times New Roman"/>
                <w:sz w:val="18"/>
                <w:szCs w:val="18"/>
              </w:rPr>
              <w:t>S.1313</w:t>
            </w:r>
          </w:p>
        </w:tc>
        <w:tc>
          <w:tcPr>
            <w:tcW w:w="877" w:type="dxa"/>
            <w:shd w:val="clear" w:color="auto" w:fill="auto"/>
            <w:vAlign w:val="center"/>
          </w:tcPr>
          <w:p w14:paraId="7E7C436D" w14:textId="7098236A" w:rsidR="00207CB2" w:rsidRPr="00FF1B5A" w:rsidRDefault="00207CB2" w:rsidP="00200D0C">
            <w:pPr>
              <w:ind w:firstLine="0"/>
              <w:jc w:val="center"/>
              <w:rPr>
                <w:rFonts w:eastAsia="Times New Roman" w:cs="Times New Roman"/>
                <w:snapToGrid w:val="0"/>
                <w:sz w:val="20"/>
                <w:szCs w:val="20"/>
              </w:rPr>
            </w:pPr>
            <w:r w:rsidRPr="00FF1B5A">
              <w:rPr>
                <w:sz w:val="20"/>
                <w:szCs w:val="20"/>
              </w:rPr>
              <w:t>-0,3</w:t>
            </w:r>
          </w:p>
        </w:tc>
        <w:tc>
          <w:tcPr>
            <w:tcW w:w="876" w:type="dxa"/>
            <w:shd w:val="clear" w:color="auto" w:fill="auto"/>
            <w:vAlign w:val="center"/>
          </w:tcPr>
          <w:p w14:paraId="0033A17D" w14:textId="1393D76B" w:rsidR="00207CB2" w:rsidRPr="00FF1B5A" w:rsidRDefault="00207CB2" w:rsidP="00200D0C">
            <w:pPr>
              <w:ind w:firstLine="0"/>
              <w:jc w:val="center"/>
              <w:rPr>
                <w:rFonts w:eastAsia="Times New Roman" w:cs="Times New Roman"/>
                <w:snapToGrid w:val="0"/>
                <w:sz w:val="20"/>
                <w:szCs w:val="20"/>
              </w:rPr>
            </w:pPr>
            <w:r w:rsidRPr="00FF1B5A">
              <w:rPr>
                <w:sz w:val="20"/>
                <w:szCs w:val="20"/>
              </w:rPr>
              <w:t>-0,1</w:t>
            </w:r>
          </w:p>
        </w:tc>
        <w:tc>
          <w:tcPr>
            <w:tcW w:w="877" w:type="dxa"/>
            <w:shd w:val="clear" w:color="auto" w:fill="auto"/>
            <w:vAlign w:val="center"/>
          </w:tcPr>
          <w:p w14:paraId="57C6F9AC" w14:textId="268EDF84" w:rsidR="00207CB2" w:rsidRPr="00FF1B5A" w:rsidRDefault="00207CB2" w:rsidP="00200D0C">
            <w:pPr>
              <w:ind w:firstLine="0"/>
              <w:jc w:val="center"/>
              <w:rPr>
                <w:rFonts w:eastAsia="Times New Roman" w:cs="Times New Roman"/>
                <w:snapToGrid w:val="0"/>
                <w:sz w:val="20"/>
                <w:szCs w:val="20"/>
              </w:rPr>
            </w:pPr>
            <w:r w:rsidRPr="00FF1B5A">
              <w:rPr>
                <w:sz w:val="20"/>
                <w:szCs w:val="20"/>
              </w:rPr>
              <w:t>-0,1</w:t>
            </w:r>
          </w:p>
        </w:tc>
        <w:tc>
          <w:tcPr>
            <w:tcW w:w="876" w:type="dxa"/>
            <w:shd w:val="clear" w:color="auto" w:fill="auto"/>
            <w:vAlign w:val="center"/>
          </w:tcPr>
          <w:p w14:paraId="07651D59" w14:textId="6A7D6DD0" w:rsidR="00207CB2" w:rsidRPr="00FF1B5A" w:rsidRDefault="00207CB2" w:rsidP="00200D0C">
            <w:pPr>
              <w:ind w:firstLine="0"/>
              <w:jc w:val="center"/>
              <w:rPr>
                <w:rFonts w:eastAsia="Times New Roman" w:cs="Times New Roman"/>
                <w:snapToGrid w:val="0"/>
                <w:sz w:val="20"/>
                <w:szCs w:val="20"/>
              </w:rPr>
            </w:pPr>
            <w:r w:rsidRPr="00FF1B5A">
              <w:rPr>
                <w:sz w:val="20"/>
                <w:szCs w:val="20"/>
              </w:rPr>
              <w:t>0,0</w:t>
            </w:r>
          </w:p>
        </w:tc>
        <w:tc>
          <w:tcPr>
            <w:tcW w:w="879" w:type="dxa"/>
            <w:shd w:val="clear" w:color="auto" w:fill="auto"/>
            <w:vAlign w:val="center"/>
          </w:tcPr>
          <w:p w14:paraId="4D23835F" w14:textId="0CAEBCE0" w:rsidR="00207CB2" w:rsidRPr="00FF1B5A" w:rsidRDefault="00207CB2" w:rsidP="00200D0C">
            <w:pPr>
              <w:ind w:firstLine="0"/>
              <w:jc w:val="center"/>
              <w:rPr>
                <w:rFonts w:eastAsia="Times New Roman" w:cs="Times New Roman"/>
                <w:snapToGrid w:val="0"/>
                <w:sz w:val="20"/>
                <w:szCs w:val="20"/>
              </w:rPr>
            </w:pPr>
            <w:r w:rsidRPr="00FF1B5A">
              <w:rPr>
                <w:sz w:val="20"/>
                <w:szCs w:val="20"/>
              </w:rPr>
              <w:t>-0,1</w:t>
            </w:r>
          </w:p>
        </w:tc>
        <w:tc>
          <w:tcPr>
            <w:tcW w:w="879" w:type="dxa"/>
            <w:vAlign w:val="center"/>
          </w:tcPr>
          <w:p w14:paraId="6714FE6A" w14:textId="2690A41C" w:rsidR="00207CB2" w:rsidRPr="00FF1B5A" w:rsidRDefault="00207CB2" w:rsidP="00200D0C">
            <w:pPr>
              <w:ind w:firstLine="0"/>
              <w:jc w:val="center"/>
              <w:rPr>
                <w:sz w:val="20"/>
                <w:szCs w:val="20"/>
              </w:rPr>
            </w:pPr>
            <w:r w:rsidRPr="00FF1B5A">
              <w:rPr>
                <w:sz w:val="20"/>
                <w:szCs w:val="20"/>
              </w:rPr>
              <w:t>0,0</w:t>
            </w:r>
          </w:p>
        </w:tc>
      </w:tr>
      <w:tr w:rsidR="00207CB2" w:rsidRPr="00FF1B5A" w14:paraId="324630CA" w14:textId="2B712352" w:rsidTr="00200D0C">
        <w:trPr>
          <w:trHeight w:val="251"/>
        </w:trPr>
        <w:tc>
          <w:tcPr>
            <w:tcW w:w="2836" w:type="dxa"/>
          </w:tcPr>
          <w:p w14:paraId="00ED6EEE" w14:textId="77777777" w:rsidR="00207CB2" w:rsidRPr="00FF1B5A" w:rsidRDefault="00207CB2" w:rsidP="00207CB2">
            <w:pPr>
              <w:ind w:firstLine="0"/>
              <w:rPr>
                <w:rFonts w:eastAsia="Times New Roman" w:cs="Times New Roman"/>
                <w:snapToGrid w:val="0"/>
                <w:sz w:val="18"/>
                <w:szCs w:val="18"/>
              </w:rPr>
            </w:pPr>
            <w:r w:rsidRPr="00FF1B5A">
              <w:rPr>
                <w:rFonts w:eastAsia="Times New Roman" w:cs="Times New Roman"/>
                <w:snapToGrid w:val="0"/>
                <w:sz w:val="18"/>
                <w:szCs w:val="18"/>
              </w:rPr>
              <w:t>Sociālās nodrošināšanas fondi</w:t>
            </w:r>
          </w:p>
        </w:tc>
        <w:tc>
          <w:tcPr>
            <w:tcW w:w="987" w:type="dxa"/>
            <w:vAlign w:val="center"/>
          </w:tcPr>
          <w:p w14:paraId="2FC547E0" w14:textId="77777777" w:rsidR="00207CB2" w:rsidRPr="00FF1B5A" w:rsidRDefault="00207CB2" w:rsidP="00207CB2">
            <w:pPr>
              <w:ind w:firstLine="0"/>
              <w:jc w:val="center"/>
              <w:rPr>
                <w:rFonts w:eastAsia="Times New Roman" w:cs="Times New Roman"/>
                <w:sz w:val="18"/>
                <w:szCs w:val="18"/>
              </w:rPr>
            </w:pPr>
            <w:r w:rsidRPr="00FF1B5A">
              <w:rPr>
                <w:rFonts w:eastAsia="Times New Roman" w:cs="Times New Roman"/>
                <w:sz w:val="18"/>
                <w:szCs w:val="18"/>
              </w:rPr>
              <w:t>S.1314</w:t>
            </w:r>
          </w:p>
        </w:tc>
        <w:tc>
          <w:tcPr>
            <w:tcW w:w="877" w:type="dxa"/>
            <w:shd w:val="clear" w:color="auto" w:fill="auto"/>
            <w:vAlign w:val="center"/>
          </w:tcPr>
          <w:p w14:paraId="3E6324AF" w14:textId="619D87F0" w:rsidR="00207CB2" w:rsidRPr="00FF1B5A" w:rsidRDefault="00207CB2" w:rsidP="00200D0C">
            <w:pPr>
              <w:ind w:firstLine="0"/>
              <w:jc w:val="center"/>
              <w:rPr>
                <w:rFonts w:eastAsia="Times New Roman" w:cs="Times New Roman"/>
                <w:snapToGrid w:val="0"/>
                <w:sz w:val="20"/>
                <w:szCs w:val="20"/>
              </w:rPr>
            </w:pPr>
            <w:r w:rsidRPr="00FF1B5A">
              <w:rPr>
                <w:sz w:val="20"/>
                <w:szCs w:val="20"/>
              </w:rPr>
              <w:t>0,8</w:t>
            </w:r>
          </w:p>
        </w:tc>
        <w:tc>
          <w:tcPr>
            <w:tcW w:w="876" w:type="dxa"/>
            <w:shd w:val="clear" w:color="auto" w:fill="auto"/>
            <w:vAlign w:val="center"/>
          </w:tcPr>
          <w:p w14:paraId="7C83176A" w14:textId="665A7C81" w:rsidR="00207CB2" w:rsidRPr="00FF1B5A" w:rsidRDefault="00207CB2" w:rsidP="00200D0C">
            <w:pPr>
              <w:ind w:firstLine="0"/>
              <w:jc w:val="center"/>
              <w:rPr>
                <w:rFonts w:eastAsia="Times New Roman" w:cs="Times New Roman"/>
                <w:snapToGrid w:val="0"/>
                <w:sz w:val="20"/>
                <w:szCs w:val="20"/>
              </w:rPr>
            </w:pPr>
            <w:r w:rsidRPr="00FF1B5A">
              <w:rPr>
                <w:sz w:val="20"/>
                <w:szCs w:val="20"/>
              </w:rPr>
              <w:t>0,7</w:t>
            </w:r>
          </w:p>
        </w:tc>
        <w:tc>
          <w:tcPr>
            <w:tcW w:w="877" w:type="dxa"/>
            <w:shd w:val="clear" w:color="auto" w:fill="auto"/>
            <w:vAlign w:val="center"/>
          </w:tcPr>
          <w:p w14:paraId="4C262AC1" w14:textId="644C8CB3" w:rsidR="00207CB2" w:rsidRPr="00FF1B5A" w:rsidRDefault="00207CB2" w:rsidP="00200D0C">
            <w:pPr>
              <w:ind w:firstLine="0"/>
              <w:jc w:val="center"/>
              <w:rPr>
                <w:rFonts w:eastAsia="Times New Roman" w:cs="Times New Roman"/>
                <w:snapToGrid w:val="0"/>
                <w:sz w:val="20"/>
                <w:szCs w:val="20"/>
              </w:rPr>
            </w:pPr>
            <w:r w:rsidRPr="00FF1B5A">
              <w:rPr>
                <w:sz w:val="20"/>
                <w:szCs w:val="20"/>
              </w:rPr>
              <w:t>0,</w:t>
            </w:r>
            <w:r w:rsidR="00465CAE" w:rsidRPr="00FF1B5A">
              <w:rPr>
                <w:sz w:val="20"/>
                <w:szCs w:val="20"/>
              </w:rPr>
              <w:t>7</w:t>
            </w:r>
          </w:p>
        </w:tc>
        <w:tc>
          <w:tcPr>
            <w:tcW w:w="876" w:type="dxa"/>
            <w:shd w:val="clear" w:color="auto" w:fill="auto"/>
            <w:vAlign w:val="center"/>
          </w:tcPr>
          <w:p w14:paraId="6F4301A8" w14:textId="17B74EBB" w:rsidR="00207CB2" w:rsidRPr="00FF1B5A" w:rsidRDefault="00207CB2" w:rsidP="00200D0C">
            <w:pPr>
              <w:ind w:firstLine="0"/>
              <w:jc w:val="center"/>
              <w:rPr>
                <w:rFonts w:eastAsia="Times New Roman" w:cs="Times New Roman"/>
                <w:snapToGrid w:val="0"/>
                <w:sz w:val="20"/>
                <w:szCs w:val="20"/>
              </w:rPr>
            </w:pPr>
            <w:r w:rsidRPr="00FF1B5A">
              <w:rPr>
                <w:sz w:val="20"/>
                <w:szCs w:val="20"/>
              </w:rPr>
              <w:t>0,</w:t>
            </w:r>
            <w:r w:rsidR="00465CAE" w:rsidRPr="00FF1B5A">
              <w:rPr>
                <w:sz w:val="20"/>
                <w:szCs w:val="20"/>
              </w:rPr>
              <w:t>6</w:t>
            </w:r>
          </w:p>
        </w:tc>
        <w:tc>
          <w:tcPr>
            <w:tcW w:w="879" w:type="dxa"/>
            <w:shd w:val="clear" w:color="auto" w:fill="auto"/>
            <w:vAlign w:val="center"/>
          </w:tcPr>
          <w:p w14:paraId="78A3782C" w14:textId="07B066B9" w:rsidR="00207CB2" w:rsidRPr="00FF1B5A" w:rsidRDefault="00207CB2" w:rsidP="00200D0C">
            <w:pPr>
              <w:ind w:firstLine="0"/>
              <w:jc w:val="center"/>
              <w:rPr>
                <w:rFonts w:eastAsia="Times New Roman" w:cs="Times New Roman"/>
                <w:snapToGrid w:val="0"/>
                <w:sz w:val="20"/>
                <w:szCs w:val="20"/>
              </w:rPr>
            </w:pPr>
            <w:r w:rsidRPr="00FF1B5A">
              <w:rPr>
                <w:sz w:val="20"/>
                <w:szCs w:val="20"/>
              </w:rPr>
              <w:t>0,4</w:t>
            </w:r>
          </w:p>
        </w:tc>
        <w:tc>
          <w:tcPr>
            <w:tcW w:w="879" w:type="dxa"/>
            <w:vAlign w:val="center"/>
          </w:tcPr>
          <w:p w14:paraId="2E64C01B" w14:textId="0DCCFEC5" w:rsidR="00465CAE" w:rsidRPr="00FF1B5A" w:rsidRDefault="00207CB2" w:rsidP="00465CAE">
            <w:pPr>
              <w:ind w:firstLine="0"/>
              <w:jc w:val="center"/>
              <w:rPr>
                <w:sz w:val="20"/>
                <w:szCs w:val="20"/>
              </w:rPr>
            </w:pPr>
            <w:r w:rsidRPr="00FF1B5A">
              <w:rPr>
                <w:sz w:val="20"/>
                <w:szCs w:val="20"/>
              </w:rPr>
              <w:t>0,</w:t>
            </w:r>
            <w:r w:rsidR="00465CAE" w:rsidRPr="00FF1B5A">
              <w:rPr>
                <w:sz w:val="20"/>
                <w:szCs w:val="20"/>
              </w:rPr>
              <w:t>4</w:t>
            </w:r>
          </w:p>
        </w:tc>
      </w:tr>
      <w:tr w:rsidR="00207CB2" w:rsidRPr="00FF1B5A" w14:paraId="768A018E" w14:textId="6A2A91F0" w:rsidTr="00200D0C">
        <w:trPr>
          <w:trHeight w:val="251"/>
        </w:trPr>
        <w:tc>
          <w:tcPr>
            <w:tcW w:w="8208" w:type="dxa"/>
            <w:gridSpan w:val="7"/>
            <w:shd w:val="clear" w:color="auto" w:fill="BDD6EE" w:themeFill="accent1" w:themeFillTint="66"/>
            <w:vAlign w:val="center"/>
          </w:tcPr>
          <w:p w14:paraId="49CA7226" w14:textId="77777777" w:rsidR="00207CB2" w:rsidRPr="00FF1B5A" w:rsidRDefault="00207CB2" w:rsidP="00200D0C">
            <w:pPr>
              <w:ind w:firstLine="0"/>
              <w:jc w:val="center"/>
              <w:rPr>
                <w:rFonts w:eastAsia="Times New Roman" w:cs="Times New Roman"/>
                <w:b/>
                <w:sz w:val="18"/>
                <w:szCs w:val="18"/>
              </w:rPr>
            </w:pPr>
            <w:r w:rsidRPr="00FF1B5A">
              <w:rPr>
                <w:rFonts w:eastAsia="Times New Roman" w:cs="Times New Roman"/>
                <w:b/>
                <w:sz w:val="18"/>
                <w:szCs w:val="18"/>
              </w:rPr>
              <w:t>Vispārējā valdība (S.13)</w:t>
            </w:r>
          </w:p>
        </w:tc>
        <w:tc>
          <w:tcPr>
            <w:tcW w:w="879" w:type="dxa"/>
            <w:shd w:val="clear" w:color="auto" w:fill="BDD6EE" w:themeFill="accent1" w:themeFillTint="66"/>
            <w:vAlign w:val="center"/>
          </w:tcPr>
          <w:p w14:paraId="7E2DA4FC" w14:textId="77777777" w:rsidR="00207CB2" w:rsidRPr="00FF1B5A" w:rsidRDefault="00207CB2" w:rsidP="00200D0C">
            <w:pPr>
              <w:ind w:firstLine="0"/>
              <w:jc w:val="center"/>
              <w:rPr>
                <w:rFonts w:eastAsia="Times New Roman" w:cs="Times New Roman"/>
                <w:b/>
                <w:sz w:val="18"/>
                <w:szCs w:val="18"/>
              </w:rPr>
            </w:pPr>
          </w:p>
        </w:tc>
      </w:tr>
      <w:tr w:rsidR="00207CB2" w:rsidRPr="00FF1B5A" w14:paraId="3CC2C6FC" w14:textId="381F60F7" w:rsidTr="00200D0C">
        <w:trPr>
          <w:trHeight w:val="239"/>
        </w:trPr>
        <w:tc>
          <w:tcPr>
            <w:tcW w:w="2836" w:type="dxa"/>
          </w:tcPr>
          <w:p w14:paraId="276A980D" w14:textId="77777777" w:rsidR="00207CB2" w:rsidRPr="00FF1B5A" w:rsidRDefault="00207CB2" w:rsidP="00207CB2">
            <w:pPr>
              <w:ind w:firstLine="0"/>
              <w:rPr>
                <w:rFonts w:eastAsia="Times New Roman" w:cs="Times New Roman"/>
                <w:snapToGrid w:val="0"/>
                <w:sz w:val="18"/>
                <w:szCs w:val="18"/>
              </w:rPr>
            </w:pPr>
            <w:r w:rsidRPr="00FF1B5A">
              <w:rPr>
                <w:rFonts w:eastAsia="Times New Roman" w:cs="Times New Roman"/>
                <w:snapToGrid w:val="0"/>
                <w:sz w:val="18"/>
                <w:szCs w:val="18"/>
              </w:rPr>
              <w:t xml:space="preserve">Kopējie ieņēmumi </w:t>
            </w:r>
          </w:p>
        </w:tc>
        <w:tc>
          <w:tcPr>
            <w:tcW w:w="987" w:type="dxa"/>
            <w:shd w:val="clear" w:color="auto" w:fill="auto"/>
          </w:tcPr>
          <w:p w14:paraId="3F58011E" w14:textId="77777777" w:rsidR="00207CB2" w:rsidRPr="00FF1B5A" w:rsidRDefault="00207CB2" w:rsidP="00207CB2">
            <w:pPr>
              <w:ind w:firstLine="0"/>
              <w:jc w:val="center"/>
              <w:rPr>
                <w:rFonts w:eastAsia="Times New Roman" w:cs="Times New Roman"/>
                <w:sz w:val="18"/>
                <w:szCs w:val="18"/>
              </w:rPr>
            </w:pPr>
            <w:r w:rsidRPr="00FF1B5A">
              <w:rPr>
                <w:rFonts w:eastAsia="Times New Roman" w:cs="Times New Roman"/>
                <w:sz w:val="18"/>
                <w:szCs w:val="18"/>
              </w:rPr>
              <w:t>TR</w:t>
            </w:r>
          </w:p>
        </w:tc>
        <w:tc>
          <w:tcPr>
            <w:tcW w:w="877" w:type="dxa"/>
            <w:shd w:val="clear" w:color="auto" w:fill="auto"/>
            <w:vAlign w:val="center"/>
          </w:tcPr>
          <w:p w14:paraId="2E2F9FEF" w14:textId="6900B3EF" w:rsidR="00207CB2" w:rsidRPr="00FF1B5A" w:rsidRDefault="00207CB2" w:rsidP="00200D0C">
            <w:pPr>
              <w:ind w:firstLine="0"/>
              <w:jc w:val="center"/>
              <w:rPr>
                <w:rFonts w:eastAsia="Times New Roman" w:cs="Times New Roman"/>
                <w:snapToGrid w:val="0"/>
                <w:sz w:val="20"/>
                <w:szCs w:val="20"/>
              </w:rPr>
            </w:pPr>
            <w:r w:rsidRPr="00FF1B5A">
              <w:rPr>
                <w:sz w:val="20"/>
                <w:szCs w:val="20"/>
              </w:rPr>
              <w:t>39,5</w:t>
            </w:r>
          </w:p>
        </w:tc>
        <w:tc>
          <w:tcPr>
            <w:tcW w:w="876" w:type="dxa"/>
            <w:shd w:val="clear" w:color="auto" w:fill="auto"/>
            <w:vAlign w:val="center"/>
          </w:tcPr>
          <w:p w14:paraId="74176AF7" w14:textId="3A1AED6E" w:rsidR="00207CB2" w:rsidRPr="00FF1B5A" w:rsidRDefault="00207CB2" w:rsidP="00200D0C">
            <w:pPr>
              <w:ind w:firstLine="0"/>
              <w:jc w:val="center"/>
              <w:rPr>
                <w:rFonts w:eastAsia="Times New Roman" w:cs="Times New Roman"/>
                <w:snapToGrid w:val="0"/>
                <w:sz w:val="20"/>
                <w:szCs w:val="20"/>
              </w:rPr>
            </w:pPr>
            <w:r w:rsidRPr="00FF1B5A">
              <w:rPr>
                <w:sz w:val="20"/>
                <w:szCs w:val="20"/>
              </w:rPr>
              <w:t>41,3</w:t>
            </w:r>
          </w:p>
        </w:tc>
        <w:tc>
          <w:tcPr>
            <w:tcW w:w="877" w:type="dxa"/>
            <w:shd w:val="clear" w:color="auto" w:fill="auto"/>
            <w:vAlign w:val="center"/>
          </w:tcPr>
          <w:p w14:paraId="416F6916" w14:textId="1FAEA141" w:rsidR="00207CB2" w:rsidRPr="00FF1B5A" w:rsidRDefault="00207CB2" w:rsidP="00200D0C">
            <w:pPr>
              <w:ind w:firstLine="0"/>
              <w:jc w:val="center"/>
              <w:rPr>
                <w:rFonts w:eastAsia="Times New Roman" w:cs="Times New Roman"/>
                <w:snapToGrid w:val="0"/>
                <w:sz w:val="20"/>
                <w:szCs w:val="20"/>
              </w:rPr>
            </w:pPr>
            <w:r w:rsidRPr="00FF1B5A">
              <w:rPr>
                <w:sz w:val="20"/>
                <w:szCs w:val="20"/>
              </w:rPr>
              <w:t>40,3</w:t>
            </w:r>
          </w:p>
        </w:tc>
        <w:tc>
          <w:tcPr>
            <w:tcW w:w="876" w:type="dxa"/>
            <w:shd w:val="clear" w:color="auto" w:fill="auto"/>
            <w:vAlign w:val="center"/>
          </w:tcPr>
          <w:p w14:paraId="6A1F456F" w14:textId="35C559B2" w:rsidR="00207CB2" w:rsidRPr="00FF1B5A" w:rsidRDefault="00207CB2" w:rsidP="00200D0C">
            <w:pPr>
              <w:ind w:firstLine="0"/>
              <w:jc w:val="center"/>
              <w:rPr>
                <w:rFonts w:eastAsia="Times New Roman" w:cs="Times New Roman"/>
                <w:snapToGrid w:val="0"/>
                <w:sz w:val="20"/>
                <w:szCs w:val="20"/>
              </w:rPr>
            </w:pPr>
            <w:r w:rsidRPr="00FF1B5A">
              <w:rPr>
                <w:sz w:val="20"/>
                <w:szCs w:val="20"/>
              </w:rPr>
              <w:t>39,8</w:t>
            </w:r>
          </w:p>
        </w:tc>
        <w:tc>
          <w:tcPr>
            <w:tcW w:w="879" w:type="dxa"/>
            <w:shd w:val="clear" w:color="auto" w:fill="auto"/>
            <w:vAlign w:val="center"/>
          </w:tcPr>
          <w:p w14:paraId="4CB7A85D" w14:textId="28CB2CBE" w:rsidR="00207CB2" w:rsidRPr="00FF1B5A" w:rsidRDefault="00207CB2" w:rsidP="00200D0C">
            <w:pPr>
              <w:ind w:firstLine="0"/>
              <w:jc w:val="center"/>
              <w:rPr>
                <w:rFonts w:eastAsia="Times New Roman" w:cs="Times New Roman"/>
                <w:snapToGrid w:val="0"/>
                <w:sz w:val="20"/>
                <w:szCs w:val="20"/>
              </w:rPr>
            </w:pPr>
            <w:r w:rsidRPr="00FF1B5A">
              <w:rPr>
                <w:sz w:val="20"/>
                <w:szCs w:val="20"/>
              </w:rPr>
              <w:t>38,9</w:t>
            </w:r>
          </w:p>
        </w:tc>
        <w:tc>
          <w:tcPr>
            <w:tcW w:w="879" w:type="dxa"/>
            <w:vAlign w:val="center"/>
          </w:tcPr>
          <w:p w14:paraId="26D7C2AB" w14:textId="158042E0" w:rsidR="00207CB2" w:rsidRPr="00FF1B5A" w:rsidRDefault="00207CB2" w:rsidP="00200D0C">
            <w:pPr>
              <w:ind w:firstLine="0"/>
              <w:jc w:val="center"/>
              <w:rPr>
                <w:color w:val="000000"/>
                <w:sz w:val="20"/>
                <w:szCs w:val="20"/>
              </w:rPr>
            </w:pPr>
            <w:r w:rsidRPr="00FF1B5A">
              <w:rPr>
                <w:sz w:val="20"/>
                <w:szCs w:val="20"/>
              </w:rPr>
              <w:t>38,2</w:t>
            </w:r>
          </w:p>
        </w:tc>
      </w:tr>
      <w:tr w:rsidR="00207CB2" w:rsidRPr="00FF1B5A" w14:paraId="428822C2" w14:textId="3E53D2EB" w:rsidTr="00200D0C">
        <w:trPr>
          <w:trHeight w:val="189"/>
        </w:trPr>
        <w:tc>
          <w:tcPr>
            <w:tcW w:w="2836" w:type="dxa"/>
            <w:shd w:val="clear" w:color="auto" w:fill="DEEAF6" w:themeFill="accent1" w:themeFillTint="33"/>
          </w:tcPr>
          <w:p w14:paraId="17588B2A" w14:textId="77777777" w:rsidR="00207CB2" w:rsidRPr="00FF1B5A" w:rsidRDefault="00207CB2" w:rsidP="00207CB2">
            <w:pPr>
              <w:ind w:firstLine="0"/>
              <w:rPr>
                <w:rFonts w:eastAsia="Times New Roman" w:cs="Times New Roman"/>
                <w:snapToGrid w:val="0"/>
                <w:sz w:val="18"/>
                <w:szCs w:val="18"/>
              </w:rPr>
            </w:pPr>
            <w:r w:rsidRPr="00FF1B5A">
              <w:rPr>
                <w:rFonts w:eastAsia="Times New Roman" w:cs="Times New Roman"/>
                <w:snapToGrid w:val="0"/>
                <w:sz w:val="18"/>
                <w:szCs w:val="18"/>
              </w:rPr>
              <w:t>Kopējie izdevumi</w:t>
            </w:r>
          </w:p>
        </w:tc>
        <w:tc>
          <w:tcPr>
            <w:tcW w:w="987" w:type="dxa"/>
            <w:shd w:val="clear" w:color="auto" w:fill="DEEAF6" w:themeFill="accent1" w:themeFillTint="33"/>
          </w:tcPr>
          <w:p w14:paraId="3ADF8706" w14:textId="77777777" w:rsidR="00207CB2" w:rsidRPr="00FF1B5A" w:rsidRDefault="00207CB2" w:rsidP="00207CB2">
            <w:pPr>
              <w:ind w:firstLine="0"/>
              <w:jc w:val="center"/>
              <w:rPr>
                <w:rFonts w:eastAsia="Times New Roman" w:cs="Times New Roman"/>
                <w:sz w:val="18"/>
                <w:szCs w:val="18"/>
              </w:rPr>
            </w:pPr>
            <w:r w:rsidRPr="00FF1B5A">
              <w:rPr>
                <w:rFonts w:eastAsia="Times New Roman" w:cs="Times New Roman"/>
                <w:sz w:val="18"/>
                <w:szCs w:val="18"/>
              </w:rPr>
              <w:t>TE</w:t>
            </w:r>
          </w:p>
        </w:tc>
        <w:tc>
          <w:tcPr>
            <w:tcW w:w="877" w:type="dxa"/>
            <w:shd w:val="clear" w:color="auto" w:fill="DEEAF6" w:themeFill="accent1" w:themeFillTint="33"/>
            <w:vAlign w:val="center"/>
          </w:tcPr>
          <w:p w14:paraId="2C4BD6EF" w14:textId="2DAC72E4" w:rsidR="00207CB2" w:rsidRPr="00FF1B5A" w:rsidRDefault="00207CB2" w:rsidP="00200D0C">
            <w:pPr>
              <w:ind w:firstLine="0"/>
              <w:jc w:val="center"/>
              <w:rPr>
                <w:rFonts w:eastAsia="Times New Roman" w:cs="Times New Roman"/>
                <w:snapToGrid w:val="0"/>
                <w:sz w:val="20"/>
                <w:szCs w:val="20"/>
              </w:rPr>
            </w:pPr>
            <w:r w:rsidRPr="00FF1B5A">
              <w:rPr>
                <w:sz w:val="20"/>
                <w:szCs w:val="20"/>
              </w:rPr>
              <w:t>41,8</w:t>
            </w:r>
          </w:p>
        </w:tc>
        <w:tc>
          <w:tcPr>
            <w:tcW w:w="876" w:type="dxa"/>
            <w:shd w:val="clear" w:color="auto" w:fill="DEEAF6" w:themeFill="accent1" w:themeFillTint="33"/>
            <w:vAlign w:val="center"/>
          </w:tcPr>
          <w:p w14:paraId="74815BEC" w14:textId="2B6BE0F5" w:rsidR="00207CB2" w:rsidRPr="00FF1B5A" w:rsidRDefault="00207CB2" w:rsidP="00200D0C">
            <w:pPr>
              <w:ind w:firstLine="0"/>
              <w:jc w:val="center"/>
              <w:rPr>
                <w:rFonts w:eastAsia="Times New Roman" w:cs="Times New Roman"/>
                <w:snapToGrid w:val="0"/>
                <w:sz w:val="20"/>
                <w:szCs w:val="20"/>
              </w:rPr>
            </w:pPr>
            <w:r w:rsidRPr="00FF1B5A">
              <w:rPr>
                <w:sz w:val="20"/>
                <w:szCs w:val="20"/>
              </w:rPr>
              <w:t>44,2</w:t>
            </w:r>
          </w:p>
        </w:tc>
        <w:tc>
          <w:tcPr>
            <w:tcW w:w="877" w:type="dxa"/>
            <w:shd w:val="clear" w:color="auto" w:fill="DEEAF6" w:themeFill="accent1" w:themeFillTint="33"/>
            <w:vAlign w:val="center"/>
          </w:tcPr>
          <w:p w14:paraId="21B0696B" w14:textId="30938352" w:rsidR="00207CB2" w:rsidRPr="00FF1B5A" w:rsidRDefault="00207CB2" w:rsidP="00200D0C">
            <w:pPr>
              <w:ind w:firstLine="0"/>
              <w:jc w:val="center"/>
              <w:rPr>
                <w:rFonts w:eastAsia="Times New Roman" w:cs="Times New Roman"/>
                <w:snapToGrid w:val="0"/>
                <w:sz w:val="20"/>
                <w:szCs w:val="20"/>
              </w:rPr>
            </w:pPr>
            <w:r w:rsidRPr="00FF1B5A">
              <w:rPr>
                <w:sz w:val="20"/>
                <w:szCs w:val="20"/>
              </w:rPr>
              <w:t>42,5</w:t>
            </w:r>
          </w:p>
        </w:tc>
        <w:tc>
          <w:tcPr>
            <w:tcW w:w="876" w:type="dxa"/>
            <w:shd w:val="clear" w:color="auto" w:fill="DEEAF6" w:themeFill="accent1" w:themeFillTint="33"/>
            <w:vAlign w:val="center"/>
          </w:tcPr>
          <w:p w14:paraId="07C8EAF1" w14:textId="727278AA" w:rsidR="00207CB2" w:rsidRPr="00FF1B5A" w:rsidRDefault="00207CB2" w:rsidP="00200D0C">
            <w:pPr>
              <w:ind w:firstLine="0"/>
              <w:jc w:val="center"/>
              <w:rPr>
                <w:rFonts w:eastAsia="Times New Roman" w:cs="Times New Roman"/>
                <w:snapToGrid w:val="0"/>
                <w:sz w:val="20"/>
                <w:szCs w:val="20"/>
              </w:rPr>
            </w:pPr>
            <w:r w:rsidRPr="00FF1B5A">
              <w:rPr>
                <w:sz w:val="20"/>
                <w:szCs w:val="20"/>
              </w:rPr>
              <w:t>42,0</w:t>
            </w:r>
          </w:p>
        </w:tc>
        <w:tc>
          <w:tcPr>
            <w:tcW w:w="879" w:type="dxa"/>
            <w:shd w:val="clear" w:color="auto" w:fill="DEEAF6" w:themeFill="accent1" w:themeFillTint="33"/>
            <w:vAlign w:val="center"/>
          </w:tcPr>
          <w:p w14:paraId="41E9D473" w14:textId="124F7680" w:rsidR="00207CB2" w:rsidRPr="00FF1B5A" w:rsidRDefault="00207CB2" w:rsidP="00200D0C">
            <w:pPr>
              <w:ind w:firstLine="0"/>
              <w:jc w:val="center"/>
              <w:rPr>
                <w:rFonts w:eastAsia="Times New Roman" w:cs="Times New Roman"/>
                <w:snapToGrid w:val="0"/>
                <w:sz w:val="20"/>
                <w:szCs w:val="20"/>
              </w:rPr>
            </w:pPr>
            <w:r w:rsidRPr="00FF1B5A">
              <w:rPr>
                <w:sz w:val="20"/>
                <w:szCs w:val="20"/>
              </w:rPr>
              <w:t>40,9</w:t>
            </w:r>
          </w:p>
        </w:tc>
        <w:tc>
          <w:tcPr>
            <w:tcW w:w="879" w:type="dxa"/>
            <w:shd w:val="clear" w:color="auto" w:fill="DEEAF6" w:themeFill="accent1" w:themeFillTint="33"/>
            <w:vAlign w:val="center"/>
          </w:tcPr>
          <w:p w14:paraId="30CF4F13" w14:textId="0D81C333" w:rsidR="00207CB2" w:rsidRPr="00FF1B5A" w:rsidRDefault="00207CB2" w:rsidP="00200D0C">
            <w:pPr>
              <w:ind w:firstLine="0"/>
              <w:jc w:val="center"/>
              <w:rPr>
                <w:sz w:val="20"/>
                <w:szCs w:val="20"/>
              </w:rPr>
            </w:pPr>
            <w:r w:rsidRPr="00FF1B5A">
              <w:rPr>
                <w:sz w:val="20"/>
                <w:szCs w:val="20"/>
              </w:rPr>
              <w:t>40,0</w:t>
            </w:r>
          </w:p>
        </w:tc>
      </w:tr>
      <w:tr w:rsidR="00207CB2" w:rsidRPr="00FF1B5A" w14:paraId="09D9F709" w14:textId="1C194D3E" w:rsidTr="00200D0C">
        <w:trPr>
          <w:trHeight w:val="83"/>
        </w:trPr>
        <w:tc>
          <w:tcPr>
            <w:tcW w:w="2836" w:type="dxa"/>
          </w:tcPr>
          <w:p w14:paraId="7BAA444A" w14:textId="77777777" w:rsidR="00207CB2" w:rsidRPr="00FF1B5A" w:rsidRDefault="00207CB2" w:rsidP="00207CB2">
            <w:pPr>
              <w:ind w:firstLine="0"/>
              <w:rPr>
                <w:rFonts w:eastAsia="Times New Roman" w:cs="Times New Roman"/>
                <w:snapToGrid w:val="0"/>
                <w:sz w:val="18"/>
                <w:szCs w:val="18"/>
              </w:rPr>
            </w:pPr>
            <w:r w:rsidRPr="00FF1B5A">
              <w:rPr>
                <w:rFonts w:eastAsia="Times New Roman" w:cs="Times New Roman"/>
                <w:snapToGrid w:val="0"/>
                <w:sz w:val="18"/>
                <w:szCs w:val="18"/>
              </w:rPr>
              <w:t>Procentu izdevumi</w:t>
            </w:r>
          </w:p>
        </w:tc>
        <w:tc>
          <w:tcPr>
            <w:tcW w:w="987" w:type="dxa"/>
          </w:tcPr>
          <w:p w14:paraId="4E0AC697" w14:textId="77777777" w:rsidR="00207CB2" w:rsidRPr="00FF1B5A" w:rsidRDefault="00207CB2" w:rsidP="00207CB2">
            <w:pPr>
              <w:ind w:firstLine="0"/>
              <w:jc w:val="center"/>
              <w:rPr>
                <w:rFonts w:eastAsia="Times New Roman" w:cs="Times New Roman"/>
                <w:sz w:val="18"/>
                <w:szCs w:val="18"/>
              </w:rPr>
            </w:pPr>
            <w:r w:rsidRPr="00FF1B5A">
              <w:rPr>
                <w:rFonts w:eastAsia="Times New Roman" w:cs="Times New Roman"/>
                <w:sz w:val="18"/>
                <w:szCs w:val="18"/>
              </w:rPr>
              <w:t>D.41</w:t>
            </w:r>
          </w:p>
        </w:tc>
        <w:tc>
          <w:tcPr>
            <w:tcW w:w="877" w:type="dxa"/>
            <w:shd w:val="clear" w:color="auto" w:fill="auto"/>
            <w:vAlign w:val="center"/>
          </w:tcPr>
          <w:p w14:paraId="0E716480" w14:textId="30E3E0E7" w:rsidR="00207CB2" w:rsidRPr="00FF1B5A" w:rsidRDefault="00207CB2" w:rsidP="00200D0C">
            <w:pPr>
              <w:ind w:firstLine="0"/>
              <w:jc w:val="center"/>
              <w:rPr>
                <w:rFonts w:eastAsia="Times New Roman" w:cs="Times New Roman"/>
                <w:snapToGrid w:val="0"/>
                <w:sz w:val="20"/>
                <w:szCs w:val="20"/>
              </w:rPr>
            </w:pPr>
            <w:r w:rsidRPr="00FF1B5A">
              <w:rPr>
                <w:sz w:val="20"/>
                <w:szCs w:val="20"/>
              </w:rPr>
              <w:t>0,8</w:t>
            </w:r>
          </w:p>
        </w:tc>
        <w:tc>
          <w:tcPr>
            <w:tcW w:w="876" w:type="dxa"/>
            <w:shd w:val="clear" w:color="auto" w:fill="auto"/>
            <w:vAlign w:val="center"/>
          </w:tcPr>
          <w:p w14:paraId="2F294D94" w14:textId="46DB7975" w:rsidR="00207CB2" w:rsidRPr="00FF1B5A" w:rsidRDefault="00207CB2" w:rsidP="00200D0C">
            <w:pPr>
              <w:ind w:firstLine="0"/>
              <w:jc w:val="center"/>
              <w:rPr>
                <w:rFonts w:eastAsia="Times New Roman" w:cs="Times New Roman"/>
                <w:snapToGrid w:val="0"/>
                <w:sz w:val="20"/>
                <w:szCs w:val="20"/>
              </w:rPr>
            </w:pPr>
            <w:r w:rsidRPr="00FF1B5A">
              <w:rPr>
                <w:sz w:val="20"/>
                <w:szCs w:val="20"/>
              </w:rPr>
              <w:t>1,0</w:t>
            </w:r>
          </w:p>
        </w:tc>
        <w:tc>
          <w:tcPr>
            <w:tcW w:w="877" w:type="dxa"/>
            <w:shd w:val="clear" w:color="auto" w:fill="auto"/>
            <w:vAlign w:val="center"/>
          </w:tcPr>
          <w:p w14:paraId="5E9200C1" w14:textId="6AD7CB4F" w:rsidR="00207CB2" w:rsidRPr="00FF1B5A" w:rsidRDefault="00207CB2" w:rsidP="00200D0C">
            <w:pPr>
              <w:ind w:firstLine="0"/>
              <w:jc w:val="center"/>
              <w:rPr>
                <w:rFonts w:eastAsia="Times New Roman" w:cs="Times New Roman"/>
                <w:snapToGrid w:val="0"/>
                <w:sz w:val="20"/>
                <w:szCs w:val="20"/>
              </w:rPr>
            </w:pPr>
            <w:r w:rsidRPr="00FF1B5A">
              <w:rPr>
                <w:sz w:val="20"/>
                <w:szCs w:val="20"/>
              </w:rPr>
              <w:t>1,2</w:t>
            </w:r>
          </w:p>
        </w:tc>
        <w:tc>
          <w:tcPr>
            <w:tcW w:w="876" w:type="dxa"/>
            <w:shd w:val="clear" w:color="auto" w:fill="auto"/>
            <w:vAlign w:val="center"/>
          </w:tcPr>
          <w:p w14:paraId="2233CBB9" w14:textId="49F0AB90" w:rsidR="00207CB2" w:rsidRPr="00FF1B5A" w:rsidRDefault="00207CB2" w:rsidP="00200D0C">
            <w:pPr>
              <w:ind w:firstLine="0"/>
              <w:jc w:val="center"/>
              <w:rPr>
                <w:rFonts w:eastAsia="Times New Roman" w:cs="Times New Roman"/>
                <w:snapToGrid w:val="0"/>
                <w:sz w:val="20"/>
                <w:szCs w:val="20"/>
              </w:rPr>
            </w:pPr>
            <w:r w:rsidRPr="00FF1B5A">
              <w:rPr>
                <w:sz w:val="20"/>
                <w:szCs w:val="20"/>
              </w:rPr>
              <w:t>1,3</w:t>
            </w:r>
          </w:p>
        </w:tc>
        <w:tc>
          <w:tcPr>
            <w:tcW w:w="879" w:type="dxa"/>
            <w:shd w:val="clear" w:color="auto" w:fill="auto"/>
            <w:vAlign w:val="center"/>
          </w:tcPr>
          <w:p w14:paraId="381B495B" w14:textId="6714C0B2" w:rsidR="00207CB2" w:rsidRPr="00FF1B5A" w:rsidRDefault="00207CB2" w:rsidP="00200D0C">
            <w:pPr>
              <w:ind w:firstLine="0"/>
              <w:jc w:val="center"/>
              <w:rPr>
                <w:rFonts w:eastAsia="Times New Roman" w:cs="Times New Roman"/>
                <w:snapToGrid w:val="0"/>
                <w:sz w:val="20"/>
                <w:szCs w:val="20"/>
              </w:rPr>
            </w:pPr>
            <w:r w:rsidRPr="00FF1B5A">
              <w:rPr>
                <w:sz w:val="20"/>
                <w:szCs w:val="20"/>
              </w:rPr>
              <w:t>1,4</w:t>
            </w:r>
          </w:p>
        </w:tc>
        <w:tc>
          <w:tcPr>
            <w:tcW w:w="879" w:type="dxa"/>
            <w:vAlign w:val="center"/>
          </w:tcPr>
          <w:p w14:paraId="11B505FD" w14:textId="22315EA2" w:rsidR="00207CB2" w:rsidRPr="00FF1B5A" w:rsidRDefault="00207CB2" w:rsidP="00200D0C">
            <w:pPr>
              <w:ind w:firstLine="0"/>
              <w:jc w:val="center"/>
              <w:rPr>
                <w:color w:val="000000"/>
                <w:sz w:val="20"/>
                <w:szCs w:val="20"/>
              </w:rPr>
            </w:pPr>
            <w:r w:rsidRPr="00FF1B5A">
              <w:rPr>
                <w:sz w:val="20"/>
                <w:szCs w:val="20"/>
              </w:rPr>
              <w:t>1,4</w:t>
            </w:r>
          </w:p>
        </w:tc>
      </w:tr>
      <w:tr w:rsidR="00207CB2" w:rsidRPr="00FF1B5A" w14:paraId="781EDE4F" w14:textId="68B372CE" w:rsidTr="00207CB2">
        <w:trPr>
          <w:trHeight w:val="239"/>
        </w:trPr>
        <w:tc>
          <w:tcPr>
            <w:tcW w:w="8208" w:type="dxa"/>
            <w:gridSpan w:val="7"/>
            <w:shd w:val="clear" w:color="auto" w:fill="BDD6EE" w:themeFill="accent1" w:themeFillTint="66"/>
          </w:tcPr>
          <w:p w14:paraId="09E6D8FB" w14:textId="77777777" w:rsidR="00207CB2" w:rsidRPr="00FF1B5A" w:rsidRDefault="00207CB2" w:rsidP="00A834DD">
            <w:pPr>
              <w:ind w:firstLine="0"/>
              <w:jc w:val="center"/>
              <w:rPr>
                <w:rFonts w:eastAsia="Times New Roman" w:cs="Times New Roman"/>
                <w:b/>
                <w:sz w:val="18"/>
                <w:szCs w:val="18"/>
              </w:rPr>
            </w:pPr>
            <w:r w:rsidRPr="00FF1B5A">
              <w:rPr>
                <w:rFonts w:eastAsia="Times New Roman" w:cs="Times New Roman"/>
                <w:b/>
                <w:sz w:val="18"/>
                <w:szCs w:val="18"/>
              </w:rPr>
              <w:t>Cikliskā attīstība</w:t>
            </w:r>
          </w:p>
        </w:tc>
        <w:tc>
          <w:tcPr>
            <w:tcW w:w="879" w:type="dxa"/>
            <w:shd w:val="clear" w:color="auto" w:fill="BDD6EE" w:themeFill="accent1" w:themeFillTint="66"/>
          </w:tcPr>
          <w:p w14:paraId="47483602" w14:textId="77777777" w:rsidR="00207CB2" w:rsidRPr="00FF1B5A" w:rsidRDefault="00207CB2" w:rsidP="00A834DD">
            <w:pPr>
              <w:ind w:firstLine="0"/>
              <w:jc w:val="center"/>
              <w:rPr>
                <w:rFonts w:eastAsia="Times New Roman" w:cs="Times New Roman"/>
                <w:b/>
                <w:sz w:val="18"/>
                <w:szCs w:val="18"/>
              </w:rPr>
            </w:pPr>
          </w:p>
        </w:tc>
      </w:tr>
      <w:tr w:rsidR="00207CB2" w:rsidRPr="00FF1B5A" w14:paraId="286ABA70" w14:textId="384CB727" w:rsidTr="00200D0C">
        <w:trPr>
          <w:trHeight w:val="251"/>
        </w:trPr>
        <w:tc>
          <w:tcPr>
            <w:tcW w:w="2836" w:type="dxa"/>
            <w:shd w:val="clear" w:color="auto" w:fill="auto"/>
          </w:tcPr>
          <w:p w14:paraId="534387B1" w14:textId="77777777" w:rsidR="00207CB2" w:rsidRPr="00FF1B5A" w:rsidRDefault="00207CB2" w:rsidP="00207CB2">
            <w:pPr>
              <w:ind w:firstLine="0"/>
              <w:rPr>
                <w:rFonts w:eastAsia="Times New Roman" w:cs="Times New Roman"/>
                <w:snapToGrid w:val="0"/>
                <w:sz w:val="18"/>
                <w:szCs w:val="18"/>
              </w:rPr>
            </w:pPr>
            <w:r w:rsidRPr="00FF1B5A">
              <w:rPr>
                <w:rFonts w:eastAsia="Times New Roman" w:cs="Times New Roman"/>
                <w:snapToGrid w:val="0"/>
                <w:sz w:val="18"/>
                <w:szCs w:val="18"/>
              </w:rPr>
              <w:t>Budžeta bilances cikliskā komponente</w:t>
            </w:r>
            <w:r w:rsidRPr="00FF1B5A">
              <w:rPr>
                <w:rFonts w:eastAsia="Times New Roman" w:cs="Times New Roman"/>
                <w:snapToGrid w:val="0"/>
                <w:sz w:val="18"/>
                <w:szCs w:val="18"/>
                <w:vertAlign w:val="superscript"/>
              </w:rPr>
              <w:footnoteReference w:id="22"/>
            </w:r>
          </w:p>
        </w:tc>
        <w:tc>
          <w:tcPr>
            <w:tcW w:w="987" w:type="dxa"/>
            <w:shd w:val="clear" w:color="auto" w:fill="auto"/>
          </w:tcPr>
          <w:p w14:paraId="60B9690A" w14:textId="77777777" w:rsidR="00207CB2" w:rsidRPr="00FF1B5A" w:rsidRDefault="00207CB2" w:rsidP="00207CB2">
            <w:pPr>
              <w:ind w:firstLine="0"/>
              <w:rPr>
                <w:rFonts w:eastAsia="Times New Roman" w:cs="Times New Roman"/>
                <w:sz w:val="18"/>
                <w:szCs w:val="18"/>
              </w:rPr>
            </w:pPr>
          </w:p>
        </w:tc>
        <w:tc>
          <w:tcPr>
            <w:tcW w:w="877" w:type="dxa"/>
            <w:shd w:val="clear" w:color="auto" w:fill="auto"/>
            <w:vAlign w:val="center"/>
          </w:tcPr>
          <w:p w14:paraId="43FF995F" w14:textId="1DBD516C" w:rsidR="00207CB2" w:rsidRPr="00FF1B5A" w:rsidRDefault="00207CB2" w:rsidP="00200D0C">
            <w:pPr>
              <w:ind w:firstLine="0"/>
              <w:jc w:val="center"/>
              <w:rPr>
                <w:rFonts w:eastAsia="Times New Roman" w:cs="Times New Roman"/>
                <w:snapToGrid w:val="0"/>
                <w:sz w:val="20"/>
                <w:szCs w:val="20"/>
              </w:rPr>
            </w:pPr>
            <w:r w:rsidRPr="00FF1B5A">
              <w:rPr>
                <w:sz w:val="20"/>
                <w:szCs w:val="20"/>
              </w:rPr>
              <w:t>-0,1</w:t>
            </w:r>
          </w:p>
        </w:tc>
        <w:tc>
          <w:tcPr>
            <w:tcW w:w="876" w:type="dxa"/>
            <w:shd w:val="clear" w:color="auto" w:fill="auto"/>
            <w:vAlign w:val="center"/>
          </w:tcPr>
          <w:p w14:paraId="3FABAB34" w14:textId="4BAC6A67" w:rsidR="00207CB2" w:rsidRPr="00FF1B5A" w:rsidRDefault="00207CB2" w:rsidP="00200D0C">
            <w:pPr>
              <w:ind w:firstLine="0"/>
              <w:jc w:val="center"/>
              <w:rPr>
                <w:rFonts w:eastAsia="Times New Roman" w:cs="Times New Roman"/>
                <w:snapToGrid w:val="0"/>
                <w:sz w:val="20"/>
                <w:szCs w:val="20"/>
              </w:rPr>
            </w:pPr>
            <w:r w:rsidRPr="00FF1B5A">
              <w:rPr>
                <w:sz w:val="20"/>
                <w:szCs w:val="20"/>
              </w:rPr>
              <w:t>-0,4</w:t>
            </w:r>
          </w:p>
        </w:tc>
        <w:tc>
          <w:tcPr>
            <w:tcW w:w="877" w:type="dxa"/>
            <w:shd w:val="clear" w:color="auto" w:fill="auto"/>
            <w:vAlign w:val="center"/>
          </w:tcPr>
          <w:p w14:paraId="37D3ADA0" w14:textId="6FE901C3" w:rsidR="00207CB2" w:rsidRPr="00FF1B5A" w:rsidRDefault="00207CB2" w:rsidP="00200D0C">
            <w:pPr>
              <w:ind w:firstLine="0"/>
              <w:jc w:val="center"/>
              <w:rPr>
                <w:rFonts w:eastAsia="Times New Roman" w:cs="Times New Roman"/>
                <w:snapToGrid w:val="0"/>
                <w:sz w:val="20"/>
                <w:szCs w:val="20"/>
              </w:rPr>
            </w:pPr>
            <w:r w:rsidRPr="00FF1B5A">
              <w:rPr>
                <w:sz w:val="20"/>
                <w:szCs w:val="20"/>
              </w:rPr>
              <w:t>-0,1</w:t>
            </w:r>
          </w:p>
        </w:tc>
        <w:tc>
          <w:tcPr>
            <w:tcW w:w="876" w:type="dxa"/>
            <w:shd w:val="clear" w:color="auto" w:fill="auto"/>
            <w:vAlign w:val="center"/>
          </w:tcPr>
          <w:p w14:paraId="4EB8B4C2" w14:textId="613C2DB9" w:rsidR="00207CB2" w:rsidRPr="00FF1B5A" w:rsidRDefault="00207CB2" w:rsidP="00200D0C">
            <w:pPr>
              <w:ind w:firstLine="0"/>
              <w:jc w:val="center"/>
              <w:rPr>
                <w:rFonts w:eastAsia="Times New Roman" w:cs="Times New Roman"/>
                <w:snapToGrid w:val="0"/>
                <w:sz w:val="20"/>
                <w:szCs w:val="20"/>
              </w:rPr>
            </w:pPr>
            <w:r w:rsidRPr="00FF1B5A">
              <w:rPr>
                <w:sz w:val="20"/>
                <w:szCs w:val="20"/>
              </w:rPr>
              <w:t>0,0</w:t>
            </w:r>
          </w:p>
        </w:tc>
        <w:tc>
          <w:tcPr>
            <w:tcW w:w="879" w:type="dxa"/>
            <w:shd w:val="clear" w:color="auto" w:fill="auto"/>
            <w:vAlign w:val="center"/>
          </w:tcPr>
          <w:p w14:paraId="1EFB43F4" w14:textId="5A049847" w:rsidR="00207CB2" w:rsidRPr="00FF1B5A" w:rsidRDefault="00207CB2" w:rsidP="00200D0C">
            <w:pPr>
              <w:ind w:firstLine="0"/>
              <w:jc w:val="center"/>
              <w:rPr>
                <w:rFonts w:eastAsia="Times New Roman" w:cs="Times New Roman"/>
                <w:snapToGrid w:val="0"/>
                <w:sz w:val="20"/>
                <w:szCs w:val="20"/>
              </w:rPr>
            </w:pPr>
            <w:r w:rsidRPr="00FF1B5A">
              <w:rPr>
                <w:sz w:val="20"/>
                <w:szCs w:val="20"/>
              </w:rPr>
              <w:t>0,0</w:t>
            </w:r>
          </w:p>
        </w:tc>
        <w:tc>
          <w:tcPr>
            <w:tcW w:w="879" w:type="dxa"/>
            <w:vAlign w:val="center"/>
          </w:tcPr>
          <w:p w14:paraId="721B377F" w14:textId="7D52B3C1" w:rsidR="00207CB2" w:rsidRPr="00FF1B5A" w:rsidRDefault="00207CB2" w:rsidP="00200D0C">
            <w:pPr>
              <w:ind w:firstLine="0"/>
              <w:jc w:val="center"/>
              <w:rPr>
                <w:color w:val="000000"/>
                <w:sz w:val="20"/>
                <w:szCs w:val="20"/>
              </w:rPr>
            </w:pPr>
            <w:r w:rsidRPr="00FF1B5A">
              <w:rPr>
                <w:sz w:val="20"/>
                <w:szCs w:val="20"/>
              </w:rPr>
              <w:t>0,0</w:t>
            </w:r>
          </w:p>
        </w:tc>
      </w:tr>
      <w:tr w:rsidR="00200D0C" w:rsidRPr="00FF1B5A" w14:paraId="2314D9C9" w14:textId="192CE54C" w:rsidTr="00200D0C">
        <w:trPr>
          <w:trHeight w:val="251"/>
        </w:trPr>
        <w:tc>
          <w:tcPr>
            <w:tcW w:w="2836" w:type="dxa"/>
            <w:shd w:val="clear" w:color="auto" w:fill="DEEAF6" w:themeFill="accent1" w:themeFillTint="33"/>
          </w:tcPr>
          <w:p w14:paraId="217F2984" w14:textId="77777777" w:rsidR="00200D0C" w:rsidRPr="00FF1B5A" w:rsidRDefault="00200D0C" w:rsidP="00200D0C">
            <w:pPr>
              <w:ind w:firstLine="0"/>
              <w:rPr>
                <w:rFonts w:eastAsia="Times New Roman" w:cs="Times New Roman"/>
                <w:snapToGrid w:val="0"/>
                <w:sz w:val="18"/>
                <w:szCs w:val="18"/>
              </w:rPr>
            </w:pPr>
            <w:r w:rsidRPr="00FF1B5A">
              <w:rPr>
                <w:rFonts w:eastAsia="Times New Roman" w:cs="Times New Roman"/>
                <w:snapToGrid w:val="0"/>
                <w:sz w:val="18"/>
                <w:szCs w:val="18"/>
              </w:rPr>
              <w:t>Vienreizējie un citi īslaicīgi pasākumi</w:t>
            </w:r>
            <w:r w:rsidRPr="00FF1B5A">
              <w:rPr>
                <w:rFonts w:eastAsia="Times New Roman" w:cs="Times New Roman"/>
                <w:snapToGrid w:val="0"/>
                <w:sz w:val="18"/>
                <w:szCs w:val="18"/>
                <w:vertAlign w:val="superscript"/>
              </w:rPr>
              <w:footnoteReference w:id="23"/>
            </w:r>
          </w:p>
        </w:tc>
        <w:tc>
          <w:tcPr>
            <w:tcW w:w="987" w:type="dxa"/>
            <w:shd w:val="clear" w:color="auto" w:fill="DEEAF6" w:themeFill="accent1" w:themeFillTint="33"/>
          </w:tcPr>
          <w:p w14:paraId="266863BA" w14:textId="77777777" w:rsidR="00200D0C" w:rsidRPr="00FF1B5A" w:rsidRDefault="00200D0C" w:rsidP="00200D0C">
            <w:pPr>
              <w:ind w:firstLine="0"/>
              <w:rPr>
                <w:rFonts w:eastAsia="Times New Roman" w:cs="Times New Roman"/>
                <w:sz w:val="18"/>
                <w:szCs w:val="18"/>
              </w:rPr>
            </w:pPr>
          </w:p>
        </w:tc>
        <w:tc>
          <w:tcPr>
            <w:tcW w:w="877" w:type="dxa"/>
            <w:shd w:val="clear" w:color="auto" w:fill="DEEAF6" w:themeFill="accent1" w:themeFillTint="33"/>
            <w:vAlign w:val="center"/>
          </w:tcPr>
          <w:p w14:paraId="0DC6A7F2" w14:textId="7796CC21" w:rsidR="00200D0C" w:rsidRPr="00FF1B5A" w:rsidRDefault="00200D0C" w:rsidP="00200D0C">
            <w:pPr>
              <w:ind w:firstLine="0"/>
              <w:jc w:val="center"/>
              <w:rPr>
                <w:rFonts w:eastAsia="Times New Roman" w:cs="Times New Roman"/>
                <w:snapToGrid w:val="0"/>
                <w:sz w:val="20"/>
                <w:szCs w:val="20"/>
              </w:rPr>
            </w:pPr>
            <w:r w:rsidRPr="00FF1B5A">
              <w:rPr>
                <w:sz w:val="20"/>
                <w:szCs w:val="20"/>
              </w:rPr>
              <w:t>-2,0</w:t>
            </w:r>
          </w:p>
        </w:tc>
        <w:tc>
          <w:tcPr>
            <w:tcW w:w="876" w:type="dxa"/>
            <w:shd w:val="clear" w:color="auto" w:fill="DEEAF6" w:themeFill="accent1" w:themeFillTint="33"/>
            <w:vAlign w:val="center"/>
          </w:tcPr>
          <w:p w14:paraId="1925AC6F" w14:textId="06F7B174" w:rsidR="00200D0C" w:rsidRPr="00FF1B5A" w:rsidRDefault="00200D0C" w:rsidP="00200D0C">
            <w:pPr>
              <w:ind w:firstLine="0"/>
              <w:jc w:val="center"/>
              <w:rPr>
                <w:rFonts w:eastAsia="Times New Roman" w:cs="Times New Roman"/>
                <w:snapToGrid w:val="0"/>
                <w:sz w:val="20"/>
                <w:szCs w:val="20"/>
              </w:rPr>
            </w:pPr>
            <w:r w:rsidRPr="00FF1B5A">
              <w:rPr>
                <w:sz w:val="20"/>
                <w:szCs w:val="20"/>
              </w:rPr>
              <w:t>-1,7</w:t>
            </w:r>
          </w:p>
        </w:tc>
        <w:tc>
          <w:tcPr>
            <w:tcW w:w="877" w:type="dxa"/>
            <w:shd w:val="clear" w:color="auto" w:fill="DEEAF6" w:themeFill="accent1" w:themeFillTint="33"/>
            <w:vAlign w:val="center"/>
          </w:tcPr>
          <w:p w14:paraId="5554D6AB" w14:textId="50E41E3E" w:rsidR="00200D0C" w:rsidRPr="00FF1B5A" w:rsidRDefault="00200D0C" w:rsidP="00200D0C">
            <w:pPr>
              <w:ind w:firstLine="0"/>
              <w:jc w:val="center"/>
              <w:rPr>
                <w:rFonts w:eastAsia="Times New Roman" w:cs="Times New Roman"/>
                <w:snapToGrid w:val="0"/>
                <w:sz w:val="20"/>
                <w:szCs w:val="20"/>
              </w:rPr>
            </w:pPr>
            <w:r w:rsidRPr="00FF1B5A">
              <w:rPr>
                <w:sz w:val="20"/>
                <w:szCs w:val="20"/>
              </w:rPr>
              <w:t>-1,6</w:t>
            </w:r>
          </w:p>
        </w:tc>
        <w:tc>
          <w:tcPr>
            <w:tcW w:w="876" w:type="dxa"/>
            <w:shd w:val="clear" w:color="auto" w:fill="DEEAF6" w:themeFill="accent1" w:themeFillTint="33"/>
            <w:vAlign w:val="center"/>
          </w:tcPr>
          <w:p w14:paraId="32BC4EBD" w14:textId="0C631094" w:rsidR="00200D0C" w:rsidRPr="00FF1B5A" w:rsidRDefault="00200D0C" w:rsidP="00200D0C">
            <w:pPr>
              <w:ind w:firstLine="0"/>
              <w:jc w:val="center"/>
              <w:rPr>
                <w:rFonts w:eastAsia="Times New Roman" w:cs="Times New Roman"/>
                <w:snapToGrid w:val="0"/>
                <w:sz w:val="20"/>
                <w:szCs w:val="20"/>
              </w:rPr>
            </w:pPr>
            <w:r w:rsidRPr="00FF1B5A">
              <w:rPr>
                <w:sz w:val="20"/>
                <w:szCs w:val="20"/>
              </w:rPr>
              <w:t>-1,6</w:t>
            </w:r>
          </w:p>
        </w:tc>
        <w:tc>
          <w:tcPr>
            <w:tcW w:w="879" w:type="dxa"/>
            <w:shd w:val="clear" w:color="auto" w:fill="DEEAF6" w:themeFill="accent1" w:themeFillTint="33"/>
            <w:vAlign w:val="center"/>
          </w:tcPr>
          <w:p w14:paraId="7D2582B8" w14:textId="727FD505" w:rsidR="00200D0C" w:rsidRPr="00FF1B5A" w:rsidRDefault="00200D0C" w:rsidP="00200D0C">
            <w:pPr>
              <w:ind w:firstLine="0"/>
              <w:jc w:val="center"/>
              <w:rPr>
                <w:rFonts w:eastAsia="Times New Roman" w:cs="Times New Roman"/>
                <w:snapToGrid w:val="0"/>
                <w:sz w:val="20"/>
                <w:szCs w:val="20"/>
              </w:rPr>
            </w:pPr>
            <w:r w:rsidRPr="00FF1B5A">
              <w:rPr>
                <w:sz w:val="20"/>
                <w:szCs w:val="20"/>
              </w:rPr>
              <w:t>-1,5</w:t>
            </w:r>
          </w:p>
        </w:tc>
        <w:tc>
          <w:tcPr>
            <w:tcW w:w="879" w:type="dxa"/>
            <w:shd w:val="clear" w:color="auto" w:fill="DEEAF6" w:themeFill="accent1" w:themeFillTint="33"/>
            <w:vAlign w:val="center"/>
          </w:tcPr>
          <w:p w14:paraId="6A654649" w14:textId="2D1C0380" w:rsidR="00200D0C" w:rsidRPr="00FF1B5A" w:rsidRDefault="00200D0C" w:rsidP="00200D0C">
            <w:pPr>
              <w:ind w:firstLine="0"/>
              <w:jc w:val="center"/>
              <w:rPr>
                <w:color w:val="000000"/>
                <w:sz w:val="20"/>
                <w:szCs w:val="20"/>
              </w:rPr>
            </w:pPr>
            <w:r w:rsidRPr="00FF1B5A">
              <w:rPr>
                <w:sz w:val="20"/>
                <w:szCs w:val="20"/>
              </w:rPr>
              <w:t>-1,3</w:t>
            </w:r>
          </w:p>
        </w:tc>
      </w:tr>
      <w:tr w:rsidR="00200D0C" w:rsidRPr="00FF1B5A" w14:paraId="47A6BFEE" w14:textId="4A4648C4" w:rsidTr="000404C1">
        <w:trPr>
          <w:trHeight w:val="251"/>
        </w:trPr>
        <w:tc>
          <w:tcPr>
            <w:tcW w:w="2836" w:type="dxa"/>
            <w:shd w:val="clear" w:color="auto" w:fill="auto"/>
          </w:tcPr>
          <w:p w14:paraId="71F3C11E" w14:textId="77777777" w:rsidR="00200D0C" w:rsidRPr="00FF1B5A" w:rsidRDefault="00200D0C" w:rsidP="00200D0C">
            <w:pPr>
              <w:ind w:firstLine="0"/>
              <w:rPr>
                <w:rFonts w:eastAsia="Times New Roman" w:cs="Times New Roman"/>
                <w:snapToGrid w:val="0"/>
                <w:sz w:val="18"/>
                <w:szCs w:val="18"/>
              </w:rPr>
            </w:pPr>
            <w:r w:rsidRPr="00FF1B5A">
              <w:rPr>
                <w:rFonts w:eastAsia="Times New Roman" w:cs="Times New Roman"/>
                <w:snapToGrid w:val="0"/>
                <w:sz w:val="18"/>
                <w:szCs w:val="18"/>
              </w:rPr>
              <w:t>Cikliski koriģētā bilance</w:t>
            </w:r>
          </w:p>
        </w:tc>
        <w:tc>
          <w:tcPr>
            <w:tcW w:w="987" w:type="dxa"/>
            <w:shd w:val="clear" w:color="auto" w:fill="auto"/>
          </w:tcPr>
          <w:p w14:paraId="2F449895" w14:textId="77777777" w:rsidR="00200D0C" w:rsidRPr="00FF1B5A" w:rsidRDefault="00200D0C" w:rsidP="00200D0C">
            <w:pPr>
              <w:ind w:firstLine="0"/>
              <w:rPr>
                <w:rFonts w:eastAsia="Times New Roman" w:cs="Times New Roman"/>
                <w:sz w:val="18"/>
                <w:szCs w:val="18"/>
              </w:rPr>
            </w:pPr>
          </w:p>
        </w:tc>
        <w:tc>
          <w:tcPr>
            <w:tcW w:w="877" w:type="dxa"/>
            <w:shd w:val="clear" w:color="auto" w:fill="auto"/>
            <w:vAlign w:val="bottom"/>
          </w:tcPr>
          <w:p w14:paraId="759E4931" w14:textId="76F4B12C" w:rsidR="00200D0C" w:rsidRPr="00FF1B5A" w:rsidRDefault="00200D0C" w:rsidP="00200D0C">
            <w:pPr>
              <w:ind w:firstLine="0"/>
              <w:jc w:val="center"/>
              <w:rPr>
                <w:rFonts w:eastAsia="Times New Roman" w:cs="Times New Roman"/>
                <w:snapToGrid w:val="0"/>
                <w:sz w:val="20"/>
                <w:szCs w:val="20"/>
              </w:rPr>
            </w:pPr>
            <w:r w:rsidRPr="00FF1B5A">
              <w:rPr>
                <w:sz w:val="20"/>
                <w:szCs w:val="20"/>
              </w:rPr>
              <w:t>-2,1</w:t>
            </w:r>
          </w:p>
        </w:tc>
        <w:tc>
          <w:tcPr>
            <w:tcW w:w="876" w:type="dxa"/>
            <w:shd w:val="clear" w:color="auto" w:fill="auto"/>
            <w:vAlign w:val="bottom"/>
          </w:tcPr>
          <w:p w14:paraId="546ADE6D" w14:textId="7321501E" w:rsidR="00200D0C" w:rsidRPr="00FF1B5A" w:rsidRDefault="00200D0C" w:rsidP="00200D0C">
            <w:pPr>
              <w:ind w:firstLine="0"/>
              <w:jc w:val="center"/>
              <w:rPr>
                <w:rFonts w:eastAsia="Times New Roman" w:cs="Times New Roman"/>
                <w:snapToGrid w:val="0"/>
                <w:sz w:val="20"/>
                <w:szCs w:val="20"/>
              </w:rPr>
            </w:pPr>
            <w:r w:rsidRPr="00FF1B5A">
              <w:rPr>
                <w:sz w:val="20"/>
                <w:szCs w:val="20"/>
              </w:rPr>
              <w:t>-2,5</w:t>
            </w:r>
          </w:p>
        </w:tc>
        <w:tc>
          <w:tcPr>
            <w:tcW w:w="877" w:type="dxa"/>
            <w:shd w:val="clear" w:color="auto" w:fill="auto"/>
            <w:vAlign w:val="bottom"/>
          </w:tcPr>
          <w:p w14:paraId="22E3DEBB" w14:textId="32E2F3C8" w:rsidR="00200D0C" w:rsidRPr="00FF1B5A" w:rsidRDefault="00200D0C" w:rsidP="00200D0C">
            <w:pPr>
              <w:ind w:firstLine="0"/>
              <w:jc w:val="center"/>
              <w:rPr>
                <w:rFonts w:eastAsia="Times New Roman" w:cs="Times New Roman"/>
                <w:snapToGrid w:val="0"/>
                <w:sz w:val="20"/>
                <w:szCs w:val="20"/>
              </w:rPr>
            </w:pPr>
            <w:r w:rsidRPr="00FF1B5A">
              <w:rPr>
                <w:sz w:val="20"/>
                <w:szCs w:val="20"/>
              </w:rPr>
              <w:t>-2,1</w:t>
            </w:r>
          </w:p>
        </w:tc>
        <w:tc>
          <w:tcPr>
            <w:tcW w:w="876" w:type="dxa"/>
            <w:shd w:val="clear" w:color="auto" w:fill="auto"/>
            <w:vAlign w:val="bottom"/>
          </w:tcPr>
          <w:p w14:paraId="1AE46B53" w14:textId="227D99CE" w:rsidR="00200D0C" w:rsidRPr="00FF1B5A" w:rsidRDefault="00200D0C" w:rsidP="00200D0C">
            <w:pPr>
              <w:ind w:firstLine="0"/>
              <w:jc w:val="center"/>
              <w:rPr>
                <w:rFonts w:eastAsia="Times New Roman" w:cs="Times New Roman"/>
                <w:snapToGrid w:val="0"/>
                <w:sz w:val="20"/>
                <w:szCs w:val="20"/>
              </w:rPr>
            </w:pPr>
            <w:r w:rsidRPr="00FF1B5A">
              <w:rPr>
                <w:sz w:val="20"/>
                <w:szCs w:val="20"/>
              </w:rPr>
              <w:t>-2,1</w:t>
            </w:r>
          </w:p>
        </w:tc>
        <w:tc>
          <w:tcPr>
            <w:tcW w:w="879" w:type="dxa"/>
            <w:shd w:val="clear" w:color="auto" w:fill="auto"/>
            <w:vAlign w:val="bottom"/>
          </w:tcPr>
          <w:p w14:paraId="47F61C41" w14:textId="67DA51D8" w:rsidR="00200D0C" w:rsidRPr="00FF1B5A" w:rsidRDefault="00200D0C" w:rsidP="00200D0C">
            <w:pPr>
              <w:ind w:firstLine="0"/>
              <w:jc w:val="center"/>
              <w:rPr>
                <w:rFonts w:eastAsia="Times New Roman" w:cs="Times New Roman"/>
                <w:snapToGrid w:val="0"/>
                <w:sz w:val="20"/>
                <w:szCs w:val="20"/>
              </w:rPr>
            </w:pPr>
            <w:r w:rsidRPr="00FF1B5A">
              <w:rPr>
                <w:sz w:val="20"/>
                <w:szCs w:val="20"/>
              </w:rPr>
              <w:t>-2,0</w:t>
            </w:r>
          </w:p>
        </w:tc>
        <w:tc>
          <w:tcPr>
            <w:tcW w:w="879" w:type="dxa"/>
            <w:vAlign w:val="bottom"/>
          </w:tcPr>
          <w:p w14:paraId="056276C6" w14:textId="3D82B604" w:rsidR="00200D0C" w:rsidRPr="00FF1B5A" w:rsidRDefault="00200D0C" w:rsidP="00200D0C">
            <w:pPr>
              <w:ind w:firstLine="0"/>
              <w:jc w:val="center"/>
              <w:rPr>
                <w:sz w:val="20"/>
                <w:szCs w:val="20"/>
              </w:rPr>
            </w:pPr>
            <w:r w:rsidRPr="00FF1B5A">
              <w:rPr>
                <w:sz w:val="20"/>
                <w:szCs w:val="20"/>
              </w:rPr>
              <w:t>-1,8</w:t>
            </w:r>
          </w:p>
        </w:tc>
      </w:tr>
      <w:tr w:rsidR="00200D0C" w:rsidRPr="00FF1B5A" w14:paraId="391B5FE1" w14:textId="2D734F2A" w:rsidTr="000404C1">
        <w:trPr>
          <w:trHeight w:val="189"/>
        </w:trPr>
        <w:tc>
          <w:tcPr>
            <w:tcW w:w="2836" w:type="dxa"/>
            <w:shd w:val="clear" w:color="auto" w:fill="auto"/>
          </w:tcPr>
          <w:p w14:paraId="631DF0E4" w14:textId="77777777" w:rsidR="00200D0C" w:rsidRPr="00FF1B5A" w:rsidRDefault="00200D0C" w:rsidP="00200D0C">
            <w:pPr>
              <w:ind w:firstLine="0"/>
              <w:rPr>
                <w:rFonts w:eastAsia="Times New Roman" w:cs="Times New Roman"/>
                <w:snapToGrid w:val="0"/>
                <w:sz w:val="18"/>
                <w:szCs w:val="18"/>
              </w:rPr>
            </w:pPr>
            <w:r w:rsidRPr="00FF1B5A">
              <w:rPr>
                <w:rFonts w:eastAsia="Times New Roman" w:cs="Times New Roman"/>
                <w:snapToGrid w:val="0"/>
                <w:sz w:val="18"/>
                <w:szCs w:val="18"/>
              </w:rPr>
              <w:t>Cikliski koriģētā primārā bilance</w:t>
            </w:r>
          </w:p>
        </w:tc>
        <w:tc>
          <w:tcPr>
            <w:tcW w:w="987" w:type="dxa"/>
            <w:shd w:val="clear" w:color="auto" w:fill="auto"/>
          </w:tcPr>
          <w:p w14:paraId="0EAF3618" w14:textId="77777777" w:rsidR="00200D0C" w:rsidRPr="00FF1B5A" w:rsidRDefault="00200D0C" w:rsidP="00200D0C">
            <w:pPr>
              <w:ind w:firstLine="0"/>
              <w:rPr>
                <w:rFonts w:eastAsia="Times New Roman" w:cs="Times New Roman"/>
                <w:sz w:val="18"/>
                <w:szCs w:val="18"/>
              </w:rPr>
            </w:pPr>
          </w:p>
        </w:tc>
        <w:tc>
          <w:tcPr>
            <w:tcW w:w="877" w:type="dxa"/>
            <w:shd w:val="clear" w:color="auto" w:fill="auto"/>
            <w:vAlign w:val="bottom"/>
          </w:tcPr>
          <w:p w14:paraId="72BAF355" w14:textId="05BAE886" w:rsidR="00200D0C" w:rsidRPr="00FF1B5A" w:rsidRDefault="00200D0C" w:rsidP="00200D0C">
            <w:pPr>
              <w:ind w:firstLine="0"/>
              <w:jc w:val="center"/>
              <w:rPr>
                <w:rFonts w:eastAsia="Times New Roman" w:cs="Times New Roman"/>
                <w:snapToGrid w:val="0"/>
                <w:sz w:val="20"/>
                <w:szCs w:val="20"/>
              </w:rPr>
            </w:pPr>
            <w:r w:rsidRPr="00FF1B5A">
              <w:rPr>
                <w:sz w:val="20"/>
                <w:szCs w:val="20"/>
              </w:rPr>
              <w:t>-1,3</w:t>
            </w:r>
          </w:p>
        </w:tc>
        <w:tc>
          <w:tcPr>
            <w:tcW w:w="876" w:type="dxa"/>
            <w:shd w:val="clear" w:color="auto" w:fill="auto"/>
            <w:vAlign w:val="bottom"/>
          </w:tcPr>
          <w:p w14:paraId="09160210" w14:textId="67FBA87A" w:rsidR="00200D0C" w:rsidRPr="00FF1B5A" w:rsidRDefault="00200D0C" w:rsidP="00200D0C">
            <w:pPr>
              <w:ind w:firstLine="0"/>
              <w:jc w:val="center"/>
              <w:rPr>
                <w:rFonts w:eastAsia="Times New Roman" w:cs="Times New Roman"/>
                <w:snapToGrid w:val="0"/>
                <w:sz w:val="20"/>
                <w:szCs w:val="20"/>
              </w:rPr>
            </w:pPr>
            <w:r w:rsidRPr="00FF1B5A">
              <w:rPr>
                <w:sz w:val="20"/>
                <w:szCs w:val="20"/>
              </w:rPr>
              <w:t>-1,4</w:t>
            </w:r>
          </w:p>
        </w:tc>
        <w:tc>
          <w:tcPr>
            <w:tcW w:w="877" w:type="dxa"/>
            <w:shd w:val="clear" w:color="auto" w:fill="auto"/>
            <w:vAlign w:val="bottom"/>
          </w:tcPr>
          <w:p w14:paraId="2C59CECB" w14:textId="61097F25" w:rsidR="00200D0C" w:rsidRPr="00FF1B5A" w:rsidRDefault="00200D0C" w:rsidP="00200D0C">
            <w:pPr>
              <w:ind w:firstLine="0"/>
              <w:jc w:val="center"/>
              <w:rPr>
                <w:rFonts w:eastAsia="Times New Roman" w:cs="Times New Roman"/>
                <w:snapToGrid w:val="0"/>
                <w:sz w:val="20"/>
                <w:szCs w:val="20"/>
              </w:rPr>
            </w:pPr>
            <w:r w:rsidRPr="00FF1B5A">
              <w:rPr>
                <w:sz w:val="20"/>
                <w:szCs w:val="20"/>
              </w:rPr>
              <w:t>-0,9</w:t>
            </w:r>
          </w:p>
        </w:tc>
        <w:tc>
          <w:tcPr>
            <w:tcW w:w="876" w:type="dxa"/>
            <w:shd w:val="clear" w:color="auto" w:fill="auto"/>
            <w:vAlign w:val="bottom"/>
          </w:tcPr>
          <w:p w14:paraId="0C5F1751" w14:textId="21AB306E" w:rsidR="00200D0C" w:rsidRPr="00FF1B5A" w:rsidRDefault="00200D0C" w:rsidP="00200D0C">
            <w:pPr>
              <w:ind w:firstLine="0"/>
              <w:jc w:val="center"/>
              <w:rPr>
                <w:rFonts w:eastAsia="Times New Roman" w:cs="Times New Roman"/>
                <w:snapToGrid w:val="0"/>
                <w:sz w:val="20"/>
                <w:szCs w:val="20"/>
              </w:rPr>
            </w:pPr>
            <w:r w:rsidRPr="00FF1B5A">
              <w:rPr>
                <w:sz w:val="20"/>
                <w:szCs w:val="20"/>
              </w:rPr>
              <w:t>-0,9</w:t>
            </w:r>
          </w:p>
        </w:tc>
        <w:tc>
          <w:tcPr>
            <w:tcW w:w="879" w:type="dxa"/>
            <w:shd w:val="clear" w:color="auto" w:fill="auto"/>
            <w:vAlign w:val="bottom"/>
          </w:tcPr>
          <w:p w14:paraId="370E4289" w14:textId="7092236B" w:rsidR="00200D0C" w:rsidRPr="00FF1B5A" w:rsidRDefault="00200D0C" w:rsidP="00200D0C">
            <w:pPr>
              <w:ind w:firstLine="0"/>
              <w:jc w:val="center"/>
              <w:rPr>
                <w:rFonts w:eastAsia="Times New Roman" w:cs="Times New Roman"/>
                <w:snapToGrid w:val="0"/>
                <w:sz w:val="20"/>
                <w:szCs w:val="20"/>
              </w:rPr>
            </w:pPr>
            <w:r w:rsidRPr="00FF1B5A">
              <w:rPr>
                <w:sz w:val="20"/>
                <w:szCs w:val="20"/>
              </w:rPr>
              <w:t>-0,6</w:t>
            </w:r>
          </w:p>
        </w:tc>
        <w:tc>
          <w:tcPr>
            <w:tcW w:w="879" w:type="dxa"/>
            <w:vAlign w:val="bottom"/>
          </w:tcPr>
          <w:p w14:paraId="3BB0D1CE" w14:textId="3165BAD4" w:rsidR="00200D0C" w:rsidRPr="00FF1B5A" w:rsidRDefault="00200D0C" w:rsidP="00200D0C">
            <w:pPr>
              <w:ind w:firstLine="0"/>
              <w:jc w:val="center"/>
              <w:rPr>
                <w:sz w:val="20"/>
                <w:szCs w:val="20"/>
              </w:rPr>
            </w:pPr>
            <w:r w:rsidRPr="00FF1B5A">
              <w:rPr>
                <w:sz w:val="20"/>
                <w:szCs w:val="20"/>
              </w:rPr>
              <w:t>-0,4</w:t>
            </w:r>
          </w:p>
        </w:tc>
      </w:tr>
      <w:tr w:rsidR="00200D0C" w:rsidRPr="00FF1B5A" w14:paraId="17762C03" w14:textId="096D939F" w:rsidTr="000404C1">
        <w:trPr>
          <w:trHeight w:val="189"/>
        </w:trPr>
        <w:tc>
          <w:tcPr>
            <w:tcW w:w="2836" w:type="dxa"/>
            <w:shd w:val="clear" w:color="auto" w:fill="auto"/>
          </w:tcPr>
          <w:p w14:paraId="6A3A19F8" w14:textId="77777777" w:rsidR="00200D0C" w:rsidRPr="00FF1B5A" w:rsidRDefault="00200D0C" w:rsidP="00200D0C">
            <w:pPr>
              <w:ind w:firstLine="0"/>
              <w:rPr>
                <w:rFonts w:eastAsia="Times New Roman" w:cs="Times New Roman"/>
                <w:snapToGrid w:val="0"/>
                <w:sz w:val="18"/>
                <w:szCs w:val="18"/>
              </w:rPr>
            </w:pPr>
            <w:r w:rsidRPr="00FF1B5A">
              <w:rPr>
                <w:rFonts w:eastAsia="Times New Roman" w:cs="Times New Roman"/>
                <w:snapToGrid w:val="0"/>
                <w:sz w:val="18"/>
                <w:szCs w:val="18"/>
              </w:rPr>
              <w:t>Strukturālā bilance</w:t>
            </w:r>
          </w:p>
        </w:tc>
        <w:tc>
          <w:tcPr>
            <w:tcW w:w="987" w:type="dxa"/>
            <w:shd w:val="clear" w:color="auto" w:fill="auto"/>
          </w:tcPr>
          <w:p w14:paraId="52033A20" w14:textId="77777777" w:rsidR="00200D0C" w:rsidRPr="00FF1B5A" w:rsidRDefault="00200D0C" w:rsidP="00200D0C">
            <w:pPr>
              <w:ind w:firstLine="0"/>
              <w:rPr>
                <w:rFonts w:eastAsia="Times New Roman" w:cs="Times New Roman"/>
                <w:sz w:val="18"/>
                <w:szCs w:val="18"/>
              </w:rPr>
            </w:pPr>
          </w:p>
        </w:tc>
        <w:tc>
          <w:tcPr>
            <w:tcW w:w="877" w:type="dxa"/>
            <w:shd w:val="clear" w:color="auto" w:fill="auto"/>
            <w:vAlign w:val="bottom"/>
          </w:tcPr>
          <w:p w14:paraId="60D9C134" w14:textId="43754E51" w:rsidR="00200D0C" w:rsidRPr="00FF1B5A" w:rsidRDefault="00200D0C" w:rsidP="00200D0C">
            <w:pPr>
              <w:ind w:firstLine="0"/>
              <w:jc w:val="center"/>
              <w:rPr>
                <w:rFonts w:eastAsia="Times New Roman" w:cs="Times New Roman"/>
                <w:snapToGrid w:val="0"/>
                <w:sz w:val="20"/>
                <w:szCs w:val="20"/>
              </w:rPr>
            </w:pPr>
            <w:r w:rsidRPr="00FF1B5A">
              <w:rPr>
                <w:sz w:val="20"/>
                <w:szCs w:val="20"/>
              </w:rPr>
              <w:t>-0,1</w:t>
            </w:r>
          </w:p>
        </w:tc>
        <w:tc>
          <w:tcPr>
            <w:tcW w:w="876" w:type="dxa"/>
            <w:shd w:val="clear" w:color="auto" w:fill="auto"/>
            <w:vAlign w:val="bottom"/>
          </w:tcPr>
          <w:p w14:paraId="1CD5D118" w14:textId="6BDF2F95" w:rsidR="00200D0C" w:rsidRPr="00FF1B5A" w:rsidRDefault="00200D0C" w:rsidP="00200D0C">
            <w:pPr>
              <w:ind w:firstLine="0"/>
              <w:jc w:val="center"/>
              <w:rPr>
                <w:rFonts w:eastAsia="Times New Roman" w:cs="Times New Roman"/>
                <w:snapToGrid w:val="0"/>
                <w:sz w:val="20"/>
                <w:szCs w:val="20"/>
              </w:rPr>
            </w:pPr>
            <w:r w:rsidRPr="00FF1B5A">
              <w:rPr>
                <w:sz w:val="20"/>
                <w:szCs w:val="20"/>
              </w:rPr>
              <w:t>-0,8</w:t>
            </w:r>
          </w:p>
        </w:tc>
        <w:tc>
          <w:tcPr>
            <w:tcW w:w="877" w:type="dxa"/>
            <w:shd w:val="clear" w:color="auto" w:fill="auto"/>
            <w:vAlign w:val="bottom"/>
          </w:tcPr>
          <w:p w14:paraId="51C33A18" w14:textId="396AF245" w:rsidR="00200D0C" w:rsidRPr="00FF1B5A" w:rsidRDefault="00200D0C" w:rsidP="00200D0C">
            <w:pPr>
              <w:ind w:firstLine="0"/>
              <w:jc w:val="center"/>
              <w:rPr>
                <w:rFonts w:eastAsia="Times New Roman" w:cs="Times New Roman"/>
                <w:snapToGrid w:val="0"/>
                <w:sz w:val="20"/>
                <w:szCs w:val="20"/>
              </w:rPr>
            </w:pPr>
            <w:r w:rsidRPr="00FF1B5A">
              <w:rPr>
                <w:sz w:val="20"/>
                <w:szCs w:val="20"/>
              </w:rPr>
              <w:t>-0,5</w:t>
            </w:r>
          </w:p>
        </w:tc>
        <w:tc>
          <w:tcPr>
            <w:tcW w:w="876" w:type="dxa"/>
            <w:shd w:val="clear" w:color="auto" w:fill="auto"/>
            <w:vAlign w:val="bottom"/>
          </w:tcPr>
          <w:p w14:paraId="49988349" w14:textId="7CA5B935" w:rsidR="00200D0C" w:rsidRPr="00FF1B5A" w:rsidRDefault="00200D0C" w:rsidP="00200D0C">
            <w:pPr>
              <w:ind w:firstLine="0"/>
              <w:jc w:val="center"/>
              <w:rPr>
                <w:rFonts w:eastAsia="Times New Roman" w:cs="Times New Roman"/>
                <w:snapToGrid w:val="0"/>
                <w:sz w:val="20"/>
                <w:szCs w:val="20"/>
              </w:rPr>
            </w:pPr>
            <w:r w:rsidRPr="00FF1B5A">
              <w:rPr>
                <w:sz w:val="20"/>
                <w:szCs w:val="20"/>
              </w:rPr>
              <w:t>-0,5</w:t>
            </w:r>
          </w:p>
        </w:tc>
        <w:tc>
          <w:tcPr>
            <w:tcW w:w="879" w:type="dxa"/>
            <w:shd w:val="clear" w:color="auto" w:fill="auto"/>
            <w:vAlign w:val="bottom"/>
          </w:tcPr>
          <w:p w14:paraId="7AF155D1" w14:textId="4AB7B952" w:rsidR="00200D0C" w:rsidRPr="00FF1B5A" w:rsidRDefault="00200D0C" w:rsidP="00200D0C">
            <w:pPr>
              <w:ind w:firstLine="0"/>
              <w:jc w:val="center"/>
              <w:rPr>
                <w:rFonts w:eastAsia="Times New Roman" w:cs="Times New Roman"/>
                <w:snapToGrid w:val="0"/>
                <w:sz w:val="20"/>
                <w:szCs w:val="20"/>
              </w:rPr>
            </w:pPr>
            <w:r w:rsidRPr="00FF1B5A">
              <w:rPr>
                <w:sz w:val="20"/>
                <w:szCs w:val="20"/>
              </w:rPr>
              <w:t>-0,5</w:t>
            </w:r>
          </w:p>
        </w:tc>
        <w:tc>
          <w:tcPr>
            <w:tcW w:w="879" w:type="dxa"/>
            <w:vAlign w:val="bottom"/>
          </w:tcPr>
          <w:p w14:paraId="4BC4EEB0" w14:textId="054D661E" w:rsidR="00200D0C" w:rsidRPr="00FF1B5A" w:rsidRDefault="00200D0C" w:rsidP="00200D0C">
            <w:pPr>
              <w:ind w:firstLine="0"/>
              <w:jc w:val="center"/>
              <w:rPr>
                <w:sz w:val="20"/>
                <w:szCs w:val="20"/>
              </w:rPr>
            </w:pPr>
            <w:r w:rsidRPr="00FF1B5A">
              <w:rPr>
                <w:sz w:val="20"/>
                <w:szCs w:val="20"/>
              </w:rPr>
              <w:t>-0,5</w:t>
            </w:r>
          </w:p>
        </w:tc>
      </w:tr>
    </w:tbl>
    <w:p w14:paraId="082DEA6B" w14:textId="77777777" w:rsidR="00C13AFE" w:rsidRPr="00FF1B5A" w:rsidRDefault="00C13AFE" w:rsidP="00C13AFE">
      <w:pPr>
        <w:keepNext/>
        <w:rPr>
          <w:rFonts w:eastAsia="Times New Roman" w:cs="Times New Roman"/>
          <w:sz w:val="24"/>
          <w:szCs w:val="24"/>
        </w:rPr>
      </w:pPr>
    </w:p>
    <w:p w14:paraId="2B8336F3" w14:textId="13B15134" w:rsidR="00C13AFE" w:rsidRPr="00CF68A1" w:rsidRDefault="00C13AFE" w:rsidP="00C13AFE">
      <w:pPr>
        <w:keepNext/>
        <w:rPr>
          <w:rFonts w:eastAsia="Times New Roman" w:cs="Times New Roman"/>
          <w:color w:val="000000"/>
          <w:sz w:val="18"/>
        </w:rPr>
      </w:pPr>
      <w:r w:rsidRPr="00FF1B5A">
        <w:rPr>
          <w:rFonts w:eastAsia="Times New Roman" w:cs="Times New Roman"/>
          <w:sz w:val="24"/>
          <w:szCs w:val="24"/>
        </w:rPr>
        <w:t>Fiskālās attīstības scenārijā tiek pieņemts, ka 202</w:t>
      </w:r>
      <w:r w:rsidR="00200D0C" w:rsidRPr="00FF1B5A">
        <w:rPr>
          <w:rFonts w:eastAsia="Times New Roman" w:cs="Times New Roman"/>
          <w:sz w:val="24"/>
          <w:szCs w:val="24"/>
        </w:rPr>
        <w:t>5</w:t>
      </w:r>
      <w:r w:rsidRPr="00FF1B5A">
        <w:rPr>
          <w:rFonts w:eastAsia="Times New Roman" w:cs="Times New Roman"/>
          <w:sz w:val="24"/>
          <w:szCs w:val="24"/>
        </w:rPr>
        <w:t>., 202</w:t>
      </w:r>
      <w:r w:rsidR="00200D0C" w:rsidRPr="00FF1B5A">
        <w:rPr>
          <w:rFonts w:eastAsia="Times New Roman" w:cs="Times New Roman"/>
          <w:sz w:val="24"/>
          <w:szCs w:val="24"/>
        </w:rPr>
        <w:t>6</w:t>
      </w:r>
      <w:r w:rsidRPr="00FF1B5A">
        <w:rPr>
          <w:rFonts w:eastAsia="Times New Roman" w:cs="Times New Roman"/>
          <w:sz w:val="24"/>
          <w:szCs w:val="24"/>
        </w:rPr>
        <w:t>.</w:t>
      </w:r>
      <w:r w:rsidR="00200D0C" w:rsidRPr="00FF1B5A">
        <w:rPr>
          <w:rFonts w:eastAsia="Times New Roman" w:cs="Times New Roman"/>
          <w:sz w:val="24"/>
          <w:szCs w:val="24"/>
        </w:rPr>
        <w:t>, 2027.</w:t>
      </w:r>
      <w:r w:rsidRPr="00FF1B5A">
        <w:rPr>
          <w:rFonts w:eastAsia="Times New Roman" w:cs="Times New Roman"/>
          <w:sz w:val="24"/>
          <w:szCs w:val="24"/>
        </w:rPr>
        <w:t xml:space="preserve"> un 202</w:t>
      </w:r>
      <w:r w:rsidR="00200D0C" w:rsidRPr="00FF1B5A">
        <w:rPr>
          <w:rFonts w:eastAsia="Times New Roman" w:cs="Times New Roman"/>
          <w:sz w:val="24"/>
          <w:szCs w:val="24"/>
        </w:rPr>
        <w:t>8</w:t>
      </w:r>
      <w:r w:rsidRPr="00FF1B5A">
        <w:rPr>
          <w:rFonts w:eastAsia="Times New Roman" w:cs="Times New Roman"/>
          <w:sz w:val="24"/>
          <w:szCs w:val="24"/>
        </w:rPr>
        <w:t xml:space="preserve">. gada fiskālā telpa tiek </w:t>
      </w:r>
      <w:r w:rsidR="00465CAE" w:rsidRPr="00FF1B5A">
        <w:rPr>
          <w:rFonts w:eastAsia="Times New Roman" w:cs="Times New Roman"/>
          <w:sz w:val="24"/>
          <w:szCs w:val="24"/>
        </w:rPr>
        <w:t>attiecināta uz</w:t>
      </w:r>
      <w:r w:rsidRPr="00FF1B5A">
        <w:rPr>
          <w:rFonts w:eastAsia="Times New Roman" w:cs="Times New Roman"/>
          <w:sz w:val="24"/>
          <w:szCs w:val="24"/>
        </w:rPr>
        <w:t xml:space="preserve"> centrālo valdību. Tiek pieņemts, ka fiskālā nodrošinājuma rezerve tiek izlietota – t.i., iestājas fiskālie riski 0,1% no IKP apmērā. Tā kā lēmumi par budžeta attīstības sadaļu tiek pieņemti budžeta veidošanas procesā un pašlaik tie nav zināmi, </w:t>
      </w:r>
      <w:r w:rsidR="00200D0C" w:rsidRPr="00FF1B5A">
        <w:rPr>
          <w:rFonts w:eastAsia="Times New Roman" w:cs="Times New Roman"/>
          <w:sz w:val="24"/>
          <w:szCs w:val="24"/>
        </w:rPr>
        <w:t xml:space="preserve">izmaiņas izdevumos </w:t>
      </w:r>
      <w:r w:rsidRPr="00FF1B5A">
        <w:rPr>
          <w:rFonts w:eastAsia="Times New Roman" w:cs="Times New Roman"/>
          <w:sz w:val="24"/>
          <w:szCs w:val="24"/>
        </w:rPr>
        <w:t>tiek veikt</w:t>
      </w:r>
      <w:r w:rsidR="00200D0C" w:rsidRPr="00FF1B5A">
        <w:rPr>
          <w:rFonts w:eastAsia="Times New Roman" w:cs="Times New Roman"/>
          <w:sz w:val="24"/>
          <w:szCs w:val="24"/>
        </w:rPr>
        <w:t>a</w:t>
      </w:r>
      <w:r w:rsidRPr="00FF1B5A">
        <w:rPr>
          <w:rFonts w:eastAsia="Times New Roman" w:cs="Times New Roman"/>
          <w:sz w:val="24"/>
          <w:szCs w:val="24"/>
        </w:rPr>
        <w:t>s proporcionāli izdevumu kategorijām</w:t>
      </w:r>
      <w:r w:rsidRPr="00CF68A1">
        <w:rPr>
          <w:rFonts w:eastAsia="Times New Roman" w:cs="Times New Roman"/>
          <w:sz w:val="24"/>
          <w:szCs w:val="24"/>
        </w:rPr>
        <w:t xml:space="preserve"> attiecīgajos gados, par pamatu pieņemot atsevišķu izdevumu kategoriju proporciju pret kopējiem izdevumiem pie nemainīgas politikas scenārija. Aprēķinot atsevišķu izdevumu kategoriju proporciju pret kopējiem izdevumiem pie nemainīgas politikas scenārija, no aprēķina tiek izslēgti procentu izdevumi. Šāda pieeja tiek izmantota, jo tiek pieņemts, ka budžeta attīstības daļas lēmumi šo izdevumu kategoriju neskar.</w:t>
      </w:r>
      <w:r w:rsidR="00200D0C" w:rsidRPr="00CF68A1">
        <w:rPr>
          <w:rFonts w:eastAsia="Times New Roman" w:cs="Times New Roman"/>
          <w:sz w:val="24"/>
          <w:szCs w:val="24"/>
        </w:rPr>
        <w:t xml:space="preserve"> </w:t>
      </w:r>
    </w:p>
    <w:bookmarkEnd w:id="51"/>
    <w:p w14:paraId="79519D26" w14:textId="77777777" w:rsidR="00C13AFE" w:rsidRPr="00CF68A1" w:rsidRDefault="00C13AFE" w:rsidP="00C13AFE">
      <w:pPr>
        <w:rPr>
          <w:rFonts w:eastAsia="Times New Roman" w:cs="Times New Roman"/>
          <w:color w:val="000000"/>
          <w:sz w:val="24"/>
          <w:szCs w:val="24"/>
        </w:rPr>
      </w:pPr>
    </w:p>
    <w:p w14:paraId="792EE7CE" w14:textId="55604043" w:rsidR="00BF4753" w:rsidRPr="000F2728" w:rsidRDefault="00BF4753" w:rsidP="004F034A">
      <w:pPr>
        <w:pStyle w:val="Heading2"/>
        <w:numPr>
          <w:ilvl w:val="1"/>
          <w:numId w:val="18"/>
        </w:numPr>
        <w:spacing w:before="0" w:after="240"/>
        <w:ind w:left="1797"/>
        <w:jc w:val="both"/>
        <w:rPr>
          <w:rFonts w:eastAsia="Calibri"/>
          <w:sz w:val="28"/>
          <w:szCs w:val="24"/>
        </w:rPr>
      </w:pPr>
      <w:bookmarkStart w:id="52" w:name="_Toc164679829"/>
      <w:r w:rsidRPr="000F2728">
        <w:rPr>
          <w:rFonts w:eastAsia="Calibri"/>
          <w:sz w:val="28"/>
          <w:szCs w:val="24"/>
        </w:rPr>
        <w:t>Valdības parāda vidējā termiņa attīstības tendences</w:t>
      </w:r>
      <w:bookmarkEnd w:id="52"/>
    </w:p>
    <w:bookmarkEnd w:id="43"/>
    <w:p w14:paraId="283A5E20" w14:textId="77777777" w:rsidR="000F2728" w:rsidRPr="00D313B0" w:rsidRDefault="000F2728" w:rsidP="000F2728">
      <w:pPr>
        <w:rPr>
          <w:sz w:val="24"/>
          <w:szCs w:val="26"/>
        </w:rPr>
      </w:pPr>
      <w:r w:rsidRPr="00D313B0">
        <w:rPr>
          <w:sz w:val="24"/>
          <w:szCs w:val="26"/>
        </w:rPr>
        <w:t>Valsts parāda vadības pamatprincipus un uzdevumus vidējam termiņam nosaka Valsts parāda un naudas līdzekļu vadības stratēģija, kuru apstiprina finanšu ministrs. Saskaņā ar  stratēģiju valsts parāda un naudas līdzekļu vadības mērķis ir savlaicīgi nodrošināt finanšu resursu pieejamību finansēšanas nepieciešamības segšanai ar iespējami zemākām valsts parāda apkalpošanas izmaksām, ierobežojot finanšu riskus un vienlaikus sekmējot iekšējā finanšu tirgus attīstību. Valsts parāda un budžeta saistību izpildē tiek izmantota stratēģiska pieeja valsts aizņemšanās un parāda vadības procesa nodrošināšanā, saglabājot pēc iespējas lielāku elastību finanšu tirgos veicamo aizņēmumu nosacījumu (aizņemšanās laiks, instruments, apjoms, termiņš) izvēlē. Tas ļauj ierobežot finanšu riskus vidējā termiņā, kā arī nodrošināt resursus kopējās finansēšanas nepieciešamības segšanai ar labvēlīgiem nosacījumiem.</w:t>
      </w:r>
    </w:p>
    <w:p w14:paraId="6239C073" w14:textId="794FA599" w:rsidR="000F2728" w:rsidRPr="00D313B0" w:rsidRDefault="000F2728" w:rsidP="000F2728">
      <w:pPr>
        <w:rPr>
          <w:sz w:val="24"/>
          <w:szCs w:val="24"/>
        </w:rPr>
      </w:pPr>
      <w:r w:rsidRPr="00D313B0">
        <w:rPr>
          <w:sz w:val="24"/>
          <w:szCs w:val="24"/>
        </w:rPr>
        <w:t>2022. gadā Krievijas iebrukums Ukrainā izraisīja ģeopolitisko spriedzi reģionā,  energoresursu cenu globālo pieaugumu un inflācijas strauju paaugstināšanos, kas negatīvi ietekmēja situāciju ekonomikā un valsts budžeta izdevumus 2022. gadā. Arī 2023.</w:t>
      </w:r>
      <w:r w:rsidR="00D313B0" w:rsidRPr="00D313B0">
        <w:rPr>
          <w:sz w:val="24"/>
          <w:szCs w:val="24"/>
        </w:rPr>
        <w:t xml:space="preserve"> </w:t>
      </w:r>
      <w:r w:rsidRPr="00D313B0">
        <w:rPr>
          <w:sz w:val="24"/>
          <w:szCs w:val="24"/>
        </w:rPr>
        <w:t>gadā turpināja kāpt kopbudžeta izdevumi, pieaugot par 7,9% salīdzinājumā ar 2022.</w:t>
      </w:r>
      <w:r w:rsidR="00D313B0" w:rsidRPr="00D313B0">
        <w:rPr>
          <w:sz w:val="24"/>
          <w:szCs w:val="24"/>
        </w:rPr>
        <w:t xml:space="preserve"> </w:t>
      </w:r>
      <w:r w:rsidRPr="00D313B0">
        <w:rPr>
          <w:sz w:val="24"/>
          <w:szCs w:val="24"/>
        </w:rPr>
        <w:t>gadu. Pieaugums tika novērots izdevumiem satiksmes un aizsardzības nozarēs. ES fondu finansējuma izlietojums 2023. gadā atspoguļojas valsts pamatbudžeta subsīdiju un dotāciju, kā arī kapitālo izdevumu kāpumā. Rezultātā 2023.</w:t>
      </w:r>
      <w:r w:rsidR="00D313B0" w:rsidRPr="00D313B0">
        <w:rPr>
          <w:sz w:val="24"/>
          <w:szCs w:val="24"/>
        </w:rPr>
        <w:t xml:space="preserve"> </w:t>
      </w:r>
      <w:r w:rsidRPr="00D313B0">
        <w:rPr>
          <w:sz w:val="24"/>
          <w:szCs w:val="24"/>
        </w:rPr>
        <w:t xml:space="preserve">gadā konsolidētā kopbudžeta deficīts sasniedza 1,4 mljrd. </w:t>
      </w:r>
      <w:proofErr w:type="spellStart"/>
      <w:r w:rsidRPr="00D313B0">
        <w:rPr>
          <w:i/>
          <w:sz w:val="24"/>
          <w:szCs w:val="24"/>
        </w:rPr>
        <w:t>euro</w:t>
      </w:r>
      <w:proofErr w:type="spellEnd"/>
      <w:r w:rsidRPr="00D313B0">
        <w:rPr>
          <w:sz w:val="24"/>
          <w:szCs w:val="24"/>
        </w:rPr>
        <w:t xml:space="preserve"> jeb 3,5% no IKP.</w:t>
      </w:r>
    </w:p>
    <w:p w14:paraId="5C98D8E9" w14:textId="29280EAC" w:rsidR="000F2728" w:rsidRPr="00D313B0" w:rsidRDefault="000F2728" w:rsidP="000F2728">
      <w:pPr>
        <w:rPr>
          <w:sz w:val="24"/>
          <w:szCs w:val="24"/>
        </w:rPr>
      </w:pPr>
      <w:r w:rsidRPr="00D313B0">
        <w:rPr>
          <w:sz w:val="24"/>
          <w:szCs w:val="24"/>
        </w:rPr>
        <w:t xml:space="preserve">2023. gadā kopējās finansēšanas nepieciešamības segšanai, t.sk. valsts budžeta deficīta finansēšanai, veikti aizņemšanās darījumi finanšu tirgos 3 649,9 milj. </w:t>
      </w:r>
      <w:proofErr w:type="spellStart"/>
      <w:r w:rsidRPr="00D313B0">
        <w:rPr>
          <w:i/>
          <w:sz w:val="24"/>
          <w:szCs w:val="24"/>
        </w:rPr>
        <w:t>euro</w:t>
      </w:r>
      <w:proofErr w:type="spellEnd"/>
      <w:r w:rsidRPr="00D313B0">
        <w:rPr>
          <w:sz w:val="24"/>
          <w:szCs w:val="24"/>
        </w:rPr>
        <w:t xml:space="preserve"> apmērā. Starptautiskajos finanšu tirgos piesaistīti resursi 2 100 milj. </w:t>
      </w:r>
      <w:proofErr w:type="spellStart"/>
      <w:r w:rsidRPr="00D313B0">
        <w:rPr>
          <w:i/>
          <w:sz w:val="24"/>
          <w:szCs w:val="24"/>
        </w:rPr>
        <w:t>euro</w:t>
      </w:r>
      <w:proofErr w:type="spellEnd"/>
      <w:r w:rsidRPr="00D313B0">
        <w:rPr>
          <w:sz w:val="24"/>
          <w:szCs w:val="24"/>
        </w:rPr>
        <w:t xml:space="preserve"> apmērā, veicot trīs eiroobligāciju emisijas - janvārī 750 milj. </w:t>
      </w:r>
      <w:proofErr w:type="spellStart"/>
      <w:r w:rsidRPr="00D313B0">
        <w:rPr>
          <w:i/>
          <w:sz w:val="24"/>
          <w:szCs w:val="24"/>
        </w:rPr>
        <w:t>euro</w:t>
      </w:r>
      <w:proofErr w:type="spellEnd"/>
      <w:r w:rsidRPr="00D313B0">
        <w:rPr>
          <w:sz w:val="24"/>
          <w:szCs w:val="24"/>
        </w:rPr>
        <w:t xml:space="preserve"> ar termiņu 5 gadi un kupona likmi 3,5%, jūlijā 750 milj. </w:t>
      </w:r>
      <w:proofErr w:type="spellStart"/>
      <w:r w:rsidRPr="00D313B0">
        <w:rPr>
          <w:i/>
          <w:sz w:val="24"/>
          <w:szCs w:val="24"/>
        </w:rPr>
        <w:t>euro</w:t>
      </w:r>
      <w:proofErr w:type="spellEnd"/>
      <w:r w:rsidRPr="00D313B0">
        <w:rPr>
          <w:sz w:val="24"/>
          <w:szCs w:val="24"/>
        </w:rPr>
        <w:t xml:space="preserve"> ar termiņu 10 gadi un kupona likmi 3,875% un novembrī 600 milj. </w:t>
      </w:r>
      <w:proofErr w:type="spellStart"/>
      <w:r w:rsidRPr="00D313B0">
        <w:rPr>
          <w:i/>
          <w:sz w:val="24"/>
          <w:szCs w:val="24"/>
        </w:rPr>
        <w:t>euro</w:t>
      </w:r>
      <w:proofErr w:type="spellEnd"/>
      <w:r w:rsidRPr="00D313B0">
        <w:rPr>
          <w:sz w:val="24"/>
          <w:szCs w:val="24"/>
        </w:rPr>
        <w:t xml:space="preserve"> ar termiņu 5,5 gadi un kupona likmi 3,875%. Savukārt, iekšējā finanšu tirgū dažāda termiņa eiroobligāciju papildu laidienu izsolēs piesaistīti 1 095,0 milj. </w:t>
      </w:r>
      <w:proofErr w:type="spellStart"/>
      <w:r w:rsidRPr="00D313B0">
        <w:rPr>
          <w:i/>
          <w:sz w:val="24"/>
          <w:szCs w:val="24"/>
        </w:rPr>
        <w:t>euro</w:t>
      </w:r>
      <w:proofErr w:type="spellEnd"/>
      <w:r w:rsidRPr="00D313B0">
        <w:rPr>
          <w:sz w:val="24"/>
          <w:szCs w:val="24"/>
        </w:rPr>
        <w:t xml:space="preserve">, kā arī veikta resursu piesaiste no iedzīvotājiem (privātpersonām), emitējot </w:t>
      </w:r>
      <w:proofErr w:type="spellStart"/>
      <w:r w:rsidRPr="00D313B0">
        <w:rPr>
          <w:sz w:val="24"/>
          <w:szCs w:val="24"/>
        </w:rPr>
        <w:t>krājobligācijas</w:t>
      </w:r>
      <w:proofErr w:type="spellEnd"/>
      <w:r w:rsidRPr="00D313B0">
        <w:rPr>
          <w:sz w:val="24"/>
          <w:szCs w:val="24"/>
        </w:rPr>
        <w:t xml:space="preserve"> 254,9 milj. </w:t>
      </w:r>
      <w:proofErr w:type="spellStart"/>
      <w:r w:rsidRPr="00D313B0">
        <w:rPr>
          <w:i/>
          <w:sz w:val="24"/>
          <w:szCs w:val="24"/>
        </w:rPr>
        <w:t>euro</w:t>
      </w:r>
      <w:proofErr w:type="spellEnd"/>
      <w:r w:rsidRPr="00D313B0">
        <w:rPr>
          <w:sz w:val="24"/>
          <w:szCs w:val="24"/>
        </w:rPr>
        <w:t xml:space="preserve"> apmērā. Papildus finanšu tirgos veiktajiem aizņēmumiem ar finansiāli izdevīgiem nosacījumiem saņemts 15 gadu aizdevums no Eiropas Investīciju bankas 200 milj. </w:t>
      </w:r>
      <w:proofErr w:type="spellStart"/>
      <w:r w:rsidRPr="00D313B0">
        <w:rPr>
          <w:i/>
          <w:sz w:val="24"/>
          <w:szCs w:val="24"/>
        </w:rPr>
        <w:t>euro</w:t>
      </w:r>
      <w:proofErr w:type="spellEnd"/>
      <w:r w:rsidRPr="00D313B0">
        <w:rPr>
          <w:sz w:val="24"/>
          <w:szCs w:val="24"/>
        </w:rPr>
        <w:t xml:space="preserve"> apmērā ES fondu 2014.</w:t>
      </w:r>
      <w:r w:rsidR="00D313B0" w:rsidRPr="00D313B0">
        <w:rPr>
          <w:sz w:val="24"/>
          <w:szCs w:val="24"/>
        </w:rPr>
        <w:t>–</w:t>
      </w:r>
      <w:r w:rsidRPr="00D313B0">
        <w:rPr>
          <w:sz w:val="24"/>
          <w:szCs w:val="24"/>
        </w:rPr>
        <w:t>2020.</w:t>
      </w:r>
      <w:r w:rsidR="00D313B0" w:rsidRPr="00D313B0">
        <w:rPr>
          <w:sz w:val="24"/>
          <w:szCs w:val="24"/>
        </w:rPr>
        <w:t xml:space="preserve"> </w:t>
      </w:r>
      <w:r w:rsidRPr="00D313B0">
        <w:rPr>
          <w:sz w:val="24"/>
          <w:szCs w:val="24"/>
        </w:rPr>
        <w:t xml:space="preserve">gada plānošanas perioda projektu līdzfinansēšanai. </w:t>
      </w:r>
    </w:p>
    <w:p w14:paraId="6EC65A61" w14:textId="77777777" w:rsidR="000F2728" w:rsidRPr="00D313B0" w:rsidRDefault="000F2728" w:rsidP="000F2728">
      <w:pPr>
        <w:rPr>
          <w:sz w:val="24"/>
          <w:szCs w:val="24"/>
        </w:rPr>
      </w:pPr>
      <w:r w:rsidRPr="00D313B0">
        <w:rPr>
          <w:sz w:val="24"/>
          <w:szCs w:val="24"/>
        </w:rPr>
        <w:t xml:space="preserve">2023. gadā tika nodrošināta valsts parāda saistību izpilde saskaņā ar noteiktajiem termiņiem, t.sk. aprīlī dzēstas 2020. gadā emitētās eiroobligācijas 1 000,0 milj. </w:t>
      </w:r>
      <w:proofErr w:type="spellStart"/>
      <w:r w:rsidRPr="00D313B0">
        <w:rPr>
          <w:i/>
          <w:sz w:val="24"/>
          <w:szCs w:val="24"/>
        </w:rPr>
        <w:t>euro</w:t>
      </w:r>
      <w:proofErr w:type="spellEnd"/>
      <w:r w:rsidRPr="00D313B0">
        <w:rPr>
          <w:sz w:val="24"/>
          <w:szCs w:val="24"/>
        </w:rPr>
        <w:t xml:space="preserve"> apmērā, maijā dzēstas 5 gadu iekšējā aizņēmuma obligācijas 270,0 milj. </w:t>
      </w:r>
      <w:proofErr w:type="spellStart"/>
      <w:r w:rsidRPr="00D313B0">
        <w:rPr>
          <w:i/>
          <w:sz w:val="24"/>
          <w:szCs w:val="24"/>
        </w:rPr>
        <w:t>euro</w:t>
      </w:r>
      <w:proofErr w:type="spellEnd"/>
      <w:r w:rsidRPr="00D313B0">
        <w:rPr>
          <w:sz w:val="24"/>
          <w:szCs w:val="24"/>
        </w:rPr>
        <w:t xml:space="preserve"> apmērā un novembrī dzēstas 5 gadu iekšējā aizņēmuma obligācijas 250,0 milj. </w:t>
      </w:r>
      <w:proofErr w:type="spellStart"/>
      <w:r w:rsidRPr="00D313B0">
        <w:rPr>
          <w:i/>
          <w:sz w:val="24"/>
          <w:szCs w:val="24"/>
        </w:rPr>
        <w:t>euro</w:t>
      </w:r>
      <w:proofErr w:type="spellEnd"/>
      <w:r w:rsidRPr="00D313B0">
        <w:rPr>
          <w:sz w:val="24"/>
          <w:szCs w:val="24"/>
        </w:rPr>
        <w:t xml:space="preserve"> apmērā, kā arī 2023. gada aprīlī pirms termiņa veikta Covid-19 pandēmijas negatīvo seku mazināšanai piešķirtā aizņēmuma atmaksa Ziemeļu investīciju bankai 500 milj. </w:t>
      </w:r>
      <w:proofErr w:type="spellStart"/>
      <w:r w:rsidRPr="00D313B0">
        <w:rPr>
          <w:i/>
          <w:sz w:val="24"/>
          <w:szCs w:val="24"/>
        </w:rPr>
        <w:t>euro</w:t>
      </w:r>
      <w:proofErr w:type="spellEnd"/>
      <w:r w:rsidRPr="00D313B0">
        <w:rPr>
          <w:sz w:val="24"/>
          <w:szCs w:val="24"/>
        </w:rPr>
        <w:t xml:space="preserve"> apmērā.</w:t>
      </w:r>
    </w:p>
    <w:p w14:paraId="4A861F1E" w14:textId="77777777" w:rsidR="000F2728" w:rsidRPr="00D313B0" w:rsidRDefault="000F2728" w:rsidP="000F2728">
      <w:pPr>
        <w:rPr>
          <w:sz w:val="24"/>
          <w:szCs w:val="24"/>
        </w:rPr>
      </w:pPr>
      <w:r w:rsidRPr="00D313B0">
        <w:rPr>
          <w:sz w:val="24"/>
          <w:szCs w:val="24"/>
        </w:rPr>
        <w:t xml:space="preserve">Rezultātā 2023. gada beigās vispārējās valdības parāds pēc EKS metodoloģijas bija 17,5 mljrd. </w:t>
      </w:r>
      <w:proofErr w:type="spellStart"/>
      <w:r w:rsidRPr="00D313B0">
        <w:rPr>
          <w:i/>
          <w:sz w:val="24"/>
          <w:szCs w:val="24"/>
        </w:rPr>
        <w:t>euro</w:t>
      </w:r>
      <w:proofErr w:type="spellEnd"/>
      <w:r w:rsidRPr="00D313B0">
        <w:rPr>
          <w:sz w:val="24"/>
          <w:szCs w:val="24"/>
        </w:rPr>
        <w:t xml:space="preserve"> jeb 43,4% no IKP.</w:t>
      </w:r>
    </w:p>
    <w:p w14:paraId="1664A0B0" w14:textId="5172A9A5" w:rsidR="000F2728" w:rsidRPr="00D313B0" w:rsidRDefault="000F2728" w:rsidP="000F2728">
      <w:pPr>
        <w:rPr>
          <w:sz w:val="24"/>
          <w:szCs w:val="24"/>
        </w:rPr>
      </w:pPr>
      <w:r w:rsidRPr="00D313B0">
        <w:rPr>
          <w:sz w:val="24"/>
          <w:szCs w:val="24"/>
        </w:rPr>
        <w:t xml:space="preserve">Neskatoties uz Latvijas vispārējā valdības parāda pēc EKS metodoloģijas  pieaugumu pēdējos gados, tā līmenis joprojām ir viens no zemākajiem starp </w:t>
      </w:r>
      <w:r w:rsidR="00D313B0" w:rsidRPr="00D313B0">
        <w:rPr>
          <w:sz w:val="24"/>
          <w:szCs w:val="24"/>
        </w:rPr>
        <w:t>ES</w:t>
      </w:r>
      <w:r w:rsidRPr="00D313B0">
        <w:rPr>
          <w:sz w:val="24"/>
          <w:szCs w:val="24"/>
        </w:rPr>
        <w:t xml:space="preserve"> un </w:t>
      </w:r>
      <w:proofErr w:type="spellStart"/>
      <w:r w:rsidRPr="00D313B0">
        <w:rPr>
          <w:i/>
          <w:iCs/>
          <w:sz w:val="24"/>
          <w:szCs w:val="24"/>
        </w:rPr>
        <w:t>e</w:t>
      </w:r>
      <w:r w:rsidR="00D313B0" w:rsidRPr="00D313B0">
        <w:rPr>
          <w:i/>
          <w:iCs/>
          <w:sz w:val="24"/>
          <w:szCs w:val="24"/>
        </w:rPr>
        <w:t>u</w:t>
      </w:r>
      <w:r w:rsidRPr="00D313B0">
        <w:rPr>
          <w:i/>
          <w:iCs/>
          <w:sz w:val="24"/>
          <w:szCs w:val="24"/>
        </w:rPr>
        <w:t>ro</w:t>
      </w:r>
      <w:proofErr w:type="spellEnd"/>
      <w:r w:rsidR="00D313B0" w:rsidRPr="00D313B0">
        <w:rPr>
          <w:sz w:val="24"/>
          <w:szCs w:val="24"/>
        </w:rPr>
        <w:t xml:space="preserve"> </w:t>
      </w:r>
      <w:r w:rsidRPr="00D313B0">
        <w:rPr>
          <w:sz w:val="24"/>
          <w:szCs w:val="24"/>
        </w:rPr>
        <w:t xml:space="preserve">zonas dalībvalstīm. </w:t>
      </w:r>
    </w:p>
    <w:p w14:paraId="2D752ACC" w14:textId="77777777" w:rsidR="000F2728" w:rsidRPr="00D313B0" w:rsidRDefault="000F2728" w:rsidP="000F2728">
      <w:pPr>
        <w:rPr>
          <w:sz w:val="24"/>
          <w:szCs w:val="24"/>
        </w:rPr>
      </w:pPr>
      <w:r w:rsidRPr="00D313B0">
        <w:rPr>
          <w:sz w:val="24"/>
          <w:szCs w:val="24"/>
        </w:rPr>
        <w:lastRenderedPageBreak/>
        <w:t xml:space="preserve">Aizņemšanās apjomu un valsts parāda līmeni vidējā termiņā ietekmē kopējā finansēšanas nepieciešamība, kuru galvenokārt veido valsts budžeta deficīts, t.sk. dažādi atbalsta pasākumi, valsts parāda atmaksa un valsts aizdevumu izsniegšana (pašvaldībām, pašvaldību kapitālsabiedrībām, valsts kapitālsabiedrībām, ostām un augstskolām). </w:t>
      </w:r>
    </w:p>
    <w:p w14:paraId="02F7AA0E" w14:textId="1AFE3978" w:rsidR="000F2728" w:rsidRDefault="000F2728" w:rsidP="000F2728">
      <w:pPr>
        <w:rPr>
          <w:sz w:val="24"/>
        </w:rPr>
      </w:pPr>
      <w:r w:rsidRPr="00D313B0">
        <w:rPr>
          <w:sz w:val="24"/>
        </w:rPr>
        <w:t xml:space="preserve">Ņemot vērā līdz 2024. gada 31. martam uzņemtās valsts parāda saistības, saskaņā ar valsts parāda atmaksas grafiku 2024. gada aprīlī – 2028. gada decembrī, jāpārfinansē valsts parāda saistības ~8,8 mljrd. </w:t>
      </w:r>
      <w:proofErr w:type="spellStart"/>
      <w:r w:rsidRPr="00A13086">
        <w:rPr>
          <w:i/>
          <w:sz w:val="24"/>
        </w:rPr>
        <w:t>euro</w:t>
      </w:r>
      <w:proofErr w:type="spellEnd"/>
      <w:r w:rsidRPr="00A13086">
        <w:rPr>
          <w:sz w:val="24"/>
        </w:rPr>
        <w:t xml:space="preserve"> apmērā (skat. </w:t>
      </w:r>
      <w:r w:rsidR="00A13086" w:rsidRPr="00A13086">
        <w:rPr>
          <w:sz w:val="24"/>
        </w:rPr>
        <w:t>3.6</w:t>
      </w:r>
      <w:r w:rsidRPr="00A13086">
        <w:rPr>
          <w:sz w:val="24"/>
        </w:rPr>
        <w:t>. attēlu). Lielāko daļu</w:t>
      </w:r>
      <w:r w:rsidRPr="00D313B0">
        <w:rPr>
          <w:sz w:val="24"/>
        </w:rPr>
        <w:t xml:space="preserve"> no minētajā periodā pārfinansējamā parāda apjoma veido starptautiskajos finanšu tirgos emitētās eiroobligācijas, kurām iestāsies dzēšanas termiņš. </w:t>
      </w:r>
    </w:p>
    <w:p w14:paraId="2B158ED7" w14:textId="77777777" w:rsidR="00FF1B5A" w:rsidRPr="00D313B0" w:rsidRDefault="00FF1B5A" w:rsidP="00FF1B5A">
      <w:pPr>
        <w:rPr>
          <w:sz w:val="24"/>
          <w:szCs w:val="24"/>
        </w:rPr>
      </w:pPr>
    </w:p>
    <w:p w14:paraId="72439BAC" w14:textId="77777777" w:rsidR="000F2728" w:rsidRPr="000F2728" w:rsidRDefault="000F2728" w:rsidP="000F2728">
      <w:pPr>
        <w:ind w:firstLine="0"/>
        <w:jc w:val="center"/>
        <w:rPr>
          <w:i/>
          <w:sz w:val="18"/>
          <w:szCs w:val="18"/>
          <w:highlight w:val="yellow"/>
        </w:rPr>
      </w:pPr>
      <w:r w:rsidRPr="00D763CF">
        <w:rPr>
          <w:i/>
          <w:noProof/>
          <w:sz w:val="18"/>
          <w:szCs w:val="18"/>
          <w:lang w:eastAsia="lv-LV"/>
        </w:rPr>
        <w:drawing>
          <wp:inline distT="0" distB="0" distL="0" distR="0" wp14:anchorId="734ED1EE" wp14:editId="31D8926B">
            <wp:extent cx="4883150" cy="2770678"/>
            <wp:effectExtent l="0" t="0" r="0" b="0"/>
            <wp:docPr id="650649694" name="Picture 650649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90902" cy="2775076"/>
                    </a:xfrm>
                    <a:prstGeom prst="rect">
                      <a:avLst/>
                    </a:prstGeom>
                    <a:noFill/>
                  </pic:spPr>
                </pic:pic>
              </a:graphicData>
            </a:graphic>
          </wp:inline>
        </w:drawing>
      </w:r>
    </w:p>
    <w:p w14:paraId="26B8055B" w14:textId="1587399D" w:rsidR="000F2728" w:rsidRPr="00D313B0" w:rsidRDefault="00A13086" w:rsidP="000F2728">
      <w:pPr>
        <w:spacing w:before="240"/>
        <w:jc w:val="center"/>
        <w:rPr>
          <w:b/>
          <w:i/>
          <w:sz w:val="24"/>
          <w:szCs w:val="24"/>
        </w:rPr>
      </w:pPr>
      <w:r w:rsidRPr="00A13086">
        <w:rPr>
          <w:b/>
          <w:i/>
          <w:sz w:val="24"/>
          <w:szCs w:val="24"/>
        </w:rPr>
        <w:t>3.6</w:t>
      </w:r>
      <w:r w:rsidR="000F2728" w:rsidRPr="00A13086">
        <w:rPr>
          <w:b/>
          <w:i/>
          <w:sz w:val="24"/>
          <w:szCs w:val="24"/>
        </w:rPr>
        <w:t>. att. Centrālās valdības</w:t>
      </w:r>
      <w:r w:rsidR="000F2728" w:rsidRPr="00D313B0">
        <w:rPr>
          <w:b/>
          <w:i/>
          <w:sz w:val="24"/>
          <w:szCs w:val="24"/>
        </w:rPr>
        <w:t xml:space="preserve"> aizņēmumu atmaksas grafiks </w:t>
      </w:r>
    </w:p>
    <w:p w14:paraId="7CB245CD" w14:textId="62E13CB5" w:rsidR="000F2728" w:rsidRPr="00A13086" w:rsidRDefault="000F2728" w:rsidP="000F2728">
      <w:pPr>
        <w:jc w:val="center"/>
        <w:rPr>
          <w:b/>
          <w:bCs/>
          <w:i/>
          <w:sz w:val="24"/>
          <w:szCs w:val="24"/>
        </w:rPr>
      </w:pPr>
      <w:r w:rsidRPr="00A13086">
        <w:rPr>
          <w:b/>
          <w:bCs/>
          <w:i/>
          <w:sz w:val="24"/>
          <w:szCs w:val="24"/>
        </w:rPr>
        <w:t xml:space="preserve">(līdz 2024. gada 31. martam uzņemtās saistības, nominālvērtībā, milj. </w:t>
      </w:r>
      <w:proofErr w:type="spellStart"/>
      <w:r w:rsidRPr="00A13086">
        <w:rPr>
          <w:b/>
          <w:bCs/>
          <w:i/>
          <w:sz w:val="24"/>
          <w:szCs w:val="24"/>
        </w:rPr>
        <w:t>euro</w:t>
      </w:r>
      <w:proofErr w:type="spellEnd"/>
      <w:r w:rsidRPr="00A13086">
        <w:rPr>
          <w:b/>
          <w:bCs/>
          <w:i/>
          <w:sz w:val="24"/>
          <w:szCs w:val="24"/>
        </w:rPr>
        <w:t>)</w:t>
      </w:r>
    </w:p>
    <w:p w14:paraId="5E2CD031" w14:textId="77777777" w:rsidR="000F2728" w:rsidRPr="000F2728" w:rsidRDefault="000F2728" w:rsidP="000F2728">
      <w:pPr>
        <w:rPr>
          <w:sz w:val="24"/>
          <w:szCs w:val="24"/>
          <w:highlight w:val="yellow"/>
        </w:rPr>
      </w:pPr>
    </w:p>
    <w:p w14:paraId="783BD86A" w14:textId="07254886" w:rsidR="000F2728" w:rsidRPr="00D313B0" w:rsidRDefault="000F2728" w:rsidP="000F2728">
      <w:pPr>
        <w:rPr>
          <w:sz w:val="24"/>
          <w:szCs w:val="24"/>
        </w:rPr>
      </w:pPr>
      <w:r w:rsidRPr="00D313B0">
        <w:rPr>
          <w:sz w:val="24"/>
          <w:szCs w:val="24"/>
        </w:rPr>
        <w:t>2024. gada 1.</w:t>
      </w:r>
      <w:r w:rsidR="00DF009D">
        <w:rPr>
          <w:sz w:val="24"/>
          <w:szCs w:val="24"/>
        </w:rPr>
        <w:t xml:space="preserve"> </w:t>
      </w:r>
      <w:r w:rsidRPr="00D313B0">
        <w:rPr>
          <w:sz w:val="24"/>
          <w:szCs w:val="24"/>
        </w:rPr>
        <w:t xml:space="preserve">ceturksnī iekšējā finanšu tirgū veiktas apgrozībā esošo 2027., 2028., 2029. un 2033. gadā dzēšamo eiroobligāciju papildu laidiena izsoles 520 milj. </w:t>
      </w:r>
      <w:proofErr w:type="spellStart"/>
      <w:r w:rsidRPr="00D313B0">
        <w:rPr>
          <w:i/>
          <w:sz w:val="24"/>
          <w:szCs w:val="24"/>
        </w:rPr>
        <w:t>euro</w:t>
      </w:r>
      <w:proofErr w:type="spellEnd"/>
      <w:r w:rsidRPr="00D313B0">
        <w:rPr>
          <w:i/>
          <w:sz w:val="24"/>
          <w:szCs w:val="24"/>
        </w:rPr>
        <w:t xml:space="preserve"> </w:t>
      </w:r>
      <w:r w:rsidRPr="00D313B0">
        <w:rPr>
          <w:sz w:val="24"/>
          <w:szCs w:val="24"/>
        </w:rPr>
        <w:t xml:space="preserve">apmērā, kā arī emitētas </w:t>
      </w:r>
      <w:proofErr w:type="spellStart"/>
      <w:r w:rsidRPr="00D313B0">
        <w:rPr>
          <w:sz w:val="24"/>
          <w:szCs w:val="24"/>
        </w:rPr>
        <w:t>krājobligācijas</w:t>
      </w:r>
      <w:proofErr w:type="spellEnd"/>
      <w:r w:rsidRPr="00D313B0">
        <w:rPr>
          <w:sz w:val="24"/>
          <w:szCs w:val="24"/>
        </w:rPr>
        <w:t xml:space="preserve"> 41,7 milj. </w:t>
      </w:r>
      <w:proofErr w:type="spellStart"/>
      <w:r w:rsidRPr="00D313B0">
        <w:rPr>
          <w:i/>
          <w:sz w:val="24"/>
          <w:szCs w:val="24"/>
        </w:rPr>
        <w:t>euro</w:t>
      </w:r>
      <w:proofErr w:type="spellEnd"/>
      <w:r w:rsidRPr="00D313B0">
        <w:rPr>
          <w:sz w:val="24"/>
          <w:szCs w:val="24"/>
        </w:rPr>
        <w:t xml:space="preserve"> apmērā.</w:t>
      </w:r>
    </w:p>
    <w:p w14:paraId="2AEA5AF0" w14:textId="36E30080" w:rsidR="000F2728" w:rsidRPr="00D313B0" w:rsidRDefault="000F2728" w:rsidP="000F2728">
      <w:pPr>
        <w:rPr>
          <w:sz w:val="24"/>
          <w:szCs w:val="24"/>
        </w:rPr>
      </w:pPr>
      <w:r w:rsidRPr="00D313B0">
        <w:rPr>
          <w:sz w:val="24"/>
          <w:szCs w:val="24"/>
        </w:rPr>
        <w:t>Līdz 2024.</w:t>
      </w:r>
      <w:r w:rsidR="00D313B0" w:rsidRPr="00D313B0">
        <w:rPr>
          <w:sz w:val="24"/>
          <w:szCs w:val="24"/>
        </w:rPr>
        <w:t xml:space="preserve"> </w:t>
      </w:r>
      <w:r w:rsidRPr="00D313B0">
        <w:rPr>
          <w:sz w:val="24"/>
          <w:szCs w:val="24"/>
        </w:rPr>
        <w:t xml:space="preserve">gada beigām un 2025. – 2028. gadā kopējās finansēšanas nepieciešamības segšanai tiks izmantoti Valsts kases kontos pieejamie resursi un aizņemšanās pasākumi finanšu tirgos, pieļaujot arī citu aizņemšanās instrumentu izmantošanu atkarībā no situācijas finanšu tirgos un procentu likmju tendencēm. Aizņemšanos starptautiskajos finanšu tirgos plānots nodrošināt galvenokārt ar publiskām etalona apjoma eiroobligāciju emisijām, uzturot iespējami elastīgas aizņemšanās instrumentu parametru izvēles iespējas. Iekšējā finanšu tirgū resursu piesaisti plānots arī turpmāk veikt galvenokārt ar apgrozībā esošo eiroobligāciju papildu laidieniem un emitējot </w:t>
      </w:r>
      <w:proofErr w:type="spellStart"/>
      <w:r w:rsidRPr="00D313B0">
        <w:rPr>
          <w:sz w:val="24"/>
          <w:szCs w:val="24"/>
        </w:rPr>
        <w:t>krājobligācijas</w:t>
      </w:r>
      <w:proofErr w:type="spellEnd"/>
      <w:r w:rsidRPr="00D313B0">
        <w:rPr>
          <w:sz w:val="24"/>
          <w:szCs w:val="24"/>
        </w:rPr>
        <w:t>, tādējādi izmantojot iekšējā finanšu tirgus potenciālu.</w:t>
      </w:r>
    </w:p>
    <w:p w14:paraId="35262AE2" w14:textId="77777777" w:rsidR="00D313B0" w:rsidRDefault="000F2728" w:rsidP="00D313B0">
      <w:pPr>
        <w:rPr>
          <w:sz w:val="24"/>
          <w:szCs w:val="24"/>
        </w:rPr>
      </w:pPr>
      <w:r w:rsidRPr="00D313B0">
        <w:rPr>
          <w:sz w:val="24"/>
          <w:szCs w:val="24"/>
        </w:rPr>
        <w:t>Valsts parāda tendences vidējā termiņā ietekmē aktuāla valsts budžeta bilances prognoze, t.sk. ņemot vērā izdevumu pieaugumu valsts aizsardzības kapacitātes stiprināšanai un ES fondu līdzfinansētiem projektiem, kā arī aktualizētās makroekonomisko rādītāju prognozes 2024. – 2028.</w:t>
      </w:r>
      <w:r w:rsidR="00D313B0" w:rsidRPr="00D313B0">
        <w:rPr>
          <w:sz w:val="24"/>
          <w:szCs w:val="24"/>
        </w:rPr>
        <w:t xml:space="preserve"> </w:t>
      </w:r>
      <w:r w:rsidRPr="00D313B0">
        <w:rPr>
          <w:sz w:val="24"/>
          <w:szCs w:val="24"/>
        </w:rPr>
        <w:t>gadam, kuras paredz zemākus ekonomikas izaugsmes tempus. 2027. gada un 2028. gada vispārējās valdības parāda apjomu</w:t>
      </w:r>
      <w:r w:rsidR="00D313B0" w:rsidRPr="00D313B0">
        <w:rPr>
          <w:sz w:val="24"/>
          <w:szCs w:val="24"/>
        </w:rPr>
        <w:t xml:space="preserve">, </w:t>
      </w:r>
      <w:r w:rsidRPr="00D313B0">
        <w:rPr>
          <w:sz w:val="24"/>
          <w:szCs w:val="24"/>
        </w:rPr>
        <w:t>papildus iepriekš minētajiem faktoriem</w:t>
      </w:r>
      <w:r w:rsidR="00D313B0" w:rsidRPr="00D313B0">
        <w:rPr>
          <w:sz w:val="24"/>
          <w:szCs w:val="24"/>
        </w:rPr>
        <w:t>,</w:t>
      </w:r>
      <w:r w:rsidRPr="00D313B0">
        <w:rPr>
          <w:sz w:val="24"/>
          <w:szCs w:val="24"/>
        </w:rPr>
        <w:t xml:space="preserve"> noteiks nepieciešamība savlaicīgi nodrošināt resursus 2028. gada un 2029. gada sākumā plānotajai valsts parāda atmaksai. </w:t>
      </w:r>
    </w:p>
    <w:p w14:paraId="421CAFB2" w14:textId="75287BAD" w:rsidR="00D313B0" w:rsidRPr="00BF467A" w:rsidRDefault="00D313B0" w:rsidP="00D313B0">
      <w:pPr>
        <w:rPr>
          <w:sz w:val="24"/>
          <w:szCs w:val="24"/>
        </w:rPr>
      </w:pPr>
      <w:r w:rsidRPr="008F598C">
        <w:rPr>
          <w:sz w:val="24"/>
          <w:szCs w:val="24"/>
        </w:rPr>
        <w:t xml:space="preserve">Atbilstoši aktuālajām prognozēm sagaidāms, ka vispārējās valdības parāda līmenis procentos no IKP vidējā termiņā pakāpeniski pieaugs no 45% </w:t>
      </w:r>
      <w:r w:rsidR="001E0D58">
        <w:rPr>
          <w:sz w:val="24"/>
          <w:szCs w:val="24"/>
        </w:rPr>
        <w:t xml:space="preserve">no IKP </w:t>
      </w:r>
      <w:r w:rsidRPr="008F598C">
        <w:rPr>
          <w:sz w:val="24"/>
          <w:szCs w:val="24"/>
        </w:rPr>
        <w:t>2024. gadā līdz 48%</w:t>
      </w:r>
      <w:r w:rsidR="001E0D58">
        <w:rPr>
          <w:sz w:val="24"/>
          <w:szCs w:val="24"/>
        </w:rPr>
        <w:t xml:space="preserve"> no IKP </w:t>
      </w:r>
      <w:r w:rsidRPr="008F598C">
        <w:rPr>
          <w:sz w:val="24"/>
          <w:szCs w:val="24"/>
        </w:rPr>
        <w:t xml:space="preserve">2028. gadā (sk. </w:t>
      </w:r>
      <w:r w:rsidR="008F598C" w:rsidRPr="008F598C">
        <w:rPr>
          <w:sz w:val="24"/>
          <w:szCs w:val="24"/>
        </w:rPr>
        <w:t>3.7</w:t>
      </w:r>
      <w:r w:rsidRPr="008F598C">
        <w:rPr>
          <w:sz w:val="24"/>
          <w:szCs w:val="24"/>
        </w:rPr>
        <w:t>. attēlu), taču vidējā</w:t>
      </w:r>
      <w:r w:rsidRPr="00D313B0">
        <w:rPr>
          <w:sz w:val="24"/>
          <w:szCs w:val="24"/>
        </w:rPr>
        <w:t xml:space="preserve"> termiņā </w:t>
      </w:r>
      <w:r w:rsidR="001F760A">
        <w:rPr>
          <w:sz w:val="24"/>
          <w:szCs w:val="24"/>
        </w:rPr>
        <w:t>FDL</w:t>
      </w:r>
      <w:r w:rsidRPr="00D313B0">
        <w:rPr>
          <w:sz w:val="24"/>
          <w:szCs w:val="24"/>
        </w:rPr>
        <w:t xml:space="preserve"> noteiktais parāda nosacījums (60% </w:t>
      </w:r>
      <w:r w:rsidRPr="00D313B0">
        <w:rPr>
          <w:sz w:val="24"/>
          <w:szCs w:val="24"/>
        </w:rPr>
        <w:lastRenderedPageBreak/>
        <w:t>no IKP) tiks ievērots. Ilgtermiņā vispārējās valdības parāds tiks uzturēts mērenā, ilgtspējīgā līmenī, nodrošinot parāda saistību pārfinansēšanu ar optimāliem nosacījumiem.</w:t>
      </w:r>
      <w:r>
        <w:rPr>
          <w:sz w:val="24"/>
          <w:szCs w:val="24"/>
        </w:rPr>
        <w:t xml:space="preserve"> </w:t>
      </w:r>
    </w:p>
    <w:p w14:paraId="7BAF698C" w14:textId="618D2557" w:rsidR="000F2728" w:rsidRPr="00D313B0" w:rsidRDefault="000F2728" w:rsidP="000F2728">
      <w:pPr>
        <w:rPr>
          <w:sz w:val="24"/>
          <w:szCs w:val="24"/>
        </w:rPr>
      </w:pPr>
    </w:p>
    <w:p w14:paraId="13712130" w14:textId="77777777" w:rsidR="000F2728" w:rsidRPr="000F2728" w:rsidRDefault="000F2728" w:rsidP="000F2728">
      <w:pPr>
        <w:ind w:firstLine="0"/>
        <w:jc w:val="center"/>
        <w:rPr>
          <w:b/>
          <w:i/>
          <w:sz w:val="24"/>
          <w:szCs w:val="24"/>
          <w:highlight w:val="yellow"/>
        </w:rPr>
      </w:pPr>
      <w:r w:rsidRPr="00D313B0">
        <w:rPr>
          <w:b/>
          <w:i/>
          <w:noProof/>
          <w:sz w:val="24"/>
          <w:szCs w:val="24"/>
          <w:lang w:eastAsia="lv-LV"/>
        </w:rPr>
        <w:drawing>
          <wp:inline distT="0" distB="0" distL="0" distR="0" wp14:anchorId="5C75EF8E" wp14:editId="772D1AE0">
            <wp:extent cx="5149850" cy="2309449"/>
            <wp:effectExtent l="0" t="0" r="0" b="0"/>
            <wp:docPr id="1415083413" name="Picture 1415083413" descr="A graph with numbers and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83413" name="Picture 1415083413" descr="A graph with numbers and red dots&#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60822" cy="2314369"/>
                    </a:xfrm>
                    <a:prstGeom prst="rect">
                      <a:avLst/>
                    </a:prstGeom>
                    <a:noFill/>
                  </pic:spPr>
                </pic:pic>
              </a:graphicData>
            </a:graphic>
          </wp:inline>
        </w:drawing>
      </w:r>
    </w:p>
    <w:p w14:paraId="7612F5B1" w14:textId="77777777" w:rsidR="000F2728" w:rsidRPr="000F2728" w:rsidRDefault="000F2728" w:rsidP="000F2728">
      <w:pPr>
        <w:ind w:firstLine="0"/>
        <w:jc w:val="center"/>
        <w:rPr>
          <w:b/>
          <w:i/>
          <w:sz w:val="24"/>
          <w:szCs w:val="24"/>
          <w:highlight w:val="yellow"/>
        </w:rPr>
      </w:pPr>
    </w:p>
    <w:p w14:paraId="50687D89" w14:textId="1285EDE5" w:rsidR="000F2728" w:rsidRPr="000F2728" w:rsidRDefault="008F598C" w:rsidP="000F2728">
      <w:pPr>
        <w:ind w:firstLine="0"/>
        <w:jc w:val="center"/>
        <w:rPr>
          <w:i/>
          <w:sz w:val="24"/>
          <w:szCs w:val="24"/>
          <w:highlight w:val="yellow"/>
        </w:rPr>
      </w:pPr>
      <w:r w:rsidRPr="008F598C">
        <w:rPr>
          <w:b/>
          <w:i/>
          <w:sz w:val="24"/>
          <w:szCs w:val="24"/>
        </w:rPr>
        <w:t>3.7</w:t>
      </w:r>
      <w:r w:rsidR="000F2728" w:rsidRPr="008F598C">
        <w:rPr>
          <w:b/>
          <w:i/>
          <w:sz w:val="24"/>
          <w:szCs w:val="24"/>
        </w:rPr>
        <w:t xml:space="preserve">. att. </w:t>
      </w:r>
      <w:r w:rsidR="000F2728" w:rsidRPr="008F598C">
        <w:rPr>
          <w:b/>
          <w:i/>
          <w:sz w:val="24"/>
          <w:szCs w:val="26"/>
        </w:rPr>
        <w:t>Vispārējās</w:t>
      </w:r>
      <w:r w:rsidR="000F2728" w:rsidRPr="00D313B0">
        <w:rPr>
          <w:b/>
          <w:i/>
          <w:sz w:val="24"/>
          <w:szCs w:val="26"/>
        </w:rPr>
        <w:t xml:space="preserve"> valdības parāda attīstības tendences </w:t>
      </w:r>
    </w:p>
    <w:p w14:paraId="53A4E2E2" w14:textId="77777777" w:rsidR="000F2728" w:rsidRPr="000F2728" w:rsidRDefault="000F2728" w:rsidP="000F2728">
      <w:pPr>
        <w:ind w:firstLine="0"/>
        <w:jc w:val="center"/>
        <w:rPr>
          <w:szCs w:val="24"/>
          <w:highlight w:val="yellow"/>
        </w:rPr>
      </w:pPr>
    </w:p>
    <w:p w14:paraId="3ED8359A" w14:textId="30FF02D7" w:rsidR="00FC586A" w:rsidRPr="00874664" w:rsidRDefault="00FC586A" w:rsidP="00FC586A">
      <w:pPr>
        <w:spacing w:after="120"/>
        <w:ind w:firstLine="709"/>
        <w:rPr>
          <w:rFonts w:eastAsia="Times New Roman" w:cs="Times New Roman"/>
          <w:sz w:val="24"/>
          <w:szCs w:val="24"/>
          <w:highlight w:val="lightGray"/>
        </w:rPr>
      </w:pPr>
    </w:p>
    <w:p w14:paraId="46605000" w14:textId="21955866" w:rsidR="00BF4753" w:rsidRPr="00874664" w:rsidRDefault="00FC586A" w:rsidP="00FC586A">
      <w:pPr>
        <w:spacing w:after="160" w:line="259" w:lineRule="auto"/>
        <w:ind w:firstLine="0"/>
        <w:jc w:val="left"/>
        <w:rPr>
          <w:highlight w:val="lightGray"/>
        </w:rPr>
      </w:pPr>
      <w:r w:rsidRPr="00874664">
        <w:rPr>
          <w:highlight w:val="lightGray"/>
        </w:rPr>
        <w:br w:type="page"/>
      </w:r>
    </w:p>
    <w:p w14:paraId="25CC823A" w14:textId="07B0C86B" w:rsidR="00BF4753" w:rsidRPr="00874664" w:rsidRDefault="00BF4753" w:rsidP="00FC586A">
      <w:pPr>
        <w:pStyle w:val="Heading1"/>
        <w:spacing w:before="0"/>
        <w:rPr>
          <w:sz w:val="32"/>
          <w:szCs w:val="32"/>
          <w:highlight w:val="lightGray"/>
        </w:rPr>
      </w:pPr>
      <w:bookmarkStart w:id="53" w:name="_Toc164679830"/>
      <w:r w:rsidRPr="006923DF">
        <w:rPr>
          <w:sz w:val="32"/>
          <w:szCs w:val="32"/>
        </w:rPr>
        <w:lastRenderedPageBreak/>
        <w:t>4. Jutīguma analīze un salīdzinājums</w:t>
      </w:r>
      <w:bookmarkEnd w:id="53"/>
    </w:p>
    <w:p w14:paraId="1EF56FDB" w14:textId="77777777" w:rsidR="006923DF" w:rsidRPr="006923DF" w:rsidRDefault="006923DF" w:rsidP="004F034A">
      <w:pPr>
        <w:keepNext/>
        <w:keepLines/>
        <w:numPr>
          <w:ilvl w:val="1"/>
          <w:numId w:val="26"/>
        </w:numPr>
        <w:spacing w:before="120" w:after="120" w:line="259" w:lineRule="auto"/>
        <w:ind w:left="0" w:firstLine="0"/>
        <w:jc w:val="center"/>
        <w:outlineLvl w:val="1"/>
        <w:rPr>
          <w:rFonts w:eastAsia="Times New Roman" w:cs="Times New Roman"/>
          <w:b/>
          <w:bCs/>
          <w:color w:val="000000"/>
          <w:szCs w:val="24"/>
          <w:lang w:eastAsia="lv-LV"/>
        </w:rPr>
      </w:pPr>
      <w:bookmarkStart w:id="54" w:name="_Toc164679831"/>
      <w:bookmarkStart w:id="55" w:name="_Toc510790668"/>
      <w:bookmarkStart w:id="56" w:name="_Toc5627375"/>
      <w:r w:rsidRPr="006923DF">
        <w:rPr>
          <w:rFonts w:eastAsia="Times New Roman" w:cs="Times New Roman"/>
          <w:b/>
          <w:bCs/>
          <w:color w:val="000000"/>
          <w:szCs w:val="24"/>
          <w:lang w:eastAsia="lv-LV"/>
        </w:rPr>
        <w:t>Makroekonomiskā scenārija riski</w:t>
      </w:r>
      <w:bookmarkEnd w:id="54"/>
    </w:p>
    <w:p w14:paraId="48D0F7D7" w14:textId="77777777" w:rsidR="006923DF" w:rsidRPr="006923DF" w:rsidRDefault="006923DF" w:rsidP="00BA387D">
      <w:pPr>
        <w:autoSpaceDE w:val="0"/>
        <w:autoSpaceDN w:val="0"/>
        <w:adjustRightInd w:val="0"/>
        <w:rPr>
          <w:rFonts w:eastAsia="Times New Roman" w:cs="Times New Roman"/>
          <w:sz w:val="24"/>
          <w:lang w:eastAsia="lv-LV"/>
        </w:rPr>
      </w:pPr>
      <w:r w:rsidRPr="006923DF">
        <w:rPr>
          <w:rFonts w:eastAsia="Times New Roman" w:cs="Times New Roman"/>
          <w:sz w:val="24"/>
          <w:lang w:eastAsia="lv-LV"/>
        </w:rPr>
        <w:t xml:space="preserve">Vidējā termiņa makroekonomiskās attīstības scenāriju pamatā ir konservatīvi pieņēmumi attiecībā uz ekonomisko izaugsmi vidējā laika posmā un makroekonomiskās attīstības scenārijs joprojām ir izstrādāts augstas nenoteiktības apstākļos. Tajā pašā laikā scenārija prognožu </w:t>
      </w:r>
      <w:proofErr w:type="spellStart"/>
      <w:r w:rsidRPr="006923DF">
        <w:rPr>
          <w:rFonts w:eastAsia="Times New Roman" w:cs="Times New Roman"/>
          <w:sz w:val="24"/>
          <w:lang w:eastAsia="lv-LV"/>
        </w:rPr>
        <w:t>augšupvērstie</w:t>
      </w:r>
      <w:proofErr w:type="spellEnd"/>
      <w:r w:rsidRPr="006923DF">
        <w:rPr>
          <w:rFonts w:eastAsia="Times New Roman" w:cs="Times New Roman"/>
          <w:sz w:val="24"/>
          <w:lang w:eastAsia="lv-LV"/>
        </w:rPr>
        <w:t xml:space="preserve"> un lejupvērstie riski pašlaik ir sabalansēti.</w:t>
      </w:r>
    </w:p>
    <w:p w14:paraId="13C0DC0C" w14:textId="77777777" w:rsidR="006923DF" w:rsidRPr="006923DF" w:rsidRDefault="006923DF" w:rsidP="00BA387D">
      <w:pPr>
        <w:autoSpaceDE w:val="0"/>
        <w:autoSpaceDN w:val="0"/>
        <w:adjustRightInd w:val="0"/>
        <w:rPr>
          <w:rFonts w:eastAsia="Times New Roman" w:cs="Times New Roman"/>
          <w:sz w:val="24"/>
          <w:lang w:eastAsia="lv-LV"/>
        </w:rPr>
      </w:pPr>
      <w:r w:rsidRPr="006923DF">
        <w:rPr>
          <w:rFonts w:eastAsia="Times New Roman" w:cs="Times New Roman"/>
          <w:sz w:val="24"/>
          <w:lang w:eastAsia="lv-LV"/>
        </w:rPr>
        <w:t xml:space="preserve">2024. un 2025. gada attīstības galvenais risks ir ES līdzekļu apguves kavēšanās,  ierobežojot investīcijas un lielo projektu īstenošanu. Tikpat nozīmīgs ir arī risks, kas izriet no iespējamās vājākas nekā gaidīts izaugsmes galvenajās tirdzniecības partnervalstīs, ko savukārt var ietekmēt vājāka globālās ekonomikās attīstība, ierobežojot Latvijas eksporta perspektīvas. </w:t>
      </w:r>
    </w:p>
    <w:p w14:paraId="68C66790" w14:textId="77777777" w:rsidR="006923DF" w:rsidRPr="006923DF" w:rsidRDefault="006923DF" w:rsidP="00BA387D">
      <w:pPr>
        <w:autoSpaceDE w:val="0"/>
        <w:autoSpaceDN w:val="0"/>
        <w:adjustRightInd w:val="0"/>
        <w:rPr>
          <w:rFonts w:eastAsia="Times New Roman" w:cs="Times New Roman"/>
          <w:sz w:val="24"/>
          <w:lang w:eastAsia="lv-LV"/>
        </w:rPr>
      </w:pPr>
      <w:r w:rsidRPr="006923DF">
        <w:rPr>
          <w:rFonts w:eastAsia="Times New Roman" w:cs="Times New Roman"/>
          <w:sz w:val="24"/>
          <w:lang w:eastAsia="lv-LV"/>
        </w:rPr>
        <w:t>Ģeopolitiskās situācijas pasliktināšanās ietekmēs investoru un patērētāju uzticēšanos un var paaugstināt enerģijas cenas un iekšzemes inflāciju. Arī ECB bāzes procentu likmi var saglabāt augstu vai arī to samazināšana varētu būt neefektīva, nesamazinot kredītu procentu likmes, kas neveicinās kreditēšanu un tās līmenis saglabājas zems.</w:t>
      </w:r>
    </w:p>
    <w:p w14:paraId="1E7FE9CA" w14:textId="77777777" w:rsidR="006923DF" w:rsidRPr="006923DF" w:rsidRDefault="006923DF" w:rsidP="00BA387D">
      <w:pPr>
        <w:autoSpaceDE w:val="0"/>
        <w:autoSpaceDN w:val="0"/>
        <w:adjustRightInd w:val="0"/>
        <w:rPr>
          <w:rFonts w:eastAsia="Times New Roman" w:cs="Times New Roman"/>
          <w:sz w:val="24"/>
          <w:lang w:eastAsia="lv-LV"/>
        </w:rPr>
      </w:pPr>
      <w:r w:rsidRPr="006923DF">
        <w:rPr>
          <w:rFonts w:eastAsia="Times New Roman" w:cs="Times New Roman"/>
          <w:sz w:val="24"/>
          <w:lang w:eastAsia="lv-LV"/>
        </w:rPr>
        <w:t>Negatīvie riski ietver arī pamazām pieaugošo spriedzi darba tirgū, samazinoties darbspējas vecuma iedzīvotāju skaitam un pieaugot algām, kas var mazināt uzņēmumu konkurētspēju.</w:t>
      </w:r>
    </w:p>
    <w:p w14:paraId="2C38A222" w14:textId="325C66C0" w:rsidR="006923DF" w:rsidRPr="006923DF" w:rsidRDefault="006923DF" w:rsidP="00BA387D">
      <w:pPr>
        <w:autoSpaceDE w:val="0"/>
        <w:autoSpaceDN w:val="0"/>
        <w:adjustRightInd w:val="0"/>
        <w:rPr>
          <w:rFonts w:eastAsia="Times New Roman" w:cs="Times New Roman"/>
          <w:sz w:val="24"/>
          <w:lang w:eastAsia="lv-LV"/>
        </w:rPr>
      </w:pPr>
      <w:r w:rsidRPr="006923DF">
        <w:rPr>
          <w:rFonts w:eastAsia="Times New Roman" w:cs="Times New Roman"/>
          <w:sz w:val="24"/>
          <w:lang w:eastAsia="lv-LV"/>
        </w:rPr>
        <w:t>Savukārt pozitīvie riski ir pretēji negatīvajiem, proti – energoresursu cenas un ģeopolitiskie riski samazināsies. Krievijas un Ukrainas konfliktam norimstot, uzlabosies arī uzņēmēju noskaņojums.</w:t>
      </w:r>
    </w:p>
    <w:p w14:paraId="13B0AB3A" w14:textId="77777777" w:rsidR="006923DF" w:rsidRPr="006923DF" w:rsidRDefault="006923DF" w:rsidP="004F034A">
      <w:pPr>
        <w:keepNext/>
        <w:keepLines/>
        <w:numPr>
          <w:ilvl w:val="1"/>
          <w:numId w:val="26"/>
        </w:numPr>
        <w:spacing w:before="120" w:after="120" w:line="259" w:lineRule="auto"/>
        <w:ind w:left="0" w:firstLine="0"/>
        <w:jc w:val="center"/>
        <w:outlineLvl w:val="1"/>
        <w:rPr>
          <w:rFonts w:eastAsia="Times New Roman" w:cs="Times New Roman"/>
          <w:b/>
          <w:bCs/>
          <w:color w:val="000000"/>
          <w:szCs w:val="24"/>
          <w:lang w:eastAsia="lv-LV"/>
        </w:rPr>
      </w:pPr>
      <w:bookmarkStart w:id="57" w:name="_Toc5693314"/>
      <w:bookmarkStart w:id="58" w:name="_Toc164679832"/>
      <w:r w:rsidRPr="006923DF">
        <w:rPr>
          <w:rFonts w:eastAsia="Times New Roman" w:cs="Times New Roman"/>
          <w:b/>
          <w:bCs/>
          <w:color w:val="000000"/>
          <w:szCs w:val="24"/>
          <w:lang w:eastAsia="lv-LV"/>
        </w:rPr>
        <w:t>Jutīguma analīze</w:t>
      </w:r>
      <w:bookmarkEnd w:id="55"/>
      <w:bookmarkEnd w:id="56"/>
      <w:bookmarkEnd w:id="57"/>
      <w:r w:rsidRPr="006923DF">
        <w:rPr>
          <w:rFonts w:eastAsia="Times New Roman" w:cs="Times New Roman"/>
          <w:b/>
          <w:bCs/>
          <w:color w:val="000000"/>
          <w:szCs w:val="24"/>
          <w:lang w:eastAsia="lv-LV"/>
        </w:rPr>
        <w:t xml:space="preserve"> – pesimistiskais scenārijs</w:t>
      </w:r>
      <w:bookmarkEnd w:id="58"/>
    </w:p>
    <w:p w14:paraId="7BA57E5F" w14:textId="77777777" w:rsidR="006923DF" w:rsidRPr="007A4145" w:rsidRDefault="006923DF" w:rsidP="006923DF">
      <w:pPr>
        <w:spacing w:before="120" w:after="120"/>
        <w:outlineLvl w:val="3"/>
        <w:rPr>
          <w:rFonts w:eastAsia="Times New Roman" w:cs="Times New Roman"/>
          <w:b/>
          <w:iCs/>
          <w:sz w:val="24"/>
        </w:rPr>
      </w:pPr>
      <w:r w:rsidRPr="007A4145">
        <w:rPr>
          <w:rFonts w:eastAsia="Times New Roman" w:cs="Times New Roman"/>
          <w:b/>
          <w:iCs/>
          <w:sz w:val="24"/>
        </w:rPr>
        <w:t>Ietekme uz ekonomiku</w:t>
      </w:r>
    </w:p>
    <w:p w14:paraId="16EE0C75" w14:textId="458AAFC1" w:rsidR="006923DF" w:rsidRPr="007A4145" w:rsidRDefault="006923DF" w:rsidP="00BA387D">
      <w:pPr>
        <w:autoSpaceDE w:val="0"/>
        <w:autoSpaceDN w:val="0"/>
        <w:adjustRightInd w:val="0"/>
        <w:rPr>
          <w:rFonts w:eastAsia="Times New Roman" w:cs="Times New Roman"/>
          <w:sz w:val="24"/>
          <w:lang w:eastAsia="lv-LV"/>
        </w:rPr>
      </w:pPr>
      <w:bookmarkStart w:id="59" w:name="_Hlk127201895"/>
      <w:r w:rsidRPr="007A4145">
        <w:rPr>
          <w:rFonts w:eastAsia="Times New Roman" w:cs="Times New Roman"/>
          <w:sz w:val="24"/>
          <w:lang w:eastAsia="lv-LV"/>
        </w:rPr>
        <w:t xml:space="preserve">Pesimistiskais scenārijs paredz, ka negatīvie riski sāks īstenoties 2024. gada otrajā pusē – mazinātos ES fondu līdzekļu ieplūde, tai skaitā saistībā ar </w:t>
      </w:r>
      <w:r w:rsidR="00507D8A">
        <w:rPr>
          <w:rFonts w:eastAsia="Times New Roman" w:cs="Times New Roman"/>
          <w:sz w:val="24"/>
          <w:lang w:eastAsia="lv-LV"/>
        </w:rPr>
        <w:t>ANM</w:t>
      </w:r>
      <w:r w:rsidRPr="007A4145">
        <w:rPr>
          <w:rFonts w:eastAsia="Times New Roman" w:cs="Times New Roman"/>
          <w:sz w:val="24"/>
          <w:lang w:eastAsia="lv-LV"/>
        </w:rPr>
        <w:t xml:space="preserve"> un </w:t>
      </w:r>
      <w:r w:rsidRPr="007A4145">
        <w:rPr>
          <w:rFonts w:eastAsia="Times New Roman" w:cs="Times New Roman"/>
          <w:i/>
          <w:iCs/>
          <w:sz w:val="24"/>
          <w:lang w:eastAsia="lv-LV"/>
        </w:rPr>
        <w:t xml:space="preserve">Rail </w:t>
      </w:r>
      <w:proofErr w:type="spellStart"/>
      <w:r w:rsidRPr="007A4145">
        <w:rPr>
          <w:rFonts w:eastAsia="Times New Roman" w:cs="Times New Roman"/>
          <w:i/>
          <w:iCs/>
          <w:sz w:val="24"/>
          <w:lang w:eastAsia="lv-LV"/>
        </w:rPr>
        <w:t>Baltica</w:t>
      </w:r>
      <w:proofErr w:type="spellEnd"/>
      <w:r w:rsidRPr="007A4145">
        <w:rPr>
          <w:rFonts w:eastAsia="Times New Roman" w:cs="Times New Roman"/>
          <w:sz w:val="24"/>
          <w:lang w:eastAsia="lv-LV"/>
        </w:rPr>
        <w:t xml:space="preserve"> finansējuma izmantošanu, līdz ar to investīcijas samazinātos arī nominālā izteiksmē. Papildus tam arī Latvijas tirdzniecības partneru ekonomikas piedzīvotu vājāku izaugsmi.</w:t>
      </w:r>
    </w:p>
    <w:p w14:paraId="4560A76A" w14:textId="2E64D643" w:rsidR="006923DF" w:rsidRPr="007A4145" w:rsidRDefault="006923DF" w:rsidP="00BA387D">
      <w:pPr>
        <w:autoSpaceDE w:val="0"/>
        <w:autoSpaceDN w:val="0"/>
        <w:adjustRightInd w:val="0"/>
        <w:rPr>
          <w:rFonts w:eastAsia="Times New Roman" w:cs="Times New Roman"/>
          <w:sz w:val="24"/>
          <w:lang w:eastAsia="lv-LV"/>
        </w:rPr>
      </w:pPr>
      <w:r w:rsidRPr="007A4145">
        <w:rPr>
          <w:rFonts w:eastAsia="Times New Roman" w:cs="Times New Roman"/>
          <w:sz w:val="24"/>
          <w:lang w:eastAsia="lv-LV"/>
        </w:rPr>
        <w:t xml:space="preserve">Atbilstoši pesimistiskajam scenārijam Latvijas ekonomika var piedzīvot straujāku izaugsmes tempu samazinājumu nekā bāzes scenārijā. Tā rezultātā 2024. gadā </w:t>
      </w:r>
      <w:r w:rsidR="007A4145" w:rsidRPr="007A4145">
        <w:rPr>
          <w:rFonts w:eastAsia="Times New Roman" w:cs="Times New Roman"/>
          <w:sz w:val="24"/>
          <w:lang w:eastAsia="lv-LV"/>
        </w:rPr>
        <w:t>IKP</w:t>
      </w:r>
      <w:r w:rsidRPr="007A4145">
        <w:rPr>
          <w:rFonts w:eastAsia="Times New Roman" w:cs="Times New Roman"/>
          <w:sz w:val="24"/>
          <w:lang w:eastAsia="lv-LV"/>
        </w:rPr>
        <w:t xml:space="preserve"> pieaugums salīdzināmās cenās varētu samazināties par 1 procentpunktu un būtu tikai 0,4%. 2025. un 2026. gadā IKP pieaugums palielinātos līdz 2,2%, bet tas būtu par attiecīgi 0,7 un 0,3 procentpunktiem lēnāk nekā bāzes scenārijā.</w:t>
      </w:r>
    </w:p>
    <w:p w14:paraId="28036F37" w14:textId="77777777" w:rsidR="006923DF" w:rsidRPr="007A4145" w:rsidRDefault="006923DF" w:rsidP="00BA387D">
      <w:pPr>
        <w:autoSpaceDE w:val="0"/>
        <w:autoSpaceDN w:val="0"/>
        <w:adjustRightInd w:val="0"/>
        <w:rPr>
          <w:rFonts w:eastAsia="Times New Roman" w:cs="Times New Roman"/>
          <w:sz w:val="24"/>
          <w:lang w:eastAsia="lv-LV"/>
        </w:rPr>
      </w:pPr>
      <w:r w:rsidRPr="007A4145">
        <w:rPr>
          <w:rFonts w:eastAsia="Times New Roman" w:cs="Times New Roman"/>
          <w:sz w:val="24"/>
          <w:lang w:eastAsia="lv-LV"/>
        </w:rPr>
        <w:t>Tikmēr arī investīciju (bruto pamatkapitāla veidošanas) pieaugums 2024. gadā būtu 2,4% jeb par 1,5 procentpunktiem mazāks nekā bāzes scenārijā. Līdz ar ģeopolitisko nenoteiktību, mazinot reģiona pievilcību investīcijām, investīciju pieaugums arī 2025. un 2026. gadā būtu par attiecīgi 1 un 0,4 procentpunktiem zemāks, jeb investīciju izaugsme būtu vienmērīgāka, bez palielinātas ES fondu līdzekļu palīdzības.</w:t>
      </w:r>
    </w:p>
    <w:p w14:paraId="26CE656D" w14:textId="77777777" w:rsidR="006923DF" w:rsidRPr="00D51BFB" w:rsidRDefault="006923DF" w:rsidP="00BA387D">
      <w:pPr>
        <w:autoSpaceDE w:val="0"/>
        <w:autoSpaceDN w:val="0"/>
        <w:adjustRightInd w:val="0"/>
        <w:rPr>
          <w:rFonts w:eastAsia="Times New Roman" w:cs="Times New Roman"/>
          <w:sz w:val="24"/>
          <w:lang w:eastAsia="lv-LV"/>
        </w:rPr>
      </w:pPr>
      <w:r w:rsidRPr="007A4145">
        <w:rPr>
          <w:rFonts w:eastAsia="Times New Roman" w:cs="Times New Roman"/>
          <w:sz w:val="24"/>
          <w:lang w:eastAsia="lv-LV"/>
        </w:rPr>
        <w:t xml:space="preserve">Ģeopolitiskā nenoteiktība un ārējā </w:t>
      </w:r>
      <w:r w:rsidRPr="00D51BFB">
        <w:rPr>
          <w:rFonts w:eastAsia="Times New Roman" w:cs="Times New Roman"/>
          <w:sz w:val="24"/>
          <w:lang w:eastAsia="lv-LV"/>
        </w:rPr>
        <w:t>pieprasījuma trūkums izraisītu Latvijas preču un pakalpojumu eksporta samazinājumu par 2,5% 2024. gadā. Šāds šoks būtu īslaicīgs, jo nākamos divos gados eksporta izaugsme būtu no zema līmeņa, bet joprojām būtu attiecīgi par 0,8 un 0,4 procentpunktiem mazāka nekā bāzes scenārijā.</w:t>
      </w:r>
    </w:p>
    <w:p w14:paraId="5715D545" w14:textId="77777777" w:rsidR="006923DF" w:rsidRPr="00D51BFB" w:rsidRDefault="006923DF" w:rsidP="006923DF">
      <w:pPr>
        <w:spacing w:after="160" w:line="259" w:lineRule="auto"/>
        <w:ind w:firstLine="0"/>
        <w:jc w:val="left"/>
        <w:rPr>
          <w:rFonts w:eastAsia="Times New Roman" w:cs="Times New Roman"/>
          <w:b/>
          <w:sz w:val="24"/>
          <w:szCs w:val="24"/>
        </w:rPr>
      </w:pPr>
      <w:r w:rsidRPr="00D51BFB">
        <w:rPr>
          <w:rFonts w:eastAsia="Times New Roman" w:cs="Times New Roman"/>
          <w:b/>
          <w:sz w:val="24"/>
          <w:szCs w:val="24"/>
        </w:rPr>
        <w:br w:type="page"/>
      </w:r>
    </w:p>
    <w:p w14:paraId="7BA3ADA0" w14:textId="77777777" w:rsidR="006923DF" w:rsidRPr="004576B5" w:rsidRDefault="006923DF" w:rsidP="006923DF">
      <w:pPr>
        <w:spacing w:before="120" w:after="60"/>
        <w:ind w:firstLine="0"/>
        <w:jc w:val="right"/>
        <w:rPr>
          <w:rFonts w:eastAsia="Times New Roman" w:cs="Times New Roman"/>
          <w:b/>
          <w:i/>
          <w:iCs/>
          <w:sz w:val="24"/>
          <w:szCs w:val="24"/>
        </w:rPr>
      </w:pPr>
      <w:r w:rsidRPr="004576B5">
        <w:rPr>
          <w:rFonts w:eastAsia="Times New Roman" w:cs="Times New Roman"/>
          <w:b/>
          <w:i/>
          <w:iCs/>
          <w:sz w:val="24"/>
          <w:szCs w:val="24"/>
        </w:rPr>
        <w:lastRenderedPageBreak/>
        <w:t>4.1. tabula. Pesimistiskais makroekonomiskais scenārijs</w:t>
      </w:r>
    </w:p>
    <w:tbl>
      <w:tblPr>
        <w:tblStyle w:val="GridTable6Colorful-Accent12"/>
        <w:tblW w:w="5000" w:type="pct"/>
        <w:jc w:val="center"/>
        <w:tblLayout w:type="fixed"/>
        <w:tblCellMar>
          <w:left w:w="57" w:type="dxa"/>
          <w:right w:w="57" w:type="dxa"/>
        </w:tblCellMar>
        <w:tblLook w:val="04A0" w:firstRow="1" w:lastRow="0" w:firstColumn="1" w:lastColumn="0" w:noHBand="0" w:noVBand="1"/>
      </w:tblPr>
      <w:tblGrid>
        <w:gridCol w:w="2689"/>
        <w:gridCol w:w="637"/>
        <w:gridCol w:w="637"/>
        <w:gridCol w:w="637"/>
        <w:gridCol w:w="637"/>
        <w:gridCol w:w="638"/>
        <w:gridCol w:w="637"/>
        <w:gridCol w:w="637"/>
        <w:gridCol w:w="637"/>
        <w:gridCol w:w="637"/>
        <w:gridCol w:w="638"/>
      </w:tblGrid>
      <w:tr w:rsidR="006923DF" w:rsidRPr="007A4145" w14:paraId="660A0BC8" w14:textId="77777777" w:rsidTr="006923DF">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5148D31A" w14:textId="77777777" w:rsidR="006923DF" w:rsidRPr="007A4145" w:rsidRDefault="006923DF" w:rsidP="006923DF">
            <w:pPr>
              <w:spacing w:before="100" w:beforeAutospacing="1" w:after="100" w:afterAutospacing="1"/>
              <w:ind w:firstLine="0"/>
              <w:jc w:val="left"/>
              <w:rPr>
                <w:rFonts w:eastAsia="Times New Roman"/>
                <w:bCs w:val="0"/>
                <w:color w:val="auto"/>
                <w:sz w:val="18"/>
                <w:szCs w:val="18"/>
              </w:rPr>
            </w:pPr>
          </w:p>
        </w:tc>
        <w:tc>
          <w:tcPr>
            <w:tcW w:w="3186" w:type="dxa"/>
            <w:gridSpan w:val="5"/>
            <w:tcBorders>
              <w:right w:val="double" w:sz="4" w:space="0" w:color="9CC2E5"/>
            </w:tcBorders>
            <w:noWrap/>
            <w:vAlign w:val="center"/>
          </w:tcPr>
          <w:p w14:paraId="71D76F93" w14:textId="77777777" w:rsidR="006923DF" w:rsidRPr="007A4145" w:rsidRDefault="006923DF" w:rsidP="006923DF">
            <w:pPr>
              <w:spacing w:before="100" w:beforeAutospacing="1" w:after="100" w:afterAutospacing="1"/>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Pesimistiskais scenārijs</w:t>
            </w:r>
          </w:p>
        </w:tc>
        <w:tc>
          <w:tcPr>
            <w:tcW w:w="3186" w:type="dxa"/>
            <w:gridSpan w:val="5"/>
            <w:tcBorders>
              <w:left w:val="double" w:sz="4" w:space="0" w:color="9CC2E5"/>
            </w:tcBorders>
            <w:noWrap/>
            <w:vAlign w:val="center"/>
          </w:tcPr>
          <w:p w14:paraId="70E04027" w14:textId="77777777" w:rsidR="006923DF" w:rsidRPr="007A4145" w:rsidRDefault="006923DF" w:rsidP="006923DF">
            <w:pPr>
              <w:spacing w:before="100" w:beforeAutospacing="1" w:after="100" w:afterAutospacing="1"/>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Novirze no bāzes scenārija</w:t>
            </w:r>
          </w:p>
        </w:tc>
      </w:tr>
      <w:tr w:rsidR="006923DF" w:rsidRPr="007A4145" w14:paraId="1F663658" w14:textId="77777777" w:rsidTr="006923DF">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A72DBFD" w14:textId="77777777" w:rsidR="006923DF" w:rsidRPr="007A4145" w:rsidRDefault="006923DF" w:rsidP="006923DF">
            <w:pPr>
              <w:spacing w:before="100" w:beforeAutospacing="1" w:after="100" w:afterAutospacing="1"/>
              <w:ind w:firstLine="0"/>
              <w:jc w:val="left"/>
              <w:rPr>
                <w:rFonts w:eastAsia="Times New Roman"/>
                <w:bCs w:val="0"/>
                <w:color w:val="auto"/>
                <w:sz w:val="18"/>
                <w:szCs w:val="18"/>
              </w:rPr>
            </w:pPr>
          </w:p>
        </w:tc>
        <w:tc>
          <w:tcPr>
            <w:tcW w:w="637" w:type="dxa"/>
            <w:noWrap/>
            <w:vAlign w:val="center"/>
          </w:tcPr>
          <w:p w14:paraId="136E34B5" w14:textId="77777777" w:rsidR="006923DF" w:rsidRPr="007A414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2024</w:t>
            </w:r>
          </w:p>
        </w:tc>
        <w:tc>
          <w:tcPr>
            <w:tcW w:w="637" w:type="dxa"/>
            <w:noWrap/>
            <w:vAlign w:val="center"/>
          </w:tcPr>
          <w:p w14:paraId="05E8B549" w14:textId="77777777" w:rsidR="006923DF" w:rsidRPr="007A414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2025</w:t>
            </w:r>
          </w:p>
        </w:tc>
        <w:tc>
          <w:tcPr>
            <w:tcW w:w="637" w:type="dxa"/>
            <w:noWrap/>
            <w:vAlign w:val="center"/>
          </w:tcPr>
          <w:p w14:paraId="4B7F6778" w14:textId="77777777" w:rsidR="006923DF" w:rsidRPr="007A414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2026</w:t>
            </w:r>
          </w:p>
        </w:tc>
        <w:tc>
          <w:tcPr>
            <w:tcW w:w="637" w:type="dxa"/>
            <w:tcBorders>
              <w:right w:val="single" w:sz="4" w:space="0" w:color="9CC2E5"/>
            </w:tcBorders>
            <w:noWrap/>
            <w:vAlign w:val="center"/>
          </w:tcPr>
          <w:p w14:paraId="71B1380A" w14:textId="77777777" w:rsidR="006923DF" w:rsidRPr="007A414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2027</w:t>
            </w:r>
          </w:p>
        </w:tc>
        <w:tc>
          <w:tcPr>
            <w:tcW w:w="638" w:type="dxa"/>
            <w:tcBorders>
              <w:left w:val="single" w:sz="4" w:space="0" w:color="9CC2E5"/>
              <w:right w:val="double" w:sz="4" w:space="0" w:color="9CC2E5"/>
            </w:tcBorders>
            <w:vAlign w:val="center"/>
          </w:tcPr>
          <w:p w14:paraId="36BFC27B" w14:textId="77777777" w:rsidR="006923DF" w:rsidRPr="007A414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2028</w:t>
            </w:r>
          </w:p>
        </w:tc>
        <w:tc>
          <w:tcPr>
            <w:tcW w:w="637" w:type="dxa"/>
            <w:tcBorders>
              <w:left w:val="double" w:sz="4" w:space="0" w:color="9CC2E5"/>
            </w:tcBorders>
            <w:noWrap/>
            <w:vAlign w:val="center"/>
          </w:tcPr>
          <w:p w14:paraId="7594C36B" w14:textId="77777777" w:rsidR="006923DF" w:rsidRPr="007A414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2024</w:t>
            </w:r>
          </w:p>
        </w:tc>
        <w:tc>
          <w:tcPr>
            <w:tcW w:w="637" w:type="dxa"/>
            <w:noWrap/>
            <w:vAlign w:val="center"/>
          </w:tcPr>
          <w:p w14:paraId="6719DECC" w14:textId="77777777" w:rsidR="006923DF" w:rsidRPr="007A414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2025</w:t>
            </w:r>
          </w:p>
        </w:tc>
        <w:tc>
          <w:tcPr>
            <w:tcW w:w="637" w:type="dxa"/>
            <w:noWrap/>
            <w:vAlign w:val="center"/>
          </w:tcPr>
          <w:p w14:paraId="66852CEC" w14:textId="77777777" w:rsidR="006923DF" w:rsidRPr="007A414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2026</w:t>
            </w:r>
          </w:p>
        </w:tc>
        <w:tc>
          <w:tcPr>
            <w:tcW w:w="637" w:type="dxa"/>
            <w:noWrap/>
            <w:vAlign w:val="center"/>
          </w:tcPr>
          <w:p w14:paraId="1E193A65" w14:textId="77777777" w:rsidR="006923DF" w:rsidRPr="007A414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2027</w:t>
            </w:r>
          </w:p>
        </w:tc>
        <w:tc>
          <w:tcPr>
            <w:tcW w:w="638" w:type="dxa"/>
            <w:vAlign w:val="center"/>
          </w:tcPr>
          <w:p w14:paraId="48E1F44E" w14:textId="77777777" w:rsidR="006923DF" w:rsidRPr="007A414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7A4145">
              <w:rPr>
                <w:rFonts w:eastAsia="Times New Roman"/>
                <w:bCs w:val="0"/>
                <w:color w:val="auto"/>
                <w:sz w:val="18"/>
                <w:szCs w:val="18"/>
              </w:rPr>
              <w:t>2028</w:t>
            </w:r>
          </w:p>
        </w:tc>
      </w:tr>
      <w:tr w:rsidR="006923DF" w:rsidRPr="007A4145" w14:paraId="53172A02"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F3F97ED" w14:textId="77777777" w:rsidR="006923DF" w:rsidRPr="007A4145" w:rsidRDefault="006923DF" w:rsidP="006923DF">
            <w:pPr>
              <w:ind w:left="34" w:firstLine="0"/>
              <w:jc w:val="left"/>
              <w:rPr>
                <w:rFonts w:eastAsia="Times New Roman"/>
                <w:b w:val="0"/>
                <w:color w:val="auto"/>
                <w:sz w:val="18"/>
                <w:szCs w:val="18"/>
              </w:rPr>
            </w:pPr>
            <w:r w:rsidRPr="007A4145">
              <w:rPr>
                <w:rFonts w:eastAsia="Times New Roman"/>
                <w:b w:val="0"/>
                <w:color w:val="auto"/>
                <w:sz w:val="18"/>
                <w:szCs w:val="18"/>
              </w:rPr>
              <w:t>IKP pieaugums faktiskajās cenās, %</w:t>
            </w:r>
          </w:p>
        </w:tc>
        <w:tc>
          <w:tcPr>
            <w:tcW w:w="637" w:type="dxa"/>
            <w:noWrap/>
            <w:tcMar>
              <w:left w:w="57" w:type="dxa"/>
              <w:right w:w="57" w:type="dxa"/>
            </w:tcMar>
            <w:vAlign w:val="center"/>
          </w:tcPr>
          <w:p w14:paraId="35B41D4A"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3,4</w:t>
            </w:r>
          </w:p>
        </w:tc>
        <w:tc>
          <w:tcPr>
            <w:tcW w:w="637" w:type="dxa"/>
            <w:noWrap/>
            <w:tcMar>
              <w:left w:w="57" w:type="dxa"/>
              <w:right w:w="57" w:type="dxa"/>
            </w:tcMar>
            <w:vAlign w:val="center"/>
          </w:tcPr>
          <w:p w14:paraId="59D47094"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5,6</w:t>
            </w:r>
          </w:p>
        </w:tc>
        <w:tc>
          <w:tcPr>
            <w:tcW w:w="637" w:type="dxa"/>
            <w:noWrap/>
            <w:tcMar>
              <w:left w:w="57" w:type="dxa"/>
              <w:right w:w="57" w:type="dxa"/>
            </w:tcMar>
            <w:vAlign w:val="center"/>
          </w:tcPr>
          <w:p w14:paraId="45EFCFA8"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5,1</w:t>
            </w:r>
          </w:p>
        </w:tc>
        <w:tc>
          <w:tcPr>
            <w:tcW w:w="637" w:type="dxa"/>
            <w:tcBorders>
              <w:right w:val="single" w:sz="4" w:space="0" w:color="9CC2E5"/>
            </w:tcBorders>
            <w:noWrap/>
            <w:tcMar>
              <w:left w:w="57" w:type="dxa"/>
              <w:right w:w="57" w:type="dxa"/>
            </w:tcMar>
            <w:vAlign w:val="center"/>
          </w:tcPr>
          <w:p w14:paraId="1BFE3D78"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5,1</w:t>
            </w:r>
          </w:p>
        </w:tc>
        <w:tc>
          <w:tcPr>
            <w:tcW w:w="638" w:type="dxa"/>
            <w:tcBorders>
              <w:left w:val="single" w:sz="4" w:space="0" w:color="9CC2E5"/>
              <w:right w:val="double" w:sz="4" w:space="0" w:color="9CC2E5"/>
            </w:tcBorders>
            <w:vAlign w:val="center"/>
          </w:tcPr>
          <w:p w14:paraId="0388EB7B"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5,1</w:t>
            </w:r>
          </w:p>
        </w:tc>
        <w:tc>
          <w:tcPr>
            <w:tcW w:w="637" w:type="dxa"/>
            <w:tcBorders>
              <w:left w:val="double" w:sz="4" w:space="0" w:color="9CC2E5"/>
            </w:tcBorders>
            <w:noWrap/>
            <w:tcMar>
              <w:left w:w="57" w:type="dxa"/>
              <w:right w:w="57" w:type="dxa"/>
            </w:tcMar>
            <w:vAlign w:val="center"/>
          </w:tcPr>
          <w:p w14:paraId="36BE7AB7"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-0,7</w:t>
            </w:r>
          </w:p>
        </w:tc>
        <w:tc>
          <w:tcPr>
            <w:tcW w:w="637" w:type="dxa"/>
            <w:noWrap/>
            <w:tcMar>
              <w:left w:w="57" w:type="dxa"/>
              <w:right w:w="57" w:type="dxa"/>
            </w:tcMar>
            <w:vAlign w:val="center"/>
          </w:tcPr>
          <w:p w14:paraId="44769EB0"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-0,5</w:t>
            </w:r>
          </w:p>
        </w:tc>
        <w:tc>
          <w:tcPr>
            <w:tcW w:w="637" w:type="dxa"/>
            <w:noWrap/>
            <w:tcMar>
              <w:left w:w="57" w:type="dxa"/>
              <w:right w:w="57" w:type="dxa"/>
            </w:tcMar>
            <w:vAlign w:val="center"/>
          </w:tcPr>
          <w:p w14:paraId="15B2A879"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-0,2</w:t>
            </w:r>
          </w:p>
        </w:tc>
        <w:tc>
          <w:tcPr>
            <w:tcW w:w="637" w:type="dxa"/>
            <w:noWrap/>
            <w:tcMar>
              <w:left w:w="57" w:type="dxa"/>
              <w:right w:w="57" w:type="dxa"/>
            </w:tcMar>
            <w:vAlign w:val="center"/>
          </w:tcPr>
          <w:p w14:paraId="01F5D7F8"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8" w:type="dxa"/>
            <w:vAlign w:val="center"/>
          </w:tcPr>
          <w:p w14:paraId="4F6AE670"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r>
      <w:tr w:rsidR="006923DF" w:rsidRPr="007A4145" w14:paraId="45CD2063" w14:textId="77777777" w:rsidTr="006923DF">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3AB37EF8" w14:textId="77777777" w:rsidR="006923DF" w:rsidRPr="007A4145" w:rsidRDefault="006923DF" w:rsidP="006923DF">
            <w:pPr>
              <w:ind w:left="34" w:firstLine="0"/>
              <w:jc w:val="left"/>
              <w:rPr>
                <w:rFonts w:eastAsia="Times New Roman"/>
                <w:b w:val="0"/>
                <w:color w:val="auto"/>
                <w:sz w:val="18"/>
                <w:szCs w:val="18"/>
              </w:rPr>
            </w:pPr>
            <w:r w:rsidRPr="007A4145">
              <w:rPr>
                <w:rFonts w:eastAsia="Times New Roman"/>
                <w:b w:val="0"/>
                <w:color w:val="auto"/>
                <w:sz w:val="18"/>
                <w:szCs w:val="18"/>
              </w:rPr>
              <w:t>IKP pieaugums salīdzināmās cenās, %</w:t>
            </w:r>
          </w:p>
        </w:tc>
        <w:tc>
          <w:tcPr>
            <w:tcW w:w="637" w:type="dxa"/>
            <w:noWrap/>
            <w:tcMar>
              <w:left w:w="57" w:type="dxa"/>
              <w:right w:w="57" w:type="dxa"/>
            </w:tcMar>
            <w:vAlign w:val="center"/>
          </w:tcPr>
          <w:p w14:paraId="131ACDAF"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0,4</w:t>
            </w:r>
          </w:p>
        </w:tc>
        <w:tc>
          <w:tcPr>
            <w:tcW w:w="637" w:type="dxa"/>
            <w:noWrap/>
            <w:tcMar>
              <w:left w:w="57" w:type="dxa"/>
              <w:right w:w="57" w:type="dxa"/>
            </w:tcMar>
            <w:vAlign w:val="center"/>
          </w:tcPr>
          <w:p w14:paraId="06516109"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2,2</w:t>
            </w:r>
          </w:p>
        </w:tc>
        <w:tc>
          <w:tcPr>
            <w:tcW w:w="637" w:type="dxa"/>
            <w:noWrap/>
            <w:tcMar>
              <w:left w:w="57" w:type="dxa"/>
              <w:right w:w="57" w:type="dxa"/>
            </w:tcMar>
            <w:vAlign w:val="center"/>
          </w:tcPr>
          <w:p w14:paraId="7B043B0E"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2,2</w:t>
            </w:r>
          </w:p>
        </w:tc>
        <w:tc>
          <w:tcPr>
            <w:tcW w:w="637" w:type="dxa"/>
            <w:tcBorders>
              <w:right w:val="single" w:sz="4" w:space="0" w:color="9CC2E5"/>
            </w:tcBorders>
            <w:noWrap/>
            <w:tcMar>
              <w:left w:w="57" w:type="dxa"/>
              <w:right w:w="57" w:type="dxa"/>
            </w:tcMar>
            <w:vAlign w:val="center"/>
          </w:tcPr>
          <w:p w14:paraId="6C5A8F67"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2,3</w:t>
            </w:r>
          </w:p>
        </w:tc>
        <w:tc>
          <w:tcPr>
            <w:tcW w:w="638" w:type="dxa"/>
            <w:tcBorders>
              <w:left w:val="single" w:sz="4" w:space="0" w:color="9CC2E5"/>
              <w:right w:val="double" w:sz="4" w:space="0" w:color="9CC2E5"/>
            </w:tcBorders>
            <w:vAlign w:val="center"/>
          </w:tcPr>
          <w:p w14:paraId="693C646B"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2,3</w:t>
            </w:r>
          </w:p>
        </w:tc>
        <w:tc>
          <w:tcPr>
            <w:tcW w:w="637" w:type="dxa"/>
            <w:tcBorders>
              <w:left w:val="double" w:sz="4" w:space="0" w:color="9CC2E5"/>
            </w:tcBorders>
            <w:noWrap/>
            <w:tcMar>
              <w:left w:w="57" w:type="dxa"/>
              <w:right w:w="57" w:type="dxa"/>
            </w:tcMar>
            <w:vAlign w:val="center"/>
          </w:tcPr>
          <w:p w14:paraId="4CE53C67"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-1,0</w:t>
            </w:r>
          </w:p>
        </w:tc>
        <w:tc>
          <w:tcPr>
            <w:tcW w:w="637" w:type="dxa"/>
            <w:noWrap/>
            <w:tcMar>
              <w:left w:w="57" w:type="dxa"/>
              <w:right w:w="57" w:type="dxa"/>
            </w:tcMar>
            <w:vAlign w:val="center"/>
          </w:tcPr>
          <w:p w14:paraId="114B2BF7"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-0,7</w:t>
            </w:r>
          </w:p>
        </w:tc>
        <w:tc>
          <w:tcPr>
            <w:tcW w:w="637" w:type="dxa"/>
            <w:noWrap/>
            <w:tcMar>
              <w:left w:w="57" w:type="dxa"/>
              <w:right w:w="57" w:type="dxa"/>
            </w:tcMar>
            <w:vAlign w:val="center"/>
          </w:tcPr>
          <w:p w14:paraId="0BE24F77"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-0,3</w:t>
            </w:r>
          </w:p>
        </w:tc>
        <w:tc>
          <w:tcPr>
            <w:tcW w:w="637" w:type="dxa"/>
            <w:noWrap/>
            <w:tcMar>
              <w:left w:w="57" w:type="dxa"/>
              <w:right w:w="57" w:type="dxa"/>
            </w:tcMar>
            <w:vAlign w:val="center"/>
          </w:tcPr>
          <w:p w14:paraId="040F4C92"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8" w:type="dxa"/>
            <w:vAlign w:val="center"/>
          </w:tcPr>
          <w:p w14:paraId="59F92353"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r>
      <w:tr w:rsidR="006923DF" w:rsidRPr="007A4145" w14:paraId="72955034"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69604BC1" w14:textId="77777777" w:rsidR="006923DF" w:rsidRPr="007A4145" w:rsidRDefault="006923DF" w:rsidP="006923DF">
            <w:pPr>
              <w:ind w:left="34" w:firstLine="0"/>
              <w:jc w:val="left"/>
              <w:rPr>
                <w:rFonts w:eastAsia="Times New Roman"/>
                <w:b w:val="0"/>
                <w:bCs w:val="0"/>
                <w:color w:val="auto"/>
                <w:sz w:val="18"/>
                <w:szCs w:val="18"/>
              </w:rPr>
            </w:pPr>
            <w:r w:rsidRPr="007A4145">
              <w:rPr>
                <w:rFonts w:eastAsia="Times New Roman"/>
                <w:b w:val="0"/>
                <w:color w:val="auto"/>
                <w:sz w:val="18"/>
                <w:szCs w:val="18"/>
              </w:rPr>
              <w:t>Patēriņa cenu indeksa izmaiņas, %</w:t>
            </w:r>
          </w:p>
        </w:tc>
        <w:tc>
          <w:tcPr>
            <w:tcW w:w="637" w:type="dxa"/>
            <w:noWrap/>
            <w:tcMar>
              <w:left w:w="57" w:type="dxa"/>
              <w:right w:w="57" w:type="dxa"/>
            </w:tcMar>
            <w:vAlign w:val="center"/>
          </w:tcPr>
          <w:p w14:paraId="2E472A7E"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2,0</w:t>
            </w:r>
          </w:p>
        </w:tc>
        <w:tc>
          <w:tcPr>
            <w:tcW w:w="637" w:type="dxa"/>
            <w:noWrap/>
            <w:tcMar>
              <w:left w:w="57" w:type="dxa"/>
              <w:right w:w="57" w:type="dxa"/>
            </w:tcMar>
            <w:vAlign w:val="center"/>
          </w:tcPr>
          <w:p w14:paraId="7B35F584"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3,0</w:t>
            </w:r>
          </w:p>
        </w:tc>
        <w:tc>
          <w:tcPr>
            <w:tcW w:w="637" w:type="dxa"/>
            <w:noWrap/>
            <w:tcMar>
              <w:left w:w="57" w:type="dxa"/>
              <w:right w:w="57" w:type="dxa"/>
            </w:tcMar>
            <w:vAlign w:val="center"/>
          </w:tcPr>
          <w:p w14:paraId="6018CFAC"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2,8</w:t>
            </w:r>
          </w:p>
        </w:tc>
        <w:tc>
          <w:tcPr>
            <w:tcW w:w="637" w:type="dxa"/>
            <w:tcBorders>
              <w:right w:val="single" w:sz="4" w:space="0" w:color="9CC2E5"/>
            </w:tcBorders>
            <w:noWrap/>
            <w:tcMar>
              <w:left w:w="57" w:type="dxa"/>
              <w:right w:w="57" w:type="dxa"/>
            </w:tcMar>
            <w:vAlign w:val="center"/>
          </w:tcPr>
          <w:p w14:paraId="32E3EA1A"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2,5</w:t>
            </w:r>
          </w:p>
        </w:tc>
        <w:tc>
          <w:tcPr>
            <w:tcW w:w="638" w:type="dxa"/>
            <w:tcBorders>
              <w:left w:val="single" w:sz="4" w:space="0" w:color="9CC2E5"/>
              <w:right w:val="double" w:sz="4" w:space="0" w:color="9CC2E5"/>
            </w:tcBorders>
            <w:vAlign w:val="center"/>
          </w:tcPr>
          <w:p w14:paraId="6C98C182"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2,5</w:t>
            </w:r>
          </w:p>
        </w:tc>
        <w:tc>
          <w:tcPr>
            <w:tcW w:w="637" w:type="dxa"/>
            <w:tcBorders>
              <w:left w:val="double" w:sz="4" w:space="0" w:color="9CC2E5"/>
            </w:tcBorders>
            <w:noWrap/>
            <w:tcMar>
              <w:left w:w="57" w:type="dxa"/>
              <w:right w:w="57" w:type="dxa"/>
            </w:tcMar>
            <w:vAlign w:val="center"/>
          </w:tcPr>
          <w:p w14:paraId="3B447ECE"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0,4</w:t>
            </w:r>
          </w:p>
        </w:tc>
        <w:tc>
          <w:tcPr>
            <w:tcW w:w="637" w:type="dxa"/>
            <w:noWrap/>
            <w:tcMar>
              <w:left w:w="57" w:type="dxa"/>
              <w:right w:w="57" w:type="dxa"/>
            </w:tcMar>
            <w:vAlign w:val="center"/>
          </w:tcPr>
          <w:p w14:paraId="4DC171F0"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0,5</w:t>
            </w:r>
          </w:p>
        </w:tc>
        <w:tc>
          <w:tcPr>
            <w:tcW w:w="637" w:type="dxa"/>
            <w:noWrap/>
            <w:tcMar>
              <w:left w:w="57" w:type="dxa"/>
              <w:right w:w="57" w:type="dxa"/>
            </w:tcMar>
            <w:vAlign w:val="center"/>
          </w:tcPr>
          <w:p w14:paraId="113CDA82"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0,3</w:t>
            </w:r>
          </w:p>
        </w:tc>
        <w:tc>
          <w:tcPr>
            <w:tcW w:w="637" w:type="dxa"/>
            <w:noWrap/>
            <w:tcMar>
              <w:left w:w="57" w:type="dxa"/>
              <w:right w:w="57" w:type="dxa"/>
            </w:tcMar>
            <w:vAlign w:val="center"/>
          </w:tcPr>
          <w:p w14:paraId="66976A4B"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8" w:type="dxa"/>
            <w:vAlign w:val="center"/>
          </w:tcPr>
          <w:p w14:paraId="59D59A82"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r>
      <w:tr w:rsidR="006923DF" w:rsidRPr="007A4145" w14:paraId="53BA521F" w14:textId="77777777" w:rsidTr="006923DF">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6532D911" w14:textId="77777777" w:rsidR="006923DF" w:rsidRPr="007A4145" w:rsidRDefault="006923DF" w:rsidP="006923DF">
            <w:pPr>
              <w:ind w:left="34" w:firstLine="0"/>
              <w:jc w:val="left"/>
              <w:rPr>
                <w:rFonts w:eastAsia="Times New Roman"/>
                <w:b w:val="0"/>
                <w:color w:val="auto"/>
                <w:sz w:val="18"/>
                <w:szCs w:val="18"/>
              </w:rPr>
            </w:pPr>
            <w:r w:rsidRPr="007A4145">
              <w:rPr>
                <w:rFonts w:eastAsia="Times New Roman"/>
                <w:b w:val="0"/>
                <w:color w:val="auto"/>
                <w:sz w:val="18"/>
                <w:szCs w:val="18"/>
              </w:rPr>
              <w:t>Privātais patēriņš, pieaugums salīdzināmās cenās, %</w:t>
            </w:r>
          </w:p>
        </w:tc>
        <w:tc>
          <w:tcPr>
            <w:tcW w:w="637" w:type="dxa"/>
            <w:noWrap/>
            <w:tcMar>
              <w:left w:w="57" w:type="dxa"/>
              <w:right w:w="57" w:type="dxa"/>
            </w:tcMar>
            <w:vAlign w:val="center"/>
          </w:tcPr>
          <w:p w14:paraId="6ABE5CE1"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1,4</w:t>
            </w:r>
          </w:p>
        </w:tc>
        <w:tc>
          <w:tcPr>
            <w:tcW w:w="637" w:type="dxa"/>
            <w:noWrap/>
            <w:tcMar>
              <w:left w:w="57" w:type="dxa"/>
              <w:right w:w="57" w:type="dxa"/>
            </w:tcMar>
            <w:vAlign w:val="center"/>
          </w:tcPr>
          <w:p w14:paraId="23FE1FAC"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1,7</w:t>
            </w:r>
          </w:p>
        </w:tc>
        <w:tc>
          <w:tcPr>
            <w:tcW w:w="637" w:type="dxa"/>
            <w:noWrap/>
            <w:tcMar>
              <w:left w:w="57" w:type="dxa"/>
              <w:right w:w="57" w:type="dxa"/>
            </w:tcMar>
            <w:vAlign w:val="center"/>
          </w:tcPr>
          <w:p w14:paraId="6711CD98"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2,4</w:t>
            </w:r>
          </w:p>
        </w:tc>
        <w:tc>
          <w:tcPr>
            <w:tcW w:w="637" w:type="dxa"/>
            <w:tcBorders>
              <w:right w:val="single" w:sz="4" w:space="0" w:color="9CC2E5"/>
            </w:tcBorders>
            <w:noWrap/>
            <w:tcMar>
              <w:left w:w="57" w:type="dxa"/>
              <w:right w:w="57" w:type="dxa"/>
            </w:tcMar>
            <w:vAlign w:val="center"/>
          </w:tcPr>
          <w:p w14:paraId="31091E54"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2,5</w:t>
            </w:r>
          </w:p>
        </w:tc>
        <w:tc>
          <w:tcPr>
            <w:tcW w:w="638" w:type="dxa"/>
            <w:tcBorders>
              <w:left w:val="single" w:sz="4" w:space="0" w:color="9CC2E5"/>
              <w:right w:val="double" w:sz="4" w:space="0" w:color="9CC2E5"/>
            </w:tcBorders>
            <w:vAlign w:val="center"/>
          </w:tcPr>
          <w:p w14:paraId="45DD5BC0"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2,5</w:t>
            </w:r>
          </w:p>
        </w:tc>
        <w:tc>
          <w:tcPr>
            <w:tcW w:w="637" w:type="dxa"/>
            <w:tcBorders>
              <w:left w:val="double" w:sz="4" w:space="0" w:color="9CC2E5"/>
            </w:tcBorders>
            <w:noWrap/>
            <w:tcMar>
              <w:left w:w="57" w:type="dxa"/>
              <w:right w:w="57" w:type="dxa"/>
            </w:tcMar>
            <w:vAlign w:val="center"/>
          </w:tcPr>
          <w:p w14:paraId="5815A96B"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-0,5</w:t>
            </w:r>
          </w:p>
        </w:tc>
        <w:tc>
          <w:tcPr>
            <w:tcW w:w="637" w:type="dxa"/>
            <w:noWrap/>
            <w:tcMar>
              <w:left w:w="57" w:type="dxa"/>
              <w:right w:w="57" w:type="dxa"/>
            </w:tcMar>
            <w:vAlign w:val="center"/>
          </w:tcPr>
          <w:p w14:paraId="52115173"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-0,8</w:t>
            </w:r>
          </w:p>
        </w:tc>
        <w:tc>
          <w:tcPr>
            <w:tcW w:w="637" w:type="dxa"/>
            <w:noWrap/>
            <w:tcMar>
              <w:left w:w="57" w:type="dxa"/>
              <w:right w:w="57" w:type="dxa"/>
            </w:tcMar>
            <w:vAlign w:val="center"/>
          </w:tcPr>
          <w:p w14:paraId="7D6E91F9"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-0,3</w:t>
            </w:r>
          </w:p>
        </w:tc>
        <w:tc>
          <w:tcPr>
            <w:tcW w:w="637" w:type="dxa"/>
            <w:noWrap/>
            <w:tcMar>
              <w:left w:w="57" w:type="dxa"/>
              <w:right w:w="57" w:type="dxa"/>
            </w:tcMar>
            <w:vAlign w:val="center"/>
          </w:tcPr>
          <w:p w14:paraId="15E2FE90"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8" w:type="dxa"/>
            <w:vAlign w:val="center"/>
          </w:tcPr>
          <w:p w14:paraId="404C8C97"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r>
      <w:tr w:rsidR="006923DF" w:rsidRPr="007A4145" w14:paraId="6C052F08"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DED643A" w14:textId="77777777" w:rsidR="006923DF" w:rsidRPr="007A4145" w:rsidRDefault="006923DF" w:rsidP="006923DF">
            <w:pPr>
              <w:ind w:left="34" w:firstLine="0"/>
              <w:jc w:val="left"/>
              <w:rPr>
                <w:rFonts w:eastAsia="Times New Roman"/>
                <w:b w:val="0"/>
                <w:color w:val="auto"/>
                <w:sz w:val="18"/>
                <w:szCs w:val="18"/>
              </w:rPr>
            </w:pPr>
            <w:r w:rsidRPr="007A4145">
              <w:rPr>
                <w:rFonts w:eastAsia="Times New Roman"/>
                <w:b w:val="0"/>
                <w:color w:val="auto"/>
                <w:sz w:val="18"/>
                <w:szCs w:val="18"/>
              </w:rPr>
              <w:t xml:space="preserve">Sabiedriskais patēriņš, pieaugums salīdzināmās cenās, % </w:t>
            </w:r>
          </w:p>
        </w:tc>
        <w:tc>
          <w:tcPr>
            <w:tcW w:w="637" w:type="dxa"/>
            <w:noWrap/>
            <w:tcMar>
              <w:left w:w="57" w:type="dxa"/>
              <w:right w:w="57" w:type="dxa"/>
            </w:tcMar>
            <w:vAlign w:val="center"/>
          </w:tcPr>
          <w:p w14:paraId="072ACD4E"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6,7</w:t>
            </w:r>
          </w:p>
        </w:tc>
        <w:tc>
          <w:tcPr>
            <w:tcW w:w="637" w:type="dxa"/>
            <w:noWrap/>
            <w:tcMar>
              <w:left w:w="57" w:type="dxa"/>
              <w:right w:w="57" w:type="dxa"/>
            </w:tcMar>
            <w:vAlign w:val="center"/>
          </w:tcPr>
          <w:p w14:paraId="1012E0B6"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5,8</w:t>
            </w:r>
          </w:p>
        </w:tc>
        <w:tc>
          <w:tcPr>
            <w:tcW w:w="637" w:type="dxa"/>
            <w:noWrap/>
            <w:tcMar>
              <w:left w:w="57" w:type="dxa"/>
              <w:right w:w="57" w:type="dxa"/>
            </w:tcMar>
            <w:vAlign w:val="center"/>
          </w:tcPr>
          <w:p w14:paraId="3F436282"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3,1</w:t>
            </w:r>
          </w:p>
        </w:tc>
        <w:tc>
          <w:tcPr>
            <w:tcW w:w="637" w:type="dxa"/>
            <w:tcBorders>
              <w:right w:val="single" w:sz="4" w:space="0" w:color="9CC2E5"/>
            </w:tcBorders>
            <w:noWrap/>
            <w:tcMar>
              <w:left w:w="57" w:type="dxa"/>
              <w:right w:w="57" w:type="dxa"/>
            </w:tcMar>
            <w:vAlign w:val="center"/>
          </w:tcPr>
          <w:p w14:paraId="1726FE81"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3,0</w:t>
            </w:r>
          </w:p>
        </w:tc>
        <w:tc>
          <w:tcPr>
            <w:tcW w:w="638" w:type="dxa"/>
            <w:tcBorders>
              <w:left w:val="single" w:sz="4" w:space="0" w:color="9CC2E5"/>
              <w:right w:val="double" w:sz="4" w:space="0" w:color="9CC2E5"/>
            </w:tcBorders>
            <w:vAlign w:val="center"/>
          </w:tcPr>
          <w:p w14:paraId="4DFE5635"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3,0</w:t>
            </w:r>
          </w:p>
        </w:tc>
        <w:tc>
          <w:tcPr>
            <w:tcW w:w="637" w:type="dxa"/>
            <w:tcBorders>
              <w:left w:val="double" w:sz="4" w:space="0" w:color="9CC2E5"/>
            </w:tcBorders>
            <w:noWrap/>
            <w:tcMar>
              <w:left w:w="57" w:type="dxa"/>
              <w:right w:w="57" w:type="dxa"/>
            </w:tcMar>
            <w:vAlign w:val="center"/>
          </w:tcPr>
          <w:p w14:paraId="313E03B3"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7" w:type="dxa"/>
            <w:noWrap/>
            <w:tcMar>
              <w:left w:w="57" w:type="dxa"/>
              <w:right w:w="57" w:type="dxa"/>
            </w:tcMar>
            <w:vAlign w:val="center"/>
          </w:tcPr>
          <w:p w14:paraId="3320B8B4"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7" w:type="dxa"/>
            <w:noWrap/>
            <w:tcMar>
              <w:left w:w="57" w:type="dxa"/>
              <w:right w:w="57" w:type="dxa"/>
            </w:tcMar>
            <w:vAlign w:val="center"/>
          </w:tcPr>
          <w:p w14:paraId="095AA098"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7" w:type="dxa"/>
            <w:noWrap/>
            <w:tcMar>
              <w:left w:w="57" w:type="dxa"/>
              <w:right w:w="57" w:type="dxa"/>
            </w:tcMar>
            <w:vAlign w:val="center"/>
          </w:tcPr>
          <w:p w14:paraId="74CF9A78"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8" w:type="dxa"/>
            <w:vAlign w:val="center"/>
          </w:tcPr>
          <w:p w14:paraId="5B65D0B9"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r>
      <w:tr w:rsidR="006923DF" w:rsidRPr="007A4145" w14:paraId="2372F2E8" w14:textId="77777777" w:rsidTr="006923DF">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1DEA4057" w14:textId="77777777" w:rsidR="006923DF" w:rsidRPr="007A4145" w:rsidRDefault="006923DF" w:rsidP="006923DF">
            <w:pPr>
              <w:ind w:left="34" w:firstLine="0"/>
              <w:jc w:val="left"/>
              <w:rPr>
                <w:rFonts w:eastAsia="Times New Roman"/>
                <w:b w:val="0"/>
                <w:color w:val="auto"/>
                <w:sz w:val="18"/>
                <w:szCs w:val="18"/>
              </w:rPr>
            </w:pPr>
            <w:r w:rsidRPr="007A4145">
              <w:rPr>
                <w:rFonts w:eastAsia="Times New Roman"/>
                <w:b w:val="0"/>
                <w:color w:val="auto"/>
                <w:sz w:val="18"/>
                <w:szCs w:val="18"/>
              </w:rPr>
              <w:t>Kopējā pamatkapitāla veidošana, pieaugums salīdzināmās cenās, %</w:t>
            </w:r>
          </w:p>
        </w:tc>
        <w:tc>
          <w:tcPr>
            <w:tcW w:w="637" w:type="dxa"/>
            <w:noWrap/>
            <w:tcMar>
              <w:left w:w="57" w:type="dxa"/>
              <w:right w:w="57" w:type="dxa"/>
            </w:tcMar>
            <w:vAlign w:val="center"/>
          </w:tcPr>
          <w:p w14:paraId="3EB31BF4"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2,4</w:t>
            </w:r>
          </w:p>
        </w:tc>
        <w:tc>
          <w:tcPr>
            <w:tcW w:w="637" w:type="dxa"/>
            <w:noWrap/>
            <w:tcMar>
              <w:left w:w="57" w:type="dxa"/>
              <w:right w:w="57" w:type="dxa"/>
            </w:tcMar>
            <w:vAlign w:val="center"/>
          </w:tcPr>
          <w:p w14:paraId="78442B04"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3,2</w:t>
            </w:r>
          </w:p>
        </w:tc>
        <w:tc>
          <w:tcPr>
            <w:tcW w:w="637" w:type="dxa"/>
            <w:noWrap/>
            <w:tcMar>
              <w:left w:w="57" w:type="dxa"/>
              <w:right w:w="57" w:type="dxa"/>
            </w:tcMar>
            <w:vAlign w:val="center"/>
          </w:tcPr>
          <w:p w14:paraId="6A332E50"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2,4</w:t>
            </w:r>
          </w:p>
        </w:tc>
        <w:tc>
          <w:tcPr>
            <w:tcW w:w="637" w:type="dxa"/>
            <w:tcBorders>
              <w:right w:val="single" w:sz="4" w:space="0" w:color="9CC2E5"/>
            </w:tcBorders>
            <w:noWrap/>
            <w:tcMar>
              <w:left w:w="57" w:type="dxa"/>
              <w:right w:w="57" w:type="dxa"/>
            </w:tcMar>
            <w:vAlign w:val="center"/>
          </w:tcPr>
          <w:p w14:paraId="4884A8A0"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2,4</w:t>
            </w:r>
          </w:p>
        </w:tc>
        <w:tc>
          <w:tcPr>
            <w:tcW w:w="638" w:type="dxa"/>
            <w:tcBorders>
              <w:left w:val="single" w:sz="4" w:space="0" w:color="9CC2E5"/>
              <w:right w:val="double" w:sz="4" w:space="0" w:color="9CC2E5"/>
            </w:tcBorders>
            <w:vAlign w:val="center"/>
          </w:tcPr>
          <w:p w14:paraId="2445DBBE"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2,4</w:t>
            </w:r>
          </w:p>
        </w:tc>
        <w:tc>
          <w:tcPr>
            <w:tcW w:w="637" w:type="dxa"/>
            <w:tcBorders>
              <w:left w:val="double" w:sz="4" w:space="0" w:color="9CC2E5"/>
            </w:tcBorders>
            <w:noWrap/>
            <w:tcMar>
              <w:left w:w="57" w:type="dxa"/>
              <w:right w:w="57" w:type="dxa"/>
            </w:tcMar>
            <w:vAlign w:val="center"/>
          </w:tcPr>
          <w:p w14:paraId="270BC4CB"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-1,5</w:t>
            </w:r>
          </w:p>
        </w:tc>
        <w:tc>
          <w:tcPr>
            <w:tcW w:w="637" w:type="dxa"/>
            <w:noWrap/>
            <w:tcMar>
              <w:left w:w="57" w:type="dxa"/>
              <w:right w:w="57" w:type="dxa"/>
            </w:tcMar>
            <w:vAlign w:val="center"/>
          </w:tcPr>
          <w:p w14:paraId="09895F24"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-1,0</w:t>
            </w:r>
          </w:p>
        </w:tc>
        <w:tc>
          <w:tcPr>
            <w:tcW w:w="637" w:type="dxa"/>
            <w:noWrap/>
            <w:tcMar>
              <w:left w:w="57" w:type="dxa"/>
              <w:right w:w="57" w:type="dxa"/>
            </w:tcMar>
            <w:vAlign w:val="center"/>
          </w:tcPr>
          <w:p w14:paraId="76138ED0"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-0,4</w:t>
            </w:r>
          </w:p>
        </w:tc>
        <w:tc>
          <w:tcPr>
            <w:tcW w:w="637" w:type="dxa"/>
            <w:noWrap/>
            <w:tcMar>
              <w:left w:w="57" w:type="dxa"/>
              <w:right w:w="57" w:type="dxa"/>
            </w:tcMar>
            <w:vAlign w:val="center"/>
          </w:tcPr>
          <w:p w14:paraId="675ABE3E"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8" w:type="dxa"/>
            <w:vAlign w:val="center"/>
          </w:tcPr>
          <w:p w14:paraId="1F4133F5"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r>
      <w:tr w:rsidR="006923DF" w:rsidRPr="007A4145" w14:paraId="551A7B18"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BDD6AE7" w14:textId="77777777" w:rsidR="006923DF" w:rsidRPr="007A4145" w:rsidRDefault="006923DF" w:rsidP="006923DF">
            <w:pPr>
              <w:ind w:left="34" w:firstLine="0"/>
              <w:jc w:val="left"/>
              <w:rPr>
                <w:rFonts w:eastAsia="Times New Roman"/>
                <w:b w:val="0"/>
                <w:color w:val="auto"/>
                <w:sz w:val="18"/>
                <w:szCs w:val="18"/>
              </w:rPr>
            </w:pPr>
            <w:r w:rsidRPr="007A4145">
              <w:rPr>
                <w:rFonts w:eastAsia="Times New Roman"/>
                <w:b w:val="0"/>
                <w:color w:val="auto"/>
                <w:sz w:val="18"/>
                <w:szCs w:val="18"/>
              </w:rPr>
              <w:t>Preču un pakalpojumu eksports, pieaugums salīdzināmās cenās, %</w:t>
            </w:r>
          </w:p>
        </w:tc>
        <w:tc>
          <w:tcPr>
            <w:tcW w:w="637" w:type="dxa"/>
            <w:noWrap/>
            <w:tcMar>
              <w:left w:w="57" w:type="dxa"/>
              <w:right w:w="57" w:type="dxa"/>
            </w:tcMar>
            <w:vAlign w:val="center"/>
          </w:tcPr>
          <w:p w14:paraId="485AD15F"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-2,5</w:t>
            </w:r>
          </w:p>
        </w:tc>
        <w:tc>
          <w:tcPr>
            <w:tcW w:w="637" w:type="dxa"/>
            <w:noWrap/>
            <w:tcMar>
              <w:left w:w="57" w:type="dxa"/>
              <w:right w:w="57" w:type="dxa"/>
            </w:tcMar>
            <w:vAlign w:val="center"/>
          </w:tcPr>
          <w:p w14:paraId="5F1EFEDA"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2,3</w:t>
            </w:r>
          </w:p>
        </w:tc>
        <w:tc>
          <w:tcPr>
            <w:tcW w:w="637" w:type="dxa"/>
            <w:noWrap/>
            <w:tcMar>
              <w:left w:w="57" w:type="dxa"/>
              <w:right w:w="57" w:type="dxa"/>
            </w:tcMar>
            <w:vAlign w:val="center"/>
          </w:tcPr>
          <w:p w14:paraId="4323ED20"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3,6</w:t>
            </w:r>
          </w:p>
        </w:tc>
        <w:tc>
          <w:tcPr>
            <w:tcW w:w="637" w:type="dxa"/>
            <w:tcBorders>
              <w:right w:val="single" w:sz="4" w:space="0" w:color="9CC2E5"/>
            </w:tcBorders>
            <w:noWrap/>
            <w:tcMar>
              <w:left w:w="57" w:type="dxa"/>
              <w:right w:w="57" w:type="dxa"/>
            </w:tcMar>
            <w:vAlign w:val="center"/>
          </w:tcPr>
          <w:p w14:paraId="544CCF19"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4,0</w:t>
            </w:r>
          </w:p>
        </w:tc>
        <w:tc>
          <w:tcPr>
            <w:tcW w:w="638" w:type="dxa"/>
            <w:tcBorders>
              <w:left w:val="single" w:sz="4" w:space="0" w:color="9CC2E5"/>
              <w:right w:val="double" w:sz="4" w:space="0" w:color="9CC2E5"/>
            </w:tcBorders>
            <w:vAlign w:val="center"/>
          </w:tcPr>
          <w:p w14:paraId="21B1D032"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4,0</w:t>
            </w:r>
          </w:p>
        </w:tc>
        <w:tc>
          <w:tcPr>
            <w:tcW w:w="637" w:type="dxa"/>
            <w:tcBorders>
              <w:left w:val="double" w:sz="4" w:space="0" w:color="9CC2E5"/>
            </w:tcBorders>
            <w:noWrap/>
            <w:tcMar>
              <w:left w:w="57" w:type="dxa"/>
              <w:right w:w="57" w:type="dxa"/>
            </w:tcMar>
            <w:vAlign w:val="center"/>
          </w:tcPr>
          <w:p w14:paraId="3D8CC709"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-1,7</w:t>
            </w:r>
          </w:p>
        </w:tc>
        <w:tc>
          <w:tcPr>
            <w:tcW w:w="637" w:type="dxa"/>
            <w:noWrap/>
            <w:tcMar>
              <w:left w:w="57" w:type="dxa"/>
              <w:right w:w="57" w:type="dxa"/>
            </w:tcMar>
            <w:vAlign w:val="center"/>
          </w:tcPr>
          <w:p w14:paraId="5CBC78F0"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-1,0</w:t>
            </w:r>
          </w:p>
        </w:tc>
        <w:tc>
          <w:tcPr>
            <w:tcW w:w="637" w:type="dxa"/>
            <w:noWrap/>
            <w:tcMar>
              <w:left w:w="57" w:type="dxa"/>
              <w:right w:w="57" w:type="dxa"/>
            </w:tcMar>
            <w:vAlign w:val="center"/>
          </w:tcPr>
          <w:p w14:paraId="457872C4"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-0,5</w:t>
            </w:r>
          </w:p>
        </w:tc>
        <w:tc>
          <w:tcPr>
            <w:tcW w:w="637" w:type="dxa"/>
            <w:noWrap/>
            <w:tcMar>
              <w:left w:w="57" w:type="dxa"/>
              <w:right w:w="57" w:type="dxa"/>
            </w:tcMar>
            <w:vAlign w:val="center"/>
          </w:tcPr>
          <w:p w14:paraId="38D7B267"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8" w:type="dxa"/>
            <w:vAlign w:val="center"/>
          </w:tcPr>
          <w:p w14:paraId="45E3F428"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r>
      <w:tr w:rsidR="006923DF" w:rsidRPr="007A4145" w14:paraId="1B9AEE83" w14:textId="77777777" w:rsidTr="006923DF">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3F13C61" w14:textId="77777777" w:rsidR="006923DF" w:rsidRPr="007A4145" w:rsidRDefault="006923DF" w:rsidP="006923DF">
            <w:pPr>
              <w:ind w:left="34" w:firstLine="0"/>
              <w:jc w:val="left"/>
              <w:rPr>
                <w:rFonts w:eastAsia="Times New Roman"/>
                <w:b w:val="0"/>
                <w:color w:val="auto"/>
                <w:sz w:val="18"/>
                <w:szCs w:val="18"/>
              </w:rPr>
            </w:pPr>
            <w:r w:rsidRPr="007A4145">
              <w:rPr>
                <w:rFonts w:eastAsia="Times New Roman"/>
                <w:b w:val="0"/>
                <w:color w:val="auto"/>
                <w:sz w:val="18"/>
                <w:szCs w:val="18"/>
              </w:rPr>
              <w:t>Preču un pakalpojumu imports, pieaugums salīdzināmās cenās, %</w:t>
            </w:r>
          </w:p>
        </w:tc>
        <w:tc>
          <w:tcPr>
            <w:tcW w:w="637" w:type="dxa"/>
            <w:noWrap/>
            <w:tcMar>
              <w:left w:w="57" w:type="dxa"/>
              <w:right w:w="57" w:type="dxa"/>
            </w:tcMar>
            <w:vAlign w:val="center"/>
          </w:tcPr>
          <w:p w14:paraId="08A64E53"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0,4</w:t>
            </w:r>
          </w:p>
        </w:tc>
        <w:tc>
          <w:tcPr>
            <w:tcW w:w="637" w:type="dxa"/>
            <w:noWrap/>
            <w:tcMar>
              <w:left w:w="57" w:type="dxa"/>
              <w:right w:w="57" w:type="dxa"/>
            </w:tcMar>
            <w:vAlign w:val="center"/>
          </w:tcPr>
          <w:p w14:paraId="6F178E02"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3,1</w:t>
            </w:r>
          </w:p>
        </w:tc>
        <w:tc>
          <w:tcPr>
            <w:tcW w:w="637" w:type="dxa"/>
            <w:noWrap/>
            <w:tcMar>
              <w:left w:w="57" w:type="dxa"/>
              <w:right w:w="57" w:type="dxa"/>
            </w:tcMar>
            <w:vAlign w:val="center"/>
          </w:tcPr>
          <w:p w14:paraId="75AFC3FB"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3,6</w:t>
            </w:r>
          </w:p>
        </w:tc>
        <w:tc>
          <w:tcPr>
            <w:tcW w:w="637" w:type="dxa"/>
            <w:tcBorders>
              <w:right w:val="single" w:sz="4" w:space="0" w:color="9CC2E5"/>
            </w:tcBorders>
            <w:noWrap/>
            <w:tcMar>
              <w:left w:w="57" w:type="dxa"/>
              <w:right w:w="57" w:type="dxa"/>
            </w:tcMar>
            <w:vAlign w:val="center"/>
          </w:tcPr>
          <w:p w14:paraId="72FE6BB1"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3,6</w:t>
            </w:r>
          </w:p>
        </w:tc>
        <w:tc>
          <w:tcPr>
            <w:tcW w:w="638" w:type="dxa"/>
            <w:tcBorders>
              <w:left w:val="single" w:sz="4" w:space="0" w:color="9CC2E5"/>
              <w:right w:val="double" w:sz="4" w:space="0" w:color="9CC2E5"/>
            </w:tcBorders>
            <w:vAlign w:val="center"/>
          </w:tcPr>
          <w:p w14:paraId="25765AB7"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3,6</w:t>
            </w:r>
          </w:p>
        </w:tc>
        <w:tc>
          <w:tcPr>
            <w:tcW w:w="637" w:type="dxa"/>
            <w:tcBorders>
              <w:left w:val="double" w:sz="4" w:space="0" w:color="9CC2E5"/>
            </w:tcBorders>
            <w:noWrap/>
            <w:tcMar>
              <w:left w:w="57" w:type="dxa"/>
              <w:right w:w="57" w:type="dxa"/>
            </w:tcMar>
            <w:vAlign w:val="center"/>
          </w:tcPr>
          <w:p w14:paraId="4882EA3C"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-1,5</w:t>
            </w:r>
          </w:p>
        </w:tc>
        <w:tc>
          <w:tcPr>
            <w:tcW w:w="637" w:type="dxa"/>
            <w:noWrap/>
            <w:tcMar>
              <w:left w:w="57" w:type="dxa"/>
              <w:right w:w="57" w:type="dxa"/>
            </w:tcMar>
            <w:vAlign w:val="center"/>
          </w:tcPr>
          <w:p w14:paraId="6160CBC6"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-0,8</w:t>
            </w:r>
          </w:p>
        </w:tc>
        <w:tc>
          <w:tcPr>
            <w:tcW w:w="637" w:type="dxa"/>
            <w:noWrap/>
            <w:tcMar>
              <w:left w:w="57" w:type="dxa"/>
              <w:right w:w="57" w:type="dxa"/>
            </w:tcMar>
            <w:vAlign w:val="center"/>
          </w:tcPr>
          <w:p w14:paraId="59764BD0"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-0,4</w:t>
            </w:r>
          </w:p>
        </w:tc>
        <w:tc>
          <w:tcPr>
            <w:tcW w:w="637" w:type="dxa"/>
            <w:noWrap/>
            <w:tcMar>
              <w:left w:w="57" w:type="dxa"/>
              <w:right w:w="57" w:type="dxa"/>
            </w:tcMar>
            <w:vAlign w:val="center"/>
          </w:tcPr>
          <w:p w14:paraId="2A473F15"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8" w:type="dxa"/>
            <w:vAlign w:val="center"/>
          </w:tcPr>
          <w:p w14:paraId="0A4BDE47"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r>
      <w:tr w:rsidR="006923DF" w:rsidRPr="007A4145" w14:paraId="47B28271"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21BCCB38" w14:textId="77777777" w:rsidR="006923DF" w:rsidRPr="007A4145" w:rsidRDefault="006923DF" w:rsidP="006923DF">
            <w:pPr>
              <w:ind w:left="8" w:firstLine="0"/>
              <w:jc w:val="left"/>
              <w:rPr>
                <w:rFonts w:eastAsia="Times New Roman"/>
                <w:b w:val="0"/>
                <w:color w:val="auto"/>
                <w:sz w:val="18"/>
                <w:szCs w:val="18"/>
              </w:rPr>
            </w:pPr>
            <w:r w:rsidRPr="007A4145">
              <w:rPr>
                <w:rFonts w:eastAsia="Times New Roman"/>
                <w:b w:val="0"/>
                <w:color w:val="auto"/>
                <w:sz w:val="18"/>
                <w:szCs w:val="18"/>
              </w:rPr>
              <w:t>Vidējās darba samaksas tautsaimniecībā pieaugums faktiskajās cenās, %</w:t>
            </w:r>
          </w:p>
        </w:tc>
        <w:tc>
          <w:tcPr>
            <w:tcW w:w="637" w:type="dxa"/>
            <w:noWrap/>
            <w:tcMar>
              <w:left w:w="57" w:type="dxa"/>
              <w:right w:w="57" w:type="dxa"/>
            </w:tcMar>
            <w:vAlign w:val="center"/>
          </w:tcPr>
          <w:p w14:paraId="62CCDC96"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6,0</w:t>
            </w:r>
          </w:p>
        </w:tc>
        <w:tc>
          <w:tcPr>
            <w:tcW w:w="637" w:type="dxa"/>
            <w:noWrap/>
            <w:tcMar>
              <w:left w:w="57" w:type="dxa"/>
              <w:right w:w="57" w:type="dxa"/>
            </w:tcMar>
            <w:vAlign w:val="center"/>
          </w:tcPr>
          <w:p w14:paraId="68375E00"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6,0</w:t>
            </w:r>
          </w:p>
        </w:tc>
        <w:tc>
          <w:tcPr>
            <w:tcW w:w="637" w:type="dxa"/>
            <w:noWrap/>
            <w:tcMar>
              <w:left w:w="57" w:type="dxa"/>
              <w:right w:w="57" w:type="dxa"/>
            </w:tcMar>
            <w:vAlign w:val="center"/>
          </w:tcPr>
          <w:p w14:paraId="2F1E1B57"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6,0</w:t>
            </w:r>
          </w:p>
        </w:tc>
        <w:tc>
          <w:tcPr>
            <w:tcW w:w="637" w:type="dxa"/>
            <w:tcBorders>
              <w:right w:val="single" w:sz="4" w:space="0" w:color="9CC2E5"/>
            </w:tcBorders>
            <w:noWrap/>
            <w:tcMar>
              <w:left w:w="57" w:type="dxa"/>
              <w:right w:w="57" w:type="dxa"/>
            </w:tcMar>
            <w:vAlign w:val="center"/>
          </w:tcPr>
          <w:p w14:paraId="310B9D51"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5,0</w:t>
            </w:r>
          </w:p>
        </w:tc>
        <w:tc>
          <w:tcPr>
            <w:tcW w:w="638" w:type="dxa"/>
            <w:tcBorders>
              <w:left w:val="single" w:sz="4" w:space="0" w:color="9CC2E5"/>
              <w:right w:val="double" w:sz="4" w:space="0" w:color="9CC2E5"/>
            </w:tcBorders>
            <w:vAlign w:val="center"/>
          </w:tcPr>
          <w:p w14:paraId="259EF58F"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5,0</w:t>
            </w:r>
          </w:p>
        </w:tc>
        <w:tc>
          <w:tcPr>
            <w:tcW w:w="637" w:type="dxa"/>
            <w:tcBorders>
              <w:left w:val="double" w:sz="4" w:space="0" w:color="9CC2E5"/>
            </w:tcBorders>
            <w:noWrap/>
            <w:tcMar>
              <w:left w:w="57" w:type="dxa"/>
              <w:right w:w="57" w:type="dxa"/>
            </w:tcMar>
            <w:vAlign w:val="center"/>
          </w:tcPr>
          <w:p w14:paraId="5E3F2D37"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-1,5</w:t>
            </w:r>
          </w:p>
        </w:tc>
        <w:tc>
          <w:tcPr>
            <w:tcW w:w="637" w:type="dxa"/>
            <w:noWrap/>
            <w:tcMar>
              <w:left w:w="57" w:type="dxa"/>
              <w:right w:w="57" w:type="dxa"/>
            </w:tcMar>
            <w:vAlign w:val="center"/>
          </w:tcPr>
          <w:p w14:paraId="38B66EA6"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-0,5</w:t>
            </w:r>
          </w:p>
        </w:tc>
        <w:tc>
          <w:tcPr>
            <w:tcW w:w="637" w:type="dxa"/>
            <w:noWrap/>
            <w:tcMar>
              <w:left w:w="57" w:type="dxa"/>
              <w:right w:w="57" w:type="dxa"/>
            </w:tcMar>
            <w:vAlign w:val="center"/>
          </w:tcPr>
          <w:p w14:paraId="49BF9DB6"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7" w:type="dxa"/>
            <w:noWrap/>
            <w:tcMar>
              <w:left w:w="57" w:type="dxa"/>
              <w:right w:w="57" w:type="dxa"/>
            </w:tcMar>
            <w:vAlign w:val="center"/>
          </w:tcPr>
          <w:p w14:paraId="57122CED"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8" w:type="dxa"/>
            <w:vAlign w:val="center"/>
          </w:tcPr>
          <w:p w14:paraId="6F5269D2"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r>
      <w:tr w:rsidR="006923DF" w:rsidRPr="007A4145" w14:paraId="4DD5E628" w14:textId="77777777" w:rsidTr="006923DF">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26430B49" w14:textId="77777777" w:rsidR="006923DF" w:rsidRPr="007A4145" w:rsidRDefault="006923DF" w:rsidP="006923DF">
            <w:pPr>
              <w:ind w:left="8" w:firstLine="0"/>
              <w:jc w:val="left"/>
              <w:rPr>
                <w:rFonts w:eastAsia="Times New Roman"/>
                <w:b w:val="0"/>
                <w:color w:val="auto"/>
                <w:sz w:val="18"/>
                <w:szCs w:val="18"/>
              </w:rPr>
            </w:pPr>
            <w:r w:rsidRPr="007A4145">
              <w:rPr>
                <w:rFonts w:eastAsia="Times New Roman"/>
                <w:b w:val="0"/>
                <w:color w:val="auto"/>
                <w:sz w:val="18"/>
                <w:szCs w:val="18"/>
              </w:rPr>
              <w:t>Nodarbinātības pieaugums, %</w:t>
            </w:r>
          </w:p>
        </w:tc>
        <w:tc>
          <w:tcPr>
            <w:tcW w:w="637" w:type="dxa"/>
            <w:noWrap/>
            <w:tcMar>
              <w:left w:w="57" w:type="dxa"/>
              <w:right w:w="57" w:type="dxa"/>
            </w:tcMar>
            <w:vAlign w:val="center"/>
          </w:tcPr>
          <w:p w14:paraId="7514A803"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-0,1</w:t>
            </w:r>
          </w:p>
        </w:tc>
        <w:tc>
          <w:tcPr>
            <w:tcW w:w="637" w:type="dxa"/>
            <w:noWrap/>
            <w:tcMar>
              <w:left w:w="57" w:type="dxa"/>
              <w:right w:w="57" w:type="dxa"/>
            </w:tcMar>
            <w:vAlign w:val="center"/>
          </w:tcPr>
          <w:p w14:paraId="347E79A5"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7" w:type="dxa"/>
            <w:noWrap/>
            <w:tcMar>
              <w:left w:w="57" w:type="dxa"/>
              <w:right w:w="57" w:type="dxa"/>
            </w:tcMar>
            <w:vAlign w:val="center"/>
          </w:tcPr>
          <w:p w14:paraId="730D80D6"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-0,3</w:t>
            </w:r>
          </w:p>
        </w:tc>
        <w:tc>
          <w:tcPr>
            <w:tcW w:w="637" w:type="dxa"/>
            <w:tcBorders>
              <w:right w:val="single" w:sz="4" w:space="0" w:color="9CC2E5"/>
            </w:tcBorders>
            <w:noWrap/>
            <w:tcMar>
              <w:left w:w="57" w:type="dxa"/>
              <w:right w:w="57" w:type="dxa"/>
            </w:tcMar>
            <w:vAlign w:val="center"/>
          </w:tcPr>
          <w:p w14:paraId="68148009"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-0,3</w:t>
            </w:r>
          </w:p>
        </w:tc>
        <w:tc>
          <w:tcPr>
            <w:tcW w:w="638" w:type="dxa"/>
            <w:tcBorders>
              <w:left w:val="single" w:sz="4" w:space="0" w:color="9CC2E5"/>
              <w:right w:val="double" w:sz="4" w:space="0" w:color="9CC2E5"/>
            </w:tcBorders>
            <w:vAlign w:val="center"/>
          </w:tcPr>
          <w:p w14:paraId="7580C17E"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-0,3</w:t>
            </w:r>
          </w:p>
        </w:tc>
        <w:tc>
          <w:tcPr>
            <w:tcW w:w="637" w:type="dxa"/>
            <w:tcBorders>
              <w:left w:val="double" w:sz="4" w:space="0" w:color="9CC2E5"/>
            </w:tcBorders>
            <w:noWrap/>
            <w:tcMar>
              <w:left w:w="57" w:type="dxa"/>
              <w:right w:w="57" w:type="dxa"/>
            </w:tcMar>
            <w:vAlign w:val="center"/>
          </w:tcPr>
          <w:p w14:paraId="678BF203"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-0,1</w:t>
            </w:r>
          </w:p>
        </w:tc>
        <w:tc>
          <w:tcPr>
            <w:tcW w:w="637" w:type="dxa"/>
            <w:noWrap/>
            <w:tcMar>
              <w:left w:w="57" w:type="dxa"/>
              <w:right w:w="57" w:type="dxa"/>
            </w:tcMar>
            <w:vAlign w:val="center"/>
          </w:tcPr>
          <w:p w14:paraId="7ED04503"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7" w:type="dxa"/>
            <w:noWrap/>
            <w:tcMar>
              <w:left w:w="57" w:type="dxa"/>
              <w:right w:w="57" w:type="dxa"/>
            </w:tcMar>
            <w:vAlign w:val="center"/>
          </w:tcPr>
          <w:p w14:paraId="16F481D3"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7" w:type="dxa"/>
            <w:noWrap/>
            <w:tcMar>
              <w:left w:w="57" w:type="dxa"/>
              <w:right w:w="57" w:type="dxa"/>
            </w:tcMar>
            <w:vAlign w:val="center"/>
          </w:tcPr>
          <w:p w14:paraId="3D252756"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c>
          <w:tcPr>
            <w:tcW w:w="638" w:type="dxa"/>
            <w:vAlign w:val="center"/>
          </w:tcPr>
          <w:p w14:paraId="5562E41C" w14:textId="77777777" w:rsidR="006923DF" w:rsidRPr="007A414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0,0</w:t>
            </w:r>
          </w:p>
        </w:tc>
      </w:tr>
      <w:tr w:rsidR="006923DF" w:rsidRPr="007A4145" w14:paraId="0FB1153E"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1EB5A29" w14:textId="77777777" w:rsidR="006923DF" w:rsidRPr="007A4145" w:rsidRDefault="006923DF" w:rsidP="006923DF">
            <w:pPr>
              <w:ind w:left="8" w:firstLine="0"/>
              <w:jc w:val="left"/>
              <w:rPr>
                <w:rFonts w:eastAsia="Times New Roman"/>
                <w:b w:val="0"/>
                <w:color w:val="auto"/>
                <w:sz w:val="18"/>
                <w:szCs w:val="18"/>
              </w:rPr>
            </w:pPr>
            <w:r w:rsidRPr="007A4145">
              <w:rPr>
                <w:rFonts w:eastAsia="Times New Roman"/>
                <w:b w:val="0"/>
                <w:color w:val="auto"/>
                <w:sz w:val="18"/>
                <w:szCs w:val="18"/>
              </w:rPr>
              <w:t>Bezdarba līmenis, %</w:t>
            </w:r>
          </w:p>
        </w:tc>
        <w:tc>
          <w:tcPr>
            <w:tcW w:w="637" w:type="dxa"/>
            <w:noWrap/>
            <w:tcMar>
              <w:left w:w="57" w:type="dxa"/>
              <w:right w:w="57" w:type="dxa"/>
            </w:tcMar>
            <w:vAlign w:val="center"/>
          </w:tcPr>
          <w:p w14:paraId="5CEE9143"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6,7</w:t>
            </w:r>
          </w:p>
        </w:tc>
        <w:tc>
          <w:tcPr>
            <w:tcW w:w="637" w:type="dxa"/>
            <w:noWrap/>
            <w:tcMar>
              <w:left w:w="57" w:type="dxa"/>
              <w:right w:w="57" w:type="dxa"/>
            </w:tcMar>
            <w:vAlign w:val="center"/>
          </w:tcPr>
          <w:p w14:paraId="4747A449"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6,3</w:t>
            </w:r>
          </w:p>
        </w:tc>
        <w:tc>
          <w:tcPr>
            <w:tcW w:w="637" w:type="dxa"/>
            <w:noWrap/>
            <w:tcMar>
              <w:left w:w="57" w:type="dxa"/>
              <w:right w:w="57" w:type="dxa"/>
            </w:tcMar>
            <w:vAlign w:val="center"/>
          </w:tcPr>
          <w:p w14:paraId="22766268"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6,3</w:t>
            </w:r>
          </w:p>
        </w:tc>
        <w:tc>
          <w:tcPr>
            <w:tcW w:w="637" w:type="dxa"/>
            <w:tcBorders>
              <w:right w:val="single" w:sz="4" w:space="0" w:color="9CC2E5"/>
            </w:tcBorders>
            <w:noWrap/>
            <w:tcMar>
              <w:left w:w="57" w:type="dxa"/>
              <w:right w:w="57" w:type="dxa"/>
            </w:tcMar>
            <w:vAlign w:val="center"/>
          </w:tcPr>
          <w:p w14:paraId="32A9FA1C"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5,8</w:t>
            </w:r>
          </w:p>
        </w:tc>
        <w:tc>
          <w:tcPr>
            <w:tcW w:w="638" w:type="dxa"/>
            <w:tcBorders>
              <w:left w:val="single" w:sz="4" w:space="0" w:color="9CC2E5"/>
              <w:right w:val="double" w:sz="4" w:space="0" w:color="9CC2E5"/>
            </w:tcBorders>
            <w:vAlign w:val="center"/>
          </w:tcPr>
          <w:p w14:paraId="3DECE534"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5,2</w:t>
            </w:r>
          </w:p>
        </w:tc>
        <w:tc>
          <w:tcPr>
            <w:tcW w:w="637" w:type="dxa"/>
            <w:tcBorders>
              <w:left w:val="double" w:sz="4" w:space="0" w:color="9CC2E5"/>
            </w:tcBorders>
            <w:noWrap/>
            <w:tcMar>
              <w:left w:w="57" w:type="dxa"/>
              <w:right w:w="57" w:type="dxa"/>
            </w:tcMar>
            <w:vAlign w:val="center"/>
          </w:tcPr>
          <w:p w14:paraId="4421DE59"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0,3</w:t>
            </w:r>
          </w:p>
        </w:tc>
        <w:tc>
          <w:tcPr>
            <w:tcW w:w="637" w:type="dxa"/>
            <w:noWrap/>
            <w:tcMar>
              <w:left w:w="57" w:type="dxa"/>
              <w:right w:w="57" w:type="dxa"/>
            </w:tcMar>
            <w:vAlign w:val="center"/>
          </w:tcPr>
          <w:p w14:paraId="625BC9BB"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0,3</w:t>
            </w:r>
          </w:p>
        </w:tc>
        <w:tc>
          <w:tcPr>
            <w:tcW w:w="637" w:type="dxa"/>
            <w:noWrap/>
            <w:tcMar>
              <w:left w:w="57" w:type="dxa"/>
              <w:right w:w="57" w:type="dxa"/>
            </w:tcMar>
            <w:vAlign w:val="center"/>
          </w:tcPr>
          <w:p w14:paraId="7656FD1F"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0,3</w:t>
            </w:r>
          </w:p>
        </w:tc>
        <w:tc>
          <w:tcPr>
            <w:tcW w:w="637" w:type="dxa"/>
            <w:noWrap/>
            <w:tcMar>
              <w:left w:w="57" w:type="dxa"/>
              <w:right w:w="57" w:type="dxa"/>
            </w:tcMar>
            <w:vAlign w:val="center"/>
          </w:tcPr>
          <w:p w14:paraId="02398793"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0,3</w:t>
            </w:r>
          </w:p>
        </w:tc>
        <w:tc>
          <w:tcPr>
            <w:tcW w:w="638" w:type="dxa"/>
            <w:vAlign w:val="center"/>
          </w:tcPr>
          <w:p w14:paraId="7412C8DF" w14:textId="77777777" w:rsidR="006923DF" w:rsidRPr="007A414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7A4145">
              <w:rPr>
                <w:rFonts w:eastAsia="Times New Roman"/>
                <w:color w:val="auto"/>
                <w:sz w:val="18"/>
                <w:szCs w:val="18"/>
              </w:rPr>
              <w:t>0,3</w:t>
            </w:r>
          </w:p>
        </w:tc>
      </w:tr>
    </w:tbl>
    <w:p w14:paraId="151DA603" w14:textId="77777777" w:rsidR="006923DF" w:rsidRPr="007A4145" w:rsidRDefault="006923DF" w:rsidP="006923DF">
      <w:pPr>
        <w:autoSpaceDE w:val="0"/>
        <w:autoSpaceDN w:val="0"/>
        <w:adjustRightInd w:val="0"/>
        <w:rPr>
          <w:rFonts w:eastAsia="Times New Roman" w:cs="Times New Roman"/>
          <w:sz w:val="24"/>
          <w:lang w:eastAsia="lv-LV"/>
        </w:rPr>
      </w:pPr>
    </w:p>
    <w:p w14:paraId="1788AA3E" w14:textId="69DAB761" w:rsidR="006923DF" w:rsidRPr="000732F2" w:rsidRDefault="006923DF" w:rsidP="00BA387D">
      <w:pPr>
        <w:autoSpaceDE w:val="0"/>
        <w:autoSpaceDN w:val="0"/>
        <w:adjustRightInd w:val="0"/>
        <w:rPr>
          <w:rFonts w:eastAsia="Times New Roman" w:cs="Times New Roman"/>
          <w:sz w:val="24"/>
          <w:lang w:eastAsia="lv-LV"/>
        </w:rPr>
      </w:pPr>
      <w:r w:rsidRPr="000732F2">
        <w:rPr>
          <w:rFonts w:eastAsia="Times New Roman" w:cs="Times New Roman"/>
          <w:sz w:val="24"/>
          <w:lang w:eastAsia="lv-LV"/>
        </w:rPr>
        <w:t xml:space="preserve">Tajā pašā laikā scenārijs paredz, ka enerģijas cenas saglabāsies relatīvi augstas, nedaudz palielinot patēriņa cenu inflāciju, tomēr ietekme būtu neliela, ņemot vērā ECB ierobežojošo politiku un </w:t>
      </w:r>
      <w:r w:rsidR="007A4145" w:rsidRPr="000732F2">
        <w:rPr>
          <w:rFonts w:eastAsia="Times New Roman" w:cs="Times New Roman"/>
          <w:sz w:val="24"/>
          <w:lang w:eastAsia="lv-LV"/>
        </w:rPr>
        <w:t>sarūkošo</w:t>
      </w:r>
      <w:r w:rsidRPr="000732F2">
        <w:rPr>
          <w:rFonts w:eastAsia="Times New Roman" w:cs="Times New Roman"/>
          <w:sz w:val="24"/>
          <w:lang w:eastAsia="lv-LV"/>
        </w:rPr>
        <w:t xml:space="preserve"> globālo pieprasījumu. Rezultātā inflācija 2024. līdz 2026. gadam būtu attiecīgi 2%, 3% un 2,8% jeb vidēji par 0,5 procentpunktiem augstāka nekā bāzes scenārijā.</w:t>
      </w:r>
    </w:p>
    <w:p w14:paraId="70F7C145" w14:textId="77777777" w:rsidR="006923DF" w:rsidRDefault="006923DF" w:rsidP="00BA387D">
      <w:pPr>
        <w:autoSpaceDE w:val="0"/>
        <w:autoSpaceDN w:val="0"/>
        <w:adjustRightInd w:val="0"/>
        <w:rPr>
          <w:rFonts w:eastAsia="Times New Roman" w:cs="Times New Roman"/>
          <w:sz w:val="24"/>
          <w:lang w:eastAsia="lv-LV"/>
        </w:rPr>
      </w:pPr>
      <w:r w:rsidRPr="000732F2">
        <w:rPr>
          <w:rFonts w:eastAsia="Times New Roman" w:cs="Times New Roman"/>
          <w:sz w:val="24"/>
          <w:lang w:eastAsia="lv-LV"/>
        </w:rPr>
        <w:t xml:space="preserve">Ņemot vērā saspringto situāciju darba tirgū, nav gaidāms nodarbinātības nozīmīgs samazinājums, bezdarbs pieaugtu tikai par 0,3 procentpunktiem salīdzinājumā ar bāzes scenāriju. Tomēr negatīvā ekonomiskā situācija atstās iespaidu uz algu pieaugumu, jo uzņēmumi nevarēs tik strauji kāpināt algas kā bāzes scenārijā, līdz ar to tās augtu par 6%, kas būtu par 1 procentpunktu </w:t>
      </w:r>
      <w:r w:rsidRPr="00F622B6">
        <w:rPr>
          <w:rFonts w:eastAsia="Times New Roman" w:cs="Times New Roman"/>
          <w:sz w:val="24"/>
          <w:lang w:eastAsia="lv-LV"/>
        </w:rPr>
        <w:t xml:space="preserve">zemāk nekā bāzes scenārijā. </w:t>
      </w:r>
    </w:p>
    <w:p w14:paraId="0347F79F" w14:textId="77777777" w:rsidR="00D86177" w:rsidRPr="00F622B6" w:rsidRDefault="00D86177" w:rsidP="00BA387D">
      <w:pPr>
        <w:autoSpaceDE w:val="0"/>
        <w:autoSpaceDN w:val="0"/>
        <w:adjustRightInd w:val="0"/>
        <w:rPr>
          <w:rFonts w:eastAsia="Times New Roman" w:cs="Times New Roman"/>
          <w:sz w:val="24"/>
          <w:lang w:eastAsia="lv-LV"/>
        </w:rPr>
      </w:pPr>
    </w:p>
    <w:bookmarkEnd w:id="59"/>
    <w:p w14:paraId="6BBE6F79" w14:textId="77777777" w:rsidR="006923DF" w:rsidRPr="00F622B6" w:rsidRDefault="006923DF" w:rsidP="00D86177">
      <w:pPr>
        <w:autoSpaceDE w:val="0"/>
        <w:autoSpaceDN w:val="0"/>
        <w:adjustRightInd w:val="0"/>
        <w:spacing w:after="120"/>
        <w:rPr>
          <w:rFonts w:eastAsia="Times New Roman" w:cs="Times New Roman"/>
          <w:b/>
          <w:color w:val="000000"/>
          <w:sz w:val="24"/>
          <w:szCs w:val="24"/>
          <w:lang w:eastAsia="lv-LV"/>
        </w:rPr>
      </w:pPr>
      <w:r w:rsidRPr="00F622B6">
        <w:rPr>
          <w:rFonts w:eastAsia="Times New Roman" w:cs="Times New Roman"/>
          <w:b/>
          <w:color w:val="000000"/>
          <w:sz w:val="24"/>
          <w:szCs w:val="24"/>
          <w:lang w:eastAsia="lv-LV"/>
        </w:rPr>
        <w:t>Ietekme uz vispārējās valdības budžetu</w:t>
      </w:r>
    </w:p>
    <w:p w14:paraId="03C75518" w14:textId="04CA5E4D" w:rsidR="006923DF" w:rsidRPr="00F622B6" w:rsidRDefault="006923DF" w:rsidP="00FF1B5A">
      <w:pPr>
        <w:autoSpaceDE w:val="0"/>
        <w:autoSpaceDN w:val="0"/>
        <w:adjustRightInd w:val="0"/>
        <w:spacing w:after="240"/>
        <w:rPr>
          <w:rFonts w:eastAsia="Times New Roman" w:cs="Times New Roman"/>
          <w:color w:val="FF0000"/>
          <w:sz w:val="24"/>
          <w:szCs w:val="24"/>
          <w:lang w:eastAsia="lv-LV"/>
        </w:rPr>
      </w:pPr>
      <w:r w:rsidRPr="00F622B6">
        <w:rPr>
          <w:rFonts w:eastAsia="Times New Roman" w:cs="Times New Roman"/>
          <w:sz w:val="24"/>
          <w:szCs w:val="24"/>
          <w:lang w:eastAsia="lv-LV"/>
        </w:rPr>
        <w:t xml:space="preserve">Īstenojoties pesimistiskajam scenārijam, samazinātos nodokļu ieņēmumi, ar 2026. gadu pieaugtu izdevumi pabalstiem un pasliktinātos vispārējās valdības budžeta bilance. Salīdzinājumā ar bāzes scenāriju pesimistiskā scenārija gadījumā vispārējās valdības deficīts 2024. gadā pieaugtu par 146,8 milj. </w:t>
      </w:r>
      <w:proofErr w:type="spellStart"/>
      <w:r w:rsidRPr="00F622B6">
        <w:rPr>
          <w:rFonts w:eastAsia="Times New Roman" w:cs="Times New Roman"/>
          <w:i/>
          <w:sz w:val="24"/>
          <w:szCs w:val="24"/>
          <w:lang w:eastAsia="lv-LV"/>
        </w:rPr>
        <w:t>euro</w:t>
      </w:r>
      <w:proofErr w:type="spellEnd"/>
      <w:r w:rsidRPr="00F622B6">
        <w:rPr>
          <w:rFonts w:eastAsia="Times New Roman" w:cs="Times New Roman"/>
          <w:sz w:val="24"/>
          <w:szCs w:val="24"/>
          <w:lang w:eastAsia="lv-LV"/>
        </w:rPr>
        <w:t xml:space="preserve"> jeb 0,4 </w:t>
      </w:r>
      <w:r w:rsidR="003E5E38">
        <w:rPr>
          <w:rFonts w:eastAsia="Times New Roman" w:cs="Times New Roman"/>
          <w:sz w:val="24"/>
          <w:szCs w:val="24"/>
          <w:lang w:eastAsia="lv-LV"/>
        </w:rPr>
        <w:t>procentpunktiem</w:t>
      </w:r>
      <w:r w:rsidRPr="00F622B6">
        <w:rPr>
          <w:rFonts w:eastAsia="Times New Roman" w:cs="Times New Roman"/>
          <w:sz w:val="24"/>
          <w:szCs w:val="24"/>
          <w:lang w:eastAsia="lv-LV"/>
        </w:rPr>
        <w:t xml:space="preserve"> no IKP. Savukārt 2025., 2026., 2027. un 2028.</w:t>
      </w:r>
      <w:r w:rsidR="00F622B6" w:rsidRPr="00F622B6">
        <w:rPr>
          <w:rFonts w:eastAsia="Times New Roman" w:cs="Times New Roman"/>
          <w:sz w:val="24"/>
          <w:szCs w:val="24"/>
          <w:lang w:eastAsia="lv-LV"/>
        </w:rPr>
        <w:t xml:space="preserve"> </w:t>
      </w:r>
      <w:r w:rsidRPr="00F622B6">
        <w:rPr>
          <w:rFonts w:eastAsia="Times New Roman" w:cs="Times New Roman"/>
          <w:sz w:val="24"/>
          <w:szCs w:val="24"/>
          <w:lang w:eastAsia="lv-LV"/>
        </w:rPr>
        <w:t xml:space="preserve">gadā vispārējās valdības bilance pasliktinātos par 0,6 </w:t>
      </w:r>
      <w:r w:rsidR="003E5E38" w:rsidRPr="003E5E38">
        <w:rPr>
          <w:rFonts w:eastAsia="Times New Roman" w:cs="Times New Roman"/>
          <w:sz w:val="24"/>
          <w:szCs w:val="24"/>
          <w:lang w:eastAsia="lv-LV"/>
        </w:rPr>
        <w:t>procentpunktiem</w:t>
      </w:r>
      <w:r w:rsidRPr="00F622B6">
        <w:rPr>
          <w:rFonts w:eastAsia="Times New Roman" w:cs="Times New Roman"/>
          <w:sz w:val="24"/>
          <w:szCs w:val="24"/>
          <w:lang w:eastAsia="lv-LV"/>
        </w:rPr>
        <w:t xml:space="preserve"> no IKP ik gadu salīdzinājumā ar bāzes scenāriju, jeb attiecīgi 237,9 milj. </w:t>
      </w:r>
      <w:proofErr w:type="spellStart"/>
      <w:r w:rsidRPr="00F622B6">
        <w:rPr>
          <w:rFonts w:eastAsia="Times New Roman" w:cs="Times New Roman"/>
          <w:i/>
          <w:sz w:val="24"/>
          <w:szCs w:val="24"/>
          <w:lang w:eastAsia="lv-LV"/>
        </w:rPr>
        <w:t>euro</w:t>
      </w:r>
      <w:proofErr w:type="spellEnd"/>
      <w:r w:rsidRPr="00F622B6">
        <w:rPr>
          <w:rFonts w:eastAsia="Times New Roman" w:cs="Times New Roman"/>
          <w:sz w:val="24"/>
          <w:szCs w:val="24"/>
          <w:lang w:eastAsia="lv-LV"/>
        </w:rPr>
        <w:t xml:space="preserve">, 266,5 milj. </w:t>
      </w:r>
      <w:proofErr w:type="spellStart"/>
      <w:r w:rsidRPr="00F622B6">
        <w:rPr>
          <w:rFonts w:eastAsia="Times New Roman" w:cs="Times New Roman"/>
          <w:i/>
          <w:sz w:val="24"/>
          <w:szCs w:val="24"/>
          <w:lang w:eastAsia="lv-LV"/>
        </w:rPr>
        <w:t>euro</w:t>
      </w:r>
      <w:proofErr w:type="spellEnd"/>
      <w:r w:rsidRPr="00F622B6">
        <w:rPr>
          <w:rFonts w:eastAsia="Times New Roman" w:cs="Times New Roman"/>
          <w:sz w:val="24"/>
          <w:szCs w:val="24"/>
          <w:lang w:eastAsia="lv-LV"/>
        </w:rPr>
        <w:t xml:space="preserve">, 278,8 milj. </w:t>
      </w:r>
      <w:proofErr w:type="spellStart"/>
      <w:r w:rsidRPr="00F622B6">
        <w:rPr>
          <w:rFonts w:eastAsia="Times New Roman" w:cs="Times New Roman"/>
          <w:i/>
          <w:sz w:val="24"/>
          <w:szCs w:val="24"/>
          <w:lang w:eastAsia="lv-LV"/>
        </w:rPr>
        <w:t>euro</w:t>
      </w:r>
      <w:proofErr w:type="spellEnd"/>
      <w:r w:rsidRPr="00F622B6">
        <w:rPr>
          <w:rFonts w:eastAsia="Times New Roman" w:cs="Times New Roman"/>
          <w:sz w:val="24"/>
          <w:szCs w:val="24"/>
          <w:lang w:eastAsia="lv-LV"/>
        </w:rPr>
        <w:t xml:space="preserve"> un 284,1 milj. </w:t>
      </w:r>
      <w:proofErr w:type="spellStart"/>
      <w:r w:rsidRPr="00F622B6">
        <w:rPr>
          <w:rFonts w:eastAsia="Times New Roman" w:cs="Times New Roman"/>
          <w:i/>
          <w:sz w:val="24"/>
          <w:szCs w:val="24"/>
          <w:lang w:eastAsia="lv-LV"/>
        </w:rPr>
        <w:t>euro</w:t>
      </w:r>
      <w:proofErr w:type="spellEnd"/>
      <w:r w:rsidRPr="00F622B6">
        <w:rPr>
          <w:rFonts w:eastAsia="Times New Roman" w:cs="Times New Roman"/>
          <w:sz w:val="24"/>
          <w:szCs w:val="24"/>
          <w:lang w:eastAsia="lv-LV"/>
        </w:rPr>
        <w:t>. Vispārējās valdības deficīts pesimistiskajā scenārijā 2024. </w:t>
      </w:r>
      <w:r w:rsidRPr="00F622B6">
        <w:rPr>
          <w:rFonts w:eastAsia="Times New Roman" w:cs="Times New Roman"/>
          <w:sz w:val="24"/>
          <w:szCs w:val="24"/>
        </w:rPr>
        <w:t>gadā pieaugtu līdz 3,3% no IKP</w:t>
      </w:r>
      <w:r w:rsidRPr="00F622B6">
        <w:rPr>
          <w:rFonts w:eastAsia="Times New Roman" w:cs="Times New Roman"/>
          <w:sz w:val="24"/>
          <w:szCs w:val="24"/>
          <w:lang w:eastAsia="lv-LV"/>
        </w:rPr>
        <w:t>, 2025. gadā līdz 3,3% no IKP, 2026. gadā līdz 2,8% no IKP, 2027. gadā līdz 2,6% no IKP, bet 2028. gadā līdz 2,3% no IKP.</w:t>
      </w:r>
    </w:p>
    <w:p w14:paraId="11182EFF" w14:textId="544D7377" w:rsidR="006923DF" w:rsidRPr="004576B5" w:rsidRDefault="006923DF" w:rsidP="006923DF">
      <w:pPr>
        <w:spacing w:before="120" w:after="60"/>
        <w:ind w:firstLine="0"/>
        <w:jc w:val="right"/>
        <w:rPr>
          <w:rFonts w:eastAsia="Times New Roman" w:cs="Times New Roman"/>
          <w:b/>
          <w:i/>
          <w:iCs/>
          <w:sz w:val="24"/>
          <w:szCs w:val="24"/>
        </w:rPr>
      </w:pPr>
      <w:r w:rsidRPr="004576B5">
        <w:rPr>
          <w:rFonts w:eastAsia="Times New Roman" w:cs="Times New Roman"/>
          <w:b/>
          <w:i/>
          <w:iCs/>
          <w:sz w:val="24"/>
          <w:szCs w:val="24"/>
        </w:rPr>
        <w:t>4.2.</w:t>
      </w:r>
      <w:r w:rsidR="002D443D" w:rsidRPr="004576B5">
        <w:rPr>
          <w:rFonts w:eastAsia="Times New Roman" w:cs="Times New Roman"/>
          <w:b/>
          <w:i/>
          <w:iCs/>
          <w:sz w:val="24"/>
          <w:szCs w:val="24"/>
        </w:rPr>
        <w:t xml:space="preserve"> </w:t>
      </w:r>
      <w:r w:rsidRPr="004576B5">
        <w:rPr>
          <w:rFonts w:eastAsia="Times New Roman" w:cs="Times New Roman"/>
          <w:b/>
          <w:i/>
          <w:iCs/>
          <w:sz w:val="24"/>
          <w:szCs w:val="24"/>
        </w:rPr>
        <w:t xml:space="preserve">tabula. Pesimistiskā scenārija ietekme uz vispārējās valdības budžetu, </w:t>
      </w:r>
      <w:r w:rsidRPr="004576B5">
        <w:rPr>
          <w:rFonts w:eastAsia="Times New Roman" w:cs="Times New Roman"/>
          <w:b/>
          <w:i/>
          <w:iCs/>
          <w:noProof/>
          <w:sz w:val="24"/>
          <w:szCs w:val="24"/>
        </w:rPr>
        <w:t>milj. euro</w:t>
      </w:r>
    </w:p>
    <w:tbl>
      <w:tblPr>
        <w:tblW w:w="9437" w:type="dxa"/>
        <w:jc w:val="center"/>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1982"/>
        <w:gridCol w:w="804"/>
        <w:gridCol w:w="755"/>
        <w:gridCol w:w="854"/>
        <w:gridCol w:w="805"/>
        <w:gridCol w:w="805"/>
        <w:gridCol w:w="655"/>
        <w:gridCol w:w="717"/>
        <w:gridCol w:w="700"/>
        <w:gridCol w:w="709"/>
        <w:gridCol w:w="651"/>
      </w:tblGrid>
      <w:tr w:rsidR="006923DF" w:rsidRPr="00F622B6" w14:paraId="5D94835F" w14:textId="77777777" w:rsidTr="006923DF">
        <w:trPr>
          <w:trHeight w:val="20"/>
          <w:tblHeader/>
          <w:jc w:val="center"/>
        </w:trPr>
        <w:tc>
          <w:tcPr>
            <w:tcW w:w="1982" w:type="dxa"/>
            <w:shd w:val="clear" w:color="auto" w:fill="auto"/>
            <w:vAlign w:val="center"/>
            <w:hideMark/>
          </w:tcPr>
          <w:p w14:paraId="67CFA5BB" w14:textId="77777777" w:rsidR="006923DF" w:rsidRPr="00F622B6" w:rsidRDefault="006923DF" w:rsidP="006923DF">
            <w:pPr>
              <w:ind w:firstLine="0"/>
              <w:jc w:val="left"/>
              <w:rPr>
                <w:rFonts w:eastAsia="Times New Roman" w:cs="Times New Roman"/>
                <w:sz w:val="18"/>
                <w:szCs w:val="18"/>
                <w:lang w:eastAsia="lv-LV"/>
              </w:rPr>
            </w:pPr>
          </w:p>
        </w:tc>
        <w:tc>
          <w:tcPr>
            <w:tcW w:w="4023" w:type="dxa"/>
            <w:gridSpan w:val="5"/>
          </w:tcPr>
          <w:p w14:paraId="2415E082"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Pesimistiskais scenārijs</w:t>
            </w:r>
          </w:p>
        </w:tc>
        <w:tc>
          <w:tcPr>
            <w:tcW w:w="3432" w:type="dxa"/>
            <w:gridSpan w:val="5"/>
          </w:tcPr>
          <w:p w14:paraId="7652B271"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Novirze no bāzes scenārija</w:t>
            </w:r>
          </w:p>
        </w:tc>
      </w:tr>
      <w:tr w:rsidR="006923DF" w:rsidRPr="00F622B6" w14:paraId="1E09E931" w14:textId="77777777" w:rsidTr="006923DF">
        <w:trPr>
          <w:trHeight w:val="20"/>
          <w:tblHeader/>
          <w:jc w:val="center"/>
        </w:trPr>
        <w:tc>
          <w:tcPr>
            <w:tcW w:w="1982" w:type="dxa"/>
            <w:shd w:val="clear" w:color="auto" w:fill="auto"/>
            <w:vAlign w:val="center"/>
            <w:hideMark/>
          </w:tcPr>
          <w:p w14:paraId="2580CA20" w14:textId="77777777" w:rsidR="006923DF" w:rsidRPr="00F622B6" w:rsidRDefault="006923DF" w:rsidP="006923DF">
            <w:pPr>
              <w:ind w:firstLine="0"/>
              <w:jc w:val="left"/>
              <w:rPr>
                <w:rFonts w:eastAsia="Times New Roman" w:cs="Times New Roman"/>
                <w:sz w:val="18"/>
                <w:szCs w:val="18"/>
                <w:lang w:eastAsia="lv-LV"/>
              </w:rPr>
            </w:pPr>
          </w:p>
        </w:tc>
        <w:tc>
          <w:tcPr>
            <w:tcW w:w="804" w:type="dxa"/>
            <w:shd w:val="clear" w:color="auto" w:fill="auto"/>
            <w:tcMar>
              <w:left w:w="57" w:type="dxa"/>
              <w:right w:w="57" w:type="dxa"/>
            </w:tcMar>
            <w:vAlign w:val="center"/>
          </w:tcPr>
          <w:p w14:paraId="58D6F5B4"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2024</w:t>
            </w:r>
          </w:p>
        </w:tc>
        <w:tc>
          <w:tcPr>
            <w:tcW w:w="755" w:type="dxa"/>
            <w:shd w:val="clear" w:color="auto" w:fill="auto"/>
            <w:tcMar>
              <w:left w:w="57" w:type="dxa"/>
              <w:right w:w="57" w:type="dxa"/>
            </w:tcMar>
            <w:vAlign w:val="center"/>
          </w:tcPr>
          <w:p w14:paraId="499CF08D"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2025</w:t>
            </w:r>
          </w:p>
        </w:tc>
        <w:tc>
          <w:tcPr>
            <w:tcW w:w="854" w:type="dxa"/>
          </w:tcPr>
          <w:p w14:paraId="24C53C39"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2026</w:t>
            </w:r>
          </w:p>
        </w:tc>
        <w:tc>
          <w:tcPr>
            <w:tcW w:w="805" w:type="dxa"/>
            <w:tcMar>
              <w:left w:w="57" w:type="dxa"/>
              <w:right w:w="57" w:type="dxa"/>
            </w:tcMar>
            <w:vAlign w:val="center"/>
          </w:tcPr>
          <w:p w14:paraId="3DA418DF"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2027</w:t>
            </w:r>
          </w:p>
        </w:tc>
        <w:tc>
          <w:tcPr>
            <w:tcW w:w="805" w:type="dxa"/>
            <w:shd w:val="clear" w:color="auto" w:fill="auto"/>
            <w:tcMar>
              <w:left w:w="57" w:type="dxa"/>
              <w:right w:w="57" w:type="dxa"/>
            </w:tcMar>
            <w:vAlign w:val="center"/>
          </w:tcPr>
          <w:p w14:paraId="5B5AE566"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2028</w:t>
            </w:r>
          </w:p>
        </w:tc>
        <w:tc>
          <w:tcPr>
            <w:tcW w:w="655" w:type="dxa"/>
            <w:shd w:val="clear" w:color="auto" w:fill="auto"/>
            <w:tcMar>
              <w:left w:w="57" w:type="dxa"/>
              <w:right w:w="57" w:type="dxa"/>
            </w:tcMar>
            <w:vAlign w:val="center"/>
            <w:hideMark/>
          </w:tcPr>
          <w:p w14:paraId="491F5159"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2024</w:t>
            </w:r>
          </w:p>
        </w:tc>
        <w:tc>
          <w:tcPr>
            <w:tcW w:w="717" w:type="dxa"/>
            <w:shd w:val="clear" w:color="auto" w:fill="auto"/>
            <w:tcMar>
              <w:left w:w="57" w:type="dxa"/>
              <w:right w:w="57" w:type="dxa"/>
            </w:tcMar>
            <w:vAlign w:val="center"/>
            <w:hideMark/>
          </w:tcPr>
          <w:p w14:paraId="51808E42"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2025</w:t>
            </w:r>
          </w:p>
        </w:tc>
        <w:tc>
          <w:tcPr>
            <w:tcW w:w="700" w:type="dxa"/>
          </w:tcPr>
          <w:p w14:paraId="4BDE6C64"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2026</w:t>
            </w:r>
          </w:p>
        </w:tc>
        <w:tc>
          <w:tcPr>
            <w:tcW w:w="709" w:type="dxa"/>
            <w:tcMar>
              <w:left w:w="57" w:type="dxa"/>
              <w:right w:w="57" w:type="dxa"/>
            </w:tcMar>
            <w:vAlign w:val="center"/>
          </w:tcPr>
          <w:p w14:paraId="2EF1202E"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2027</w:t>
            </w:r>
          </w:p>
        </w:tc>
        <w:tc>
          <w:tcPr>
            <w:tcW w:w="651" w:type="dxa"/>
            <w:shd w:val="clear" w:color="auto" w:fill="auto"/>
            <w:tcMar>
              <w:left w:w="57" w:type="dxa"/>
              <w:right w:w="57" w:type="dxa"/>
            </w:tcMar>
            <w:vAlign w:val="center"/>
            <w:hideMark/>
          </w:tcPr>
          <w:p w14:paraId="736C551B" w14:textId="77777777" w:rsidR="006923DF" w:rsidRPr="00F622B6" w:rsidRDefault="006923DF" w:rsidP="006923DF">
            <w:pPr>
              <w:ind w:firstLine="0"/>
              <w:jc w:val="center"/>
              <w:rPr>
                <w:rFonts w:eastAsia="Times New Roman" w:cs="Times New Roman"/>
                <w:b/>
                <w:sz w:val="18"/>
                <w:szCs w:val="18"/>
                <w:lang w:eastAsia="lv-LV"/>
              </w:rPr>
            </w:pPr>
            <w:r w:rsidRPr="00F622B6">
              <w:rPr>
                <w:rFonts w:eastAsia="Times New Roman" w:cs="Times New Roman"/>
                <w:b/>
                <w:sz w:val="18"/>
                <w:szCs w:val="18"/>
                <w:lang w:eastAsia="lv-LV"/>
              </w:rPr>
              <w:t>2028</w:t>
            </w:r>
          </w:p>
        </w:tc>
      </w:tr>
      <w:tr w:rsidR="006923DF" w:rsidRPr="00F622B6" w14:paraId="5D8C9C36" w14:textId="77777777" w:rsidTr="006923DF">
        <w:trPr>
          <w:trHeight w:val="20"/>
          <w:jc w:val="center"/>
        </w:trPr>
        <w:tc>
          <w:tcPr>
            <w:tcW w:w="1982" w:type="dxa"/>
            <w:shd w:val="clear" w:color="auto" w:fill="DEEAF6"/>
            <w:vAlign w:val="center"/>
          </w:tcPr>
          <w:p w14:paraId="7D43C45B" w14:textId="77777777" w:rsidR="006923DF" w:rsidRPr="006F3EEF" w:rsidRDefault="006923DF" w:rsidP="006923DF">
            <w:pPr>
              <w:ind w:firstLine="0"/>
              <w:jc w:val="left"/>
              <w:rPr>
                <w:rFonts w:eastAsia="Times New Roman" w:cs="Times New Roman"/>
                <w:b/>
                <w:sz w:val="18"/>
                <w:szCs w:val="18"/>
                <w:lang w:eastAsia="lv-LV"/>
              </w:rPr>
            </w:pPr>
            <w:r w:rsidRPr="006F3EEF">
              <w:rPr>
                <w:rFonts w:eastAsia="Times New Roman" w:cs="Times New Roman"/>
                <w:b/>
                <w:sz w:val="18"/>
                <w:szCs w:val="18"/>
                <w:lang w:eastAsia="lv-LV"/>
              </w:rPr>
              <w:t>Vispārējās valdības budžeta bilance, % no IKP</w:t>
            </w:r>
          </w:p>
        </w:tc>
        <w:tc>
          <w:tcPr>
            <w:tcW w:w="804" w:type="dxa"/>
            <w:shd w:val="clear" w:color="auto" w:fill="DEEAF6"/>
            <w:tcMar>
              <w:left w:w="57" w:type="dxa"/>
              <w:right w:w="57" w:type="dxa"/>
            </w:tcMar>
            <w:vAlign w:val="center"/>
          </w:tcPr>
          <w:p w14:paraId="2BD0C2CF" w14:textId="5E19AD2C" w:rsidR="006923DF" w:rsidRPr="006F3EEF" w:rsidRDefault="006923DF" w:rsidP="006923DF">
            <w:pPr>
              <w:spacing w:line="259" w:lineRule="auto"/>
              <w:ind w:right="5" w:firstLine="0"/>
              <w:jc w:val="center"/>
              <w:rPr>
                <w:rFonts w:eastAsia="Times New Roman" w:cs="Times New Roman"/>
                <w:b/>
                <w:bCs/>
                <w:color w:val="FF0000"/>
                <w:sz w:val="18"/>
                <w:szCs w:val="18"/>
              </w:rPr>
            </w:pPr>
            <w:r w:rsidRPr="006F3EEF">
              <w:rPr>
                <w:rFonts w:eastAsia="Times New Roman" w:cs="Times New Roman"/>
                <w:b/>
                <w:bCs/>
                <w:color w:val="000000"/>
                <w:sz w:val="18"/>
                <w:szCs w:val="18"/>
              </w:rPr>
              <w:t>-3,3</w:t>
            </w:r>
          </w:p>
        </w:tc>
        <w:tc>
          <w:tcPr>
            <w:tcW w:w="755" w:type="dxa"/>
            <w:shd w:val="clear" w:color="auto" w:fill="DEEAF6"/>
            <w:tcMar>
              <w:left w:w="57" w:type="dxa"/>
              <w:right w:w="57" w:type="dxa"/>
            </w:tcMar>
            <w:vAlign w:val="center"/>
          </w:tcPr>
          <w:p w14:paraId="02CE3A79" w14:textId="1A155B3C" w:rsidR="006923DF" w:rsidRPr="006F3EEF" w:rsidRDefault="006923DF" w:rsidP="006923DF">
            <w:pPr>
              <w:spacing w:line="259" w:lineRule="auto"/>
              <w:ind w:right="5" w:firstLine="0"/>
              <w:jc w:val="center"/>
              <w:rPr>
                <w:rFonts w:eastAsia="Times New Roman" w:cs="Times New Roman"/>
                <w:b/>
                <w:bCs/>
                <w:color w:val="FF0000"/>
                <w:sz w:val="18"/>
                <w:szCs w:val="18"/>
              </w:rPr>
            </w:pPr>
            <w:r w:rsidRPr="006F3EEF">
              <w:rPr>
                <w:rFonts w:eastAsia="Times New Roman" w:cs="Times New Roman"/>
                <w:b/>
                <w:bCs/>
                <w:color w:val="000000"/>
                <w:sz w:val="18"/>
                <w:szCs w:val="18"/>
              </w:rPr>
              <w:t>-3,3</w:t>
            </w:r>
          </w:p>
        </w:tc>
        <w:tc>
          <w:tcPr>
            <w:tcW w:w="854" w:type="dxa"/>
            <w:shd w:val="clear" w:color="auto" w:fill="DEEAF6"/>
            <w:vAlign w:val="center"/>
          </w:tcPr>
          <w:p w14:paraId="3CA5DB12" w14:textId="4059D601" w:rsidR="006923DF" w:rsidRPr="006F3EEF" w:rsidRDefault="006923DF" w:rsidP="006923DF">
            <w:pPr>
              <w:spacing w:line="259" w:lineRule="auto"/>
              <w:ind w:right="5" w:firstLine="0"/>
              <w:jc w:val="center"/>
              <w:rPr>
                <w:rFonts w:eastAsia="Times New Roman" w:cs="Times New Roman"/>
                <w:b/>
                <w:bCs/>
                <w:color w:val="FF0000"/>
                <w:sz w:val="18"/>
                <w:szCs w:val="18"/>
              </w:rPr>
            </w:pPr>
            <w:r w:rsidRPr="006F3EEF">
              <w:rPr>
                <w:rFonts w:eastAsia="Times New Roman" w:cs="Times New Roman"/>
                <w:b/>
                <w:bCs/>
                <w:color w:val="000000"/>
                <w:sz w:val="18"/>
                <w:szCs w:val="18"/>
              </w:rPr>
              <w:t>-2,8</w:t>
            </w:r>
          </w:p>
        </w:tc>
        <w:tc>
          <w:tcPr>
            <w:tcW w:w="805" w:type="dxa"/>
            <w:shd w:val="clear" w:color="auto" w:fill="DEEAF6"/>
            <w:tcMar>
              <w:left w:w="57" w:type="dxa"/>
              <w:right w:w="57" w:type="dxa"/>
            </w:tcMar>
            <w:vAlign w:val="center"/>
          </w:tcPr>
          <w:p w14:paraId="41D21456" w14:textId="5173A999" w:rsidR="006923DF" w:rsidRPr="006F3EEF" w:rsidRDefault="006923DF" w:rsidP="006923DF">
            <w:pPr>
              <w:spacing w:line="259" w:lineRule="auto"/>
              <w:ind w:right="5" w:firstLine="0"/>
              <w:jc w:val="center"/>
              <w:rPr>
                <w:rFonts w:eastAsia="Times New Roman" w:cs="Times New Roman"/>
                <w:b/>
                <w:bCs/>
                <w:color w:val="FF0000"/>
                <w:sz w:val="18"/>
                <w:szCs w:val="18"/>
              </w:rPr>
            </w:pPr>
            <w:r w:rsidRPr="006F3EEF">
              <w:rPr>
                <w:rFonts w:eastAsia="Times New Roman" w:cs="Times New Roman"/>
                <w:b/>
                <w:bCs/>
                <w:color w:val="000000"/>
                <w:sz w:val="18"/>
                <w:szCs w:val="18"/>
              </w:rPr>
              <w:t>-2,6</w:t>
            </w:r>
          </w:p>
        </w:tc>
        <w:tc>
          <w:tcPr>
            <w:tcW w:w="805" w:type="dxa"/>
            <w:shd w:val="clear" w:color="auto" w:fill="DEEAF6"/>
            <w:tcMar>
              <w:left w:w="57" w:type="dxa"/>
              <w:right w:w="57" w:type="dxa"/>
            </w:tcMar>
            <w:vAlign w:val="center"/>
          </w:tcPr>
          <w:p w14:paraId="33630D12" w14:textId="18310FD7" w:rsidR="006923DF" w:rsidRPr="006F3EEF" w:rsidRDefault="006923DF" w:rsidP="006923DF">
            <w:pPr>
              <w:spacing w:line="259" w:lineRule="auto"/>
              <w:ind w:right="5" w:firstLine="0"/>
              <w:jc w:val="center"/>
              <w:rPr>
                <w:rFonts w:eastAsia="Times New Roman" w:cs="Times New Roman"/>
                <w:b/>
                <w:bCs/>
                <w:color w:val="FF0000"/>
                <w:sz w:val="18"/>
                <w:szCs w:val="18"/>
              </w:rPr>
            </w:pPr>
            <w:r w:rsidRPr="006F3EEF">
              <w:rPr>
                <w:rFonts w:eastAsia="Times New Roman" w:cs="Times New Roman"/>
                <w:b/>
                <w:bCs/>
                <w:color w:val="000000"/>
                <w:sz w:val="18"/>
                <w:szCs w:val="18"/>
              </w:rPr>
              <w:t>-2,3</w:t>
            </w:r>
          </w:p>
        </w:tc>
        <w:tc>
          <w:tcPr>
            <w:tcW w:w="655" w:type="dxa"/>
            <w:shd w:val="clear" w:color="auto" w:fill="DEEAF6"/>
            <w:tcMar>
              <w:left w:w="57" w:type="dxa"/>
              <w:right w:w="57" w:type="dxa"/>
            </w:tcMar>
            <w:vAlign w:val="center"/>
          </w:tcPr>
          <w:p w14:paraId="79F93F9B" w14:textId="2D39633A" w:rsidR="006923DF" w:rsidRPr="006F3EEF" w:rsidRDefault="006923DF" w:rsidP="006923DF">
            <w:pPr>
              <w:spacing w:line="259" w:lineRule="auto"/>
              <w:ind w:right="5" w:firstLine="0"/>
              <w:jc w:val="center"/>
              <w:rPr>
                <w:rFonts w:eastAsia="Times New Roman" w:cs="Times New Roman"/>
                <w:b/>
                <w:bCs/>
                <w:color w:val="FF0000"/>
                <w:sz w:val="18"/>
                <w:szCs w:val="18"/>
              </w:rPr>
            </w:pPr>
            <w:r w:rsidRPr="006F3EEF">
              <w:rPr>
                <w:rFonts w:eastAsia="Times New Roman" w:cs="Times New Roman"/>
                <w:b/>
                <w:bCs/>
                <w:color w:val="000000"/>
                <w:sz w:val="18"/>
                <w:szCs w:val="18"/>
              </w:rPr>
              <w:t>-0,4</w:t>
            </w:r>
          </w:p>
        </w:tc>
        <w:tc>
          <w:tcPr>
            <w:tcW w:w="717" w:type="dxa"/>
            <w:shd w:val="clear" w:color="auto" w:fill="DEEAF6"/>
            <w:tcMar>
              <w:left w:w="57" w:type="dxa"/>
              <w:right w:w="57" w:type="dxa"/>
            </w:tcMar>
            <w:vAlign w:val="center"/>
          </w:tcPr>
          <w:p w14:paraId="6A0A15DE" w14:textId="0DA083C9" w:rsidR="006923DF" w:rsidRPr="006F3EEF" w:rsidRDefault="006923DF" w:rsidP="006923DF">
            <w:pPr>
              <w:spacing w:line="259" w:lineRule="auto"/>
              <w:ind w:right="5" w:firstLine="0"/>
              <w:jc w:val="center"/>
              <w:rPr>
                <w:rFonts w:eastAsia="Times New Roman" w:cs="Times New Roman"/>
                <w:b/>
                <w:bCs/>
                <w:color w:val="FF0000"/>
                <w:sz w:val="18"/>
                <w:szCs w:val="18"/>
              </w:rPr>
            </w:pPr>
            <w:r w:rsidRPr="006F3EEF">
              <w:rPr>
                <w:rFonts w:eastAsia="Times New Roman" w:cs="Times New Roman"/>
                <w:b/>
                <w:bCs/>
                <w:color w:val="000000"/>
                <w:sz w:val="18"/>
                <w:szCs w:val="18"/>
              </w:rPr>
              <w:t>-0,6</w:t>
            </w:r>
          </w:p>
        </w:tc>
        <w:tc>
          <w:tcPr>
            <w:tcW w:w="700" w:type="dxa"/>
            <w:shd w:val="clear" w:color="auto" w:fill="DEEAF6"/>
            <w:vAlign w:val="center"/>
          </w:tcPr>
          <w:p w14:paraId="1FF5C988" w14:textId="61EC7615" w:rsidR="006923DF" w:rsidRPr="006F3EEF" w:rsidRDefault="006923DF" w:rsidP="006923DF">
            <w:pPr>
              <w:spacing w:line="259" w:lineRule="auto"/>
              <w:ind w:right="5" w:firstLine="0"/>
              <w:jc w:val="center"/>
              <w:rPr>
                <w:rFonts w:eastAsia="Times New Roman" w:cs="Times New Roman"/>
                <w:b/>
                <w:bCs/>
                <w:color w:val="FF0000"/>
                <w:sz w:val="18"/>
                <w:szCs w:val="18"/>
              </w:rPr>
            </w:pPr>
            <w:r w:rsidRPr="006F3EEF">
              <w:rPr>
                <w:rFonts w:eastAsia="Times New Roman" w:cs="Times New Roman"/>
                <w:b/>
                <w:bCs/>
                <w:color w:val="000000"/>
                <w:sz w:val="18"/>
                <w:szCs w:val="18"/>
              </w:rPr>
              <w:t>-0,6</w:t>
            </w:r>
          </w:p>
        </w:tc>
        <w:tc>
          <w:tcPr>
            <w:tcW w:w="709" w:type="dxa"/>
            <w:shd w:val="clear" w:color="auto" w:fill="DEEAF6"/>
            <w:tcMar>
              <w:left w:w="57" w:type="dxa"/>
              <w:right w:w="57" w:type="dxa"/>
            </w:tcMar>
            <w:vAlign w:val="center"/>
          </w:tcPr>
          <w:p w14:paraId="33411EC1" w14:textId="477AE915" w:rsidR="006923DF" w:rsidRPr="006F3EEF" w:rsidRDefault="006923DF" w:rsidP="006923DF">
            <w:pPr>
              <w:spacing w:line="259" w:lineRule="auto"/>
              <w:ind w:right="5" w:firstLine="0"/>
              <w:jc w:val="center"/>
              <w:rPr>
                <w:rFonts w:eastAsia="Times New Roman" w:cs="Times New Roman"/>
                <w:b/>
                <w:bCs/>
                <w:color w:val="FF0000"/>
                <w:sz w:val="18"/>
                <w:szCs w:val="18"/>
              </w:rPr>
            </w:pPr>
            <w:r w:rsidRPr="006F3EEF">
              <w:rPr>
                <w:rFonts w:eastAsia="Times New Roman" w:cs="Times New Roman"/>
                <w:b/>
                <w:bCs/>
                <w:color w:val="000000"/>
                <w:sz w:val="18"/>
                <w:szCs w:val="18"/>
              </w:rPr>
              <w:t>-0,6</w:t>
            </w:r>
          </w:p>
        </w:tc>
        <w:tc>
          <w:tcPr>
            <w:tcW w:w="651" w:type="dxa"/>
            <w:shd w:val="clear" w:color="auto" w:fill="DEEAF6"/>
            <w:tcMar>
              <w:left w:w="57" w:type="dxa"/>
              <w:right w:w="57" w:type="dxa"/>
            </w:tcMar>
            <w:vAlign w:val="center"/>
          </w:tcPr>
          <w:p w14:paraId="64459C5E" w14:textId="514CA238" w:rsidR="006923DF" w:rsidRPr="006F3EEF" w:rsidRDefault="006923DF" w:rsidP="006923DF">
            <w:pPr>
              <w:spacing w:line="259" w:lineRule="auto"/>
              <w:ind w:right="5" w:firstLine="0"/>
              <w:jc w:val="center"/>
              <w:rPr>
                <w:rFonts w:eastAsia="Times New Roman" w:cs="Times New Roman"/>
                <w:b/>
                <w:bCs/>
                <w:color w:val="FF0000"/>
                <w:sz w:val="18"/>
                <w:szCs w:val="18"/>
              </w:rPr>
            </w:pPr>
            <w:r w:rsidRPr="006F3EEF">
              <w:rPr>
                <w:rFonts w:eastAsia="Times New Roman" w:cs="Times New Roman"/>
                <w:b/>
                <w:bCs/>
                <w:color w:val="000000"/>
                <w:sz w:val="18"/>
                <w:szCs w:val="18"/>
              </w:rPr>
              <w:t>-0,6</w:t>
            </w:r>
          </w:p>
        </w:tc>
      </w:tr>
      <w:tr w:rsidR="006923DF" w:rsidRPr="00F622B6" w14:paraId="68BACE0A" w14:textId="77777777" w:rsidTr="006923DF">
        <w:trPr>
          <w:trHeight w:val="20"/>
          <w:jc w:val="center"/>
        </w:trPr>
        <w:tc>
          <w:tcPr>
            <w:tcW w:w="1982" w:type="dxa"/>
            <w:shd w:val="clear" w:color="auto" w:fill="auto"/>
            <w:vAlign w:val="center"/>
          </w:tcPr>
          <w:p w14:paraId="7651AA31" w14:textId="77777777" w:rsidR="006923DF" w:rsidRPr="006F3EEF" w:rsidRDefault="006923DF" w:rsidP="006923DF">
            <w:pPr>
              <w:ind w:firstLine="0"/>
              <w:jc w:val="left"/>
              <w:rPr>
                <w:rFonts w:eastAsia="Times New Roman" w:cs="Times New Roman"/>
                <w:bCs/>
                <w:sz w:val="18"/>
                <w:szCs w:val="18"/>
                <w:lang w:eastAsia="lv-LV"/>
              </w:rPr>
            </w:pPr>
            <w:r w:rsidRPr="006F3EEF">
              <w:rPr>
                <w:rFonts w:eastAsia="Times New Roman" w:cs="Times New Roman"/>
                <w:bCs/>
                <w:sz w:val="18"/>
                <w:szCs w:val="18"/>
                <w:lang w:eastAsia="lv-LV"/>
              </w:rPr>
              <w:t>Vispārējās valdības budžeta bilance</w:t>
            </w:r>
          </w:p>
        </w:tc>
        <w:tc>
          <w:tcPr>
            <w:tcW w:w="804" w:type="dxa"/>
            <w:shd w:val="clear" w:color="auto" w:fill="auto"/>
            <w:tcMar>
              <w:left w:w="57" w:type="dxa"/>
              <w:right w:w="57" w:type="dxa"/>
            </w:tcMar>
            <w:vAlign w:val="center"/>
          </w:tcPr>
          <w:p w14:paraId="35FB0D31" w14:textId="77777777" w:rsidR="006923DF" w:rsidRPr="006F3EEF" w:rsidRDefault="006923DF" w:rsidP="006923DF">
            <w:pPr>
              <w:ind w:firstLine="0"/>
              <w:jc w:val="center"/>
              <w:rPr>
                <w:rFonts w:eastAsia="Times New Roman" w:cs="Times New Roman"/>
                <w:color w:val="FF0000"/>
                <w:sz w:val="18"/>
                <w:szCs w:val="18"/>
                <w:lang w:eastAsia="lv-LV"/>
              </w:rPr>
            </w:pPr>
            <w:r w:rsidRPr="006F3EEF">
              <w:rPr>
                <w:rFonts w:eastAsia="Times New Roman" w:cs="Times New Roman"/>
                <w:color w:val="000000"/>
                <w:sz w:val="18"/>
                <w:szCs w:val="18"/>
              </w:rPr>
              <w:t>-1 359,8</w:t>
            </w:r>
          </w:p>
        </w:tc>
        <w:tc>
          <w:tcPr>
            <w:tcW w:w="755" w:type="dxa"/>
            <w:shd w:val="clear" w:color="auto" w:fill="auto"/>
            <w:tcMar>
              <w:left w:w="57" w:type="dxa"/>
              <w:right w:w="57" w:type="dxa"/>
            </w:tcMar>
            <w:vAlign w:val="center"/>
          </w:tcPr>
          <w:p w14:paraId="7B35E026" w14:textId="77777777" w:rsidR="006923DF" w:rsidRPr="006F3EEF" w:rsidRDefault="006923DF" w:rsidP="006923DF">
            <w:pPr>
              <w:ind w:firstLine="0"/>
              <w:jc w:val="center"/>
              <w:rPr>
                <w:rFonts w:eastAsia="Times New Roman" w:cs="Times New Roman"/>
                <w:color w:val="FF0000"/>
                <w:sz w:val="18"/>
                <w:szCs w:val="18"/>
                <w:lang w:eastAsia="lv-LV"/>
              </w:rPr>
            </w:pPr>
            <w:r w:rsidRPr="006F3EEF">
              <w:rPr>
                <w:rFonts w:eastAsia="Times New Roman" w:cs="Times New Roman"/>
                <w:color w:val="000000"/>
                <w:sz w:val="18"/>
                <w:szCs w:val="18"/>
              </w:rPr>
              <w:t>-1 457,3</w:t>
            </w:r>
          </w:p>
        </w:tc>
        <w:tc>
          <w:tcPr>
            <w:tcW w:w="854" w:type="dxa"/>
            <w:vAlign w:val="center"/>
          </w:tcPr>
          <w:p w14:paraId="5CE4F95B" w14:textId="77777777" w:rsidR="006923DF" w:rsidRPr="006F3EEF" w:rsidRDefault="006923DF" w:rsidP="006923DF">
            <w:pPr>
              <w:ind w:firstLine="0"/>
              <w:jc w:val="center"/>
              <w:rPr>
                <w:rFonts w:eastAsia="Times New Roman" w:cs="Times New Roman"/>
                <w:color w:val="FF0000"/>
                <w:sz w:val="18"/>
                <w:szCs w:val="18"/>
              </w:rPr>
            </w:pPr>
            <w:r w:rsidRPr="006F3EEF">
              <w:rPr>
                <w:rFonts w:eastAsia="Times New Roman" w:cs="Times New Roman"/>
                <w:color w:val="000000"/>
                <w:sz w:val="18"/>
                <w:szCs w:val="18"/>
              </w:rPr>
              <w:t>-1 301,8</w:t>
            </w:r>
          </w:p>
        </w:tc>
        <w:tc>
          <w:tcPr>
            <w:tcW w:w="805" w:type="dxa"/>
            <w:tcMar>
              <w:left w:w="57" w:type="dxa"/>
              <w:right w:w="57" w:type="dxa"/>
            </w:tcMar>
            <w:vAlign w:val="center"/>
          </w:tcPr>
          <w:p w14:paraId="573EF318" w14:textId="77777777" w:rsidR="006923DF" w:rsidRPr="006F3EEF" w:rsidRDefault="006923DF" w:rsidP="006923DF">
            <w:pPr>
              <w:ind w:firstLine="0"/>
              <w:jc w:val="center"/>
              <w:rPr>
                <w:rFonts w:eastAsia="Times New Roman" w:cs="Times New Roman"/>
                <w:color w:val="FF0000"/>
                <w:sz w:val="18"/>
                <w:szCs w:val="18"/>
                <w:lang w:eastAsia="lv-LV"/>
              </w:rPr>
            </w:pPr>
            <w:r w:rsidRPr="006F3EEF">
              <w:rPr>
                <w:rFonts w:eastAsia="Times New Roman" w:cs="Times New Roman"/>
                <w:color w:val="000000"/>
                <w:sz w:val="18"/>
                <w:szCs w:val="18"/>
              </w:rPr>
              <w:t>-1 284,8</w:t>
            </w:r>
          </w:p>
        </w:tc>
        <w:tc>
          <w:tcPr>
            <w:tcW w:w="805" w:type="dxa"/>
            <w:shd w:val="clear" w:color="auto" w:fill="auto"/>
            <w:tcMar>
              <w:left w:w="57" w:type="dxa"/>
              <w:right w:w="57" w:type="dxa"/>
            </w:tcMar>
            <w:vAlign w:val="center"/>
          </w:tcPr>
          <w:p w14:paraId="2500D429" w14:textId="77777777" w:rsidR="006923DF" w:rsidRPr="006F3EEF" w:rsidRDefault="006923DF" w:rsidP="006923DF">
            <w:pPr>
              <w:ind w:firstLine="0"/>
              <w:jc w:val="center"/>
              <w:rPr>
                <w:rFonts w:eastAsia="Times New Roman" w:cs="Times New Roman"/>
                <w:color w:val="FF0000"/>
                <w:sz w:val="18"/>
                <w:szCs w:val="18"/>
                <w:lang w:eastAsia="lv-LV"/>
              </w:rPr>
            </w:pPr>
            <w:r w:rsidRPr="006F3EEF">
              <w:rPr>
                <w:rFonts w:eastAsia="Times New Roman" w:cs="Times New Roman"/>
                <w:color w:val="000000"/>
                <w:sz w:val="18"/>
                <w:szCs w:val="18"/>
              </w:rPr>
              <w:t>-1 162,7</w:t>
            </w:r>
          </w:p>
        </w:tc>
        <w:tc>
          <w:tcPr>
            <w:tcW w:w="655" w:type="dxa"/>
            <w:shd w:val="clear" w:color="auto" w:fill="auto"/>
            <w:tcMar>
              <w:left w:w="57" w:type="dxa"/>
              <w:right w:w="57" w:type="dxa"/>
            </w:tcMar>
            <w:vAlign w:val="center"/>
          </w:tcPr>
          <w:p w14:paraId="2BD7E6B6" w14:textId="77777777" w:rsidR="006923DF" w:rsidRPr="006F3EEF" w:rsidRDefault="006923DF" w:rsidP="006923DF">
            <w:pPr>
              <w:ind w:firstLine="0"/>
              <w:jc w:val="center"/>
              <w:rPr>
                <w:rFonts w:eastAsia="Times New Roman" w:cs="Times New Roman"/>
                <w:color w:val="FF0000"/>
                <w:sz w:val="18"/>
                <w:szCs w:val="18"/>
                <w:lang w:eastAsia="lv-LV"/>
              </w:rPr>
            </w:pPr>
            <w:r w:rsidRPr="006F3EEF">
              <w:rPr>
                <w:rFonts w:eastAsia="Times New Roman" w:cs="Times New Roman"/>
                <w:color w:val="000000"/>
                <w:sz w:val="18"/>
                <w:szCs w:val="18"/>
              </w:rPr>
              <w:t>-146,8</w:t>
            </w:r>
          </w:p>
        </w:tc>
        <w:tc>
          <w:tcPr>
            <w:tcW w:w="717" w:type="dxa"/>
            <w:shd w:val="clear" w:color="auto" w:fill="auto"/>
            <w:tcMar>
              <w:left w:w="57" w:type="dxa"/>
              <w:right w:w="57" w:type="dxa"/>
            </w:tcMar>
            <w:vAlign w:val="center"/>
          </w:tcPr>
          <w:p w14:paraId="14BAA857" w14:textId="77777777" w:rsidR="006923DF" w:rsidRPr="006F3EEF" w:rsidRDefault="006923DF" w:rsidP="006923DF">
            <w:pPr>
              <w:spacing w:line="259" w:lineRule="auto"/>
              <w:ind w:firstLine="0"/>
              <w:jc w:val="center"/>
              <w:rPr>
                <w:rFonts w:eastAsia="Times New Roman" w:cs="Times New Roman"/>
                <w:color w:val="FF0000"/>
                <w:sz w:val="18"/>
                <w:szCs w:val="18"/>
                <w:lang w:eastAsia="lv-LV"/>
              </w:rPr>
            </w:pPr>
            <w:r w:rsidRPr="006F3EEF">
              <w:rPr>
                <w:rFonts w:eastAsia="Times New Roman" w:cs="Times New Roman"/>
                <w:color w:val="000000"/>
                <w:sz w:val="18"/>
                <w:szCs w:val="18"/>
              </w:rPr>
              <w:t>-237,9</w:t>
            </w:r>
          </w:p>
        </w:tc>
        <w:tc>
          <w:tcPr>
            <w:tcW w:w="700" w:type="dxa"/>
            <w:vAlign w:val="center"/>
          </w:tcPr>
          <w:p w14:paraId="57D8CB60" w14:textId="77777777" w:rsidR="006923DF" w:rsidRPr="006F3EEF" w:rsidRDefault="006923DF" w:rsidP="006923DF">
            <w:pPr>
              <w:spacing w:line="259" w:lineRule="auto"/>
              <w:ind w:firstLine="0"/>
              <w:jc w:val="center"/>
              <w:rPr>
                <w:rFonts w:eastAsia="Times New Roman" w:cs="Times New Roman"/>
                <w:color w:val="FF0000"/>
                <w:sz w:val="18"/>
                <w:szCs w:val="18"/>
              </w:rPr>
            </w:pPr>
            <w:r w:rsidRPr="006F3EEF">
              <w:rPr>
                <w:rFonts w:eastAsia="Times New Roman" w:cs="Times New Roman"/>
                <w:color w:val="000000"/>
                <w:sz w:val="18"/>
                <w:szCs w:val="18"/>
              </w:rPr>
              <w:t>-266,5</w:t>
            </w:r>
          </w:p>
        </w:tc>
        <w:tc>
          <w:tcPr>
            <w:tcW w:w="709" w:type="dxa"/>
            <w:tcMar>
              <w:left w:w="57" w:type="dxa"/>
              <w:right w:w="57" w:type="dxa"/>
            </w:tcMar>
            <w:vAlign w:val="center"/>
          </w:tcPr>
          <w:p w14:paraId="32FEFD70" w14:textId="77777777" w:rsidR="006923DF" w:rsidRPr="006F3EEF" w:rsidRDefault="006923DF" w:rsidP="006923DF">
            <w:pPr>
              <w:spacing w:line="259" w:lineRule="auto"/>
              <w:ind w:firstLine="0"/>
              <w:jc w:val="center"/>
              <w:rPr>
                <w:rFonts w:eastAsia="Times New Roman" w:cs="Times New Roman"/>
                <w:color w:val="FF0000"/>
                <w:sz w:val="18"/>
                <w:szCs w:val="18"/>
                <w:lang w:eastAsia="lv-LV"/>
              </w:rPr>
            </w:pPr>
            <w:r w:rsidRPr="006F3EEF">
              <w:rPr>
                <w:rFonts w:eastAsia="Times New Roman" w:cs="Times New Roman"/>
                <w:color w:val="000000"/>
                <w:sz w:val="18"/>
                <w:szCs w:val="18"/>
              </w:rPr>
              <w:t>-278,8</w:t>
            </w:r>
          </w:p>
        </w:tc>
        <w:tc>
          <w:tcPr>
            <w:tcW w:w="651" w:type="dxa"/>
            <w:shd w:val="clear" w:color="auto" w:fill="auto"/>
            <w:tcMar>
              <w:left w:w="57" w:type="dxa"/>
              <w:right w:w="57" w:type="dxa"/>
            </w:tcMar>
            <w:vAlign w:val="center"/>
          </w:tcPr>
          <w:p w14:paraId="7B4D8A2D" w14:textId="77777777" w:rsidR="006923DF" w:rsidRPr="006F3EEF" w:rsidRDefault="006923DF" w:rsidP="006923DF">
            <w:pPr>
              <w:spacing w:line="259" w:lineRule="auto"/>
              <w:ind w:firstLine="0"/>
              <w:jc w:val="center"/>
              <w:rPr>
                <w:rFonts w:eastAsia="Times New Roman" w:cs="Times New Roman"/>
                <w:color w:val="FF0000"/>
                <w:sz w:val="18"/>
                <w:szCs w:val="18"/>
                <w:lang w:eastAsia="lv-LV"/>
              </w:rPr>
            </w:pPr>
            <w:r w:rsidRPr="006F3EEF">
              <w:rPr>
                <w:rFonts w:eastAsia="Times New Roman" w:cs="Times New Roman"/>
                <w:color w:val="000000"/>
                <w:sz w:val="18"/>
                <w:szCs w:val="18"/>
              </w:rPr>
              <w:t>-284,1</w:t>
            </w:r>
          </w:p>
        </w:tc>
      </w:tr>
      <w:tr w:rsidR="006923DF" w:rsidRPr="00F622B6" w14:paraId="2AB27CFF" w14:textId="77777777" w:rsidTr="006923DF">
        <w:trPr>
          <w:trHeight w:val="20"/>
          <w:jc w:val="center"/>
        </w:trPr>
        <w:tc>
          <w:tcPr>
            <w:tcW w:w="1982" w:type="dxa"/>
            <w:shd w:val="clear" w:color="auto" w:fill="DEEAF6"/>
            <w:vAlign w:val="center"/>
          </w:tcPr>
          <w:p w14:paraId="617F52D6" w14:textId="77777777" w:rsidR="006923DF" w:rsidRPr="00F622B6" w:rsidRDefault="006923DF" w:rsidP="006923DF">
            <w:pPr>
              <w:ind w:left="166" w:firstLine="0"/>
              <w:jc w:val="left"/>
              <w:rPr>
                <w:rFonts w:eastAsia="Times New Roman" w:cs="Times New Roman"/>
                <w:bCs/>
                <w:sz w:val="18"/>
                <w:szCs w:val="18"/>
                <w:lang w:eastAsia="lv-LV"/>
              </w:rPr>
            </w:pPr>
            <w:r w:rsidRPr="00F622B6">
              <w:rPr>
                <w:rFonts w:eastAsia="Times New Roman" w:cs="Times New Roman"/>
                <w:bCs/>
                <w:sz w:val="18"/>
                <w:szCs w:val="18"/>
                <w:lang w:eastAsia="lv-LV"/>
              </w:rPr>
              <w:t>Nodokļu ieņēmumi</w:t>
            </w:r>
          </w:p>
        </w:tc>
        <w:tc>
          <w:tcPr>
            <w:tcW w:w="804" w:type="dxa"/>
            <w:shd w:val="clear" w:color="auto" w:fill="DEEAF6"/>
            <w:tcMar>
              <w:left w:w="57" w:type="dxa"/>
              <w:right w:w="57" w:type="dxa"/>
            </w:tcMar>
            <w:vAlign w:val="center"/>
          </w:tcPr>
          <w:p w14:paraId="6C99C996"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13 480,6</w:t>
            </w:r>
          </w:p>
        </w:tc>
        <w:tc>
          <w:tcPr>
            <w:tcW w:w="755" w:type="dxa"/>
            <w:shd w:val="clear" w:color="auto" w:fill="DEEAF6"/>
            <w:tcMar>
              <w:left w:w="57" w:type="dxa"/>
              <w:right w:w="57" w:type="dxa"/>
            </w:tcMar>
            <w:vAlign w:val="center"/>
          </w:tcPr>
          <w:p w14:paraId="62D76445"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14 257,8</w:t>
            </w:r>
          </w:p>
        </w:tc>
        <w:tc>
          <w:tcPr>
            <w:tcW w:w="854" w:type="dxa"/>
            <w:shd w:val="clear" w:color="auto" w:fill="DEEAF6"/>
            <w:vAlign w:val="center"/>
          </w:tcPr>
          <w:p w14:paraId="7C2E90BE"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15 010,4</w:t>
            </w:r>
          </w:p>
        </w:tc>
        <w:tc>
          <w:tcPr>
            <w:tcW w:w="805" w:type="dxa"/>
            <w:shd w:val="clear" w:color="auto" w:fill="DEEAF6"/>
            <w:tcMar>
              <w:left w:w="57" w:type="dxa"/>
              <w:right w:w="57" w:type="dxa"/>
            </w:tcMar>
            <w:vAlign w:val="center"/>
          </w:tcPr>
          <w:p w14:paraId="2173B586"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15 686,6</w:t>
            </w:r>
          </w:p>
        </w:tc>
        <w:tc>
          <w:tcPr>
            <w:tcW w:w="805" w:type="dxa"/>
            <w:shd w:val="clear" w:color="auto" w:fill="DEEAF6"/>
            <w:tcMar>
              <w:left w:w="57" w:type="dxa"/>
              <w:right w:w="57" w:type="dxa"/>
            </w:tcMar>
            <w:vAlign w:val="center"/>
          </w:tcPr>
          <w:p w14:paraId="6F0789C1"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16 380,9</w:t>
            </w:r>
          </w:p>
        </w:tc>
        <w:tc>
          <w:tcPr>
            <w:tcW w:w="655" w:type="dxa"/>
            <w:shd w:val="clear" w:color="auto" w:fill="DEEAF6"/>
            <w:tcMar>
              <w:left w:w="57" w:type="dxa"/>
              <w:right w:w="57" w:type="dxa"/>
            </w:tcMar>
            <w:vAlign w:val="center"/>
          </w:tcPr>
          <w:p w14:paraId="0F3C942C"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-138,5</w:t>
            </w:r>
          </w:p>
        </w:tc>
        <w:tc>
          <w:tcPr>
            <w:tcW w:w="717" w:type="dxa"/>
            <w:shd w:val="clear" w:color="auto" w:fill="DEEAF6"/>
            <w:tcMar>
              <w:left w:w="57" w:type="dxa"/>
              <w:right w:w="57" w:type="dxa"/>
            </w:tcMar>
            <w:vAlign w:val="center"/>
          </w:tcPr>
          <w:p w14:paraId="220D148F"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-224,8</w:t>
            </w:r>
          </w:p>
        </w:tc>
        <w:tc>
          <w:tcPr>
            <w:tcW w:w="700" w:type="dxa"/>
            <w:shd w:val="clear" w:color="auto" w:fill="DEEAF6"/>
            <w:vAlign w:val="center"/>
          </w:tcPr>
          <w:p w14:paraId="6ADA6ABE"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-260,1</w:t>
            </w:r>
          </w:p>
        </w:tc>
        <w:tc>
          <w:tcPr>
            <w:tcW w:w="709" w:type="dxa"/>
            <w:shd w:val="clear" w:color="auto" w:fill="DEEAF6"/>
            <w:tcMar>
              <w:left w:w="57" w:type="dxa"/>
              <w:right w:w="57" w:type="dxa"/>
            </w:tcMar>
            <w:vAlign w:val="center"/>
          </w:tcPr>
          <w:p w14:paraId="583DEF16"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-281,5</w:t>
            </w:r>
          </w:p>
        </w:tc>
        <w:tc>
          <w:tcPr>
            <w:tcW w:w="651" w:type="dxa"/>
            <w:shd w:val="clear" w:color="auto" w:fill="DEEAF6"/>
            <w:tcMar>
              <w:left w:w="57" w:type="dxa"/>
              <w:right w:w="57" w:type="dxa"/>
            </w:tcMar>
            <w:vAlign w:val="center"/>
          </w:tcPr>
          <w:p w14:paraId="5B0A06C4"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-293,4</w:t>
            </w:r>
          </w:p>
        </w:tc>
      </w:tr>
      <w:tr w:rsidR="006923DF" w:rsidRPr="00F622B6" w14:paraId="55397B9F" w14:textId="77777777" w:rsidTr="006923DF">
        <w:trPr>
          <w:trHeight w:val="20"/>
          <w:jc w:val="center"/>
        </w:trPr>
        <w:tc>
          <w:tcPr>
            <w:tcW w:w="1982" w:type="dxa"/>
            <w:shd w:val="clear" w:color="auto" w:fill="auto"/>
          </w:tcPr>
          <w:p w14:paraId="1C721CC7" w14:textId="77777777" w:rsidR="006923DF" w:rsidRPr="00F622B6" w:rsidRDefault="006923DF" w:rsidP="006923DF">
            <w:pPr>
              <w:spacing w:line="259" w:lineRule="auto"/>
              <w:ind w:left="283" w:firstLine="0"/>
              <w:jc w:val="left"/>
              <w:rPr>
                <w:rFonts w:eastAsia="Times New Roman" w:cs="Times New Roman"/>
                <w:bCs/>
                <w:i/>
                <w:sz w:val="18"/>
                <w:szCs w:val="18"/>
              </w:rPr>
            </w:pPr>
            <w:r w:rsidRPr="00F622B6">
              <w:rPr>
                <w:rFonts w:eastAsia="Times New Roman" w:cs="Times New Roman"/>
                <w:bCs/>
                <w:i/>
                <w:sz w:val="18"/>
                <w:szCs w:val="18"/>
              </w:rPr>
              <w:t>Iedzīvotāju ienākuma nodoklis</w:t>
            </w:r>
          </w:p>
        </w:tc>
        <w:tc>
          <w:tcPr>
            <w:tcW w:w="804" w:type="dxa"/>
            <w:shd w:val="clear" w:color="auto" w:fill="auto"/>
            <w:tcMar>
              <w:left w:w="57" w:type="dxa"/>
              <w:right w:w="57" w:type="dxa"/>
            </w:tcMar>
            <w:vAlign w:val="center"/>
          </w:tcPr>
          <w:p w14:paraId="60C6C579"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2 677,6</w:t>
            </w:r>
          </w:p>
        </w:tc>
        <w:tc>
          <w:tcPr>
            <w:tcW w:w="755" w:type="dxa"/>
            <w:shd w:val="clear" w:color="auto" w:fill="auto"/>
            <w:tcMar>
              <w:left w:w="57" w:type="dxa"/>
              <w:right w:w="57" w:type="dxa"/>
            </w:tcMar>
            <w:vAlign w:val="center"/>
          </w:tcPr>
          <w:p w14:paraId="4492A23A"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2 846,4</w:t>
            </w:r>
          </w:p>
        </w:tc>
        <w:tc>
          <w:tcPr>
            <w:tcW w:w="854" w:type="dxa"/>
            <w:vAlign w:val="center"/>
          </w:tcPr>
          <w:p w14:paraId="48665ACB"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3 037,8</w:t>
            </w:r>
          </w:p>
        </w:tc>
        <w:tc>
          <w:tcPr>
            <w:tcW w:w="805" w:type="dxa"/>
            <w:tcMar>
              <w:left w:w="57" w:type="dxa"/>
              <w:right w:w="57" w:type="dxa"/>
            </w:tcMar>
            <w:vAlign w:val="center"/>
          </w:tcPr>
          <w:p w14:paraId="19B601C7"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3 195,4</w:t>
            </w:r>
          </w:p>
        </w:tc>
        <w:tc>
          <w:tcPr>
            <w:tcW w:w="805" w:type="dxa"/>
            <w:shd w:val="clear" w:color="auto" w:fill="auto"/>
            <w:tcMar>
              <w:left w:w="57" w:type="dxa"/>
              <w:right w:w="57" w:type="dxa"/>
            </w:tcMar>
            <w:vAlign w:val="center"/>
          </w:tcPr>
          <w:p w14:paraId="766EF593"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3 366,6</w:t>
            </w:r>
          </w:p>
        </w:tc>
        <w:tc>
          <w:tcPr>
            <w:tcW w:w="655" w:type="dxa"/>
            <w:shd w:val="clear" w:color="auto" w:fill="auto"/>
            <w:tcMar>
              <w:left w:w="57" w:type="dxa"/>
              <w:right w:w="57" w:type="dxa"/>
            </w:tcMar>
            <w:vAlign w:val="center"/>
          </w:tcPr>
          <w:p w14:paraId="19CFF0C8"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-37,4</w:t>
            </w:r>
          </w:p>
        </w:tc>
        <w:tc>
          <w:tcPr>
            <w:tcW w:w="717" w:type="dxa"/>
            <w:shd w:val="clear" w:color="auto" w:fill="auto"/>
            <w:tcMar>
              <w:left w:w="57" w:type="dxa"/>
              <w:right w:w="57" w:type="dxa"/>
            </w:tcMar>
            <w:vAlign w:val="center"/>
          </w:tcPr>
          <w:p w14:paraId="5954DD2E"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-58,6</w:t>
            </w:r>
          </w:p>
        </w:tc>
        <w:tc>
          <w:tcPr>
            <w:tcW w:w="700" w:type="dxa"/>
            <w:vAlign w:val="center"/>
          </w:tcPr>
          <w:p w14:paraId="27B61437"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-67,2</w:t>
            </w:r>
          </w:p>
        </w:tc>
        <w:tc>
          <w:tcPr>
            <w:tcW w:w="709" w:type="dxa"/>
            <w:tcMar>
              <w:left w:w="57" w:type="dxa"/>
              <w:right w:w="57" w:type="dxa"/>
            </w:tcMar>
            <w:vAlign w:val="center"/>
          </w:tcPr>
          <w:p w14:paraId="0F32480B"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-74,6</w:t>
            </w:r>
          </w:p>
        </w:tc>
        <w:tc>
          <w:tcPr>
            <w:tcW w:w="651" w:type="dxa"/>
            <w:shd w:val="clear" w:color="auto" w:fill="auto"/>
            <w:tcMar>
              <w:left w:w="57" w:type="dxa"/>
              <w:right w:w="57" w:type="dxa"/>
            </w:tcMar>
            <w:vAlign w:val="center"/>
          </w:tcPr>
          <w:p w14:paraId="17027B1B"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-78,4</w:t>
            </w:r>
          </w:p>
        </w:tc>
      </w:tr>
      <w:tr w:rsidR="006923DF" w:rsidRPr="00F622B6" w14:paraId="2AF550E3" w14:textId="77777777" w:rsidTr="006923DF">
        <w:trPr>
          <w:trHeight w:val="20"/>
          <w:jc w:val="center"/>
        </w:trPr>
        <w:tc>
          <w:tcPr>
            <w:tcW w:w="1982" w:type="dxa"/>
            <w:shd w:val="clear" w:color="auto" w:fill="DEEAF6"/>
          </w:tcPr>
          <w:p w14:paraId="1948612D" w14:textId="77777777" w:rsidR="006923DF" w:rsidRPr="00F622B6" w:rsidRDefault="006923DF" w:rsidP="006923DF">
            <w:pPr>
              <w:spacing w:line="259" w:lineRule="auto"/>
              <w:ind w:left="283" w:firstLine="0"/>
              <w:jc w:val="left"/>
              <w:rPr>
                <w:rFonts w:eastAsia="Times New Roman" w:cs="Times New Roman"/>
                <w:bCs/>
                <w:i/>
                <w:sz w:val="18"/>
                <w:szCs w:val="18"/>
              </w:rPr>
            </w:pPr>
            <w:r w:rsidRPr="00F622B6">
              <w:rPr>
                <w:rFonts w:eastAsia="Times New Roman" w:cs="Times New Roman"/>
                <w:bCs/>
                <w:i/>
                <w:sz w:val="18"/>
                <w:szCs w:val="18"/>
              </w:rPr>
              <w:lastRenderedPageBreak/>
              <w:t>Uzņēmuma ienākuma nodoklis</w:t>
            </w:r>
          </w:p>
        </w:tc>
        <w:tc>
          <w:tcPr>
            <w:tcW w:w="804" w:type="dxa"/>
            <w:shd w:val="clear" w:color="auto" w:fill="DEEAF6"/>
            <w:tcMar>
              <w:left w:w="57" w:type="dxa"/>
              <w:right w:w="57" w:type="dxa"/>
            </w:tcMar>
            <w:vAlign w:val="center"/>
          </w:tcPr>
          <w:p w14:paraId="08C4A9BB"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695,3</w:t>
            </w:r>
          </w:p>
        </w:tc>
        <w:tc>
          <w:tcPr>
            <w:tcW w:w="755" w:type="dxa"/>
            <w:shd w:val="clear" w:color="auto" w:fill="DEEAF6"/>
            <w:tcMar>
              <w:left w:w="57" w:type="dxa"/>
              <w:right w:w="57" w:type="dxa"/>
            </w:tcMar>
            <w:vAlign w:val="center"/>
          </w:tcPr>
          <w:p w14:paraId="7BB02F1D"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672,4</w:t>
            </w:r>
          </w:p>
        </w:tc>
        <w:tc>
          <w:tcPr>
            <w:tcW w:w="854" w:type="dxa"/>
            <w:shd w:val="clear" w:color="auto" w:fill="DEEAF6"/>
            <w:vAlign w:val="center"/>
          </w:tcPr>
          <w:p w14:paraId="310C76FA"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681,2</w:t>
            </w:r>
          </w:p>
        </w:tc>
        <w:tc>
          <w:tcPr>
            <w:tcW w:w="805" w:type="dxa"/>
            <w:shd w:val="clear" w:color="auto" w:fill="DEEAF6"/>
            <w:tcMar>
              <w:left w:w="57" w:type="dxa"/>
              <w:right w:w="57" w:type="dxa"/>
            </w:tcMar>
            <w:vAlign w:val="center"/>
          </w:tcPr>
          <w:p w14:paraId="463D3002"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691,2</w:t>
            </w:r>
          </w:p>
        </w:tc>
        <w:tc>
          <w:tcPr>
            <w:tcW w:w="805" w:type="dxa"/>
            <w:shd w:val="clear" w:color="auto" w:fill="DEEAF6"/>
            <w:tcMar>
              <w:left w:w="57" w:type="dxa"/>
              <w:right w:w="57" w:type="dxa"/>
            </w:tcMar>
            <w:vAlign w:val="center"/>
          </w:tcPr>
          <w:p w14:paraId="346798BD"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701,2</w:t>
            </w:r>
          </w:p>
        </w:tc>
        <w:tc>
          <w:tcPr>
            <w:tcW w:w="655" w:type="dxa"/>
            <w:shd w:val="clear" w:color="auto" w:fill="DEEAF6"/>
            <w:tcMar>
              <w:left w:w="57" w:type="dxa"/>
              <w:right w:w="57" w:type="dxa"/>
            </w:tcMar>
            <w:vAlign w:val="center"/>
          </w:tcPr>
          <w:p w14:paraId="055B669A"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-4,7</w:t>
            </w:r>
          </w:p>
        </w:tc>
        <w:tc>
          <w:tcPr>
            <w:tcW w:w="717" w:type="dxa"/>
            <w:shd w:val="clear" w:color="auto" w:fill="DEEAF6"/>
            <w:tcMar>
              <w:left w:w="57" w:type="dxa"/>
              <w:right w:w="57" w:type="dxa"/>
            </w:tcMar>
            <w:vAlign w:val="center"/>
          </w:tcPr>
          <w:p w14:paraId="1E7BD08E"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-7,6</w:t>
            </w:r>
          </w:p>
        </w:tc>
        <w:tc>
          <w:tcPr>
            <w:tcW w:w="700" w:type="dxa"/>
            <w:shd w:val="clear" w:color="auto" w:fill="DEEAF6"/>
            <w:vAlign w:val="center"/>
          </w:tcPr>
          <w:p w14:paraId="0EFC8A51"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-8,8</w:t>
            </w:r>
          </w:p>
        </w:tc>
        <w:tc>
          <w:tcPr>
            <w:tcW w:w="709" w:type="dxa"/>
            <w:shd w:val="clear" w:color="auto" w:fill="DEEAF6"/>
            <w:tcMar>
              <w:left w:w="57" w:type="dxa"/>
              <w:right w:w="57" w:type="dxa"/>
            </w:tcMar>
            <w:vAlign w:val="center"/>
          </w:tcPr>
          <w:p w14:paraId="0952F7C8"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-8,8</w:t>
            </w:r>
          </w:p>
        </w:tc>
        <w:tc>
          <w:tcPr>
            <w:tcW w:w="651" w:type="dxa"/>
            <w:shd w:val="clear" w:color="auto" w:fill="DEEAF6"/>
            <w:tcMar>
              <w:left w:w="57" w:type="dxa"/>
              <w:right w:w="57" w:type="dxa"/>
            </w:tcMar>
            <w:vAlign w:val="center"/>
          </w:tcPr>
          <w:p w14:paraId="4EF86987"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-8,8</w:t>
            </w:r>
          </w:p>
        </w:tc>
      </w:tr>
      <w:tr w:rsidR="006923DF" w:rsidRPr="00F622B6" w14:paraId="1C4C8574" w14:textId="77777777" w:rsidTr="006923DF">
        <w:trPr>
          <w:trHeight w:val="20"/>
          <w:jc w:val="center"/>
        </w:trPr>
        <w:tc>
          <w:tcPr>
            <w:tcW w:w="1982" w:type="dxa"/>
            <w:shd w:val="clear" w:color="auto" w:fill="auto"/>
          </w:tcPr>
          <w:p w14:paraId="202CDD13" w14:textId="77777777" w:rsidR="006923DF" w:rsidRPr="00F622B6" w:rsidRDefault="006923DF" w:rsidP="006923DF">
            <w:pPr>
              <w:spacing w:line="259" w:lineRule="auto"/>
              <w:ind w:left="283" w:firstLine="0"/>
              <w:jc w:val="left"/>
              <w:rPr>
                <w:rFonts w:eastAsia="Times New Roman" w:cs="Times New Roman"/>
                <w:bCs/>
                <w:i/>
                <w:sz w:val="18"/>
                <w:szCs w:val="18"/>
              </w:rPr>
            </w:pPr>
            <w:r w:rsidRPr="00F622B6">
              <w:rPr>
                <w:rFonts w:eastAsia="Times New Roman" w:cs="Times New Roman"/>
                <w:bCs/>
                <w:i/>
                <w:sz w:val="18"/>
                <w:szCs w:val="18"/>
              </w:rPr>
              <w:t>PVN</w:t>
            </w:r>
          </w:p>
        </w:tc>
        <w:tc>
          <w:tcPr>
            <w:tcW w:w="804" w:type="dxa"/>
            <w:shd w:val="clear" w:color="auto" w:fill="auto"/>
            <w:tcMar>
              <w:left w:w="57" w:type="dxa"/>
              <w:right w:w="57" w:type="dxa"/>
            </w:tcMar>
            <w:vAlign w:val="center"/>
          </w:tcPr>
          <w:p w14:paraId="7429D5C0"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3 963,4</w:t>
            </w:r>
          </w:p>
        </w:tc>
        <w:tc>
          <w:tcPr>
            <w:tcW w:w="755" w:type="dxa"/>
            <w:shd w:val="clear" w:color="auto" w:fill="auto"/>
            <w:tcMar>
              <w:left w:w="57" w:type="dxa"/>
              <w:right w:w="57" w:type="dxa"/>
            </w:tcMar>
            <w:vAlign w:val="center"/>
          </w:tcPr>
          <w:p w14:paraId="03FA1B44"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4 233,3</w:t>
            </w:r>
          </w:p>
        </w:tc>
        <w:tc>
          <w:tcPr>
            <w:tcW w:w="854" w:type="dxa"/>
            <w:vAlign w:val="center"/>
          </w:tcPr>
          <w:p w14:paraId="2CF4C490"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4 419,2</w:t>
            </w:r>
          </w:p>
        </w:tc>
        <w:tc>
          <w:tcPr>
            <w:tcW w:w="805" w:type="dxa"/>
            <w:tcMar>
              <w:left w:w="57" w:type="dxa"/>
              <w:right w:w="57" w:type="dxa"/>
            </w:tcMar>
            <w:vAlign w:val="center"/>
          </w:tcPr>
          <w:p w14:paraId="45259F61"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4 628,3</w:t>
            </w:r>
          </w:p>
        </w:tc>
        <w:tc>
          <w:tcPr>
            <w:tcW w:w="805" w:type="dxa"/>
            <w:shd w:val="clear" w:color="auto" w:fill="auto"/>
            <w:tcMar>
              <w:left w:w="57" w:type="dxa"/>
              <w:right w:w="57" w:type="dxa"/>
            </w:tcMar>
            <w:vAlign w:val="center"/>
          </w:tcPr>
          <w:p w14:paraId="4F6028A0"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4 847,3</w:t>
            </w:r>
          </w:p>
        </w:tc>
        <w:tc>
          <w:tcPr>
            <w:tcW w:w="655" w:type="dxa"/>
            <w:shd w:val="clear" w:color="auto" w:fill="auto"/>
            <w:tcMar>
              <w:left w:w="57" w:type="dxa"/>
              <w:right w:w="57" w:type="dxa"/>
            </w:tcMar>
            <w:vAlign w:val="center"/>
          </w:tcPr>
          <w:p w14:paraId="37035A8B"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-26,6</w:t>
            </w:r>
          </w:p>
        </w:tc>
        <w:tc>
          <w:tcPr>
            <w:tcW w:w="717" w:type="dxa"/>
            <w:shd w:val="clear" w:color="auto" w:fill="auto"/>
            <w:tcMar>
              <w:left w:w="57" w:type="dxa"/>
              <w:right w:w="57" w:type="dxa"/>
            </w:tcMar>
            <w:vAlign w:val="center"/>
          </w:tcPr>
          <w:p w14:paraId="16B546DD"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-47,7</w:t>
            </w:r>
          </w:p>
        </w:tc>
        <w:tc>
          <w:tcPr>
            <w:tcW w:w="700" w:type="dxa"/>
            <w:vAlign w:val="center"/>
          </w:tcPr>
          <w:p w14:paraId="436C40E3"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-56,8</w:t>
            </w:r>
          </w:p>
        </w:tc>
        <w:tc>
          <w:tcPr>
            <w:tcW w:w="709" w:type="dxa"/>
            <w:tcMar>
              <w:left w:w="57" w:type="dxa"/>
              <w:right w:w="57" w:type="dxa"/>
            </w:tcMar>
            <w:vAlign w:val="center"/>
          </w:tcPr>
          <w:p w14:paraId="2B020B93"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-58,6</w:t>
            </w:r>
          </w:p>
        </w:tc>
        <w:tc>
          <w:tcPr>
            <w:tcW w:w="651" w:type="dxa"/>
            <w:shd w:val="clear" w:color="auto" w:fill="auto"/>
            <w:tcMar>
              <w:left w:w="57" w:type="dxa"/>
              <w:right w:w="57" w:type="dxa"/>
            </w:tcMar>
            <w:vAlign w:val="center"/>
          </w:tcPr>
          <w:p w14:paraId="0882C858"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-60,5</w:t>
            </w:r>
          </w:p>
        </w:tc>
      </w:tr>
      <w:tr w:rsidR="006923DF" w:rsidRPr="00F622B6" w14:paraId="2BF3630B" w14:textId="77777777" w:rsidTr="006923DF">
        <w:trPr>
          <w:trHeight w:val="20"/>
          <w:jc w:val="center"/>
        </w:trPr>
        <w:tc>
          <w:tcPr>
            <w:tcW w:w="1982" w:type="dxa"/>
            <w:shd w:val="clear" w:color="auto" w:fill="DEEAF6"/>
          </w:tcPr>
          <w:p w14:paraId="3EA8706F" w14:textId="77777777" w:rsidR="006923DF" w:rsidRPr="00F622B6" w:rsidRDefault="006923DF" w:rsidP="006923DF">
            <w:pPr>
              <w:spacing w:line="259" w:lineRule="auto"/>
              <w:ind w:left="283" w:firstLine="0"/>
              <w:jc w:val="left"/>
              <w:rPr>
                <w:rFonts w:eastAsia="Times New Roman" w:cs="Times New Roman"/>
                <w:bCs/>
                <w:i/>
                <w:sz w:val="18"/>
                <w:szCs w:val="18"/>
              </w:rPr>
            </w:pPr>
            <w:r w:rsidRPr="00F622B6">
              <w:rPr>
                <w:rFonts w:eastAsia="Times New Roman" w:cs="Times New Roman"/>
                <w:bCs/>
                <w:i/>
                <w:sz w:val="18"/>
                <w:szCs w:val="18"/>
              </w:rPr>
              <w:t>Valsts sociālās apdrošināšanas obligātās  iemaksas</w:t>
            </w:r>
            <w:r w:rsidRPr="00F622B6">
              <w:rPr>
                <w:rFonts w:eastAsia="Times New Roman" w:cs="Times New Roman"/>
                <w:bCs/>
                <w:i/>
                <w:sz w:val="18"/>
                <w:szCs w:val="18"/>
                <w:vertAlign w:val="superscript"/>
              </w:rPr>
              <w:footnoteReference w:id="24"/>
            </w:r>
          </w:p>
        </w:tc>
        <w:tc>
          <w:tcPr>
            <w:tcW w:w="804" w:type="dxa"/>
            <w:shd w:val="clear" w:color="auto" w:fill="DEEAF6"/>
            <w:tcMar>
              <w:left w:w="57" w:type="dxa"/>
              <w:right w:w="57" w:type="dxa"/>
            </w:tcMar>
            <w:vAlign w:val="center"/>
          </w:tcPr>
          <w:p w14:paraId="5EEE1C21"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4 372,2</w:t>
            </w:r>
          </w:p>
        </w:tc>
        <w:tc>
          <w:tcPr>
            <w:tcW w:w="755" w:type="dxa"/>
            <w:shd w:val="clear" w:color="auto" w:fill="DEEAF6"/>
            <w:tcMar>
              <w:left w:w="57" w:type="dxa"/>
              <w:right w:w="57" w:type="dxa"/>
            </w:tcMar>
            <w:vAlign w:val="center"/>
          </w:tcPr>
          <w:p w14:paraId="6FB9F49A"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4 643,6</w:t>
            </w:r>
          </w:p>
        </w:tc>
        <w:tc>
          <w:tcPr>
            <w:tcW w:w="854" w:type="dxa"/>
            <w:shd w:val="clear" w:color="auto" w:fill="DEEAF6"/>
            <w:vAlign w:val="center"/>
          </w:tcPr>
          <w:p w14:paraId="4BE9B740"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4 921,5</w:t>
            </w:r>
          </w:p>
        </w:tc>
        <w:tc>
          <w:tcPr>
            <w:tcW w:w="805" w:type="dxa"/>
            <w:shd w:val="clear" w:color="auto" w:fill="DEEAF6"/>
            <w:tcMar>
              <w:left w:w="57" w:type="dxa"/>
              <w:right w:w="57" w:type="dxa"/>
            </w:tcMar>
            <w:vAlign w:val="center"/>
          </w:tcPr>
          <w:p w14:paraId="6027DD1A"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5 164,9</w:t>
            </w:r>
          </w:p>
        </w:tc>
        <w:tc>
          <w:tcPr>
            <w:tcW w:w="805" w:type="dxa"/>
            <w:shd w:val="clear" w:color="auto" w:fill="DEEAF6"/>
            <w:tcMar>
              <w:left w:w="57" w:type="dxa"/>
              <w:right w:w="57" w:type="dxa"/>
            </w:tcMar>
            <w:vAlign w:val="center"/>
          </w:tcPr>
          <w:p w14:paraId="745A19E4"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5 418,7</w:t>
            </w:r>
          </w:p>
        </w:tc>
        <w:tc>
          <w:tcPr>
            <w:tcW w:w="655" w:type="dxa"/>
            <w:shd w:val="clear" w:color="auto" w:fill="DEEAF6"/>
            <w:tcMar>
              <w:left w:w="57" w:type="dxa"/>
              <w:right w:w="57" w:type="dxa"/>
            </w:tcMar>
            <w:vAlign w:val="center"/>
          </w:tcPr>
          <w:p w14:paraId="3FA02BCD"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-61,2</w:t>
            </w:r>
          </w:p>
        </w:tc>
        <w:tc>
          <w:tcPr>
            <w:tcW w:w="717" w:type="dxa"/>
            <w:shd w:val="clear" w:color="auto" w:fill="DEEAF6"/>
            <w:tcMar>
              <w:left w:w="57" w:type="dxa"/>
              <w:right w:w="57" w:type="dxa"/>
            </w:tcMar>
            <w:vAlign w:val="center"/>
          </w:tcPr>
          <w:p w14:paraId="7EBD2791"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-95,9</w:t>
            </w:r>
          </w:p>
        </w:tc>
        <w:tc>
          <w:tcPr>
            <w:tcW w:w="700" w:type="dxa"/>
            <w:shd w:val="clear" w:color="auto" w:fill="DEEAF6"/>
            <w:vAlign w:val="center"/>
          </w:tcPr>
          <w:p w14:paraId="39A3EC8C"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-109,4</w:t>
            </w:r>
          </w:p>
        </w:tc>
        <w:tc>
          <w:tcPr>
            <w:tcW w:w="709" w:type="dxa"/>
            <w:shd w:val="clear" w:color="auto" w:fill="DEEAF6"/>
            <w:tcMar>
              <w:left w:w="57" w:type="dxa"/>
              <w:right w:w="57" w:type="dxa"/>
            </w:tcMar>
            <w:vAlign w:val="center"/>
          </w:tcPr>
          <w:p w14:paraId="60B68EE6"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-121,3</w:t>
            </w:r>
          </w:p>
        </w:tc>
        <w:tc>
          <w:tcPr>
            <w:tcW w:w="651" w:type="dxa"/>
            <w:shd w:val="clear" w:color="auto" w:fill="DEEAF6"/>
            <w:tcMar>
              <w:left w:w="57" w:type="dxa"/>
              <w:right w:w="57" w:type="dxa"/>
            </w:tcMar>
            <w:vAlign w:val="center"/>
          </w:tcPr>
          <w:p w14:paraId="5694F7CD"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-127,3</w:t>
            </w:r>
          </w:p>
        </w:tc>
      </w:tr>
      <w:tr w:rsidR="006923DF" w:rsidRPr="00F622B6" w14:paraId="5EED3C86" w14:textId="77777777" w:rsidTr="006923DF">
        <w:trPr>
          <w:trHeight w:val="20"/>
          <w:jc w:val="center"/>
        </w:trPr>
        <w:tc>
          <w:tcPr>
            <w:tcW w:w="1982" w:type="dxa"/>
            <w:shd w:val="clear" w:color="auto" w:fill="auto"/>
          </w:tcPr>
          <w:p w14:paraId="332B623B" w14:textId="77777777" w:rsidR="006923DF" w:rsidRPr="00F622B6" w:rsidRDefault="006923DF" w:rsidP="006923DF">
            <w:pPr>
              <w:spacing w:line="259" w:lineRule="auto"/>
              <w:ind w:left="283" w:firstLine="0"/>
              <w:jc w:val="left"/>
              <w:rPr>
                <w:rFonts w:eastAsia="Times New Roman" w:cs="Times New Roman"/>
                <w:bCs/>
                <w:i/>
                <w:sz w:val="18"/>
                <w:szCs w:val="18"/>
              </w:rPr>
            </w:pPr>
            <w:r w:rsidRPr="00F622B6">
              <w:rPr>
                <w:rFonts w:eastAsia="Times New Roman" w:cs="Times New Roman"/>
                <w:bCs/>
                <w:i/>
                <w:sz w:val="18"/>
                <w:szCs w:val="18"/>
              </w:rPr>
              <w:t>Akcīzes nodoklis</w:t>
            </w:r>
          </w:p>
        </w:tc>
        <w:tc>
          <w:tcPr>
            <w:tcW w:w="804" w:type="dxa"/>
            <w:shd w:val="clear" w:color="auto" w:fill="auto"/>
            <w:tcMar>
              <w:left w:w="57" w:type="dxa"/>
              <w:right w:w="57" w:type="dxa"/>
            </w:tcMar>
            <w:vAlign w:val="center"/>
          </w:tcPr>
          <w:p w14:paraId="226444FB"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1 207,5</w:t>
            </w:r>
          </w:p>
        </w:tc>
        <w:tc>
          <w:tcPr>
            <w:tcW w:w="755" w:type="dxa"/>
            <w:shd w:val="clear" w:color="auto" w:fill="auto"/>
            <w:tcMar>
              <w:left w:w="57" w:type="dxa"/>
              <w:right w:w="57" w:type="dxa"/>
            </w:tcMar>
            <w:vAlign w:val="center"/>
          </w:tcPr>
          <w:p w14:paraId="7BB718F6"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1 272,3</w:t>
            </w:r>
          </w:p>
        </w:tc>
        <w:tc>
          <w:tcPr>
            <w:tcW w:w="854" w:type="dxa"/>
            <w:vAlign w:val="center"/>
          </w:tcPr>
          <w:p w14:paraId="3A459605"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1 333,6</w:t>
            </w:r>
          </w:p>
        </w:tc>
        <w:tc>
          <w:tcPr>
            <w:tcW w:w="805" w:type="dxa"/>
            <w:tcMar>
              <w:left w:w="57" w:type="dxa"/>
              <w:right w:w="57" w:type="dxa"/>
            </w:tcMar>
            <w:vAlign w:val="center"/>
          </w:tcPr>
          <w:p w14:paraId="1A991303"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1 374,4</w:t>
            </w:r>
          </w:p>
        </w:tc>
        <w:tc>
          <w:tcPr>
            <w:tcW w:w="805" w:type="dxa"/>
            <w:shd w:val="clear" w:color="auto" w:fill="auto"/>
            <w:tcMar>
              <w:left w:w="57" w:type="dxa"/>
              <w:right w:w="57" w:type="dxa"/>
            </w:tcMar>
            <w:vAlign w:val="center"/>
          </w:tcPr>
          <w:p w14:paraId="7D7B21B8"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1 410,9</w:t>
            </w:r>
          </w:p>
        </w:tc>
        <w:tc>
          <w:tcPr>
            <w:tcW w:w="655" w:type="dxa"/>
            <w:shd w:val="clear" w:color="auto" w:fill="auto"/>
            <w:tcMar>
              <w:left w:w="57" w:type="dxa"/>
              <w:right w:w="57" w:type="dxa"/>
            </w:tcMar>
            <w:vAlign w:val="center"/>
          </w:tcPr>
          <w:p w14:paraId="77C9828E"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-8,2</w:t>
            </w:r>
          </w:p>
        </w:tc>
        <w:tc>
          <w:tcPr>
            <w:tcW w:w="717" w:type="dxa"/>
            <w:shd w:val="clear" w:color="auto" w:fill="auto"/>
            <w:tcMar>
              <w:left w:w="57" w:type="dxa"/>
              <w:right w:w="57" w:type="dxa"/>
            </w:tcMar>
            <w:vAlign w:val="center"/>
          </w:tcPr>
          <w:p w14:paraId="08A28563"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-14,4</w:t>
            </w:r>
          </w:p>
        </w:tc>
        <w:tc>
          <w:tcPr>
            <w:tcW w:w="700" w:type="dxa"/>
            <w:vAlign w:val="center"/>
          </w:tcPr>
          <w:p w14:paraId="5DE3EDEC"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-17,1</w:t>
            </w:r>
          </w:p>
        </w:tc>
        <w:tc>
          <w:tcPr>
            <w:tcW w:w="709" w:type="dxa"/>
            <w:tcMar>
              <w:left w:w="57" w:type="dxa"/>
              <w:right w:w="57" w:type="dxa"/>
            </w:tcMar>
            <w:vAlign w:val="center"/>
          </w:tcPr>
          <w:p w14:paraId="0C2B511A"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-17,4</w:t>
            </w:r>
          </w:p>
        </w:tc>
        <w:tc>
          <w:tcPr>
            <w:tcW w:w="651" w:type="dxa"/>
            <w:shd w:val="clear" w:color="auto" w:fill="auto"/>
            <w:tcMar>
              <w:left w:w="57" w:type="dxa"/>
              <w:right w:w="57" w:type="dxa"/>
            </w:tcMar>
            <w:vAlign w:val="center"/>
          </w:tcPr>
          <w:p w14:paraId="74D3082A"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-17,5</w:t>
            </w:r>
          </w:p>
        </w:tc>
      </w:tr>
      <w:tr w:rsidR="006923DF" w:rsidRPr="00F622B6" w14:paraId="73A79B90" w14:textId="77777777" w:rsidTr="006923DF">
        <w:trPr>
          <w:trHeight w:val="20"/>
          <w:jc w:val="center"/>
        </w:trPr>
        <w:tc>
          <w:tcPr>
            <w:tcW w:w="1982" w:type="dxa"/>
            <w:shd w:val="clear" w:color="auto" w:fill="DEEAF6"/>
            <w:vAlign w:val="center"/>
          </w:tcPr>
          <w:p w14:paraId="4E37D7E4" w14:textId="77777777" w:rsidR="006923DF" w:rsidRPr="00F622B6" w:rsidRDefault="006923DF" w:rsidP="006923DF">
            <w:pPr>
              <w:ind w:left="166" w:firstLine="0"/>
              <w:jc w:val="left"/>
              <w:rPr>
                <w:rFonts w:eastAsia="Times New Roman" w:cs="Times New Roman"/>
                <w:bCs/>
                <w:noProof/>
                <w:sz w:val="18"/>
                <w:szCs w:val="18"/>
                <w:lang w:eastAsia="lv-LV"/>
              </w:rPr>
            </w:pPr>
            <w:r w:rsidRPr="00F622B6">
              <w:rPr>
                <w:rFonts w:eastAsia="Times New Roman" w:cs="Times New Roman"/>
                <w:bCs/>
                <w:noProof/>
                <w:sz w:val="18"/>
                <w:szCs w:val="18"/>
                <w:lang w:eastAsia="lv-LV"/>
              </w:rPr>
              <w:t>Nenodokļu ieņēmumi</w:t>
            </w:r>
          </w:p>
        </w:tc>
        <w:tc>
          <w:tcPr>
            <w:tcW w:w="804" w:type="dxa"/>
            <w:shd w:val="clear" w:color="auto" w:fill="DEEAF6"/>
            <w:tcMar>
              <w:left w:w="57" w:type="dxa"/>
              <w:right w:w="57" w:type="dxa"/>
            </w:tcMar>
            <w:vAlign w:val="center"/>
          </w:tcPr>
          <w:p w14:paraId="4F621F4B"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1 011,0</w:t>
            </w:r>
          </w:p>
        </w:tc>
        <w:tc>
          <w:tcPr>
            <w:tcW w:w="755" w:type="dxa"/>
            <w:shd w:val="clear" w:color="auto" w:fill="DEEAF6"/>
            <w:tcMar>
              <w:left w:w="57" w:type="dxa"/>
              <w:right w:w="57" w:type="dxa"/>
            </w:tcMar>
            <w:vAlign w:val="center"/>
          </w:tcPr>
          <w:p w14:paraId="02575572"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792,8</w:t>
            </w:r>
          </w:p>
        </w:tc>
        <w:tc>
          <w:tcPr>
            <w:tcW w:w="854" w:type="dxa"/>
            <w:shd w:val="clear" w:color="auto" w:fill="DEEAF6"/>
            <w:vAlign w:val="center"/>
          </w:tcPr>
          <w:p w14:paraId="6B7597AE"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774,1</w:t>
            </w:r>
          </w:p>
        </w:tc>
        <w:tc>
          <w:tcPr>
            <w:tcW w:w="805" w:type="dxa"/>
            <w:shd w:val="clear" w:color="auto" w:fill="DEEAF6"/>
            <w:tcMar>
              <w:left w:w="57" w:type="dxa"/>
              <w:right w:w="57" w:type="dxa"/>
            </w:tcMar>
            <w:vAlign w:val="center"/>
          </w:tcPr>
          <w:p w14:paraId="1948E0EE"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785,4</w:t>
            </w:r>
          </w:p>
        </w:tc>
        <w:tc>
          <w:tcPr>
            <w:tcW w:w="805" w:type="dxa"/>
            <w:shd w:val="clear" w:color="auto" w:fill="DEEAF6"/>
            <w:tcMar>
              <w:left w:w="57" w:type="dxa"/>
              <w:right w:w="57" w:type="dxa"/>
            </w:tcMar>
            <w:vAlign w:val="center"/>
          </w:tcPr>
          <w:p w14:paraId="1BE9D877"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822,3</w:t>
            </w:r>
          </w:p>
        </w:tc>
        <w:tc>
          <w:tcPr>
            <w:tcW w:w="655" w:type="dxa"/>
            <w:shd w:val="clear" w:color="auto" w:fill="DEEAF6"/>
            <w:tcMar>
              <w:left w:w="57" w:type="dxa"/>
              <w:right w:w="57" w:type="dxa"/>
            </w:tcMar>
            <w:vAlign w:val="center"/>
          </w:tcPr>
          <w:p w14:paraId="75220413"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-2,7</w:t>
            </w:r>
          </w:p>
        </w:tc>
        <w:tc>
          <w:tcPr>
            <w:tcW w:w="717" w:type="dxa"/>
            <w:shd w:val="clear" w:color="auto" w:fill="DEEAF6"/>
            <w:tcMar>
              <w:left w:w="57" w:type="dxa"/>
              <w:right w:w="57" w:type="dxa"/>
            </w:tcMar>
            <w:vAlign w:val="center"/>
          </w:tcPr>
          <w:p w14:paraId="35034B9B"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-2,5</w:t>
            </w:r>
          </w:p>
        </w:tc>
        <w:tc>
          <w:tcPr>
            <w:tcW w:w="700" w:type="dxa"/>
            <w:shd w:val="clear" w:color="auto" w:fill="DEEAF6"/>
            <w:vAlign w:val="center"/>
          </w:tcPr>
          <w:p w14:paraId="5A785924"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-2,6</w:t>
            </w:r>
          </w:p>
        </w:tc>
        <w:tc>
          <w:tcPr>
            <w:tcW w:w="709" w:type="dxa"/>
            <w:shd w:val="clear" w:color="auto" w:fill="DEEAF6"/>
            <w:tcMar>
              <w:left w:w="57" w:type="dxa"/>
              <w:right w:w="57" w:type="dxa"/>
            </w:tcMar>
            <w:vAlign w:val="center"/>
          </w:tcPr>
          <w:p w14:paraId="5600A021"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-2,5</w:t>
            </w:r>
          </w:p>
        </w:tc>
        <w:tc>
          <w:tcPr>
            <w:tcW w:w="651" w:type="dxa"/>
            <w:shd w:val="clear" w:color="auto" w:fill="DEEAF6"/>
            <w:tcMar>
              <w:left w:w="57" w:type="dxa"/>
              <w:right w:w="57" w:type="dxa"/>
            </w:tcMar>
            <w:vAlign w:val="center"/>
          </w:tcPr>
          <w:p w14:paraId="710BFAF6"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-2,5</w:t>
            </w:r>
          </w:p>
        </w:tc>
      </w:tr>
      <w:tr w:rsidR="006923DF" w:rsidRPr="00F622B6" w14:paraId="0ED51D5F" w14:textId="77777777" w:rsidTr="006923DF">
        <w:trPr>
          <w:trHeight w:val="20"/>
          <w:jc w:val="center"/>
        </w:trPr>
        <w:tc>
          <w:tcPr>
            <w:tcW w:w="1982" w:type="dxa"/>
            <w:shd w:val="clear" w:color="auto" w:fill="auto"/>
            <w:vAlign w:val="center"/>
          </w:tcPr>
          <w:p w14:paraId="0007C83F" w14:textId="77777777" w:rsidR="006923DF" w:rsidRPr="00F622B6" w:rsidRDefault="006923DF" w:rsidP="006923DF">
            <w:pPr>
              <w:ind w:left="166" w:firstLine="0"/>
              <w:jc w:val="left"/>
              <w:rPr>
                <w:rFonts w:eastAsia="Times New Roman" w:cs="Times New Roman"/>
                <w:bCs/>
                <w:noProof/>
                <w:sz w:val="18"/>
                <w:szCs w:val="18"/>
                <w:lang w:eastAsia="lv-LV"/>
              </w:rPr>
            </w:pPr>
            <w:r w:rsidRPr="00F622B6">
              <w:rPr>
                <w:rFonts w:eastAsia="Times New Roman" w:cs="Times New Roman"/>
                <w:bCs/>
                <w:noProof/>
                <w:sz w:val="18"/>
                <w:szCs w:val="18"/>
                <w:lang w:eastAsia="lv-LV"/>
              </w:rPr>
              <w:t>Procentu izdevumi</w:t>
            </w:r>
          </w:p>
        </w:tc>
        <w:tc>
          <w:tcPr>
            <w:tcW w:w="804" w:type="dxa"/>
            <w:shd w:val="clear" w:color="auto" w:fill="auto"/>
            <w:tcMar>
              <w:left w:w="57" w:type="dxa"/>
              <w:right w:w="57" w:type="dxa"/>
            </w:tcMar>
            <w:vAlign w:val="center"/>
          </w:tcPr>
          <w:p w14:paraId="4599BFC6"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757,0</w:t>
            </w:r>
          </w:p>
        </w:tc>
        <w:tc>
          <w:tcPr>
            <w:tcW w:w="755" w:type="dxa"/>
            <w:shd w:val="clear" w:color="auto" w:fill="auto"/>
            <w:tcMar>
              <w:left w:w="57" w:type="dxa"/>
              <w:right w:w="57" w:type="dxa"/>
            </w:tcMar>
            <w:vAlign w:val="center"/>
          </w:tcPr>
          <w:p w14:paraId="365EF330"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757,0</w:t>
            </w:r>
          </w:p>
        </w:tc>
        <w:tc>
          <w:tcPr>
            <w:tcW w:w="854" w:type="dxa"/>
            <w:vAlign w:val="center"/>
          </w:tcPr>
          <w:p w14:paraId="73A43AE5"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757,0</w:t>
            </w:r>
          </w:p>
        </w:tc>
        <w:tc>
          <w:tcPr>
            <w:tcW w:w="805" w:type="dxa"/>
            <w:tcMar>
              <w:left w:w="57" w:type="dxa"/>
              <w:right w:w="57" w:type="dxa"/>
            </w:tcMar>
            <w:vAlign w:val="center"/>
          </w:tcPr>
          <w:p w14:paraId="7E7467D0"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757,0</w:t>
            </w:r>
          </w:p>
        </w:tc>
        <w:tc>
          <w:tcPr>
            <w:tcW w:w="805" w:type="dxa"/>
            <w:shd w:val="clear" w:color="auto" w:fill="auto"/>
            <w:tcMar>
              <w:left w:w="57" w:type="dxa"/>
              <w:right w:w="57" w:type="dxa"/>
            </w:tcMar>
            <w:vAlign w:val="center"/>
          </w:tcPr>
          <w:p w14:paraId="52BF83E2"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color w:val="000000"/>
                <w:sz w:val="18"/>
                <w:szCs w:val="18"/>
              </w:rPr>
              <w:t>757,0</w:t>
            </w:r>
          </w:p>
        </w:tc>
        <w:tc>
          <w:tcPr>
            <w:tcW w:w="655" w:type="dxa"/>
            <w:shd w:val="clear" w:color="auto" w:fill="auto"/>
            <w:tcMar>
              <w:left w:w="57" w:type="dxa"/>
              <w:right w:w="57" w:type="dxa"/>
            </w:tcMar>
            <w:vAlign w:val="center"/>
          </w:tcPr>
          <w:p w14:paraId="18334F8B"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sz w:val="18"/>
                <w:szCs w:val="18"/>
              </w:rPr>
              <w:t>0,0</w:t>
            </w:r>
          </w:p>
        </w:tc>
        <w:tc>
          <w:tcPr>
            <w:tcW w:w="717" w:type="dxa"/>
            <w:shd w:val="clear" w:color="auto" w:fill="auto"/>
            <w:tcMar>
              <w:left w:w="57" w:type="dxa"/>
              <w:right w:w="57" w:type="dxa"/>
            </w:tcMar>
            <w:vAlign w:val="center"/>
          </w:tcPr>
          <w:p w14:paraId="037F4431"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sz w:val="18"/>
                <w:szCs w:val="18"/>
              </w:rPr>
              <w:t>4,9</w:t>
            </w:r>
          </w:p>
        </w:tc>
        <w:tc>
          <w:tcPr>
            <w:tcW w:w="700" w:type="dxa"/>
            <w:vAlign w:val="center"/>
          </w:tcPr>
          <w:p w14:paraId="4467C439"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sz w:val="18"/>
                <w:szCs w:val="18"/>
              </w:rPr>
              <w:t>13,0</w:t>
            </w:r>
          </w:p>
        </w:tc>
        <w:tc>
          <w:tcPr>
            <w:tcW w:w="709" w:type="dxa"/>
            <w:tcMar>
              <w:left w:w="57" w:type="dxa"/>
              <w:right w:w="57" w:type="dxa"/>
            </w:tcMar>
            <w:vAlign w:val="center"/>
          </w:tcPr>
          <w:p w14:paraId="5BDF8FEE"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sz w:val="18"/>
                <w:szCs w:val="18"/>
              </w:rPr>
              <w:t>21,9</w:t>
            </w:r>
          </w:p>
        </w:tc>
        <w:tc>
          <w:tcPr>
            <w:tcW w:w="651" w:type="dxa"/>
            <w:shd w:val="clear" w:color="auto" w:fill="auto"/>
            <w:tcMar>
              <w:left w:w="57" w:type="dxa"/>
              <w:right w:w="57" w:type="dxa"/>
            </w:tcMar>
            <w:vAlign w:val="center"/>
          </w:tcPr>
          <w:p w14:paraId="2AA17368" w14:textId="77777777" w:rsidR="006923DF" w:rsidRPr="00F622B6" w:rsidRDefault="006923DF" w:rsidP="006923DF">
            <w:pPr>
              <w:spacing w:line="259" w:lineRule="auto"/>
              <w:ind w:right="5" w:firstLine="0"/>
              <w:jc w:val="center"/>
              <w:rPr>
                <w:rFonts w:eastAsia="Times New Roman" w:cs="Times New Roman"/>
                <w:color w:val="FF0000"/>
                <w:sz w:val="18"/>
                <w:szCs w:val="18"/>
              </w:rPr>
            </w:pPr>
            <w:r w:rsidRPr="00F622B6">
              <w:rPr>
                <w:rFonts w:eastAsia="Times New Roman" w:cs="Times New Roman"/>
                <w:sz w:val="18"/>
                <w:szCs w:val="18"/>
              </w:rPr>
              <w:t>31,3</w:t>
            </w:r>
          </w:p>
        </w:tc>
      </w:tr>
      <w:tr w:rsidR="006923DF" w:rsidRPr="00F622B6" w14:paraId="4FFA2A31" w14:textId="77777777" w:rsidTr="006923DF">
        <w:trPr>
          <w:trHeight w:val="20"/>
          <w:jc w:val="center"/>
        </w:trPr>
        <w:tc>
          <w:tcPr>
            <w:tcW w:w="1982" w:type="dxa"/>
            <w:shd w:val="clear" w:color="auto" w:fill="DEEAF6"/>
            <w:vAlign w:val="center"/>
          </w:tcPr>
          <w:p w14:paraId="20D48F05" w14:textId="77777777" w:rsidR="006923DF" w:rsidRPr="006F3EEF" w:rsidRDefault="006923DF" w:rsidP="006923DF">
            <w:pPr>
              <w:ind w:left="166" w:firstLine="0"/>
              <w:jc w:val="left"/>
              <w:rPr>
                <w:rFonts w:eastAsia="Times New Roman" w:cs="Times New Roman"/>
                <w:bCs/>
                <w:noProof/>
                <w:sz w:val="18"/>
                <w:szCs w:val="18"/>
                <w:lang w:eastAsia="lv-LV"/>
              </w:rPr>
            </w:pPr>
            <w:r w:rsidRPr="006F3EEF">
              <w:rPr>
                <w:rFonts w:eastAsia="Times New Roman" w:cs="Times New Roman"/>
                <w:bCs/>
                <w:noProof/>
                <w:sz w:val="18"/>
                <w:szCs w:val="18"/>
                <w:lang w:eastAsia="lv-LV"/>
              </w:rPr>
              <w:t>Izdevumi sociālajiem pabalstiem</w:t>
            </w:r>
          </w:p>
        </w:tc>
        <w:tc>
          <w:tcPr>
            <w:tcW w:w="804" w:type="dxa"/>
            <w:shd w:val="clear" w:color="auto" w:fill="DEEAF6"/>
            <w:tcMar>
              <w:left w:w="57" w:type="dxa"/>
              <w:right w:w="57" w:type="dxa"/>
            </w:tcMar>
            <w:vAlign w:val="center"/>
          </w:tcPr>
          <w:p w14:paraId="157F6D90" w14:textId="77777777" w:rsidR="006923DF" w:rsidRPr="006F3EEF" w:rsidRDefault="006923DF" w:rsidP="006923DF">
            <w:pPr>
              <w:spacing w:line="259" w:lineRule="auto"/>
              <w:ind w:right="5" w:firstLine="0"/>
              <w:jc w:val="center"/>
              <w:rPr>
                <w:rFonts w:eastAsia="Times New Roman" w:cs="Times New Roman"/>
                <w:color w:val="FF0000"/>
                <w:sz w:val="18"/>
                <w:szCs w:val="18"/>
              </w:rPr>
            </w:pPr>
            <w:r w:rsidRPr="006F3EEF">
              <w:rPr>
                <w:rFonts w:eastAsia="Times New Roman" w:cs="Times New Roman"/>
                <w:color w:val="000000"/>
                <w:sz w:val="18"/>
                <w:szCs w:val="18"/>
              </w:rPr>
              <w:t>5 166,3</w:t>
            </w:r>
          </w:p>
        </w:tc>
        <w:tc>
          <w:tcPr>
            <w:tcW w:w="755" w:type="dxa"/>
            <w:shd w:val="clear" w:color="auto" w:fill="DEEAF6"/>
            <w:tcMar>
              <w:left w:w="57" w:type="dxa"/>
              <w:right w:w="57" w:type="dxa"/>
            </w:tcMar>
            <w:vAlign w:val="center"/>
          </w:tcPr>
          <w:p w14:paraId="549AF05F" w14:textId="77777777" w:rsidR="006923DF" w:rsidRPr="006F3EEF" w:rsidRDefault="006923DF" w:rsidP="006923DF">
            <w:pPr>
              <w:spacing w:line="259" w:lineRule="auto"/>
              <w:ind w:right="5" w:firstLine="0"/>
              <w:jc w:val="center"/>
              <w:rPr>
                <w:rFonts w:eastAsia="Times New Roman" w:cs="Times New Roman"/>
                <w:color w:val="FF0000"/>
                <w:sz w:val="18"/>
                <w:szCs w:val="18"/>
              </w:rPr>
            </w:pPr>
            <w:r w:rsidRPr="006F3EEF">
              <w:rPr>
                <w:rFonts w:eastAsia="Times New Roman" w:cs="Times New Roman"/>
                <w:color w:val="000000"/>
                <w:sz w:val="18"/>
                <w:szCs w:val="18"/>
              </w:rPr>
              <w:t>5 520,5</w:t>
            </w:r>
          </w:p>
        </w:tc>
        <w:tc>
          <w:tcPr>
            <w:tcW w:w="854" w:type="dxa"/>
            <w:shd w:val="clear" w:color="auto" w:fill="DEEAF6"/>
            <w:vAlign w:val="center"/>
          </w:tcPr>
          <w:p w14:paraId="57045C27" w14:textId="77777777" w:rsidR="006923DF" w:rsidRPr="006F3EEF" w:rsidRDefault="006923DF" w:rsidP="006923DF">
            <w:pPr>
              <w:spacing w:line="259" w:lineRule="auto"/>
              <w:ind w:right="5" w:firstLine="0"/>
              <w:jc w:val="center"/>
              <w:rPr>
                <w:rFonts w:eastAsia="Times New Roman" w:cs="Times New Roman"/>
                <w:color w:val="FF0000"/>
                <w:sz w:val="18"/>
                <w:szCs w:val="18"/>
              </w:rPr>
            </w:pPr>
            <w:r w:rsidRPr="006F3EEF">
              <w:rPr>
                <w:rFonts w:eastAsia="Times New Roman" w:cs="Times New Roman"/>
                <w:color w:val="000000"/>
                <w:sz w:val="18"/>
                <w:szCs w:val="18"/>
              </w:rPr>
              <w:t>5 918,2</w:t>
            </w:r>
          </w:p>
        </w:tc>
        <w:tc>
          <w:tcPr>
            <w:tcW w:w="805" w:type="dxa"/>
            <w:shd w:val="clear" w:color="auto" w:fill="DEEAF6"/>
            <w:tcMar>
              <w:left w:w="57" w:type="dxa"/>
              <w:right w:w="57" w:type="dxa"/>
            </w:tcMar>
            <w:vAlign w:val="center"/>
          </w:tcPr>
          <w:p w14:paraId="5D5036BB" w14:textId="77777777" w:rsidR="006923DF" w:rsidRPr="006F3EEF" w:rsidRDefault="006923DF" w:rsidP="006923DF">
            <w:pPr>
              <w:spacing w:line="259" w:lineRule="auto"/>
              <w:ind w:right="5" w:firstLine="0"/>
              <w:jc w:val="center"/>
              <w:rPr>
                <w:rFonts w:eastAsia="Times New Roman" w:cs="Times New Roman"/>
                <w:color w:val="FF0000"/>
                <w:sz w:val="18"/>
                <w:szCs w:val="18"/>
              </w:rPr>
            </w:pPr>
            <w:r w:rsidRPr="006F3EEF">
              <w:rPr>
                <w:rFonts w:eastAsia="Times New Roman" w:cs="Times New Roman"/>
                <w:color w:val="000000"/>
                <w:sz w:val="18"/>
                <w:szCs w:val="18"/>
              </w:rPr>
              <w:t>6 225,3</w:t>
            </w:r>
          </w:p>
        </w:tc>
        <w:tc>
          <w:tcPr>
            <w:tcW w:w="805" w:type="dxa"/>
            <w:shd w:val="clear" w:color="auto" w:fill="DEEAF6"/>
            <w:tcMar>
              <w:left w:w="57" w:type="dxa"/>
              <w:right w:w="57" w:type="dxa"/>
            </w:tcMar>
            <w:vAlign w:val="center"/>
          </w:tcPr>
          <w:p w14:paraId="695099B8" w14:textId="77777777" w:rsidR="006923DF" w:rsidRPr="006F3EEF" w:rsidRDefault="006923DF" w:rsidP="006923DF">
            <w:pPr>
              <w:spacing w:line="259" w:lineRule="auto"/>
              <w:ind w:right="5" w:firstLine="0"/>
              <w:jc w:val="center"/>
              <w:rPr>
                <w:rFonts w:eastAsia="Times New Roman" w:cs="Times New Roman"/>
                <w:color w:val="FF0000"/>
                <w:sz w:val="18"/>
                <w:szCs w:val="18"/>
              </w:rPr>
            </w:pPr>
            <w:r w:rsidRPr="006F3EEF">
              <w:rPr>
                <w:rFonts w:eastAsia="Times New Roman" w:cs="Times New Roman"/>
                <w:color w:val="000000"/>
                <w:sz w:val="18"/>
                <w:szCs w:val="18"/>
              </w:rPr>
              <w:t>6 524,5</w:t>
            </w:r>
          </w:p>
        </w:tc>
        <w:tc>
          <w:tcPr>
            <w:tcW w:w="655" w:type="dxa"/>
            <w:shd w:val="clear" w:color="auto" w:fill="DEEAF6"/>
            <w:tcMar>
              <w:left w:w="57" w:type="dxa"/>
              <w:right w:w="57" w:type="dxa"/>
            </w:tcMar>
            <w:vAlign w:val="center"/>
          </w:tcPr>
          <w:p w14:paraId="5426165D" w14:textId="77777777" w:rsidR="006923DF" w:rsidRPr="006F3EEF" w:rsidRDefault="006923DF" w:rsidP="006923DF">
            <w:pPr>
              <w:spacing w:line="259" w:lineRule="auto"/>
              <w:ind w:right="5" w:firstLine="0"/>
              <w:jc w:val="center"/>
              <w:rPr>
                <w:rFonts w:eastAsia="Times New Roman" w:cs="Times New Roman"/>
                <w:color w:val="FF0000"/>
                <w:sz w:val="18"/>
                <w:szCs w:val="18"/>
              </w:rPr>
            </w:pPr>
            <w:r w:rsidRPr="006F3EEF">
              <w:rPr>
                <w:rFonts w:eastAsia="Times New Roman" w:cs="Times New Roman"/>
                <w:color w:val="000000"/>
                <w:sz w:val="18"/>
                <w:szCs w:val="18"/>
              </w:rPr>
              <w:t>5,6</w:t>
            </w:r>
          </w:p>
        </w:tc>
        <w:tc>
          <w:tcPr>
            <w:tcW w:w="717" w:type="dxa"/>
            <w:shd w:val="clear" w:color="auto" w:fill="DEEAF6"/>
            <w:tcMar>
              <w:left w:w="57" w:type="dxa"/>
              <w:right w:w="57" w:type="dxa"/>
            </w:tcMar>
            <w:vAlign w:val="center"/>
          </w:tcPr>
          <w:p w14:paraId="5434C48D" w14:textId="77777777" w:rsidR="006923DF" w:rsidRPr="006F3EEF" w:rsidRDefault="006923DF" w:rsidP="006923DF">
            <w:pPr>
              <w:spacing w:line="259" w:lineRule="auto"/>
              <w:ind w:right="5" w:firstLine="0"/>
              <w:jc w:val="center"/>
              <w:rPr>
                <w:rFonts w:eastAsia="Times New Roman" w:cs="Times New Roman"/>
                <w:color w:val="FF0000"/>
                <w:sz w:val="18"/>
                <w:szCs w:val="18"/>
              </w:rPr>
            </w:pPr>
            <w:r w:rsidRPr="006F3EEF">
              <w:rPr>
                <w:rFonts w:eastAsia="Times New Roman" w:cs="Times New Roman"/>
                <w:color w:val="000000"/>
                <w:sz w:val="18"/>
                <w:szCs w:val="18"/>
              </w:rPr>
              <w:t>5,7</w:t>
            </w:r>
          </w:p>
        </w:tc>
        <w:tc>
          <w:tcPr>
            <w:tcW w:w="700" w:type="dxa"/>
            <w:shd w:val="clear" w:color="auto" w:fill="DEEAF6"/>
            <w:vAlign w:val="center"/>
          </w:tcPr>
          <w:p w14:paraId="07653C1A" w14:textId="77777777" w:rsidR="006923DF" w:rsidRPr="006F3EEF" w:rsidRDefault="006923DF" w:rsidP="006923DF">
            <w:pPr>
              <w:spacing w:line="259" w:lineRule="auto"/>
              <w:ind w:right="5" w:firstLine="0"/>
              <w:jc w:val="center"/>
              <w:rPr>
                <w:rFonts w:eastAsia="Times New Roman" w:cs="Times New Roman"/>
                <w:color w:val="FF0000"/>
                <w:sz w:val="18"/>
                <w:szCs w:val="18"/>
              </w:rPr>
            </w:pPr>
            <w:r w:rsidRPr="006F3EEF">
              <w:rPr>
                <w:rFonts w:eastAsia="Times New Roman" w:cs="Times New Roman"/>
                <w:color w:val="000000"/>
                <w:sz w:val="18"/>
                <w:szCs w:val="18"/>
              </w:rPr>
              <w:t>-9,2</w:t>
            </w:r>
          </w:p>
        </w:tc>
        <w:tc>
          <w:tcPr>
            <w:tcW w:w="709" w:type="dxa"/>
            <w:shd w:val="clear" w:color="auto" w:fill="DEEAF6"/>
            <w:tcMar>
              <w:left w:w="57" w:type="dxa"/>
              <w:right w:w="57" w:type="dxa"/>
            </w:tcMar>
            <w:vAlign w:val="center"/>
          </w:tcPr>
          <w:p w14:paraId="51BF73FB" w14:textId="77777777" w:rsidR="006923DF" w:rsidRPr="006F3EEF" w:rsidRDefault="006923DF" w:rsidP="006923DF">
            <w:pPr>
              <w:spacing w:line="259" w:lineRule="auto"/>
              <w:ind w:right="5" w:firstLine="0"/>
              <w:jc w:val="center"/>
              <w:rPr>
                <w:rFonts w:eastAsia="Times New Roman" w:cs="Times New Roman"/>
                <w:color w:val="FF0000"/>
                <w:sz w:val="18"/>
                <w:szCs w:val="18"/>
              </w:rPr>
            </w:pPr>
            <w:r w:rsidRPr="006F3EEF">
              <w:rPr>
                <w:rFonts w:eastAsia="Times New Roman" w:cs="Times New Roman"/>
                <w:color w:val="000000"/>
                <w:sz w:val="18"/>
                <w:szCs w:val="18"/>
              </w:rPr>
              <w:t>-27,2</w:t>
            </w:r>
          </w:p>
        </w:tc>
        <w:tc>
          <w:tcPr>
            <w:tcW w:w="651" w:type="dxa"/>
            <w:shd w:val="clear" w:color="auto" w:fill="DEEAF6"/>
            <w:tcMar>
              <w:left w:w="57" w:type="dxa"/>
              <w:right w:w="57" w:type="dxa"/>
            </w:tcMar>
            <w:vAlign w:val="center"/>
          </w:tcPr>
          <w:p w14:paraId="38D1496A" w14:textId="77777777" w:rsidR="006923DF" w:rsidRPr="006F3EEF" w:rsidRDefault="006923DF" w:rsidP="006923DF">
            <w:pPr>
              <w:spacing w:line="259" w:lineRule="auto"/>
              <w:ind w:right="5" w:firstLine="0"/>
              <w:jc w:val="center"/>
              <w:rPr>
                <w:rFonts w:eastAsia="Times New Roman" w:cs="Times New Roman"/>
                <w:color w:val="FF0000"/>
                <w:sz w:val="18"/>
                <w:szCs w:val="18"/>
              </w:rPr>
            </w:pPr>
            <w:r w:rsidRPr="006F3EEF">
              <w:rPr>
                <w:rFonts w:eastAsia="Times New Roman" w:cs="Times New Roman"/>
                <w:color w:val="000000"/>
                <w:sz w:val="18"/>
                <w:szCs w:val="18"/>
              </w:rPr>
              <w:t>-43,1</w:t>
            </w:r>
          </w:p>
        </w:tc>
      </w:tr>
      <w:tr w:rsidR="006923DF" w:rsidRPr="00F622B6" w14:paraId="52F31707" w14:textId="77777777" w:rsidTr="006923DF">
        <w:trPr>
          <w:trHeight w:val="20"/>
          <w:jc w:val="center"/>
        </w:trPr>
        <w:tc>
          <w:tcPr>
            <w:tcW w:w="1982" w:type="dxa"/>
            <w:shd w:val="clear" w:color="auto" w:fill="auto"/>
            <w:vAlign w:val="center"/>
          </w:tcPr>
          <w:p w14:paraId="4B318CF7" w14:textId="77777777" w:rsidR="006923DF" w:rsidRPr="006F3EEF" w:rsidRDefault="006923DF" w:rsidP="006923DF">
            <w:pPr>
              <w:ind w:firstLine="0"/>
              <w:jc w:val="left"/>
              <w:rPr>
                <w:rFonts w:eastAsia="Times New Roman" w:cs="Times New Roman"/>
                <w:b/>
                <w:noProof/>
                <w:sz w:val="18"/>
                <w:szCs w:val="18"/>
                <w:lang w:eastAsia="lv-LV"/>
              </w:rPr>
            </w:pPr>
            <w:r w:rsidRPr="006F3EEF">
              <w:rPr>
                <w:rFonts w:eastAsia="Times New Roman" w:cs="Times New Roman"/>
                <w:b/>
                <w:noProof/>
                <w:sz w:val="18"/>
                <w:szCs w:val="18"/>
                <w:lang w:eastAsia="lv-LV"/>
              </w:rPr>
              <w:t>Vispārējās valdības parāds, % no IKP</w:t>
            </w:r>
          </w:p>
        </w:tc>
        <w:tc>
          <w:tcPr>
            <w:tcW w:w="804" w:type="dxa"/>
            <w:shd w:val="clear" w:color="auto" w:fill="auto"/>
            <w:tcMar>
              <w:left w:w="57" w:type="dxa"/>
              <w:right w:w="57" w:type="dxa"/>
            </w:tcMar>
            <w:vAlign w:val="center"/>
          </w:tcPr>
          <w:p w14:paraId="46F9C08A" w14:textId="4D48E20E" w:rsidR="006923DF" w:rsidRPr="006F3EEF" w:rsidRDefault="006923DF" w:rsidP="006923DF">
            <w:pPr>
              <w:spacing w:line="259" w:lineRule="auto"/>
              <w:ind w:right="5" w:firstLine="0"/>
              <w:jc w:val="center"/>
              <w:rPr>
                <w:rFonts w:eastAsia="Times New Roman" w:cs="Times New Roman"/>
                <w:b/>
                <w:bCs/>
                <w:sz w:val="18"/>
                <w:szCs w:val="18"/>
              </w:rPr>
            </w:pPr>
            <w:r w:rsidRPr="006F3EEF">
              <w:rPr>
                <w:rFonts w:eastAsia="Times New Roman" w:cs="Times New Roman"/>
                <w:b/>
                <w:bCs/>
                <w:sz w:val="18"/>
                <w:szCs w:val="18"/>
              </w:rPr>
              <w:t>45,8</w:t>
            </w:r>
          </w:p>
        </w:tc>
        <w:tc>
          <w:tcPr>
            <w:tcW w:w="755" w:type="dxa"/>
            <w:shd w:val="clear" w:color="auto" w:fill="auto"/>
            <w:tcMar>
              <w:left w:w="57" w:type="dxa"/>
              <w:right w:w="57" w:type="dxa"/>
            </w:tcMar>
            <w:vAlign w:val="center"/>
          </w:tcPr>
          <w:p w14:paraId="765C3BAE" w14:textId="00152342" w:rsidR="006923DF" w:rsidRPr="006F3EEF" w:rsidRDefault="006923DF" w:rsidP="006923DF">
            <w:pPr>
              <w:spacing w:line="259" w:lineRule="auto"/>
              <w:ind w:right="5" w:firstLine="0"/>
              <w:jc w:val="center"/>
              <w:rPr>
                <w:rFonts w:eastAsia="Times New Roman" w:cs="Times New Roman"/>
                <w:b/>
                <w:bCs/>
                <w:sz w:val="18"/>
                <w:szCs w:val="18"/>
              </w:rPr>
            </w:pPr>
            <w:r w:rsidRPr="006F3EEF">
              <w:rPr>
                <w:rFonts w:eastAsia="Times New Roman" w:cs="Times New Roman"/>
                <w:b/>
                <w:bCs/>
                <w:sz w:val="18"/>
                <w:szCs w:val="18"/>
              </w:rPr>
              <w:t>47,8</w:t>
            </w:r>
          </w:p>
        </w:tc>
        <w:tc>
          <w:tcPr>
            <w:tcW w:w="854" w:type="dxa"/>
            <w:vAlign w:val="center"/>
          </w:tcPr>
          <w:p w14:paraId="4B6A8257" w14:textId="45F64B3B" w:rsidR="006923DF" w:rsidRPr="006F3EEF" w:rsidRDefault="006923DF" w:rsidP="006923DF">
            <w:pPr>
              <w:spacing w:line="259" w:lineRule="auto"/>
              <w:ind w:right="5" w:firstLine="0"/>
              <w:jc w:val="center"/>
              <w:rPr>
                <w:rFonts w:eastAsia="Times New Roman" w:cs="Times New Roman"/>
                <w:b/>
                <w:bCs/>
                <w:sz w:val="18"/>
                <w:szCs w:val="18"/>
              </w:rPr>
            </w:pPr>
            <w:r w:rsidRPr="006F3EEF">
              <w:rPr>
                <w:rFonts w:eastAsia="Times New Roman" w:cs="Times New Roman"/>
                <w:b/>
                <w:bCs/>
                <w:sz w:val="18"/>
                <w:szCs w:val="18"/>
              </w:rPr>
              <w:t>48,3</w:t>
            </w:r>
          </w:p>
        </w:tc>
        <w:tc>
          <w:tcPr>
            <w:tcW w:w="805" w:type="dxa"/>
            <w:shd w:val="clear" w:color="auto" w:fill="auto"/>
            <w:tcMar>
              <w:left w:w="57" w:type="dxa"/>
              <w:right w:w="57" w:type="dxa"/>
            </w:tcMar>
            <w:vAlign w:val="center"/>
          </w:tcPr>
          <w:p w14:paraId="50170E75" w14:textId="14B0EF61" w:rsidR="006923DF" w:rsidRPr="006F3EEF" w:rsidRDefault="006923DF" w:rsidP="006923DF">
            <w:pPr>
              <w:spacing w:line="259" w:lineRule="auto"/>
              <w:ind w:right="5" w:firstLine="0"/>
              <w:jc w:val="center"/>
              <w:rPr>
                <w:rFonts w:eastAsia="Times New Roman" w:cs="Times New Roman"/>
                <w:b/>
                <w:bCs/>
                <w:sz w:val="18"/>
                <w:szCs w:val="18"/>
              </w:rPr>
            </w:pPr>
            <w:r w:rsidRPr="006F3EEF">
              <w:rPr>
                <w:rFonts w:eastAsia="Times New Roman" w:cs="Times New Roman"/>
                <w:b/>
                <w:bCs/>
                <w:sz w:val="18"/>
                <w:szCs w:val="18"/>
              </w:rPr>
              <w:t>51,3</w:t>
            </w:r>
          </w:p>
        </w:tc>
        <w:tc>
          <w:tcPr>
            <w:tcW w:w="805" w:type="dxa"/>
            <w:shd w:val="clear" w:color="auto" w:fill="auto"/>
            <w:tcMar>
              <w:left w:w="57" w:type="dxa"/>
              <w:right w:w="57" w:type="dxa"/>
            </w:tcMar>
            <w:vAlign w:val="center"/>
          </w:tcPr>
          <w:p w14:paraId="1F9289F4" w14:textId="62DC0E4A" w:rsidR="006923DF" w:rsidRPr="006F3EEF" w:rsidRDefault="006923DF" w:rsidP="006923DF">
            <w:pPr>
              <w:spacing w:line="259" w:lineRule="auto"/>
              <w:ind w:right="5" w:firstLine="0"/>
              <w:jc w:val="center"/>
              <w:rPr>
                <w:rFonts w:eastAsia="Times New Roman" w:cs="Times New Roman"/>
                <w:b/>
                <w:bCs/>
                <w:sz w:val="18"/>
                <w:szCs w:val="18"/>
              </w:rPr>
            </w:pPr>
            <w:r w:rsidRPr="006F3EEF">
              <w:rPr>
                <w:rFonts w:eastAsia="Times New Roman" w:cs="Times New Roman"/>
                <w:b/>
                <w:bCs/>
                <w:sz w:val="18"/>
                <w:szCs w:val="18"/>
              </w:rPr>
              <w:t>51,2</w:t>
            </w:r>
          </w:p>
        </w:tc>
        <w:tc>
          <w:tcPr>
            <w:tcW w:w="655" w:type="dxa"/>
            <w:shd w:val="clear" w:color="auto" w:fill="auto"/>
            <w:tcMar>
              <w:left w:w="57" w:type="dxa"/>
              <w:right w:w="57" w:type="dxa"/>
            </w:tcMar>
            <w:vAlign w:val="center"/>
          </w:tcPr>
          <w:p w14:paraId="53C31B40" w14:textId="2F1D139C" w:rsidR="006923DF" w:rsidRPr="006F3EEF" w:rsidRDefault="006923DF" w:rsidP="006923DF">
            <w:pPr>
              <w:spacing w:line="259" w:lineRule="auto"/>
              <w:ind w:right="5" w:firstLine="0"/>
              <w:jc w:val="center"/>
              <w:rPr>
                <w:rFonts w:eastAsia="Times New Roman" w:cs="Times New Roman"/>
                <w:b/>
                <w:bCs/>
                <w:sz w:val="18"/>
                <w:szCs w:val="18"/>
              </w:rPr>
            </w:pPr>
            <w:r w:rsidRPr="006F3EEF">
              <w:rPr>
                <w:rFonts w:eastAsia="Times New Roman" w:cs="Times New Roman"/>
                <w:b/>
                <w:bCs/>
                <w:sz w:val="18"/>
                <w:szCs w:val="18"/>
              </w:rPr>
              <w:t>0,7</w:t>
            </w:r>
          </w:p>
        </w:tc>
        <w:tc>
          <w:tcPr>
            <w:tcW w:w="717" w:type="dxa"/>
            <w:shd w:val="clear" w:color="auto" w:fill="auto"/>
            <w:tcMar>
              <w:left w:w="57" w:type="dxa"/>
              <w:right w:w="57" w:type="dxa"/>
            </w:tcMar>
            <w:vAlign w:val="center"/>
          </w:tcPr>
          <w:p w14:paraId="7EF93645" w14:textId="098622A3" w:rsidR="006923DF" w:rsidRPr="006F3EEF" w:rsidRDefault="006923DF" w:rsidP="006923DF">
            <w:pPr>
              <w:spacing w:line="259" w:lineRule="auto"/>
              <w:ind w:right="5" w:firstLine="0"/>
              <w:jc w:val="center"/>
              <w:rPr>
                <w:rFonts w:eastAsia="Times New Roman" w:cs="Times New Roman"/>
                <w:b/>
                <w:bCs/>
                <w:sz w:val="18"/>
                <w:szCs w:val="18"/>
              </w:rPr>
            </w:pPr>
            <w:r w:rsidRPr="006F3EEF">
              <w:rPr>
                <w:rFonts w:eastAsia="Times New Roman" w:cs="Times New Roman"/>
                <w:b/>
                <w:bCs/>
                <w:sz w:val="18"/>
                <w:szCs w:val="18"/>
              </w:rPr>
              <w:t>1,4</w:t>
            </w:r>
          </w:p>
        </w:tc>
        <w:tc>
          <w:tcPr>
            <w:tcW w:w="700" w:type="dxa"/>
            <w:vAlign w:val="center"/>
          </w:tcPr>
          <w:p w14:paraId="39A3F4F8" w14:textId="79EB8E52" w:rsidR="006923DF" w:rsidRPr="006F3EEF" w:rsidRDefault="006923DF" w:rsidP="006923DF">
            <w:pPr>
              <w:spacing w:line="259" w:lineRule="auto"/>
              <w:ind w:right="5" w:firstLine="0"/>
              <w:jc w:val="center"/>
              <w:rPr>
                <w:rFonts w:eastAsia="Times New Roman" w:cs="Times New Roman"/>
                <w:b/>
                <w:bCs/>
                <w:sz w:val="18"/>
                <w:szCs w:val="18"/>
              </w:rPr>
            </w:pPr>
            <w:r w:rsidRPr="006F3EEF">
              <w:rPr>
                <w:rFonts w:eastAsia="Times New Roman" w:cs="Times New Roman"/>
                <w:b/>
                <w:bCs/>
                <w:sz w:val="18"/>
                <w:szCs w:val="18"/>
              </w:rPr>
              <w:t>2,0</w:t>
            </w:r>
          </w:p>
        </w:tc>
        <w:tc>
          <w:tcPr>
            <w:tcW w:w="709" w:type="dxa"/>
            <w:shd w:val="clear" w:color="auto" w:fill="auto"/>
            <w:tcMar>
              <w:left w:w="57" w:type="dxa"/>
              <w:right w:w="57" w:type="dxa"/>
            </w:tcMar>
            <w:vAlign w:val="center"/>
          </w:tcPr>
          <w:p w14:paraId="61F9AA54" w14:textId="5CBFC816" w:rsidR="006923DF" w:rsidRPr="006F3EEF" w:rsidRDefault="006923DF" w:rsidP="006923DF">
            <w:pPr>
              <w:spacing w:line="259" w:lineRule="auto"/>
              <w:ind w:right="5" w:firstLine="0"/>
              <w:jc w:val="center"/>
              <w:rPr>
                <w:rFonts w:eastAsia="Times New Roman" w:cs="Times New Roman"/>
                <w:b/>
                <w:bCs/>
                <w:sz w:val="18"/>
                <w:szCs w:val="18"/>
              </w:rPr>
            </w:pPr>
            <w:r w:rsidRPr="006F3EEF">
              <w:rPr>
                <w:rFonts w:eastAsia="Times New Roman" w:cs="Times New Roman"/>
                <w:b/>
                <w:bCs/>
                <w:sz w:val="18"/>
                <w:szCs w:val="18"/>
              </w:rPr>
              <w:t>2,5</w:t>
            </w:r>
          </w:p>
        </w:tc>
        <w:tc>
          <w:tcPr>
            <w:tcW w:w="651" w:type="dxa"/>
            <w:shd w:val="clear" w:color="auto" w:fill="auto"/>
            <w:tcMar>
              <w:left w:w="57" w:type="dxa"/>
              <w:right w:w="57" w:type="dxa"/>
            </w:tcMar>
            <w:vAlign w:val="center"/>
          </w:tcPr>
          <w:p w14:paraId="4208495C" w14:textId="446BEE33" w:rsidR="006923DF" w:rsidRPr="006F3EEF" w:rsidRDefault="006923DF" w:rsidP="006923DF">
            <w:pPr>
              <w:spacing w:line="259" w:lineRule="auto"/>
              <w:ind w:right="5" w:firstLine="0"/>
              <w:jc w:val="center"/>
              <w:rPr>
                <w:rFonts w:eastAsia="Times New Roman" w:cs="Times New Roman"/>
                <w:b/>
                <w:bCs/>
                <w:sz w:val="18"/>
                <w:szCs w:val="18"/>
              </w:rPr>
            </w:pPr>
            <w:r w:rsidRPr="006F3EEF">
              <w:rPr>
                <w:rFonts w:eastAsia="Times New Roman" w:cs="Times New Roman"/>
                <w:b/>
                <w:bCs/>
                <w:sz w:val="18"/>
                <w:szCs w:val="18"/>
              </w:rPr>
              <w:t>3,0</w:t>
            </w:r>
          </w:p>
        </w:tc>
      </w:tr>
    </w:tbl>
    <w:p w14:paraId="46D37B33" w14:textId="77777777" w:rsidR="002D443D" w:rsidRPr="00F622B6" w:rsidRDefault="002D443D" w:rsidP="002D443D">
      <w:pPr>
        <w:rPr>
          <w:rFonts w:eastAsia="Times New Roman" w:cs="Times New Roman"/>
          <w:sz w:val="24"/>
          <w:szCs w:val="24"/>
        </w:rPr>
      </w:pPr>
    </w:p>
    <w:p w14:paraId="52C741C1" w14:textId="08808DFB" w:rsidR="006923DF" w:rsidRDefault="006923DF" w:rsidP="002D443D">
      <w:pPr>
        <w:spacing w:after="120"/>
        <w:rPr>
          <w:rFonts w:eastAsia="Times New Roman" w:cs="Times New Roman"/>
          <w:sz w:val="24"/>
          <w:szCs w:val="24"/>
        </w:rPr>
      </w:pPr>
      <w:r w:rsidRPr="00F622B6">
        <w:rPr>
          <w:rFonts w:eastAsia="Times New Roman" w:cs="Times New Roman"/>
          <w:sz w:val="24"/>
          <w:szCs w:val="24"/>
        </w:rPr>
        <w:t xml:space="preserve">Īstenojoties ekonomiskās attīstības pesimistiskākajam scenārijam, nodokļu ieņēmumu samazināšanās ietekmē pieaugtu valsts budžeta deficīts, kā rezultātā palielinātos kopējā </w:t>
      </w:r>
      <w:r w:rsidRPr="002635AB">
        <w:rPr>
          <w:rFonts w:eastAsia="Times New Roman" w:cs="Times New Roman"/>
          <w:sz w:val="24"/>
          <w:szCs w:val="24"/>
        </w:rPr>
        <w:t xml:space="preserve">finansēšanas nepieciešamība un attiecīgi arī aizņemšanās apjoms attiecīgajā periodā, salīdzinot ar bāzes scenāriju. Papildus aizņemšanās izraisītu procentu izdevumu pieaugumu. Pesimistiskā scenārija gadījumā procentu izdevumi 2025. gadā būtu par 4,9 milj. </w:t>
      </w:r>
      <w:proofErr w:type="spellStart"/>
      <w:r w:rsidRPr="002635AB">
        <w:rPr>
          <w:rFonts w:eastAsia="Times New Roman" w:cs="Times New Roman"/>
          <w:i/>
          <w:sz w:val="24"/>
          <w:szCs w:val="24"/>
        </w:rPr>
        <w:t>euro</w:t>
      </w:r>
      <w:proofErr w:type="spellEnd"/>
      <w:r w:rsidRPr="002635AB">
        <w:rPr>
          <w:rFonts w:eastAsia="Times New Roman" w:cs="Times New Roman"/>
          <w:sz w:val="24"/>
          <w:szCs w:val="24"/>
        </w:rPr>
        <w:t xml:space="preserve"> lielāki, bet</w:t>
      </w:r>
      <w:r w:rsidRPr="002635AB">
        <w:rPr>
          <w:rFonts w:eastAsia="Times New Roman" w:cs="Times New Roman"/>
          <w:sz w:val="24"/>
          <w:szCs w:val="24"/>
          <w:lang w:eastAsia="lv-LV"/>
        </w:rPr>
        <w:t xml:space="preserve"> līdz 2028. gadam tie būtu jau par 31,3 milj. </w:t>
      </w:r>
      <w:proofErr w:type="spellStart"/>
      <w:r w:rsidRPr="002635AB">
        <w:rPr>
          <w:rFonts w:eastAsia="Times New Roman" w:cs="Times New Roman"/>
          <w:i/>
          <w:sz w:val="24"/>
          <w:szCs w:val="24"/>
          <w:lang w:eastAsia="lv-LV"/>
        </w:rPr>
        <w:t>euro</w:t>
      </w:r>
      <w:proofErr w:type="spellEnd"/>
      <w:r w:rsidRPr="002635AB">
        <w:rPr>
          <w:rFonts w:eastAsia="Times New Roman" w:cs="Times New Roman"/>
          <w:sz w:val="24"/>
          <w:szCs w:val="24"/>
          <w:lang w:eastAsia="lv-LV"/>
        </w:rPr>
        <w:t xml:space="preserve"> lielāki nekā bāzes scenārijā</w:t>
      </w:r>
      <w:r w:rsidRPr="002635AB">
        <w:rPr>
          <w:rFonts w:eastAsia="Times New Roman" w:cs="Times New Roman"/>
          <w:sz w:val="24"/>
          <w:szCs w:val="24"/>
        </w:rPr>
        <w:t>.</w:t>
      </w:r>
    </w:p>
    <w:p w14:paraId="09438050" w14:textId="77777777" w:rsidR="00105BF6" w:rsidRPr="002635AB" w:rsidRDefault="00105BF6" w:rsidP="00105BF6">
      <w:pPr>
        <w:rPr>
          <w:rFonts w:eastAsia="Times New Roman" w:cs="Times New Roman"/>
          <w:sz w:val="24"/>
          <w:szCs w:val="24"/>
        </w:rPr>
      </w:pPr>
    </w:p>
    <w:p w14:paraId="41327DA1" w14:textId="006313FE" w:rsidR="006923DF" w:rsidRPr="002635AB" w:rsidRDefault="00105BF6" w:rsidP="00105BF6">
      <w:pPr>
        <w:keepNext/>
        <w:keepLines/>
        <w:spacing w:after="120" w:line="259" w:lineRule="auto"/>
        <w:ind w:firstLine="0"/>
        <w:jc w:val="center"/>
        <w:outlineLvl w:val="1"/>
        <w:rPr>
          <w:rFonts w:eastAsia="Times New Roman" w:cs="Times New Roman"/>
          <w:b/>
          <w:bCs/>
          <w:color w:val="000000"/>
          <w:szCs w:val="24"/>
          <w:lang w:eastAsia="lv-LV"/>
        </w:rPr>
      </w:pPr>
      <w:bookmarkStart w:id="60" w:name="_Toc164679833"/>
      <w:r>
        <w:rPr>
          <w:rFonts w:eastAsia="Times New Roman" w:cs="Times New Roman"/>
          <w:b/>
          <w:bCs/>
          <w:color w:val="000000"/>
          <w:szCs w:val="24"/>
          <w:lang w:eastAsia="lv-LV"/>
        </w:rPr>
        <w:t xml:space="preserve">4.3. </w:t>
      </w:r>
      <w:r w:rsidR="006923DF" w:rsidRPr="002635AB">
        <w:rPr>
          <w:rFonts w:eastAsia="Times New Roman" w:cs="Times New Roman"/>
          <w:b/>
          <w:bCs/>
          <w:color w:val="000000"/>
          <w:szCs w:val="24"/>
          <w:lang w:eastAsia="lv-LV"/>
        </w:rPr>
        <w:t>Jutīguma analīze – optimistiskais scenārijs</w:t>
      </w:r>
      <w:bookmarkEnd w:id="60"/>
    </w:p>
    <w:p w14:paraId="490A4E46" w14:textId="77777777" w:rsidR="006923DF" w:rsidRPr="002635AB" w:rsidRDefault="006923DF" w:rsidP="00105BF6">
      <w:pPr>
        <w:spacing w:before="240" w:after="120"/>
        <w:ind w:left="720" w:firstLine="0"/>
        <w:outlineLvl w:val="3"/>
        <w:rPr>
          <w:rFonts w:eastAsia="Times New Roman" w:cs="Times New Roman"/>
          <w:b/>
          <w:iCs/>
          <w:sz w:val="24"/>
        </w:rPr>
      </w:pPr>
      <w:r w:rsidRPr="002635AB">
        <w:rPr>
          <w:rFonts w:eastAsia="Times New Roman" w:cs="Times New Roman"/>
          <w:b/>
          <w:iCs/>
          <w:sz w:val="24"/>
        </w:rPr>
        <w:t>Ietekme uz ekonomiku</w:t>
      </w:r>
    </w:p>
    <w:p w14:paraId="2B69A388" w14:textId="3E125590" w:rsidR="006923DF" w:rsidRPr="00C90505" w:rsidRDefault="006923DF" w:rsidP="00BA387D">
      <w:pPr>
        <w:autoSpaceDE w:val="0"/>
        <w:autoSpaceDN w:val="0"/>
        <w:adjustRightInd w:val="0"/>
        <w:rPr>
          <w:rFonts w:eastAsia="Times New Roman" w:cs="Times New Roman"/>
          <w:sz w:val="24"/>
          <w:lang w:eastAsia="lv-LV"/>
        </w:rPr>
      </w:pPr>
      <w:r w:rsidRPr="002635AB">
        <w:rPr>
          <w:rFonts w:eastAsia="Times New Roman" w:cs="Times New Roman"/>
          <w:sz w:val="24"/>
          <w:lang w:eastAsia="lv-LV"/>
        </w:rPr>
        <w:t xml:space="preserve">Optimistiskais scenārijs ietver būtisku ģeopolitisko risku mazināšanos un konfidences uzlabošanos, līdz ar to arī investīciju pieaugums, īpaši saistībā ar ES fondu līdzekļu ieplūdi, būtu straujāks nekā bāzes scenārijā, izraisot īslaicīgu ekonomiskās aktivitātes paātrināšanos. </w:t>
      </w:r>
      <w:r w:rsidRPr="002635AB">
        <w:rPr>
          <w:rFonts w:eastAsia="Times New Roman" w:cs="Times New Roman"/>
          <w:sz w:val="24"/>
          <w:szCs w:val="24"/>
          <w:lang w:eastAsia="lv-LV"/>
        </w:rPr>
        <w:t xml:space="preserve">Atbilstoši optimistiskajam scenārijam, Latvijas ekonomika sasniegtu straujākus izaugsmes tempus nekā paredzēts bāzes scenārijā. Rezultātā 2024. gadā </w:t>
      </w:r>
      <w:r w:rsidR="002635AB" w:rsidRPr="002635AB">
        <w:rPr>
          <w:rFonts w:eastAsia="Times New Roman" w:cs="Times New Roman"/>
          <w:sz w:val="24"/>
          <w:szCs w:val="24"/>
          <w:lang w:eastAsia="lv-LV"/>
        </w:rPr>
        <w:t>IKP</w:t>
      </w:r>
      <w:r w:rsidRPr="002635AB">
        <w:rPr>
          <w:rFonts w:eastAsia="Times New Roman" w:cs="Times New Roman"/>
          <w:sz w:val="24"/>
          <w:szCs w:val="24"/>
          <w:lang w:eastAsia="lv-LV"/>
        </w:rPr>
        <w:t xml:space="preserve"> salīdzināmās cenās varētu palielināties par 1,6% un 2025. gadā – par 3,5%, kas ir attiecīgi par 0,2 un 0,6 procentpunktiem vairāk nekā bāzes scenārijā. </w:t>
      </w:r>
      <w:r w:rsidRPr="00C90505">
        <w:rPr>
          <w:rFonts w:eastAsia="Times New Roman" w:cs="Times New Roman"/>
          <w:sz w:val="24"/>
          <w:lang w:eastAsia="lv-LV"/>
        </w:rPr>
        <w:t>Scenārijs neparedz inflācijas izmaiņas attiecībā pret bāzes scenāriju, jo globālais piedāvājums un pieprasījums attīstīsies vienādā tempā.</w:t>
      </w:r>
    </w:p>
    <w:p w14:paraId="0EB3528E" w14:textId="7A6CEC93" w:rsidR="006923DF" w:rsidRPr="00C90505" w:rsidRDefault="006923DF" w:rsidP="00BA387D">
      <w:pPr>
        <w:autoSpaceDE w:val="0"/>
        <w:autoSpaceDN w:val="0"/>
        <w:adjustRightInd w:val="0"/>
        <w:rPr>
          <w:rFonts w:eastAsia="Times New Roman" w:cs="Times New Roman"/>
          <w:sz w:val="24"/>
          <w:lang w:eastAsia="lv-LV"/>
        </w:rPr>
      </w:pPr>
      <w:r w:rsidRPr="00C90505">
        <w:rPr>
          <w:rFonts w:eastAsia="Times New Roman" w:cs="Times New Roman"/>
          <w:sz w:val="24"/>
          <w:lang w:eastAsia="lv-LV"/>
        </w:rPr>
        <w:t xml:space="preserve">Mājsaimniecību konfidences pieaugums veicinātu privātā patēriņa straujāku pieaugumu, vidēji par 0,3 procentpunktiem gadā laika periodā no 2024. līdz 2026. gadam. Tomēr lielāko izaugsmes devumu dotu tieši investīciju pieaugums, kas 2024. gadā sasniegtu 5,6% un 2025. gadā 5,6% un būtu attiecīgi par 0,3 un 1,4 procentpunktiem lielāks nekā bāzes scenārijā. Investīciju pieaugumu veicinātu straujāka </w:t>
      </w:r>
      <w:r w:rsidR="00507D8A">
        <w:rPr>
          <w:rFonts w:eastAsia="Times New Roman" w:cs="Times New Roman"/>
          <w:sz w:val="24"/>
          <w:lang w:eastAsia="lv-LV"/>
        </w:rPr>
        <w:t xml:space="preserve">ES </w:t>
      </w:r>
      <w:r w:rsidRPr="00C90505">
        <w:rPr>
          <w:rFonts w:eastAsia="Times New Roman" w:cs="Times New Roman"/>
          <w:sz w:val="24"/>
          <w:lang w:eastAsia="lv-LV"/>
        </w:rPr>
        <w:t xml:space="preserve">fondu un ANM finansējuma izmantošana un </w:t>
      </w:r>
      <w:r w:rsidRPr="00C90505">
        <w:rPr>
          <w:rFonts w:eastAsia="Times New Roman" w:cs="Times New Roman"/>
          <w:i/>
          <w:iCs/>
          <w:sz w:val="24"/>
          <w:lang w:eastAsia="lv-LV"/>
        </w:rPr>
        <w:t xml:space="preserve">Rail </w:t>
      </w:r>
      <w:proofErr w:type="spellStart"/>
      <w:r w:rsidRPr="00C90505">
        <w:rPr>
          <w:rFonts w:eastAsia="Times New Roman" w:cs="Times New Roman"/>
          <w:i/>
          <w:iCs/>
          <w:sz w:val="24"/>
          <w:lang w:eastAsia="lv-LV"/>
        </w:rPr>
        <w:t>Baltica</w:t>
      </w:r>
      <w:proofErr w:type="spellEnd"/>
      <w:r w:rsidRPr="00C90505">
        <w:rPr>
          <w:rFonts w:eastAsia="Times New Roman" w:cs="Times New Roman"/>
          <w:sz w:val="24"/>
          <w:lang w:eastAsia="lv-LV"/>
        </w:rPr>
        <w:t xml:space="preserve"> projekta realizācija atbilstoši plānotajam apjomam, kā arī ģeopolitisko risku de-eskalācija, līdz ar to arī augstāka uzņēmēju konfidence.</w:t>
      </w:r>
    </w:p>
    <w:p w14:paraId="1072C344" w14:textId="77777777" w:rsidR="006923DF" w:rsidRPr="00C90505" w:rsidRDefault="006923DF" w:rsidP="00BA387D">
      <w:pPr>
        <w:autoSpaceDE w:val="0"/>
        <w:autoSpaceDN w:val="0"/>
        <w:adjustRightInd w:val="0"/>
        <w:rPr>
          <w:rFonts w:eastAsia="Times New Roman" w:cs="Times New Roman"/>
          <w:sz w:val="24"/>
          <w:lang w:eastAsia="lv-LV"/>
        </w:rPr>
      </w:pPr>
      <w:r w:rsidRPr="00C90505">
        <w:rPr>
          <w:rFonts w:eastAsia="Times New Roman" w:cs="Times New Roman"/>
          <w:sz w:val="24"/>
          <w:lang w:eastAsia="lv-LV"/>
        </w:rPr>
        <w:t>Jūtama pozitīva ietekme uz ekonomikas izaugsmi no 2024. līdz 2026. gadam būtu arī eksporta pieaugumam, kas pakāpeniski palielinātos līdz 5,6% 2026. gadā, eksportu veicinās pieaugušais ārējais pieprasījums. Tomēr, pieaugot iekšzemes pieprasījumam, straujāk palielinātos arī imports. Līdz ar to ārējai tirdzniecībai jeb neto eksportam kopumā būtu negatīvs devums IKP pieaugumā.</w:t>
      </w:r>
    </w:p>
    <w:p w14:paraId="60C107BE" w14:textId="77777777" w:rsidR="00FF1B5A" w:rsidRDefault="006923DF" w:rsidP="00BA387D">
      <w:pPr>
        <w:autoSpaceDE w:val="0"/>
        <w:autoSpaceDN w:val="0"/>
        <w:adjustRightInd w:val="0"/>
        <w:rPr>
          <w:rFonts w:eastAsia="Times New Roman" w:cs="Times New Roman"/>
          <w:sz w:val="24"/>
          <w:lang w:eastAsia="lv-LV"/>
        </w:rPr>
      </w:pPr>
      <w:r w:rsidRPr="00C90505">
        <w:rPr>
          <w:rFonts w:eastAsia="Times New Roman" w:cs="Times New Roman"/>
          <w:sz w:val="24"/>
          <w:lang w:eastAsia="lv-LV"/>
        </w:rPr>
        <w:t xml:space="preserve">Scenārijs neparedz inflācijas izmaiņas salīdzinājumā ar bāzes scenāriju, jo, no vienas puses, nav gaidāmi negatīvi šoki, kas veicinātu strauju </w:t>
      </w:r>
      <w:proofErr w:type="spellStart"/>
      <w:r w:rsidRPr="00C90505">
        <w:rPr>
          <w:rFonts w:eastAsia="Times New Roman" w:cs="Times New Roman"/>
          <w:sz w:val="24"/>
          <w:lang w:eastAsia="lv-LV"/>
        </w:rPr>
        <w:t>energocenu</w:t>
      </w:r>
      <w:proofErr w:type="spellEnd"/>
      <w:r w:rsidRPr="00C90505">
        <w:rPr>
          <w:rFonts w:eastAsia="Times New Roman" w:cs="Times New Roman"/>
          <w:sz w:val="24"/>
          <w:lang w:eastAsia="lv-LV"/>
        </w:rPr>
        <w:t xml:space="preserve"> pieaugumu, no otras puses, pieaugusī ekonomiskā aktivitāte neveicinās arī cenu kritumu. Tāpat, lai arī lielākas ekonomiskās aktivitātes rezultātā pieaugtu arī pieprasījums pēc darbaspēka, tomēr arī </w:t>
      </w:r>
      <w:r w:rsidRPr="00C90505">
        <w:rPr>
          <w:rFonts w:eastAsia="Times New Roman" w:cs="Times New Roman"/>
          <w:sz w:val="24"/>
          <w:lang w:eastAsia="lv-LV"/>
        </w:rPr>
        <w:lastRenderedPageBreak/>
        <w:t>nodarbinātības dinamika būs līdzīga bāzes scenārijam. Darba tirgū saglabāsies zināma spriedze, nodarbinātībai</w:t>
      </w:r>
      <w:r w:rsidR="00C90505" w:rsidRPr="00C90505">
        <w:rPr>
          <w:rFonts w:eastAsia="Times New Roman" w:cs="Times New Roman"/>
          <w:sz w:val="24"/>
          <w:lang w:eastAsia="lv-LV"/>
        </w:rPr>
        <w:t>,</w:t>
      </w:r>
      <w:r w:rsidRPr="00C90505">
        <w:rPr>
          <w:rFonts w:eastAsia="Times New Roman" w:cs="Times New Roman"/>
          <w:sz w:val="24"/>
          <w:lang w:eastAsia="lv-LV"/>
        </w:rPr>
        <w:t xml:space="preserve"> līdzīgi kā bāzes scenārijā</w:t>
      </w:r>
      <w:r w:rsidR="00C90505" w:rsidRPr="00C90505">
        <w:rPr>
          <w:rFonts w:eastAsia="Times New Roman" w:cs="Times New Roman"/>
          <w:sz w:val="24"/>
          <w:lang w:eastAsia="lv-LV"/>
        </w:rPr>
        <w:t>,</w:t>
      </w:r>
      <w:r w:rsidRPr="00C90505">
        <w:rPr>
          <w:rFonts w:eastAsia="Times New Roman" w:cs="Times New Roman"/>
          <w:sz w:val="24"/>
          <w:lang w:eastAsia="lv-LV"/>
        </w:rPr>
        <w:t xml:space="preserve"> no 2026. gada samazinoties.</w:t>
      </w:r>
    </w:p>
    <w:p w14:paraId="1DB9CB97" w14:textId="3D5E2BBF" w:rsidR="006923DF" w:rsidRPr="00C90505" w:rsidRDefault="006923DF" w:rsidP="00BA387D">
      <w:pPr>
        <w:autoSpaceDE w:val="0"/>
        <w:autoSpaceDN w:val="0"/>
        <w:adjustRightInd w:val="0"/>
        <w:rPr>
          <w:rFonts w:eastAsia="Times New Roman" w:cs="Times New Roman"/>
          <w:sz w:val="24"/>
          <w:lang w:eastAsia="lv-LV"/>
        </w:rPr>
      </w:pPr>
      <w:r w:rsidRPr="00C90505">
        <w:rPr>
          <w:rFonts w:eastAsia="Times New Roman" w:cs="Times New Roman"/>
          <w:sz w:val="24"/>
          <w:lang w:eastAsia="lv-LV"/>
        </w:rPr>
        <w:t xml:space="preserve"> </w:t>
      </w:r>
    </w:p>
    <w:p w14:paraId="7BC4290F" w14:textId="77777777" w:rsidR="006923DF" w:rsidRPr="004576B5" w:rsidRDefault="006923DF" w:rsidP="006923DF">
      <w:pPr>
        <w:spacing w:after="160" w:line="259" w:lineRule="auto"/>
        <w:ind w:firstLine="0"/>
        <w:jc w:val="right"/>
        <w:rPr>
          <w:rFonts w:eastAsia="Times New Roman" w:cs="Times New Roman"/>
          <w:b/>
          <w:i/>
          <w:sz w:val="24"/>
          <w:szCs w:val="24"/>
        </w:rPr>
      </w:pPr>
      <w:r w:rsidRPr="004576B5">
        <w:rPr>
          <w:rFonts w:eastAsia="Times New Roman" w:cs="Times New Roman"/>
          <w:b/>
          <w:i/>
          <w:sz w:val="24"/>
          <w:szCs w:val="24"/>
        </w:rPr>
        <w:t>4.3. tabula. Optimistiskais makroekonomiskais scenārijs</w:t>
      </w:r>
    </w:p>
    <w:tbl>
      <w:tblPr>
        <w:tblStyle w:val="GridTable6Colorful-Accent12"/>
        <w:tblW w:w="5000" w:type="pct"/>
        <w:jc w:val="center"/>
        <w:tblLayout w:type="fixed"/>
        <w:tblCellMar>
          <w:left w:w="57" w:type="dxa"/>
          <w:right w:w="57" w:type="dxa"/>
        </w:tblCellMar>
        <w:tblLook w:val="04A0" w:firstRow="1" w:lastRow="0" w:firstColumn="1" w:lastColumn="0" w:noHBand="0" w:noVBand="1"/>
      </w:tblPr>
      <w:tblGrid>
        <w:gridCol w:w="2689"/>
        <w:gridCol w:w="637"/>
        <w:gridCol w:w="637"/>
        <w:gridCol w:w="637"/>
        <w:gridCol w:w="637"/>
        <w:gridCol w:w="638"/>
        <w:gridCol w:w="637"/>
        <w:gridCol w:w="637"/>
        <w:gridCol w:w="637"/>
        <w:gridCol w:w="637"/>
        <w:gridCol w:w="638"/>
      </w:tblGrid>
      <w:tr w:rsidR="006923DF" w:rsidRPr="00C90505" w14:paraId="1E83431A" w14:textId="77777777" w:rsidTr="006923DF">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F68100C" w14:textId="77777777" w:rsidR="006923DF" w:rsidRPr="00C90505" w:rsidRDefault="006923DF" w:rsidP="006923DF">
            <w:pPr>
              <w:spacing w:before="100" w:beforeAutospacing="1" w:after="100" w:afterAutospacing="1"/>
              <w:ind w:firstLine="0"/>
              <w:jc w:val="left"/>
              <w:rPr>
                <w:rFonts w:eastAsia="Times New Roman"/>
                <w:b w:val="0"/>
                <w:color w:val="auto"/>
                <w:sz w:val="18"/>
                <w:szCs w:val="18"/>
              </w:rPr>
            </w:pPr>
          </w:p>
        </w:tc>
        <w:tc>
          <w:tcPr>
            <w:tcW w:w="3186" w:type="dxa"/>
            <w:gridSpan w:val="5"/>
            <w:tcBorders>
              <w:right w:val="double" w:sz="4" w:space="0" w:color="9CC2E5"/>
            </w:tcBorders>
            <w:noWrap/>
            <w:vAlign w:val="center"/>
          </w:tcPr>
          <w:p w14:paraId="463C6FE8" w14:textId="77777777" w:rsidR="006923DF" w:rsidRPr="00C90505" w:rsidRDefault="006923DF" w:rsidP="006923DF">
            <w:pPr>
              <w:spacing w:before="100" w:beforeAutospacing="1" w:after="100" w:afterAutospacing="1"/>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Optimistiskais scenārijs</w:t>
            </w:r>
          </w:p>
        </w:tc>
        <w:tc>
          <w:tcPr>
            <w:tcW w:w="3186" w:type="dxa"/>
            <w:gridSpan w:val="5"/>
            <w:tcBorders>
              <w:left w:val="double" w:sz="4" w:space="0" w:color="9CC2E5"/>
            </w:tcBorders>
            <w:noWrap/>
            <w:vAlign w:val="center"/>
          </w:tcPr>
          <w:p w14:paraId="179DDF11" w14:textId="77777777" w:rsidR="006923DF" w:rsidRPr="00C90505" w:rsidRDefault="006923DF" w:rsidP="006923DF">
            <w:pPr>
              <w:spacing w:before="100" w:beforeAutospacing="1" w:after="100" w:afterAutospacing="1"/>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Novirze no bāzes scenārija</w:t>
            </w:r>
          </w:p>
        </w:tc>
      </w:tr>
      <w:tr w:rsidR="006923DF" w:rsidRPr="00C90505" w14:paraId="45B623EA" w14:textId="77777777" w:rsidTr="006923DF">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CB21191" w14:textId="77777777" w:rsidR="006923DF" w:rsidRPr="00C90505" w:rsidRDefault="006923DF" w:rsidP="006923DF">
            <w:pPr>
              <w:spacing w:before="100" w:beforeAutospacing="1" w:after="100" w:afterAutospacing="1"/>
              <w:ind w:firstLine="0"/>
              <w:jc w:val="left"/>
              <w:rPr>
                <w:rFonts w:eastAsia="Times New Roman"/>
                <w:b w:val="0"/>
                <w:color w:val="auto"/>
                <w:sz w:val="18"/>
                <w:szCs w:val="18"/>
              </w:rPr>
            </w:pPr>
          </w:p>
        </w:tc>
        <w:tc>
          <w:tcPr>
            <w:tcW w:w="637" w:type="dxa"/>
            <w:noWrap/>
            <w:vAlign w:val="center"/>
          </w:tcPr>
          <w:p w14:paraId="4658A857" w14:textId="77777777" w:rsidR="006923DF" w:rsidRPr="00C9050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2024</w:t>
            </w:r>
          </w:p>
        </w:tc>
        <w:tc>
          <w:tcPr>
            <w:tcW w:w="637" w:type="dxa"/>
            <w:noWrap/>
            <w:vAlign w:val="center"/>
          </w:tcPr>
          <w:p w14:paraId="523EE214" w14:textId="77777777" w:rsidR="006923DF" w:rsidRPr="00C9050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2025</w:t>
            </w:r>
          </w:p>
        </w:tc>
        <w:tc>
          <w:tcPr>
            <w:tcW w:w="637" w:type="dxa"/>
            <w:noWrap/>
            <w:vAlign w:val="center"/>
          </w:tcPr>
          <w:p w14:paraId="5173F640" w14:textId="77777777" w:rsidR="006923DF" w:rsidRPr="00C9050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2026</w:t>
            </w:r>
          </w:p>
        </w:tc>
        <w:tc>
          <w:tcPr>
            <w:tcW w:w="637" w:type="dxa"/>
            <w:tcBorders>
              <w:right w:val="single" w:sz="4" w:space="0" w:color="9CC2E5"/>
            </w:tcBorders>
            <w:noWrap/>
            <w:vAlign w:val="center"/>
          </w:tcPr>
          <w:p w14:paraId="68BADF0C" w14:textId="77777777" w:rsidR="006923DF" w:rsidRPr="00C9050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2027</w:t>
            </w:r>
          </w:p>
        </w:tc>
        <w:tc>
          <w:tcPr>
            <w:tcW w:w="638" w:type="dxa"/>
            <w:tcBorders>
              <w:left w:val="single" w:sz="4" w:space="0" w:color="9CC2E5"/>
              <w:right w:val="double" w:sz="4" w:space="0" w:color="9CC2E5"/>
            </w:tcBorders>
            <w:vAlign w:val="center"/>
          </w:tcPr>
          <w:p w14:paraId="640BBB7B" w14:textId="77777777" w:rsidR="006923DF" w:rsidRPr="00C9050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2028</w:t>
            </w:r>
          </w:p>
        </w:tc>
        <w:tc>
          <w:tcPr>
            <w:tcW w:w="637" w:type="dxa"/>
            <w:tcBorders>
              <w:left w:val="double" w:sz="4" w:space="0" w:color="9CC2E5"/>
            </w:tcBorders>
            <w:noWrap/>
            <w:vAlign w:val="center"/>
          </w:tcPr>
          <w:p w14:paraId="31243BA5" w14:textId="77777777" w:rsidR="006923DF" w:rsidRPr="00C9050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2024</w:t>
            </w:r>
          </w:p>
        </w:tc>
        <w:tc>
          <w:tcPr>
            <w:tcW w:w="637" w:type="dxa"/>
            <w:noWrap/>
            <w:vAlign w:val="center"/>
          </w:tcPr>
          <w:p w14:paraId="5610FA3D" w14:textId="77777777" w:rsidR="006923DF" w:rsidRPr="00C9050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2025</w:t>
            </w:r>
          </w:p>
        </w:tc>
        <w:tc>
          <w:tcPr>
            <w:tcW w:w="637" w:type="dxa"/>
            <w:noWrap/>
            <w:vAlign w:val="center"/>
          </w:tcPr>
          <w:p w14:paraId="645CD312" w14:textId="77777777" w:rsidR="006923DF" w:rsidRPr="00C9050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2026</w:t>
            </w:r>
          </w:p>
        </w:tc>
        <w:tc>
          <w:tcPr>
            <w:tcW w:w="637" w:type="dxa"/>
            <w:noWrap/>
            <w:vAlign w:val="center"/>
          </w:tcPr>
          <w:p w14:paraId="581A3C5E" w14:textId="77777777" w:rsidR="006923DF" w:rsidRPr="00C9050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2027</w:t>
            </w:r>
          </w:p>
        </w:tc>
        <w:tc>
          <w:tcPr>
            <w:tcW w:w="638" w:type="dxa"/>
            <w:vAlign w:val="center"/>
          </w:tcPr>
          <w:p w14:paraId="018AD265" w14:textId="77777777" w:rsidR="006923DF" w:rsidRPr="00C90505" w:rsidRDefault="006923DF" w:rsidP="006923DF">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18"/>
                <w:szCs w:val="18"/>
              </w:rPr>
            </w:pPr>
            <w:r w:rsidRPr="00C90505">
              <w:rPr>
                <w:rFonts w:eastAsia="Times New Roman"/>
                <w:bCs w:val="0"/>
                <w:color w:val="auto"/>
                <w:sz w:val="18"/>
                <w:szCs w:val="18"/>
              </w:rPr>
              <w:t>2028</w:t>
            </w:r>
          </w:p>
        </w:tc>
      </w:tr>
      <w:tr w:rsidR="006923DF" w:rsidRPr="00C90505" w14:paraId="11E9C3C5"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78C9CD3" w14:textId="77777777" w:rsidR="006923DF" w:rsidRPr="00C90505" w:rsidRDefault="006923DF" w:rsidP="006923DF">
            <w:pPr>
              <w:ind w:left="26" w:firstLine="8"/>
              <w:jc w:val="left"/>
              <w:rPr>
                <w:rFonts w:eastAsia="Times New Roman"/>
                <w:b w:val="0"/>
                <w:color w:val="auto"/>
                <w:sz w:val="18"/>
                <w:szCs w:val="18"/>
              </w:rPr>
            </w:pPr>
            <w:r w:rsidRPr="00C90505">
              <w:rPr>
                <w:rFonts w:eastAsia="Times New Roman"/>
                <w:b w:val="0"/>
                <w:color w:val="auto"/>
                <w:sz w:val="18"/>
                <w:szCs w:val="18"/>
              </w:rPr>
              <w:t>IKP pieaugums faktiskajās cenās, %</w:t>
            </w:r>
          </w:p>
        </w:tc>
        <w:tc>
          <w:tcPr>
            <w:tcW w:w="637" w:type="dxa"/>
            <w:noWrap/>
            <w:tcMar>
              <w:left w:w="57" w:type="dxa"/>
              <w:right w:w="57" w:type="dxa"/>
            </w:tcMar>
            <w:vAlign w:val="center"/>
          </w:tcPr>
          <w:p w14:paraId="686947A1"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4,4</w:t>
            </w:r>
          </w:p>
        </w:tc>
        <w:tc>
          <w:tcPr>
            <w:tcW w:w="637" w:type="dxa"/>
            <w:noWrap/>
            <w:tcMar>
              <w:left w:w="57" w:type="dxa"/>
              <w:right w:w="57" w:type="dxa"/>
            </w:tcMar>
            <w:vAlign w:val="center"/>
          </w:tcPr>
          <w:p w14:paraId="29EDEACB"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6,7</w:t>
            </w:r>
          </w:p>
        </w:tc>
        <w:tc>
          <w:tcPr>
            <w:tcW w:w="637" w:type="dxa"/>
            <w:noWrap/>
            <w:tcMar>
              <w:left w:w="57" w:type="dxa"/>
              <w:right w:w="57" w:type="dxa"/>
            </w:tcMar>
            <w:vAlign w:val="center"/>
          </w:tcPr>
          <w:p w14:paraId="27553887"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5,6</w:t>
            </w:r>
          </w:p>
        </w:tc>
        <w:tc>
          <w:tcPr>
            <w:tcW w:w="637" w:type="dxa"/>
            <w:tcBorders>
              <w:right w:val="single" w:sz="4" w:space="0" w:color="9CC2E5"/>
            </w:tcBorders>
            <w:noWrap/>
            <w:tcMar>
              <w:left w:w="57" w:type="dxa"/>
              <w:right w:w="57" w:type="dxa"/>
            </w:tcMar>
            <w:vAlign w:val="center"/>
          </w:tcPr>
          <w:p w14:paraId="0B665129"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5,1</w:t>
            </w:r>
          </w:p>
        </w:tc>
        <w:tc>
          <w:tcPr>
            <w:tcW w:w="638" w:type="dxa"/>
            <w:tcBorders>
              <w:left w:val="single" w:sz="4" w:space="0" w:color="9CC2E5"/>
              <w:right w:val="double" w:sz="4" w:space="0" w:color="9CC2E5"/>
            </w:tcBorders>
            <w:vAlign w:val="center"/>
          </w:tcPr>
          <w:p w14:paraId="6F445B9F"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5,1</w:t>
            </w:r>
          </w:p>
        </w:tc>
        <w:tc>
          <w:tcPr>
            <w:tcW w:w="637" w:type="dxa"/>
            <w:tcBorders>
              <w:left w:val="double" w:sz="4" w:space="0" w:color="9CC2E5"/>
            </w:tcBorders>
            <w:noWrap/>
            <w:tcMar>
              <w:left w:w="57" w:type="dxa"/>
              <w:right w:w="57" w:type="dxa"/>
            </w:tcMar>
            <w:vAlign w:val="center"/>
          </w:tcPr>
          <w:p w14:paraId="2C7BD8C6"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0,2</w:t>
            </w:r>
          </w:p>
        </w:tc>
        <w:tc>
          <w:tcPr>
            <w:tcW w:w="637" w:type="dxa"/>
            <w:noWrap/>
            <w:tcMar>
              <w:left w:w="57" w:type="dxa"/>
              <w:right w:w="57" w:type="dxa"/>
            </w:tcMar>
            <w:vAlign w:val="center"/>
          </w:tcPr>
          <w:p w14:paraId="26380111"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0,6</w:t>
            </w:r>
          </w:p>
        </w:tc>
        <w:tc>
          <w:tcPr>
            <w:tcW w:w="637" w:type="dxa"/>
            <w:noWrap/>
            <w:tcMar>
              <w:left w:w="57" w:type="dxa"/>
              <w:right w:w="57" w:type="dxa"/>
            </w:tcMar>
            <w:vAlign w:val="center"/>
          </w:tcPr>
          <w:p w14:paraId="4D8DBA8C"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0,4</w:t>
            </w:r>
          </w:p>
        </w:tc>
        <w:tc>
          <w:tcPr>
            <w:tcW w:w="637" w:type="dxa"/>
            <w:noWrap/>
            <w:tcMar>
              <w:left w:w="57" w:type="dxa"/>
              <w:right w:w="57" w:type="dxa"/>
            </w:tcMar>
            <w:vAlign w:val="center"/>
          </w:tcPr>
          <w:p w14:paraId="513A70BD"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8" w:type="dxa"/>
            <w:vAlign w:val="center"/>
          </w:tcPr>
          <w:p w14:paraId="4A03E15F"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r>
      <w:tr w:rsidR="006923DF" w:rsidRPr="00C90505" w14:paraId="290BFCB9" w14:textId="77777777" w:rsidTr="006923DF">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50081044" w14:textId="77777777" w:rsidR="006923DF" w:rsidRPr="00C90505" w:rsidRDefault="006923DF" w:rsidP="006923DF">
            <w:pPr>
              <w:ind w:left="26" w:firstLine="8"/>
              <w:jc w:val="left"/>
              <w:rPr>
                <w:rFonts w:eastAsia="Times New Roman"/>
                <w:b w:val="0"/>
                <w:color w:val="auto"/>
                <w:sz w:val="18"/>
                <w:szCs w:val="18"/>
              </w:rPr>
            </w:pPr>
            <w:r w:rsidRPr="00C90505">
              <w:rPr>
                <w:rFonts w:eastAsia="Times New Roman"/>
                <w:b w:val="0"/>
                <w:color w:val="auto"/>
                <w:sz w:val="18"/>
                <w:szCs w:val="18"/>
              </w:rPr>
              <w:t>IKP pieaugums salīdzināmās cenās, %</w:t>
            </w:r>
          </w:p>
        </w:tc>
        <w:tc>
          <w:tcPr>
            <w:tcW w:w="637" w:type="dxa"/>
            <w:noWrap/>
            <w:tcMar>
              <w:left w:w="57" w:type="dxa"/>
              <w:right w:w="57" w:type="dxa"/>
            </w:tcMar>
            <w:vAlign w:val="center"/>
          </w:tcPr>
          <w:p w14:paraId="6064E747"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1,6</w:t>
            </w:r>
          </w:p>
        </w:tc>
        <w:tc>
          <w:tcPr>
            <w:tcW w:w="637" w:type="dxa"/>
            <w:noWrap/>
            <w:tcMar>
              <w:left w:w="57" w:type="dxa"/>
              <w:right w:w="57" w:type="dxa"/>
            </w:tcMar>
            <w:vAlign w:val="center"/>
          </w:tcPr>
          <w:p w14:paraId="1A09822F"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3,5</w:t>
            </w:r>
          </w:p>
        </w:tc>
        <w:tc>
          <w:tcPr>
            <w:tcW w:w="637" w:type="dxa"/>
            <w:noWrap/>
            <w:tcMar>
              <w:left w:w="57" w:type="dxa"/>
              <w:right w:w="57" w:type="dxa"/>
            </w:tcMar>
            <w:vAlign w:val="center"/>
          </w:tcPr>
          <w:p w14:paraId="79D4146C"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2,8</w:t>
            </w:r>
          </w:p>
        </w:tc>
        <w:tc>
          <w:tcPr>
            <w:tcW w:w="637" w:type="dxa"/>
            <w:tcBorders>
              <w:right w:val="single" w:sz="4" w:space="0" w:color="9CC2E5"/>
            </w:tcBorders>
            <w:noWrap/>
            <w:tcMar>
              <w:left w:w="57" w:type="dxa"/>
              <w:right w:w="57" w:type="dxa"/>
            </w:tcMar>
            <w:vAlign w:val="center"/>
          </w:tcPr>
          <w:p w14:paraId="58205AC9"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2,3</w:t>
            </w:r>
          </w:p>
        </w:tc>
        <w:tc>
          <w:tcPr>
            <w:tcW w:w="638" w:type="dxa"/>
            <w:tcBorders>
              <w:left w:val="single" w:sz="4" w:space="0" w:color="9CC2E5"/>
              <w:right w:val="double" w:sz="4" w:space="0" w:color="9CC2E5"/>
            </w:tcBorders>
            <w:vAlign w:val="center"/>
          </w:tcPr>
          <w:p w14:paraId="6C47AC0E"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2,3</w:t>
            </w:r>
          </w:p>
        </w:tc>
        <w:tc>
          <w:tcPr>
            <w:tcW w:w="637" w:type="dxa"/>
            <w:tcBorders>
              <w:left w:val="double" w:sz="4" w:space="0" w:color="9CC2E5"/>
            </w:tcBorders>
            <w:noWrap/>
            <w:tcMar>
              <w:left w:w="57" w:type="dxa"/>
              <w:right w:w="57" w:type="dxa"/>
            </w:tcMar>
            <w:vAlign w:val="center"/>
          </w:tcPr>
          <w:p w14:paraId="14A08987"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0,2</w:t>
            </w:r>
          </w:p>
        </w:tc>
        <w:tc>
          <w:tcPr>
            <w:tcW w:w="637" w:type="dxa"/>
            <w:noWrap/>
            <w:tcMar>
              <w:left w:w="57" w:type="dxa"/>
              <w:right w:w="57" w:type="dxa"/>
            </w:tcMar>
            <w:vAlign w:val="center"/>
          </w:tcPr>
          <w:p w14:paraId="6DC8BE02"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0,6</w:t>
            </w:r>
          </w:p>
        </w:tc>
        <w:tc>
          <w:tcPr>
            <w:tcW w:w="637" w:type="dxa"/>
            <w:noWrap/>
            <w:tcMar>
              <w:left w:w="57" w:type="dxa"/>
              <w:right w:w="57" w:type="dxa"/>
            </w:tcMar>
            <w:vAlign w:val="center"/>
          </w:tcPr>
          <w:p w14:paraId="492E34E2"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0,3</w:t>
            </w:r>
          </w:p>
        </w:tc>
        <w:tc>
          <w:tcPr>
            <w:tcW w:w="637" w:type="dxa"/>
            <w:noWrap/>
            <w:tcMar>
              <w:left w:w="57" w:type="dxa"/>
              <w:right w:w="57" w:type="dxa"/>
            </w:tcMar>
            <w:vAlign w:val="center"/>
          </w:tcPr>
          <w:p w14:paraId="0CAF9A25"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8" w:type="dxa"/>
            <w:vAlign w:val="center"/>
          </w:tcPr>
          <w:p w14:paraId="47B94154"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r>
      <w:tr w:rsidR="006923DF" w:rsidRPr="00C90505" w14:paraId="0F7E70A7"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4BEB0A71" w14:textId="77777777" w:rsidR="006923DF" w:rsidRPr="00C90505" w:rsidRDefault="006923DF" w:rsidP="006923DF">
            <w:pPr>
              <w:ind w:left="26" w:firstLine="8"/>
              <w:jc w:val="left"/>
              <w:rPr>
                <w:rFonts w:eastAsia="Times New Roman"/>
                <w:b w:val="0"/>
                <w:bCs w:val="0"/>
                <w:color w:val="auto"/>
                <w:sz w:val="18"/>
                <w:szCs w:val="18"/>
              </w:rPr>
            </w:pPr>
            <w:r w:rsidRPr="00C90505">
              <w:rPr>
                <w:rFonts w:eastAsia="Times New Roman"/>
                <w:b w:val="0"/>
                <w:color w:val="auto"/>
                <w:sz w:val="18"/>
                <w:szCs w:val="18"/>
              </w:rPr>
              <w:t>Patēriņa cenu indeksa izmaiņas, %</w:t>
            </w:r>
          </w:p>
        </w:tc>
        <w:tc>
          <w:tcPr>
            <w:tcW w:w="637" w:type="dxa"/>
            <w:noWrap/>
            <w:tcMar>
              <w:left w:w="57" w:type="dxa"/>
              <w:right w:w="57" w:type="dxa"/>
            </w:tcMar>
            <w:vAlign w:val="center"/>
          </w:tcPr>
          <w:p w14:paraId="12FC6499"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1,6</w:t>
            </w:r>
          </w:p>
        </w:tc>
        <w:tc>
          <w:tcPr>
            <w:tcW w:w="637" w:type="dxa"/>
            <w:noWrap/>
            <w:tcMar>
              <w:left w:w="57" w:type="dxa"/>
              <w:right w:w="57" w:type="dxa"/>
            </w:tcMar>
            <w:vAlign w:val="center"/>
          </w:tcPr>
          <w:p w14:paraId="77AC095C"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2,5</w:t>
            </w:r>
          </w:p>
        </w:tc>
        <w:tc>
          <w:tcPr>
            <w:tcW w:w="637" w:type="dxa"/>
            <w:noWrap/>
            <w:tcMar>
              <w:left w:w="57" w:type="dxa"/>
              <w:right w:w="57" w:type="dxa"/>
            </w:tcMar>
            <w:vAlign w:val="center"/>
          </w:tcPr>
          <w:p w14:paraId="1DF00F13"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2,5</w:t>
            </w:r>
          </w:p>
        </w:tc>
        <w:tc>
          <w:tcPr>
            <w:tcW w:w="637" w:type="dxa"/>
            <w:tcBorders>
              <w:right w:val="single" w:sz="4" w:space="0" w:color="9CC2E5"/>
            </w:tcBorders>
            <w:noWrap/>
            <w:tcMar>
              <w:left w:w="57" w:type="dxa"/>
              <w:right w:w="57" w:type="dxa"/>
            </w:tcMar>
            <w:vAlign w:val="center"/>
          </w:tcPr>
          <w:p w14:paraId="1D7F2119"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2,5</w:t>
            </w:r>
          </w:p>
        </w:tc>
        <w:tc>
          <w:tcPr>
            <w:tcW w:w="638" w:type="dxa"/>
            <w:tcBorders>
              <w:left w:val="single" w:sz="4" w:space="0" w:color="9CC2E5"/>
              <w:right w:val="double" w:sz="4" w:space="0" w:color="9CC2E5"/>
            </w:tcBorders>
            <w:vAlign w:val="center"/>
          </w:tcPr>
          <w:p w14:paraId="312583B7"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2,5</w:t>
            </w:r>
          </w:p>
        </w:tc>
        <w:tc>
          <w:tcPr>
            <w:tcW w:w="637" w:type="dxa"/>
            <w:tcBorders>
              <w:left w:val="double" w:sz="4" w:space="0" w:color="9CC2E5"/>
            </w:tcBorders>
            <w:noWrap/>
            <w:tcMar>
              <w:left w:w="57" w:type="dxa"/>
              <w:right w:w="57" w:type="dxa"/>
            </w:tcMar>
            <w:vAlign w:val="center"/>
          </w:tcPr>
          <w:p w14:paraId="073ACFD6"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7643FBBD"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291D67F0"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682939C7"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8" w:type="dxa"/>
            <w:vAlign w:val="center"/>
          </w:tcPr>
          <w:p w14:paraId="109A6E19"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r>
      <w:tr w:rsidR="006923DF" w:rsidRPr="00C90505" w14:paraId="61FC48B3" w14:textId="77777777" w:rsidTr="006923DF">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0B479A8" w14:textId="77777777" w:rsidR="006923DF" w:rsidRPr="00C90505" w:rsidRDefault="006923DF" w:rsidP="006923DF">
            <w:pPr>
              <w:ind w:left="26" w:firstLine="8"/>
              <w:jc w:val="left"/>
              <w:rPr>
                <w:rFonts w:eastAsia="Times New Roman"/>
                <w:b w:val="0"/>
                <w:color w:val="auto"/>
                <w:sz w:val="18"/>
                <w:szCs w:val="18"/>
              </w:rPr>
            </w:pPr>
            <w:r w:rsidRPr="00C90505">
              <w:rPr>
                <w:rFonts w:eastAsia="Times New Roman"/>
                <w:b w:val="0"/>
                <w:color w:val="auto"/>
                <w:sz w:val="18"/>
                <w:szCs w:val="18"/>
              </w:rPr>
              <w:t>Privātais patēriņš, pieaugums salīdzināmās cenās, %</w:t>
            </w:r>
          </w:p>
        </w:tc>
        <w:tc>
          <w:tcPr>
            <w:tcW w:w="637" w:type="dxa"/>
            <w:noWrap/>
            <w:tcMar>
              <w:left w:w="57" w:type="dxa"/>
              <w:right w:w="57" w:type="dxa"/>
            </w:tcMar>
            <w:vAlign w:val="center"/>
          </w:tcPr>
          <w:p w14:paraId="26ABE458"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2,2</w:t>
            </w:r>
          </w:p>
        </w:tc>
        <w:tc>
          <w:tcPr>
            <w:tcW w:w="637" w:type="dxa"/>
            <w:noWrap/>
            <w:tcMar>
              <w:left w:w="57" w:type="dxa"/>
              <w:right w:w="57" w:type="dxa"/>
            </w:tcMar>
            <w:vAlign w:val="center"/>
          </w:tcPr>
          <w:p w14:paraId="2B63D44B"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2,9</w:t>
            </w:r>
          </w:p>
        </w:tc>
        <w:tc>
          <w:tcPr>
            <w:tcW w:w="637" w:type="dxa"/>
            <w:noWrap/>
            <w:tcMar>
              <w:left w:w="57" w:type="dxa"/>
              <w:right w:w="57" w:type="dxa"/>
            </w:tcMar>
            <w:vAlign w:val="center"/>
          </w:tcPr>
          <w:p w14:paraId="2FD41BCC"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2,9</w:t>
            </w:r>
          </w:p>
        </w:tc>
        <w:tc>
          <w:tcPr>
            <w:tcW w:w="637" w:type="dxa"/>
            <w:tcBorders>
              <w:right w:val="single" w:sz="4" w:space="0" w:color="9CC2E5"/>
            </w:tcBorders>
            <w:noWrap/>
            <w:tcMar>
              <w:left w:w="57" w:type="dxa"/>
              <w:right w:w="57" w:type="dxa"/>
            </w:tcMar>
            <w:vAlign w:val="center"/>
          </w:tcPr>
          <w:p w14:paraId="773B3B6F"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2,5</w:t>
            </w:r>
          </w:p>
        </w:tc>
        <w:tc>
          <w:tcPr>
            <w:tcW w:w="638" w:type="dxa"/>
            <w:tcBorders>
              <w:left w:val="single" w:sz="4" w:space="0" w:color="9CC2E5"/>
              <w:right w:val="double" w:sz="4" w:space="0" w:color="9CC2E5"/>
            </w:tcBorders>
            <w:vAlign w:val="center"/>
          </w:tcPr>
          <w:p w14:paraId="3663FD1C"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2,5</w:t>
            </w:r>
          </w:p>
        </w:tc>
        <w:tc>
          <w:tcPr>
            <w:tcW w:w="637" w:type="dxa"/>
            <w:tcBorders>
              <w:left w:val="double" w:sz="4" w:space="0" w:color="9CC2E5"/>
            </w:tcBorders>
            <w:noWrap/>
            <w:tcMar>
              <w:left w:w="57" w:type="dxa"/>
              <w:right w:w="57" w:type="dxa"/>
            </w:tcMar>
            <w:vAlign w:val="center"/>
          </w:tcPr>
          <w:p w14:paraId="34F1ED12"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0,3</w:t>
            </w:r>
          </w:p>
        </w:tc>
        <w:tc>
          <w:tcPr>
            <w:tcW w:w="637" w:type="dxa"/>
            <w:noWrap/>
            <w:tcMar>
              <w:left w:w="57" w:type="dxa"/>
              <w:right w:w="57" w:type="dxa"/>
            </w:tcMar>
            <w:vAlign w:val="center"/>
          </w:tcPr>
          <w:p w14:paraId="40209378"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0,4</w:t>
            </w:r>
          </w:p>
        </w:tc>
        <w:tc>
          <w:tcPr>
            <w:tcW w:w="637" w:type="dxa"/>
            <w:noWrap/>
            <w:tcMar>
              <w:left w:w="57" w:type="dxa"/>
              <w:right w:w="57" w:type="dxa"/>
            </w:tcMar>
            <w:vAlign w:val="center"/>
          </w:tcPr>
          <w:p w14:paraId="3CC64AD2"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0,2</w:t>
            </w:r>
          </w:p>
        </w:tc>
        <w:tc>
          <w:tcPr>
            <w:tcW w:w="637" w:type="dxa"/>
            <w:noWrap/>
            <w:tcMar>
              <w:left w:w="57" w:type="dxa"/>
              <w:right w:w="57" w:type="dxa"/>
            </w:tcMar>
            <w:vAlign w:val="center"/>
          </w:tcPr>
          <w:p w14:paraId="1E31272B"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8" w:type="dxa"/>
            <w:vAlign w:val="center"/>
          </w:tcPr>
          <w:p w14:paraId="5EB85E08"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r>
      <w:tr w:rsidR="006923DF" w:rsidRPr="00C90505" w14:paraId="7522A5EC"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67DD52B" w14:textId="77777777" w:rsidR="006923DF" w:rsidRPr="00C90505" w:rsidRDefault="006923DF" w:rsidP="006923DF">
            <w:pPr>
              <w:ind w:left="26" w:firstLine="8"/>
              <w:jc w:val="left"/>
              <w:rPr>
                <w:rFonts w:eastAsia="Times New Roman"/>
                <w:b w:val="0"/>
                <w:color w:val="auto"/>
                <w:sz w:val="18"/>
                <w:szCs w:val="18"/>
              </w:rPr>
            </w:pPr>
            <w:r w:rsidRPr="00C90505">
              <w:rPr>
                <w:rFonts w:eastAsia="Times New Roman"/>
                <w:b w:val="0"/>
                <w:color w:val="auto"/>
                <w:sz w:val="18"/>
                <w:szCs w:val="18"/>
              </w:rPr>
              <w:t xml:space="preserve">Sabiedriskais patēriņš, pieaugums salīdzināmās cenās, % </w:t>
            </w:r>
          </w:p>
        </w:tc>
        <w:tc>
          <w:tcPr>
            <w:tcW w:w="637" w:type="dxa"/>
            <w:noWrap/>
            <w:tcMar>
              <w:left w:w="57" w:type="dxa"/>
              <w:right w:w="57" w:type="dxa"/>
            </w:tcMar>
            <w:vAlign w:val="center"/>
          </w:tcPr>
          <w:p w14:paraId="446799CE"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6,7</w:t>
            </w:r>
          </w:p>
        </w:tc>
        <w:tc>
          <w:tcPr>
            <w:tcW w:w="637" w:type="dxa"/>
            <w:noWrap/>
            <w:tcMar>
              <w:left w:w="57" w:type="dxa"/>
              <w:right w:w="57" w:type="dxa"/>
            </w:tcMar>
            <w:vAlign w:val="center"/>
          </w:tcPr>
          <w:p w14:paraId="55843CBD"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5,8</w:t>
            </w:r>
          </w:p>
        </w:tc>
        <w:tc>
          <w:tcPr>
            <w:tcW w:w="637" w:type="dxa"/>
            <w:noWrap/>
            <w:tcMar>
              <w:left w:w="57" w:type="dxa"/>
              <w:right w:w="57" w:type="dxa"/>
            </w:tcMar>
            <w:vAlign w:val="center"/>
          </w:tcPr>
          <w:p w14:paraId="4D1B14BF"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3,1</w:t>
            </w:r>
          </w:p>
        </w:tc>
        <w:tc>
          <w:tcPr>
            <w:tcW w:w="637" w:type="dxa"/>
            <w:tcBorders>
              <w:right w:val="single" w:sz="4" w:space="0" w:color="9CC2E5"/>
            </w:tcBorders>
            <w:noWrap/>
            <w:tcMar>
              <w:left w:w="57" w:type="dxa"/>
              <w:right w:w="57" w:type="dxa"/>
            </w:tcMar>
            <w:vAlign w:val="center"/>
          </w:tcPr>
          <w:p w14:paraId="22F7C76B"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3,0</w:t>
            </w:r>
          </w:p>
        </w:tc>
        <w:tc>
          <w:tcPr>
            <w:tcW w:w="638" w:type="dxa"/>
            <w:tcBorders>
              <w:left w:val="single" w:sz="4" w:space="0" w:color="9CC2E5"/>
              <w:right w:val="double" w:sz="4" w:space="0" w:color="9CC2E5"/>
            </w:tcBorders>
            <w:vAlign w:val="center"/>
          </w:tcPr>
          <w:p w14:paraId="16AA1A28"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3,0</w:t>
            </w:r>
          </w:p>
        </w:tc>
        <w:tc>
          <w:tcPr>
            <w:tcW w:w="637" w:type="dxa"/>
            <w:tcBorders>
              <w:left w:val="double" w:sz="4" w:space="0" w:color="9CC2E5"/>
            </w:tcBorders>
            <w:noWrap/>
            <w:tcMar>
              <w:left w:w="57" w:type="dxa"/>
              <w:right w:w="57" w:type="dxa"/>
            </w:tcMar>
            <w:vAlign w:val="center"/>
          </w:tcPr>
          <w:p w14:paraId="16BA328C"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0031D950"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136A8B3C"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796C46F9"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8" w:type="dxa"/>
            <w:vAlign w:val="center"/>
          </w:tcPr>
          <w:p w14:paraId="49EBC648"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r>
      <w:tr w:rsidR="006923DF" w:rsidRPr="00C90505" w14:paraId="37527222" w14:textId="77777777" w:rsidTr="006923DF">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4D4452E8" w14:textId="77777777" w:rsidR="006923DF" w:rsidRPr="00C90505" w:rsidRDefault="006923DF" w:rsidP="006923DF">
            <w:pPr>
              <w:ind w:left="26" w:firstLine="8"/>
              <w:jc w:val="left"/>
              <w:rPr>
                <w:rFonts w:eastAsia="Times New Roman"/>
                <w:b w:val="0"/>
                <w:color w:val="auto"/>
                <w:sz w:val="18"/>
                <w:szCs w:val="18"/>
              </w:rPr>
            </w:pPr>
            <w:r w:rsidRPr="00C90505">
              <w:rPr>
                <w:rFonts w:eastAsia="Times New Roman"/>
                <w:b w:val="0"/>
                <w:color w:val="auto"/>
                <w:sz w:val="18"/>
                <w:szCs w:val="18"/>
              </w:rPr>
              <w:t>Kopējā pamatkapitāla veidošana, pieaugums salīdzināmās cenās, %</w:t>
            </w:r>
          </w:p>
        </w:tc>
        <w:tc>
          <w:tcPr>
            <w:tcW w:w="637" w:type="dxa"/>
            <w:noWrap/>
            <w:tcMar>
              <w:left w:w="57" w:type="dxa"/>
              <w:right w:w="57" w:type="dxa"/>
            </w:tcMar>
            <w:vAlign w:val="center"/>
          </w:tcPr>
          <w:p w14:paraId="512D7801"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4,2</w:t>
            </w:r>
          </w:p>
        </w:tc>
        <w:tc>
          <w:tcPr>
            <w:tcW w:w="637" w:type="dxa"/>
            <w:noWrap/>
            <w:tcMar>
              <w:left w:w="57" w:type="dxa"/>
              <w:right w:w="57" w:type="dxa"/>
            </w:tcMar>
            <w:vAlign w:val="center"/>
          </w:tcPr>
          <w:p w14:paraId="5861A384"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5,6</w:t>
            </w:r>
          </w:p>
        </w:tc>
        <w:tc>
          <w:tcPr>
            <w:tcW w:w="637" w:type="dxa"/>
            <w:noWrap/>
            <w:tcMar>
              <w:left w:w="57" w:type="dxa"/>
              <w:right w:w="57" w:type="dxa"/>
            </w:tcMar>
            <w:vAlign w:val="center"/>
          </w:tcPr>
          <w:p w14:paraId="34CAE109"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2,9</w:t>
            </w:r>
          </w:p>
        </w:tc>
        <w:tc>
          <w:tcPr>
            <w:tcW w:w="637" w:type="dxa"/>
            <w:tcBorders>
              <w:right w:val="single" w:sz="4" w:space="0" w:color="9CC2E5"/>
            </w:tcBorders>
            <w:noWrap/>
            <w:tcMar>
              <w:left w:w="57" w:type="dxa"/>
              <w:right w:w="57" w:type="dxa"/>
            </w:tcMar>
            <w:vAlign w:val="center"/>
          </w:tcPr>
          <w:p w14:paraId="6627E731"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2,9</w:t>
            </w:r>
          </w:p>
        </w:tc>
        <w:tc>
          <w:tcPr>
            <w:tcW w:w="638" w:type="dxa"/>
            <w:tcBorders>
              <w:left w:val="single" w:sz="4" w:space="0" w:color="9CC2E5"/>
              <w:right w:val="double" w:sz="4" w:space="0" w:color="9CC2E5"/>
            </w:tcBorders>
            <w:vAlign w:val="center"/>
          </w:tcPr>
          <w:p w14:paraId="23DD233C"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2,9</w:t>
            </w:r>
          </w:p>
        </w:tc>
        <w:tc>
          <w:tcPr>
            <w:tcW w:w="637" w:type="dxa"/>
            <w:tcBorders>
              <w:left w:val="double" w:sz="4" w:space="0" w:color="9CC2E5"/>
            </w:tcBorders>
            <w:noWrap/>
            <w:tcMar>
              <w:left w:w="57" w:type="dxa"/>
              <w:right w:w="57" w:type="dxa"/>
            </w:tcMar>
            <w:vAlign w:val="center"/>
          </w:tcPr>
          <w:p w14:paraId="759D85DE"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0,3</w:t>
            </w:r>
          </w:p>
        </w:tc>
        <w:tc>
          <w:tcPr>
            <w:tcW w:w="637" w:type="dxa"/>
            <w:noWrap/>
            <w:tcMar>
              <w:left w:w="57" w:type="dxa"/>
              <w:right w:w="57" w:type="dxa"/>
            </w:tcMar>
            <w:vAlign w:val="center"/>
          </w:tcPr>
          <w:p w14:paraId="37258405"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1,4</w:t>
            </w:r>
          </w:p>
        </w:tc>
        <w:tc>
          <w:tcPr>
            <w:tcW w:w="637" w:type="dxa"/>
            <w:noWrap/>
            <w:tcMar>
              <w:left w:w="57" w:type="dxa"/>
              <w:right w:w="57" w:type="dxa"/>
            </w:tcMar>
            <w:vAlign w:val="center"/>
          </w:tcPr>
          <w:p w14:paraId="35467CB9"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0,1</w:t>
            </w:r>
          </w:p>
        </w:tc>
        <w:tc>
          <w:tcPr>
            <w:tcW w:w="637" w:type="dxa"/>
            <w:noWrap/>
            <w:tcMar>
              <w:left w:w="57" w:type="dxa"/>
              <w:right w:w="57" w:type="dxa"/>
            </w:tcMar>
            <w:vAlign w:val="center"/>
          </w:tcPr>
          <w:p w14:paraId="6C2B94EE"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8" w:type="dxa"/>
            <w:vAlign w:val="center"/>
          </w:tcPr>
          <w:p w14:paraId="5EFD527D"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r>
      <w:tr w:rsidR="006923DF" w:rsidRPr="00C90505" w14:paraId="64029330"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0F14B54" w14:textId="77777777" w:rsidR="006923DF" w:rsidRPr="00C90505" w:rsidRDefault="006923DF" w:rsidP="006923DF">
            <w:pPr>
              <w:ind w:left="26" w:firstLine="8"/>
              <w:jc w:val="left"/>
              <w:rPr>
                <w:rFonts w:eastAsia="Times New Roman"/>
                <w:b w:val="0"/>
                <w:color w:val="auto"/>
                <w:sz w:val="18"/>
                <w:szCs w:val="18"/>
              </w:rPr>
            </w:pPr>
            <w:r w:rsidRPr="00C90505">
              <w:rPr>
                <w:rFonts w:eastAsia="Times New Roman"/>
                <w:b w:val="0"/>
                <w:color w:val="auto"/>
                <w:sz w:val="18"/>
                <w:szCs w:val="18"/>
              </w:rPr>
              <w:t>Preču un pakalpojumu eksports, pieaugums salīdzināmās cenās, %</w:t>
            </w:r>
          </w:p>
        </w:tc>
        <w:tc>
          <w:tcPr>
            <w:tcW w:w="637" w:type="dxa"/>
            <w:noWrap/>
            <w:tcMar>
              <w:left w:w="57" w:type="dxa"/>
              <w:right w:w="57" w:type="dxa"/>
            </w:tcMar>
            <w:vAlign w:val="center"/>
          </w:tcPr>
          <w:p w14:paraId="73E3D291"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-0,6</w:t>
            </w:r>
          </w:p>
        </w:tc>
        <w:tc>
          <w:tcPr>
            <w:tcW w:w="637" w:type="dxa"/>
            <w:noWrap/>
            <w:tcMar>
              <w:left w:w="57" w:type="dxa"/>
              <w:right w:w="57" w:type="dxa"/>
            </w:tcMar>
            <w:vAlign w:val="center"/>
          </w:tcPr>
          <w:p w14:paraId="06120B07"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4,4</w:t>
            </w:r>
          </w:p>
        </w:tc>
        <w:tc>
          <w:tcPr>
            <w:tcW w:w="637" w:type="dxa"/>
            <w:noWrap/>
            <w:tcMar>
              <w:left w:w="57" w:type="dxa"/>
              <w:right w:w="57" w:type="dxa"/>
            </w:tcMar>
            <w:vAlign w:val="center"/>
          </w:tcPr>
          <w:p w14:paraId="7D3DB2E0"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4,8</w:t>
            </w:r>
          </w:p>
        </w:tc>
        <w:tc>
          <w:tcPr>
            <w:tcW w:w="637" w:type="dxa"/>
            <w:tcBorders>
              <w:right w:val="single" w:sz="4" w:space="0" w:color="9CC2E5"/>
            </w:tcBorders>
            <w:noWrap/>
            <w:tcMar>
              <w:left w:w="57" w:type="dxa"/>
              <w:right w:w="57" w:type="dxa"/>
            </w:tcMar>
            <w:vAlign w:val="center"/>
          </w:tcPr>
          <w:p w14:paraId="43044970"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4,0</w:t>
            </w:r>
          </w:p>
        </w:tc>
        <w:tc>
          <w:tcPr>
            <w:tcW w:w="638" w:type="dxa"/>
            <w:tcBorders>
              <w:left w:val="single" w:sz="4" w:space="0" w:color="9CC2E5"/>
              <w:right w:val="double" w:sz="4" w:space="0" w:color="9CC2E5"/>
            </w:tcBorders>
            <w:vAlign w:val="center"/>
          </w:tcPr>
          <w:p w14:paraId="16823684"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4,0</w:t>
            </w:r>
          </w:p>
        </w:tc>
        <w:tc>
          <w:tcPr>
            <w:tcW w:w="637" w:type="dxa"/>
            <w:tcBorders>
              <w:left w:val="double" w:sz="4" w:space="0" w:color="9CC2E5"/>
            </w:tcBorders>
            <w:noWrap/>
            <w:tcMar>
              <w:left w:w="57" w:type="dxa"/>
              <w:right w:w="57" w:type="dxa"/>
            </w:tcMar>
            <w:vAlign w:val="center"/>
          </w:tcPr>
          <w:p w14:paraId="1C721DDA"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0,1</w:t>
            </w:r>
          </w:p>
        </w:tc>
        <w:tc>
          <w:tcPr>
            <w:tcW w:w="637" w:type="dxa"/>
            <w:noWrap/>
            <w:tcMar>
              <w:left w:w="57" w:type="dxa"/>
              <w:right w:w="57" w:type="dxa"/>
            </w:tcMar>
            <w:vAlign w:val="center"/>
          </w:tcPr>
          <w:p w14:paraId="60EFFB00"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1,1</w:t>
            </w:r>
          </w:p>
        </w:tc>
        <w:tc>
          <w:tcPr>
            <w:tcW w:w="637" w:type="dxa"/>
            <w:noWrap/>
            <w:tcMar>
              <w:left w:w="57" w:type="dxa"/>
              <w:right w:w="57" w:type="dxa"/>
            </w:tcMar>
            <w:vAlign w:val="center"/>
          </w:tcPr>
          <w:p w14:paraId="717D21CA"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0,7</w:t>
            </w:r>
          </w:p>
        </w:tc>
        <w:tc>
          <w:tcPr>
            <w:tcW w:w="637" w:type="dxa"/>
            <w:noWrap/>
            <w:tcMar>
              <w:left w:w="57" w:type="dxa"/>
              <w:right w:w="57" w:type="dxa"/>
            </w:tcMar>
            <w:vAlign w:val="center"/>
          </w:tcPr>
          <w:p w14:paraId="688626B6"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8" w:type="dxa"/>
            <w:vAlign w:val="center"/>
          </w:tcPr>
          <w:p w14:paraId="7D87F658"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r>
      <w:tr w:rsidR="006923DF" w:rsidRPr="00C90505" w14:paraId="0CDC74B6" w14:textId="77777777" w:rsidTr="006923DF">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51D59724" w14:textId="77777777" w:rsidR="006923DF" w:rsidRPr="00C90505" w:rsidRDefault="006923DF" w:rsidP="006923DF">
            <w:pPr>
              <w:ind w:left="26" w:firstLine="8"/>
              <w:jc w:val="left"/>
              <w:rPr>
                <w:rFonts w:eastAsia="Times New Roman"/>
                <w:b w:val="0"/>
                <w:color w:val="auto"/>
                <w:sz w:val="18"/>
                <w:szCs w:val="18"/>
              </w:rPr>
            </w:pPr>
            <w:r w:rsidRPr="00C90505">
              <w:rPr>
                <w:rFonts w:eastAsia="Times New Roman"/>
                <w:b w:val="0"/>
                <w:color w:val="auto"/>
                <w:sz w:val="18"/>
                <w:szCs w:val="18"/>
              </w:rPr>
              <w:t>Preču un pakalpojumu imports, pieaugums salīdzināmās cenās, %</w:t>
            </w:r>
          </w:p>
        </w:tc>
        <w:tc>
          <w:tcPr>
            <w:tcW w:w="637" w:type="dxa"/>
            <w:noWrap/>
            <w:tcMar>
              <w:left w:w="57" w:type="dxa"/>
              <w:right w:w="57" w:type="dxa"/>
            </w:tcMar>
            <w:vAlign w:val="center"/>
          </w:tcPr>
          <w:p w14:paraId="0A141FD7"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2,1</w:t>
            </w:r>
          </w:p>
        </w:tc>
        <w:tc>
          <w:tcPr>
            <w:tcW w:w="637" w:type="dxa"/>
            <w:noWrap/>
            <w:tcMar>
              <w:left w:w="57" w:type="dxa"/>
              <w:right w:w="57" w:type="dxa"/>
            </w:tcMar>
            <w:vAlign w:val="center"/>
          </w:tcPr>
          <w:p w14:paraId="411633D4"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4,8</w:t>
            </w:r>
          </w:p>
        </w:tc>
        <w:tc>
          <w:tcPr>
            <w:tcW w:w="637" w:type="dxa"/>
            <w:noWrap/>
            <w:tcMar>
              <w:left w:w="57" w:type="dxa"/>
              <w:right w:w="57" w:type="dxa"/>
            </w:tcMar>
            <w:vAlign w:val="center"/>
          </w:tcPr>
          <w:p w14:paraId="0BCF12C0"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4,4</w:t>
            </w:r>
          </w:p>
        </w:tc>
        <w:tc>
          <w:tcPr>
            <w:tcW w:w="637" w:type="dxa"/>
            <w:tcBorders>
              <w:right w:val="single" w:sz="4" w:space="0" w:color="9CC2E5"/>
            </w:tcBorders>
            <w:noWrap/>
            <w:tcMar>
              <w:left w:w="57" w:type="dxa"/>
              <w:right w:w="57" w:type="dxa"/>
            </w:tcMar>
            <w:vAlign w:val="center"/>
          </w:tcPr>
          <w:p w14:paraId="220F1536"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4,4</w:t>
            </w:r>
          </w:p>
        </w:tc>
        <w:tc>
          <w:tcPr>
            <w:tcW w:w="638" w:type="dxa"/>
            <w:tcBorders>
              <w:left w:val="single" w:sz="4" w:space="0" w:color="9CC2E5"/>
              <w:right w:val="double" w:sz="4" w:space="0" w:color="9CC2E5"/>
            </w:tcBorders>
            <w:vAlign w:val="center"/>
          </w:tcPr>
          <w:p w14:paraId="37AD7AB4"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4,4</w:t>
            </w:r>
          </w:p>
        </w:tc>
        <w:tc>
          <w:tcPr>
            <w:tcW w:w="637" w:type="dxa"/>
            <w:tcBorders>
              <w:left w:val="double" w:sz="4" w:space="0" w:color="9CC2E5"/>
            </w:tcBorders>
            <w:noWrap/>
            <w:tcMar>
              <w:left w:w="57" w:type="dxa"/>
              <w:right w:w="57" w:type="dxa"/>
            </w:tcMar>
            <w:vAlign w:val="center"/>
          </w:tcPr>
          <w:p w14:paraId="15492D2D"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0,2</w:t>
            </w:r>
          </w:p>
        </w:tc>
        <w:tc>
          <w:tcPr>
            <w:tcW w:w="637" w:type="dxa"/>
            <w:noWrap/>
            <w:tcMar>
              <w:left w:w="57" w:type="dxa"/>
              <w:right w:w="57" w:type="dxa"/>
            </w:tcMar>
            <w:vAlign w:val="center"/>
          </w:tcPr>
          <w:p w14:paraId="3356CC66"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0,9</w:t>
            </w:r>
          </w:p>
        </w:tc>
        <w:tc>
          <w:tcPr>
            <w:tcW w:w="637" w:type="dxa"/>
            <w:noWrap/>
            <w:tcMar>
              <w:left w:w="57" w:type="dxa"/>
              <w:right w:w="57" w:type="dxa"/>
            </w:tcMar>
            <w:vAlign w:val="center"/>
          </w:tcPr>
          <w:p w14:paraId="23EC2F9C"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0,4</w:t>
            </w:r>
          </w:p>
        </w:tc>
        <w:tc>
          <w:tcPr>
            <w:tcW w:w="637" w:type="dxa"/>
            <w:noWrap/>
            <w:tcMar>
              <w:left w:w="57" w:type="dxa"/>
              <w:right w:w="57" w:type="dxa"/>
            </w:tcMar>
            <w:vAlign w:val="center"/>
          </w:tcPr>
          <w:p w14:paraId="36EB433F"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8" w:type="dxa"/>
            <w:vAlign w:val="center"/>
          </w:tcPr>
          <w:p w14:paraId="7A7F9DFA"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r>
      <w:tr w:rsidR="006923DF" w:rsidRPr="00C90505" w14:paraId="38A205A8"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00762B62" w14:textId="77777777" w:rsidR="006923DF" w:rsidRPr="00C90505" w:rsidRDefault="006923DF" w:rsidP="006923DF">
            <w:pPr>
              <w:ind w:firstLine="8"/>
              <w:jc w:val="left"/>
              <w:rPr>
                <w:rFonts w:eastAsia="Times New Roman"/>
                <w:b w:val="0"/>
                <w:color w:val="auto"/>
                <w:sz w:val="18"/>
                <w:szCs w:val="18"/>
              </w:rPr>
            </w:pPr>
            <w:r w:rsidRPr="00C90505">
              <w:rPr>
                <w:rFonts w:eastAsia="Times New Roman"/>
                <w:b w:val="0"/>
                <w:color w:val="auto"/>
                <w:sz w:val="18"/>
                <w:szCs w:val="18"/>
              </w:rPr>
              <w:t>Vidējās darba samaksas tautsaimniecībā pieaugums faktiskajās cenās, %</w:t>
            </w:r>
          </w:p>
        </w:tc>
        <w:tc>
          <w:tcPr>
            <w:tcW w:w="637" w:type="dxa"/>
            <w:noWrap/>
            <w:tcMar>
              <w:left w:w="57" w:type="dxa"/>
              <w:right w:w="57" w:type="dxa"/>
            </w:tcMar>
            <w:vAlign w:val="center"/>
          </w:tcPr>
          <w:p w14:paraId="506B0A18"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8,0</w:t>
            </w:r>
          </w:p>
        </w:tc>
        <w:tc>
          <w:tcPr>
            <w:tcW w:w="637" w:type="dxa"/>
            <w:noWrap/>
            <w:tcMar>
              <w:left w:w="57" w:type="dxa"/>
              <w:right w:w="57" w:type="dxa"/>
            </w:tcMar>
            <w:vAlign w:val="center"/>
          </w:tcPr>
          <w:p w14:paraId="356F1D1A"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7,0</w:t>
            </w:r>
          </w:p>
        </w:tc>
        <w:tc>
          <w:tcPr>
            <w:tcW w:w="637" w:type="dxa"/>
            <w:noWrap/>
            <w:tcMar>
              <w:left w:w="57" w:type="dxa"/>
              <w:right w:w="57" w:type="dxa"/>
            </w:tcMar>
            <w:vAlign w:val="center"/>
          </w:tcPr>
          <w:p w14:paraId="02BC4059"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6,5</w:t>
            </w:r>
          </w:p>
        </w:tc>
        <w:tc>
          <w:tcPr>
            <w:tcW w:w="637" w:type="dxa"/>
            <w:tcBorders>
              <w:right w:val="single" w:sz="4" w:space="0" w:color="9CC2E5"/>
            </w:tcBorders>
            <w:noWrap/>
            <w:tcMar>
              <w:left w:w="57" w:type="dxa"/>
              <w:right w:w="57" w:type="dxa"/>
            </w:tcMar>
            <w:vAlign w:val="center"/>
          </w:tcPr>
          <w:p w14:paraId="0AFD37E7"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6,0</w:t>
            </w:r>
          </w:p>
        </w:tc>
        <w:tc>
          <w:tcPr>
            <w:tcW w:w="638" w:type="dxa"/>
            <w:tcBorders>
              <w:left w:val="single" w:sz="4" w:space="0" w:color="9CC2E5"/>
              <w:right w:val="double" w:sz="4" w:space="0" w:color="9CC2E5"/>
            </w:tcBorders>
            <w:vAlign w:val="center"/>
          </w:tcPr>
          <w:p w14:paraId="2F565AC9"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5,0</w:t>
            </w:r>
          </w:p>
        </w:tc>
        <w:tc>
          <w:tcPr>
            <w:tcW w:w="637" w:type="dxa"/>
            <w:tcBorders>
              <w:left w:val="double" w:sz="4" w:space="0" w:color="9CC2E5"/>
            </w:tcBorders>
            <w:noWrap/>
            <w:tcMar>
              <w:left w:w="57" w:type="dxa"/>
              <w:right w:w="57" w:type="dxa"/>
            </w:tcMar>
            <w:vAlign w:val="center"/>
          </w:tcPr>
          <w:p w14:paraId="1EE58E87"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0,5</w:t>
            </w:r>
          </w:p>
        </w:tc>
        <w:tc>
          <w:tcPr>
            <w:tcW w:w="637" w:type="dxa"/>
            <w:noWrap/>
            <w:tcMar>
              <w:left w:w="57" w:type="dxa"/>
              <w:right w:w="57" w:type="dxa"/>
            </w:tcMar>
            <w:vAlign w:val="center"/>
          </w:tcPr>
          <w:p w14:paraId="6799A081"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0,5</w:t>
            </w:r>
          </w:p>
        </w:tc>
        <w:tc>
          <w:tcPr>
            <w:tcW w:w="637" w:type="dxa"/>
            <w:noWrap/>
            <w:tcMar>
              <w:left w:w="57" w:type="dxa"/>
              <w:right w:w="57" w:type="dxa"/>
            </w:tcMar>
            <w:vAlign w:val="center"/>
          </w:tcPr>
          <w:p w14:paraId="0BAF53B0"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0,5</w:t>
            </w:r>
          </w:p>
        </w:tc>
        <w:tc>
          <w:tcPr>
            <w:tcW w:w="637" w:type="dxa"/>
            <w:noWrap/>
            <w:tcMar>
              <w:left w:w="57" w:type="dxa"/>
              <w:right w:w="57" w:type="dxa"/>
            </w:tcMar>
            <w:vAlign w:val="center"/>
          </w:tcPr>
          <w:p w14:paraId="602A486C"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1,0</w:t>
            </w:r>
          </w:p>
        </w:tc>
        <w:tc>
          <w:tcPr>
            <w:tcW w:w="638" w:type="dxa"/>
            <w:vAlign w:val="center"/>
          </w:tcPr>
          <w:p w14:paraId="51294DFF"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r>
      <w:tr w:rsidR="006923DF" w:rsidRPr="00C90505" w14:paraId="333CF98A" w14:textId="77777777" w:rsidTr="006923DF">
        <w:trPr>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3ABFC597" w14:textId="77777777" w:rsidR="006923DF" w:rsidRPr="00C90505" w:rsidRDefault="006923DF" w:rsidP="006923DF">
            <w:pPr>
              <w:ind w:firstLine="8"/>
              <w:jc w:val="left"/>
              <w:rPr>
                <w:rFonts w:eastAsia="Times New Roman"/>
                <w:b w:val="0"/>
                <w:color w:val="auto"/>
                <w:sz w:val="18"/>
                <w:szCs w:val="18"/>
              </w:rPr>
            </w:pPr>
            <w:r w:rsidRPr="00C90505">
              <w:rPr>
                <w:rFonts w:eastAsia="Times New Roman"/>
                <w:b w:val="0"/>
                <w:color w:val="auto"/>
                <w:sz w:val="18"/>
                <w:szCs w:val="18"/>
              </w:rPr>
              <w:t>Nodarbinātības pieaugums, %</w:t>
            </w:r>
          </w:p>
        </w:tc>
        <w:tc>
          <w:tcPr>
            <w:tcW w:w="637" w:type="dxa"/>
            <w:noWrap/>
            <w:tcMar>
              <w:left w:w="57" w:type="dxa"/>
              <w:right w:w="57" w:type="dxa"/>
            </w:tcMar>
            <w:vAlign w:val="center"/>
          </w:tcPr>
          <w:p w14:paraId="6A0BF73D"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6818C0A4"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18A3397C"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-0,3</w:t>
            </w:r>
          </w:p>
        </w:tc>
        <w:tc>
          <w:tcPr>
            <w:tcW w:w="637" w:type="dxa"/>
            <w:tcBorders>
              <w:right w:val="single" w:sz="4" w:space="0" w:color="9CC2E5"/>
            </w:tcBorders>
            <w:noWrap/>
            <w:tcMar>
              <w:left w:w="57" w:type="dxa"/>
              <w:right w:w="57" w:type="dxa"/>
            </w:tcMar>
            <w:vAlign w:val="center"/>
          </w:tcPr>
          <w:p w14:paraId="48E0FEB9"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-0,3</w:t>
            </w:r>
          </w:p>
        </w:tc>
        <w:tc>
          <w:tcPr>
            <w:tcW w:w="638" w:type="dxa"/>
            <w:tcBorders>
              <w:left w:val="single" w:sz="4" w:space="0" w:color="9CC2E5"/>
              <w:right w:val="double" w:sz="4" w:space="0" w:color="9CC2E5"/>
            </w:tcBorders>
            <w:vAlign w:val="center"/>
          </w:tcPr>
          <w:p w14:paraId="7A98CD47"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-0,3</w:t>
            </w:r>
          </w:p>
        </w:tc>
        <w:tc>
          <w:tcPr>
            <w:tcW w:w="637" w:type="dxa"/>
            <w:tcBorders>
              <w:left w:val="double" w:sz="4" w:space="0" w:color="9CC2E5"/>
            </w:tcBorders>
            <w:noWrap/>
            <w:tcMar>
              <w:left w:w="57" w:type="dxa"/>
              <w:right w:w="57" w:type="dxa"/>
            </w:tcMar>
            <w:vAlign w:val="center"/>
          </w:tcPr>
          <w:p w14:paraId="53082756"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7AD9E289"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13D488E0"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5B93AA74"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8" w:type="dxa"/>
            <w:vAlign w:val="center"/>
          </w:tcPr>
          <w:p w14:paraId="4AFEFD01" w14:textId="77777777" w:rsidR="006923DF" w:rsidRPr="00C90505" w:rsidRDefault="006923DF" w:rsidP="006923DF">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r>
      <w:tr w:rsidR="006923DF" w:rsidRPr="00E6266D" w14:paraId="42A42ADE" w14:textId="77777777" w:rsidTr="006923D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453DE55F" w14:textId="77777777" w:rsidR="006923DF" w:rsidRPr="00C90505" w:rsidRDefault="006923DF" w:rsidP="006923DF">
            <w:pPr>
              <w:ind w:firstLine="8"/>
              <w:jc w:val="left"/>
              <w:rPr>
                <w:rFonts w:eastAsia="Times New Roman"/>
                <w:b w:val="0"/>
                <w:color w:val="auto"/>
                <w:sz w:val="18"/>
                <w:szCs w:val="18"/>
              </w:rPr>
            </w:pPr>
            <w:r w:rsidRPr="00C90505">
              <w:rPr>
                <w:rFonts w:eastAsia="Times New Roman"/>
                <w:b w:val="0"/>
                <w:color w:val="auto"/>
                <w:sz w:val="18"/>
                <w:szCs w:val="18"/>
              </w:rPr>
              <w:t>Bezdarba līmenis, %</w:t>
            </w:r>
          </w:p>
        </w:tc>
        <w:tc>
          <w:tcPr>
            <w:tcW w:w="637" w:type="dxa"/>
            <w:noWrap/>
            <w:tcMar>
              <w:left w:w="57" w:type="dxa"/>
              <w:right w:w="57" w:type="dxa"/>
            </w:tcMar>
            <w:vAlign w:val="center"/>
          </w:tcPr>
          <w:p w14:paraId="729536DD"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6,4</w:t>
            </w:r>
          </w:p>
        </w:tc>
        <w:tc>
          <w:tcPr>
            <w:tcW w:w="637" w:type="dxa"/>
            <w:noWrap/>
            <w:tcMar>
              <w:left w:w="57" w:type="dxa"/>
              <w:right w:w="57" w:type="dxa"/>
            </w:tcMar>
            <w:vAlign w:val="center"/>
          </w:tcPr>
          <w:p w14:paraId="6166B5D1"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6,0</w:t>
            </w:r>
          </w:p>
        </w:tc>
        <w:tc>
          <w:tcPr>
            <w:tcW w:w="637" w:type="dxa"/>
            <w:noWrap/>
            <w:tcMar>
              <w:left w:w="57" w:type="dxa"/>
              <w:right w:w="57" w:type="dxa"/>
            </w:tcMar>
            <w:vAlign w:val="center"/>
          </w:tcPr>
          <w:p w14:paraId="3C5A04BE"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6,0</w:t>
            </w:r>
          </w:p>
        </w:tc>
        <w:tc>
          <w:tcPr>
            <w:tcW w:w="637" w:type="dxa"/>
            <w:tcBorders>
              <w:right w:val="single" w:sz="4" w:space="0" w:color="9CC2E5"/>
            </w:tcBorders>
            <w:noWrap/>
            <w:tcMar>
              <w:left w:w="57" w:type="dxa"/>
              <w:right w:w="57" w:type="dxa"/>
            </w:tcMar>
            <w:vAlign w:val="center"/>
          </w:tcPr>
          <w:p w14:paraId="6474C37D"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5,5</w:t>
            </w:r>
          </w:p>
        </w:tc>
        <w:tc>
          <w:tcPr>
            <w:tcW w:w="638" w:type="dxa"/>
            <w:tcBorders>
              <w:left w:val="single" w:sz="4" w:space="0" w:color="9CC2E5"/>
              <w:right w:val="double" w:sz="4" w:space="0" w:color="9CC2E5"/>
            </w:tcBorders>
            <w:vAlign w:val="center"/>
          </w:tcPr>
          <w:p w14:paraId="6E7C83C6"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4,9</w:t>
            </w:r>
          </w:p>
        </w:tc>
        <w:tc>
          <w:tcPr>
            <w:tcW w:w="637" w:type="dxa"/>
            <w:tcBorders>
              <w:left w:val="double" w:sz="4" w:space="0" w:color="9CC2E5"/>
            </w:tcBorders>
            <w:noWrap/>
            <w:tcMar>
              <w:left w:w="57" w:type="dxa"/>
              <w:right w:w="57" w:type="dxa"/>
            </w:tcMar>
            <w:vAlign w:val="center"/>
          </w:tcPr>
          <w:p w14:paraId="39D83C50"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378EACCB"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7787B884"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7" w:type="dxa"/>
            <w:noWrap/>
            <w:tcMar>
              <w:left w:w="57" w:type="dxa"/>
              <w:right w:w="57" w:type="dxa"/>
            </w:tcMar>
            <w:vAlign w:val="center"/>
          </w:tcPr>
          <w:p w14:paraId="2CBE98D0"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c>
          <w:tcPr>
            <w:tcW w:w="638" w:type="dxa"/>
            <w:vAlign w:val="center"/>
          </w:tcPr>
          <w:p w14:paraId="26F93CF4" w14:textId="77777777" w:rsidR="006923DF" w:rsidRPr="00C90505" w:rsidRDefault="006923DF" w:rsidP="006923D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rPr>
            </w:pPr>
            <w:r w:rsidRPr="00C90505">
              <w:rPr>
                <w:rFonts w:eastAsia="Times New Roman"/>
                <w:color w:val="auto"/>
                <w:sz w:val="18"/>
                <w:szCs w:val="18"/>
              </w:rPr>
              <w:t>0,0</w:t>
            </w:r>
          </w:p>
        </w:tc>
      </w:tr>
    </w:tbl>
    <w:p w14:paraId="2F0D5267" w14:textId="77777777" w:rsidR="006923DF" w:rsidRPr="006923DF" w:rsidRDefault="006923DF" w:rsidP="006923DF">
      <w:pPr>
        <w:autoSpaceDE w:val="0"/>
        <w:autoSpaceDN w:val="0"/>
        <w:adjustRightInd w:val="0"/>
        <w:spacing w:after="120" w:line="259" w:lineRule="auto"/>
        <w:ind w:firstLine="0"/>
        <w:jc w:val="left"/>
        <w:rPr>
          <w:rFonts w:eastAsia="Times New Roman" w:cs="Times New Roman"/>
          <w:b/>
          <w:sz w:val="20"/>
          <w:szCs w:val="20"/>
          <w:highlight w:val="yellow"/>
          <w:lang w:eastAsia="lv-LV"/>
        </w:rPr>
      </w:pPr>
    </w:p>
    <w:p w14:paraId="2D1F0566" w14:textId="77777777" w:rsidR="006923DF" w:rsidRPr="000C1AC0" w:rsidRDefault="006923DF" w:rsidP="006923DF">
      <w:pPr>
        <w:autoSpaceDE w:val="0"/>
        <w:autoSpaceDN w:val="0"/>
        <w:adjustRightInd w:val="0"/>
        <w:spacing w:after="120" w:line="259" w:lineRule="auto"/>
        <w:ind w:left="720" w:firstLine="0"/>
        <w:jc w:val="left"/>
        <w:rPr>
          <w:rFonts w:eastAsia="Times New Roman" w:cs="Times New Roman"/>
          <w:b/>
          <w:sz w:val="24"/>
          <w:szCs w:val="24"/>
          <w:lang w:eastAsia="lv-LV"/>
        </w:rPr>
      </w:pPr>
      <w:r w:rsidRPr="000C1AC0">
        <w:rPr>
          <w:rFonts w:eastAsia="Times New Roman" w:cs="Times New Roman"/>
          <w:b/>
          <w:sz w:val="24"/>
          <w:szCs w:val="24"/>
          <w:lang w:eastAsia="lv-LV"/>
        </w:rPr>
        <w:t xml:space="preserve">Ietekme uz vispārējās valdības budžetu </w:t>
      </w:r>
    </w:p>
    <w:p w14:paraId="1A1ED494" w14:textId="66029291" w:rsidR="006923DF" w:rsidRPr="000C1AC0" w:rsidRDefault="006923DF" w:rsidP="00FF1B5A">
      <w:pPr>
        <w:autoSpaceDE w:val="0"/>
        <w:autoSpaceDN w:val="0"/>
        <w:adjustRightInd w:val="0"/>
        <w:spacing w:after="240"/>
        <w:rPr>
          <w:rFonts w:eastAsia="Times New Roman" w:cs="Times New Roman"/>
          <w:sz w:val="24"/>
          <w:szCs w:val="24"/>
          <w:lang w:eastAsia="lv-LV"/>
        </w:rPr>
      </w:pPr>
      <w:r w:rsidRPr="000C1AC0">
        <w:rPr>
          <w:rFonts w:eastAsia="Times New Roman" w:cs="Times New Roman"/>
          <w:sz w:val="24"/>
          <w:szCs w:val="24"/>
          <w:lang w:eastAsia="lv-LV"/>
        </w:rPr>
        <w:t xml:space="preserve">Īstenojoties optimistiskajam scenārijam, kurā palielinās nodokļu un ne-nodokļu ieņēmumi, tāpat arī pabalstu izdevumi valsts speciālajā budžetā un valsts pamatbudžetā, bet samazinās procentu izdevumi valsts parāda finansēšanai, vispārējās valdības budžeta bilance uzlabotos. Salīdzinājumā ar bāzes scenāriju optimistiskā scenārija gadījumā vispārējās valdības deficīts 2024. gadā samazinātos par 49,8 milj. </w:t>
      </w:r>
      <w:proofErr w:type="spellStart"/>
      <w:r w:rsidRPr="000C1AC0">
        <w:rPr>
          <w:rFonts w:eastAsia="Times New Roman" w:cs="Times New Roman"/>
          <w:i/>
          <w:sz w:val="24"/>
          <w:szCs w:val="24"/>
          <w:lang w:eastAsia="lv-LV"/>
        </w:rPr>
        <w:t>euro</w:t>
      </w:r>
      <w:proofErr w:type="spellEnd"/>
      <w:r w:rsidRPr="000C1AC0">
        <w:rPr>
          <w:rFonts w:eastAsia="Times New Roman" w:cs="Times New Roman"/>
          <w:sz w:val="24"/>
          <w:szCs w:val="24"/>
          <w:lang w:eastAsia="lv-LV"/>
        </w:rPr>
        <w:t xml:space="preserve"> jeb 0,1 p</w:t>
      </w:r>
      <w:r w:rsidR="003E5E38">
        <w:rPr>
          <w:rFonts w:eastAsia="Times New Roman" w:cs="Times New Roman"/>
          <w:sz w:val="24"/>
          <w:szCs w:val="24"/>
          <w:lang w:eastAsia="lv-LV"/>
        </w:rPr>
        <w:t>rocentpunktu</w:t>
      </w:r>
      <w:r w:rsidRPr="000C1AC0">
        <w:rPr>
          <w:rFonts w:eastAsia="Times New Roman" w:cs="Times New Roman"/>
          <w:sz w:val="24"/>
          <w:szCs w:val="24"/>
          <w:lang w:eastAsia="lv-LV"/>
        </w:rPr>
        <w:t xml:space="preserve"> no IKP. Savukārt 2025., 2026., 2027. un 2028. gadā vispārējās valdības bilance uzlabotos ik gadu par attiecīgi 0,3 </w:t>
      </w:r>
      <w:r w:rsidR="003E5E38">
        <w:rPr>
          <w:rFonts w:eastAsia="Times New Roman" w:cs="Times New Roman"/>
          <w:sz w:val="24"/>
          <w:szCs w:val="24"/>
          <w:lang w:eastAsia="lv-LV"/>
        </w:rPr>
        <w:t>procentpunktiem</w:t>
      </w:r>
      <w:r w:rsidRPr="000C1AC0">
        <w:rPr>
          <w:rFonts w:eastAsia="Times New Roman" w:cs="Times New Roman"/>
          <w:sz w:val="24"/>
          <w:szCs w:val="24"/>
          <w:lang w:eastAsia="lv-LV"/>
        </w:rPr>
        <w:t xml:space="preserve"> (129,2 milj. </w:t>
      </w:r>
      <w:proofErr w:type="spellStart"/>
      <w:r w:rsidRPr="000C1AC0">
        <w:rPr>
          <w:rFonts w:eastAsia="Times New Roman" w:cs="Times New Roman"/>
          <w:i/>
          <w:sz w:val="24"/>
          <w:szCs w:val="24"/>
          <w:lang w:eastAsia="lv-LV"/>
        </w:rPr>
        <w:t>euro</w:t>
      </w:r>
      <w:proofErr w:type="spellEnd"/>
      <w:r w:rsidRPr="000C1AC0">
        <w:rPr>
          <w:rFonts w:eastAsia="Times New Roman" w:cs="Times New Roman"/>
          <w:sz w:val="24"/>
          <w:szCs w:val="24"/>
          <w:lang w:eastAsia="lv-LV"/>
        </w:rPr>
        <w:t xml:space="preserve">), 0,4 </w:t>
      </w:r>
      <w:r w:rsidR="003E5E38">
        <w:rPr>
          <w:rFonts w:eastAsia="Times New Roman" w:cs="Times New Roman"/>
          <w:sz w:val="24"/>
          <w:szCs w:val="24"/>
          <w:lang w:eastAsia="lv-LV"/>
        </w:rPr>
        <w:t>procentpunktiem</w:t>
      </w:r>
      <w:r w:rsidRPr="000C1AC0">
        <w:rPr>
          <w:rFonts w:eastAsia="Times New Roman" w:cs="Times New Roman"/>
          <w:sz w:val="24"/>
          <w:szCs w:val="24"/>
          <w:lang w:eastAsia="lv-LV"/>
        </w:rPr>
        <w:t xml:space="preserve"> (191,6 milj. </w:t>
      </w:r>
      <w:proofErr w:type="spellStart"/>
      <w:r w:rsidRPr="000C1AC0">
        <w:rPr>
          <w:rFonts w:eastAsia="Times New Roman" w:cs="Times New Roman"/>
          <w:i/>
          <w:sz w:val="24"/>
          <w:szCs w:val="24"/>
          <w:lang w:eastAsia="lv-LV"/>
        </w:rPr>
        <w:t>euro</w:t>
      </w:r>
      <w:proofErr w:type="spellEnd"/>
      <w:r w:rsidRPr="000C1AC0">
        <w:rPr>
          <w:rFonts w:eastAsia="Times New Roman" w:cs="Times New Roman"/>
          <w:sz w:val="24"/>
          <w:szCs w:val="24"/>
          <w:lang w:eastAsia="lv-LV"/>
        </w:rPr>
        <w:t xml:space="preserve">), 0,6 </w:t>
      </w:r>
      <w:r w:rsidR="003E5E38">
        <w:rPr>
          <w:rFonts w:eastAsia="Times New Roman" w:cs="Times New Roman"/>
          <w:sz w:val="24"/>
          <w:szCs w:val="24"/>
          <w:lang w:eastAsia="lv-LV"/>
        </w:rPr>
        <w:t>procentpunktiem</w:t>
      </w:r>
      <w:r w:rsidRPr="000C1AC0">
        <w:rPr>
          <w:rFonts w:eastAsia="Times New Roman" w:cs="Times New Roman"/>
          <w:sz w:val="24"/>
          <w:szCs w:val="24"/>
          <w:lang w:eastAsia="lv-LV"/>
        </w:rPr>
        <w:t xml:space="preserve"> (269,5 milj. </w:t>
      </w:r>
      <w:proofErr w:type="spellStart"/>
      <w:r w:rsidRPr="000C1AC0">
        <w:rPr>
          <w:rFonts w:eastAsia="Times New Roman" w:cs="Times New Roman"/>
          <w:i/>
          <w:sz w:val="24"/>
          <w:szCs w:val="24"/>
          <w:lang w:eastAsia="lv-LV"/>
        </w:rPr>
        <w:t>euro</w:t>
      </w:r>
      <w:proofErr w:type="spellEnd"/>
      <w:r w:rsidRPr="000C1AC0">
        <w:rPr>
          <w:rFonts w:eastAsia="Times New Roman" w:cs="Times New Roman"/>
          <w:sz w:val="24"/>
          <w:szCs w:val="24"/>
          <w:lang w:eastAsia="lv-LV"/>
        </w:rPr>
        <w:t xml:space="preserve">) un 0,5 </w:t>
      </w:r>
      <w:r w:rsidR="003E5E38">
        <w:rPr>
          <w:rFonts w:eastAsia="Times New Roman" w:cs="Times New Roman"/>
          <w:sz w:val="24"/>
          <w:szCs w:val="24"/>
          <w:lang w:eastAsia="lv-LV"/>
        </w:rPr>
        <w:t>procentpunktiem</w:t>
      </w:r>
      <w:r w:rsidRPr="000C1AC0">
        <w:rPr>
          <w:rFonts w:eastAsia="Times New Roman" w:cs="Times New Roman"/>
          <w:sz w:val="24"/>
          <w:szCs w:val="24"/>
          <w:lang w:eastAsia="lv-LV"/>
        </w:rPr>
        <w:t xml:space="preserve"> (273,9 milj. </w:t>
      </w:r>
      <w:proofErr w:type="spellStart"/>
      <w:r w:rsidRPr="000C1AC0">
        <w:rPr>
          <w:rFonts w:eastAsia="Times New Roman" w:cs="Times New Roman"/>
          <w:i/>
          <w:sz w:val="24"/>
          <w:szCs w:val="24"/>
          <w:lang w:eastAsia="lv-LV"/>
        </w:rPr>
        <w:t>euro</w:t>
      </w:r>
      <w:proofErr w:type="spellEnd"/>
      <w:r w:rsidRPr="000C1AC0">
        <w:rPr>
          <w:rFonts w:eastAsia="Times New Roman" w:cs="Times New Roman"/>
          <w:sz w:val="24"/>
          <w:szCs w:val="24"/>
          <w:lang w:eastAsia="lv-LV"/>
        </w:rPr>
        <w:t>) salīdzinājumā ar bāzes scenāriju.</w:t>
      </w:r>
    </w:p>
    <w:p w14:paraId="2BCDDFEC" w14:textId="3EEA3DE9" w:rsidR="006923DF" w:rsidRPr="004576B5" w:rsidRDefault="008F6973" w:rsidP="008F6973">
      <w:pPr>
        <w:pStyle w:val="ListParagraph"/>
        <w:spacing w:before="120" w:after="60"/>
        <w:ind w:left="360" w:firstLine="0"/>
        <w:jc w:val="right"/>
        <w:rPr>
          <w:rFonts w:eastAsia="Times New Roman" w:cs="Times New Roman"/>
          <w:b/>
          <w:i/>
          <w:iCs/>
          <w:sz w:val="24"/>
          <w:szCs w:val="24"/>
        </w:rPr>
      </w:pPr>
      <w:r>
        <w:rPr>
          <w:rFonts w:eastAsia="Times New Roman" w:cs="Times New Roman"/>
          <w:b/>
          <w:i/>
          <w:iCs/>
          <w:sz w:val="24"/>
          <w:szCs w:val="24"/>
        </w:rPr>
        <w:t xml:space="preserve">4.4. </w:t>
      </w:r>
      <w:r w:rsidR="006923DF" w:rsidRPr="004576B5">
        <w:rPr>
          <w:rFonts w:eastAsia="Times New Roman" w:cs="Times New Roman"/>
          <w:b/>
          <w:i/>
          <w:iCs/>
          <w:sz w:val="24"/>
          <w:szCs w:val="24"/>
        </w:rPr>
        <w:t xml:space="preserve">tabula. Optimistiskā scenārija ietekme uz vispārējās valdības budžetu, </w:t>
      </w:r>
      <w:r w:rsidR="006923DF" w:rsidRPr="004576B5">
        <w:rPr>
          <w:rFonts w:eastAsia="Times New Roman" w:cs="Times New Roman"/>
          <w:b/>
          <w:i/>
          <w:iCs/>
          <w:noProof/>
          <w:sz w:val="24"/>
          <w:szCs w:val="24"/>
        </w:rPr>
        <w:t>milj. euro</w:t>
      </w:r>
    </w:p>
    <w:tbl>
      <w:tblPr>
        <w:tblW w:w="9776"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1980"/>
        <w:gridCol w:w="850"/>
        <w:gridCol w:w="850"/>
        <w:gridCol w:w="851"/>
        <w:gridCol w:w="850"/>
        <w:gridCol w:w="851"/>
        <w:gridCol w:w="708"/>
        <w:gridCol w:w="709"/>
        <w:gridCol w:w="709"/>
        <w:gridCol w:w="709"/>
        <w:gridCol w:w="709"/>
      </w:tblGrid>
      <w:tr w:rsidR="006923DF" w:rsidRPr="000C1AC0" w14:paraId="7ACCAD1D" w14:textId="77777777" w:rsidTr="006923DF">
        <w:trPr>
          <w:trHeight w:val="211"/>
          <w:tblHeader/>
          <w:jc w:val="center"/>
        </w:trPr>
        <w:tc>
          <w:tcPr>
            <w:tcW w:w="1980" w:type="dxa"/>
            <w:shd w:val="clear" w:color="auto" w:fill="auto"/>
            <w:vAlign w:val="center"/>
            <w:hideMark/>
          </w:tcPr>
          <w:p w14:paraId="14143661" w14:textId="77777777" w:rsidR="006923DF" w:rsidRPr="000C1AC0" w:rsidRDefault="006923DF" w:rsidP="006923DF">
            <w:pPr>
              <w:ind w:firstLine="0"/>
              <w:jc w:val="left"/>
              <w:rPr>
                <w:rFonts w:eastAsia="Times New Roman" w:cs="Times New Roman"/>
                <w:sz w:val="18"/>
                <w:szCs w:val="18"/>
                <w:lang w:eastAsia="lv-LV"/>
              </w:rPr>
            </w:pPr>
          </w:p>
        </w:tc>
        <w:tc>
          <w:tcPr>
            <w:tcW w:w="4252" w:type="dxa"/>
            <w:gridSpan w:val="5"/>
          </w:tcPr>
          <w:p w14:paraId="6676F250"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Optimistiskais scenārijs</w:t>
            </w:r>
          </w:p>
        </w:tc>
        <w:tc>
          <w:tcPr>
            <w:tcW w:w="3544" w:type="dxa"/>
            <w:gridSpan w:val="5"/>
          </w:tcPr>
          <w:p w14:paraId="7C3AE769"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Novirze no bāzes scenārija</w:t>
            </w:r>
          </w:p>
        </w:tc>
      </w:tr>
      <w:tr w:rsidR="006923DF" w:rsidRPr="000C1AC0" w14:paraId="2D76FDC7" w14:textId="77777777" w:rsidTr="006923DF">
        <w:trPr>
          <w:trHeight w:val="211"/>
          <w:tblHeader/>
          <w:jc w:val="center"/>
        </w:trPr>
        <w:tc>
          <w:tcPr>
            <w:tcW w:w="1980" w:type="dxa"/>
            <w:shd w:val="clear" w:color="auto" w:fill="auto"/>
            <w:vAlign w:val="center"/>
            <w:hideMark/>
          </w:tcPr>
          <w:p w14:paraId="191A290C" w14:textId="77777777" w:rsidR="006923DF" w:rsidRPr="000C1AC0" w:rsidRDefault="006923DF" w:rsidP="006923DF">
            <w:pPr>
              <w:ind w:firstLine="0"/>
              <w:jc w:val="left"/>
              <w:rPr>
                <w:rFonts w:eastAsia="Times New Roman" w:cs="Times New Roman"/>
                <w:sz w:val="18"/>
                <w:szCs w:val="18"/>
                <w:lang w:eastAsia="lv-LV"/>
              </w:rPr>
            </w:pPr>
          </w:p>
        </w:tc>
        <w:tc>
          <w:tcPr>
            <w:tcW w:w="850" w:type="dxa"/>
            <w:shd w:val="clear" w:color="auto" w:fill="auto"/>
            <w:tcMar>
              <w:left w:w="57" w:type="dxa"/>
              <w:right w:w="57" w:type="dxa"/>
            </w:tcMar>
            <w:vAlign w:val="center"/>
          </w:tcPr>
          <w:p w14:paraId="1BA58069"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2024</w:t>
            </w:r>
          </w:p>
        </w:tc>
        <w:tc>
          <w:tcPr>
            <w:tcW w:w="850" w:type="dxa"/>
            <w:shd w:val="clear" w:color="auto" w:fill="auto"/>
            <w:tcMar>
              <w:left w:w="57" w:type="dxa"/>
              <w:right w:w="57" w:type="dxa"/>
            </w:tcMar>
            <w:vAlign w:val="center"/>
          </w:tcPr>
          <w:p w14:paraId="373C07D3"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2025</w:t>
            </w:r>
          </w:p>
        </w:tc>
        <w:tc>
          <w:tcPr>
            <w:tcW w:w="851" w:type="dxa"/>
          </w:tcPr>
          <w:p w14:paraId="1504EEAA"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2026</w:t>
            </w:r>
          </w:p>
        </w:tc>
        <w:tc>
          <w:tcPr>
            <w:tcW w:w="850" w:type="dxa"/>
            <w:tcMar>
              <w:left w:w="57" w:type="dxa"/>
              <w:right w:w="57" w:type="dxa"/>
            </w:tcMar>
            <w:vAlign w:val="center"/>
          </w:tcPr>
          <w:p w14:paraId="7944AE65"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2027</w:t>
            </w:r>
          </w:p>
        </w:tc>
        <w:tc>
          <w:tcPr>
            <w:tcW w:w="851" w:type="dxa"/>
            <w:shd w:val="clear" w:color="auto" w:fill="auto"/>
            <w:tcMar>
              <w:left w:w="57" w:type="dxa"/>
              <w:right w:w="57" w:type="dxa"/>
            </w:tcMar>
            <w:vAlign w:val="center"/>
          </w:tcPr>
          <w:p w14:paraId="5AE35333"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2028</w:t>
            </w:r>
          </w:p>
        </w:tc>
        <w:tc>
          <w:tcPr>
            <w:tcW w:w="708" w:type="dxa"/>
            <w:shd w:val="clear" w:color="auto" w:fill="auto"/>
            <w:tcMar>
              <w:left w:w="57" w:type="dxa"/>
              <w:right w:w="57" w:type="dxa"/>
            </w:tcMar>
            <w:vAlign w:val="center"/>
            <w:hideMark/>
          </w:tcPr>
          <w:p w14:paraId="5DFBA4C4"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2024</w:t>
            </w:r>
          </w:p>
        </w:tc>
        <w:tc>
          <w:tcPr>
            <w:tcW w:w="709" w:type="dxa"/>
            <w:vAlign w:val="center"/>
          </w:tcPr>
          <w:p w14:paraId="19ECD9DC"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2025</w:t>
            </w:r>
          </w:p>
        </w:tc>
        <w:tc>
          <w:tcPr>
            <w:tcW w:w="709" w:type="dxa"/>
            <w:shd w:val="clear" w:color="auto" w:fill="auto"/>
            <w:tcMar>
              <w:left w:w="57" w:type="dxa"/>
              <w:right w:w="57" w:type="dxa"/>
            </w:tcMar>
            <w:hideMark/>
          </w:tcPr>
          <w:p w14:paraId="2E6E7A8E"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2026</w:t>
            </w:r>
          </w:p>
        </w:tc>
        <w:tc>
          <w:tcPr>
            <w:tcW w:w="709" w:type="dxa"/>
            <w:tcMar>
              <w:left w:w="57" w:type="dxa"/>
              <w:right w:w="57" w:type="dxa"/>
            </w:tcMar>
            <w:vAlign w:val="center"/>
          </w:tcPr>
          <w:p w14:paraId="5F6064D0"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2027</w:t>
            </w:r>
          </w:p>
        </w:tc>
        <w:tc>
          <w:tcPr>
            <w:tcW w:w="709" w:type="dxa"/>
            <w:shd w:val="clear" w:color="auto" w:fill="auto"/>
            <w:tcMar>
              <w:left w:w="57" w:type="dxa"/>
              <w:right w:w="57" w:type="dxa"/>
            </w:tcMar>
            <w:vAlign w:val="center"/>
            <w:hideMark/>
          </w:tcPr>
          <w:p w14:paraId="1008677E" w14:textId="77777777" w:rsidR="006923DF" w:rsidRPr="000C1AC0" w:rsidRDefault="006923DF" w:rsidP="006923DF">
            <w:pPr>
              <w:ind w:firstLine="0"/>
              <w:jc w:val="center"/>
              <w:rPr>
                <w:rFonts w:eastAsia="Times New Roman" w:cs="Times New Roman"/>
                <w:b/>
                <w:sz w:val="18"/>
                <w:szCs w:val="18"/>
                <w:lang w:eastAsia="lv-LV"/>
              </w:rPr>
            </w:pPr>
            <w:r w:rsidRPr="000C1AC0">
              <w:rPr>
                <w:rFonts w:eastAsia="Times New Roman" w:cs="Times New Roman"/>
                <w:b/>
                <w:sz w:val="18"/>
                <w:szCs w:val="18"/>
                <w:lang w:eastAsia="lv-LV"/>
              </w:rPr>
              <w:t>2028</w:t>
            </w:r>
          </w:p>
        </w:tc>
      </w:tr>
      <w:tr w:rsidR="006923DF" w:rsidRPr="000C1AC0" w14:paraId="05C9F89F" w14:textId="77777777" w:rsidTr="006923DF">
        <w:trPr>
          <w:trHeight w:val="436"/>
          <w:jc w:val="center"/>
        </w:trPr>
        <w:tc>
          <w:tcPr>
            <w:tcW w:w="1980" w:type="dxa"/>
            <w:shd w:val="clear" w:color="auto" w:fill="DEEAF6"/>
            <w:vAlign w:val="center"/>
          </w:tcPr>
          <w:p w14:paraId="48F28D30" w14:textId="77777777" w:rsidR="006923DF" w:rsidRPr="000C1AC0" w:rsidRDefault="006923DF" w:rsidP="006923DF">
            <w:pPr>
              <w:ind w:firstLine="0"/>
              <w:jc w:val="left"/>
              <w:rPr>
                <w:rFonts w:eastAsia="Times New Roman" w:cs="Times New Roman"/>
                <w:b/>
                <w:sz w:val="18"/>
                <w:szCs w:val="18"/>
                <w:lang w:eastAsia="lv-LV"/>
              </w:rPr>
            </w:pPr>
            <w:r w:rsidRPr="000C1AC0">
              <w:rPr>
                <w:rFonts w:eastAsia="Times New Roman" w:cs="Times New Roman"/>
                <w:b/>
                <w:sz w:val="18"/>
                <w:szCs w:val="18"/>
                <w:lang w:eastAsia="lv-LV"/>
              </w:rPr>
              <w:t>Vispārējās valdības budžeta bilance, % no IKP</w:t>
            </w:r>
          </w:p>
        </w:tc>
        <w:tc>
          <w:tcPr>
            <w:tcW w:w="850" w:type="dxa"/>
            <w:shd w:val="clear" w:color="auto" w:fill="DEEAF6"/>
            <w:tcMar>
              <w:left w:w="57" w:type="dxa"/>
              <w:right w:w="57" w:type="dxa"/>
            </w:tcMar>
            <w:vAlign w:val="center"/>
          </w:tcPr>
          <w:p w14:paraId="1C1F58BC" w14:textId="77777777" w:rsidR="006923DF" w:rsidRPr="000C1AC0" w:rsidRDefault="006923DF" w:rsidP="006923DF">
            <w:pPr>
              <w:spacing w:line="259" w:lineRule="auto"/>
              <w:ind w:right="5" w:firstLine="0"/>
              <w:jc w:val="center"/>
              <w:rPr>
                <w:rFonts w:eastAsia="Times New Roman" w:cs="Times New Roman"/>
                <w:b/>
                <w:bCs/>
                <w:color w:val="FF0000"/>
                <w:sz w:val="18"/>
                <w:szCs w:val="18"/>
              </w:rPr>
            </w:pPr>
            <w:r w:rsidRPr="000C1AC0">
              <w:rPr>
                <w:rFonts w:eastAsia="Times New Roman" w:cs="Times New Roman"/>
                <w:b/>
                <w:bCs/>
                <w:color w:val="000000"/>
                <w:sz w:val="18"/>
                <w:szCs w:val="18"/>
              </w:rPr>
              <w:t>-2,8</w:t>
            </w:r>
          </w:p>
        </w:tc>
        <w:tc>
          <w:tcPr>
            <w:tcW w:w="850" w:type="dxa"/>
            <w:shd w:val="clear" w:color="auto" w:fill="DEEAF6"/>
            <w:tcMar>
              <w:left w:w="57" w:type="dxa"/>
              <w:right w:w="57" w:type="dxa"/>
            </w:tcMar>
            <w:vAlign w:val="center"/>
          </w:tcPr>
          <w:p w14:paraId="799BE628" w14:textId="77777777" w:rsidR="006923DF" w:rsidRPr="000C1AC0" w:rsidRDefault="006923DF" w:rsidP="006923DF">
            <w:pPr>
              <w:spacing w:line="259" w:lineRule="auto"/>
              <w:ind w:right="5" w:firstLine="0"/>
              <w:jc w:val="center"/>
              <w:rPr>
                <w:rFonts w:eastAsia="Times New Roman" w:cs="Times New Roman"/>
                <w:b/>
                <w:bCs/>
                <w:color w:val="FF0000"/>
                <w:sz w:val="18"/>
                <w:szCs w:val="18"/>
              </w:rPr>
            </w:pPr>
            <w:r w:rsidRPr="000C1AC0">
              <w:rPr>
                <w:rFonts w:eastAsia="Times New Roman" w:cs="Times New Roman"/>
                <w:b/>
                <w:bCs/>
                <w:color w:val="000000"/>
                <w:sz w:val="18"/>
                <w:szCs w:val="18"/>
              </w:rPr>
              <w:t>-2,4</w:t>
            </w:r>
          </w:p>
        </w:tc>
        <w:tc>
          <w:tcPr>
            <w:tcW w:w="851" w:type="dxa"/>
            <w:shd w:val="clear" w:color="auto" w:fill="DEEAF6"/>
            <w:vAlign w:val="center"/>
          </w:tcPr>
          <w:p w14:paraId="6CD97FC5" w14:textId="77777777" w:rsidR="006923DF" w:rsidRPr="000C1AC0" w:rsidRDefault="006923DF" w:rsidP="006923DF">
            <w:pPr>
              <w:spacing w:line="259" w:lineRule="auto"/>
              <w:ind w:right="5" w:firstLine="0"/>
              <w:jc w:val="center"/>
              <w:rPr>
                <w:rFonts w:eastAsia="Times New Roman" w:cs="Times New Roman"/>
                <w:b/>
                <w:bCs/>
                <w:color w:val="FF0000"/>
                <w:sz w:val="18"/>
                <w:szCs w:val="18"/>
              </w:rPr>
            </w:pPr>
            <w:r w:rsidRPr="000C1AC0">
              <w:rPr>
                <w:rFonts w:eastAsia="Times New Roman" w:cs="Times New Roman"/>
                <w:b/>
                <w:bCs/>
                <w:color w:val="000000"/>
                <w:sz w:val="18"/>
                <w:szCs w:val="18"/>
              </w:rPr>
              <w:t>-1,8</w:t>
            </w:r>
          </w:p>
        </w:tc>
        <w:tc>
          <w:tcPr>
            <w:tcW w:w="850" w:type="dxa"/>
            <w:shd w:val="clear" w:color="auto" w:fill="DEEAF6"/>
            <w:tcMar>
              <w:left w:w="57" w:type="dxa"/>
              <w:right w:w="57" w:type="dxa"/>
            </w:tcMar>
            <w:vAlign w:val="center"/>
          </w:tcPr>
          <w:p w14:paraId="6F07907D" w14:textId="77777777" w:rsidR="006923DF" w:rsidRPr="000C1AC0" w:rsidRDefault="006923DF" w:rsidP="006923DF">
            <w:pPr>
              <w:spacing w:line="259" w:lineRule="auto"/>
              <w:ind w:right="5" w:firstLine="0"/>
              <w:jc w:val="center"/>
              <w:rPr>
                <w:rFonts w:eastAsia="Times New Roman" w:cs="Times New Roman"/>
                <w:b/>
                <w:bCs/>
                <w:color w:val="FF0000"/>
                <w:sz w:val="18"/>
                <w:szCs w:val="18"/>
              </w:rPr>
            </w:pPr>
            <w:r w:rsidRPr="000C1AC0">
              <w:rPr>
                <w:rFonts w:eastAsia="Times New Roman" w:cs="Times New Roman"/>
                <w:b/>
                <w:bCs/>
                <w:color w:val="000000"/>
                <w:sz w:val="18"/>
                <w:szCs w:val="18"/>
              </w:rPr>
              <w:t>-1,5</w:t>
            </w:r>
          </w:p>
        </w:tc>
        <w:tc>
          <w:tcPr>
            <w:tcW w:w="851" w:type="dxa"/>
            <w:shd w:val="clear" w:color="auto" w:fill="DEEAF6"/>
            <w:tcMar>
              <w:left w:w="57" w:type="dxa"/>
              <w:right w:w="57" w:type="dxa"/>
            </w:tcMar>
            <w:vAlign w:val="center"/>
          </w:tcPr>
          <w:p w14:paraId="103F0938" w14:textId="77777777" w:rsidR="006923DF" w:rsidRPr="000C1AC0" w:rsidRDefault="006923DF" w:rsidP="006923DF">
            <w:pPr>
              <w:spacing w:line="259" w:lineRule="auto"/>
              <w:ind w:right="5" w:firstLine="0"/>
              <w:jc w:val="center"/>
              <w:rPr>
                <w:rFonts w:eastAsia="Times New Roman" w:cs="Times New Roman"/>
                <w:b/>
                <w:bCs/>
                <w:color w:val="FF0000"/>
                <w:sz w:val="18"/>
                <w:szCs w:val="18"/>
              </w:rPr>
            </w:pPr>
            <w:r w:rsidRPr="000C1AC0">
              <w:rPr>
                <w:rFonts w:eastAsia="Times New Roman" w:cs="Times New Roman"/>
                <w:b/>
                <w:bCs/>
                <w:color w:val="000000"/>
                <w:sz w:val="18"/>
                <w:szCs w:val="18"/>
              </w:rPr>
              <w:t>-1,1</w:t>
            </w:r>
          </w:p>
        </w:tc>
        <w:tc>
          <w:tcPr>
            <w:tcW w:w="708" w:type="dxa"/>
            <w:shd w:val="clear" w:color="auto" w:fill="DEEAF6"/>
            <w:tcMar>
              <w:left w:w="57" w:type="dxa"/>
              <w:right w:w="57" w:type="dxa"/>
            </w:tcMar>
            <w:vAlign w:val="center"/>
          </w:tcPr>
          <w:p w14:paraId="5D515BEB" w14:textId="77777777" w:rsidR="006923DF" w:rsidRPr="000C1AC0" w:rsidRDefault="006923DF" w:rsidP="006923DF">
            <w:pPr>
              <w:spacing w:line="259" w:lineRule="auto"/>
              <w:ind w:right="5" w:firstLine="0"/>
              <w:jc w:val="center"/>
              <w:rPr>
                <w:rFonts w:eastAsia="Times New Roman" w:cs="Times New Roman"/>
                <w:b/>
                <w:bCs/>
                <w:color w:val="FF0000"/>
                <w:sz w:val="18"/>
                <w:szCs w:val="18"/>
              </w:rPr>
            </w:pPr>
            <w:r w:rsidRPr="000C1AC0">
              <w:rPr>
                <w:rFonts w:eastAsia="Times New Roman" w:cs="Times New Roman"/>
                <w:b/>
                <w:bCs/>
                <w:color w:val="000000"/>
                <w:sz w:val="18"/>
                <w:szCs w:val="18"/>
              </w:rPr>
              <w:t>0,1</w:t>
            </w:r>
          </w:p>
        </w:tc>
        <w:tc>
          <w:tcPr>
            <w:tcW w:w="709" w:type="dxa"/>
            <w:shd w:val="clear" w:color="auto" w:fill="DEEAF6"/>
            <w:vAlign w:val="center"/>
          </w:tcPr>
          <w:p w14:paraId="15403784" w14:textId="77777777" w:rsidR="006923DF" w:rsidRPr="000C1AC0" w:rsidRDefault="006923DF" w:rsidP="006923DF">
            <w:pPr>
              <w:spacing w:line="259" w:lineRule="auto"/>
              <w:ind w:right="5" w:firstLine="0"/>
              <w:jc w:val="center"/>
              <w:rPr>
                <w:rFonts w:eastAsia="Times New Roman" w:cs="Times New Roman"/>
                <w:b/>
                <w:bCs/>
                <w:color w:val="FF0000"/>
                <w:sz w:val="18"/>
                <w:szCs w:val="18"/>
              </w:rPr>
            </w:pPr>
            <w:r w:rsidRPr="000C1AC0">
              <w:rPr>
                <w:rFonts w:eastAsia="Times New Roman" w:cs="Times New Roman"/>
                <w:b/>
                <w:bCs/>
                <w:color w:val="000000"/>
                <w:sz w:val="18"/>
                <w:szCs w:val="18"/>
              </w:rPr>
              <w:t>0,3</w:t>
            </w:r>
          </w:p>
        </w:tc>
        <w:tc>
          <w:tcPr>
            <w:tcW w:w="709" w:type="dxa"/>
            <w:shd w:val="clear" w:color="auto" w:fill="DEEAF6"/>
            <w:tcMar>
              <w:left w:w="57" w:type="dxa"/>
              <w:right w:w="57" w:type="dxa"/>
            </w:tcMar>
            <w:vAlign w:val="center"/>
          </w:tcPr>
          <w:p w14:paraId="5B9E8111" w14:textId="77777777" w:rsidR="006923DF" w:rsidRPr="000C1AC0" w:rsidRDefault="006923DF" w:rsidP="006923DF">
            <w:pPr>
              <w:spacing w:line="259" w:lineRule="auto"/>
              <w:ind w:right="5" w:firstLine="0"/>
              <w:jc w:val="center"/>
              <w:rPr>
                <w:rFonts w:eastAsia="Times New Roman" w:cs="Times New Roman"/>
                <w:b/>
                <w:bCs/>
                <w:color w:val="FF0000"/>
                <w:sz w:val="18"/>
                <w:szCs w:val="18"/>
              </w:rPr>
            </w:pPr>
            <w:r w:rsidRPr="000C1AC0">
              <w:rPr>
                <w:rFonts w:eastAsia="Times New Roman" w:cs="Times New Roman"/>
                <w:b/>
                <w:bCs/>
                <w:color w:val="000000"/>
                <w:sz w:val="18"/>
                <w:szCs w:val="18"/>
              </w:rPr>
              <w:t>0,4</w:t>
            </w:r>
          </w:p>
        </w:tc>
        <w:tc>
          <w:tcPr>
            <w:tcW w:w="709" w:type="dxa"/>
            <w:shd w:val="clear" w:color="auto" w:fill="DEEAF6"/>
            <w:tcMar>
              <w:left w:w="57" w:type="dxa"/>
              <w:right w:w="57" w:type="dxa"/>
            </w:tcMar>
            <w:vAlign w:val="center"/>
          </w:tcPr>
          <w:p w14:paraId="6ACA5944" w14:textId="77777777" w:rsidR="006923DF" w:rsidRPr="000C1AC0" w:rsidRDefault="006923DF" w:rsidP="006923DF">
            <w:pPr>
              <w:spacing w:line="259" w:lineRule="auto"/>
              <w:ind w:right="5" w:firstLine="0"/>
              <w:jc w:val="center"/>
              <w:rPr>
                <w:rFonts w:eastAsia="Times New Roman" w:cs="Times New Roman"/>
                <w:b/>
                <w:bCs/>
                <w:color w:val="FF0000"/>
                <w:sz w:val="18"/>
                <w:szCs w:val="18"/>
              </w:rPr>
            </w:pPr>
            <w:r w:rsidRPr="000C1AC0">
              <w:rPr>
                <w:rFonts w:eastAsia="Times New Roman" w:cs="Times New Roman"/>
                <w:b/>
                <w:bCs/>
                <w:color w:val="000000"/>
                <w:sz w:val="18"/>
                <w:szCs w:val="18"/>
              </w:rPr>
              <w:t>0,6</w:t>
            </w:r>
          </w:p>
        </w:tc>
        <w:tc>
          <w:tcPr>
            <w:tcW w:w="709" w:type="dxa"/>
            <w:shd w:val="clear" w:color="auto" w:fill="DEEAF6"/>
            <w:tcMar>
              <w:left w:w="57" w:type="dxa"/>
              <w:right w:w="57" w:type="dxa"/>
            </w:tcMar>
            <w:vAlign w:val="center"/>
          </w:tcPr>
          <w:p w14:paraId="6FCF7BB6" w14:textId="77777777" w:rsidR="006923DF" w:rsidRPr="000C1AC0" w:rsidRDefault="006923DF" w:rsidP="006923DF">
            <w:pPr>
              <w:spacing w:line="259" w:lineRule="auto"/>
              <w:ind w:right="5" w:firstLine="0"/>
              <w:jc w:val="center"/>
              <w:rPr>
                <w:rFonts w:eastAsia="Times New Roman" w:cs="Times New Roman"/>
                <w:b/>
                <w:bCs/>
                <w:color w:val="FF0000"/>
                <w:sz w:val="18"/>
                <w:szCs w:val="18"/>
              </w:rPr>
            </w:pPr>
            <w:r w:rsidRPr="000C1AC0">
              <w:rPr>
                <w:rFonts w:eastAsia="Times New Roman" w:cs="Times New Roman"/>
                <w:b/>
                <w:bCs/>
                <w:color w:val="000000"/>
                <w:sz w:val="18"/>
                <w:szCs w:val="18"/>
              </w:rPr>
              <w:t>0,5</w:t>
            </w:r>
          </w:p>
        </w:tc>
      </w:tr>
      <w:tr w:rsidR="006923DF" w:rsidRPr="000C1AC0" w14:paraId="5BEEBA5F" w14:textId="77777777" w:rsidTr="006923DF">
        <w:trPr>
          <w:trHeight w:val="239"/>
          <w:jc w:val="center"/>
        </w:trPr>
        <w:tc>
          <w:tcPr>
            <w:tcW w:w="1980" w:type="dxa"/>
            <w:shd w:val="clear" w:color="auto" w:fill="auto"/>
            <w:vAlign w:val="center"/>
          </w:tcPr>
          <w:p w14:paraId="305396D9" w14:textId="77777777" w:rsidR="006923DF" w:rsidRPr="000C1AC0" w:rsidRDefault="006923DF" w:rsidP="006923DF">
            <w:pPr>
              <w:ind w:firstLine="0"/>
              <w:jc w:val="left"/>
              <w:rPr>
                <w:rFonts w:eastAsia="Times New Roman" w:cs="Times New Roman"/>
                <w:bCs/>
                <w:sz w:val="18"/>
                <w:szCs w:val="18"/>
                <w:lang w:eastAsia="lv-LV"/>
              </w:rPr>
            </w:pPr>
            <w:r w:rsidRPr="000C1AC0">
              <w:rPr>
                <w:rFonts w:eastAsia="Times New Roman" w:cs="Times New Roman"/>
                <w:bCs/>
                <w:sz w:val="18"/>
                <w:szCs w:val="18"/>
                <w:lang w:eastAsia="lv-LV"/>
              </w:rPr>
              <w:t>Vispārējās valdības budžeta bilance</w:t>
            </w:r>
          </w:p>
        </w:tc>
        <w:tc>
          <w:tcPr>
            <w:tcW w:w="850" w:type="dxa"/>
            <w:shd w:val="clear" w:color="auto" w:fill="auto"/>
            <w:tcMar>
              <w:left w:w="57" w:type="dxa"/>
              <w:right w:w="57" w:type="dxa"/>
            </w:tcMar>
            <w:vAlign w:val="center"/>
          </w:tcPr>
          <w:p w14:paraId="11CEC752" w14:textId="77777777" w:rsidR="006923DF" w:rsidRPr="000C1AC0" w:rsidRDefault="006923DF" w:rsidP="006923DF">
            <w:pPr>
              <w:ind w:firstLine="0"/>
              <w:jc w:val="center"/>
              <w:rPr>
                <w:rFonts w:eastAsia="Times New Roman" w:cs="Times New Roman"/>
                <w:color w:val="FF0000"/>
                <w:sz w:val="18"/>
                <w:szCs w:val="18"/>
                <w:lang w:eastAsia="lv-LV"/>
              </w:rPr>
            </w:pPr>
            <w:r w:rsidRPr="000C1AC0">
              <w:rPr>
                <w:rFonts w:eastAsia="Times New Roman" w:cs="Times New Roman"/>
                <w:color w:val="000000"/>
                <w:sz w:val="18"/>
                <w:szCs w:val="18"/>
              </w:rPr>
              <w:t>-1 163,3</w:t>
            </w:r>
          </w:p>
        </w:tc>
        <w:tc>
          <w:tcPr>
            <w:tcW w:w="850" w:type="dxa"/>
            <w:shd w:val="clear" w:color="auto" w:fill="auto"/>
            <w:tcMar>
              <w:left w:w="57" w:type="dxa"/>
              <w:right w:w="57" w:type="dxa"/>
            </w:tcMar>
            <w:vAlign w:val="center"/>
          </w:tcPr>
          <w:p w14:paraId="44C14904" w14:textId="77777777" w:rsidR="006923DF" w:rsidRPr="000C1AC0" w:rsidRDefault="006923DF" w:rsidP="006923DF">
            <w:pPr>
              <w:ind w:firstLine="0"/>
              <w:jc w:val="center"/>
              <w:rPr>
                <w:rFonts w:eastAsia="Times New Roman" w:cs="Times New Roman"/>
                <w:color w:val="FF0000"/>
                <w:sz w:val="18"/>
                <w:szCs w:val="18"/>
                <w:lang w:eastAsia="lv-LV"/>
              </w:rPr>
            </w:pPr>
            <w:r w:rsidRPr="000C1AC0">
              <w:rPr>
                <w:rFonts w:eastAsia="Times New Roman" w:cs="Times New Roman"/>
                <w:color w:val="000000"/>
                <w:sz w:val="18"/>
                <w:szCs w:val="18"/>
              </w:rPr>
              <w:t>-1 090,2</w:t>
            </w:r>
          </w:p>
        </w:tc>
        <w:tc>
          <w:tcPr>
            <w:tcW w:w="851" w:type="dxa"/>
            <w:vAlign w:val="center"/>
          </w:tcPr>
          <w:p w14:paraId="461AE915" w14:textId="77777777" w:rsidR="006923DF" w:rsidRPr="000C1AC0" w:rsidRDefault="006923DF" w:rsidP="006923DF">
            <w:pPr>
              <w:ind w:firstLine="0"/>
              <w:jc w:val="center"/>
              <w:rPr>
                <w:rFonts w:eastAsia="Times New Roman" w:cs="Times New Roman"/>
                <w:color w:val="FF0000"/>
                <w:sz w:val="18"/>
                <w:szCs w:val="18"/>
              </w:rPr>
            </w:pPr>
            <w:r w:rsidRPr="000C1AC0">
              <w:rPr>
                <w:rFonts w:eastAsia="Times New Roman" w:cs="Times New Roman"/>
                <w:color w:val="000000"/>
                <w:sz w:val="18"/>
                <w:szCs w:val="18"/>
              </w:rPr>
              <w:t>-843,6</w:t>
            </w:r>
          </w:p>
        </w:tc>
        <w:tc>
          <w:tcPr>
            <w:tcW w:w="850" w:type="dxa"/>
            <w:tcMar>
              <w:left w:w="57" w:type="dxa"/>
              <w:right w:w="57" w:type="dxa"/>
            </w:tcMar>
            <w:vAlign w:val="center"/>
          </w:tcPr>
          <w:p w14:paraId="116CA12D" w14:textId="77777777" w:rsidR="006923DF" w:rsidRPr="000C1AC0" w:rsidRDefault="006923DF" w:rsidP="006923DF">
            <w:pPr>
              <w:ind w:firstLine="0"/>
              <w:jc w:val="center"/>
              <w:rPr>
                <w:rFonts w:eastAsia="Times New Roman" w:cs="Times New Roman"/>
                <w:color w:val="FF0000"/>
                <w:sz w:val="18"/>
                <w:szCs w:val="18"/>
                <w:lang w:eastAsia="lv-LV"/>
              </w:rPr>
            </w:pPr>
            <w:r w:rsidRPr="000C1AC0">
              <w:rPr>
                <w:rFonts w:eastAsia="Times New Roman" w:cs="Times New Roman"/>
                <w:color w:val="000000"/>
                <w:sz w:val="18"/>
                <w:szCs w:val="18"/>
              </w:rPr>
              <w:t>-736,5</w:t>
            </w:r>
          </w:p>
        </w:tc>
        <w:tc>
          <w:tcPr>
            <w:tcW w:w="851" w:type="dxa"/>
            <w:shd w:val="clear" w:color="auto" w:fill="auto"/>
            <w:tcMar>
              <w:left w:w="57" w:type="dxa"/>
              <w:right w:w="57" w:type="dxa"/>
            </w:tcMar>
            <w:vAlign w:val="center"/>
          </w:tcPr>
          <w:p w14:paraId="0F6FE6F6" w14:textId="77777777" w:rsidR="006923DF" w:rsidRPr="000C1AC0" w:rsidRDefault="006923DF" w:rsidP="006923DF">
            <w:pPr>
              <w:ind w:firstLine="0"/>
              <w:jc w:val="center"/>
              <w:rPr>
                <w:rFonts w:eastAsia="Times New Roman" w:cs="Times New Roman"/>
                <w:color w:val="FF0000"/>
                <w:sz w:val="18"/>
                <w:szCs w:val="18"/>
                <w:lang w:eastAsia="lv-LV"/>
              </w:rPr>
            </w:pPr>
            <w:r w:rsidRPr="000C1AC0">
              <w:rPr>
                <w:rFonts w:eastAsia="Times New Roman" w:cs="Times New Roman"/>
                <w:color w:val="000000"/>
                <w:sz w:val="18"/>
                <w:szCs w:val="18"/>
              </w:rPr>
              <w:t>-604,7</w:t>
            </w:r>
          </w:p>
        </w:tc>
        <w:tc>
          <w:tcPr>
            <w:tcW w:w="708" w:type="dxa"/>
            <w:shd w:val="clear" w:color="auto" w:fill="auto"/>
            <w:tcMar>
              <w:left w:w="57" w:type="dxa"/>
              <w:right w:w="57" w:type="dxa"/>
            </w:tcMar>
            <w:vAlign w:val="center"/>
          </w:tcPr>
          <w:p w14:paraId="52FC13E7" w14:textId="77777777" w:rsidR="006923DF" w:rsidRPr="000C1AC0" w:rsidRDefault="006923DF" w:rsidP="006923DF">
            <w:pPr>
              <w:ind w:firstLine="0"/>
              <w:jc w:val="center"/>
              <w:rPr>
                <w:rFonts w:eastAsia="Times New Roman" w:cs="Times New Roman"/>
                <w:color w:val="FF0000"/>
                <w:sz w:val="18"/>
                <w:szCs w:val="18"/>
                <w:lang w:eastAsia="lv-LV"/>
              </w:rPr>
            </w:pPr>
            <w:r w:rsidRPr="000C1AC0">
              <w:rPr>
                <w:rFonts w:eastAsia="Times New Roman" w:cs="Times New Roman"/>
                <w:color w:val="000000"/>
                <w:sz w:val="18"/>
                <w:szCs w:val="18"/>
              </w:rPr>
              <w:t>49,8</w:t>
            </w:r>
          </w:p>
        </w:tc>
        <w:tc>
          <w:tcPr>
            <w:tcW w:w="709" w:type="dxa"/>
            <w:vAlign w:val="center"/>
          </w:tcPr>
          <w:p w14:paraId="2B946906" w14:textId="77777777" w:rsidR="006923DF" w:rsidRPr="000C1AC0" w:rsidRDefault="006923DF" w:rsidP="006923DF">
            <w:pPr>
              <w:spacing w:line="259" w:lineRule="auto"/>
              <w:ind w:firstLine="0"/>
              <w:jc w:val="center"/>
              <w:rPr>
                <w:rFonts w:eastAsia="Times New Roman" w:cs="Times New Roman"/>
                <w:color w:val="FF0000"/>
                <w:sz w:val="18"/>
                <w:szCs w:val="18"/>
              </w:rPr>
            </w:pPr>
            <w:r w:rsidRPr="000C1AC0">
              <w:rPr>
                <w:rFonts w:eastAsia="Times New Roman" w:cs="Times New Roman"/>
                <w:color w:val="000000"/>
                <w:sz w:val="18"/>
                <w:szCs w:val="18"/>
              </w:rPr>
              <w:t>129,2</w:t>
            </w:r>
          </w:p>
        </w:tc>
        <w:tc>
          <w:tcPr>
            <w:tcW w:w="709" w:type="dxa"/>
            <w:shd w:val="clear" w:color="auto" w:fill="auto"/>
            <w:tcMar>
              <w:left w:w="57" w:type="dxa"/>
              <w:right w:w="57" w:type="dxa"/>
            </w:tcMar>
            <w:vAlign w:val="center"/>
          </w:tcPr>
          <w:p w14:paraId="778DD86D" w14:textId="77777777" w:rsidR="006923DF" w:rsidRPr="000C1AC0" w:rsidRDefault="006923DF" w:rsidP="006923DF">
            <w:pPr>
              <w:spacing w:line="259" w:lineRule="auto"/>
              <w:ind w:firstLine="0"/>
              <w:jc w:val="center"/>
              <w:rPr>
                <w:rFonts w:eastAsia="Times New Roman" w:cs="Times New Roman"/>
                <w:color w:val="FF0000"/>
                <w:sz w:val="18"/>
                <w:szCs w:val="18"/>
                <w:lang w:eastAsia="lv-LV"/>
              </w:rPr>
            </w:pPr>
            <w:r w:rsidRPr="000C1AC0">
              <w:rPr>
                <w:rFonts w:eastAsia="Times New Roman" w:cs="Times New Roman"/>
                <w:color w:val="000000"/>
                <w:sz w:val="18"/>
                <w:szCs w:val="18"/>
              </w:rPr>
              <w:t>191,6</w:t>
            </w:r>
          </w:p>
        </w:tc>
        <w:tc>
          <w:tcPr>
            <w:tcW w:w="709" w:type="dxa"/>
            <w:tcMar>
              <w:left w:w="57" w:type="dxa"/>
              <w:right w:w="57" w:type="dxa"/>
            </w:tcMar>
            <w:vAlign w:val="center"/>
          </w:tcPr>
          <w:p w14:paraId="17B4D838" w14:textId="77777777" w:rsidR="006923DF" w:rsidRPr="000C1AC0" w:rsidRDefault="006923DF" w:rsidP="006923DF">
            <w:pPr>
              <w:spacing w:line="259" w:lineRule="auto"/>
              <w:ind w:firstLine="0"/>
              <w:jc w:val="center"/>
              <w:rPr>
                <w:rFonts w:eastAsia="Times New Roman" w:cs="Times New Roman"/>
                <w:color w:val="FF0000"/>
                <w:sz w:val="18"/>
                <w:szCs w:val="18"/>
                <w:lang w:eastAsia="lv-LV"/>
              </w:rPr>
            </w:pPr>
            <w:r w:rsidRPr="000C1AC0">
              <w:rPr>
                <w:rFonts w:eastAsia="Times New Roman" w:cs="Times New Roman"/>
                <w:color w:val="000000"/>
                <w:sz w:val="18"/>
                <w:szCs w:val="18"/>
              </w:rPr>
              <w:t>269,5</w:t>
            </w:r>
          </w:p>
        </w:tc>
        <w:tc>
          <w:tcPr>
            <w:tcW w:w="709" w:type="dxa"/>
            <w:shd w:val="clear" w:color="auto" w:fill="auto"/>
            <w:tcMar>
              <w:left w:w="57" w:type="dxa"/>
              <w:right w:w="57" w:type="dxa"/>
            </w:tcMar>
            <w:vAlign w:val="center"/>
          </w:tcPr>
          <w:p w14:paraId="0FD79152" w14:textId="77777777" w:rsidR="006923DF" w:rsidRPr="000C1AC0" w:rsidRDefault="006923DF" w:rsidP="006923DF">
            <w:pPr>
              <w:spacing w:line="259" w:lineRule="auto"/>
              <w:ind w:firstLine="0"/>
              <w:jc w:val="center"/>
              <w:rPr>
                <w:rFonts w:eastAsia="Times New Roman" w:cs="Times New Roman"/>
                <w:color w:val="FF0000"/>
                <w:sz w:val="18"/>
                <w:szCs w:val="18"/>
                <w:lang w:eastAsia="lv-LV"/>
              </w:rPr>
            </w:pPr>
            <w:r w:rsidRPr="000C1AC0">
              <w:rPr>
                <w:rFonts w:eastAsia="Times New Roman" w:cs="Times New Roman"/>
                <w:color w:val="000000"/>
                <w:sz w:val="18"/>
                <w:szCs w:val="18"/>
              </w:rPr>
              <w:t>273,9</w:t>
            </w:r>
          </w:p>
        </w:tc>
      </w:tr>
      <w:tr w:rsidR="006923DF" w:rsidRPr="000C1AC0" w14:paraId="7BEC6911" w14:textId="77777777" w:rsidTr="006923DF">
        <w:trPr>
          <w:trHeight w:val="225"/>
          <w:jc w:val="center"/>
        </w:trPr>
        <w:tc>
          <w:tcPr>
            <w:tcW w:w="1980" w:type="dxa"/>
            <w:shd w:val="clear" w:color="auto" w:fill="DEEAF6"/>
            <w:vAlign w:val="center"/>
          </w:tcPr>
          <w:p w14:paraId="7070C891" w14:textId="77777777" w:rsidR="006923DF" w:rsidRPr="000C1AC0" w:rsidRDefault="006923DF" w:rsidP="006923DF">
            <w:pPr>
              <w:ind w:left="166" w:firstLine="0"/>
              <w:jc w:val="left"/>
              <w:rPr>
                <w:rFonts w:eastAsia="Times New Roman" w:cs="Times New Roman"/>
                <w:bCs/>
                <w:sz w:val="18"/>
                <w:szCs w:val="18"/>
                <w:lang w:eastAsia="lv-LV"/>
              </w:rPr>
            </w:pPr>
            <w:r w:rsidRPr="000C1AC0">
              <w:rPr>
                <w:rFonts w:eastAsia="Times New Roman" w:cs="Times New Roman"/>
                <w:bCs/>
                <w:sz w:val="18"/>
                <w:szCs w:val="18"/>
                <w:lang w:eastAsia="lv-LV"/>
              </w:rPr>
              <w:t>Nodokļu ieņēmumi</w:t>
            </w:r>
          </w:p>
        </w:tc>
        <w:tc>
          <w:tcPr>
            <w:tcW w:w="850" w:type="dxa"/>
            <w:shd w:val="clear" w:color="auto" w:fill="DEEAF6"/>
            <w:tcMar>
              <w:left w:w="57" w:type="dxa"/>
              <w:right w:w="57" w:type="dxa"/>
            </w:tcMar>
            <w:vAlign w:val="center"/>
          </w:tcPr>
          <w:p w14:paraId="31CB5EC2"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13 670,0</w:t>
            </w:r>
          </w:p>
        </w:tc>
        <w:tc>
          <w:tcPr>
            <w:tcW w:w="850" w:type="dxa"/>
            <w:shd w:val="clear" w:color="auto" w:fill="DEEAF6"/>
            <w:tcMar>
              <w:left w:w="57" w:type="dxa"/>
              <w:right w:w="57" w:type="dxa"/>
            </w:tcMar>
            <w:vAlign w:val="center"/>
          </w:tcPr>
          <w:p w14:paraId="61FF0A85"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14 617,7</w:t>
            </w:r>
          </w:p>
        </w:tc>
        <w:tc>
          <w:tcPr>
            <w:tcW w:w="851" w:type="dxa"/>
            <w:shd w:val="clear" w:color="auto" w:fill="DEEAF6"/>
            <w:vAlign w:val="center"/>
          </w:tcPr>
          <w:p w14:paraId="10438C8D"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15 481,5</w:t>
            </w:r>
          </w:p>
        </w:tc>
        <w:tc>
          <w:tcPr>
            <w:tcW w:w="850" w:type="dxa"/>
            <w:shd w:val="clear" w:color="auto" w:fill="DEEAF6"/>
            <w:tcMar>
              <w:left w:w="57" w:type="dxa"/>
              <w:right w:w="57" w:type="dxa"/>
            </w:tcMar>
            <w:vAlign w:val="center"/>
          </w:tcPr>
          <w:p w14:paraId="0A73B6D9"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16 274,2</w:t>
            </w:r>
          </w:p>
        </w:tc>
        <w:tc>
          <w:tcPr>
            <w:tcW w:w="851" w:type="dxa"/>
            <w:shd w:val="clear" w:color="auto" w:fill="DEEAF6"/>
            <w:tcMar>
              <w:left w:w="57" w:type="dxa"/>
              <w:right w:w="57" w:type="dxa"/>
            </w:tcMar>
            <w:vAlign w:val="center"/>
          </w:tcPr>
          <w:p w14:paraId="143A4A19"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17 002,9</w:t>
            </w:r>
          </w:p>
        </w:tc>
        <w:tc>
          <w:tcPr>
            <w:tcW w:w="708" w:type="dxa"/>
            <w:shd w:val="clear" w:color="auto" w:fill="DEEAF6"/>
            <w:tcMar>
              <w:left w:w="57" w:type="dxa"/>
              <w:right w:w="57" w:type="dxa"/>
            </w:tcMar>
            <w:vAlign w:val="center"/>
          </w:tcPr>
          <w:p w14:paraId="1B395B74"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50,9</w:t>
            </w:r>
          </w:p>
        </w:tc>
        <w:tc>
          <w:tcPr>
            <w:tcW w:w="709" w:type="dxa"/>
            <w:shd w:val="clear" w:color="auto" w:fill="DEEAF6"/>
            <w:vAlign w:val="center"/>
          </w:tcPr>
          <w:p w14:paraId="027637BA"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135,0</w:t>
            </w:r>
          </w:p>
        </w:tc>
        <w:tc>
          <w:tcPr>
            <w:tcW w:w="709" w:type="dxa"/>
            <w:shd w:val="clear" w:color="auto" w:fill="DEEAF6"/>
            <w:tcMar>
              <w:left w:w="57" w:type="dxa"/>
              <w:right w:w="57" w:type="dxa"/>
            </w:tcMar>
            <w:vAlign w:val="center"/>
          </w:tcPr>
          <w:p w14:paraId="0C449218"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211,0</w:t>
            </w:r>
          </w:p>
        </w:tc>
        <w:tc>
          <w:tcPr>
            <w:tcW w:w="709" w:type="dxa"/>
            <w:shd w:val="clear" w:color="auto" w:fill="DEEAF6"/>
            <w:tcMar>
              <w:left w:w="57" w:type="dxa"/>
              <w:right w:w="57" w:type="dxa"/>
            </w:tcMar>
            <w:vAlign w:val="center"/>
          </w:tcPr>
          <w:p w14:paraId="3DA56D0D"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306,1</w:t>
            </w:r>
          </w:p>
        </w:tc>
        <w:tc>
          <w:tcPr>
            <w:tcW w:w="709" w:type="dxa"/>
            <w:shd w:val="clear" w:color="auto" w:fill="DEEAF6"/>
            <w:tcMar>
              <w:left w:w="57" w:type="dxa"/>
              <w:right w:w="57" w:type="dxa"/>
            </w:tcMar>
            <w:vAlign w:val="center"/>
          </w:tcPr>
          <w:p w14:paraId="0E555D63"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328,6</w:t>
            </w:r>
          </w:p>
        </w:tc>
      </w:tr>
      <w:tr w:rsidR="006923DF" w:rsidRPr="000C1AC0" w14:paraId="363AB876" w14:textId="77777777" w:rsidTr="006923DF">
        <w:trPr>
          <w:trHeight w:val="225"/>
          <w:jc w:val="center"/>
        </w:trPr>
        <w:tc>
          <w:tcPr>
            <w:tcW w:w="1980" w:type="dxa"/>
            <w:shd w:val="clear" w:color="auto" w:fill="auto"/>
          </w:tcPr>
          <w:p w14:paraId="3787A3AB" w14:textId="77777777" w:rsidR="006923DF" w:rsidRPr="000C1AC0" w:rsidRDefault="006923DF" w:rsidP="006923DF">
            <w:pPr>
              <w:spacing w:line="259" w:lineRule="auto"/>
              <w:ind w:left="283" w:firstLine="0"/>
              <w:jc w:val="left"/>
              <w:rPr>
                <w:rFonts w:eastAsia="Times New Roman" w:cs="Times New Roman"/>
                <w:bCs/>
                <w:i/>
                <w:sz w:val="18"/>
                <w:szCs w:val="18"/>
              </w:rPr>
            </w:pPr>
            <w:r w:rsidRPr="000C1AC0">
              <w:rPr>
                <w:rFonts w:eastAsia="Times New Roman" w:cs="Times New Roman"/>
                <w:bCs/>
                <w:i/>
                <w:sz w:val="18"/>
                <w:szCs w:val="18"/>
              </w:rPr>
              <w:t>Iedzīvotāju ienākuma nodoklis</w:t>
            </w:r>
          </w:p>
        </w:tc>
        <w:tc>
          <w:tcPr>
            <w:tcW w:w="850" w:type="dxa"/>
            <w:shd w:val="clear" w:color="auto" w:fill="auto"/>
            <w:tcMar>
              <w:left w:w="57" w:type="dxa"/>
              <w:right w:w="57" w:type="dxa"/>
            </w:tcMar>
            <w:vAlign w:val="center"/>
          </w:tcPr>
          <w:p w14:paraId="699E9F93"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2 729,0</w:t>
            </w:r>
          </w:p>
        </w:tc>
        <w:tc>
          <w:tcPr>
            <w:tcW w:w="850" w:type="dxa"/>
            <w:shd w:val="clear" w:color="auto" w:fill="auto"/>
            <w:tcMar>
              <w:left w:w="57" w:type="dxa"/>
              <w:right w:w="57" w:type="dxa"/>
            </w:tcMar>
            <w:vAlign w:val="center"/>
          </w:tcPr>
          <w:p w14:paraId="055CBD0C"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2 936,7</w:t>
            </w:r>
          </w:p>
        </w:tc>
        <w:tc>
          <w:tcPr>
            <w:tcW w:w="851" w:type="dxa"/>
            <w:vAlign w:val="center"/>
          </w:tcPr>
          <w:p w14:paraId="51CD2563"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3 156,4</w:t>
            </w:r>
          </w:p>
        </w:tc>
        <w:tc>
          <w:tcPr>
            <w:tcW w:w="850" w:type="dxa"/>
            <w:tcMar>
              <w:left w:w="57" w:type="dxa"/>
              <w:right w:w="57" w:type="dxa"/>
            </w:tcMar>
            <w:vAlign w:val="center"/>
          </w:tcPr>
          <w:p w14:paraId="4620315D"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3 356,4</w:t>
            </w:r>
          </w:p>
        </w:tc>
        <w:tc>
          <w:tcPr>
            <w:tcW w:w="851" w:type="dxa"/>
            <w:shd w:val="clear" w:color="auto" w:fill="auto"/>
            <w:tcMar>
              <w:left w:w="57" w:type="dxa"/>
              <w:right w:w="57" w:type="dxa"/>
            </w:tcMar>
            <w:vAlign w:val="center"/>
          </w:tcPr>
          <w:p w14:paraId="5C1293ED"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3 538,7</w:t>
            </w:r>
          </w:p>
        </w:tc>
        <w:tc>
          <w:tcPr>
            <w:tcW w:w="708" w:type="dxa"/>
            <w:shd w:val="clear" w:color="auto" w:fill="auto"/>
            <w:tcMar>
              <w:left w:w="57" w:type="dxa"/>
              <w:right w:w="57" w:type="dxa"/>
            </w:tcMar>
            <w:vAlign w:val="center"/>
          </w:tcPr>
          <w:p w14:paraId="4FC1CE74"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14,0</w:t>
            </w:r>
          </w:p>
        </w:tc>
        <w:tc>
          <w:tcPr>
            <w:tcW w:w="709" w:type="dxa"/>
            <w:vAlign w:val="center"/>
          </w:tcPr>
          <w:p w14:paraId="591A0C6F"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31,7</w:t>
            </w:r>
          </w:p>
        </w:tc>
        <w:tc>
          <w:tcPr>
            <w:tcW w:w="709" w:type="dxa"/>
            <w:shd w:val="clear" w:color="auto" w:fill="auto"/>
            <w:tcMar>
              <w:left w:w="57" w:type="dxa"/>
              <w:right w:w="57" w:type="dxa"/>
            </w:tcMar>
            <w:vAlign w:val="center"/>
          </w:tcPr>
          <w:p w14:paraId="575BE56D"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51,4</w:t>
            </w:r>
          </w:p>
        </w:tc>
        <w:tc>
          <w:tcPr>
            <w:tcW w:w="709" w:type="dxa"/>
            <w:tcMar>
              <w:left w:w="57" w:type="dxa"/>
              <w:right w:w="57" w:type="dxa"/>
            </w:tcMar>
            <w:vAlign w:val="center"/>
          </w:tcPr>
          <w:p w14:paraId="7B7D5E09"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86,4</w:t>
            </w:r>
          </w:p>
        </w:tc>
        <w:tc>
          <w:tcPr>
            <w:tcW w:w="709" w:type="dxa"/>
            <w:shd w:val="clear" w:color="auto" w:fill="auto"/>
            <w:tcMar>
              <w:left w:w="57" w:type="dxa"/>
              <w:right w:w="57" w:type="dxa"/>
            </w:tcMar>
            <w:vAlign w:val="center"/>
          </w:tcPr>
          <w:p w14:paraId="138D7E80"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93,7</w:t>
            </w:r>
          </w:p>
        </w:tc>
      </w:tr>
      <w:tr w:rsidR="006923DF" w:rsidRPr="000C1AC0" w14:paraId="28889946" w14:textId="77777777" w:rsidTr="006923DF">
        <w:trPr>
          <w:trHeight w:val="239"/>
          <w:jc w:val="center"/>
        </w:trPr>
        <w:tc>
          <w:tcPr>
            <w:tcW w:w="1980" w:type="dxa"/>
            <w:shd w:val="clear" w:color="auto" w:fill="DEEAF6"/>
          </w:tcPr>
          <w:p w14:paraId="05C3570B" w14:textId="77777777" w:rsidR="006923DF" w:rsidRPr="000C1AC0" w:rsidRDefault="006923DF" w:rsidP="006923DF">
            <w:pPr>
              <w:spacing w:line="259" w:lineRule="auto"/>
              <w:ind w:left="283" w:firstLine="0"/>
              <w:jc w:val="left"/>
              <w:rPr>
                <w:rFonts w:eastAsia="Times New Roman" w:cs="Times New Roman"/>
                <w:bCs/>
                <w:i/>
                <w:sz w:val="18"/>
                <w:szCs w:val="18"/>
              </w:rPr>
            </w:pPr>
            <w:r w:rsidRPr="000C1AC0">
              <w:rPr>
                <w:rFonts w:eastAsia="Times New Roman" w:cs="Times New Roman"/>
                <w:bCs/>
                <w:i/>
                <w:sz w:val="18"/>
                <w:szCs w:val="18"/>
              </w:rPr>
              <w:t>Uzņēmuma ienākuma nodoklis</w:t>
            </w:r>
          </w:p>
        </w:tc>
        <w:tc>
          <w:tcPr>
            <w:tcW w:w="850" w:type="dxa"/>
            <w:shd w:val="clear" w:color="auto" w:fill="DEEAF6"/>
            <w:tcMar>
              <w:left w:w="57" w:type="dxa"/>
              <w:right w:w="57" w:type="dxa"/>
            </w:tcMar>
            <w:vAlign w:val="center"/>
          </w:tcPr>
          <w:p w14:paraId="31EF021C"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701,6</w:t>
            </w:r>
          </w:p>
        </w:tc>
        <w:tc>
          <w:tcPr>
            <w:tcW w:w="850" w:type="dxa"/>
            <w:shd w:val="clear" w:color="auto" w:fill="DEEAF6"/>
            <w:tcMar>
              <w:left w:w="57" w:type="dxa"/>
              <w:right w:w="57" w:type="dxa"/>
            </w:tcMar>
            <w:vAlign w:val="center"/>
          </w:tcPr>
          <w:p w14:paraId="3930C018"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685,5</w:t>
            </w:r>
          </w:p>
        </w:tc>
        <w:tc>
          <w:tcPr>
            <w:tcW w:w="851" w:type="dxa"/>
            <w:shd w:val="clear" w:color="auto" w:fill="DEEAF6"/>
            <w:vAlign w:val="center"/>
          </w:tcPr>
          <w:p w14:paraId="1E461CFB"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697,9</w:t>
            </w:r>
          </w:p>
        </w:tc>
        <w:tc>
          <w:tcPr>
            <w:tcW w:w="850" w:type="dxa"/>
            <w:shd w:val="clear" w:color="auto" w:fill="DEEAF6"/>
            <w:tcMar>
              <w:left w:w="57" w:type="dxa"/>
              <w:right w:w="57" w:type="dxa"/>
            </w:tcMar>
            <w:vAlign w:val="center"/>
          </w:tcPr>
          <w:p w14:paraId="02D28EDF"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708,1</w:t>
            </w:r>
          </w:p>
        </w:tc>
        <w:tc>
          <w:tcPr>
            <w:tcW w:w="851" w:type="dxa"/>
            <w:shd w:val="clear" w:color="auto" w:fill="DEEAF6"/>
            <w:tcMar>
              <w:left w:w="57" w:type="dxa"/>
              <w:right w:w="57" w:type="dxa"/>
            </w:tcMar>
            <w:vAlign w:val="center"/>
          </w:tcPr>
          <w:p w14:paraId="62BFB1A3"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718,3</w:t>
            </w:r>
          </w:p>
        </w:tc>
        <w:tc>
          <w:tcPr>
            <w:tcW w:w="708" w:type="dxa"/>
            <w:shd w:val="clear" w:color="auto" w:fill="DEEAF6"/>
            <w:tcMar>
              <w:left w:w="57" w:type="dxa"/>
              <w:right w:w="57" w:type="dxa"/>
            </w:tcMar>
            <w:vAlign w:val="center"/>
          </w:tcPr>
          <w:p w14:paraId="6F0EB5FF"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1,6</w:t>
            </w:r>
          </w:p>
        </w:tc>
        <w:tc>
          <w:tcPr>
            <w:tcW w:w="709" w:type="dxa"/>
            <w:shd w:val="clear" w:color="auto" w:fill="DEEAF6"/>
            <w:vAlign w:val="center"/>
          </w:tcPr>
          <w:p w14:paraId="2268EB2E"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5,5</w:t>
            </w:r>
          </w:p>
        </w:tc>
        <w:tc>
          <w:tcPr>
            <w:tcW w:w="709" w:type="dxa"/>
            <w:shd w:val="clear" w:color="auto" w:fill="DEEAF6"/>
            <w:tcMar>
              <w:left w:w="57" w:type="dxa"/>
              <w:right w:w="57" w:type="dxa"/>
            </w:tcMar>
            <w:vAlign w:val="center"/>
          </w:tcPr>
          <w:p w14:paraId="2E12FAC9"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7,9</w:t>
            </w:r>
          </w:p>
        </w:tc>
        <w:tc>
          <w:tcPr>
            <w:tcW w:w="709" w:type="dxa"/>
            <w:shd w:val="clear" w:color="auto" w:fill="DEEAF6"/>
            <w:tcMar>
              <w:left w:w="57" w:type="dxa"/>
              <w:right w:w="57" w:type="dxa"/>
            </w:tcMar>
            <w:vAlign w:val="center"/>
          </w:tcPr>
          <w:p w14:paraId="292BB7E7"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8,1</w:t>
            </w:r>
          </w:p>
        </w:tc>
        <w:tc>
          <w:tcPr>
            <w:tcW w:w="709" w:type="dxa"/>
            <w:shd w:val="clear" w:color="auto" w:fill="DEEAF6"/>
            <w:tcMar>
              <w:left w:w="57" w:type="dxa"/>
              <w:right w:w="57" w:type="dxa"/>
            </w:tcMar>
            <w:vAlign w:val="center"/>
          </w:tcPr>
          <w:p w14:paraId="0D3AEC51"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8,3</w:t>
            </w:r>
          </w:p>
        </w:tc>
      </w:tr>
      <w:tr w:rsidR="006923DF" w:rsidRPr="000C1AC0" w14:paraId="5C3AFEC2" w14:textId="77777777" w:rsidTr="006923DF">
        <w:trPr>
          <w:trHeight w:val="225"/>
          <w:jc w:val="center"/>
        </w:trPr>
        <w:tc>
          <w:tcPr>
            <w:tcW w:w="1980" w:type="dxa"/>
            <w:shd w:val="clear" w:color="auto" w:fill="auto"/>
          </w:tcPr>
          <w:p w14:paraId="1B6CCE9A" w14:textId="77777777" w:rsidR="006923DF" w:rsidRPr="000C1AC0" w:rsidRDefault="006923DF" w:rsidP="006923DF">
            <w:pPr>
              <w:spacing w:line="259" w:lineRule="auto"/>
              <w:ind w:left="283" w:firstLine="0"/>
              <w:jc w:val="left"/>
              <w:rPr>
                <w:rFonts w:eastAsia="Times New Roman" w:cs="Times New Roman"/>
                <w:bCs/>
                <w:i/>
                <w:sz w:val="18"/>
                <w:szCs w:val="18"/>
              </w:rPr>
            </w:pPr>
            <w:r w:rsidRPr="000C1AC0">
              <w:rPr>
                <w:rFonts w:eastAsia="Times New Roman" w:cs="Times New Roman"/>
                <w:bCs/>
                <w:i/>
                <w:sz w:val="18"/>
                <w:szCs w:val="18"/>
              </w:rPr>
              <w:t>PVN</w:t>
            </w:r>
          </w:p>
        </w:tc>
        <w:tc>
          <w:tcPr>
            <w:tcW w:w="850" w:type="dxa"/>
            <w:shd w:val="clear" w:color="auto" w:fill="auto"/>
            <w:tcMar>
              <w:left w:w="57" w:type="dxa"/>
              <w:right w:w="57" w:type="dxa"/>
            </w:tcMar>
            <w:vAlign w:val="center"/>
          </w:tcPr>
          <w:p w14:paraId="383E97F4"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3 999,3</w:t>
            </w:r>
          </w:p>
        </w:tc>
        <w:tc>
          <w:tcPr>
            <w:tcW w:w="850" w:type="dxa"/>
            <w:shd w:val="clear" w:color="auto" w:fill="auto"/>
            <w:tcMar>
              <w:left w:w="57" w:type="dxa"/>
              <w:right w:w="57" w:type="dxa"/>
            </w:tcMar>
            <w:vAlign w:val="center"/>
          </w:tcPr>
          <w:p w14:paraId="54583359"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4 315,8</w:t>
            </w:r>
          </w:p>
        </w:tc>
        <w:tc>
          <w:tcPr>
            <w:tcW w:w="851" w:type="dxa"/>
            <w:vAlign w:val="center"/>
          </w:tcPr>
          <w:p w14:paraId="56B6B0A7"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4 527,4</w:t>
            </w:r>
          </w:p>
        </w:tc>
        <w:tc>
          <w:tcPr>
            <w:tcW w:w="850" w:type="dxa"/>
            <w:tcMar>
              <w:left w:w="57" w:type="dxa"/>
              <w:right w:w="57" w:type="dxa"/>
            </w:tcMar>
            <w:vAlign w:val="center"/>
          </w:tcPr>
          <w:p w14:paraId="39A3CFE9"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4 741,1</w:t>
            </w:r>
          </w:p>
        </w:tc>
        <w:tc>
          <w:tcPr>
            <w:tcW w:w="851" w:type="dxa"/>
            <w:shd w:val="clear" w:color="auto" w:fill="auto"/>
            <w:tcMar>
              <w:left w:w="57" w:type="dxa"/>
              <w:right w:w="57" w:type="dxa"/>
            </w:tcMar>
            <w:vAlign w:val="center"/>
          </w:tcPr>
          <w:p w14:paraId="5C6BDDEE"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4 965,1</w:t>
            </w:r>
          </w:p>
        </w:tc>
        <w:tc>
          <w:tcPr>
            <w:tcW w:w="708" w:type="dxa"/>
            <w:shd w:val="clear" w:color="auto" w:fill="auto"/>
            <w:tcMar>
              <w:left w:w="57" w:type="dxa"/>
              <w:right w:w="57" w:type="dxa"/>
            </w:tcMar>
            <w:vAlign w:val="center"/>
          </w:tcPr>
          <w:p w14:paraId="312DEDD2"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9,3</w:t>
            </w:r>
          </w:p>
        </w:tc>
        <w:tc>
          <w:tcPr>
            <w:tcW w:w="709" w:type="dxa"/>
            <w:vAlign w:val="center"/>
          </w:tcPr>
          <w:p w14:paraId="4A095C84"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34,8</w:t>
            </w:r>
          </w:p>
        </w:tc>
        <w:tc>
          <w:tcPr>
            <w:tcW w:w="709" w:type="dxa"/>
            <w:shd w:val="clear" w:color="auto" w:fill="auto"/>
            <w:tcMar>
              <w:left w:w="57" w:type="dxa"/>
              <w:right w:w="57" w:type="dxa"/>
            </w:tcMar>
            <w:vAlign w:val="center"/>
          </w:tcPr>
          <w:p w14:paraId="642F1BE0"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51,4</w:t>
            </w:r>
          </w:p>
        </w:tc>
        <w:tc>
          <w:tcPr>
            <w:tcW w:w="709" w:type="dxa"/>
            <w:tcMar>
              <w:left w:w="57" w:type="dxa"/>
              <w:right w:w="57" w:type="dxa"/>
            </w:tcMar>
            <w:vAlign w:val="center"/>
          </w:tcPr>
          <w:p w14:paraId="7E4D5E1A"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54,2</w:t>
            </w:r>
          </w:p>
        </w:tc>
        <w:tc>
          <w:tcPr>
            <w:tcW w:w="709" w:type="dxa"/>
            <w:shd w:val="clear" w:color="auto" w:fill="auto"/>
            <w:tcMar>
              <w:left w:w="57" w:type="dxa"/>
              <w:right w:w="57" w:type="dxa"/>
            </w:tcMar>
            <w:vAlign w:val="center"/>
          </w:tcPr>
          <w:p w14:paraId="792003B4"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57,3</w:t>
            </w:r>
          </w:p>
        </w:tc>
      </w:tr>
      <w:tr w:rsidR="006923DF" w:rsidRPr="000C1AC0" w14:paraId="1D0EBEA5" w14:textId="77777777" w:rsidTr="006923DF">
        <w:trPr>
          <w:trHeight w:val="466"/>
          <w:jc w:val="center"/>
        </w:trPr>
        <w:tc>
          <w:tcPr>
            <w:tcW w:w="1980" w:type="dxa"/>
            <w:shd w:val="clear" w:color="auto" w:fill="DEEAF6"/>
          </w:tcPr>
          <w:p w14:paraId="5E4C47BE" w14:textId="77777777" w:rsidR="006923DF" w:rsidRPr="000C1AC0" w:rsidRDefault="006923DF" w:rsidP="006923DF">
            <w:pPr>
              <w:spacing w:line="259" w:lineRule="auto"/>
              <w:ind w:left="283" w:firstLine="0"/>
              <w:jc w:val="left"/>
              <w:rPr>
                <w:rFonts w:eastAsia="Times New Roman" w:cs="Times New Roman"/>
                <w:bCs/>
                <w:i/>
                <w:sz w:val="18"/>
                <w:szCs w:val="18"/>
              </w:rPr>
            </w:pPr>
            <w:r w:rsidRPr="000C1AC0">
              <w:rPr>
                <w:rFonts w:eastAsia="Times New Roman" w:cs="Times New Roman"/>
                <w:bCs/>
                <w:i/>
                <w:sz w:val="18"/>
                <w:szCs w:val="18"/>
              </w:rPr>
              <w:t xml:space="preserve">Valsts sociālās apdrošināšanas </w:t>
            </w:r>
            <w:r w:rsidRPr="000C1AC0">
              <w:rPr>
                <w:rFonts w:eastAsia="Times New Roman" w:cs="Times New Roman"/>
                <w:bCs/>
                <w:i/>
                <w:sz w:val="18"/>
                <w:szCs w:val="18"/>
              </w:rPr>
              <w:lastRenderedPageBreak/>
              <w:t>obligātās  iemaksas</w:t>
            </w:r>
            <w:r w:rsidRPr="000C1AC0">
              <w:rPr>
                <w:rFonts w:eastAsia="Times New Roman" w:cs="Times New Roman"/>
                <w:bCs/>
                <w:i/>
                <w:sz w:val="18"/>
                <w:szCs w:val="18"/>
                <w:vertAlign w:val="superscript"/>
              </w:rPr>
              <w:footnoteReference w:id="25"/>
            </w:r>
          </w:p>
        </w:tc>
        <w:tc>
          <w:tcPr>
            <w:tcW w:w="850" w:type="dxa"/>
            <w:shd w:val="clear" w:color="auto" w:fill="DEEAF6"/>
            <w:tcMar>
              <w:left w:w="57" w:type="dxa"/>
              <w:right w:w="57" w:type="dxa"/>
            </w:tcMar>
            <w:vAlign w:val="center"/>
          </w:tcPr>
          <w:p w14:paraId="2F693A1D"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lastRenderedPageBreak/>
              <w:t>4 456,4</w:t>
            </w:r>
          </w:p>
        </w:tc>
        <w:tc>
          <w:tcPr>
            <w:tcW w:w="850" w:type="dxa"/>
            <w:shd w:val="clear" w:color="auto" w:fill="DEEAF6"/>
            <w:tcMar>
              <w:left w:w="57" w:type="dxa"/>
              <w:right w:w="57" w:type="dxa"/>
            </w:tcMar>
            <w:vAlign w:val="center"/>
          </w:tcPr>
          <w:p w14:paraId="72E72833"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4 791,5</w:t>
            </w:r>
          </w:p>
        </w:tc>
        <w:tc>
          <w:tcPr>
            <w:tcW w:w="851" w:type="dxa"/>
            <w:shd w:val="clear" w:color="auto" w:fill="DEEAF6"/>
            <w:vAlign w:val="center"/>
          </w:tcPr>
          <w:p w14:paraId="28FE192D"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5 114,7</w:t>
            </w:r>
          </w:p>
        </w:tc>
        <w:tc>
          <w:tcPr>
            <w:tcW w:w="850" w:type="dxa"/>
            <w:shd w:val="clear" w:color="auto" w:fill="DEEAF6"/>
            <w:tcMar>
              <w:left w:w="57" w:type="dxa"/>
              <w:right w:w="57" w:type="dxa"/>
            </w:tcMar>
            <w:vAlign w:val="center"/>
          </w:tcPr>
          <w:p w14:paraId="37189583"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5 426,6</w:t>
            </w:r>
          </w:p>
        </w:tc>
        <w:tc>
          <w:tcPr>
            <w:tcW w:w="851" w:type="dxa"/>
            <w:shd w:val="clear" w:color="auto" w:fill="DEEAF6"/>
            <w:tcMar>
              <w:left w:w="57" w:type="dxa"/>
              <w:right w:w="57" w:type="dxa"/>
            </w:tcMar>
            <w:vAlign w:val="center"/>
          </w:tcPr>
          <w:p w14:paraId="452C84FA"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5 697,8</w:t>
            </w:r>
          </w:p>
        </w:tc>
        <w:tc>
          <w:tcPr>
            <w:tcW w:w="708" w:type="dxa"/>
            <w:shd w:val="clear" w:color="auto" w:fill="DEEAF6"/>
            <w:tcMar>
              <w:left w:w="57" w:type="dxa"/>
              <w:right w:w="57" w:type="dxa"/>
            </w:tcMar>
            <w:vAlign w:val="center"/>
          </w:tcPr>
          <w:p w14:paraId="57F6421C"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23,1</w:t>
            </w:r>
          </w:p>
        </w:tc>
        <w:tc>
          <w:tcPr>
            <w:tcW w:w="709" w:type="dxa"/>
            <w:shd w:val="clear" w:color="auto" w:fill="DEEAF6"/>
            <w:vAlign w:val="center"/>
          </w:tcPr>
          <w:p w14:paraId="1D531D77"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52,1</w:t>
            </w:r>
          </w:p>
        </w:tc>
        <w:tc>
          <w:tcPr>
            <w:tcW w:w="709" w:type="dxa"/>
            <w:shd w:val="clear" w:color="auto" w:fill="DEEAF6"/>
            <w:tcMar>
              <w:left w:w="57" w:type="dxa"/>
              <w:right w:w="57" w:type="dxa"/>
            </w:tcMar>
            <w:vAlign w:val="center"/>
          </w:tcPr>
          <w:p w14:paraId="189E2A49"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83,9</w:t>
            </w:r>
          </w:p>
        </w:tc>
        <w:tc>
          <w:tcPr>
            <w:tcW w:w="709" w:type="dxa"/>
            <w:shd w:val="clear" w:color="auto" w:fill="DEEAF6"/>
            <w:tcMar>
              <w:left w:w="57" w:type="dxa"/>
              <w:right w:w="57" w:type="dxa"/>
            </w:tcMar>
            <w:vAlign w:val="center"/>
          </w:tcPr>
          <w:p w14:paraId="06C8F403"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140,4</w:t>
            </w:r>
          </w:p>
        </w:tc>
        <w:tc>
          <w:tcPr>
            <w:tcW w:w="709" w:type="dxa"/>
            <w:shd w:val="clear" w:color="auto" w:fill="DEEAF6"/>
            <w:tcMar>
              <w:left w:w="57" w:type="dxa"/>
              <w:right w:w="57" w:type="dxa"/>
            </w:tcMar>
            <w:vAlign w:val="center"/>
          </w:tcPr>
          <w:p w14:paraId="6645C11F"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151,8</w:t>
            </w:r>
          </w:p>
        </w:tc>
      </w:tr>
      <w:tr w:rsidR="006923DF" w:rsidRPr="000C1AC0" w14:paraId="46A3A996" w14:textId="77777777" w:rsidTr="006923DF">
        <w:trPr>
          <w:trHeight w:val="225"/>
          <w:jc w:val="center"/>
        </w:trPr>
        <w:tc>
          <w:tcPr>
            <w:tcW w:w="1980" w:type="dxa"/>
            <w:shd w:val="clear" w:color="auto" w:fill="auto"/>
          </w:tcPr>
          <w:p w14:paraId="59B4877F" w14:textId="77777777" w:rsidR="006923DF" w:rsidRPr="000C1AC0" w:rsidRDefault="006923DF" w:rsidP="006923DF">
            <w:pPr>
              <w:spacing w:line="259" w:lineRule="auto"/>
              <w:ind w:left="283" w:firstLine="0"/>
              <w:jc w:val="left"/>
              <w:rPr>
                <w:rFonts w:eastAsia="Times New Roman" w:cs="Times New Roman"/>
                <w:bCs/>
                <w:i/>
                <w:sz w:val="18"/>
                <w:szCs w:val="18"/>
              </w:rPr>
            </w:pPr>
            <w:r w:rsidRPr="000C1AC0">
              <w:rPr>
                <w:rFonts w:eastAsia="Times New Roman" w:cs="Times New Roman"/>
                <w:bCs/>
                <w:i/>
                <w:sz w:val="18"/>
                <w:szCs w:val="18"/>
              </w:rPr>
              <w:t>Akcīzes nodoklis</w:t>
            </w:r>
          </w:p>
        </w:tc>
        <w:tc>
          <w:tcPr>
            <w:tcW w:w="850" w:type="dxa"/>
            <w:shd w:val="clear" w:color="auto" w:fill="auto"/>
            <w:tcMar>
              <w:left w:w="57" w:type="dxa"/>
              <w:right w:w="57" w:type="dxa"/>
            </w:tcMar>
            <w:vAlign w:val="center"/>
          </w:tcPr>
          <w:p w14:paraId="7DBEFEE1"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1 218,6</w:t>
            </w:r>
          </w:p>
        </w:tc>
        <w:tc>
          <w:tcPr>
            <w:tcW w:w="850" w:type="dxa"/>
            <w:shd w:val="clear" w:color="auto" w:fill="auto"/>
            <w:tcMar>
              <w:left w:w="57" w:type="dxa"/>
              <w:right w:w="57" w:type="dxa"/>
            </w:tcMar>
            <w:vAlign w:val="center"/>
          </w:tcPr>
          <w:p w14:paraId="23450596"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1 297,1</w:t>
            </w:r>
          </w:p>
        </w:tc>
        <w:tc>
          <w:tcPr>
            <w:tcW w:w="851" w:type="dxa"/>
            <w:vAlign w:val="center"/>
          </w:tcPr>
          <w:p w14:paraId="29F40B1C"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1 366,3</w:t>
            </w:r>
          </w:p>
        </w:tc>
        <w:tc>
          <w:tcPr>
            <w:tcW w:w="850" w:type="dxa"/>
            <w:tcMar>
              <w:left w:w="57" w:type="dxa"/>
              <w:right w:w="57" w:type="dxa"/>
            </w:tcMar>
            <w:vAlign w:val="center"/>
          </w:tcPr>
          <w:p w14:paraId="125AECD1"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1 407,9</w:t>
            </w:r>
          </w:p>
        </w:tc>
        <w:tc>
          <w:tcPr>
            <w:tcW w:w="851" w:type="dxa"/>
            <w:shd w:val="clear" w:color="auto" w:fill="auto"/>
            <w:tcMar>
              <w:left w:w="57" w:type="dxa"/>
              <w:right w:w="57" w:type="dxa"/>
            </w:tcMar>
            <w:vAlign w:val="center"/>
          </w:tcPr>
          <w:p w14:paraId="453BD7E1"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1 445,0</w:t>
            </w:r>
          </w:p>
        </w:tc>
        <w:tc>
          <w:tcPr>
            <w:tcW w:w="708" w:type="dxa"/>
            <w:shd w:val="clear" w:color="auto" w:fill="auto"/>
            <w:tcMar>
              <w:left w:w="57" w:type="dxa"/>
              <w:right w:w="57" w:type="dxa"/>
            </w:tcMar>
            <w:vAlign w:val="center"/>
          </w:tcPr>
          <w:p w14:paraId="23D5B74B"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2,9</w:t>
            </w:r>
          </w:p>
        </w:tc>
        <w:tc>
          <w:tcPr>
            <w:tcW w:w="709" w:type="dxa"/>
            <w:vAlign w:val="center"/>
          </w:tcPr>
          <w:p w14:paraId="58E588F1"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10,4</w:t>
            </w:r>
          </w:p>
        </w:tc>
        <w:tc>
          <w:tcPr>
            <w:tcW w:w="709" w:type="dxa"/>
            <w:shd w:val="clear" w:color="auto" w:fill="auto"/>
            <w:tcMar>
              <w:left w:w="57" w:type="dxa"/>
              <w:right w:w="57" w:type="dxa"/>
            </w:tcMar>
            <w:vAlign w:val="center"/>
          </w:tcPr>
          <w:p w14:paraId="78C37770"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15,6</w:t>
            </w:r>
          </w:p>
        </w:tc>
        <w:tc>
          <w:tcPr>
            <w:tcW w:w="709" w:type="dxa"/>
            <w:tcMar>
              <w:left w:w="57" w:type="dxa"/>
              <w:right w:w="57" w:type="dxa"/>
            </w:tcMar>
            <w:vAlign w:val="center"/>
          </w:tcPr>
          <w:p w14:paraId="7DCA077C"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16,2</w:t>
            </w:r>
          </w:p>
        </w:tc>
        <w:tc>
          <w:tcPr>
            <w:tcW w:w="709" w:type="dxa"/>
            <w:shd w:val="clear" w:color="auto" w:fill="auto"/>
            <w:tcMar>
              <w:left w:w="57" w:type="dxa"/>
              <w:right w:w="57" w:type="dxa"/>
            </w:tcMar>
            <w:vAlign w:val="center"/>
          </w:tcPr>
          <w:p w14:paraId="4A8E0D5E"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16,7</w:t>
            </w:r>
          </w:p>
        </w:tc>
      </w:tr>
      <w:tr w:rsidR="006923DF" w:rsidRPr="000C1AC0" w14:paraId="64C26A17" w14:textId="77777777" w:rsidTr="006923DF">
        <w:trPr>
          <w:trHeight w:val="239"/>
          <w:jc w:val="center"/>
        </w:trPr>
        <w:tc>
          <w:tcPr>
            <w:tcW w:w="1980" w:type="dxa"/>
            <w:shd w:val="clear" w:color="auto" w:fill="DEEAF6"/>
            <w:vAlign w:val="center"/>
          </w:tcPr>
          <w:p w14:paraId="0FADC28D" w14:textId="77777777" w:rsidR="006923DF" w:rsidRPr="000C1AC0" w:rsidRDefault="006923DF" w:rsidP="006923DF">
            <w:pPr>
              <w:ind w:left="166" w:firstLine="0"/>
              <w:jc w:val="left"/>
              <w:rPr>
                <w:rFonts w:eastAsia="Times New Roman" w:cs="Times New Roman"/>
                <w:bCs/>
                <w:noProof/>
                <w:sz w:val="18"/>
                <w:szCs w:val="18"/>
                <w:lang w:eastAsia="lv-LV"/>
              </w:rPr>
            </w:pPr>
            <w:r w:rsidRPr="000C1AC0">
              <w:rPr>
                <w:rFonts w:eastAsia="Times New Roman" w:cs="Times New Roman"/>
                <w:bCs/>
                <w:noProof/>
                <w:sz w:val="18"/>
                <w:szCs w:val="18"/>
                <w:lang w:eastAsia="lv-LV"/>
              </w:rPr>
              <w:t>Nenodokļu ieņēmumi</w:t>
            </w:r>
          </w:p>
        </w:tc>
        <w:tc>
          <w:tcPr>
            <w:tcW w:w="850" w:type="dxa"/>
            <w:shd w:val="clear" w:color="auto" w:fill="DEEAF6"/>
            <w:tcMar>
              <w:left w:w="57" w:type="dxa"/>
              <w:right w:w="57" w:type="dxa"/>
            </w:tcMar>
            <w:vAlign w:val="center"/>
          </w:tcPr>
          <w:p w14:paraId="180D53A5" w14:textId="77777777" w:rsidR="006923DF" w:rsidRPr="000C1AC0" w:rsidRDefault="006923DF" w:rsidP="006923DF">
            <w:pPr>
              <w:spacing w:line="259" w:lineRule="auto"/>
              <w:ind w:right="6" w:firstLine="0"/>
              <w:jc w:val="center"/>
              <w:rPr>
                <w:rFonts w:eastAsia="Times New Roman" w:cs="Times New Roman"/>
                <w:color w:val="FF0000"/>
                <w:sz w:val="18"/>
                <w:szCs w:val="18"/>
              </w:rPr>
            </w:pPr>
            <w:r w:rsidRPr="000C1AC0">
              <w:rPr>
                <w:rFonts w:eastAsia="Times New Roman" w:cs="Times New Roman"/>
                <w:color w:val="000000"/>
                <w:sz w:val="18"/>
                <w:szCs w:val="18"/>
              </w:rPr>
              <w:t>1 014,6</w:t>
            </w:r>
          </w:p>
        </w:tc>
        <w:tc>
          <w:tcPr>
            <w:tcW w:w="850" w:type="dxa"/>
            <w:shd w:val="clear" w:color="auto" w:fill="DEEAF6"/>
            <w:tcMar>
              <w:left w:w="57" w:type="dxa"/>
              <w:right w:w="57" w:type="dxa"/>
            </w:tcMar>
            <w:vAlign w:val="center"/>
          </w:tcPr>
          <w:p w14:paraId="524EB22A" w14:textId="77777777" w:rsidR="006923DF" w:rsidRPr="000C1AC0" w:rsidRDefault="006923DF" w:rsidP="006923DF">
            <w:pPr>
              <w:spacing w:line="259" w:lineRule="auto"/>
              <w:ind w:right="6" w:firstLine="0"/>
              <w:jc w:val="center"/>
              <w:rPr>
                <w:rFonts w:eastAsia="Times New Roman" w:cs="Times New Roman"/>
                <w:color w:val="FF0000"/>
                <w:sz w:val="18"/>
                <w:szCs w:val="18"/>
              </w:rPr>
            </w:pPr>
            <w:r w:rsidRPr="000C1AC0">
              <w:rPr>
                <w:rFonts w:eastAsia="Times New Roman" w:cs="Times New Roman"/>
                <w:color w:val="000000"/>
                <w:sz w:val="18"/>
                <w:szCs w:val="18"/>
              </w:rPr>
              <w:t>797,2</w:t>
            </w:r>
          </w:p>
        </w:tc>
        <w:tc>
          <w:tcPr>
            <w:tcW w:w="851" w:type="dxa"/>
            <w:shd w:val="clear" w:color="auto" w:fill="DEEAF6"/>
            <w:vAlign w:val="center"/>
          </w:tcPr>
          <w:p w14:paraId="3015CB34" w14:textId="77777777" w:rsidR="006923DF" w:rsidRPr="000C1AC0" w:rsidRDefault="006923DF" w:rsidP="006923DF">
            <w:pPr>
              <w:spacing w:line="259" w:lineRule="auto"/>
              <w:ind w:right="6" w:firstLine="0"/>
              <w:jc w:val="center"/>
              <w:rPr>
                <w:rFonts w:eastAsia="Times New Roman" w:cs="Times New Roman"/>
                <w:color w:val="FF0000"/>
                <w:sz w:val="18"/>
                <w:szCs w:val="18"/>
              </w:rPr>
            </w:pPr>
            <w:r w:rsidRPr="000C1AC0">
              <w:rPr>
                <w:rFonts w:eastAsia="Times New Roman" w:cs="Times New Roman"/>
                <w:color w:val="000000"/>
                <w:sz w:val="18"/>
                <w:szCs w:val="18"/>
              </w:rPr>
              <w:t>779,0</w:t>
            </w:r>
          </w:p>
        </w:tc>
        <w:tc>
          <w:tcPr>
            <w:tcW w:w="850" w:type="dxa"/>
            <w:shd w:val="clear" w:color="auto" w:fill="DEEAF6"/>
            <w:tcMar>
              <w:left w:w="57" w:type="dxa"/>
              <w:right w:w="57" w:type="dxa"/>
            </w:tcMar>
            <w:vAlign w:val="center"/>
          </w:tcPr>
          <w:p w14:paraId="4F214A7A" w14:textId="77777777" w:rsidR="006923DF" w:rsidRPr="000C1AC0" w:rsidRDefault="006923DF" w:rsidP="006923DF">
            <w:pPr>
              <w:spacing w:line="259" w:lineRule="auto"/>
              <w:ind w:right="6" w:firstLine="0"/>
              <w:jc w:val="center"/>
              <w:rPr>
                <w:rFonts w:eastAsia="Times New Roman" w:cs="Times New Roman"/>
                <w:color w:val="FF0000"/>
                <w:sz w:val="18"/>
                <w:szCs w:val="18"/>
              </w:rPr>
            </w:pPr>
            <w:r w:rsidRPr="000C1AC0">
              <w:rPr>
                <w:rFonts w:eastAsia="Times New Roman" w:cs="Times New Roman"/>
                <w:color w:val="000000"/>
                <w:sz w:val="18"/>
                <w:szCs w:val="18"/>
              </w:rPr>
              <w:t>790,3</w:t>
            </w:r>
          </w:p>
        </w:tc>
        <w:tc>
          <w:tcPr>
            <w:tcW w:w="851" w:type="dxa"/>
            <w:shd w:val="clear" w:color="auto" w:fill="DEEAF6"/>
            <w:tcMar>
              <w:left w:w="57" w:type="dxa"/>
              <w:right w:w="57" w:type="dxa"/>
            </w:tcMar>
            <w:vAlign w:val="center"/>
          </w:tcPr>
          <w:p w14:paraId="4B331A30" w14:textId="77777777" w:rsidR="006923DF" w:rsidRPr="000C1AC0" w:rsidRDefault="006923DF" w:rsidP="006923DF">
            <w:pPr>
              <w:spacing w:line="259" w:lineRule="auto"/>
              <w:ind w:right="6" w:firstLine="0"/>
              <w:jc w:val="center"/>
              <w:rPr>
                <w:rFonts w:eastAsia="Times New Roman" w:cs="Times New Roman"/>
                <w:color w:val="FF0000"/>
                <w:sz w:val="18"/>
                <w:szCs w:val="18"/>
              </w:rPr>
            </w:pPr>
            <w:r w:rsidRPr="000C1AC0">
              <w:rPr>
                <w:rFonts w:eastAsia="Times New Roman" w:cs="Times New Roman"/>
                <w:color w:val="000000"/>
                <w:sz w:val="18"/>
                <w:szCs w:val="18"/>
              </w:rPr>
              <w:t>827,2</w:t>
            </w:r>
          </w:p>
        </w:tc>
        <w:tc>
          <w:tcPr>
            <w:tcW w:w="708" w:type="dxa"/>
            <w:shd w:val="clear" w:color="auto" w:fill="DEEAF6"/>
            <w:tcMar>
              <w:left w:w="57" w:type="dxa"/>
              <w:right w:w="57" w:type="dxa"/>
            </w:tcMar>
            <w:vAlign w:val="center"/>
          </w:tcPr>
          <w:p w14:paraId="0280848C" w14:textId="77777777" w:rsidR="006923DF" w:rsidRPr="000C1AC0" w:rsidRDefault="006923DF" w:rsidP="006923DF">
            <w:pPr>
              <w:spacing w:line="259" w:lineRule="auto"/>
              <w:ind w:right="6" w:firstLine="0"/>
              <w:jc w:val="center"/>
              <w:rPr>
                <w:rFonts w:eastAsia="Times New Roman" w:cs="Times New Roman"/>
                <w:color w:val="FF0000"/>
                <w:sz w:val="18"/>
                <w:szCs w:val="18"/>
              </w:rPr>
            </w:pPr>
            <w:r w:rsidRPr="000C1AC0">
              <w:rPr>
                <w:rFonts w:eastAsia="Times New Roman" w:cs="Times New Roman"/>
                <w:color w:val="000000"/>
                <w:sz w:val="18"/>
                <w:szCs w:val="18"/>
              </w:rPr>
              <w:t>0,9</w:t>
            </w:r>
          </w:p>
        </w:tc>
        <w:tc>
          <w:tcPr>
            <w:tcW w:w="709" w:type="dxa"/>
            <w:shd w:val="clear" w:color="auto" w:fill="DEEAF6"/>
            <w:vAlign w:val="center"/>
          </w:tcPr>
          <w:p w14:paraId="1769B1EC" w14:textId="77777777" w:rsidR="006923DF" w:rsidRPr="000C1AC0" w:rsidRDefault="006923DF" w:rsidP="006923DF">
            <w:pPr>
              <w:spacing w:line="259" w:lineRule="auto"/>
              <w:ind w:right="6" w:firstLine="0"/>
              <w:jc w:val="center"/>
              <w:rPr>
                <w:rFonts w:eastAsia="Times New Roman" w:cs="Times New Roman"/>
                <w:color w:val="FF0000"/>
                <w:sz w:val="18"/>
                <w:szCs w:val="18"/>
              </w:rPr>
            </w:pPr>
            <w:r w:rsidRPr="000C1AC0">
              <w:rPr>
                <w:rFonts w:eastAsia="Times New Roman" w:cs="Times New Roman"/>
                <w:color w:val="000000"/>
                <w:sz w:val="18"/>
                <w:szCs w:val="18"/>
              </w:rPr>
              <w:t>1,9</w:t>
            </w:r>
          </w:p>
        </w:tc>
        <w:tc>
          <w:tcPr>
            <w:tcW w:w="709" w:type="dxa"/>
            <w:shd w:val="clear" w:color="auto" w:fill="DEEAF6"/>
            <w:tcMar>
              <w:left w:w="57" w:type="dxa"/>
              <w:right w:w="57" w:type="dxa"/>
            </w:tcMar>
            <w:vAlign w:val="center"/>
          </w:tcPr>
          <w:p w14:paraId="4CDB7404" w14:textId="77777777" w:rsidR="006923DF" w:rsidRPr="000C1AC0" w:rsidRDefault="006923DF" w:rsidP="006923DF">
            <w:pPr>
              <w:spacing w:line="259" w:lineRule="auto"/>
              <w:ind w:right="6" w:firstLine="0"/>
              <w:jc w:val="center"/>
              <w:rPr>
                <w:rFonts w:eastAsia="Times New Roman" w:cs="Times New Roman"/>
                <w:color w:val="FF0000"/>
                <w:sz w:val="18"/>
                <w:szCs w:val="18"/>
              </w:rPr>
            </w:pPr>
            <w:r w:rsidRPr="000C1AC0">
              <w:rPr>
                <w:rFonts w:eastAsia="Times New Roman" w:cs="Times New Roman"/>
                <w:color w:val="000000"/>
                <w:sz w:val="18"/>
                <w:szCs w:val="18"/>
              </w:rPr>
              <w:t>2,3</w:t>
            </w:r>
          </w:p>
        </w:tc>
        <w:tc>
          <w:tcPr>
            <w:tcW w:w="709" w:type="dxa"/>
            <w:shd w:val="clear" w:color="auto" w:fill="DEEAF6"/>
            <w:tcMar>
              <w:left w:w="57" w:type="dxa"/>
              <w:right w:w="57" w:type="dxa"/>
            </w:tcMar>
            <w:vAlign w:val="center"/>
          </w:tcPr>
          <w:p w14:paraId="19FEA0A9" w14:textId="77777777" w:rsidR="006923DF" w:rsidRPr="000C1AC0" w:rsidRDefault="006923DF" w:rsidP="006923DF">
            <w:pPr>
              <w:spacing w:line="259" w:lineRule="auto"/>
              <w:ind w:right="6" w:firstLine="0"/>
              <w:jc w:val="center"/>
              <w:rPr>
                <w:rFonts w:eastAsia="Times New Roman" w:cs="Times New Roman"/>
                <w:color w:val="FF0000"/>
                <w:sz w:val="18"/>
                <w:szCs w:val="18"/>
              </w:rPr>
            </w:pPr>
            <w:r w:rsidRPr="000C1AC0">
              <w:rPr>
                <w:rFonts w:eastAsia="Times New Roman" w:cs="Times New Roman"/>
                <w:color w:val="000000"/>
                <w:sz w:val="18"/>
                <w:szCs w:val="18"/>
              </w:rPr>
              <w:t>2,4</w:t>
            </w:r>
          </w:p>
        </w:tc>
        <w:tc>
          <w:tcPr>
            <w:tcW w:w="709" w:type="dxa"/>
            <w:shd w:val="clear" w:color="auto" w:fill="DEEAF6"/>
            <w:tcMar>
              <w:left w:w="57" w:type="dxa"/>
              <w:right w:w="57" w:type="dxa"/>
            </w:tcMar>
            <w:vAlign w:val="center"/>
          </w:tcPr>
          <w:p w14:paraId="586639C0" w14:textId="77777777" w:rsidR="006923DF" w:rsidRPr="000C1AC0" w:rsidRDefault="006923DF" w:rsidP="006923DF">
            <w:pPr>
              <w:spacing w:line="259" w:lineRule="auto"/>
              <w:ind w:right="6" w:firstLine="0"/>
              <w:jc w:val="center"/>
              <w:rPr>
                <w:rFonts w:eastAsia="Times New Roman" w:cs="Times New Roman"/>
                <w:color w:val="FF0000"/>
                <w:sz w:val="18"/>
                <w:szCs w:val="18"/>
              </w:rPr>
            </w:pPr>
            <w:r w:rsidRPr="000C1AC0">
              <w:rPr>
                <w:rFonts w:eastAsia="Times New Roman" w:cs="Times New Roman"/>
                <w:color w:val="000000"/>
                <w:sz w:val="18"/>
                <w:szCs w:val="18"/>
              </w:rPr>
              <w:t>2,4</w:t>
            </w:r>
          </w:p>
        </w:tc>
      </w:tr>
      <w:tr w:rsidR="006923DF" w:rsidRPr="000C1AC0" w14:paraId="142C01B2" w14:textId="77777777" w:rsidTr="006923DF">
        <w:trPr>
          <w:trHeight w:val="225"/>
          <w:jc w:val="center"/>
        </w:trPr>
        <w:tc>
          <w:tcPr>
            <w:tcW w:w="1980" w:type="dxa"/>
            <w:shd w:val="clear" w:color="auto" w:fill="auto"/>
            <w:vAlign w:val="center"/>
          </w:tcPr>
          <w:p w14:paraId="116CF16A" w14:textId="77777777" w:rsidR="006923DF" w:rsidRPr="000C1AC0" w:rsidRDefault="006923DF" w:rsidP="006923DF">
            <w:pPr>
              <w:ind w:left="166" w:firstLine="0"/>
              <w:jc w:val="left"/>
              <w:rPr>
                <w:rFonts w:eastAsia="Times New Roman" w:cs="Times New Roman"/>
                <w:bCs/>
                <w:noProof/>
                <w:sz w:val="18"/>
                <w:szCs w:val="18"/>
                <w:lang w:eastAsia="lv-LV"/>
              </w:rPr>
            </w:pPr>
            <w:r w:rsidRPr="000C1AC0">
              <w:rPr>
                <w:rFonts w:eastAsia="Times New Roman" w:cs="Times New Roman"/>
                <w:bCs/>
                <w:noProof/>
                <w:sz w:val="18"/>
                <w:szCs w:val="18"/>
                <w:lang w:eastAsia="lv-LV"/>
              </w:rPr>
              <w:t>Procentu izdevumi</w:t>
            </w:r>
          </w:p>
        </w:tc>
        <w:tc>
          <w:tcPr>
            <w:tcW w:w="850" w:type="dxa"/>
            <w:shd w:val="clear" w:color="auto" w:fill="auto"/>
            <w:tcMar>
              <w:left w:w="57" w:type="dxa"/>
              <w:right w:w="57" w:type="dxa"/>
            </w:tcMar>
            <w:vAlign w:val="center"/>
          </w:tcPr>
          <w:p w14:paraId="1B76290E"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379,7</w:t>
            </w:r>
          </w:p>
        </w:tc>
        <w:tc>
          <w:tcPr>
            <w:tcW w:w="850" w:type="dxa"/>
            <w:shd w:val="clear" w:color="auto" w:fill="auto"/>
            <w:tcMar>
              <w:left w:w="57" w:type="dxa"/>
              <w:right w:w="57" w:type="dxa"/>
            </w:tcMar>
            <w:vAlign w:val="center"/>
          </w:tcPr>
          <w:p w14:paraId="1F11C4BF"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458,8</w:t>
            </w:r>
          </w:p>
        </w:tc>
        <w:tc>
          <w:tcPr>
            <w:tcW w:w="851" w:type="dxa"/>
            <w:vAlign w:val="center"/>
          </w:tcPr>
          <w:p w14:paraId="07B591E1"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557,8</w:t>
            </w:r>
          </w:p>
        </w:tc>
        <w:tc>
          <w:tcPr>
            <w:tcW w:w="850" w:type="dxa"/>
            <w:tcMar>
              <w:left w:w="57" w:type="dxa"/>
              <w:right w:w="57" w:type="dxa"/>
            </w:tcMar>
            <w:vAlign w:val="center"/>
          </w:tcPr>
          <w:p w14:paraId="5BAA2AF2"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624,9</w:t>
            </w:r>
          </w:p>
        </w:tc>
        <w:tc>
          <w:tcPr>
            <w:tcW w:w="851" w:type="dxa"/>
            <w:shd w:val="clear" w:color="auto" w:fill="auto"/>
            <w:tcMar>
              <w:left w:w="57" w:type="dxa"/>
              <w:right w:w="57" w:type="dxa"/>
            </w:tcMar>
            <w:vAlign w:val="center"/>
          </w:tcPr>
          <w:p w14:paraId="2A3E6753"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706,9</w:t>
            </w:r>
          </w:p>
        </w:tc>
        <w:tc>
          <w:tcPr>
            <w:tcW w:w="708" w:type="dxa"/>
            <w:shd w:val="clear" w:color="auto" w:fill="auto"/>
            <w:tcMar>
              <w:left w:w="57" w:type="dxa"/>
              <w:right w:w="57" w:type="dxa"/>
            </w:tcMar>
            <w:vAlign w:val="center"/>
          </w:tcPr>
          <w:p w14:paraId="370E93B9"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sz w:val="18"/>
                <w:szCs w:val="18"/>
              </w:rPr>
              <w:t>0,0</w:t>
            </w:r>
          </w:p>
        </w:tc>
        <w:tc>
          <w:tcPr>
            <w:tcW w:w="709" w:type="dxa"/>
            <w:vAlign w:val="center"/>
          </w:tcPr>
          <w:p w14:paraId="4545FF5E"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sz w:val="18"/>
                <w:szCs w:val="18"/>
              </w:rPr>
              <w:t>-1,5</w:t>
            </w:r>
          </w:p>
        </w:tc>
        <w:tc>
          <w:tcPr>
            <w:tcW w:w="709" w:type="dxa"/>
            <w:shd w:val="clear" w:color="auto" w:fill="auto"/>
            <w:tcMar>
              <w:left w:w="57" w:type="dxa"/>
              <w:right w:w="57" w:type="dxa"/>
            </w:tcMar>
            <w:vAlign w:val="center"/>
          </w:tcPr>
          <w:p w14:paraId="296286DA"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sz w:val="18"/>
                <w:szCs w:val="18"/>
              </w:rPr>
              <w:t>-5,4</w:t>
            </w:r>
          </w:p>
        </w:tc>
        <w:tc>
          <w:tcPr>
            <w:tcW w:w="709" w:type="dxa"/>
            <w:tcMar>
              <w:left w:w="57" w:type="dxa"/>
              <w:right w:w="57" w:type="dxa"/>
            </w:tcMar>
            <w:vAlign w:val="center"/>
          </w:tcPr>
          <w:p w14:paraId="43DC1A88"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sz w:val="18"/>
                <w:szCs w:val="18"/>
              </w:rPr>
              <w:t>-11,2</w:t>
            </w:r>
          </w:p>
        </w:tc>
        <w:tc>
          <w:tcPr>
            <w:tcW w:w="709" w:type="dxa"/>
            <w:shd w:val="clear" w:color="auto" w:fill="auto"/>
            <w:tcMar>
              <w:left w:w="57" w:type="dxa"/>
              <w:right w:w="57" w:type="dxa"/>
            </w:tcMar>
            <w:vAlign w:val="center"/>
          </w:tcPr>
          <w:p w14:paraId="6DF2BC3A"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sz w:val="18"/>
                <w:szCs w:val="18"/>
              </w:rPr>
              <w:t>-18,9</w:t>
            </w:r>
          </w:p>
        </w:tc>
      </w:tr>
      <w:tr w:rsidR="006923DF" w:rsidRPr="000C1AC0" w14:paraId="0E21C4FF" w14:textId="77777777" w:rsidTr="006923DF">
        <w:trPr>
          <w:trHeight w:val="239"/>
          <w:jc w:val="center"/>
        </w:trPr>
        <w:tc>
          <w:tcPr>
            <w:tcW w:w="1980" w:type="dxa"/>
            <w:shd w:val="clear" w:color="auto" w:fill="DEEAF6"/>
            <w:vAlign w:val="center"/>
          </w:tcPr>
          <w:p w14:paraId="7749D09E" w14:textId="77777777" w:rsidR="006923DF" w:rsidRPr="000C1AC0" w:rsidRDefault="006923DF" w:rsidP="006923DF">
            <w:pPr>
              <w:ind w:left="166" w:firstLine="0"/>
              <w:jc w:val="left"/>
              <w:rPr>
                <w:rFonts w:eastAsia="Times New Roman" w:cs="Times New Roman"/>
                <w:bCs/>
                <w:noProof/>
                <w:sz w:val="18"/>
                <w:szCs w:val="18"/>
                <w:lang w:eastAsia="lv-LV"/>
              </w:rPr>
            </w:pPr>
            <w:r w:rsidRPr="000C1AC0">
              <w:rPr>
                <w:rFonts w:eastAsia="Times New Roman" w:cs="Times New Roman"/>
                <w:bCs/>
                <w:noProof/>
                <w:sz w:val="18"/>
                <w:szCs w:val="18"/>
                <w:lang w:eastAsia="lv-LV"/>
              </w:rPr>
              <w:t>Izdevumi sociālajiem pabalstiem</w:t>
            </w:r>
          </w:p>
        </w:tc>
        <w:tc>
          <w:tcPr>
            <w:tcW w:w="850" w:type="dxa"/>
            <w:shd w:val="clear" w:color="auto" w:fill="DEEAF6"/>
            <w:tcMar>
              <w:left w:w="57" w:type="dxa"/>
              <w:right w:w="57" w:type="dxa"/>
            </w:tcMar>
            <w:vAlign w:val="center"/>
          </w:tcPr>
          <w:p w14:paraId="65D53E20"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5 162,7</w:t>
            </w:r>
          </w:p>
        </w:tc>
        <w:tc>
          <w:tcPr>
            <w:tcW w:w="850" w:type="dxa"/>
            <w:shd w:val="clear" w:color="auto" w:fill="DEEAF6"/>
            <w:tcMar>
              <w:left w:w="57" w:type="dxa"/>
              <w:right w:w="57" w:type="dxa"/>
            </w:tcMar>
            <w:vAlign w:val="center"/>
          </w:tcPr>
          <w:p w14:paraId="40BD2DDD"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5 524,0</w:t>
            </w:r>
          </w:p>
        </w:tc>
        <w:tc>
          <w:tcPr>
            <w:tcW w:w="851" w:type="dxa"/>
            <w:shd w:val="clear" w:color="auto" w:fill="DEEAF6"/>
            <w:vAlign w:val="center"/>
          </w:tcPr>
          <w:p w14:paraId="349541C4"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5 954,5</w:t>
            </w:r>
          </w:p>
        </w:tc>
        <w:tc>
          <w:tcPr>
            <w:tcW w:w="850" w:type="dxa"/>
            <w:shd w:val="clear" w:color="auto" w:fill="DEEAF6"/>
            <w:tcMar>
              <w:left w:w="57" w:type="dxa"/>
              <w:right w:w="57" w:type="dxa"/>
            </w:tcMar>
            <w:vAlign w:val="center"/>
          </w:tcPr>
          <w:p w14:paraId="5D08C4CF"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6 302,7</w:t>
            </w:r>
          </w:p>
        </w:tc>
        <w:tc>
          <w:tcPr>
            <w:tcW w:w="851" w:type="dxa"/>
            <w:shd w:val="clear" w:color="auto" w:fill="DEEAF6"/>
            <w:tcMar>
              <w:left w:w="57" w:type="dxa"/>
              <w:right w:w="57" w:type="dxa"/>
            </w:tcMar>
            <w:vAlign w:val="center"/>
          </w:tcPr>
          <w:p w14:paraId="3473136A" w14:textId="77777777" w:rsidR="006923DF" w:rsidRPr="000C1AC0" w:rsidRDefault="006923DF" w:rsidP="006923DF">
            <w:pPr>
              <w:spacing w:line="259" w:lineRule="auto"/>
              <w:ind w:right="5" w:firstLine="0"/>
              <w:jc w:val="center"/>
              <w:rPr>
                <w:rFonts w:eastAsia="Times New Roman" w:cs="Times New Roman"/>
                <w:color w:val="FF0000"/>
                <w:sz w:val="18"/>
                <w:szCs w:val="18"/>
              </w:rPr>
            </w:pPr>
            <w:r w:rsidRPr="000C1AC0">
              <w:rPr>
                <w:rFonts w:eastAsia="Times New Roman" w:cs="Times New Roman"/>
                <w:color w:val="000000"/>
                <w:sz w:val="18"/>
                <w:szCs w:val="18"/>
              </w:rPr>
              <w:t>6 643,6</w:t>
            </w:r>
          </w:p>
        </w:tc>
        <w:tc>
          <w:tcPr>
            <w:tcW w:w="708" w:type="dxa"/>
            <w:shd w:val="clear" w:color="auto" w:fill="DEEAF6"/>
            <w:tcMar>
              <w:left w:w="57" w:type="dxa"/>
              <w:right w:w="57" w:type="dxa"/>
            </w:tcMar>
            <w:vAlign w:val="center"/>
          </w:tcPr>
          <w:p w14:paraId="3DBC97A9" w14:textId="77777777" w:rsidR="006923DF" w:rsidRPr="00AA407C" w:rsidRDefault="006923DF" w:rsidP="006923DF">
            <w:pPr>
              <w:spacing w:line="259" w:lineRule="auto"/>
              <w:ind w:right="5" w:firstLine="0"/>
              <w:jc w:val="center"/>
              <w:rPr>
                <w:rFonts w:eastAsia="Times New Roman" w:cs="Times New Roman"/>
                <w:color w:val="FF0000"/>
                <w:sz w:val="18"/>
                <w:szCs w:val="18"/>
              </w:rPr>
            </w:pPr>
            <w:r w:rsidRPr="00AA407C">
              <w:rPr>
                <w:rFonts w:eastAsia="Times New Roman" w:cs="Times New Roman"/>
                <w:color w:val="000000"/>
                <w:sz w:val="18"/>
                <w:szCs w:val="18"/>
              </w:rPr>
              <w:t>2,1</w:t>
            </w:r>
          </w:p>
        </w:tc>
        <w:tc>
          <w:tcPr>
            <w:tcW w:w="709" w:type="dxa"/>
            <w:shd w:val="clear" w:color="auto" w:fill="DEEAF6"/>
            <w:vAlign w:val="center"/>
          </w:tcPr>
          <w:p w14:paraId="0712F32F" w14:textId="77777777" w:rsidR="006923DF" w:rsidRPr="00AA407C" w:rsidRDefault="006923DF" w:rsidP="006923DF">
            <w:pPr>
              <w:spacing w:line="259" w:lineRule="auto"/>
              <w:ind w:right="5" w:firstLine="0"/>
              <w:jc w:val="center"/>
              <w:rPr>
                <w:rFonts w:eastAsia="Times New Roman" w:cs="Times New Roman"/>
                <w:color w:val="FF0000"/>
                <w:sz w:val="18"/>
                <w:szCs w:val="18"/>
              </w:rPr>
            </w:pPr>
            <w:r w:rsidRPr="00AA407C">
              <w:rPr>
                <w:rFonts w:eastAsia="Times New Roman" w:cs="Times New Roman"/>
                <w:color w:val="000000"/>
                <w:sz w:val="18"/>
                <w:szCs w:val="18"/>
              </w:rPr>
              <w:t>9,1</w:t>
            </w:r>
          </w:p>
        </w:tc>
        <w:tc>
          <w:tcPr>
            <w:tcW w:w="709" w:type="dxa"/>
            <w:shd w:val="clear" w:color="auto" w:fill="DEEAF6"/>
            <w:tcMar>
              <w:left w:w="57" w:type="dxa"/>
              <w:right w:w="57" w:type="dxa"/>
            </w:tcMar>
            <w:vAlign w:val="center"/>
          </w:tcPr>
          <w:p w14:paraId="7D07FBCE" w14:textId="77777777" w:rsidR="006923DF" w:rsidRPr="00AA407C" w:rsidRDefault="006923DF" w:rsidP="006923DF">
            <w:pPr>
              <w:spacing w:line="259" w:lineRule="auto"/>
              <w:ind w:right="5" w:firstLine="0"/>
              <w:jc w:val="center"/>
              <w:rPr>
                <w:rFonts w:eastAsia="Times New Roman" w:cs="Times New Roman"/>
                <w:color w:val="FF0000"/>
                <w:sz w:val="18"/>
                <w:szCs w:val="18"/>
              </w:rPr>
            </w:pPr>
            <w:r w:rsidRPr="00AA407C">
              <w:rPr>
                <w:rFonts w:eastAsia="Times New Roman" w:cs="Times New Roman"/>
                <w:color w:val="000000"/>
                <w:sz w:val="18"/>
                <w:szCs w:val="18"/>
              </w:rPr>
              <w:t>27,1</w:t>
            </w:r>
          </w:p>
        </w:tc>
        <w:tc>
          <w:tcPr>
            <w:tcW w:w="709" w:type="dxa"/>
            <w:shd w:val="clear" w:color="auto" w:fill="DEEAF6"/>
            <w:tcMar>
              <w:left w:w="57" w:type="dxa"/>
              <w:right w:w="57" w:type="dxa"/>
            </w:tcMar>
            <w:vAlign w:val="center"/>
          </w:tcPr>
          <w:p w14:paraId="365414B5" w14:textId="77777777" w:rsidR="006923DF" w:rsidRPr="00AA407C" w:rsidRDefault="006923DF" w:rsidP="006923DF">
            <w:pPr>
              <w:spacing w:line="259" w:lineRule="auto"/>
              <w:ind w:right="5" w:firstLine="0"/>
              <w:jc w:val="center"/>
              <w:rPr>
                <w:rFonts w:eastAsia="Times New Roman" w:cs="Times New Roman"/>
                <w:color w:val="FF0000"/>
                <w:sz w:val="18"/>
                <w:szCs w:val="18"/>
              </w:rPr>
            </w:pPr>
            <w:r w:rsidRPr="00AA407C">
              <w:rPr>
                <w:rFonts w:eastAsia="Times New Roman" w:cs="Times New Roman"/>
                <w:color w:val="000000"/>
                <w:sz w:val="18"/>
                <w:szCs w:val="18"/>
              </w:rPr>
              <w:t>50,2</w:t>
            </w:r>
          </w:p>
        </w:tc>
        <w:tc>
          <w:tcPr>
            <w:tcW w:w="709" w:type="dxa"/>
            <w:shd w:val="clear" w:color="auto" w:fill="DEEAF6"/>
            <w:tcMar>
              <w:left w:w="57" w:type="dxa"/>
              <w:right w:w="57" w:type="dxa"/>
            </w:tcMar>
            <w:vAlign w:val="center"/>
          </w:tcPr>
          <w:p w14:paraId="52AB3BCB" w14:textId="77777777" w:rsidR="006923DF" w:rsidRPr="00AA407C" w:rsidRDefault="006923DF" w:rsidP="006923DF">
            <w:pPr>
              <w:spacing w:line="259" w:lineRule="auto"/>
              <w:ind w:right="5" w:firstLine="0"/>
              <w:jc w:val="center"/>
              <w:rPr>
                <w:rFonts w:eastAsia="Times New Roman" w:cs="Times New Roman"/>
                <w:color w:val="FF0000"/>
                <w:sz w:val="18"/>
                <w:szCs w:val="18"/>
              </w:rPr>
            </w:pPr>
            <w:r w:rsidRPr="00AA407C">
              <w:rPr>
                <w:rFonts w:eastAsia="Times New Roman" w:cs="Times New Roman"/>
                <w:color w:val="000000"/>
                <w:sz w:val="18"/>
                <w:szCs w:val="18"/>
              </w:rPr>
              <w:t>76,0</w:t>
            </w:r>
          </w:p>
        </w:tc>
      </w:tr>
      <w:tr w:rsidR="006923DF" w:rsidRPr="00E6266D" w14:paraId="3945C2F5" w14:textId="77777777" w:rsidTr="006923DF">
        <w:trPr>
          <w:trHeight w:val="422"/>
          <w:jc w:val="center"/>
        </w:trPr>
        <w:tc>
          <w:tcPr>
            <w:tcW w:w="1980" w:type="dxa"/>
            <w:shd w:val="clear" w:color="auto" w:fill="auto"/>
            <w:vAlign w:val="center"/>
          </w:tcPr>
          <w:p w14:paraId="408F33D8" w14:textId="77777777" w:rsidR="006923DF" w:rsidRPr="00AA407C" w:rsidRDefault="006923DF" w:rsidP="006923DF">
            <w:pPr>
              <w:ind w:firstLine="0"/>
              <w:jc w:val="left"/>
              <w:rPr>
                <w:rFonts w:eastAsia="Times New Roman" w:cs="Times New Roman"/>
                <w:b/>
                <w:noProof/>
                <w:sz w:val="18"/>
                <w:szCs w:val="18"/>
                <w:lang w:eastAsia="lv-LV"/>
              </w:rPr>
            </w:pPr>
            <w:r w:rsidRPr="00AA407C">
              <w:rPr>
                <w:rFonts w:eastAsia="Times New Roman" w:cs="Times New Roman"/>
                <w:b/>
                <w:noProof/>
                <w:sz w:val="18"/>
                <w:szCs w:val="18"/>
                <w:lang w:eastAsia="lv-LV"/>
              </w:rPr>
              <w:t>Vispārējās valdības parāds, % no IKP</w:t>
            </w:r>
          </w:p>
        </w:tc>
        <w:tc>
          <w:tcPr>
            <w:tcW w:w="850" w:type="dxa"/>
            <w:shd w:val="clear" w:color="auto" w:fill="auto"/>
            <w:tcMar>
              <w:left w:w="57" w:type="dxa"/>
              <w:right w:w="57" w:type="dxa"/>
            </w:tcMar>
            <w:vAlign w:val="center"/>
          </w:tcPr>
          <w:p w14:paraId="50C4AAB4" w14:textId="5D3E2620" w:rsidR="006923DF" w:rsidRPr="00AA407C" w:rsidRDefault="006923DF" w:rsidP="006923DF">
            <w:pPr>
              <w:spacing w:line="259" w:lineRule="auto"/>
              <w:ind w:right="5" w:firstLine="0"/>
              <w:jc w:val="center"/>
              <w:rPr>
                <w:rFonts w:eastAsia="Times New Roman" w:cs="Times New Roman"/>
                <w:b/>
                <w:bCs/>
                <w:sz w:val="18"/>
                <w:szCs w:val="18"/>
              </w:rPr>
            </w:pPr>
            <w:r w:rsidRPr="00AA407C">
              <w:rPr>
                <w:rFonts w:eastAsia="Times New Roman" w:cs="Times New Roman"/>
                <w:b/>
                <w:bCs/>
                <w:sz w:val="18"/>
                <w:szCs w:val="18"/>
              </w:rPr>
              <w:t>44,8</w:t>
            </w:r>
          </w:p>
        </w:tc>
        <w:tc>
          <w:tcPr>
            <w:tcW w:w="850" w:type="dxa"/>
            <w:shd w:val="clear" w:color="auto" w:fill="auto"/>
            <w:tcMar>
              <w:left w:w="57" w:type="dxa"/>
              <w:right w:w="57" w:type="dxa"/>
            </w:tcMar>
            <w:vAlign w:val="center"/>
          </w:tcPr>
          <w:p w14:paraId="23D58EF0" w14:textId="0914EEE9" w:rsidR="006923DF" w:rsidRPr="00AA407C" w:rsidRDefault="006923DF" w:rsidP="006923DF">
            <w:pPr>
              <w:spacing w:line="259" w:lineRule="auto"/>
              <w:ind w:right="5" w:firstLine="0"/>
              <w:jc w:val="center"/>
              <w:rPr>
                <w:rFonts w:eastAsia="Times New Roman" w:cs="Times New Roman"/>
                <w:b/>
                <w:bCs/>
                <w:sz w:val="18"/>
                <w:szCs w:val="18"/>
              </w:rPr>
            </w:pPr>
            <w:r w:rsidRPr="00AA407C">
              <w:rPr>
                <w:rFonts w:eastAsia="Times New Roman" w:cs="Times New Roman"/>
                <w:b/>
                <w:bCs/>
                <w:sz w:val="18"/>
                <w:szCs w:val="18"/>
              </w:rPr>
              <w:t>45,3</w:t>
            </w:r>
          </w:p>
        </w:tc>
        <w:tc>
          <w:tcPr>
            <w:tcW w:w="851" w:type="dxa"/>
            <w:vAlign w:val="center"/>
          </w:tcPr>
          <w:p w14:paraId="52D954F8" w14:textId="031E231C" w:rsidR="006923DF" w:rsidRPr="00AA407C" w:rsidRDefault="006923DF" w:rsidP="006923DF">
            <w:pPr>
              <w:spacing w:line="259" w:lineRule="auto"/>
              <w:ind w:right="5" w:firstLine="0"/>
              <w:jc w:val="center"/>
              <w:rPr>
                <w:rFonts w:eastAsia="Times New Roman" w:cs="Times New Roman"/>
                <w:b/>
                <w:bCs/>
                <w:sz w:val="18"/>
                <w:szCs w:val="18"/>
              </w:rPr>
            </w:pPr>
            <w:r w:rsidRPr="00AA407C">
              <w:rPr>
                <w:rFonts w:eastAsia="Times New Roman" w:cs="Times New Roman"/>
                <w:b/>
                <w:bCs/>
                <w:sz w:val="18"/>
                <w:szCs w:val="18"/>
              </w:rPr>
              <w:t>44,6</w:t>
            </w:r>
          </w:p>
        </w:tc>
        <w:tc>
          <w:tcPr>
            <w:tcW w:w="850" w:type="dxa"/>
            <w:shd w:val="clear" w:color="auto" w:fill="auto"/>
            <w:tcMar>
              <w:left w:w="57" w:type="dxa"/>
              <w:right w:w="57" w:type="dxa"/>
            </w:tcMar>
            <w:vAlign w:val="center"/>
          </w:tcPr>
          <w:p w14:paraId="769D8861" w14:textId="3635A112" w:rsidR="006923DF" w:rsidRPr="00AA407C" w:rsidRDefault="006923DF" w:rsidP="006923DF">
            <w:pPr>
              <w:spacing w:line="259" w:lineRule="auto"/>
              <w:ind w:right="5" w:firstLine="0"/>
              <w:jc w:val="center"/>
              <w:rPr>
                <w:rFonts w:eastAsia="Times New Roman" w:cs="Times New Roman"/>
                <w:b/>
                <w:bCs/>
                <w:sz w:val="18"/>
                <w:szCs w:val="18"/>
              </w:rPr>
            </w:pPr>
            <w:r w:rsidRPr="00AA407C">
              <w:rPr>
                <w:rFonts w:eastAsia="Times New Roman" w:cs="Times New Roman"/>
                <w:b/>
                <w:bCs/>
                <w:sz w:val="18"/>
                <w:szCs w:val="18"/>
              </w:rPr>
              <w:t>46,6</w:t>
            </w:r>
          </w:p>
        </w:tc>
        <w:tc>
          <w:tcPr>
            <w:tcW w:w="851" w:type="dxa"/>
            <w:shd w:val="clear" w:color="auto" w:fill="auto"/>
            <w:tcMar>
              <w:left w:w="57" w:type="dxa"/>
              <w:right w:w="57" w:type="dxa"/>
            </w:tcMar>
            <w:vAlign w:val="center"/>
          </w:tcPr>
          <w:p w14:paraId="1485ECB9" w14:textId="4270F659" w:rsidR="006923DF" w:rsidRPr="00AA407C" w:rsidRDefault="006923DF" w:rsidP="006923DF">
            <w:pPr>
              <w:spacing w:line="259" w:lineRule="auto"/>
              <w:ind w:right="5" w:firstLine="0"/>
              <w:jc w:val="center"/>
              <w:rPr>
                <w:rFonts w:eastAsia="Times New Roman" w:cs="Times New Roman"/>
                <w:b/>
                <w:bCs/>
                <w:sz w:val="18"/>
                <w:szCs w:val="18"/>
              </w:rPr>
            </w:pPr>
            <w:r w:rsidRPr="00AA407C">
              <w:rPr>
                <w:rFonts w:eastAsia="Times New Roman" w:cs="Times New Roman"/>
                <w:b/>
                <w:bCs/>
                <w:sz w:val="18"/>
                <w:szCs w:val="18"/>
              </w:rPr>
              <w:t>45,6</w:t>
            </w:r>
          </w:p>
        </w:tc>
        <w:tc>
          <w:tcPr>
            <w:tcW w:w="708" w:type="dxa"/>
            <w:shd w:val="clear" w:color="auto" w:fill="auto"/>
            <w:tcMar>
              <w:left w:w="57" w:type="dxa"/>
              <w:right w:w="57" w:type="dxa"/>
            </w:tcMar>
            <w:vAlign w:val="center"/>
          </w:tcPr>
          <w:p w14:paraId="70D735DE" w14:textId="02A797C4" w:rsidR="006923DF" w:rsidRPr="00AA407C" w:rsidRDefault="006923DF" w:rsidP="006923DF">
            <w:pPr>
              <w:spacing w:line="259" w:lineRule="auto"/>
              <w:ind w:right="5" w:firstLine="0"/>
              <w:jc w:val="center"/>
              <w:rPr>
                <w:rFonts w:eastAsia="Times New Roman" w:cs="Times New Roman"/>
                <w:b/>
                <w:bCs/>
                <w:sz w:val="18"/>
                <w:szCs w:val="18"/>
              </w:rPr>
            </w:pPr>
            <w:r w:rsidRPr="00AA407C">
              <w:rPr>
                <w:rFonts w:eastAsia="Times New Roman" w:cs="Times New Roman"/>
                <w:b/>
                <w:bCs/>
                <w:sz w:val="18"/>
                <w:szCs w:val="18"/>
              </w:rPr>
              <w:t>-0,4</w:t>
            </w:r>
          </w:p>
        </w:tc>
        <w:tc>
          <w:tcPr>
            <w:tcW w:w="709" w:type="dxa"/>
            <w:vAlign w:val="center"/>
          </w:tcPr>
          <w:p w14:paraId="0B3A7C7D" w14:textId="7275EF1A" w:rsidR="006923DF" w:rsidRPr="00AA407C" w:rsidRDefault="006923DF" w:rsidP="006923DF">
            <w:pPr>
              <w:spacing w:line="259" w:lineRule="auto"/>
              <w:ind w:right="5" w:firstLine="0"/>
              <w:jc w:val="center"/>
              <w:rPr>
                <w:rFonts w:eastAsia="Times New Roman" w:cs="Times New Roman"/>
                <w:b/>
                <w:bCs/>
                <w:sz w:val="18"/>
                <w:szCs w:val="18"/>
              </w:rPr>
            </w:pPr>
            <w:r w:rsidRPr="00AA407C">
              <w:rPr>
                <w:rFonts w:eastAsia="Times New Roman" w:cs="Times New Roman"/>
                <w:b/>
                <w:bCs/>
                <w:sz w:val="18"/>
                <w:szCs w:val="18"/>
              </w:rPr>
              <w:t>-1,0</w:t>
            </w:r>
          </w:p>
        </w:tc>
        <w:tc>
          <w:tcPr>
            <w:tcW w:w="709" w:type="dxa"/>
            <w:shd w:val="clear" w:color="auto" w:fill="auto"/>
            <w:tcMar>
              <w:left w:w="57" w:type="dxa"/>
              <w:right w:w="57" w:type="dxa"/>
            </w:tcMar>
            <w:vAlign w:val="center"/>
          </w:tcPr>
          <w:p w14:paraId="5DC67E2E" w14:textId="31629B6E" w:rsidR="006923DF" w:rsidRPr="00AA407C" w:rsidRDefault="006923DF" w:rsidP="006923DF">
            <w:pPr>
              <w:spacing w:line="259" w:lineRule="auto"/>
              <w:ind w:right="5" w:firstLine="0"/>
              <w:jc w:val="center"/>
              <w:rPr>
                <w:rFonts w:eastAsia="Times New Roman" w:cs="Times New Roman"/>
                <w:b/>
                <w:bCs/>
                <w:sz w:val="18"/>
                <w:szCs w:val="18"/>
              </w:rPr>
            </w:pPr>
            <w:r w:rsidRPr="00AA407C">
              <w:rPr>
                <w:rFonts w:eastAsia="Times New Roman" w:cs="Times New Roman"/>
                <w:b/>
                <w:bCs/>
                <w:sz w:val="18"/>
                <w:szCs w:val="18"/>
              </w:rPr>
              <w:t>-1,6</w:t>
            </w:r>
          </w:p>
        </w:tc>
        <w:tc>
          <w:tcPr>
            <w:tcW w:w="709" w:type="dxa"/>
            <w:shd w:val="clear" w:color="auto" w:fill="auto"/>
            <w:tcMar>
              <w:left w:w="57" w:type="dxa"/>
              <w:right w:w="57" w:type="dxa"/>
            </w:tcMar>
            <w:vAlign w:val="center"/>
          </w:tcPr>
          <w:p w14:paraId="22E3A273" w14:textId="2EF1936B" w:rsidR="006923DF" w:rsidRPr="00AA407C" w:rsidRDefault="006923DF" w:rsidP="006923DF">
            <w:pPr>
              <w:spacing w:line="259" w:lineRule="auto"/>
              <w:ind w:right="5" w:firstLine="0"/>
              <w:jc w:val="center"/>
              <w:rPr>
                <w:rFonts w:eastAsia="Times New Roman" w:cs="Times New Roman"/>
                <w:b/>
                <w:bCs/>
                <w:sz w:val="18"/>
                <w:szCs w:val="18"/>
              </w:rPr>
            </w:pPr>
            <w:r w:rsidRPr="00AA407C">
              <w:rPr>
                <w:rFonts w:eastAsia="Times New Roman" w:cs="Times New Roman"/>
                <w:b/>
                <w:bCs/>
                <w:sz w:val="18"/>
                <w:szCs w:val="18"/>
              </w:rPr>
              <w:t>-2,2</w:t>
            </w:r>
          </w:p>
        </w:tc>
        <w:tc>
          <w:tcPr>
            <w:tcW w:w="709" w:type="dxa"/>
            <w:shd w:val="clear" w:color="auto" w:fill="auto"/>
            <w:tcMar>
              <w:left w:w="57" w:type="dxa"/>
              <w:right w:w="57" w:type="dxa"/>
            </w:tcMar>
            <w:vAlign w:val="center"/>
          </w:tcPr>
          <w:p w14:paraId="11DBD34C" w14:textId="04B13C27" w:rsidR="006923DF" w:rsidRPr="00AA407C" w:rsidRDefault="006923DF" w:rsidP="006923DF">
            <w:pPr>
              <w:spacing w:line="259" w:lineRule="auto"/>
              <w:ind w:right="5" w:firstLine="0"/>
              <w:jc w:val="center"/>
              <w:rPr>
                <w:rFonts w:eastAsia="Times New Roman" w:cs="Times New Roman"/>
                <w:b/>
                <w:bCs/>
                <w:sz w:val="18"/>
                <w:szCs w:val="18"/>
              </w:rPr>
            </w:pPr>
            <w:r w:rsidRPr="00AA407C">
              <w:rPr>
                <w:rFonts w:eastAsia="Times New Roman" w:cs="Times New Roman"/>
                <w:b/>
                <w:bCs/>
                <w:sz w:val="18"/>
                <w:szCs w:val="18"/>
              </w:rPr>
              <w:t>-2,6</w:t>
            </w:r>
          </w:p>
        </w:tc>
      </w:tr>
    </w:tbl>
    <w:p w14:paraId="385B3EA7" w14:textId="77777777" w:rsidR="00E6266D" w:rsidRPr="000C1AC0" w:rsidRDefault="00E6266D" w:rsidP="00E6266D">
      <w:pPr>
        <w:autoSpaceDE w:val="0"/>
        <w:autoSpaceDN w:val="0"/>
        <w:adjustRightInd w:val="0"/>
        <w:rPr>
          <w:rFonts w:eastAsia="Times New Roman" w:cs="Times New Roman"/>
          <w:sz w:val="24"/>
          <w:lang w:eastAsia="lv-LV"/>
        </w:rPr>
      </w:pPr>
    </w:p>
    <w:p w14:paraId="177E5580" w14:textId="15960C1C" w:rsidR="006923DF" w:rsidRPr="000C1AC0" w:rsidRDefault="006923DF" w:rsidP="00E6266D">
      <w:pPr>
        <w:autoSpaceDE w:val="0"/>
        <w:autoSpaceDN w:val="0"/>
        <w:adjustRightInd w:val="0"/>
        <w:rPr>
          <w:rFonts w:eastAsia="Times New Roman" w:cs="Times New Roman"/>
          <w:sz w:val="24"/>
          <w:szCs w:val="24"/>
          <w:lang w:eastAsia="lv-LV"/>
        </w:rPr>
      </w:pPr>
      <w:r w:rsidRPr="000C1AC0">
        <w:rPr>
          <w:rFonts w:eastAsia="Times New Roman" w:cs="Times New Roman"/>
          <w:sz w:val="24"/>
          <w:lang w:eastAsia="lv-LV"/>
        </w:rPr>
        <w:t>Īstenojoties ekonomiskās attīstības optimistiskajam scenārijam, nodokļu ieņēmumu</w:t>
      </w:r>
      <w:r w:rsidRPr="000C1AC0">
        <w:rPr>
          <w:rFonts w:eastAsia="Times New Roman" w:cs="Times New Roman"/>
          <w:sz w:val="24"/>
          <w:szCs w:val="24"/>
          <w:lang w:eastAsia="lv-LV"/>
        </w:rPr>
        <w:t xml:space="preserve"> palielināšanās ietekmē uzlabotos valsts budžeta finansiālā bilance, kā rezultātā samazinātos kopējā finansēšanas nepieciešamība un attiecīgi arī aizņemšanās apjoms attiecīgajā periodā, salīdzinot ar bāzes scenāriju. Mazāki aizņēmumi izraisītu ietaupījumu procentu izdevumos. Optimistiskā scenārija gadījumā procentu izdevumi 2025. gadā būtu par 1,5 milj. </w:t>
      </w:r>
      <w:proofErr w:type="spellStart"/>
      <w:r w:rsidRPr="000C1AC0">
        <w:rPr>
          <w:rFonts w:eastAsia="Times New Roman" w:cs="Times New Roman"/>
          <w:i/>
          <w:sz w:val="24"/>
          <w:szCs w:val="24"/>
          <w:lang w:eastAsia="lv-LV"/>
        </w:rPr>
        <w:t>euro</w:t>
      </w:r>
      <w:proofErr w:type="spellEnd"/>
      <w:r w:rsidRPr="000C1AC0">
        <w:rPr>
          <w:rFonts w:eastAsia="Times New Roman" w:cs="Times New Roman"/>
          <w:sz w:val="24"/>
          <w:szCs w:val="24"/>
          <w:lang w:eastAsia="lv-LV"/>
        </w:rPr>
        <w:t xml:space="preserve"> mazāki, un līdz 2028. gadam tie būtu jau par 18,9 milj. </w:t>
      </w:r>
      <w:proofErr w:type="spellStart"/>
      <w:r w:rsidRPr="000C1AC0">
        <w:rPr>
          <w:rFonts w:eastAsia="Times New Roman" w:cs="Times New Roman"/>
          <w:i/>
          <w:sz w:val="24"/>
          <w:szCs w:val="24"/>
          <w:lang w:eastAsia="lv-LV"/>
        </w:rPr>
        <w:t>euro</w:t>
      </w:r>
      <w:proofErr w:type="spellEnd"/>
      <w:r w:rsidRPr="000C1AC0">
        <w:rPr>
          <w:rFonts w:eastAsia="Times New Roman" w:cs="Times New Roman"/>
          <w:sz w:val="24"/>
          <w:szCs w:val="24"/>
          <w:lang w:eastAsia="lv-LV"/>
        </w:rPr>
        <w:t xml:space="preserve"> mazāki nekā bāzes scenārijā. </w:t>
      </w:r>
    </w:p>
    <w:p w14:paraId="0FEA92A0" w14:textId="77777777" w:rsidR="006923DF" w:rsidRPr="006D2EB7" w:rsidRDefault="006923DF" w:rsidP="006923DF">
      <w:pPr>
        <w:autoSpaceDE w:val="0"/>
        <w:autoSpaceDN w:val="0"/>
        <w:adjustRightInd w:val="0"/>
        <w:spacing w:before="120"/>
        <w:rPr>
          <w:rFonts w:eastAsia="Times New Roman" w:cs="Times New Roman"/>
          <w:sz w:val="24"/>
          <w:szCs w:val="24"/>
          <w:lang w:eastAsia="lv-LV"/>
        </w:rPr>
      </w:pPr>
    </w:p>
    <w:p w14:paraId="0B37ED0B" w14:textId="37DFB883" w:rsidR="006923DF" w:rsidRPr="006D2EB7" w:rsidRDefault="009A7932" w:rsidP="009A7932">
      <w:pPr>
        <w:keepNext/>
        <w:keepLines/>
        <w:spacing w:after="120" w:line="259" w:lineRule="auto"/>
        <w:ind w:firstLine="0"/>
        <w:jc w:val="center"/>
        <w:outlineLvl w:val="1"/>
        <w:rPr>
          <w:rFonts w:eastAsia="Times New Roman" w:cs="Times New Roman"/>
          <w:b/>
          <w:bCs/>
          <w:color w:val="000000"/>
          <w:szCs w:val="24"/>
          <w:lang w:eastAsia="lv-LV"/>
        </w:rPr>
      </w:pPr>
      <w:bookmarkStart w:id="61" w:name="_Toc38887979"/>
      <w:bookmarkStart w:id="62" w:name="_Toc164679834"/>
      <w:r>
        <w:rPr>
          <w:rFonts w:eastAsia="Times New Roman" w:cs="Times New Roman"/>
          <w:b/>
          <w:bCs/>
          <w:color w:val="000000"/>
          <w:szCs w:val="24"/>
          <w:lang w:eastAsia="lv-LV"/>
        </w:rPr>
        <w:t xml:space="preserve">4.4. </w:t>
      </w:r>
      <w:r w:rsidR="006923DF" w:rsidRPr="006D2EB7">
        <w:rPr>
          <w:rFonts w:eastAsia="Times New Roman" w:cs="Times New Roman"/>
          <w:b/>
          <w:bCs/>
          <w:color w:val="000000"/>
          <w:szCs w:val="24"/>
          <w:lang w:eastAsia="lv-LV"/>
        </w:rPr>
        <w:t>Vispārējās valdības budžeta bilances un parāda prognožu salīdzinājums ar Latvijas Stabilitātes programmu 2023.</w:t>
      </w:r>
      <w:r w:rsidR="00DF009D">
        <w:rPr>
          <w:rFonts w:eastAsia="Times New Roman" w:cs="Times New Roman"/>
          <w:b/>
          <w:bCs/>
          <w:color w:val="000000"/>
          <w:szCs w:val="24"/>
          <w:lang w:eastAsia="lv-LV"/>
        </w:rPr>
        <w:t xml:space="preserve"> </w:t>
      </w:r>
      <w:r w:rsidR="006923DF" w:rsidRPr="006D2EB7">
        <w:rPr>
          <w:rFonts w:eastAsia="Times New Roman" w:cs="Times New Roman"/>
          <w:b/>
          <w:bCs/>
          <w:color w:val="000000"/>
          <w:szCs w:val="24"/>
          <w:lang w:eastAsia="lv-LV"/>
        </w:rPr>
        <w:t>–</w:t>
      </w:r>
      <w:r w:rsidR="00DF009D">
        <w:rPr>
          <w:rFonts w:eastAsia="Times New Roman" w:cs="Times New Roman"/>
          <w:b/>
          <w:bCs/>
          <w:color w:val="000000"/>
          <w:szCs w:val="24"/>
          <w:lang w:eastAsia="lv-LV"/>
        </w:rPr>
        <w:t xml:space="preserve"> </w:t>
      </w:r>
      <w:r w:rsidR="006923DF" w:rsidRPr="006D2EB7">
        <w:rPr>
          <w:rFonts w:eastAsia="Times New Roman" w:cs="Times New Roman"/>
          <w:b/>
          <w:bCs/>
          <w:color w:val="000000"/>
          <w:szCs w:val="24"/>
          <w:lang w:eastAsia="lv-LV"/>
        </w:rPr>
        <w:t>2026.</w:t>
      </w:r>
      <w:r w:rsidR="006D2EB7" w:rsidRPr="006D2EB7">
        <w:rPr>
          <w:rFonts w:eastAsia="Times New Roman" w:cs="Times New Roman"/>
          <w:b/>
          <w:bCs/>
          <w:color w:val="000000"/>
          <w:szCs w:val="24"/>
          <w:lang w:eastAsia="lv-LV"/>
        </w:rPr>
        <w:t xml:space="preserve"> </w:t>
      </w:r>
      <w:r w:rsidR="006923DF" w:rsidRPr="006D2EB7">
        <w:rPr>
          <w:rFonts w:eastAsia="Times New Roman" w:cs="Times New Roman"/>
          <w:b/>
          <w:bCs/>
          <w:color w:val="000000"/>
          <w:szCs w:val="24"/>
          <w:lang w:eastAsia="lv-LV"/>
        </w:rPr>
        <w:t>gadam</w:t>
      </w:r>
      <w:bookmarkEnd w:id="61"/>
      <w:bookmarkEnd w:id="62"/>
    </w:p>
    <w:p w14:paraId="7B8D7F35" w14:textId="159523B6" w:rsidR="006923DF" w:rsidRPr="006D2EB7" w:rsidRDefault="006923DF" w:rsidP="00FF1B5A">
      <w:pPr>
        <w:spacing w:before="120" w:after="240"/>
        <w:ind w:firstLine="709"/>
        <w:rPr>
          <w:rFonts w:eastAsia="Times New Roman" w:cs="Times New Roman"/>
          <w:sz w:val="24"/>
          <w:szCs w:val="24"/>
        </w:rPr>
      </w:pPr>
      <w:r w:rsidRPr="006D2EB7">
        <w:rPr>
          <w:rFonts w:eastAsia="Times New Roman" w:cs="Times New Roman"/>
          <w:sz w:val="24"/>
          <w:szCs w:val="24"/>
        </w:rPr>
        <w:t xml:space="preserve">Saskaņā ar šā gada februārī izstrādāto scenāriju Latvijas </w:t>
      </w:r>
      <w:r w:rsidR="006D2EB7" w:rsidRPr="006D2EB7">
        <w:rPr>
          <w:rFonts w:eastAsia="Times New Roman" w:cs="Times New Roman"/>
          <w:sz w:val="24"/>
          <w:szCs w:val="24"/>
        </w:rPr>
        <w:t>IKP</w:t>
      </w:r>
      <w:r w:rsidRPr="006D2EB7">
        <w:rPr>
          <w:rFonts w:eastAsia="Times New Roman" w:cs="Times New Roman"/>
          <w:sz w:val="24"/>
          <w:szCs w:val="24"/>
        </w:rPr>
        <w:t xml:space="preserve"> 2024. gadā palielināsies par 1,4%, bet 2025. gadā gaidāma ekonomikas izaugsmes paātrināšanās līdz 2,9%. Salīdzinot ar </w:t>
      </w:r>
      <w:r w:rsidRPr="006D2EB7">
        <w:rPr>
          <w:rFonts w:eastAsia="Calibri" w:cs="Times New Roman"/>
          <w:sz w:val="24"/>
          <w:szCs w:val="24"/>
        </w:rPr>
        <w:t>Latvijas Stabilitātes programmas 2023.</w:t>
      </w:r>
      <w:r w:rsidR="00DF009D">
        <w:rPr>
          <w:rFonts w:eastAsia="Calibri" w:cs="Times New Roman"/>
          <w:sz w:val="24"/>
          <w:szCs w:val="24"/>
        </w:rPr>
        <w:t xml:space="preserve"> </w:t>
      </w:r>
      <w:r w:rsidRPr="006D2EB7">
        <w:rPr>
          <w:rFonts w:eastAsia="Calibri" w:cs="Times New Roman"/>
          <w:sz w:val="24"/>
          <w:szCs w:val="24"/>
        </w:rPr>
        <w:t>–</w:t>
      </w:r>
      <w:r w:rsidR="00DF009D">
        <w:rPr>
          <w:rFonts w:eastAsia="Calibri" w:cs="Times New Roman"/>
          <w:sz w:val="24"/>
          <w:szCs w:val="24"/>
        </w:rPr>
        <w:t xml:space="preserve"> </w:t>
      </w:r>
      <w:r w:rsidRPr="006D2EB7">
        <w:rPr>
          <w:rFonts w:eastAsia="Calibri" w:cs="Times New Roman"/>
          <w:sz w:val="24"/>
          <w:szCs w:val="24"/>
        </w:rPr>
        <w:t>2026. gadam scenāriju, IKP prognoze 2024.</w:t>
      </w:r>
      <w:r w:rsidR="006D2EB7" w:rsidRPr="006D2EB7">
        <w:rPr>
          <w:rFonts w:eastAsia="Calibri" w:cs="Times New Roman"/>
          <w:sz w:val="24"/>
          <w:szCs w:val="24"/>
        </w:rPr>
        <w:t xml:space="preserve"> </w:t>
      </w:r>
      <w:r w:rsidRPr="006D2EB7">
        <w:rPr>
          <w:rFonts w:eastAsia="Calibri" w:cs="Times New Roman"/>
          <w:sz w:val="24"/>
          <w:szCs w:val="24"/>
        </w:rPr>
        <w:t>gadam ir samazināta par 0,6</w:t>
      </w:r>
      <w:r w:rsidRPr="006D2EB7">
        <w:rPr>
          <w:rFonts w:eastAsia="Times New Roman" w:cs="Times New Roman"/>
          <w:sz w:val="24"/>
          <w:szCs w:val="24"/>
        </w:rPr>
        <w:t xml:space="preserve"> procentpunktiem, bet 2025. gadam prognoze nav mainīta. Nākamajos trīs gados ekonomikas izaugsme nedaudz palēnināsies, 2026. gadā veidojot 2,5% un līdz 2028. gadam palēninoties līdz 2,3%. Zemāku ekonomikas izaugsmes prognozi 2024. gadam lielā mērā noteica 2023. gada dinamika, jo IKP pieaugums nesasniedza prognozēto. Tā iemesls bija </w:t>
      </w:r>
      <w:r w:rsidR="006D2EB7">
        <w:rPr>
          <w:rFonts w:eastAsia="Times New Roman" w:cs="Times New Roman"/>
          <w:sz w:val="24"/>
          <w:szCs w:val="24"/>
        </w:rPr>
        <w:t>sarūkošs</w:t>
      </w:r>
      <w:r w:rsidRPr="006D2EB7">
        <w:rPr>
          <w:rFonts w:eastAsia="Times New Roman" w:cs="Times New Roman"/>
          <w:sz w:val="24"/>
          <w:szCs w:val="24"/>
        </w:rPr>
        <w:t xml:space="preserve"> pieprasījums ārējā tirgū un augstais cenu līmenis, kavējot privātā patēriņa izaugsmi Latvijā. </w:t>
      </w:r>
    </w:p>
    <w:p w14:paraId="7E5607A4" w14:textId="4DCEE7D4" w:rsidR="006923DF" w:rsidRPr="000F5AFF" w:rsidRDefault="000F5AFF" w:rsidP="000F5AFF">
      <w:pPr>
        <w:keepNext/>
        <w:spacing w:after="120"/>
        <w:ind w:left="709" w:firstLine="0"/>
        <w:jc w:val="right"/>
        <w:rPr>
          <w:rFonts w:eastAsia="Times New Roman" w:cs="Times New Roman"/>
          <w:b/>
          <w:i/>
          <w:iCs/>
          <w:sz w:val="24"/>
          <w:szCs w:val="20"/>
        </w:rPr>
      </w:pPr>
      <w:r>
        <w:rPr>
          <w:rFonts w:eastAsia="Times New Roman" w:cs="Times New Roman"/>
          <w:b/>
          <w:i/>
          <w:iCs/>
          <w:sz w:val="24"/>
          <w:szCs w:val="20"/>
        </w:rPr>
        <w:t>4.5.</w:t>
      </w:r>
      <w:r w:rsidR="002D443D" w:rsidRPr="000F5AFF">
        <w:rPr>
          <w:rFonts w:eastAsia="Times New Roman" w:cs="Times New Roman"/>
          <w:b/>
          <w:i/>
          <w:iCs/>
          <w:sz w:val="24"/>
          <w:szCs w:val="20"/>
        </w:rPr>
        <w:t xml:space="preserve"> </w:t>
      </w:r>
      <w:r w:rsidR="006923DF" w:rsidRPr="000F5AFF">
        <w:rPr>
          <w:rFonts w:eastAsia="Times New Roman" w:cs="Times New Roman"/>
          <w:b/>
          <w:i/>
          <w:iCs/>
          <w:sz w:val="24"/>
          <w:szCs w:val="20"/>
        </w:rPr>
        <w:t>tabula. Salīdzinājums ar 2023. – 2026.</w:t>
      </w:r>
      <w:r w:rsidR="002D443D" w:rsidRPr="000F5AFF">
        <w:rPr>
          <w:rFonts w:eastAsia="Times New Roman" w:cs="Times New Roman"/>
          <w:b/>
          <w:i/>
          <w:iCs/>
          <w:sz w:val="24"/>
          <w:szCs w:val="20"/>
        </w:rPr>
        <w:t xml:space="preserve"> </w:t>
      </w:r>
      <w:r w:rsidR="006923DF" w:rsidRPr="000F5AFF">
        <w:rPr>
          <w:rFonts w:eastAsia="Times New Roman" w:cs="Times New Roman"/>
          <w:b/>
          <w:i/>
          <w:iCs/>
          <w:sz w:val="24"/>
          <w:szCs w:val="20"/>
        </w:rPr>
        <w:t>gada</w:t>
      </w:r>
      <w:r w:rsidR="006923DF" w:rsidRPr="000F5AFF">
        <w:rPr>
          <w:rFonts w:eastAsia="Times New Roman" w:cs="Times New Roman"/>
          <w:b/>
          <w:i/>
          <w:iCs/>
          <w:sz w:val="24"/>
          <w:szCs w:val="20"/>
        </w:rPr>
        <w:br/>
        <w:t>Stabilitātes programmas prognozēm (pie nemainīgas politikas)</w:t>
      </w:r>
    </w:p>
    <w:tbl>
      <w:tblPr>
        <w:tblW w:w="9346"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3545"/>
        <w:gridCol w:w="709"/>
        <w:gridCol w:w="840"/>
        <w:gridCol w:w="851"/>
        <w:gridCol w:w="850"/>
        <w:gridCol w:w="851"/>
        <w:gridCol w:w="850"/>
        <w:gridCol w:w="850"/>
      </w:tblGrid>
      <w:tr w:rsidR="006923DF" w:rsidRPr="006D2EB7" w14:paraId="281D673F" w14:textId="77777777" w:rsidTr="006923DF">
        <w:trPr>
          <w:tblHeader/>
          <w:jc w:val="center"/>
        </w:trPr>
        <w:tc>
          <w:tcPr>
            <w:tcW w:w="3545" w:type="dxa"/>
            <w:shd w:val="clear" w:color="auto" w:fill="BDD6EE"/>
          </w:tcPr>
          <w:p w14:paraId="4570144A" w14:textId="77777777" w:rsidR="006923DF" w:rsidRPr="006D2EB7" w:rsidRDefault="006923DF" w:rsidP="006923DF">
            <w:pPr>
              <w:ind w:firstLine="0"/>
              <w:jc w:val="left"/>
              <w:rPr>
                <w:rFonts w:eastAsia="Times New Roman" w:cs="Times New Roman"/>
                <w:b/>
                <w:bCs/>
                <w:sz w:val="20"/>
                <w:szCs w:val="20"/>
              </w:rPr>
            </w:pPr>
          </w:p>
        </w:tc>
        <w:tc>
          <w:tcPr>
            <w:tcW w:w="709" w:type="dxa"/>
            <w:shd w:val="clear" w:color="auto" w:fill="BDD6EE"/>
            <w:vAlign w:val="center"/>
          </w:tcPr>
          <w:p w14:paraId="77C74281" w14:textId="77777777" w:rsidR="006923DF" w:rsidRPr="006D2EB7" w:rsidRDefault="006923DF" w:rsidP="006923DF">
            <w:pPr>
              <w:ind w:firstLine="0"/>
              <w:jc w:val="center"/>
              <w:rPr>
                <w:rFonts w:eastAsia="Times New Roman" w:cs="Times New Roman"/>
                <w:b/>
                <w:bCs/>
                <w:sz w:val="20"/>
                <w:szCs w:val="20"/>
              </w:rPr>
            </w:pPr>
            <w:r w:rsidRPr="006D2EB7">
              <w:rPr>
                <w:rFonts w:eastAsia="Times New Roman" w:cs="Times New Roman"/>
                <w:b/>
                <w:bCs/>
                <w:sz w:val="20"/>
                <w:szCs w:val="20"/>
              </w:rPr>
              <w:t>EKS kods</w:t>
            </w:r>
          </w:p>
        </w:tc>
        <w:tc>
          <w:tcPr>
            <w:tcW w:w="840" w:type="dxa"/>
            <w:shd w:val="clear" w:color="auto" w:fill="BDD6EE"/>
            <w:vAlign w:val="center"/>
          </w:tcPr>
          <w:p w14:paraId="324F5716" w14:textId="77777777" w:rsidR="006923DF" w:rsidRPr="006D2EB7" w:rsidRDefault="006923DF" w:rsidP="006923DF">
            <w:pPr>
              <w:ind w:firstLine="0"/>
              <w:jc w:val="center"/>
              <w:rPr>
                <w:rFonts w:eastAsia="Times New Roman" w:cs="Times New Roman"/>
                <w:b/>
                <w:bCs/>
                <w:sz w:val="20"/>
                <w:szCs w:val="20"/>
              </w:rPr>
            </w:pPr>
            <w:r w:rsidRPr="006D2EB7">
              <w:rPr>
                <w:rFonts w:eastAsia="Times New Roman" w:cs="Times New Roman"/>
                <w:b/>
                <w:bCs/>
                <w:sz w:val="20"/>
                <w:szCs w:val="20"/>
              </w:rPr>
              <w:t>2023</w:t>
            </w:r>
          </w:p>
        </w:tc>
        <w:tc>
          <w:tcPr>
            <w:tcW w:w="851" w:type="dxa"/>
            <w:shd w:val="clear" w:color="auto" w:fill="BDD6EE"/>
            <w:vAlign w:val="center"/>
          </w:tcPr>
          <w:p w14:paraId="28CCA329" w14:textId="77777777" w:rsidR="006923DF" w:rsidRPr="006D2EB7" w:rsidRDefault="006923DF" w:rsidP="006923DF">
            <w:pPr>
              <w:ind w:firstLine="0"/>
              <w:jc w:val="center"/>
              <w:rPr>
                <w:rFonts w:eastAsia="Times New Roman" w:cs="Times New Roman"/>
                <w:b/>
                <w:bCs/>
                <w:sz w:val="20"/>
                <w:szCs w:val="20"/>
              </w:rPr>
            </w:pPr>
            <w:r w:rsidRPr="006D2EB7">
              <w:rPr>
                <w:rFonts w:eastAsia="Times New Roman" w:cs="Times New Roman"/>
                <w:b/>
                <w:bCs/>
                <w:sz w:val="20"/>
                <w:szCs w:val="20"/>
              </w:rPr>
              <w:t>2024</w:t>
            </w:r>
          </w:p>
        </w:tc>
        <w:tc>
          <w:tcPr>
            <w:tcW w:w="850" w:type="dxa"/>
            <w:shd w:val="clear" w:color="auto" w:fill="BDD6EE"/>
            <w:vAlign w:val="center"/>
          </w:tcPr>
          <w:p w14:paraId="4D9C3043" w14:textId="77777777" w:rsidR="006923DF" w:rsidRPr="006D2EB7" w:rsidRDefault="006923DF" w:rsidP="006923DF">
            <w:pPr>
              <w:ind w:firstLine="0"/>
              <w:jc w:val="center"/>
              <w:rPr>
                <w:rFonts w:eastAsia="Times New Roman" w:cs="Times New Roman"/>
                <w:b/>
                <w:bCs/>
                <w:sz w:val="20"/>
                <w:szCs w:val="20"/>
              </w:rPr>
            </w:pPr>
            <w:r w:rsidRPr="006D2EB7">
              <w:rPr>
                <w:rFonts w:eastAsia="Times New Roman" w:cs="Times New Roman"/>
                <w:b/>
                <w:bCs/>
                <w:sz w:val="20"/>
                <w:szCs w:val="20"/>
              </w:rPr>
              <w:t>2025</w:t>
            </w:r>
          </w:p>
        </w:tc>
        <w:tc>
          <w:tcPr>
            <w:tcW w:w="851" w:type="dxa"/>
            <w:shd w:val="clear" w:color="auto" w:fill="BDD6EE"/>
            <w:vAlign w:val="center"/>
          </w:tcPr>
          <w:p w14:paraId="7BF46868" w14:textId="77777777" w:rsidR="006923DF" w:rsidRPr="006D2EB7" w:rsidRDefault="006923DF" w:rsidP="006923DF">
            <w:pPr>
              <w:ind w:firstLine="0"/>
              <w:jc w:val="center"/>
              <w:rPr>
                <w:rFonts w:eastAsia="Times New Roman" w:cs="Times New Roman"/>
                <w:b/>
                <w:bCs/>
                <w:sz w:val="20"/>
                <w:szCs w:val="20"/>
              </w:rPr>
            </w:pPr>
            <w:r w:rsidRPr="006D2EB7">
              <w:rPr>
                <w:rFonts w:eastAsia="Times New Roman" w:cs="Times New Roman"/>
                <w:b/>
                <w:bCs/>
                <w:sz w:val="20"/>
                <w:szCs w:val="20"/>
              </w:rPr>
              <w:t>2026</w:t>
            </w:r>
          </w:p>
        </w:tc>
        <w:tc>
          <w:tcPr>
            <w:tcW w:w="850" w:type="dxa"/>
            <w:shd w:val="clear" w:color="auto" w:fill="BDD6EE"/>
            <w:vAlign w:val="center"/>
          </w:tcPr>
          <w:p w14:paraId="6A565776" w14:textId="77777777" w:rsidR="006923DF" w:rsidRPr="006D2EB7" w:rsidRDefault="006923DF" w:rsidP="006923DF">
            <w:pPr>
              <w:ind w:firstLine="0"/>
              <w:jc w:val="center"/>
              <w:rPr>
                <w:rFonts w:eastAsia="Times New Roman" w:cs="Times New Roman"/>
                <w:b/>
                <w:bCs/>
                <w:sz w:val="20"/>
                <w:szCs w:val="20"/>
              </w:rPr>
            </w:pPr>
            <w:r w:rsidRPr="006D2EB7">
              <w:rPr>
                <w:rFonts w:eastAsia="Times New Roman" w:cs="Times New Roman"/>
                <w:b/>
                <w:bCs/>
                <w:sz w:val="20"/>
                <w:szCs w:val="20"/>
              </w:rPr>
              <w:t>2027</w:t>
            </w:r>
          </w:p>
        </w:tc>
        <w:tc>
          <w:tcPr>
            <w:tcW w:w="850" w:type="dxa"/>
            <w:shd w:val="clear" w:color="auto" w:fill="BDD6EE"/>
            <w:vAlign w:val="center"/>
          </w:tcPr>
          <w:p w14:paraId="0D664979" w14:textId="77777777" w:rsidR="006923DF" w:rsidRPr="006D2EB7" w:rsidRDefault="006923DF" w:rsidP="006923DF">
            <w:pPr>
              <w:ind w:firstLine="0"/>
              <w:jc w:val="center"/>
              <w:rPr>
                <w:rFonts w:eastAsia="Times New Roman" w:cs="Times New Roman"/>
                <w:b/>
                <w:bCs/>
                <w:sz w:val="20"/>
                <w:szCs w:val="20"/>
              </w:rPr>
            </w:pPr>
            <w:r w:rsidRPr="006D2EB7">
              <w:rPr>
                <w:rFonts w:eastAsia="Times New Roman" w:cs="Times New Roman"/>
                <w:b/>
                <w:bCs/>
                <w:sz w:val="20"/>
                <w:szCs w:val="20"/>
              </w:rPr>
              <w:t>2028</w:t>
            </w:r>
          </w:p>
        </w:tc>
      </w:tr>
      <w:tr w:rsidR="006923DF" w:rsidRPr="006D2EB7" w14:paraId="203DA8E9" w14:textId="77777777" w:rsidTr="0049223A">
        <w:trPr>
          <w:jc w:val="center"/>
        </w:trPr>
        <w:tc>
          <w:tcPr>
            <w:tcW w:w="3545" w:type="dxa"/>
            <w:shd w:val="clear" w:color="auto" w:fill="auto"/>
          </w:tcPr>
          <w:p w14:paraId="0B0EAFE3" w14:textId="77777777" w:rsidR="006923DF" w:rsidRPr="006D2EB7" w:rsidRDefault="006923DF" w:rsidP="006923DF">
            <w:pPr>
              <w:ind w:firstLine="0"/>
              <w:jc w:val="left"/>
              <w:rPr>
                <w:rFonts w:eastAsia="Times New Roman" w:cs="Times New Roman"/>
                <w:b/>
                <w:snapToGrid w:val="0"/>
                <w:sz w:val="20"/>
                <w:szCs w:val="20"/>
              </w:rPr>
            </w:pPr>
            <w:r w:rsidRPr="006D2EB7">
              <w:rPr>
                <w:rFonts w:eastAsia="Times New Roman" w:cs="Times New Roman"/>
                <w:b/>
                <w:sz w:val="20"/>
                <w:szCs w:val="20"/>
              </w:rPr>
              <w:t>IKP pieaugums (%)</w:t>
            </w:r>
          </w:p>
        </w:tc>
        <w:tc>
          <w:tcPr>
            <w:tcW w:w="709" w:type="dxa"/>
            <w:shd w:val="clear" w:color="auto" w:fill="auto"/>
            <w:vAlign w:val="center"/>
          </w:tcPr>
          <w:p w14:paraId="4D7E3C54" w14:textId="77777777" w:rsidR="006923DF" w:rsidRPr="006D2EB7" w:rsidRDefault="006923DF" w:rsidP="006923DF">
            <w:pPr>
              <w:ind w:firstLine="0"/>
              <w:jc w:val="center"/>
              <w:rPr>
                <w:rFonts w:eastAsia="Times New Roman" w:cs="Times New Roman"/>
                <w:sz w:val="20"/>
                <w:szCs w:val="20"/>
              </w:rPr>
            </w:pPr>
            <w:r w:rsidRPr="006D2EB7">
              <w:rPr>
                <w:rFonts w:eastAsia="Times New Roman" w:cs="Times New Roman"/>
                <w:sz w:val="20"/>
                <w:szCs w:val="20"/>
              </w:rPr>
              <w:t>B1g</w:t>
            </w:r>
          </w:p>
        </w:tc>
        <w:tc>
          <w:tcPr>
            <w:tcW w:w="840" w:type="dxa"/>
            <w:shd w:val="clear" w:color="auto" w:fill="auto"/>
            <w:vAlign w:val="center"/>
          </w:tcPr>
          <w:p w14:paraId="7EDD4A70" w14:textId="77777777" w:rsidR="006923DF" w:rsidRPr="006D2EB7" w:rsidRDefault="006923DF" w:rsidP="006923DF">
            <w:pPr>
              <w:ind w:firstLine="0"/>
              <w:jc w:val="left"/>
              <w:rPr>
                <w:rFonts w:eastAsia="Times New Roman" w:cs="Times New Roman"/>
                <w:sz w:val="20"/>
                <w:szCs w:val="20"/>
              </w:rPr>
            </w:pPr>
          </w:p>
        </w:tc>
        <w:tc>
          <w:tcPr>
            <w:tcW w:w="851" w:type="dxa"/>
            <w:shd w:val="clear" w:color="auto" w:fill="auto"/>
            <w:vAlign w:val="center"/>
          </w:tcPr>
          <w:p w14:paraId="0A7DA86C" w14:textId="77777777" w:rsidR="006923DF" w:rsidRPr="006D2EB7" w:rsidRDefault="006923DF" w:rsidP="006923DF">
            <w:pPr>
              <w:ind w:firstLine="0"/>
              <w:jc w:val="left"/>
              <w:rPr>
                <w:rFonts w:eastAsia="Times New Roman" w:cs="Times New Roman"/>
                <w:sz w:val="20"/>
                <w:szCs w:val="20"/>
              </w:rPr>
            </w:pPr>
          </w:p>
        </w:tc>
        <w:tc>
          <w:tcPr>
            <w:tcW w:w="850" w:type="dxa"/>
            <w:shd w:val="clear" w:color="auto" w:fill="auto"/>
            <w:vAlign w:val="center"/>
          </w:tcPr>
          <w:p w14:paraId="11B2E2EC" w14:textId="77777777" w:rsidR="006923DF" w:rsidRPr="006D2EB7" w:rsidRDefault="006923DF" w:rsidP="006923DF">
            <w:pPr>
              <w:ind w:firstLine="0"/>
              <w:jc w:val="left"/>
              <w:rPr>
                <w:rFonts w:eastAsia="Arial Unicode MS" w:cs="Times New Roman"/>
                <w:sz w:val="20"/>
                <w:szCs w:val="20"/>
              </w:rPr>
            </w:pPr>
          </w:p>
        </w:tc>
        <w:tc>
          <w:tcPr>
            <w:tcW w:w="851" w:type="dxa"/>
            <w:shd w:val="clear" w:color="auto" w:fill="auto"/>
            <w:vAlign w:val="center"/>
          </w:tcPr>
          <w:p w14:paraId="16B8273E" w14:textId="77777777" w:rsidR="006923DF" w:rsidRPr="006D2EB7" w:rsidRDefault="006923DF" w:rsidP="006923DF">
            <w:pPr>
              <w:ind w:firstLine="0"/>
              <w:jc w:val="left"/>
              <w:rPr>
                <w:rFonts w:eastAsia="Times New Roman" w:cs="Times New Roman"/>
                <w:sz w:val="20"/>
                <w:szCs w:val="20"/>
              </w:rPr>
            </w:pPr>
          </w:p>
        </w:tc>
        <w:tc>
          <w:tcPr>
            <w:tcW w:w="850" w:type="dxa"/>
            <w:shd w:val="clear" w:color="auto" w:fill="auto"/>
            <w:vAlign w:val="center"/>
          </w:tcPr>
          <w:p w14:paraId="31C62F25" w14:textId="77777777" w:rsidR="006923DF" w:rsidRPr="006D2EB7" w:rsidRDefault="006923DF" w:rsidP="006923DF">
            <w:pPr>
              <w:ind w:firstLine="0"/>
              <w:jc w:val="left"/>
              <w:rPr>
                <w:rFonts w:eastAsia="Times New Roman" w:cs="Times New Roman"/>
                <w:sz w:val="20"/>
                <w:szCs w:val="20"/>
              </w:rPr>
            </w:pPr>
          </w:p>
        </w:tc>
        <w:tc>
          <w:tcPr>
            <w:tcW w:w="850" w:type="dxa"/>
            <w:vAlign w:val="center"/>
          </w:tcPr>
          <w:p w14:paraId="1B0B6C12" w14:textId="77777777" w:rsidR="006923DF" w:rsidRPr="006D2EB7" w:rsidRDefault="006923DF" w:rsidP="006923DF">
            <w:pPr>
              <w:ind w:firstLine="0"/>
              <w:jc w:val="center"/>
              <w:rPr>
                <w:rFonts w:eastAsia="Times New Roman" w:cs="Times New Roman"/>
                <w:b/>
                <w:bCs/>
                <w:sz w:val="20"/>
                <w:szCs w:val="20"/>
              </w:rPr>
            </w:pPr>
          </w:p>
        </w:tc>
      </w:tr>
      <w:tr w:rsidR="006923DF" w:rsidRPr="006D2EB7" w14:paraId="3FA71AE8" w14:textId="77777777" w:rsidTr="006923DF">
        <w:trPr>
          <w:jc w:val="center"/>
        </w:trPr>
        <w:tc>
          <w:tcPr>
            <w:tcW w:w="3545" w:type="dxa"/>
            <w:shd w:val="clear" w:color="auto" w:fill="DEEAF6"/>
          </w:tcPr>
          <w:p w14:paraId="7885B939" w14:textId="77777777" w:rsidR="006923DF" w:rsidRPr="006D2EB7" w:rsidRDefault="006923DF" w:rsidP="006923DF">
            <w:pPr>
              <w:ind w:firstLine="0"/>
              <w:jc w:val="right"/>
              <w:rPr>
                <w:rFonts w:eastAsia="Times New Roman" w:cs="Times New Roman"/>
                <w:bCs/>
                <w:sz w:val="20"/>
                <w:szCs w:val="20"/>
              </w:rPr>
            </w:pPr>
            <w:r w:rsidRPr="006D2EB7">
              <w:rPr>
                <w:rFonts w:eastAsia="Times New Roman" w:cs="Times New Roman"/>
                <w:bCs/>
                <w:sz w:val="20"/>
                <w:szCs w:val="20"/>
              </w:rPr>
              <w:t>2023.gads</w:t>
            </w:r>
          </w:p>
        </w:tc>
        <w:tc>
          <w:tcPr>
            <w:tcW w:w="709" w:type="dxa"/>
            <w:shd w:val="clear" w:color="auto" w:fill="DEEAF6"/>
            <w:vAlign w:val="center"/>
          </w:tcPr>
          <w:p w14:paraId="3D1FC3F5" w14:textId="77777777" w:rsidR="006923DF" w:rsidRPr="006D2EB7" w:rsidRDefault="006923DF" w:rsidP="006923DF">
            <w:pPr>
              <w:ind w:firstLine="0"/>
              <w:jc w:val="center"/>
              <w:rPr>
                <w:rFonts w:eastAsia="Times New Roman" w:cs="Times New Roman"/>
                <w:sz w:val="20"/>
                <w:szCs w:val="20"/>
              </w:rPr>
            </w:pPr>
          </w:p>
        </w:tc>
        <w:tc>
          <w:tcPr>
            <w:tcW w:w="840" w:type="dxa"/>
            <w:shd w:val="clear" w:color="auto" w:fill="DEEAF6"/>
            <w:vAlign w:val="bottom"/>
          </w:tcPr>
          <w:p w14:paraId="06AD5869"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0,0</w:t>
            </w:r>
          </w:p>
        </w:tc>
        <w:tc>
          <w:tcPr>
            <w:tcW w:w="851" w:type="dxa"/>
            <w:shd w:val="clear" w:color="auto" w:fill="DEEAF6"/>
            <w:vAlign w:val="bottom"/>
          </w:tcPr>
          <w:p w14:paraId="432575C8"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2,0</w:t>
            </w:r>
          </w:p>
        </w:tc>
        <w:tc>
          <w:tcPr>
            <w:tcW w:w="850" w:type="dxa"/>
            <w:shd w:val="clear" w:color="auto" w:fill="DEEAF6"/>
            <w:vAlign w:val="bottom"/>
          </w:tcPr>
          <w:p w14:paraId="0F2457FF"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2,9</w:t>
            </w:r>
          </w:p>
        </w:tc>
        <w:tc>
          <w:tcPr>
            <w:tcW w:w="851" w:type="dxa"/>
            <w:shd w:val="clear" w:color="auto" w:fill="DEEAF6"/>
            <w:vAlign w:val="bottom"/>
          </w:tcPr>
          <w:p w14:paraId="0050790E"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2,8</w:t>
            </w:r>
          </w:p>
        </w:tc>
        <w:tc>
          <w:tcPr>
            <w:tcW w:w="850" w:type="dxa"/>
            <w:shd w:val="clear" w:color="auto" w:fill="DEEAF6"/>
            <w:vAlign w:val="bottom"/>
          </w:tcPr>
          <w:p w14:paraId="2A40B008"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rPr>
              <w:t>-</w:t>
            </w:r>
          </w:p>
        </w:tc>
        <w:tc>
          <w:tcPr>
            <w:tcW w:w="850" w:type="dxa"/>
            <w:shd w:val="clear" w:color="auto" w:fill="DEEAF6"/>
            <w:vAlign w:val="bottom"/>
          </w:tcPr>
          <w:p w14:paraId="0EADE140" w14:textId="77777777" w:rsidR="006923DF" w:rsidRPr="006D2EB7" w:rsidRDefault="006923DF" w:rsidP="006923DF">
            <w:pPr>
              <w:ind w:firstLine="0"/>
              <w:jc w:val="right"/>
              <w:rPr>
                <w:rFonts w:eastAsia="Times New Roman" w:cs="Times New Roman"/>
                <w:b/>
                <w:bCs/>
                <w:sz w:val="20"/>
                <w:szCs w:val="20"/>
              </w:rPr>
            </w:pPr>
            <w:r w:rsidRPr="006D2EB7">
              <w:rPr>
                <w:rFonts w:eastAsia="Times New Roman" w:cs="Times New Roman"/>
                <w:sz w:val="20"/>
                <w:szCs w:val="20"/>
              </w:rPr>
              <w:t>-</w:t>
            </w:r>
          </w:p>
        </w:tc>
      </w:tr>
      <w:tr w:rsidR="006923DF" w:rsidRPr="006D2EB7" w14:paraId="5C2EDB92" w14:textId="77777777" w:rsidTr="0049223A">
        <w:trPr>
          <w:jc w:val="center"/>
        </w:trPr>
        <w:tc>
          <w:tcPr>
            <w:tcW w:w="3545" w:type="dxa"/>
            <w:shd w:val="clear" w:color="auto" w:fill="auto"/>
          </w:tcPr>
          <w:p w14:paraId="08C01B23" w14:textId="77777777" w:rsidR="006923DF" w:rsidRPr="006D2EB7" w:rsidRDefault="006923DF" w:rsidP="006923DF">
            <w:pPr>
              <w:ind w:firstLine="0"/>
              <w:jc w:val="right"/>
              <w:rPr>
                <w:rFonts w:eastAsia="Times New Roman" w:cs="Times New Roman"/>
                <w:bCs/>
                <w:sz w:val="20"/>
                <w:szCs w:val="20"/>
              </w:rPr>
            </w:pPr>
            <w:r w:rsidRPr="006D2EB7">
              <w:rPr>
                <w:rFonts w:eastAsia="Times New Roman" w:cs="Times New Roman"/>
                <w:bCs/>
                <w:sz w:val="20"/>
                <w:szCs w:val="20"/>
              </w:rPr>
              <w:t xml:space="preserve">2024.gads  </w:t>
            </w:r>
          </w:p>
        </w:tc>
        <w:tc>
          <w:tcPr>
            <w:tcW w:w="709" w:type="dxa"/>
            <w:shd w:val="clear" w:color="auto" w:fill="auto"/>
            <w:vAlign w:val="center"/>
          </w:tcPr>
          <w:p w14:paraId="4CDDD3EC" w14:textId="77777777" w:rsidR="006923DF" w:rsidRPr="006D2EB7" w:rsidRDefault="006923DF" w:rsidP="006923DF">
            <w:pPr>
              <w:ind w:firstLine="0"/>
              <w:jc w:val="center"/>
              <w:rPr>
                <w:rFonts w:eastAsia="Times New Roman" w:cs="Times New Roman"/>
                <w:sz w:val="20"/>
                <w:szCs w:val="20"/>
              </w:rPr>
            </w:pPr>
          </w:p>
        </w:tc>
        <w:tc>
          <w:tcPr>
            <w:tcW w:w="840" w:type="dxa"/>
            <w:shd w:val="clear" w:color="auto" w:fill="auto"/>
            <w:vAlign w:val="bottom"/>
          </w:tcPr>
          <w:p w14:paraId="7517E623"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-0,3</w:t>
            </w:r>
          </w:p>
        </w:tc>
        <w:tc>
          <w:tcPr>
            <w:tcW w:w="851" w:type="dxa"/>
            <w:shd w:val="clear" w:color="auto" w:fill="auto"/>
            <w:vAlign w:val="bottom"/>
          </w:tcPr>
          <w:p w14:paraId="30E4D203"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1,4</w:t>
            </w:r>
          </w:p>
        </w:tc>
        <w:tc>
          <w:tcPr>
            <w:tcW w:w="850" w:type="dxa"/>
            <w:shd w:val="clear" w:color="auto" w:fill="auto"/>
            <w:vAlign w:val="bottom"/>
          </w:tcPr>
          <w:p w14:paraId="55599C53"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2,9</w:t>
            </w:r>
          </w:p>
        </w:tc>
        <w:tc>
          <w:tcPr>
            <w:tcW w:w="851" w:type="dxa"/>
            <w:shd w:val="clear" w:color="auto" w:fill="auto"/>
            <w:vAlign w:val="bottom"/>
          </w:tcPr>
          <w:p w14:paraId="69CEF0D2"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2,5</w:t>
            </w:r>
          </w:p>
        </w:tc>
        <w:tc>
          <w:tcPr>
            <w:tcW w:w="850" w:type="dxa"/>
            <w:shd w:val="clear" w:color="auto" w:fill="auto"/>
            <w:vAlign w:val="bottom"/>
          </w:tcPr>
          <w:p w14:paraId="42F98BDE"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2,3</w:t>
            </w:r>
          </w:p>
        </w:tc>
        <w:tc>
          <w:tcPr>
            <w:tcW w:w="850" w:type="dxa"/>
            <w:vAlign w:val="bottom"/>
          </w:tcPr>
          <w:p w14:paraId="7A77ACD8" w14:textId="77777777" w:rsidR="006923DF" w:rsidRPr="006D2EB7" w:rsidRDefault="006923DF" w:rsidP="006923DF">
            <w:pPr>
              <w:ind w:firstLine="0"/>
              <w:jc w:val="right"/>
              <w:rPr>
                <w:rFonts w:eastAsia="Times New Roman" w:cs="Times New Roman"/>
                <w:b/>
                <w:bCs/>
                <w:sz w:val="20"/>
                <w:szCs w:val="20"/>
              </w:rPr>
            </w:pPr>
            <w:r w:rsidRPr="006D2EB7">
              <w:rPr>
                <w:rFonts w:eastAsia="Times New Roman" w:cs="Times New Roman"/>
                <w:sz w:val="20"/>
                <w:szCs w:val="20"/>
                <w:lang w:eastAsia="lv-LV"/>
              </w:rPr>
              <w:t>2,3</w:t>
            </w:r>
          </w:p>
        </w:tc>
      </w:tr>
      <w:tr w:rsidR="006923DF" w:rsidRPr="006D2EB7" w14:paraId="4449F912" w14:textId="77777777" w:rsidTr="006923DF">
        <w:trPr>
          <w:jc w:val="center"/>
        </w:trPr>
        <w:tc>
          <w:tcPr>
            <w:tcW w:w="3545" w:type="dxa"/>
            <w:shd w:val="clear" w:color="auto" w:fill="DEEAF6"/>
          </w:tcPr>
          <w:p w14:paraId="0CAA48AF" w14:textId="77777777" w:rsidR="006923DF" w:rsidRPr="006D2EB7" w:rsidRDefault="006923DF" w:rsidP="006923DF">
            <w:pPr>
              <w:ind w:firstLine="0"/>
              <w:jc w:val="right"/>
              <w:rPr>
                <w:rFonts w:eastAsia="Times New Roman" w:cs="Times New Roman"/>
                <w:bCs/>
                <w:sz w:val="20"/>
                <w:szCs w:val="20"/>
              </w:rPr>
            </w:pPr>
            <w:r w:rsidRPr="006D2EB7">
              <w:rPr>
                <w:rFonts w:eastAsia="Times New Roman" w:cs="Times New Roman"/>
                <w:bCs/>
                <w:snapToGrid w:val="0"/>
                <w:sz w:val="20"/>
                <w:szCs w:val="20"/>
              </w:rPr>
              <w:t>Izmaiņas</w:t>
            </w:r>
          </w:p>
        </w:tc>
        <w:tc>
          <w:tcPr>
            <w:tcW w:w="709" w:type="dxa"/>
            <w:shd w:val="clear" w:color="auto" w:fill="DEEAF6"/>
            <w:vAlign w:val="center"/>
          </w:tcPr>
          <w:p w14:paraId="7BB3107A" w14:textId="77777777" w:rsidR="006923DF" w:rsidRPr="006D2EB7" w:rsidRDefault="006923DF" w:rsidP="006923DF">
            <w:pPr>
              <w:ind w:firstLine="0"/>
              <w:jc w:val="center"/>
              <w:rPr>
                <w:rFonts w:eastAsia="Times New Roman" w:cs="Times New Roman"/>
                <w:sz w:val="20"/>
                <w:szCs w:val="20"/>
              </w:rPr>
            </w:pPr>
          </w:p>
        </w:tc>
        <w:tc>
          <w:tcPr>
            <w:tcW w:w="840" w:type="dxa"/>
            <w:shd w:val="clear" w:color="auto" w:fill="DEEAF6"/>
            <w:vAlign w:val="bottom"/>
          </w:tcPr>
          <w:p w14:paraId="1F8C0D49"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-0,3</w:t>
            </w:r>
          </w:p>
        </w:tc>
        <w:tc>
          <w:tcPr>
            <w:tcW w:w="851" w:type="dxa"/>
            <w:shd w:val="clear" w:color="auto" w:fill="DEEAF6"/>
            <w:vAlign w:val="bottom"/>
          </w:tcPr>
          <w:p w14:paraId="5AE671D3"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-0,6</w:t>
            </w:r>
          </w:p>
        </w:tc>
        <w:tc>
          <w:tcPr>
            <w:tcW w:w="850" w:type="dxa"/>
            <w:shd w:val="clear" w:color="auto" w:fill="DEEAF6"/>
            <w:vAlign w:val="bottom"/>
          </w:tcPr>
          <w:p w14:paraId="55A9905B"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0,0</w:t>
            </w:r>
          </w:p>
        </w:tc>
        <w:tc>
          <w:tcPr>
            <w:tcW w:w="851" w:type="dxa"/>
            <w:shd w:val="clear" w:color="auto" w:fill="DEEAF6"/>
            <w:vAlign w:val="bottom"/>
          </w:tcPr>
          <w:p w14:paraId="6513D1B1"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-0,3</w:t>
            </w:r>
          </w:p>
        </w:tc>
        <w:tc>
          <w:tcPr>
            <w:tcW w:w="850" w:type="dxa"/>
            <w:shd w:val="clear" w:color="auto" w:fill="DEEAF6"/>
            <w:vAlign w:val="bottom"/>
          </w:tcPr>
          <w:p w14:paraId="44605CF3"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w:t>
            </w:r>
          </w:p>
        </w:tc>
        <w:tc>
          <w:tcPr>
            <w:tcW w:w="850" w:type="dxa"/>
            <w:shd w:val="clear" w:color="auto" w:fill="DEEAF6"/>
            <w:vAlign w:val="bottom"/>
          </w:tcPr>
          <w:p w14:paraId="3FDAB476" w14:textId="77777777" w:rsidR="006923DF" w:rsidRPr="006D2EB7" w:rsidRDefault="006923DF" w:rsidP="006923DF">
            <w:pPr>
              <w:ind w:firstLine="0"/>
              <w:jc w:val="right"/>
              <w:rPr>
                <w:rFonts w:eastAsia="Times New Roman" w:cs="Times New Roman"/>
                <w:b/>
                <w:bCs/>
                <w:sz w:val="20"/>
                <w:szCs w:val="20"/>
              </w:rPr>
            </w:pPr>
            <w:r w:rsidRPr="006D2EB7">
              <w:rPr>
                <w:rFonts w:eastAsia="Times New Roman" w:cs="Times New Roman"/>
                <w:sz w:val="20"/>
                <w:szCs w:val="20"/>
                <w:lang w:eastAsia="lv-LV"/>
              </w:rPr>
              <w:t>-</w:t>
            </w:r>
          </w:p>
        </w:tc>
      </w:tr>
      <w:tr w:rsidR="006923DF" w:rsidRPr="006D2EB7" w14:paraId="2B7ED7DA" w14:textId="77777777" w:rsidTr="0049223A">
        <w:trPr>
          <w:jc w:val="center"/>
        </w:trPr>
        <w:tc>
          <w:tcPr>
            <w:tcW w:w="3545" w:type="dxa"/>
            <w:shd w:val="clear" w:color="auto" w:fill="auto"/>
          </w:tcPr>
          <w:p w14:paraId="64E4F816" w14:textId="77777777" w:rsidR="006923DF" w:rsidRPr="006D2EB7" w:rsidRDefault="006923DF" w:rsidP="006923DF">
            <w:pPr>
              <w:ind w:firstLine="0"/>
              <w:rPr>
                <w:rFonts w:eastAsia="Times New Roman" w:cs="Times New Roman"/>
                <w:b/>
                <w:sz w:val="20"/>
                <w:szCs w:val="20"/>
              </w:rPr>
            </w:pPr>
            <w:r w:rsidRPr="006D2EB7">
              <w:rPr>
                <w:rFonts w:eastAsia="Times New Roman" w:cs="Times New Roman"/>
                <w:b/>
                <w:sz w:val="20"/>
                <w:szCs w:val="20"/>
              </w:rPr>
              <w:t>Faktiskā budžeta bilance</w:t>
            </w:r>
          </w:p>
          <w:p w14:paraId="3F0E47F2" w14:textId="77777777" w:rsidR="006923DF" w:rsidRPr="006D2EB7" w:rsidRDefault="006923DF" w:rsidP="006923DF">
            <w:pPr>
              <w:ind w:firstLine="0"/>
              <w:jc w:val="left"/>
              <w:rPr>
                <w:rFonts w:eastAsia="Times New Roman" w:cs="Times New Roman"/>
                <w:bCs/>
                <w:snapToGrid w:val="0"/>
                <w:sz w:val="20"/>
                <w:szCs w:val="20"/>
              </w:rPr>
            </w:pPr>
            <w:r w:rsidRPr="006D2EB7">
              <w:rPr>
                <w:rFonts w:eastAsia="Times New Roman" w:cs="Times New Roman"/>
                <w:b/>
                <w:sz w:val="20"/>
                <w:szCs w:val="20"/>
              </w:rPr>
              <w:t>(% no IKP)</w:t>
            </w:r>
          </w:p>
        </w:tc>
        <w:tc>
          <w:tcPr>
            <w:tcW w:w="709" w:type="dxa"/>
            <w:shd w:val="clear" w:color="auto" w:fill="auto"/>
            <w:vAlign w:val="center"/>
          </w:tcPr>
          <w:p w14:paraId="21EAF498" w14:textId="77777777" w:rsidR="006923DF" w:rsidRPr="006D2EB7" w:rsidRDefault="006923DF" w:rsidP="006923DF">
            <w:pPr>
              <w:ind w:firstLine="0"/>
              <w:jc w:val="center"/>
              <w:rPr>
                <w:rFonts w:eastAsia="Times New Roman" w:cs="Times New Roman"/>
                <w:sz w:val="20"/>
                <w:szCs w:val="20"/>
              </w:rPr>
            </w:pPr>
            <w:r w:rsidRPr="006D2EB7">
              <w:rPr>
                <w:rFonts w:eastAsia="Times New Roman" w:cs="Times New Roman"/>
                <w:sz w:val="20"/>
                <w:szCs w:val="20"/>
              </w:rPr>
              <w:t>B.9</w:t>
            </w:r>
          </w:p>
        </w:tc>
        <w:tc>
          <w:tcPr>
            <w:tcW w:w="840" w:type="dxa"/>
            <w:shd w:val="clear" w:color="auto" w:fill="auto"/>
            <w:vAlign w:val="center"/>
          </w:tcPr>
          <w:p w14:paraId="4DB6315A" w14:textId="77777777" w:rsidR="006923DF" w:rsidRPr="006D2EB7" w:rsidRDefault="006923DF" w:rsidP="006923DF">
            <w:pPr>
              <w:ind w:firstLine="0"/>
              <w:jc w:val="right"/>
              <w:rPr>
                <w:rFonts w:eastAsia="Calibri" w:cs="Times New Roman"/>
                <w:sz w:val="20"/>
                <w:szCs w:val="20"/>
              </w:rPr>
            </w:pPr>
          </w:p>
        </w:tc>
        <w:tc>
          <w:tcPr>
            <w:tcW w:w="851" w:type="dxa"/>
            <w:shd w:val="clear" w:color="auto" w:fill="auto"/>
            <w:vAlign w:val="center"/>
          </w:tcPr>
          <w:p w14:paraId="61902422" w14:textId="77777777" w:rsidR="006923DF" w:rsidRPr="006D2EB7" w:rsidRDefault="006923DF" w:rsidP="006923DF">
            <w:pPr>
              <w:ind w:firstLine="0"/>
              <w:jc w:val="right"/>
              <w:rPr>
                <w:rFonts w:eastAsia="Calibri" w:cs="Times New Roman"/>
                <w:sz w:val="20"/>
                <w:szCs w:val="20"/>
              </w:rPr>
            </w:pPr>
          </w:p>
        </w:tc>
        <w:tc>
          <w:tcPr>
            <w:tcW w:w="850" w:type="dxa"/>
            <w:shd w:val="clear" w:color="auto" w:fill="auto"/>
            <w:vAlign w:val="center"/>
          </w:tcPr>
          <w:p w14:paraId="71C70F67" w14:textId="77777777" w:rsidR="006923DF" w:rsidRPr="006D2EB7" w:rsidRDefault="006923DF" w:rsidP="006923DF">
            <w:pPr>
              <w:ind w:firstLine="0"/>
              <w:jc w:val="right"/>
              <w:rPr>
                <w:rFonts w:eastAsia="Calibri" w:cs="Times New Roman"/>
                <w:sz w:val="20"/>
                <w:szCs w:val="20"/>
              </w:rPr>
            </w:pPr>
          </w:p>
        </w:tc>
        <w:tc>
          <w:tcPr>
            <w:tcW w:w="851" w:type="dxa"/>
            <w:shd w:val="clear" w:color="auto" w:fill="auto"/>
            <w:vAlign w:val="center"/>
          </w:tcPr>
          <w:p w14:paraId="7CA6E790" w14:textId="77777777" w:rsidR="006923DF" w:rsidRPr="006D2EB7" w:rsidRDefault="006923DF" w:rsidP="006923DF">
            <w:pPr>
              <w:ind w:firstLine="0"/>
              <w:jc w:val="right"/>
              <w:rPr>
                <w:rFonts w:eastAsia="Calibri" w:cs="Times New Roman"/>
                <w:sz w:val="20"/>
                <w:szCs w:val="20"/>
              </w:rPr>
            </w:pPr>
          </w:p>
        </w:tc>
        <w:tc>
          <w:tcPr>
            <w:tcW w:w="850" w:type="dxa"/>
            <w:shd w:val="clear" w:color="auto" w:fill="auto"/>
            <w:vAlign w:val="center"/>
          </w:tcPr>
          <w:p w14:paraId="2A0E76FA" w14:textId="77777777" w:rsidR="006923DF" w:rsidRPr="006D2EB7" w:rsidRDefault="006923DF" w:rsidP="006923DF">
            <w:pPr>
              <w:ind w:firstLine="0"/>
              <w:jc w:val="right"/>
              <w:rPr>
                <w:rFonts w:eastAsia="Calibri" w:cs="Times New Roman"/>
                <w:sz w:val="20"/>
                <w:szCs w:val="20"/>
              </w:rPr>
            </w:pPr>
          </w:p>
        </w:tc>
        <w:tc>
          <w:tcPr>
            <w:tcW w:w="850" w:type="dxa"/>
            <w:vAlign w:val="center"/>
          </w:tcPr>
          <w:p w14:paraId="07F70B72" w14:textId="77777777" w:rsidR="006923DF" w:rsidRPr="006D2EB7" w:rsidRDefault="006923DF" w:rsidP="006923DF">
            <w:pPr>
              <w:ind w:firstLine="0"/>
              <w:jc w:val="right"/>
              <w:rPr>
                <w:rFonts w:eastAsia="Times New Roman" w:cs="Times New Roman"/>
                <w:b/>
                <w:bCs/>
                <w:sz w:val="20"/>
                <w:szCs w:val="20"/>
              </w:rPr>
            </w:pPr>
          </w:p>
        </w:tc>
      </w:tr>
      <w:tr w:rsidR="006923DF" w:rsidRPr="006D2EB7" w14:paraId="1FB5DABF" w14:textId="77777777" w:rsidTr="006923DF">
        <w:trPr>
          <w:jc w:val="center"/>
        </w:trPr>
        <w:tc>
          <w:tcPr>
            <w:tcW w:w="3545" w:type="dxa"/>
            <w:shd w:val="clear" w:color="auto" w:fill="DEEAF6"/>
          </w:tcPr>
          <w:p w14:paraId="3C2B8BF4" w14:textId="77777777" w:rsidR="006923DF" w:rsidRPr="006D2EB7" w:rsidRDefault="006923DF" w:rsidP="006923DF">
            <w:pPr>
              <w:ind w:firstLine="0"/>
              <w:jc w:val="right"/>
              <w:rPr>
                <w:rFonts w:eastAsia="Times New Roman" w:cs="Times New Roman"/>
                <w:b/>
                <w:bCs/>
                <w:snapToGrid w:val="0"/>
                <w:sz w:val="20"/>
                <w:szCs w:val="20"/>
              </w:rPr>
            </w:pPr>
            <w:r w:rsidRPr="006D2EB7">
              <w:rPr>
                <w:rFonts w:eastAsia="Times New Roman" w:cs="Times New Roman"/>
                <w:bCs/>
                <w:sz w:val="20"/>
                <w:szCs w:val="20"/>
              </w:rPr>
              <w:t>2023.gads</w:t>
            </w:r>
          </w:p>
        </w:tc>
        <w:tc>
          <w:tcPr>
            <w:tcW w:w="709" w:type="dxa"/>
            <w:shd w:val="clear" w:color="auto" w:fill="DEEAF6"/>
            <w:vAlign w:val="center"/>
          </w:tcPr>
          <w:p w14:paraId="6DA4ED99" w14:textId="77777777" w:rsidR="006923DF" w:rsidRPr="006D2EB7" w:rsidRDefault="006923DF" w:rsidP="006923DF">
            <w:pPr>
              <w:ind w:firstLine="0"/>
              <w:jc w:val="center"/>
              <w:rPr>
                <w:rFonts w:eastAsia="Times New Roman" w:cs="Times New Roman"/>
                <w:sz w:val="20"/>
                <w:szCs w:val="20"/>
              </w:rPr>
            </w:pPr>
          </w:p>
        </w:tc>
        <w:tc>
          <w:tcPr>
            <w:tcW w:w="840" w:type="dxa"/>
            <w:shd w:val="clear" w:color="auto" w:fill="DEEAF6"/>
            <w:vAlign w:val="bottom"/>
          </w:tcPr>
          <w:p w14:paraId="6B3BFE3D" w14:textId="77777777" w:rsidR="006923DF" w:rsidRPr="006D2EB7" w:rsidRDefault="006923DF" w:rsidP="006923DF">
            <w:pPr>
              <w:ind w:firstLine="0"/>
              <w:jc w:val="right"/>
              <w:rPr>
                <w:rFonts w:eastAsia="Times New Roman" w:cs="Times New Roman"/>
                <w:sz w:val="20"/>
                <w:szCs w:val="20"/>
              </w:rPr>
            </w:pPr>
            <w:r w:rsidRPr="006D2EB7">
              <w:rPr>
                <w:rFonts w:eastAsia="Times New Roman" w:cs="Times New Roman"/>
                <w:sz w:val="20"/>
                <w:szCs w:val="20"/>
                <w:lang w:eastAsia="lv-LV"/>
              </w:rPr>
              <w:t>-4,0</w:t>
            </w:r>
          </w:p>
        </w:tc>
        <w:tc>
          <w:tcPr>
            <w:tcW w:w="851" w:type="dxa"/>
            <w:shd w:val="clear" w:color="auto" w:fill="DEEAF6"/>
            <w:vAlign w:val="bottom"/>
          </w:tcPr>
          <w:p w14:paraId="77956D82" w14:textId="77777777" w:rsidR="006923DF" w:rsidRPr="006D2EB7" w:rsidRDefault="006923DF" w:rsidP="006923DF">
            <w:pPr>
              <w:ind w:firstLine="0"/>
              <w:jc w:val="right"/>
              <w:rPr>
                <w:rFonts w:eastAsia="Times New Roman" w:cs="Times New Roman"/>
                <w:sz w:val="20"/>
                <w:szCs w:val="20"/>
              </w:rPr>
            </w:pPr>
            <w:r w:rsidRPr="006D2EB7">
              <w:rPr>
                <w:rFonts w:eastAsia="Times New Roman" w:cs="Times New Roman"/>
                <w:sz w:val="20"/>
                <w:szCs w:val="20"/>
                <w:lang w:eastAsia="lv-LV"/>
              </w:rPr>
              <w:t>-2,5</w:t>
            </w:r>
          </w:p>
        </w:tc>
        <w:tc>
          <w:tcPr>
            <w:tcW w:w="850" w:type="dxa"/>
            <w:shd w:val="clear" w:color="auto" w:fill="DEEAF6"/>
            <w:vAlign w:val="bottom"/>
          </w:tcPr>
          <w:p w14:paraId="3A96FE1A" w14:textId="77777777" w:rsidR="006923DF" w:rsidRPr="006D2EB7" w:rsidRDefault="006923DF" w:rsidP="006923DF">
            <w:pPr>
              <w:ind w:firstLine="0"/>
              <w:jc w:val="right"/>
              <w:rPr>
                <w:rFonts w:eastAsia="Times New Roman" w:cs="Times New Roman"/>
                <w:sz w:val="20"/>
                <w:szCs w:val="20"/>
              </w:rPr>
            </w:pPr>
            <w:r w:rsidRPr="006D2EB7">
              <w:rPr>
                <w:rFonts w:eastAsia="Times New Roman" w:cs="Times New Roman"/>
                <w:sz w:val="20"/>
                <w:szCs w:val="20"/>
                <w:lang w:eastAsia="lv-LV"/>
              </w:rPr>
              <w:t>-2,2</w:t>
            </w:r>
          </w:p>
        </w:tc>
        <w:tc>
          <w:tcPr>
            <w:tcW w:w="851" w:type="dxa"/>
            <w:shd w:val="clear" w:color="auto" w:fill="DEEAF6"/>
            <w:vAlign w:val="bottom"/>
          </w:tcPr>
          <w:p w14:paraId="4D9EF83F" w14:textId="77777777" w:rsidR="006923DF" w:rsidRPr="006D2EB7" w:rsidRDefault="006923DF" w:rsidP="006923DF">
            <w:pPr>
              <w:ind w:firstLine="0"/>
              <w:jc w:val="right"/>
              <w:rPr>
                <w:rFonts w:eastAsia="Times New Roman" w:cs="Times New Roman"/>
                <w:sz w:val="20"/>
                <w:szCs w:val="20"/>
              </w:rPr>
            </w:pPr>
            <w:r w:rsidRPr="006D2EB7">
              <w:rPr>
                <w:rFonts w:eastAsia="Times New Roman" w:cs="Times New Roman"/>
                <w:sz w:val="20"/>
                <w:szCs w:val="20"/>
                <w:lang w:eastAsia="lv-LV"/>
              </w:rPr>
              <w:t>-0,7</w:t>
            </w:r>
          </w:p>
        </w:tc>
        <w:tc>
          <w:tcPr>
            <w:tcW w:w="850" w:type="dxa"/>
            <w:shd w:val="clear" w:color="auto" w:fill="DEEAF6"/>
            <w:vAlign w:val="bottom"/>
          </w:tcPr>
          <w:p w14:paraId="66A669B1" w14:textId="77777777" w:rsidR="006923DF" w:rsidRPr="006D2EB7" w:rsidRDefault="006923DF" w:rsidP="006923DF">
            <w:pPr>
              <w:tabs>
                <w:tab w:val="decimal" w:pos="330"/>
              </w:tabs>
              <w:ind w:firstLine="0"/>
              <w:jc w:val="right"/>
              <w:rPr>
                <w:rFonts w:eastAsia="Times New Roman" w:cs="Times New Roman"/>
                <w:sz w:val="20"/>
                <w:szCs w:val="20"/>
              </w:rPr>
            </w:pPr>
            <w:r w:rsidRPr="006D2EB7">
              <w:rPr>
                <w:rFonts w:eastAsia="Times New Roman" w:cs="Times New Roman"/>
                <w:sz w:val="20"/>
                <w:szCs w:val="20"/>
                <w:lang w:eastAsia="lv-LV"/>
              </w:rPr>
              <w:t xml:space="preserve"> -</w:t>
            </w:r>
          </w:p>
        </w:tc>
        <w:tc>
          <w:tcPr>
            <w:tcW w:w="850" w:type="dxa"/>
            <w:shd w:val="clear" w:color="auto" w:fill="DEEAF6"/>
            <w:vAlign w:val="bottom"/>
          </w:tcPr>
          <w:p w14:paraId="19319F38" w14:textId="77777777" w:rsidR="006923DF" w:rsidRPr="006D2EB7" w:rsidRDefault="006923DF" w:rsidP="006923DF">
            <w:pPr>
              <w:ind w:firstLine="0"/>
              <w:jc w:val="right"/>
              <w:rPr>
                <w:rFonts w:eastAsia="Times New Roman" w:cs="Times New Roman"/>
                <w:b/>
                <w:bCs/>
                <w:sz w:val="20"/>
                <w:szCs w:val="20"/>
              </w:rPr>
            </w:pPr>
            <w:r w:rsidRPr="006D2EB7">
              <w:rPr>
                <w:rFonts w:eastAsia="Times New Roman" w:cs="Times New Roman"/>
                <w:sz w:val="20"/>
                <w:szCs w:val="20"/>
                <w:lang w:eastAsia="lv-LV"/>
              </w:rPr>
              <w:t xml:space="preserve"> -</w:t>
            </w:r>
          </w:p>
        </w:tc>
      </w:tr>
      <w:tr w:rsidR="006923DF" w:rsidRPr="006D2EB7" w14:paraId="0EE75F1D" w14:textId="77777777" w:rsidTr="0049223A">
        <w:trPr>
          <w:jc w:val="center"/>
        </w:trPr>
        <w:tc>
          <w:tcPr>
            <w:tcW w:w="3545" w:type="dxa"/>
            <w:shd w:val="clear" w:color="auto" w:fill="auto"/>
          </w:tcPr>
          <w:p w14:paraId="1E959C18" w14:textId="77777777" w:rsidR="006923DF" w:rsidRPr="006D2EB7" w:rsidRDefault="006923DF" w:rsidP="006923DF">
            <w:pPr>
              <w:ind w:firstLine="0"/>
              <w:jc w:val="right"/>
              <w:rPr>
                <w:rFonts w:eastAsia="Times New Roman" w:cs="Times New Roman"/>
                <w:bCs/>
                <w:sz w:val="20"/>
                <w:szCs w:val="20"/>
              </w:rPr>
            </w:pPr>
            <w:r w:rsidRPr="006D2EB7">
              <w:rPr>
                <w:rFonts w:eastAsia="Times New Roman" w:cs="Times New Roman"/>
                <w:bCs/>
                <w:sz w:val="20"/>
                <w:szCs w:val="20"/>
              </w:rPr>
              <w:t>2024.gads</w:t>
            </w:r>
          </w:p>
        </w:tc>
        <w:tc>
          <w:tcPr>
            <w:tcW w:w="709" w:type="dxa"/>
            <w:shd w:val="clear" w:color="auto" w:fill="auto"/>
            <w:vAlign w:val="center"/>
          </w:tcPr>
          <w:p w14:paraId="6C91FBDD" w14:textId="77777777" w:rsidR="006923DF" w:rsidRPr="006D2EB7" w:rsidRDefault="006923DF" w:rsidP="006923DF">
            <w:pPr>
              <w:ind w:firstLine="0"/>
              <w:jc w:val="center"/>
              <w:rPr>
                <w:rFonts w:eastAsia="Times New Roman" w:cs="Times New Roman"/>
                <w:sz w:val="20"/>
                <w:szCs w:val="20"/>
              </w:rPr>
            </w:pPr>
          </w:p>
        </w:tc>
        <w:tc>
          <w:tcPr>
            <w:tcW w:w="840" w:type="dxa"/>
            <w:shd w:val="clear" w:color="auto" w:fill="auto"/>
            <w:vAlign w:val="bottom"/>
          </w:tcPr>
          <w:p w14:paraId="37784180" w14:textId="77777777" w:rsidR="006923DF" w:rsidRPr="006D2EB7" w:rsidRDefault="006923DF" w:rsidP="006923DF">
            <w:pPr>
              <w:tabs>
                <w:tab w:val="decimal" w:pos="330"/>
              </w:tabs>
              <w:ind w:firstLine="0"/>
              <w:jc w:val="right"/>
              <w:rPr>
                <w:rFonts w:eastAsia="Times New Roman" w:cs="Times New Roman"/>
                <w:sz w:val="20"/>
                <w:szCs w:val="20"/>
              </w:rPr>
            </w:pPr>
            <w:r w:rsidRPr="006D2EB7">
              <w:rPr>
                <w:rFonts w:eastAsia="Times New Roman" w:cs="Times New Roman"/>
                <w:sz w:val="20"/>
                <w:szCs w:val="20"/>
                <w:lang w:eastAsia="lv-LV"/>
              </w:rPr>
              <w:t>-2,3</w:t>
            </w:r>
          </w:p>
        </w:tc>
        <w:tc>
          <w:tcPr>
            <w:tcW w:w="851" w:type="dxa"/>
            <w:shd w:val="clear" w:color="auto" w:fill="auto"/>
            <w:vAlign w:val="bottom"/>
          </w:tcPr>
          <w:p w14:paraId="1B759ADA" w14:textId="77777777" w:rsidR="006923DF" w:rsidRPr="006D2EB7" w:rsidRDefault="006923DF" w:rsidP="006923DF">
            <w:pPr>
              <w:tabs>
                <w:tab w:val="decimal" w:pos="330"/>
              </w:tabs>
              <w:ind w:firstLine="0"/>
              <w:jc w:val="right"/>
              <w:rPr>
                <w:rFonts w:eastAsia="Times New Roman" w:cs="Times New Roman"/>
                <w:sz w:val="20"/>
                <w:szCs w:val="20"/>
              </w:rPr>
            </w:pPr>
            <w:r w:rsidRPr="006D2EB7">
              <w:rPr>
                <w:rFonts w:eastAsia="Times New Roman" w:cs="Times New Roman"/>
                <w:sz w:val="20"/>
                <w:szCs w:val="20"/>
                <w:lang w:eastAsia="lv-LV"/>
              </w:rPr>
              <w:t>-2,9</w:t>
            </w:r>
          </w:p>
        </w:tc>
        <w:tc>
          <w:tcPr>
            <w:tcW w:w="850" w:type="dxa"/>
            <w:shd w:val="clear" w:color="auto" w:fill="auto"/>
            <w:vAlign w:val="bottom"/>
          </w:tcPr>
          <w:p w14:paraId="09C25E63" w14:textId="77777777" w:rsidR="006923DF" w:rsidRPr="006D2EB7" w:rsidRDefault="006923DF" w:rsidP="006923DF">
            <w:pPr>
              <w:tabs>
                <w:tab w:val="decimal" w:pos="330"/>
              </w:tabs>
              <w:ind w:firstLine="0"/>
              <w:jc w:val="right"/>
              <w:rPr>
                <w:rFonts w:eastAsia="Times New Roman" w:cs="Times New Roman"/>
                <w:sz w:val="20"/>
                <w:szCs w:val="20"/>
              </w:rPr>
            </w:pPr>
            <w:r w:rsidRPr="006D2EB7">
              <w:rPr>
                <w:rFonts w:eastAsia="Times New Roman" w:cs="Times New Roman"/>
                <w:sz w:val="20"/>
                <w:szCs w:val="20"/>
                <w:lang w:eastAsia="lv-LV"/>
              </w:rPr>
              <w:t>-2,7</w:t>
            </w:r>
          </w:p>
        </w:tc>
        <w:tc>
          <w:tcPr>
            <w:tcW w:w="851" w:type="dxa"/>
            <w:shd w:val="clear" w:color="auto" w:fill="auto"/>
            <w:vAlign w:val="bottom"/>
          </w:tcPr>
          <w:p w14:paraId="00ABB07E" w14:textId="77777777" w:rsidR="006923DF" w:rsidRPr="006D2EB7" w:rsidRDefault="006923DF" w:rsidP="006923DF">
            <w:pPr>
              <w:tabs>
                <w:tab w:val="decimal" w:pos="330"/>
              </w:tabs>
              <w:ind w:firstLine="0"/>
              <w:jc w:val="right"/>
              <w:rPr>
                <w:rFonts w:eastAsia="Arial Unicode MS" w:cs="Times New Roman"/>
                <w:sz w:val="20"/>
                <w:szCs w:val="20"/>
              </w:rPr>
            </w:pPr>
            <w:r w:rsidRPr="006D2EB7">
              <w:rPr>
                <w:rFonts w:eastAsia="Times New Roman" w:cs="Times New Roman"/>
                <w:sz w:val="20"/>
                <w:szCs w:val="20"/>
                <w:lang w:eastAsia="lv-LV"/>
              </w:rPr>
              <w:t>-2,2</w:t>
            </w:r>
          </w:p>
        </w:tc>
        <w:tc>
          <w:tcPr>
            <w:tcW w:w="850" w:type="dxa"/>
            <w:shd w:val="clear" w:color="auto" w:fill="auto"/>
            <w:vAlign w:val="bottom"/>
          </w:tcPr>
          <w:p w14:paraId="559E91E9" w14:textId="77777777" w:rsidR="006923DF" w:rsidRPr="006D2EB7" w:rsidRDefault="006923DF" w:rsidP="006923DF">
            <w:pPr>
              <w:tabs>
                <w:tab w:val="decimal" w:pos="330"/>
              </w:tabs>
              <w:ind w:firstLine="0"/>
              <w:jc w:val="right"/>
              <w:rPr>
                <w:rFonts w:eastAsia="Times New Roman" w:cs="Times New Roman"/>
                <w:sz w:val="20"/>
                <w:szCs w:val="20"/>
              </w:rPr>
            </w:pPr>
            <w:r w:rsidRPr="006D2EB7">
              <w:rPr>
                <w:rFonts w:eastAsia="Times New Roman" w:cs="Times New Roman"/>
                <w:sz w:val="20"/>
                <w:szCs w:val="20"/>
                <w:lang w:eastAsia="lv-LV"/>
              </w:rPr>
              <w:t>-2,0</w:t>
            </w:r>
          </w:p>
        </w:tc>
        <w:tc>
          <w:tcPr>
            <w:tcW w:w="850" w:type="dxa"/>
            <w:vAlign w:val="bottom"/>
          </w:tcPr>
          <w:p w14:paraId="3F508411" w14:textId="77777777" w:rsidR="006923DF" w:rsidRPr="006D2EB7" w:rsidRDefault="006923DF" w:rsidP="006923DF">
            <w:pPr>
              <w:ind w:firstLine="0"/>
              <w:jc w:val="right"/>
              <w:rPr>
                <w:rFonts w:eastAsia="Times New Roman" w:cs="Times New Roman"/>
                <w:b/>
                <w:bCs/>
                <w:sz w:val="20"/>
                <w:szCs w:val="20"/>
              </w:rPr>
            </w:pPr>
            <w:r w:rsidRPr="006D2EB7">
              <w:rPr>
                <w:rFonts w:eastAsia="Times New Roman" w:cs="Times New Roman"/>
                <w:sz w:val="20"/>
                <w:szCs w:val="20"/>
                <w:lang w:eastAsia="lv-LV"/>
              </w:rPr>
              <w:t>-1,7</w:t>
            </w:r>
          </w:p>
        </w:tc>
      </w:tr>
      <w:tr w:rsidR="006923DF" w:rsidRPr="006D2EB7" w14:paraId="0C5C62DA" w14:textId="77777777" w:rsidTr="006923DF">
        <w:trPr>
          <w:jc w:val="center"/>
        </w:trPr>
        <w:tc>
          <w:tcPr>
            <w:tcW w:w="3545" w:type="dxa"/>
            <w:shd w:val="clear" w:color="auto" w:fill="DEEAF6"/>
          </w:tcPr>
          <w:p w14:paraId="5D389454" w14:textId="77777777" w:rsidR="006923DF" w:rsidRPr="006D2EB7" w:rsidRDefault="006923DF" w:rsidP="006923DF">
            <w:pPr>
              <w:ind w:firstLine="0"/>
              <w:jc w:val="right"/>
              <w:rPr>
                <w:rFonts w:eastAsia="Times New Roman" w:cs="Times New Roman"/>
                <w:bCs/>
                <w:sz w:val="20"/>
                <w:szCs w:val="20"/>
              </w:rPr>
            </w:pPr>
            <w:r w:rsidRPr="006D2EB7">
              <w:rPr>
                <w:rFonts w:eastAsia="Times New Roman" w:cs="Times New Roman"/>
                <w:bCs/>
                <w:snapToGrid w:val="0"/>
                <w:sz w:val="20"/>
                <w:szCs w:val="20"/>
              </w:rPr>
              <w:t>Izmaiņas</w:t>
            </w:r>
          </w:p>
        </w:tc>
        <w:tc>
          <w:tcPr>
            <w:tcW w:w="709" w:type="dxa"/>
            <w:shd w:val="clear" w:color="auto" w:fill="DEEAF6"/>
            <w:vAlign w:val="center"/>
          </w:tcPr>
          <w:p w14:paraId="5E9F4E94" w14:textId="77777777" w:rsidR="006923DF" w:rsidRPr="006D2EB7" w:rsidRDefault="006923DF" w:rsidP="006923DF">
            <w:pPr>
              <w:ind w:firstLine="0"/>
              <w:jc w:val="center"/>
              <w:rPr>
                <w:rFonts w:eastAsia="Times New Roman" w:cs="Times New Roman"/>
                <w:sz w:val="20"/>
                <w:szCs w:val="20"/>
              </w:rPr>
            </w:pPr>
          </w:p>
        </w:tc>
        <w:tc>
          <w:tcPr>
            <w:tcW w:w="840" w:type="dxa"/>
            <w:shd w:val="clear" w:color="auto" w:fill="DEEAF6"/>
            <w:vAlign w:val="bottom"/>
          </w:tcPr>
          <w:p w14:paraId="20966B78"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1,7</w:t>
            </w:r>
          </w:p>
        </w:tc>
        <w:tc>
          <w:tcPr>
            <w:tcW w:w="851" w:type="dxa"/>
            <w:shd w:val="clear" w:color="auto" w:fill="DEEAF6"/>
            <w:vAlign w:val="bottom"/>
          </w:tcPr>
          <w:p w14:paraId="45A59D0E"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-0,4</w:t>
            </w:r>
          </w:p>
        </w:tc>
        <w:tc>
          <w:tcPr>
            <w:tcW w:w="850" w:type="dxa"/>
            <w:shd w:val="clear" w:color="auto" w:fill="DEEAF6"/>
            <w:vAlign w:val="bottom"/>
          </w:tcPr>
          <w:p w14:paraId="7D870058"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-0,6</w:t>
            </w:r>
          </w:p>
        </w:tc>
        <w:tc>
          <w:tcPr>
            <w:tcW w:w="851" w:type="dxa"/>
            <w:shd w:val="clear" w:color="auto" w:fill="DEEAF6"/>
            <w:vAlign w:val="bottom"/>
          </w:tcPr>
          <w:p w14:paraId="3F251D24"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-1,5</w:t>
            </w:r>
          </w:p>
        </w:tc>
        <w:tc>
          <w:tcPr>
            <w:tcW w:w="850" w:type="dxa"/>
            <w:shd w:val="clear" w:color="auto" w:fill="DEEAF6"/>
            <w:vAlign w:val="bottom"/>
          </w:tcPr>
          <w:p w14:paraId="0DDBBA95" w14:textId="77777777" w:rsidR="006923DF" w:rsidRPr="006D2EB7" w:rsidRDefault="006923DF" w:rsidP="006923DF">
            <w:pPr>
              <w:ind w:firstLine="0"/>
              <w:jc w:val="right"/>
              <w:rPr>
                <w:rFonts w:eastAsia="Calibri" w:cs="Times New Roman"/>
                <w:sz w:val="20"/>
                <w:szCs w:val="20"/>
              </w:rPr>
            </w:pPr>
            <w:r w:rsidRPr="006D2EB7">
              <w:rPr>
                <w:rFonts w:eastAsia="Times New Roman" w:cs="Times New Roman"/>
                <w:sz w:val="20"/>
                <w:szCs w:val="20"/>
                <w:lang w:eastAsia="lv-LV"/>
              </w:rPr>
              <w:t xml:space="preserve"> -</w:t>
            </w:r>
          </w:p>
        </w:tc>
        <w:tc>
          <w:tcPr>
            <w:tcW w:w="850" w:type="dxa"/>
            <w:shd w:val="clear" w:color="auto" w:fill="DEEAF6"/>
            <w:vAlign w:val="bottom"/>
          </w:tcPr>
          <w:p w14:paraId="4191AB10" w14:textId="77777777" w:rsidR="006923DF" w:rsidRPr="006D2EB7" w:rsidRDefault="006923DF" w:rsidP="006923DF">
            <w:pPr>
              <w:ind w:firstLine="0"/>
              <w:jc w:val="right"/>
              <w:rPr>
                <w:rFonts w:eastAsia="Times New Roman" w:cs="Times New Roman"/>
                <w:b/>
                <w:bCs/>
                <w:sz w:val="20"/>
                <w:szCs w:val="20"/>
              </w:rPr>
            </w:pPr>
            <w:r w:rsidRPr="006D2EB7">
              <w:rPr>
                <w:rFonts w:eastAsia="Times New Roman" w:cs="Times New Roman"/>
                <w:sz w:val="20"/>
                <w:szCs w:val="20"/>
                <w:lang w:eastAsia="lv-LV"/>
              </w:rPr>
              <w:t xml:space="preserve"> -</w:t>
            </w:r>
          </w:p>
        </w:tc>
      </w:tr>
      <w:tr w:rsidR="006923DF" w:rsidRPr="006D2EB7" w14:paraId="24ED6ED8" w14:textId="77777777" w:rsidTr="0049223A">
        <w:trPr>
          <w:jc w:val="center"/>
        </w:trPr>
        <w:tc>
          <w:tcPr>
            <w:tcW w:w="3545" w:type="dxa"/>
            <w:shd w:val="clear" w:color="auto" w:fill="auto"/>
          </w:tcPr>
          <w:p w14:paraId="4F48F719" w14:textId="77777777" w:rsidR="006923DF" w:rsidRPr="006D2EB7" w:rsidRDefault="006923DF" w:rsidP="006923DF">
            <w:pPr>
              <w:ind w:firstLine="0"/>
              <w:jc w:val="left"/>
              <w:rPr>
                <w:rFonts w:eastAsia="Times New Roman" w:cs="Times New Roman"/>
                <w:b/>
                <w:sz w:val="20"/>
                <w:szCs w:val="20"/>
              </w:rPr>
            </w:pPr>
            <w:r w:rsidRPr="006D2EB7">
              <w:rPr>
                <w:rFonts w:eastAsia="Times New Roman" w:cs="Times New Roman"/>
                <w:b/>
                <w:sz w:val="20"/>
                <w:szCs w:val="20"/>
              </w:rPr>
              <w:t>Vispārējās valdības parāds</w:t>
            </w:r>
            <w:r w:rsidRPr="006D2EB7">
              <w:rPr>
                <w:rFonts w:eastAsia="Times New Roman" w:cs="Times New Roman"/>
                <w:b/>
                <w:sz w:val="20"/>
                <w:szCs w:val="20"/>
              </w:rPr>
              <w:br/>
              <w:t>(% no IKP)</w:t>
            </w:r>
          </w:p>
        </w:tc>
        <w:tc>
          <w:tcPr>
            <w:tcW w:w="709" w:type="dxa"/>
            <w:shd w:val="clear" w:color="auto" w:fill="auto"/>
            <w:vAlign w:val="center"/>
          </w:tcPr>
          <w:p w14:paraId="3D3C52DF" w14:textId="77777777" w:rsidR="006923DF" w:rsidRPr="006D2EB7" w:rsidRDefault="006923DF" w:rsidP="006923DF">
            <w:pPr>
              <w:ind w:firstLine="0"/>
              <w:jc w:val="center"/>
              <w:rPr>
                <w:rFonts w:eastAsia="Times New Roman" w:cs="Times New Roman"/>
                <w:sz w:val="20"/>
                <w:szCs w:val="20"/>
              </w:rPr>
            </w:pPr>
          </w:p>
        </w:tc>
        <w:tc>
          <w:tcPr>
            <w:tcW w:w="840" w:type="dxa"/>
            <w:shd w:val="clear" w:color="auto" w:fill="auto"/>
            <w:vAlign w:val="center"/>
          </w:tcPr>
          <w:p w14:paraId="4E441837" w14:textId="77777777" w:rsidR="006923DF" w:rsidRPr="006D2EB7" w:rsidRDefault="006923DF" w:rsidP="006923DF">
            <w:pPr>
              <w:ind w:firstLine="0"/>
              <w:jc w:val="right"/>
              <w:rPr>
                <w:rFonts w:eastAsia="Calibri" w:cs="Times New Roman"/>
                <w:sz w:val="20"/>
                <w:szCs w:val="20"/>
              </w:rPr>
            </w:pPr>
          </w:p>
        </w:tc>
        <w:tc>
          <w:tcPr>
            <w:tcW w:w="851" w:type="dxa"/>
            <w:shd w:val="clear" w:color="auto" w:fill="auto"/>
            <w:vAlign w:val="center"/>
          </w:tcPr>
          <w:p w14:paraId="2561E2B4" w14:textId="77777777" w:rsidR="006923DF" w:rsidRPr="006D2EB7" w:rsidRDefault="006923DF" w:rsidP="006923DF">
            <w:pPr>
              <w:ind w:firstLine="0"/>
              <w:jc w:val="right"/>
              <w:rPr>
                <w:rFonts w:eastAsia="Calibri" w:cs="Times New Roman"/>
                <w:sz w:val="20"/>
                <w:szCs w:val="20"/>
              </w:rPr>
            </w:pPr>
          </w:p>
        </w:tc>
        <w:tc>
          <w:tcPr>
            <w:tcW w:w="850" w:type="dxa"/>
            <w:shd w:val="clear" w:color="auto" w:fill="auto"/>
            <w:vAlign w:val="center"/>
          </w:tcPr>
          <w:p w14:paraId="3742DC5F" w14:textId="77777777" w:rsidR="006923DF" w:rsidRPr="006D2EB7" w:rsidRDefault="006923DF" w:rsidP="006923DF">
            <w:pPr>
              <w:ind w:firstLine="0"/>
              <w:jc w:val="right"/>
              <w:rPr>
                <w:rFonts w:eastAsia="Calibri" w:cs="Times New Roman"/>
                <w:sz w:val="20"/>
                <w:szCs w:val="20"/>
              </w:rPr>
            </w:pPr>
          </w:p>
        </w:tc>
        <w:tc>
          <w:tcPr>
            <w:tcW w:w="851" w:type="dxa"/>
            <w:shd w:val="clear" w:color="auto" w:fill="auto"/>
            <w:vAlign w:val="center"/>
          </w:tcPr>
          <w:p w14:paraId="1B0CFF35" w14:textId="77777777" w:rsidR="006923DF" w:rsidRPr="006D2EB7" w:rsidRDefault="006923DF" w:rsidP="006923DF">
            <w:pPr>
              <w:ind w:firstLine="0"/>
              <w:jc w:val="right"/>
              <w:rPr>
                <w:rFonts w:eastAsia="Calibri" w:cs="Times New Roman"/>
                <w:sz w:val="20"/>
                <w:szCs w:val="20"/>
              </w:rPr>
            </w:pPr>
          </w:p>
        </w:tc>
        <w:tc>
          <w:tcPr>
            <w:tcW w:w="850" w:type="dxa"/>
            <w:shd w:val="clear" w:color="auto" w:fill="auto"/>
            <w:vAlign w:val="center"/>
          </w:tcPr>
          <w:p w14:paraId="5CA74DCC" w14:textId="77777777" w:rsidR="006923DF" w:rsidRPr="006D2EB7" w:rsidRDefault="006923DF" w:rsidP="006923DF">
            <w:pPr>
              <w:ind w:firstLine="0"/>
              <w:jc w:val="right"/>
              <w:rPr>
                <w:rFonts w:eastAsia="Calibri" w:cs="Times New Roman"/>
                <w:sz w:val="20"/>
                <w:szCs w:val="20"/>
              </w:rPr>
            </w:pPr>
          </w:p>
        </w:tc>
        <w:tc>
          <w:tcPr>
            <w:tcW w:w="850" w:type="dxa"/>
            <w:vAlign w:val="center"/>
          </w:tcPr>
          <w:p w14:paraId="19607822" w14:textId="77777777" w:rsidR="006923DF" w:rsidRPr="006D2EB7" w:rsidRDefault="006923DF" w:rsidP="006923DF">
            <w:pPr>
              <w:ind w:firstLine="0"/>
              <w:jc w:val="right"/>
              <w:rPr>
                <w:rFonts w:eastAsia="Times New Roman" w:cs="Times New Roman"/>
                <w:b/>
                <w:bCs/>
                <w:sz w:val="20"/>
                <w:szCs w:val="20"/>
              </w:rPr>
            </w:pPr>
          </w:p>
        </w:tc>
      </w:tr>
      <w:tr w:rsidR="006923DF" w:rsidRPr="00C107F7" w14:paraId="1DA05D14" w14:textId="77777777" w:rsidTr="006923DF">
        <w:trPr>
          <w:jc w:val="center"/>
        </w:trPr>
        <w:tc>
          <w:tcPr>
            <w:tcW w:w="3545" w:type="dxa"/>
            <w:shd w:val="clear" w:color="auto" w:fill="DEEAF6"/>
          </w:tcPr>
          <w:p w14:paraId="43C21AAD" w14:textId="77777777" w:rsidR="006923DF" w:rsidRPr="00C107F7" w:rsidRDefault="006923DF" w:rsidP="006923DF">
            <w:pPr>
              <w:ind w:firstLine="0"/>
              <w:jc w:val="right"/>
              <w:rPr>
                <w:rFonts w:eastAsia="Times New Roman" w:cs="Times New Roman"/>
                <w:bCs/>
                <w:sz w:val="20"/>
                <w:szCs w:val="20"/>
              </w:rPr>
            </w:pPr>
            <w:r w:rsidRPr="00C107F7">
              <w:rPr>
                <w:rFonts w:eastAsia="Times New Roman" w:cs="Times New Roman"/>
                <w:bCs/>
                <w:sz w:val="20"/>
                <w:szCs w:val="20"/>
              </w:rPr>
              <w:t>2023.gads</w:t>
            </w:r>
          </w:p>
        </w:tc>
        <w:tc>
          <w:tcPr>
            <w:tcW w:w="709" w:type="dxa"/>
            <w:shd w:val="clear" w:color="auto" w:fill="DEEAF6"/>
            <w:vAlign w:val="center"/>
          </w:tcPr>
          <w:p w14:paraId="08864042" w14:textId="77777777" w:rsidR="006923DF" w:rsidRPr="00C107F7" w:rsidRDefault="006923DF" w:rsidP="006923DF">
            <w:pPr>
              <w:ind w:firstLine="0"/>
              <w:jc w:val="center"/>
              <w:rPr>
                <w:rFonts w:eastAsia="Times New Roman" w:cs="Times New Roman"/>
                <w:sz w:val="20"/>
                <w:szCs w:val="20"/>
              </w:rPr>
            </w:pPr>
          </w:p>
        </w:tc>
        <w:tc>
          <w:tcPr>
            <w:tcW w:w="840" w:type="dxa"/>
            <w:shd w:val="clear" w:color="auto" w:fill="DEEAF6"/>
            <w:vAlign w:val="bottom"/>
          </w:tcPr>
          <w:p w14:paraId="215BDC8D" w14:textId="77777777" w:rsidR="006923DF" w:rsidRPr="00C107F7" w:rsidRDefault="006923DF" w:rsidP="006923DF">
            <w:pPr>
              <w:ind w:firstLine="0"/>
              <w:jc w:val="right"/>
              <w:rPr>
                <w:rFonts w:eastAsia="Times New Roman" w:cs="Times New Roman"/>
                <w:sz w:val="20"/>
                <w:szCs w:val="20"/>
              </w:rPr>
            </w:pPr>
            <w:r w:rsidRPr="00C107F7">
              <w:rPr>
                <w:rFonts w:eastAsia="Times New Roman" w:cs="Times New Roman"/>
                <w:sz w:val="20"/>
                <w:szCs w:val="20"/>
                <w:lang w:eastAsia="lv-LV"/>
              </w:rPr>
              <w:t>39,6</w:t>
            </w:r>
          </w:p>
        </w:tc>
        <w:tc>
          <w:tcPr>
            <w:tcW w:w="851" w:type="dxa"/>
            <w:shd w:val="clear" w:color="auto" w:fill="DEEAF6"/>
            <w:vAlign w:val="bottom"/>
          </w:tcPr>
          <w:p w14:paraId="5C28C604" w14:textId="77777777" w:rsidR="006923DF" w:rsidRPr="00C107F7" w:rsidRDefault="006923DF" w:rsidP="006923DF">
            <w:pPr>
              <w:ind w:firstLine="0"/>
              <w:jc w:val="right"/>
              <w:rPr>
                <w:rFonts w:eastAsia="Times New Roman" w:cs="Times New Roman"/>
                <w:sz w:val="20"/>
                <w:szCs w:val="20"/>
              </w:rPr>
            </w:pPr>
            <w:r w:rsidRPr="00C107F7">
              <w:rPr>
                <w:rFonts w:eastAsia="Times New Roman" w:cs="Times New Roman"/>
                <w:sz w:val="20"/>
                <w:szCs w:val="20"/>
                <w:lang w:eastAsia="lv-LV"/>
              </w:rPr>
              <w:t>39,7</w:t>
            </w:r>
          </w:p>
        </w:tc>
        <w:tc>
          <w:tcPr>
            <w:tcW w:w="850" w:type="dxa"/>
            <w:shd w:val="clear" w:color="auto" w:fill="DEEAF6"/>
            <w:vAlign w:val="bottom"/>
          </w:tcPr>
          <w:p w14:paraId="23417B85" w14:textId="77777777" w:rsidR="006923DF" w:rsidRPr="00C107F7" w:rsidRDefault="006923DF" w:rsidP="006923DF">
            <w:pPr>
              <w:ind w:firstLine="0"/>
              <w:jc w:val="right"/>
              <w:rPr>
                <w:rFonts w:eastAsia="Times New Roman" w:cs="Times New Roman"/>
                <w:sz w:val="20"/>
                <w:szCs w:val="20"/>
              </w:rPr>
            </w:pPr>
            <w:r w:rsidRPr="00C107F7">
              <w:rPr>
                <w:rFonts w:eastAsia="Times New Roman" w:cs="Times New Roman"/>
                <w:sz w:val="20"/>
                <w:szCs w:val="20"/>
                <w:lang w:eastAsia="lv-LV"/>
              </w:rPr>
              <w:t>39,8</w:t>
            </w:r>
          </w:p>
        </w:tc>
        <w:tc>
          <w:tcPr>
            <w:tcW w:w="851" w:type="dxa"/>
            <w:shd w:val="clear" w:color="auto" w:fill="DEEAF6"/>
            <w:vAlign w:val="bottom"/>
          </w:tcPr>
          <w:p w14:paraId="222C5EA8" w14:textId="77777777" w:rsidR="006923DF" w:rsidRPr="00C107F7" w:rsidRDefault="006923DF" w:rsidP="006923DF">
            <w:pPr>
              <w:ind w:firstLine="0"/>
              <w:jc w:val="right"/>
              <w:rPr>
                <w:rFonts w:eastAsia="Times New Roman" w:cs="Times New Roman"/>
                <w:sz w:val="20"/>
                <w:szCs w:val="20"/>
              </w:rPr>
            </w:pPr>
            <w:r w:rsidRPr="00C107F7">
              <w:rPr>
                <w:rFonts w:eastAsia="Times New Roman" w:cs="Times New Roman"/>
                <w:sz w:val="20"/>
                <w:szCs w:val="20"/>
                <w:lang w:eastAsia="lv-LV"/>
              </w:rPr>
              <w:t>38,9</w:t>
            </w:r>
          </w:p>
        </w:tc>
        <w:tc>
          <w:tcPr>
            <w:tcW w:w="850" w:type="dxa"/>
            <w:shd w:val="clear" w:color="auto" w:fill="DEEAF6"/>
            <w:vAlign w:val="center"/>
          </w:tcPr>
          <w:p w14:paraId="1B38157F" w14:textId="77777777" w:rsidR="006923DF" w:rsidRPr="00C107F7" w:rsidRDefault="006923DF" w:rsidP="006923DF">
            <w:pPr>
              <w:ind w:firstLine="0"/>
              <w:jc w:val="right"/>
              <w:rPr>
                <w:rFonts w:eastAsia="Calibri" w:cs="Times New Roman"/>
                <w:sz w:val="20"/>
                <w:szCs w:val="20"/>
              </w:rPr>
            </w:pPr>
            <w:r w:rsidRPr="00C107F7">
              <w:rPr>
                <w:rFonts w:eastAsia="Times New Roman" w:cs="Times New Roman"/>
                <w:sz w:val="20"/>
                <w:szCs w:val="20"/>
                <w:lang w:eastAsia="lv-LV"/>
              </w:rPr>
              <w:t>-</w:t>
            </w:r>
          </w:p>
        </w:tc>
        <w:tc>
          <w:tcPr>
            <w:tcW w:w="850" w:type="dxa"/>
            <w:shd w:val="clear" w:color="auto" w:fill="DEEAF6"/>
            <w:vAlign w:val="center"/>
          </w:tcPr>
          <w:p w14:paraId="519D6108" w14:textId="77777777" w:rsidR="006923DF" w:rsidRPr="00C107F7" w:rsidRDefault="006923DF" w:rsidP="006923DF">
            <w:pPr>
              <w:ind w:firstLine="0"/>
              <w:jc w:val="right"/>
              <w:rPr>
                <w:rFonts w:eastAsia="Times New Roman" w:cs="Times New Roman"/>
                <w:b/>
                <w:bCs/>
                <w:sz w:val="20"/>
                <w:szCs w:val="20"/>
              </w:rPr>
            </w:pPr>
            <w:r w:rsidRPr="00C107F7">
              <w:rPr>
                <w:rFonts w:eastAsia="Times New Roman" w:cs="Times New Roman"/>
                <w:sz w:val="20"/>
                <w:szCs w:val="20"/>
                <w:lang w:eastAsia="lv-LV"/>
              </w:rPr>
              <w:t>-</w:t>
            </w:r>
          </w:p>
        </w:tc>
      </w:tr>
      <w:tr w:rsidR="006923DF" w:rsidRPr="00C107F7" w14:paraId="7624D197" w14:textId="77777777" w:rsidTr="0049223A">
        <w:trPr>
          <w:jc w:val="center"/>
        </w:trPr>
        <w:tc>
          <w:tcPr>
            <w:tcW w:w="3545" w:type="dxa"/>
            <w:shd w:val="clear" w:color="auto" w:fill="auto"/>
          </w:tcPr>
          <w:p w14:paraId="2C1F94B2" w14:textId="77777777" w:rsidR="006923DF" w:rsidRPr="00C107F7" w:rsidRDefault="006923DF" w:rsidP="006923DF">
            <w:pPr>
              <w:ind w:firstLine="0"/>
              <w:jc w:val="right"/>
              <w:rPr>
                <w:rFonts w:eastAsia="Times New Roman" w:cs="Times New Roman"/>
                <w:bCs/>
                <w:sz w:val="20"/>
                <w:szCs w:val="20"/>
              </w:rPr>
            </w:pPr>
            <w:r w:rsidRPr="00C107F7">
              <w:rPr>
                <w:rFonts w:eastAsia="Times New Roman" w:cs="Times New Roman"/>
                <w:bCs/>
                <w:sz w:val="20"/>
                <w:szCs w:val="20"/>
              </w:rPr>
              <w:t>2024.gads</w:t>
            </w:r>
          </w:p>
        </w:tc>
        <w:tc>
          <w:tcPr>
            <w:tcW w:w="709" w:type="dxa"/>
            <w:shd w:val="clear" w:color="auto" w:fill="auto"/>
            <w:vAlign w:val="center"/>
          </w:tcPr>
          <w:p w14:paraId="52982EA1" w14:textId="77777777" w:rsidR="006923DF" w:rsidRPr="00C107F7" w:rsidRDefault="006923DF" w:rsidP="006923DF">
            <w:pPr>
              <w:ind w:firstLine="0"/>
              <w:jc w:val="center"/>
              <w:rPr>
                <w:rFonts w:eastAsia="Times New Roman" w:cs="Times New Roman"/>
                <w:sz w:val="20"/>
                <w:szCs w:val="20"/>
              </w:rPr>
            </w:pPr>
          </w:p>
        </w:tc>
        <w:tc>
          <w:tcPr>
            <w:tcW w:w="840" w:type="dxa"/>
            <w:shd w:val="clear" w:color="auto" w:fill="auto"/>
            <w:vAlign w:val="center"/>
          </w:tcPr>
          <w:p w14:paraId="3341B8A5" w14:textId="77777777" w:rsidR="006923DF" w:rsidRPr="00C107F7" w:rsidRDefault="006923DF" w:rsidP="006923DF">
            <w:pPr>
              <w:tabs>
                <w:tab w:val="decimal" w:pos="330"/>
              </w:tabs>
              <w:ind w:firstLine="0"/>
              <w:jc w:val="right"/>
              <w:rPr>
                <w:rFonts w:eastAsia="Times New Roman" w:cs="Times New Roman"/>
                <w:sz w:val="20"/>
                <w:szCs w:val="20"/>
              </w:rPr>
            </w:pPr>
            <w:r w:rsidRPr="00C107F7">
              <w:rPr>
                <w:rFonts w:eastAsia="Times New Roman" w:cs="Times New Roman"/>
                <w:sz w:val="20"/>
                <w:szCs w:val="20"/>
              </w:rPr>
              <w:t>43,4</w:t>
            </w:r>
          </w:p>
        </w:tc>
        <w:tc>
          <w:tcPr>
            <w:tcW w:w="851" w:type="dxa"/>
            <w:shd w:val="clear" w:color="auto" w:fill="auto"/>
            <w:vAlign w:val="center"/>
          </w:tcPr>
          <w:p w14:paraId="7B5569D4" w14:textId="77777777" w:rsidR="006923DF" w:rsidRPr="00C107F7" w:rsidRDefault="006923DF" w:rsidP="006923DF">
            <w:pPr>
              <w:tabs>
                <w:tab w:val="decimal" w:pos="330"/>
              </w:tabs>
              <w:ind w:firstLine="0"/>
              <w:jc w:val="right"/>
              <w:rPr>
                <w:rFonts w:eastAsia="Times New Roman" w:cs="Times New Roman"/>
                <w:sz w:val="20"/>
                <w:szCs w:val="20"/>
              </w:rPr>
            </w:pPr>
            <w:r w:rsidRPr="00C107F7">
              <w:rPr>
                <w:rFonts w:eastAsia="Times New Roman" w:cs="Times New Roman"/>
                <w:sz w:val="20"/>
                <w:szCs w:val="20"/>
              </w:rPr>
              <w:t>45,2</w:t>
            </w:r>
          </w:p>
        </w:tc>
        <w:tc>
          <w:tcPr>
            <w:tcW w:w="850" w:type="dxa"/>
            <w:shd w:val="clear" w:color="auto" w:fill="auto"/>
            <w:vAlign w:val="center"/>
          </w:tcPr>
          <w:p w14:paraId="16C9ECB2" w14:textId="77777777" w:rsidR="006923DF" w:rsidRPr="00C107F7" w:rsidRDefault="006923DF" w:rsidP="006923DF">
            <w:pPr>
              <w:tabs>
                <w:tab w:val="decimal" w:pos="330"/>
              </w:tabs>
              <w:ind w:firstLine="0"/>
              <w:jc w:val="right"/>
              <w:rPr>
                <w:rFonts w:eastAsia="Times New Roman" w:cs="Times New Roman"/>
                <w:sz w:val="20"/>
                <w:szCs w:val="20"/>
              </w:rPr>
            </w:pPr>
            <w:r w:rsidRPr="00C107F7">
              <w:rPr>
                <w:rFonts w:eastAsia="Times New Roman" w:cs="Times New Roman"/>
                <w:sz w:val="20"/>
                <w:szCs w:val="20"/>
              </w:rPr>
              <w:t>46,3</w:t>
            </w:r>
          </w:p>
        </w:tc>
        <w:tc>
          <w:tcPr>
            <w:tcW w:w="851" w:type="dxa"/>
            <w:shd w:val="clear" w:color="auto" w:fill="auto"/>
            <w:vAlign w:val="center"/>
          </w:tcPr>
          <w:p w14:paraId="5B8A13BF" w14:textId="77777777" w:rsidR="006923DF" w:rsidRPr="00C107F7" w:rsidRDefault="006923DF" w:rsidP="006923DF">
            <w:pPr>
              <w:tabs>
                <w:tab w:val="decimal" w:pos="330"/>
              </w:tabs>
              <w:ind w:firstLine="0"/>
              <w:jc w:val="right"/>
              <w:rPr>
                <w:rFonts w:eastAsia="Arial Unicode MS" w:cs="Times New Roman"/>
                <w:sz w:val="20"/>
                <w:szCs w:val="20"/>
              </w:rPr>
            </w:pPr>
            <w:r w:rsidRPr="00C107F7">
              <w:rPr>
                <w:rFonts w:eastAsia="Arial Unicode MS" w:cs="Times New Roman"/>
                <w:sz w:val="20"/>
                <w:szCs w:val="20"/>
              </w:rPr>
              <w:t>46,2</w:t>
            </w:r>
          </w:p>
        </w:tc>
        <w:tc>
          <w:tcPr>
            <w:tcW w:w="850" w:type="dxa"/>
            <w:shd w:val="clear" w:color="auto" w:fill="auto"/>
            <w:vAlign w:val="center"/>
          </w:tcPr>
          <w:p w14:paraId="5B24713C" w14:textId="77777777" w:rsidR="006923DF" w:rsidRPr="00C107F7" w:rsidRDefault="006923DF" w:rsidP="006923DF">
            <w:pPr>
              <w:ind w:firstLine="0"/>
              <w:jc w:val="right"/>
              <w:rPr>
                <w:rFonts w:eastAsia="Times New Roman" w:cs="Times New Roman"/>
                <w:sz w:val="20"/>
                <w:szCs w:val="20"/>
              </w:rPr>
            </w:pPr>
            <w:r w:rsidRPr="00C107F7">
              <w:rPr>
                <w:rFonts w:eastAsia="Times New Roman" w:cs="Times New Roman"/>
                <w:sz w:val="20"/>
                <w:szCs w:val="20"/>
              </w:rPr>
              <w:t>48,8</w:t>
            </w:r>
          </w:p>
        </w:tc>
        <w:tc>
          <w:tcPr>
            <w:tcW w:w="850" w:type="dxa"/>
            <w:vAlign w:val="center"/>
          </w:tcPr>
          <w:p w14:paraId="2018E563" w14:textId="77777777" w:rsidR="006923DF" w:rsidRPr="00C107F7" w:rsidRDefault="006923DF" w:rsidP="006923DF">
            <w:pPr>
              <w:ind w:firstLine="0"/>
              <w:jc w:val="right"/>
              <w:rPr>
                <w:rFonts w:eastAsia="Times New Roman" w:cs="Times New Roman"/>
                <w:sz w:val="20"/>
                <w:szCs w:val="20"/>
              </w:rPr>
            </w:pPr>
            <w:r w:rsidRPr="00C107F7">
              <w:rPr>
                <w:rFonts w:eastAsia="Times New Roman" w:cs="Times New Roman"/>
                <w:sz w:val="20"/>
                <w:szCs w:val="20"/>
              </w:rPr>
              <w:t>48,2</w:t>
            </w:r>
          </w:p>
        </w:tc>
      </w:tr>
      <w:tr w:rsidR="006923DF" w:rsidRPr="00C107F7" w14:paraId="3BCDB1D5" w14:textId="77777777" w:rsidTr="006923DF">
        <w:trPr>
          <w:jc w:val="center"/>
        </w:trPr>
        <w:tc>
          <w:tcPr>
            <w:tcW w:w="3545" w:type="dxa"/>
            <w:shd w:val="clear" w:color="auto" w:fill="DEEAF6"/>
          </w:tcPr>
          <w:p w14:paraId="7D898AC2" w14:textId="77777777" w:rsidR="006923DF" w:rsidRPr="00C107F7" w:rsidRDefault="006923DF" w:rsidP="006923DF">
            <w:pPr>
              <w:ind w:firstLine="0"/>
              <w:jc w:val="right"/>
              <w:rPr>
                <w:rFonts w:eastAsia="Times New Roman" w:cs="Times New Roman"/>
                <w:bCs/>
                <w:sz w:val="20"/>
                <w:szCs w:val="20"/>
              </w:rPr>
            </w:pPr>
            <w:r w:rsidRPr="00C107F7">
              <w:rPr>
                <w:rFonts w:eastAsia="Times New Roman" w:cs="Times New Roman"/>
                <w:bCs/>
                <w:snapToGrid w:val="0"/>
                <w:sz w:val="20"/>
                <w:szCs w:val="20"/>
              </w:rPr>
              <w:t>Izmaiņas</w:t>
            </w:r>
          </w:p>
        </w:tc>
        <w:tc>
          <w:tcPr>
            <w:tcW w:w="709" w:type="dxa"/>
            <w:shd w:val="clear" w:color="auto" w:fill="DEEAF6"/>
            <w:vAlign w:val="center"/>
          </w:tcPr>
          <w:p w14:paraId="209D2CE3" w14:textId="77777777" w:rsidR="006923DF" w:rsidRPr="00C107F7" w:rsidRDefault="006923DF" w:rsidP="006923DF">
            <w:pPr>
              <w:ind w:firstLine="0"/>
              <w:jc w:val="center"/>
              <w:rPr>
                <w:rFonts w:eastAsia="Times New Roman" w:cs="Times New Roman"/>
                <w:sz w:val="20"/>
                <w:szCs w:val="20"/>
              </w:rPr>
            </w:pPr>
          </w:p>
        </w:tc>
        <w:tc>
          <w:tcPr>
            <w:tcW w:w="840" w:type="dxa"/>
            <w:shd w:val="clear" w:color="auto" w:fill="DEEAF6"/>
            <w:vAlign w:val="bottom"/>
          </w:tcPr>
          <w:p w14:paraId="48CFD668" w14:textId="77777777" w:rsidR="006923DF" w:rsidRPr="00C107F7" w:rsidRDefault="006923DF" w:rsidP="006923DF">
            <w:pPr>
              <w:ind w:firstLine="0"/>
              <w:jc w:val="right"/>
              <w:rPr>
                <w:rFonts w:eastAsia="Times New Roman" w:cs="Times New Roman"/>
                <w:sz w:val="20"/>
                <w:szCs w:val="20"/>
              </w:rPr>
            </w:pPr>
            <w:r w:rsidRPr="00C107F7">
              <w:rPr>
                <w:rFonts w:eastAsia="Times New Roman" w:cs="Times New Roman"/>
                <w:sz w:val="20"/>
                <w:szCs w:val="20"/>
              </w:rPr>
              <w:t>3,8</w:t>
            </w:r>
          </w:p>
        </w:tc>
        <w:tc>
          <w:tcPr>
            <w:tcW w:w="851" w:type="dxa"/>
            <w:shd w:val="clear" w:color="auto" w:fill="DEEAF6"/>
            <w:vAlign w:val="bottom"/>
          </w:tcPr>
          <w:p w14:paraId="68613ABB" w14:textId="77777777" w:rsidR="006923DF" w:rsidRPr="00C107F7" w:rsidRDefault="006923DF" w:rsidP="006923DF">
            <w:pPr>
              <w:ind w:firstLine="0"/>
              <w:jc w:val="right"/>
              <w:rPr>
                <w:rFonts w:eastAsia="Times New Roman" w:cs="Times New Roman"/>
                <w:sz w:val="20"/>
                <w:szCs w:val="20"/>
              </w:rPr>
            </w:pPr>
            <w:r w:rsidRPr="00C107F7">
              <w:rPr>
                <w:rFonts w:eastAsia="Times New Roman" w:cs="Times New Roman"/>
                <w:sz w:val="20"/>
                <w:szCs w:val="20"/>
              </w:rPr>
              <w:t>5,5</w:t>
            </w:r>
          </w:p>
        </w:tc>
        <w:tc>
          <w:tcPr>
            <w:tcW w:w="850" w:type="dxa"/>
            <w:shd w:val="clear" w:color="auto" w:fill="DEEAF6"/>
            <w:vAlign w:val="bottom"/>
          </w:tcPr>
          <w:p w14:paraId="751707CC" w14:textId="77777777" w:rsidR="006923DF" w:rsidRPr="00C107F7" w:rsidRDefault="006923DF" w:rsidP="006923DF">
            <w:pPr>
              <w:ind w:firstLine="0"/>
              <w:jc w:val="right"/>
              <w:rPr>
                <w:rFonts w:eastAsia="Times New Roman" w:cs="Times New Roman"/>
                <w:sz w:val="20"/>
                <w:szCs w:val="20"/>
              </w:rPr>
            </w:pPr>
            <w:r w:rsidRPr="00C107F7">
              <w:rPr>
                <w:rFonts w:eastAsia="Times New Roman" w:cs="Times New Roman"/>
                <w:sz w:val="20"/>
                <w:szCs w:val="20"/>
              </w:rPr>
              <w:t>6,5</w:t>
            </w:r>
          </w:p>
        </w:tc>
        <w:tc>
          <w:tcPr>
            <w:tcW w:w="851" w:type="dxa"/>
            <w:shd w:val="clear" w:color="auto" w:fill="DEEAF6"/>
            <w:vAlign w:val="bottom"/>
          </w:tcPr>
          <w:p w14:paraId="0F932495" w14:textId="77777777" w:rsidR="006923DF" w:rsidRPr="00C107F7" w:rsidRDefault="006923DF" w:rsidP="006923DF">
            <w:pPr>
              <w:ind w:firstLine="0"/>
              <w:jc w:val="right"/>
              <w:rPr>
                <w:rFonts w:eastAsia="Times New Roman" w:cs="Times New Roman"/>
                <w:sz w:val="20"/>
                <w:szCs w:val="20"/>
              </w:rPr>
            </w:pPr>
            <w:r w:rsidRPr="00C107F7">
              <w:rPr>
                <w:rFonts w:eastAsia="Times New Roman" w:cs="Times New Roman"/>
                <w:sz w:val="20"/>
                <w:szCs w:val="20"/>
              </w:rPr>
              <w:t>7,3</w:t>
            </w:r>
          </w:p>
        </w:tc>
        <w:tc>
          <w:tcPr>
            <w:tcW w:w="850" w:type="dxa"/>
            <w:shd w:val="clear" w:color="auto" w:fill="DEEAF6"/>
            <w:vAlign w:val="bottom"/>
          </w:tcPr>
          <w:p w14:paraId="1AEF2B31" w14:textId="77777777" w:rsidR="006923DF" w:rsidRPr="00C107F7" w:rsidRDefault="006923DF" w:rsidP="006923DF">
            <w:pPr>
              <w:tabs>
                <w:tab w:val="decimal" w:pos="330"/>
              </w:tabs>
              <w:ind w:firstLine="0"/>
              <w:jc w:val="right"/>
              <w:rPr>
                <w:rFonts w:eastAsia="Times New Roman" w:cs="Times New Roman"/>
                <w:sz w:val="20"/>
                <w:szCs w:val="20"/>
              </w:rPr>
            </w:pPr>
            <w:r w:rsidRPr="00C107F7">
              <w:rPr>
                <w:rFonts w:eastAsia="Times New Roman" w:cs="Times New Roman"/>
                <w:sz w:val="20"/>
                <w:szCs w:val="20"/>
                <w:lang w:eastAsia="lv-LV"/>
              </w:rPr>
              <w:t xml:space="preserve"> -</w:t>
            </w:r>
          </w:p>
        </w:tc>
        <w:tc>
          <w:tcPr>
            <w:tcW w:w="850" w:type="dxa"/>
            <w:shd w:val="clear" w:color="auto" w:fill="DEEAF6"/>
            <w:vAlign w:val="bottom"/>
          </w:tcPr>
          <w:p w14:paraId="6458C014" w14:textId="77777777" w:rsidR="006923DF" w:rsidRPr="00C107F7" w:rsidRDefault="006923DF" w:rsidP="006923DF">
            <w:pPr>
              <w:ind w:firstLine="0"/>
              <w:jc w:val="right"/>
              <w:rPr>
                <w:rFonts w:eastAsia="Times New Roman" w:cs="Times New Roman"/>
                <w:b/>
                <w:bCs/>
                <w:sz w:val="20"/>
                <w:szCs w:val="20"/>
              </w:rPr>
            </w:pPr>
            <w:r w:rsidRPr="00C107F7">
              <w:rPr>
                <w:rFonts w:eastAsia="Times New Roman" w:cs="Times New Roman"/>
                <w:sz w:val="20"/>
                <w:szCs w:val="20"/>
                <w:lang w:eastAsia="lv-LV"/>
              </w:rPr>
              <w:t xml:space="preserve"> -</w:t>
            </w:r>
          </w:p>
        </w:tc>
      </w:tr>
    </w:tbl>
    <w:p w14:paraId="4134DBC4" w14:textId="77777777" w:rsidR="00E6266D" w:rsidRPr="00C107F7" w:rsidRDefault="00E6266D" w:rsidP="00E6266D">
      <w:pPr>
        <w:rPr>
          <w:rFonts w:eastAsia="Calibri" w:cs="Times New Roman"/>
          <w:sz w:val="24"/>
          <w:szCs w:val="24"/>
        </w:rPr>
      </w:pPr>
      <w:r w:rsidRPr="00C107F7">
        <w:rPr>
          <w:rFonts w:eastAsia="Calibri" w:cs="Times New Roman"/>
          <w:sz w:val="24"/>
          <w:szCs w:val="24"/>
        </w:rPr>
        <w:t xml:space="preserve"> </w:t>
      </w:r>
    </w:p>
    <w:p w14:paraId="5D2C07CD" w14:textId="13719A5F" w:rsidR="006923DF" w:rsidRDefault="006923DF" w:rsidP="007C1EEE">
      <w:pPr>
        <w:rPr>
          <w:rFonts w:eastAsia="Calibri" w:cs="Times New Roman"/>
          <w:sz w:val="24"/>
          <w:szCs w:val="24"/>
        </w:rPr>
      </w:pPr>
      <w:r w:rsidRPr="00C107F7">
        <w:rPr>
          <w:rFonts w:eastAsia="Calibri" w:cs="Times New Roman"/>
          <w:sz w:val="24"/>
          <w:szCs w:val="24"/>
        </w:rPr>
        <w:t>Atbilstoši FM novērtējumam vispārējās valdības budžeta deficīts 2023. gadā bija 2,3% no IKP, kas ir zemāks nekā prognozēts Latvijas Stabilitātes programmā 2023.</w:t>
      </w:r>
      <w:r w:rsidR="00DF009D">
        <w:rPr>
          <w:rFonts w:eastAsia="Calibri" w:cs="Times New Roman"/>
          <w:sz w:val="24"/>
          <w:szCs w:val="24"/>
        </w:rPr>
        <w:t xml:space="preserve"> </w:t>
      </w:r>
      <w:r w:rsidRPr="00C107F7">
        <w:rPr>
          <w:rFonts w:eastAsia="Calibri" w:cs="Times New Roman"/>
          <w:sz w:val="24"/>
          <w:szCs w:val="24"/>
        </w:rPr>
        <w:t>–</w:t>
      </w:r>
      <w:r w:rsidR="00DF009D">
        <w:rPr>
          <w:rFonts w:eastAsia="Calibri" w:cs="Times New Roman"/>
          <w:sz w:val="24"/>
          <w:szCs w:val="24"/>
        </w:rPr>
        <w:t xml:space="preserve"> </w:t>
      </w:r>
      <w:r w:rsidRPr="00C107F7">
        <w:rPr>
          <w:rFonts w:eastAsia="Calibri" w:cs="Times New Roman"/>
          <w:sz w:val="24"/>
          <w:szCs w:val="24"/>
        </w:rPr>
        <w:t xml:space="preserve">2026. gadam, </w:t>
      </w:r>
      <w:r w:rsidRPr="00C107F7">
        <w:rPr>
          <w:rFonts w:eastAsia="Calibri" w:cs="Times New Roman"/>
          <w:sz w:val="24"/>
          <w:szCs w:val="24"/>
        </w:rPr>
        <w:lastRenderedPageBreak/>
        <w:t>kad, ņemot vērā augsto nenoteiktību saistībā ar energoresursu cenu pieaugumu, budžetā tika ieplānots vispārējās valdības budžeta deficīts 4,0% no IKP apmērā. Deficīts 2023.</w:t>
      </w:r>
      <w:r w:rsidR="00C107F7" w:rsidRPr="00C107F7">
        <w:rPr>
          <w:rFonts w:eastAsia="Calibri" w:cs="Times New Roman"/>
          <w:sz w:val="24"/>
          <w:szCs w:val="24"/>
        </w:rPr>
        <w:t xml:space="preserve"> </w:t>
      </w:r>
      <w:r w:rsidRPr="00C107F7">
        <w:rPr>
          <w:rFonts w:eastAsia="Calibri" w:cs="Times New Roman"/>
          <w:sz w:val="24"/>
          <w:szCs w:val="24"/>
        </w:rPr>
        <w:t xml:space="preserve">gadā bija zemāks nekā plānots, ņemot vērā mazākus izdevumus </w:t>
      </w:r>
      <w:proofErr w:type="spellStart"/>
      <w:r w:rsidRPr="00C107F7">
        <w:rPr>
          <w:rFonts w:eastAsia="Calibri" w:cs="Times New Roman"/>
          <w:sz w:val="24"/>
          <w:szCs w:val="24"/>
        </w:rPr>
        <w:t>energoatbalsta</w:t>
      </w:r>
      <w:proofErr w:type="spellEnd"/>
      <w:r w:rsidRPr="00C107F7">
        <w:rPr>
          <w:rFonts w:eastAsia="Calibri" w:cs="Times New Roman"/>
          <w:sz w:val="24"/>
          <w:szCs w:val="24"/>
        </w:rPr>
        <w:t xml:space="preserve"> pasākumiem. Savukārt, 2024.</w:t>
      </w:r>
      <w:r w:rsidR="00C107F7" w:rsidRPr="00C107F7">
        <w:rPr>
          <w:rFonts w:eastAsia="Calibri" w:cs="Times New Roman"/>
          <w:sz w:val="24"/>
          <w:szCs w:val="24"/>
        </w:rPr>
        <w:t xml:space="preserve"> </w:t>
      </w:r>
      <w:r w:rsidRPr="00C107F7">
        <w:rPr>
          <w:rFonts w:eastAsia="Calibri" w:cs="Times New Roman"/>
          <w:sz w:val="24"/>
          <w:szCs w:val="24"/>
        </w:rPr>
        <w:t xml:space="preserve">gadam un turpmākajiem gadiem vispārējās valdības budžeta deficīts tiek prognozēts augstāks nekā iepriekš, jo ir ņemti vērā 2023. gada rudenī pieņemtie lēmumi attiecībā uz papildus finansējumu pedagogu, </w:t>
      </w:r>
      <w:proofErr w:type="spellStart"/>
      <w:r w:rsidRPr="00C107F7">
        <w:rPr>
          <w:rFonts w:eastAsia="Calibri" w:cs="Times New Roman"/>
          <w:sz w:val="24"/>
          <w:szCs w:val="24"/>
        </w:rPr>
        <w:t>iekšlietu</w:t>
      </w:r>
      <w:proofErr w:type="spellEnd"/>
      <w:r w:rsidRPr="00C107F7">
        <w:rPr>
          <w:rFonts w:eastAsia="Calibri" w:cs="Times New Roman"/>
          <w:sz w:val="24"/>
          <w:szCs w:val="24"/>
        </w:rPr>
        <w:t xml:space="preserve"> resora atalgojuma paaugstināšanai un papildus finansējumu veselībai, kā arī šā gada pavasarī bāzes izdevumos paredzot papildus līdzekļus valsts aizsardzībai, it īpaši 2026.</w:t>
      </w:r>
      <w:r w:rsidR="00DF009D">
        <w:rPr>
          <w:rFonts w:eastAsia="Calibri" w:cs="Times New Roman"/>
          <w:sz w:val="24"/>
          <w:szCs w:val="24"/>
        </w:rPr>
        <w:t xml:space="preserve"> – </w:t>
      </w:r>
      <w:r w:rsidRPr="00C107F7">
        <w:rPr>
          <w:rFonts w:eastAsia="Calibri" w:cs="Times New Roman"/>
          <w:sz w:val="24"/>
          <w:szCs w:val="24"/>
        </w:rPr>
        <w:t>2027.</w:t>
      </w:r>
      <w:r w:rsidR="00C107F7" w:rsidRPr="00C107F7">
        <w:rPr>
          <w:rFonts w:eastAsia="Calibri" w:cs="Times New Roman"/>
          <w:sz w:val="24"/>
          <w:szCs w:val="24"/>
        </w:rPr>
        <w:t xml:space="preserve"> </w:t>
      </w:r>
      <w:r w:rsidRPr="00C107F7">
        <w:rPr>
          <w:rFonts w:eastAsia="Calibri" w:cs="Times New Roman"/>
          <w:sz w:val="24"/>
          <w:szCs w:val="24"/>
        </w:rPr>
        <w:t xml:space="preserve">gadā, un attiecīgi īstenojoties atbilstošajām piegādēm. Turklāt deficīta palielināšanos ietekmēja arī pārskatītie nodokļu ieņēmumi vidējam termiņam atbilstoši atjaunotajam </w:t>
      </w:r>
      <w:proofErr w:type="spellStart"/>
      <w:r w:rsidRPr="00C107F7">
        <w:rPr>
          <w:rFonts w:eastAsia="Calibri" w:cs="Times New Roman"/>
          <w:sz w:val="24"/>
          <w:szCs w:val="24"/>
        </w:rPr>
        <w:t>makroscenārijam</w:t>
      </w:r>
      <w:proofErr w:type="spellEnd"/>
      <w:r w:rsidRPr="00C107F7">
        <w:rPr>
          <w:rFonts w:eastAsia="Calibri" w:cs="Times New Roman"/>
          <w:sz w:val="24"/>
          <w:szCs w:val="24"/>
        </w:rPr>
        <w:t xml:space="preserve"> un pašvaldību budžeta kārtējo izdevumu pieaugums, ņemot vērā augsto 2023. gada izpildi.</w:t>
      </w:r>
    </w:p>
    <w:p w14:paraId="2DEAB902" w14:textId="6DBDF017" w:rsidR="007C1EEE" w:rsidRDefault="007C1EEE" w:rsidP="007C1EEE">
      <w:pPr>
        <w:rPr>
          <w:rFonts w:eastAsia="Calibri" w:cs="Times New Roman"/>
          <w:sz w:val="24"/>
          <w:szCs w:val="24"/>
        </w:rPr>
      </w:pPr>
      <w:r w:rsidRPr="007C1EEE">
        <w:rPr>
          <w:rFonts w:eastAsia="Calibri" w:cs="Times New Roman"/>
          <w:sz w:val="24"/>
          <w:szCs w:val="24"/>
        </w:rPr>
        <w:t>Vispārējās valdības parāda prognoze ir palielināta 2024.</w:t>
      </w:r>
      <w:r>
        <w:rPr>
          <w:rFonts w:eastAsia="Calibri" w:cs="Times New Roman"/>
          <w:sz w:val="24"/>
          <w:szCs w:val="24"/>
        </w:rPr>
        <w:t xml:space="preserve"> – </w:t>
      </w:r>
      <w:r w:rsidRPr="007C1EEE">
        <w:rPr>
          <w:rFonts w:eastAsia="Calibri" w:cs="Times New Roman"/>
          <w:sz w:val="24"/>
          <w:szCs w:val="24"/>
        </w:rPr>
        <w:t>2026.</w:t>
      </w:r>
      <w:r>
        <w:rPr>
          <w:rFonts w:eastAsia="Calibri" w:cs="Times New Roman"/>
          <w:sz w:val="24"/>
          <w:szCs w:val="24"/>
        </w:rPr>
        <w:t xml:space="preserve"> </w:t>
      </w:r>
      <w:r w:rsidRPr="007C1EEE">
        <w:rPr>
          <w:rFonts w:eastAsia="Calibri" w:cs="Times New Roman"/>
          <w:sz w:val="24"/>
          <w:szCs w:val="24"/>
        </w:rPr>
        <w:t>gadā, salīdzinot ar 2023. – 2026.</w:t>
      </w:r>
      <w:r>
        <w:rPr>
          <w:rFonts w:eastAsia="Calibri" w:cs="Times New Roman"/>
          <w:sz w:val="24"/>
          <w:szCs w:val="24"/>
        </w:rPr>
        <w:t xml:space="preserve"> </w:t>
      </w:r>
      <w:r w:rsidRPr="007C1EEE">
        <w:rPr>
          <w:rFonts w:eastAsia="Calibri" w:cs="Times New Roman"/>
          <w:sz w:val="24"/>
          <w:szCs w:val="24"/>
        </w:rPr>
        <w:t>gada Stabilitātes programmas prognozēm. Izmaiņas noteica galvenokārt aktualizētā valsts budžeta bilances prognoze, kā arī aktualizētās makroekonomisko rādītāju prognozes 2024.</w:t>
      </w:r>
      <w:r>
        <w:rPr>
          <w:rFonts w:eastAsia="Calibri" w:cs="Times New Roman"/>
          <w:sz w:val="24"/>
          <w:szCs w:val="24"/>
        </w:rPr>
        <w:t xml:space="preserve"> – </w:t>
      </w:r>
      <w:r w:rsidRPr="007C1EEE">
        <w:rPr>
          <w:rFonts w:eastAsia="Calibri" w:cs="Times New Roman"/>
          <w:sz w:val="24"/>
          <w:szCs w:val="24"/>
        </w:rPr>
        <w:t>2028.</w:t>
      </w:r>
      <w:r>
        <w:rPr>
          <w:rFonts w:eastAsia="Calibri" w:cs="Times New Roman"/>
          <w:sz w:val="24"/>
          <w:szCs w:val="24"/>
        </w:rPr>
        <w:t xml:space="preserve"> </w:t>
      </w:r>
      <w:r w:rsidRPr="007C1EEE">
        <w:rPr>
          <w:rFonts w:eastAsia="Calibri" w:cs="Times New Roman"/>
          <w:sz w:val="24"/>
          <w:szCs w:val="24"/>
        </w:rPr>
        <w:t>gadam.</w:t>
      </w:r>
    </w:p>
    <w:p w14:paraId="4D5F2ECF" w14:textId="77777777" w:rsidR="009A7932" w:rsidRPr="006923DF" w:rsidRDefault="009A7932" w:rsidP="00E6266D">
      <w:pPr>
        <w:spacing w:after="120"/>
        <w:rPr>
          <w:rFonts w:eastAsia="Calibri" w:cs="Times New Roman"/>
          <w:sz w:val="24"/>
          <w:szCs w:val="24"/>
        </w:rPr>
      </w:pPr>
    </w:p>
    <w:p w14:paraId="1F1738F9" w14:textId="77777777" w:rsidR="007D47AF" w:rsidRPr="00874664" w:rsidRDefault="007D47AF" w:rsidP="00167099">
      <w:pPr>
        <w:rPr>
          <w:rFonts w:eastAsia="Calibri" w:cs="Times New Roman"/>
          <w:sz w:val="24"/>
          <w:szCs w:val="24"/>
          <w:highlight w:val="lightGray"/>
        </w:rPr>
      </w:pPr>
    </w:p>
    <w:p w14:paraId="420866EB" w14:textId="4E867860" w:rsidR="00F2699C" w:rsidRPr="00874664" w:rsidRDefault="00F2699C">
      <w:pPr>
        <w:spacing w:after="160" w:line="259" w:lineRule="auto"/>
        <w:ind w:firstLine="0"/>
        <w:jc w:val="left"/>
        <w:rPr>
          <w:rFonts w:eastAsia="Calibri" w:cs="Times New Roman"/>
          <w:sz w:val="24"/>
          <w:szCs w:val="24"/>
          <w:highlight w:val="lightGray"/>
        </w:rPr>
      </w:pPr>
      <w:r w:rsidRPr="00874664">
        <w:rPr>
          <w:sz w:val="32"/>
          <w:szCs w:val="32"/>
          <w:highlight w:val="lightGray"/>
        </w:rPr>
        <w:br w:type="page"/>
      </w:r>
    </w:p>
    <w:p w14:paraId="3E178BA8" w14:textId="4A9B473A" w:rsidR="00BF4753" w:rsidRPr="00D83A68" w:rsidRDefault="00BF4753" w:rsidP="00EF6192">
      <w:pPr>
        <w:pStyle w:val="Heading1"/>
        <w:spacing w:before="0" w:after="360"/>
        <w:rPr>
          <w:sz w:val="32"/>
          <w:szCs w:val="32"/>
        </w:rPr>
      </w:pPr>
      <w:bookmarkStart w:id="63" w:name="_Toc164679835"/>
      <w:r w:rsidRPr="00D83A68">
        <w:rPr>
          <w:sz w:val="32"/>
          <w:szCs w:val="32"/>
        </w:rPr>
        <w:lastRenderedPageBreak/>
        <w:t>5. Valsts finanšu kvalitāte</w:t>
      </w:r>
      <w:bookmarkEnd w:id="63"/>
    </w:p>
    <w:p w14:paraId="2855832D" w14:textId="38537CF8" w:rsidR="00BF4753" w:rsidRPr="00D83A68" w:rsidRDefault="00BF4753" w:rsidP="00A01024">
      <w:pPr>
        <w:pStyle w:val="Heading2"/>
        <w:numPr>
          <w:ilvl w:val="0"/>
          <w:numId w:val="0"/>
        </w:numPr>
        <w:spacing w:before="0" w:after="360"/>
        <w:rPr>
          <w:sz w:val="28"/>
          <w:szCs w:val="24"/>
        </w:rPr>
      </w:pPr>
      <w:bookmarkStart w:id="64" w:name="_Toc510790673"/>
      <w:bookmarkStart w:id="65" w:name="_Toc5627380"/>
      <w:bookmarkStart w:id="66" w:name="_Toc5798635"/>
      <w:bookmarkStart w:id="67" w:name="_Toc164679836"/>
      <w:r w:rsidRPr="00D83A68">
        <w:rPr>
          <w:sz w:val="28"/>
          <w:szCs w:val="24"/>
        </w:rPr>
        <w:t>5.1. Valsts budžeta līdzekļu efektivitāte un izlietojuma kontrole</w:t>
      </w:r>
      <w:bookmarkEnd w:id="64"/>
      <w:bookmarkEnd w:id="65"/>
      <w:bookmarkEnd w:id="66"/>
      <w:bookmarkEnd w:id="67"/>
    </w:p>
    <w:p w14:paraId="54A17647" w14:textId="6B3F533B" w:rsidR="00A44509" w:rsidRPr="007D4AE9" w:rsidRDefault="00A44509" w:rsidP="00A44509">
      <w:pPr>
        <w:pStyle w:val="Default"/>
        <w:ind w:firstLine="720"/>
        <w:jc w:val="both"/>
        <w:rPr>
          <w:color w:val="auto"/>
        </w:rPr>
      </w:pPr>
      <w:r w:rsidRPr="007D4AE9">
        <w:t xml:space="preserve">Valsts budžeta izstrādāšanas, apstiprināšanas un izpildes kārtību un atbildību budžeta procesā nosaka </w:t>
      </w:r>
      <w:r w:rsidRPr="00A44509">
        <w:t>Likums par budžeta un finanšu vadību (turpmāk – LBFV).</w:t>
      </w:r>
    </w:p>
    <w:p w14:paraId="51435603" w14:textId="77777777" w:rsidR="00A44509" w:rsidRPr="007D4AE9" w:rsidRDefault="00A44509" w:rsidP="00A44509">
      <w:pPr>
        <w:pStyle w:val="Default"/>
        <w:ind w:firstLine="720"/>
        <w:jc w:val="both"/>
      </w:pPr>
      <w:r w:rsidRPr="007D4AE9">
        <w:t>Saskaņā ar LBFV finanšu</w:t>
      </w:r>
      <w:r>
        <w:t xml:space="preserve"> ministrs</w:t>
      </w:r>
      <w:r w:rsidRPr="00CE3BD2">
        <w:t xml:space="preserve"> ir atbildīgs par valsts budžeta likumprojekta (budžeta likumprojektu paketes) un tam pievienojamo paskaidrojumu izstrādāšanu</w:t>
      </w:r>
      <w:r>
        <w:t xml:space="preserve">, kā arī </w:t>
      </w:r>
      <w:r w:rsidRPr="00CE3BD2">
        <w:t xml:space="preserve">nodrošina </w:t>
      </w:r>
      <w:r w:rsidRPr="00261E2F">
        <w:t>valsts budžeta likumprojekta</w:t>
      </w:r>
      <w:r>
        <w:t xml:space="preserve"> </w:t>
      </w:r>
      <w:r w:rsidRPr="00CE3BD2">
        <w:t>izstrādāšanu, pamatojoties uz budžeta pieprasījumiem</w:t>
      </w:r>
      <w:r>
        <w:t xml:space="preserve">. </w:t>
      </w:r>
      <w:r w:rsidRPr="00CE3BD2">
        <w:t xml:space="preserve">Finanšu ministrs jebkurā valsts budžeta likumprojekta izskatīšanas stadijā līdz tā iesniegšanai </w:t>
      </w:r>
      <w:r>
        <w:t>MK</w:t>
      </w:r>
      <w:r w:rsidRPr="00CE3BD2">
        <w:t xml:space="preserve"> var pieprasīt nepieciešamo papildu informāciju, izteikt savu viedokli, pievienot nepieciešamos atzinumus, kā arī atsevišķu revīziju rezultātus, lai izvērtētu atbilstību paredzētajiem mērķiem un sasniedzamajiem rezultātiem. Pamatojoties uz šāda </w:t>
      </w:r>
      <w:proofErr w:type="spellStart"/>
      <w:r w:rsidRPr="00CE3BD2">
        <w:t>izvērtējuma</w:t>
      </w:r>
      <w:proofErr w:type="spellEnd"/>
      <w:r w:rsidRPr="00CE3BD2">
        <w:t xml:space="preserve"> rezultātiem un sniegto informāciju, finanšu ministrs pieņem lēmumu par budžeta pieprasījumu iekļaušanu valsts budžeta likumprojektā</w:t>
      </w:r>
      <w:r>
        <w:t xml:space="preserve">. </w:t>
      </w:r>
    </w:p>
    <w:p w14:paraId="1F47913A" w14:textId="77777777" w:rsidR="00A44509" w:rsidRPr="007D4AE9" w:rsidRDefault="00A44509" w:rsidP="00A44509">
      <w:pPr>
        <w:pStyle w:val="Default"/>
        <w:ind w:firstLine="720"/>
        <w:jc w:val="both"/>
        <w:rPr>
          <w:color w:val="auto"/>
        </w:rPr>
      </w:pPr>
      <w:r w:rsidRPr="007D4AE9">
        <w:rPr>
          <w:color w:val="auto"/>
        </w:rPr>
        <w:t>Finanšu ministrs</w:t>
      </w:r>
      <w:r w:rsidRPr="007D4AE9">
        <w:t xml:space="preserve"> arī </w:t>
      </w:r>
      <w:r w:rsidRPr="007D4AE9">
        <w:rPr>
          <w:color w:val="auto"/>
        </w:rPr>
        <w:t>ir atbildīgs</w:t>
      </w:r>
      <w:r w:rsidRPr="007D4AE9">
        <w:t xml:space="preserve"> par valsts budžeta izpildes procesa organizāciju un vadību, </w:t>
      </w:r>
      <w:r w:rsidRPr="007D4AE9">
        <w:rPr>
          <w:color w:val="auto"/>
        </w:rPr>
        <w:t>kā arī VK darbības uzraudzību atbilstoši LBFV prasībām.</w:t>
      </w:r>
    </w:p>
    <w:p w14:paraId="179B1346" w14:textId="77777777" w:rsidR="00A44509" w:rsidRPr="007D4AE9" w:rsidRDefault="00A44509" w:rsidP="00A44509">
      <w:pPr>
        <w:pStyle w:val="Default"/>
        <w:ind w:firstLine="720"/>
        <w:jc w:val="both"/>
      </w:pPr>
      <w:r w:rsidRPr="007D4AE9">
        <w:t>Finanšu ministrs valsts budžeta likumprojekta vai tā grozījumu izstrādes procesa laikā informē Saeimas Budžeta un finanšu (nodokļu) komisiju par valsts budžeta plānošanas gaitu, kā arī ne retāk kā reizi ceturksnī – par valsts budžeta izpildes gaitu.</w:t>
      </w:r>
    </w:p>
    <w:p w14:paraId="333F168F" w14:textId="77777777" w:rsidR="00A44509" w:rsidRPr="007D4AE9" w:rsidRDefault="00A44509" w:rsidP="00A44509">
      <w:pPr>
        <w:pStyle w:val="Default"/>
        <w:ind w:firstLine="720"/>
        <w:jc w:val="both"/>
      </w:pPr>
      <w:r w:rsidRPr="007D4AE9">
        <w:rPr>
          <w:color w:val="auto"/>
        </w:rPr>
        <w:t>Sa</w:t>
      </w:r>
      <w:r w:rsidRPr="007D4AE9">
        <w:t xml:space="preserve">skaņā ar LBFV budžeta finansētu institūciju, budžeta nefinansētu iestāžu un pašvaldību, kā arī kapitālsabiedrību, kurās ieguldīta valsts vai pašvaldību kapitāla daļa, vadītāji ir atbildīgi par minētajā likumā noteiktās kārtības un prasību ievērošanu, izpildi un kontroli, kā arī par budžeta līdzekļu efektīvu un ekonomisku izlietošanu atbilstoši paredzētajiem mērķiem. </w:t>
      </w:r>
    </w:p>
    <w:p w14:paraId="16513349" w14:textId="77777777" w:rsidR="00A44509" w:rsidRPr="0036522F" w:rsidRDefault="00A44509" w:rsidP="00A44509">
      <w:pPr>
        <w:pStyle w:val="Default"/>
        <w:ind w:firstLine="720"/>
        <w:jc w:val="both"/>
      </w:pPr>
      <w:r w:rsidRPr="007D4AE9">
        <w:rPr>
          <w:color w:val="auto"/>
        </w:rPr>
        <w:t xml:space="preserve">LBFV ir </w:t>
      </w:r>
      <w:r>
        <w:rPr>
          <w:color w:val="auto"/>
        </w:rPr>
        <w:t>noteikta</w:t>
      </w:r>
      <w:r w:rsidRPr="007D4AE9">
        <w:rPr>
          <w:color w:val="auto"/>
        </w:rPr>
        <w:t xml:space="preserve"> norma, kas paredz MK nodrošināt pastāvīgu un sistemātisku valsts budžeta izdevumu pārskatīšanu, ļaujot efektīvāk un ekonomiskāk īstenot valsts politiku, kā arī optimizēt budžeta izdevumus un izvērtēt to atbilstību attīstības plānošanas dokumentos noteiktajām prioritātēm un mērķiem. </w:t>
      </w:r>
      <w:r w:rsidRPr="007D4AE9">
        <w:t xml:space="preserve">MK ik gadu pieņem lēmumu par valsts budžeta izdevumu pārskatīšanas tvērumu vienlaikus ar budžeta sagatavošanas grafika apstiprināšanu. Savukārt finanšu </w:t>
      </w:r>
      <w:r w:rsidRPr="0036522F">
        <w:t>ministrs atbilstoši minētajam grafikam iesniedz MK valsts budžeta izdevumu pārskatīšanas rezultātus un priekšlikumus par šo rezultātu izmantošanu valsts budžeta likumprojekta izstrādes procesā.</w:t>
      </w:r>
    </w:p>
    <w:p w14:paraId="44292800" w14:textId="77777777" w:rsidR="00A44509" w:rsidRPr="0036522F" w:rsidRDefault="00A44509" w:rsidP="00A44509">
      <w:pPr>
        <w:pStyle w:val="Default"/>
        <w:jc w:val="center"/>
        <w:rPr>
          <w:noProof/>
        </w:rPr>
      </w:pPr>
    </w:p>
    <w:p w14:paraId="79F04F7A" w14:textId="77777777" w:rsidR="00A44509" w:rsidRPr="0036522F" w:rsidRDefault="00A44509" w:rsidP="00A44509">
      <w:pPr>
        <w:pStyle w:val="Default"/>
        <w:jc w:val="center"/>
        <w:rPr>
          <w:noProof/>
        </w:rPr>
      </w:pPr>
      <w:r w:rsidRPr="0036522F">
        <w:rPr>
          <w:noProof/>
        </w:rPr>
        <w:drawing>
          <wp:inline distT="0" distB="0" distL="0" distR="0" wp14:anchorId="15529724" wp14:editId="7B9DFE2E">
            <wp:extent cx="5092700" cy="2830845"/>
            <wp:effectExtent l="0" t="0" r="0" b="7620"/>
            <wp:docPr id="1838738651" name="Picture 1"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38651" name="Picture 1" descr="A close-up of a pape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99783" cy="2834782"/>
                    </a:xfrm>
                    <a:prstGeom prst="rect">
                      <a:avLst/>
                    </a:prstGeom>
                  </pic:spPr>
                </pic:pic>
              </a:graphicData>
            </a:graphic>
          </wp:inline>
        </w:drawing>
      </w:r>
    </w:p>
    <w:p w14:paraId="13260677" w14:textId="53704684" w:rsidR="00A44509" w:rsidRPr="00236A82" w:rsidRDefault="00A44509" w:rsidP="00A44509">
      <w:pPr>
        <w:pStyle w:val="Default"/>
        <w:spacing w:before="120"/>
        <w:jc w:val="center"/>
        <w:rPr>
          <w:i/>
          <w:iCs/>
          <w:sz w:val="28"/>
          <w:szCs w:val="28"/>
        </w:rPr>
      </w:pPr>
      <w:r w:rsidRPr="00236A82">
        <w:rPr>
          <w:b/>
          <w:i/>
          <w:iCs/>
        </w:rPr>
        <w:t>5.1.</w:t>
      </w:r>
      <w:r w:rsidR="00236A82">
        <w:rPr>
          <w:b/>
          <w:i/>
          <w:iCs/>
        </w:rPr>
        <w:t xml:space="preserve"> </w:t>
      </w:r>
      <w:r w:rsidRPr="00236A82">
        <w:rPr>
          <w:b/>
          <w:i/>
          <w:iCs/>
        </w:rPr>
        <w:t>att</w:t>
      </w:r>
      <w:r w:rsidR="00236A82">
        <w:rPr>
          <w:b/>
          <w:i/>
          <w:iCs/>
        </w:rPr>
        <w:t>.</w:t>
      </w:r>
      <w:r w:rsidRPr="00236A82">
        <w:rPr>
          <w:b/>
          <w:i/>
          <w:iCs/>
        </w:rPr>
        <w:t xml:space="preserve"> Izdevumu pārskatīšanas tvērums 2024. gadam.</w:t>
      </w:r>
    </w:p>
    <w:p w14:paraId="34D2C28C" w14:textId="57B58C7B" w:rsidR="00A44509" w:rsidRPr="0036522F" w:rsidRDefault="00A44509" w:rsidP="00A44509">
      <w:pPr>
        <w:pStyle w:val="Default"/>
        <w:ind w:firstLine="720"/>
        <w:jc w:val="both"/>
      </w:pPr>
      <w:r w:rsidRPr="0036522F">
        <w:lastRenderedPageBreak/>
        <w:t xml:space="preserve">2024. gadā izdevumu pārskatīšanas ietvaros paredzēts pilnveidot valsts budžeta izdevumu sasaisti ar nozaru politiku mērķiem un rezultātiem, uzsākt uz rezultātu sasniegšanu orientētu budžeta programmu ieviešanu, veicot to analīzi atbilstoši sniegumam, izmaksām un starptautiskajiem salīdzinājumiem </w:t>
      </w:r>
      <w:r w:rsidRPr="0036522F">
        <w:rPr>
          <w:i/>
          <w:iCs/>
        </w:rPr>
        <w:t>(</w:t>
      </w:r>
      <w:proofErr w:type="spellStart"/>
      <w:r w:rsidRPr="0036522F">
        <w:rPr>
          <w:i/>
          <w:iCs/>
        </w:rPr>
        <w:t>benchmarking</w:t>
      </w:r>
      <w:proofErr w:type="spellEnd"/>
      <w:r w:rsidRPr="0036522F">
        <w:rPr>
          <w:i/>
          <w:iCs/>
        </w:rPr>
        <w:t>)</w:t>
      </w:r>
      <w:r w:rsidRPr="0036522F">
        <w:t>, lai rezultatīvo rādītāju sistēmas priekšrocības atbilstoši iespējām tiktu izmantotas ar valsts budžetu saistītu lēmumu pieņemšanā. Tāpat izdevumu pārskatīšanas ietvaros paredzēts, ka nozaru ministrijas veic līdz šim prioritārajiem pasākumiem piešķirtā finansējuma pārskatīšanu, darbības rezultatīvo rādītāju izpildes 2023. gadā analīzi, kā arī nozares budžetā plānoto izdevumu analīzi un sniedz priekšlikumus iespējamām politikas izmaiņām</w:t>
      </w:r>
      <w:r w:rsidR="00DF009D">
        <w:t xml:space="preserve"> </w:t>
      </w:r>
      <w:r w:rsidRPr="0036522F">
        <w:t>(skat. 5.1.attēlā).</w:t>
      </w:r>
    </w:p>
    <w:p w14:paraId="147E3AFF" w14:textId="77777777" w:rsidR="00A44509" w:rsidRPr="007D4AE9" w:rsidRDefault="00A44509" w:rsidP="00A44509">
      <w:pPr>
        <w:pStyle w:val="Default"/>
        <w:ind w:firstLine="720"/>
        <w:jc w:val="both"/>
        <w:rPr>
          <w:color w:val="auto"/>
        </w:rPr>
      </w:pPr>
      <w:r w:rsidRPr="0036522F">
        <w:t>Valsts budžetu veido</w:t>
      </w:r>
      <w:r w:rsidRPr="0036522F">
        <w:rPr>
          <w:color w:val="auto"/>
        </w:rPr>
        <w:t xml:space="preserve"> budžeta programmas, kuru struktūru nosaka institūcijas darbības stratēģijā definētie darbības (rīcības) virzieni vai ministrijas vai citas centrālās valsts iestādes nolikumā noteiktās funkcijas. Tādējādi tiek</w:t>
      </w:r>
      <w:r w:rsidRPr="007D4AE9">
        <w:rPr>
          <w:color w:val="auto"/>
        </w:rPr>
        <w:t xml:space="preserve"> veidota sasaiste budžeta izstrādei ar politikas plānošanu, jo viens no institūciju darbības stratēģijas uzdevumiem vidējā termiņā ir panākt, ka budžeta programmas nodrošina attīstības plānošanas dokumentos izvirzīto mērķu un plānoto rezultātu un to rezultatīvo rādītāju sasniegšanu. Ministrijas un citas centrālās valsts iestādes katru gadu iekļauj budžeta pieprasījumos valsts budžeta programmu darbības rezultātus, kurus</w:t>
      </w:r>
      <w:r w:rsidRPr="007D4AE9">
        <w:t xml:space="preserve"> </w:t>
      </w:r>
      <w:r w:rsidRPr="007D4AE9">
        <w:rPr>
          <w:color w:val="auto"/>
        </w:rPr>
        <w:t xml:space="preserve">pēc iespējas veido attīstības plānošanas dokumentos plānotie darbības rezultāti un to rezultatīvie rādītāji. </w:t>
      </w:r>
      <w:r>
        <w:rPr>
          <w:color w:val="auto"/>
        </w:rPr>
        <w:t>P</w:t>
      </w:r>
      <w:r w:rsidRPr="007D4AE9">
        <w:rPr>
          <w:color w:val="auto"/>
        </w:rPr>
        <w:t>ilnveido</w:t>
      </w:r>
      <w:r>
        <w:rPr>
          <w:color w:val="auto"/>
        </w:rPr>
        <w:t>jot</w:t>
      </w:r>
      <w:r w:rsidRPr="007D4AE9">
        <w:rPr>
          <w:color w:val="auto"/>
        </w:rPr>
        <w:t xml:space="preserve"> budžeta paskaidrojumu saturu ar mērķi sniegt informāciju par valsts budžetu kā politikas realizācijas instrumentu</w:t>
      </w:r>
      <w:r>
        <w:rPr>
          <w:color w:val="auto"/>
        </w:rPr>
        <w:t xml:space="preserve"> un </w:t>
      </w:r>
      <w:r w:rsidRPr="007D4AE9">
        <w:rPr>
          <w:color w:val="auto"/>
        </w:rPr>
        <w:t>palielin</w:t>
      </w:r>
      <w:r>
        <w:rPr>
          <w:color w:val="auto"/>
        </w:rPr>
        <w:t>āt</w:t>
      </w:r>
      <w:r w:rsidRPr="007D4AE9">
        <w:rPr>
          <w:color w:val="auto"/>
        </w:rPr>
        <w:t xml:space="preserve"> budžeta paskaidrojumos esošās informācijas uztveramību</w:t>
      </w:r>
      <w:r>
        <w:rPr>
          <w:color w:val="auto"/>
        </w:rPr>
        <w:t xml:space="preserve"> – tika ieviestas</w:t>
      </w:r>
      <w:r w:rsidRPr="007D4AE9">
        <w:rPr>
          <w:color w:val="auto"/>
        </w:rPr>
        <w:t xml:space="preserve"> Politikas un resursu vadības kar</w:t>
      </w:r>
      <w:r>
        <w:rPr>
          <w:color w:val="auto"/>
        </w:rPr>
        <w:t xml:space="preserve">tes, </w:t>
      </w:r>
      <w:r w:rsidRPr="007D4AE9">
        <w:rPr>
          <w:color w:val="auto"/>
        </w:rPr>
        <w:t>kur</w:t>
      </w:r>
      <w:r>
        <w:rPr>
          <w:color w:val="auto"/>
        </w:rPr>
        <w:t>as</w:t>
      </w:r>
      <w:r w:rsidRPr="007D4AE9">
        <w:rPr>
          <w:color w:val="auto"/>
        </w:rPr>
        <w:t xml:space="preserve"> snie</w:t>
      </w:r>
      <w:r>
        <w:rPr>
          <w:color w:val="auto"/>
        </w:rPr>
        <w:t>dz</w:t>
      </w:r>
      <w:r w:rsidRPr="007D4AE9">
        <w:rPr>
          <w:color w:val="auto"/>
        </w:rPr>
        <w:t xml:space="preserve"> </w:t>
      </w:r>
      <w:r>
        <w:rPr>
          <w:color w:val="auto"/>
        </w:rPr>
        <w:t xml:space="preserve">padziļinātu </w:t>
      </w:r>
      <w:r w:rsidRPr="007D4AE9">
        <w:rPr>
          <w:color w:val="auto"/>
        </w:rPr>
        <w:t>priekšstat</w:t>
      </w:r>
      <w:r>
        <w:rPr>
          <w:color w:val="auto"/>
        </w:rPr>
        <w:t>u</w:t>
      </w:r>
      <w:r w:rsidRPr="007D4AE9">
        <w:rPr>
          <w:color w:val="auto"/>
        </w:rPr>
        <w:t xml:space="preserve"> par nozaru politiku rezultātu sasniegšanā ieguldītajiem resursiem (finanšu un cilvēkresursiem) un par nozares darbības rezultātā sniegto labumu sabiedrībai.</w:t>
      </w:r>
    </w:p>
    <w:p w14:paraId="49A9FCB6" w14:textId="77777777" w:rsidR="00A44509" w:rsidRPr="007D4AE9" w:rsidRDefault="00A44509" w:rsidP="00A44509">
      <w:pPr>
        <w:pStyle w:val="Default"/>
        <w:ind w:firstLine="720"/>
        <w:jc w:val="both"/>
        <w:rPr>
          <w:color w:val="auto"/>
        </w:rPr>
      </w:pPr>
      <w:r>
        <w:rPr>
          <w:color w:val="auto"/>
        </w:rPr>
        <w:t xml:space="preserve">Šāds </w:t>
      </w:r>
      <w:r w:rsidRPr="007D4AE9">
        <w:rPr>
          <w:color w:val="auto"/>
        </w:rPr>
        <w:t xml:space="preserve">budžeta formāts ir devis iespēju interaktīvā un uzskatāmā veidā informēt Latvijas iedzīvotājus par to, kādās jomās un kādā apmērā tiek ieguldīta nodokļu maksātāju nauda un kādi rezultāti sagaidāmi. Ikvienam interesentam FM tīmekļvietnē ir pieejama: </w:t>
      </w:r>
    </w:p>
    <w:p w14:paraId="1950B52D" w14:textId="77777777" w:rsidR="00A44509" w:rsidRPr="007D4AE9" w:rsidRDefault="00A44509" w:rsidP="00A44509">
      <w:pPr>
        <w:pStyle w:val="Default"/>
        <w:numPr>
          <w:ilvl w:val="0"/>
          <w:numId w:val="6"/>
        </w:numPr>
        <w:ind w:left="993"/>
        <w:jc w:val="both"/>
      </w:pPr>
      <w:r w:rsidRPr="007D4AE9">
        <w:t xml:space="preserve">interaktīvā budžeta </w:t>
      </w:r>
      <w:proofErr w:type="spellStart"/>
      <w:r w:rsidRPr="007D4AE9">
        <w:t>infografika</w:t>
      </w:r>
      <w:proofErr w:type="spellEnd"/>
      <w:r w:rsidRPr="007D4AE9">
        <w:t>, kas ļauj lietotājam iepazīties ar deviņām budžeta ieguldījuma jomām (piemēram, veselība, izglītība, sociālā aizsardzība u.c.) un tām novirzīto finansējumu, kā arī uzzināt detalizētu informāciju par ieguldījuma virzieniem katrā no nozarēm un finansējuma avotiem. Papildus tiek sniegta informācija par rezultātiem, kuri sagaidāmi no valsts budžeta finansējuma ieguldīšanas attiecīgajā jomā;</w:t>
      </w:r>
    </w:p>
    <w:p w14:paraId="484337C5" w14:textId="77777777" w:rsidR="00A44509" w:rsidRPr="007D4AE9" w:rsidRDefault="00A44509" w:rsidP="00A44509">
      <w:pPr>
        <w:pStyle w:val="Default"/>
        <w:numPr>
          <w:ilvl w:val="0"/>
          <w:numId w:val="6"/>
        </w:numPr>
        <w:ind w:left="993"/>
        <w:jc w:val="both"/>
      </w:pPr>
      <w:r>
        <w:t>strukturēti</w:t>
      </w:r>
      <w:r w:rsidRPr="007D4AE9">
        <w:t xml:space="preserve"> ministriju un citu centrālo valsts iestāžu budžeti gan kopsavilkumā, gan detalizēti. Lietotājs var iepazīties ar ministriju un citu centrālo valsts iestāžu darbības jomām un tām novirzīto finansējumu, kā arī gūt priekšstatu par nozares darbības rezultātā sniegto labumu sabiedrībai. Tas tiek atspoguļots politikas un resursu vadības kartēs, kurās vienkopus ir sniegta iespējami aptveroša un raksturojoša informācija par nozares darbu attiecīgajā jomā – mērķis, tā sasniegšanā ieguldāmie resursi (angļu val. – </w:t>
      </w:r>
      <w:proofErr w:type="spellStart"/>
      <w:r w:rsidRPr="007D4AE9">
        <w:rPr>
          <w:i/>
        </w:rPr>
        <w:t>inputs</w:t>
      </w:r>
      <w:proofErr w:type="spellEnd"/>
      <w:r w:rsidRPr="007D4AE9">
        <w:t xml:space="preserve">), sagaidāmie darbības rezultāti (angļu val. – </w:t>
      </w:r>
      <w:proofErr w:type="spellStart"/>
      <w:r w:rsidRPr="007D4AE9">
        <w:rPr>
          <w:i/>
        </w:rPr>
        <w:t>outputs</w:t>
      </w:r>
      <w:proofErr w:type="spellEnd"/>
      <w:r w:rsidRPr="007D4AE9">
        <w:t xml:space="preserve">) un augstākā līmeņa sasniedzamie nozaru politikas un kvalitātes rādītāji (angļu val. – </w:t>
      </w:r>
      <w:proofErr w:type="spellStart"/>
      <w:r w:rsidRPr="007D4AE9">
        <w:rPr>
          <w:i/>
        </w:rPr>
        <w:t>outcomes</w:t>
      </w:r>
      <w:proofErr w:type="spellEnd"/>
      <w:r w:rsidRPr="007D4AE9">
        <w:t>).</w:t>
      </w:r>
    </w:p>
    <w:p w14:paraId="55BF51CA" w14:textId="77777777" w:rsidR="00A44509" w:rsidRPr="007D4AE9" w:rsidRDefault="00A44509" w:rsidP="00A44509">
      <w:pPr>
        <w:pStyle w:val="Default"/>
        <w:ind w:firstLine="720"/>
        <w:jc w:val="both"/>
        <w:rPr>
          <w:color w:val="auto"/>
        </w:rPr>
      </w:pPr>
      <w:r w:rsidRPr="007D4AE9">
        <w:rPr>
          <w:color w:val="auto"/>
        </w:rPr>
        <w:t>Sagatavojot pārskatu par valsts budžeta izpildes analīzi, ministrijas un citas centrālās valsts iestādes sniedz skaidrojumus par iepriekš plānotajiem rezultātiem un to rezultatīvajiem rādītājiem, to izpildi gada laikā, kā arī par rezultatīvo rādītāju vērtību izpildes novirzēm no plānotajām rezultatīvo rādītāju vērtībām, kas pārsniedz 15</w:t>
      </w:r>
      <w:r>
        <w:rPr>
          <w:color w:val="auto"/>
        </w:rPr>
        <w:t> </w:t>
      </w:r>
      <w:r w:rsidRPr="007D4AE9">
        <w:rPr>
          <w:color w:val="auto"/>
        </w:rPr>
        <w:t>procentus (gan pozitīvā, gan negatīvā nozīmē). FM apkopo, izvērtē un nodrošina gan Politikas un resursu vadības kartēs norādīto rezultātu un to rezultatīvo rādītāju, gan valsts budžeta programmu (apakšprogrammu) darbības rezultātu un to rezultatīvo rādītāju uzkrāšanu.</w:t>
      </w:r>
    </w:p>
    <w:p w14:paraId="27B18854" w14:textId="77777777" w:rsidR="00A44509" w:rsidRPr="007D4AE9" w:rsidRDefault="00A44509" w:rsidP="00A44509">
      <w:pPr>
        <w:pStyle w:val="Default"/>
        <w:ind w:firstLine="720"/>
        <w:jc w:val="both"/>
      </w:pPr>
      <w:r w:rsidRPr="007D4AE9">
        <w:t>LBFV nosaka sekojošus valsts budžeta izpildes organizatoriskos aspektus:</w:t>
      </w:r>
    </w:p>
    <w:p w14:paraId="60C7BF1A" w14:textId="77777777" w:rsidR="00A44509" w:rsidRPr="007D4AE9" w:rsidRDefault="00A44509" w:rsidP="00A44509">
      <w:pPr>
        <w:pStyle w:val="Default"/>
        <w:numPr>
          <w:ilvl w:val="0"/>
          <w:numId w:val="6"/>
        </w:numPr>
        <w:ind w:left="993"/>
        <w:jc w:val="both"/>
        <w:rPr>
          <w:color w:val="auto"/>
        </w:rPr>
      </w:pPr>
      <w:r w:rsidRPr="007D4AE9">
        <w:t xml:space="preserve">valsts budžeta izpildītāji var veikt valsts budžeta izdevumus vai uzņemties īstermiņa saistības tikai to finansēšanas plānos noteikto asignējumu ietvaros, kurus izsniedz VK. Savukārt VK piešķir asignējumus izdevumiem saskaņā ar valsts budžeta likumā noteikto apropriāciju un nodrošina to izpildi MK noteiktajā kārtībā. </w:t>
      </w:r>
      <w:r w:rsidRPr="007D4AE9">
        <w:rPr>
          <w:color w:val="auto"/>
        </w:rPr>
        <w:t xml:space="preserve">Ministrijas un </w:t>
      </w:r>
      <w:r w:rsidRPr="007D4AE9">
        <w:rPr>
          <w:color w:val="auto"/>
        </w:rPr>
        <w:lastRenderedPageBreak/>
        <w:t>citas centrālās valsts iestādes ir atbildīgas par valsts budžeta likumā noteiktās apropriācijas izpildes kontroles sistēmas izveidi un par VK norēķinu kontos ieskaitīto valsts budžeta līdzekļu izlietojuma kontroli atbilstoši paredzētajiem mērķiem;</w:t>
      </w:r>
    </w:p>
    <w:p w14:paraId="69FB3850" w14:textId="77777777" w:rsidR="00A44509" w:rsidRPr="007D4AE9" w:rsidRDefault="00A44509" w:rsidP="00A44509">
      <w:pPr>
        <w:pStyle w:val="Default"/>
        <w:numPr>
          <w:ilvl w:val="0"/>
          <w:numId w:val="6"/>
        </w:numPr>
        <w:ind w:left="993"/>
        <w:jc w:val="both"/>
      </w:pPr>
      <w:r w:rsidRPr="007D4AE9">
        <w:t>budžeta iestādes var uzņemties valsts budžeta ilgtermiņa saistības, nepārsniedzot saimnieciskā gada valsts budžeta likumā noteiktos valsts budžeta ilgtermiņa saistību maksimāli pieļaujamos apjomus;</w:t>
      </w:r>
    </w:p>
    <w:p w14:paraId="65AC362B" w14:textId="77777777" w:rsidR="00A44509" w:rsidRPr="00E82F28" w:rsidRDefault="00A44509" w:rsidP="00A44509">
      <w:pPr>
        <w:pStyle w:val="Default"/>
        <w:numPr>
          <w:ilvl w:val="0"/>
          <w:numId w:val="6"/>
        </w:numPr>
        <w:ind w:left="993"/>
        <w:jc w:val="both"/>
        <w:rPr>
          <w:color w:val="auto"/>
        </w:rPr>
      </w:pPr>
      <w:r w:rsidRPr="00E82F28">
        <w:rPr>
          <w:color w:val="auto"/>
          <w:shd w:val="clear" w:color="auto" w:fill="FFFFFF"/>
        </w:rPr>
        <w:t xml:space="preserve">valsts budžeta iestādes un budžeta nefinansētas iestādes </w:t>
      </w:r>
      <w:r w:rsidRPr="00E82F28">
        <w:rPr>
          <w:color w:val="auto"/>
        </w:rPr>
        <w:t xml:space="preserve">asignējumu saņemšanai un izdevumu veikšanai no valsts budžeta </w:t>
      </w:r>
      <w:r w:rsidRPr="00DF009D">
        <w:rPr>
          <w:color w:val="auto"/>
        </w:rPr>
        <w:t>līdzekļiem</w:t>
      </w:r>
      <w:r w:rsidRPr="00DF009D">
        <w:rPr>
          <w:color w:val="auto"/>
          <w:shd w:val="clear" w:color="auto" w:fill="FFFFFF"/>
        </w:rPr>
        <w:t xml:space="preserve"> atver</w:t>
      </w:r>
      <w:r w:rsidRPr="00E82F28">
        <w:rPr>
          <w:rFonts w:ascii="Arial" w:hAnsi="Arial" w:cs="Arial"/>
          <w:color w:val="auto"/>
          <w:sz w:val="20"/>
          <w:szCs w:val="20"/>
          <w:shd w:val="clear" w:color="auto" w:fill="FFFFFF"/>
        </w:rPr>
        <w:t xml:space="preserve"> </w:t>
      </w:r>
      <w:r w:rsidRPr="00E82F28">
        <w:rPr>
          <w:color w:val="auto"/>
        </w:rPr>
        <w:t>valsts pamatbudžeta un valsts speciālā budžeta</w:t>
      </w:r>
      <w:r w:rsidRPr="00E82F28">
        <w:rPr>
          <w:color w:val="auto"/>
          <w:shd w:val="clear" w:color="auto" w:fill="FFFFFF"/>
        </w:rPr>
        <w:t xml:space="preserve"> kontus tikai VK. </w:t>
      </w:r>
      <w:r w:rsidRPr="00E82F28">
        <w:rPr>
          <w:color w:val="auto"/>
        </w:rPr>
        <w:t xml:space="preserve">Savukārt </w:t>
      </w:r>
      <w:r w:rsidRPr="00E82F28">
        <w:rPr>
          <w:color w:val="auto"/>
          <w:shd w:val="clear" w:color="auto" w:fill="FFFFFF"/>
        </w:rPr>
        <w:t xml:space="preserve">budžeta finansētās institūcijas, kas nav valsts budžeta iestādes un budžeta nefinansētās iestādes, valsts budžeta līdzekļu saņemšanai, izdevumu veikšanai, kā arī deleģēto valsts pārvaldes uzdevumu izpildei var atvērt kontus </w:t>
      </w:r>
      <w:r>
        <w:rPr>
          <w:color w:val="auto"/>
          <w:shd w:val="clear" w:color="auto" w:fill="FFFFFF"/>
        </w:rPr>
        <w:t>VK</w:t>
      </w:r>
      <w:r w:rsidRPr="00E82F28">
        <w:rPr>
          <w:color w:val="auto"/>
          <w:shd w:val="clear" w:color="auto" w:fill="FFFFFF"/>
        </w:rPr>
        <w:t>, ja citos normatīv</w:t>
      </w:r>
      <w:r>
        <w:rPr>
          <w:color w:val="auto"/>
          <w:shd w:val="clear" w:color="auto" w:fill="FFFFFF"/>
        </w:rPr>
        <w:t>ajos aktos nav noteikts citādi</w:t>
      </w:r>
      <w:r w:rsidRPr="00E82F28">
        <w:rPr>
          <w:color w:val="auto"/>
        </w:rPr>
        <w:t xml:space="preserve">; </w:t>
      </w:r>
    </w:p>
    <w:p w14:paraId="1AA6F90C" w14:textId="77777777" w:rsidR="00A44509" w:rsidRPr="007D4AE9" w:rsidRDefault="00A44509" w:rsidP="00A44509">
      <w:pPr>
        <w:pStyle w:val="Default"/>
        <w:numPr>
          <w:ilvl w:val="0"/>
          <w:numId w:val="6"/>
        </w:numPr>
        <w:ind w:left="993"/>
        <w:jc w:val="both"/>
      </w:pPr>
      <w:r w:rsidRPr="007D4AE9">
        <w:t>ministrijas un citas centrālās valsts budžeta iestādes un pašvaldības MK noteiktajā kārtībā sagatavo un iesniedz VK ceturkšņa pārskatus, savukārt, VK kārto valsts budžeta finanšu uzskaiti. VK sagatavo regulārus oficiālos un operatīvos pārskatus un sniedz informāciju par valsts un pašvaldību budžetu izpildi, nodrošinot FM, citu iestāžu, kā arī sabiedrības informēšanu par budžeta izpildes gaitu.</w:t>
      </w:r>
    </w:p>
    <w:p w14:paraId="12AD0AA4" w14:textId="77777777" w:rsidR="00A44509" w:rsidRPr="007D4AE9" w:rsidRDefault="00A44509" w:rsidP="00A44509">
      <w:pPr>
        <w:pStyle w:val="Default"/>
        <w:jc w:val="both"/>
      </w:pPr>
    </w:p>
    <w:p w14:paraId="137E01C9" w14:textId="77777777" w:rsidR="00A44509" w:rsidRPr="007D4AE9" w:rsidRDefault="00A44509" w:rsidP="00A44509">
      <w:pPr>
        <w:pStyle w:val="Default"/>
        <w:ind w:firstLine="720"/>
        <w:jc w:val="both"/>
        <w:rPr>
          <w:color w:val="auto"/>
        </w:rPr>
      </w:pPr>
      <w:r w:rsidRPr="007D4AE9">
        <w:rPr>
          <w:color w:val="auto"/>
        </w:rPr>
        <w:t>Lai stiprinātu līdzekļu izlietojuma kontroles iespējas, LBFV ir ietverta norma, kas nosaka, ka finanšu ministram ir tiesības dot rīkojumu VK aizkavēt vai samazināt asignējumu noteiktam periodam, ja finanšu ministrs ir saņēmis rakstveida ziņojumu par vismaz viena šāda nosacījuma iestāšanos:</w:t>
      </w:r>
    </w:p>
    <w:p w14:paraId="64172514" w14:textId="77777777" w:rsidR="00A44509" w:rsidRPr="007D4AE9" w:rsidRDefault="00A44509" w:rsidP="00A44509">
      <w:pPr>
        <w:pStyle w:val="Default"/>
        <w:numPr>
          <w:ilvl w:val="0"/>
          <w:numId w:val="7"/>
        </w:numPr>
        <w:ind w:left="993"/>
        <w:jc w:val="both"/>
        <w:rPr>
          <w:color w:val="auto"/>
        </w:rPr>
      </w:pPr>
      <w:r w:rsidRPr="007D4AE9">
        <w:rPr>
          <w:color w:val="auto"/>
        </w:rPr>
        <w:t xml:space="preserve">triju mēnešu periodā valsts budžeta nodokļu un </w:t>
      </w:r>
      <w:proofErr w:type="spellStart"/>
      <w:r w:rsidRPr="007D4AE9">
        <w:rPr>
          <w:color w:val="auto"/>
        </w:rPr>
        <w:t>nenodokļu</w:t>
      </w:r>
      <w:proofErr w:type="spellEnd"/>
      <w:r w:rsidRPr="007D4AE9">
        <w:rPr>
          <w:color w:val="auto"/>
        </w:rPr>
        <w:t xml:space="preserve"> faktiskie ieņēmumi attiecībā pret attiecīgajā periodā paredzētajiem ieņēmumie</w:t>
      </w:r>
      <w:r>
        <w:rPr>
          <w:color w:val="auto"/>
        </w:rPr>
        <w:t>m samazinās vairāk nekā par 0,5</w:t>
      </w:r>
      <w:r w:rsidRPr="007D4AE9">
        <w:rPr>
          <w:color w:val="auto"/>
        </w:rPr>
        <w:t>% no valsts budžeta likumā noteiktās IKP prognozes vai faktiskais uzkrātais valsts budžeta finansiālais deficīts triju mēnešu periodā pārsniedz attiecīgajam periodam paredzēto valsts budžeta finansiā</w:t>
      </w:r>
      <w:r>
        <w:rPr>
          <w:color w:val="auto"/>
        </w:rPr>
        <w:t>lo deficītu vairāk nekā par 0,5</w:t>
      </w:r>
      <w:r w:rsidRPr="007D4AE9">
        <w:rPr>
          <w:color w:val="auto"/>
        </w:rPr>
        <w:t>% no valsts budžeta likumā noteiktās IKP prognozes, vai VK budžeta kontos nav pietiekama līdzekļu apjoma, lai segtu nākamajam mēnesim plānotās maksājumu saistības;</w:t>
      </w:r>
    </w:p>
    <w:p w14:paraId="66F65EC8" w14:textId="77777777" w:rsidR="00A44509" w:rsidRPr="007D4AE9" w:rsidRDefault="00A44509" w:rsidP="00A44509">
      <w:pPr>
        <w:pStyle w:val="Default"/>
        <w:numPr>
          <w:ilvl w:val="0"/>
          <w:numId w:val="7"/>
        </w:numPr>
        <w:ind w:left="993"/>
        <w:jc w:val="both"/>
        <w:rPr>
          <w:color w:val="auto"/>
        </w:rPr>
      </w:pPr>
      <w:r w:rsidRPr="007D4AE9">
        <w:rPr>
          <w:color w:val="auto"/>
        </w:rPr>
        <w:t>ja finanšu ministrs ir saņēmis rakstveida ziņojumu par šīs daļas 1.punktā minētā nosacījuma iestāšanos.</w:t>
      </w:r>
    </w:p>
    <w:p w14:paraId="149F1BCA" w14:textId="77777777" w:rsidR="00A44509" w:rsidRPr="007D4AE9" w:rsidRDefault="00A44509" w:rsidP="00A44509">
      <w:pPr>
        <w:pStyle w:val="Default"/>
        <w:ind w:left="993"/>
        <w:jc w:val="both"/>
        <w:rPr>
          <w:color w:val="auto"/>
        </w:rPr>
      </w:pPr>
    </w:p>
    <w:p w14:paraId="36F9D4E6" w14:textId="77777777" w:rsidR="00A44509" w:rsidRPr="007D4AE9" w:rsidRDefault="00A44509" w:rsidP="00A44509">
      <w:pPr>
        <w:pStyle w:val="Default"/>
        <w:ind w:firstLine="720"/>
        <w:jc w:val="both"/>
        <w:rPr>
          <w:color w:val="auto"/>
        </w:rPr>
      </w:pPr>
      <w:r w:rsidRPr="007D4AE9">
        <w:rPr>
          <w:color w:val="auto"/>
        </w:rPr>
        <w:t xml:space="preserve">Galvenās LBFV noteiktās sankcijas par neatbilstošu rīcību ar budžeta līdzekļiem: </w:t>
      </w:r>
    </w:p>
    <w:p w14:paraId="29693E18" w14:textId="77777777" w:rsidR="00A44509" w:rsidRPr="007D4AE9" w:rsidRDefault="00A44509" w:rsidP="00A44509">
      <w:pPr>
        <w:pStyle w:val="Default"/>
        <w:numPr>
          <w:ilvl w:val="0"/>
          <w:numId w:val="3"/>
        </w:numPr>
        <w:ind w:left="993" w:hanging="357"/>
        <w:jc w:val="both"/>
        <w:rPr>
          <w:color w:val="auto"/>
        </w:rPr>
      </w:pPr>
      <w:r w:rsidRPr="007D4AE9">
        <w:rPr>
          <w:color w:val="auto"/>
        </w:rPr>
        <w:t>par valsts budžetam pienākošos summu nesavlaicīgu vai nepilnīgu iemaksu VK budžeta kontos – VK (ja tas nav paredzēts citas valsts institūcijas kompetencē) piedzen iemaksāšanai pamatbudžeta ieņēmumos neiemaksāto summu un v</w:t>
      </w:r>
      <w:r>
        <w:rPr>
          <w:color w:val="auto"/>
        </w:rPr>
        <w:t>ar piedzīt nokavējuma naudu 0,1</w:t>
      </w:r>
      <w:r w:rsidRPr="007D4AE9">
        <w:rPr>
          <w:color w:val="auto"/>
        </w:rPr>
        <w:t>%</w:t>
      </w:r>
      <w:r>
        <w:rPr>
          <w:color w:val="auto"/>
        </w:rPr>
        <w:t xml:space="preserve"> </w:t>
      </w:r>
      <w:r w:rsidRPr="007D4AE9">
        <w:rPr>
          <w:color w:val="auto"/>
        </w:rPr>
        <w:t xml:space="preserve">apmērā no laikā nenomaksātās summas par katru nokavēto maksājuma dienu, ja normatīvajos aktos nav noteikta cita kārtība; </w:t>
      </w:r>
    </w:p>
    <w:p w14:paraId="457FDD95" w14:textId="77777777" w:rsidR="00A44509" w:rsidRPr="007D4AE9" w:rsidRDefault="00A44509" w:rsidP="00A44509">
      <w:pPr>
        <w:pStyle w:val="Default"/>
        <w:numPr>
          <w:ilvl w:val="0"/>
          <w:numId w:val="3"/>
        </w:numPr>
        <w:ind w:left="993"/>
        <w:jc w:val="both"/>
        <w:rPr>
          <w:color w:val="auto"/>
        </w:rPr>
      </w:pPr>
      <w:r w:rsidRPr="007D4AE9">
        <w:rPr>
          <w:color w:val="auto"/>
        </w:rPr>
        <w:t xml:space="preserve">lai segtu budžetam radušos zaudējumus, VK var ieskaitīt summas pamatbudžeta ieņēmumos, atsaukt vai apturēt asignējumus, ja: nav laikā iesniegti vai ir nepilnīgi ziņojumi par budžetu un finanšu vadību; ja likumā noteiktajā kārtībā nav reģistrēti budžeta līdzekļi un darījumi ar šiem līdzekļiem, kā arī nav ziņots par tiem; ja uzskaite neatbilst noteiktajai kārtībai un tādējādi tiek slēpti budžetam pienākošie līdzekļi; ja budžeta finansētas institūcijas vadītājs ir uzņēmies saistības, pārsniedzot VK sniegto asignējumu; </w:t>
      </w:r>
    </w:p>
    <w:p w14:paraId="5564862D" w14:textId="77777777" w:rsidR="00A44509" w:rsidRPr="007D4AE9" w:rsidRDefault="00A44509" w:rsidP="00A44509">
      <w:pPr>
        <w:pStyle w:val="Default"/>
        <w:numPr>
          <w:ilvl w:val="0"/>
          <w:numId w:val="3"/>
        </w:numPr>
        <w:ind w:left="993"/>
        <w:jc w:val="both"/>
        <w:rPr>
          <w:color w:val="auto"/>
        </w:rPr>
      </w:pPr>
      <w:r w:rsidRPr="007D4AE9">
        <w:rPr>
          <w:color w:val="auto"/>
        </w:rPr>
        <w:t xml:space="preserve">ja budžeta finansētas institūcijas, budžeta nefinansētas iestādes un pašvaldības, kā arī kapitālsabiedrības, kurās ir ieguldīta valsts vai pašvaldību kapitāla daļa, ir pārkāpušas LBFV paredzētos finanšu vadības noteikumus, finanšu ministrs, VK pārvaldnieks, ministriju un citu centrālo valsts iestāžu vadītāji (atbilstoši savai kompetencei) var uz laiku atņemt pilnvarojumu asignēt vai rīkot budžeta ieņēmumus vai izdevumus, noteikt kontu lietošanas ierobežojumus, atsaukt vai apturēt asignējumus, lai tiktu </w:t>
      </w:r>
      <w:r w:rsidRPr="007D4AE9">
        <w:rPr>
          <w:color w:val="auto"/>
        </w:rPr>
        <w:lastRenderedPageBreak/>
        <w:t xml:space="preserve">atlīdzināti nelikumīgi izlietotie līdzekļi, vai arī pieprasīt nelikumīgi izlietoto līdzekļu atmaksāšanu, iesniegt tiesā civilprasību vai nodot materiālus kompetentajām amatpersonām jautājuma par kriminālprocesa uzsākšanu izlemšanai, kā arī atsaukt vai apturēt maksājumus; </w:t>
      </w:r>
    </w:p>
    <w:p w14:paraId="0C7C5F84" w14:textId="77777777" w:rsidR="00A44509" w:rsidRPr="007D4AE9" w:rsidRDefault="00A44509" w:rsidP="00A44509">
      <w:pPr>
        <w:pStyle w:val="Default"/>
        <w:numPr>
          <w:ilvl w:val="0"/>
          <w:numId w:val="3"/>
        </w:numPr>
        <w:ind w:left="993"/>
        <w:jc w:val="both"/>
        <w:rPr>
          <w:color w:val="auto"/>
        </w:rPr>
      </w:pPr>
      <w:r w:rsidRPr="007D4AE9">
        <w:rPr>
          <w:color w:val="auto"/>
        </w:rPr>
        <w:t xml:space="preserve">VK atbilstoši Pašvaldību finanšu izlīdzināšanas likumam ir tiesības bezstrīdus kārtībā piedzīt no pašvaldības budžeta līdzekļiem naudas summas, ko attiecīgā pašvaldība nav savlaicīgi vai pilnā apmērā ieskaitījusi pašvaldību finanšu izlīdzināšanas fondā, norakstot šīs summas no attiecīgās pašvaldības budžeta. </w:t>
      </w:r>
    </w:p>
    <w:p w14:paraId="1A690566" w14:textId="77777777" w:rsidR="00A44509" w:rsidRPr="007D4AE9" w:rsidRDefault="00A44509" w:rsidP="00A44509">
      <w:pPr>
        <w:pStyle w:val="Default"/>
        <w:jc w:val="both"/>
        <w:rPr>
          <w:color w:val="auto"/>
        </w:rPr>
      </w:pPr>
    </w:p>
    <w:p w14:paraId="4A00E79B" w14:textId="77777777" w:rsidR="00A44509" w:rsidRPr="007D4AE9" w:rsidRDefault="00A44509" w:rsidP="00A44509">
      <w:pPr>
        <w:pStyle w:val="Default"/>
        <w:ind w:firstLine="720"/>
        <w:jc w:val="both"/>
        <w:rPr>
          <w:color w:val="auto"/>
        </w:rPr>
      </w:pPr>
      <w:r w:rsidRPr="007D4AE9">
        <w:rPr>
          <w:color w:val="auto"/>
        </w:rPr>
        <w:t>Lai saglabātu vispārējo ekonomisko līdzsvaru un nodrošinātu vienotu valsts finansiālo politiku, valsts budžeta likumā atsevišķi tiek noteikti pašvaldību aizņēmumu un galvojumu kopējā palielinājuma apjomi.</w:t>
      </w:r>
    </w:p>
    <w:p w14:paraId="1FC1FF13" w14:textId="77777777" w:rsidR="00A44509" w:rsidRPr="007D4AE9" w:rsidRDefault="00A44509" w:rsidP="00A44509">
      <w:pPr>
        <w:pStyle w:val="Default"/>
        <w:ind w:firstLine="720"/>
        <w:jc w:val="both"/>
        <w:rPr>
          <w:color w:val="auto"/>
        </w:rPr>
      </w:pPr>
      <w:r w:rsidRPr="007D4AE9">
        <w:rPr>
          <w:color w:val="auto"/>
        </w:rPr>
        <w:t xml:space="preserve">No summas, kas pašvaldībai pienākas no iedzīvotāju ienākuma nodokļa vai no pašvaldību finanšu izlīdzināšanas fonda dotācijas, VK ir tiesības ieturēt summas šādos gadījumos un šādā apmērā: </w:t>
      </w:r>
    </w:p>
    <w:p w14:paraId="7063469A" w14:textId="77777777" w:rsidR="00A44509" w:rsidRPr="007D4AE9" w:rsidRDefault="00A44509" w:rsidP="00A44509">
      <w:pPr>
        <w:pStyle w:val="Default"/>
        <w:numPr>
          <w:ilvl w:val="0"/>
          <w:numId w:val="5"/>
        </w:numPr>
        <w:ind w:left="993" w:hanging="357"/>
        <w:jc w:val="both"/>
        <w:rPr>
          <w:color w:val="auto"/>
        </w:rPr>
      </w:pPr>
      <w:r w:rsidRPr="007D4AE9">
        <w:rPr>
          <w:color w:val="auto"/>
        </w:rPr>
        <w:t xml:space="preserve">ja pašvaldība nenodrošina valsts aizdevumu līgumos noteikto saistību savlaicīgu izpildi – savlaicīgi nesamaksātās summas apmērā; </w:t>
      </w:r>
    </w:p>
    <w:p w14:paraId="2B9885D2" w14:textId="77777777" w:rsidR="00A44509" w:rsidRPr="00867842" w:rsidRDefault="00A44509" w:rsidP="00A44509">
      <w:pPr>
        <w:pStyle w:val="Default"/>
        <w:numPr>
          <w:ilvl w:val="0"/>
          <w:numId w:val="4"/>
        </w:numPr>
        <w:ind w:left="993"/>
        <w:jc w:val="both"/>
        <w:rPr>
          <w:color w:val="auto"/>
        </w:rPr>
      </w:pPr>
      <w:r w:rsidRPr="007D4AE9">
        <w:rPr>
          <w:color w:val="auto"/>
        </w:rPr>
        <w:t>ja pašvaldība nenodrošina valsts aizdevuma izmantošanu atbilstoši aizdevumu līgumā noteiktajam mērķim – pēc finanšu ministra rīkojuma neatbilstoši līgumā noteiktajam mērķim izmantotās aizdevuma summas apmērā.</w:t>
      </w:r>
    </w:p>
    <w:p w14:paraId="40E34C17" w14:textId="77777777" w:rsidR="00B2533B" w:rsidRPr="00874664" w:rsidRDefault="00B2533B" w:rsidP="00B26796">
      <w:pPr>
        <w:pStyle w:val="Default"/>
        <w:ind w:firstLine="720"/>
        <w:jc w:val="both"/>
        <w:rPr>
          <w:highlight w:val="lightGray"/>
        </w:rPr>
      </w:pPr>
    </w:p>
    <w:p w14:paraId="05606BE3" w14:textId="77777777" w:rsidR="008A7D6A" w:rsidRDefault="00BF4753" w:rsidP="008A7D6A">
      <w:pPr>
        <w:pStyle w:val="Heading2"/>
        <w:numPr>
          <w:ilvl w:val="0"/>
          <w:numId w:val="0"/>
        </w:numPr>
        <w:spacing w:before="240" w:after="240"/>
        <w:rPr>
          <w:rFonts w:eastAsia="Times New Roman"/>
          <w:sz w:val="28"/>
          <w:szCs w:val="24"/>
        </w:rPr>
      </w:pPr>
      <w:bookmarkStart w:id="68" w:name="_Toc164679837"/>
      <w:r w:rsidRPr="003063D3">
        <w:rPr>
          <w:rFonts w:eastAsia="Times New Roman"/>
          <w:sz w:val="28"/>
          <w:szCs w:val="24"/>
        </w:rPr>
        <w:t>5.2. Ieņēmumu struktūras un sistēmas efektivitāte</w:t>
      </w:r>
      <w:bookmarkEnd w:id="68"/>
    </w:p>
    <w:p w14:paraId="04C360A7" w14:textId="16E0F1A4" w:rsidR="00B6438E" w:rsidRPr="008A7D6A" w:rsidRDefault="008A7D6A" w:rsidP="008A7D6A">
      <w:pPr>
        <w:pStyle w:val="Heading3"/>
        <w:numPr>
          <w:ilvl w:val="0"/>
          <w:numId w:val="0"/>
        </w:numPr>
        <w:spacing w:before="240" w:after="240"/>
        <w:jc w:val="center"/>
        <w:rPr>
          <w:sz w:val="24"/>
          <w:szCs w:val="20"/>
        </w:rPr>
      </w:pPr>
      <w:bookmarkStart w:id="69" w:name="_Toc164679838"/>
      <w:r w:rsidRPr="008A7D6A">
        <w:rPr>
          <w:sz w:val="24"/>
          <w:szCs w:val="20"/>
        </w:rPr>
        <w:t xml:space="preserve">5.2.1. </w:t>
      </w:r>
      <w:r w:rsidR="00B6438E" w:rsidRPr="008A7D6A">
        <w:rPr>
          <w:sz w:val="24"/>
          <w:szCs w:val="20"/>
        </w:rPr>
        <w:t xml:space="preserve">Stabilitātes programmas </w:t>
      </w:r>
      <w:r w:rsidR="00293000" w:rsidRPr="008A7D6A">
        <w:rPr>
          <w:sz w:val="24"/>
          <w:szCs w:val="20"/>
        </w:rPr>
        <w:t>bāzes</w:t>
      </w:r>
      <w:r w:rsidR="00B6438E" w:rsidRPr="008A7D6A">
        <w:rPr>
          <w:sz w:val="24"/>
          <w:szCs w:val="20"/>
        </w:rPr>
        <w:t xml:space="preserve"> scenārija nodokļu ieņēmumu prognozes</w:t>
      </w:r>
      <w:bookmarkEnd w:id="69"/>
    </w:p>
    <w:p w14:paraId="7B6D75C1" w14:textId="77777777" w:rsidR="003063D3" w:rsidRPr="003063D3" w:rsidRDefault="003063D3" w:rsidP="003063D3">
      <w:pPr>
        <w:rPr>
          <w:sz w:val="24"/>
          <w:szCs w:val="24"/>
        </w:rPr>
      </w:pPr>
      <w:bookmarkStart w:id="70" w:name="_Hlk67326698"/>
      <w:r w:rsidRPr="003063D3">
        <w:rPr>
          <w:sz w:val="24"/>
          <w:szCs w:val="24"/>
        </w:rPr>
        <w:t>Nodokļu ieņēmumu prognozes ir sagatavotas pie nemainīgas nodokļu politikas, pamatojoties uz makroekonomisko rādītāju prognozēm, kā arī, ņemot vērā faktisko nodokļu izpildi, kā arī iepriekš pieņemtās izmaiņas likumdošanā. Nodokļu ieņēmumu prognozēs netiek ietverti nesadalītie nodokļu ieņēmumi vienotajā kontā.</w:t>
      </w:r>
    </w:p>
    <w:p w14:paraId="314B5E8E" w14:textId="77777777" w:rsidR="003063D3" w:rsidRPr="003063D3" w:rsidRDefault="003063D3" w:rsidP="003063D3">
      <w:pPr>
        <w:rPr>
          <w:sz w:val="24"/>
          <w:szCs w:val="24"/>
        </w:rPr>
      </w:pPr>
      <w:r w:rsidRPr="003063D3">
        <w:rPr>
          <w:sz w:val="24"/>
          <w:szCs w:val="24"/>
        </w:rPr>
        <w:t>Likumprojekta “Par valsts budžetu 2024. gadam un budžeta ietvaru 2024., 2025. un 2026. gadam” izstrādes gaitā būtiskākās pieņemtās</w:t>
      </w:r>
      <w:r w:rsidRPr="003063D3">
        <w:rPr>
          <w:bCs/>
          <w:noProof/>
          <w:sz w:val="24"/>
          <w:szCs w:val="24"/>
        </w:rPr>
        <w:t xml:space="preserve"> </w:t>
      </w:r>
      <w:r w:rsidRPr="003063D3">
        <w:rPr>
          <w:sz w:val="24"/>
          <w:szCs w:val="24"/>
        </w:rPr>
        <w:t>nodokļu politikas izmaiņas ir:</w:t>
      </w:r>
    </w:p>
    <w:p w14:paraId="337747BA" w14:textId="77777777" w:rsidR="003063D3" w:rsidRPr="003063D3" w:rsidRDefault="003063D3" w:rsidP="004F034A">
      <w:pPr>
        <w:pStyle w:val="ListParagraph"/>
        <w:numPr>
          <w:ilvl w:val="0"/>
          <w:numId w:val="25"/>
        </w:numPr>
        <w:spacing w:before="120" w:after="120"/>
        <w:rPr>
          <w:noProof/>
          <w:sz w:val="24"/>
          <w:szCs w:val="24"/>
        </w:rPr>
      </w:pPr>
      <w:r w:rsidRPr="003063D3">
        <w:rPr>
          <w:sz w:val="24"/>
          <w:szCs w:val="24"/>
        </w:rPr>
        <w:t>uzņēmumu ienākuma nodokļa piemaksa 20% apmērā kredītiestādēm un patērētāju kreditēšanas pakalpojumu sniedzējiem</w:t>
      </w:r>
      <w:r w:rsidRPr="003063D3">
        <w:rPr>
          <w:noProof/>
          <w:sz w:val="24"/>
          <w:szCs w:val="24"/>
        </w:rPr>
        <w:t xml:space="preserve">; </w:t>
      </w:r>
    </w:p>
    <w:p w14:paraId="020771C2" w14:textId="77777777" w:rsidR="003063D3" w:rsidRPr="003063D3" w:rsidRDefault="003063D3" w:rsidP="004F034A">
      <w:pPr>
        <w:pStyle w:val="ListParagraph"/>
        <w:numPr>
          <w:ilvl w:val="0"/>
          <w:numId w:val="25"/>
        </w:numPr>
        <w:spacing w:before="120" w:after="120"/>
        <w:rPr>
          <w:noProof/>
          <w:sz w:val="24"/>
          <w:szCs w:val="24"/>
        </w:rPr>
      </w:pPr>
      <w:r w:rsidRPr="003063D3">
        <w:rPr>
          <w:noProof/>
          <w:sz w:val="24"/>
          <w:szCs w:val="24"/>
        </w:rPr>
        <w:t xml:space="preserve">akcīzes nodokļa likmju paaugstināšana vairākām produktu grupām; </w:t>
      </w:r>
    </w:p>
    <w:p w14:paraId="72A3C204" w14:textId="77777777" w:rsidR="003063D3" w:rsidRPr="003063D3" w:rsidRDefault="003063D3" w:rsidP="004F034A">
      <w:pPr>
        <w:pStyle w:val="ListParagraph"/>
        <w:numPr>
          <w:ilvl w:val="0"/>
          <w:numId w:val="25"/>
        </w:numPr>
        <w:spacing w:before="120" w:after="120"/>
        <w:rPr>
          <w:noProof/>
          <w:sz w:val="24"/>
          <w:szCs w:val="24"/>
        </w:rPr>
      </w:pPr>
      <w:r w:rsidRPr="003063D3">
        <w:rPr>
          <w:noProof/>
          <w:sz w:val="24"/>
          <w:szCs w:val="24"/>
        </w:rPr>
        <w:t>saistībā ar iedzīvotāju ienākuma nodokli paaugstināts kompensācijas apmērs par attālināto darbu; sliekšņa paaugstināšana veselības un nelaimes gadījumu apdrošināšanas prēmiju summām; atvieglojumu un neapliekamā minimuma piemērošana arī mikrouzņēmumu nodokļa maksātājiem;</w:t>
      </w:r>
    </w:p>
    <w:p w14:paraId="0F57098C" w14:textId="77777777" w:rsidR="003063D3" w:rsidRPr="003063D3" w:rsidRDefault="003063D3" w:rsidP="004F034A">
      <w:pPr>
        <w:pStyle w:val="ListParagraph"/>
        <w:numPr>
          <w:ilvl w:val="0"/>
          <w:numId w:val="25"/>
        </w:numPr>
        <w:spacing w:before="120" w:after="120"/>
        <w:rPr>
          <w:noProof/>
          <w:sz w:val="24"/>
          <w:szCs w:val="24"/>
        </w:rPr>
      </w:pPr>
      <w:r w:rsidRPr="003063D3">
        <w:rPr>
          <w:noProof/>
          <w:sz w:val="24"/>
          <w:szCs w:val="24"/>
        </w:rPr>
        <w:t>azartspēļu nodokļa likmju paaugstināšana;</w:t>
      </w:r>
    </w:p>
    <w:p w14:paraId="1915EE3E" w14:textId="17400B95" w:rsidR="003063D3" w:rsidRPr="003063D3" w:rsidRDefault="003063D3" w:rsidP="004F034A">
      <w:pPr>
        <w:pStyle w:val="ListParagraph"/>
        <w:numPr>
          <w:ilvl w:val="0"/>
          <w:numId w:val="25"/>
        </w:numPr>
        <w:spacing w:before="120" w:after="120"/>
        <w:rPr>
          <w:noProof/>
          <w:sz w:val="24"/>
          <w:szCs w:val="24"/>
        </w:rPr>
      </w:pPr>
      <w:r w:rsidRPr="003063D3">
        <w:rPr>
          <w:noProof/>
          <w:sz w:val="24"/>
          <w:szCs w:val="24"/>
        </w:rPr>
        <w:t xml:space="preserve">pievienotās vērtības nodokļa samazinātās likmes piemērošana svaigiem augļiem un dārzeņiem 2024. gadā 12% apmērā, reģistrācijas sliekšņa noteikšana 50 </w:t>
      </w:r>
      <w:r w:rsidR="002768B3">
        <w:rPr>
          <w:noProof/>
          <w:sz w:val="24"/>
          <w:szCs w:val="24"/>
        </w:rPr>
        <w:t>tūkst.</w:t>
      </w:r>
      <w:r w:rsidRPr="003063D3">
        <w:rPr>
          <w:noProof/>
          <w:sz w:val="24"/>
          <w:szCs w:val="24"/>
        </w:rPr>
        <w:t xml:space="preserve"> </w:t>
      </w:r>
      <w:r w:rsidRPr="002768B3">
        <w:rPr>
          <w:i/>
          <w:iCs/>
          <w:noProof/>
          <w:sz w:val="24"/>
          <w:szCs w:val="24"/>
        </w:rPr>
        <w:t>euro</w:t>
      </w:r>
      <w:r w:rsidRPr="003063D3">
        <w:rPr>
          <w:noProof/>
          <w:sz w:val="24"/>
          <w:szCs w:val="24"/>
        </w:rPr>
        <w:t xml:space="preserve">, zaudēto parādu darījuma vērtības sliekšņa noteikšana 1 </w:t>
      </w:r>
      <w:r w:rsidR="002768B3">
        <w:rPr>
          <w:noProof/>
          <w:sz w:val="24"/>
          <w:szCs w:val="24"/>
        </w:rPr>
        <w:t>tūkst.</w:t>
      </w:r>
      <w:r w:rsidRPr="003063D3">
        <w:rPr>
          <w:noProof/>
          <w:sz w:val="24"/>
          <w:szCs w:val="24"/>
        </w:rPr>
        <w:t xml:space="preserve"> </w:t>
      </w:r>
      <w:r w:rsidRPr="002768B3">
        <w:rPr>
          <w:i/>
          <w:iCs/>
          <w:noProof/>
          <w:sz w:val="24"/>
          <w:szCs w:val="24"/>
        </w:rPr>
        <w:t>euro</w:t>
      </w:r>
      <w:r w:rsidRPr="003063D3">
        <w:rPr>
          <w:noProof/>
          <w:sz w:val="24"/>
          <w:szCs w:val="24"/>
        </w:rPr>
        <w:t>, atbrīvojuma piemērošana sporta nodarbībām;</w:t>
      </w:r>
    </w:p>
    <w:p w14:paraId="796184B4" w14:textId="77777777" w:rsidR="003063D3" w:rsidRPr="003063D3" w:rsidRDefault="003063D3" w:rsidP="004F034A">
      <w:pPr>
        <w:pStyle w:val="ListParagraph"/>
        <w:numPr>
          <w:ilvl w:val="0"/>
          <w:numId w:val="25"/>
        </w:numPr>
        <w:spacing w:before="120" w:after="120"/>
        <w:rPr>
          <w:noProof/>
          <w:sz w:val="24"/>
          <w:szCs w:val="24"/>
        </w:rPr>
      </w:pPr>
      <w:r w:rsidRPr="003063D3">
        <w:rPr>
          <w:noProof/>
          <w:sz w:val="24"/>
          <w:szCs w:val="24"/>
        </w:rPr>
        <w:t>izmaiņas dabas resursu nodokļa likmēs, jauni nodokļa objekti, atvieglojuma atcelšana un sadalījumu maiņa starp valsts un pašvaldību budžetiem;</w:t>
      </w:r>
    </w:p>
    <w:p w14:paraId="2D2CF8D5" w14:textId="77777777" w:rsidR="003063D3" w:rsidRPr="003063D3" w:rsidRDefault="003063D3" w:rsidP="004F034A">
      <w:pPr>
        <w:pStyle w:val="ListParagraph"/>
        <w:numPr>
          <w:ilvl w:val="0"/>
          <w:numId w:val="25"/>
        </w:numPr>
        <w:spacing w:before="120" w:after="120"/>
        <w:rPr>
          <w:noProof/>
          <w:sz w:val="24"/>
          <w:szCs w:val="24"/>
        </w:rPr>
      </w:pPr>
      <w:r w:rsidRPr="003063D3">
        <w:rPr>
          <w:noProof/>
          <w:sz w:val="24"/>
          <w:szCs w:val="24"/>
        </w:rPr>
        <w:t>uzņēmumu ienākuma nodokļa nepiemērošana ekspluatācijas izdevumiem, izmantojot reprezentatīvos automobiļus;</w:t>
      </w:r>
    </w:p>
    <w:p w14:paraId="3152DE91" w14:textId="77777777" w:rsidR="003063D3" w:rsidRPr="003063D3" w:rsidRDefault="003063D3" w:rsidP="004F034A">
      <w:pPr>
        <w:pStyle w:val="ListParagraph"/>
        <w:numPr>
          <w:ilvl w:val="0"/>
          <w:numId w:val="25"/>
        </w:numPr>
        <w:spacing w:before="120" w:after="120"/>
        <w:rPr>
          <w:noProof/>
          <w:sz w:val="24"/>
          <w:szCs w:val="24"/>
        </w:rPr>
      </w:pPr>
      <w:r w:rsidRPr="003063D3">
        <w:rPr>
          <w:noProof/>
          <w:sz w:val="24"/>
          <w:szCs w:val="24"/>
        </w:rPr>
        <w:t>vienotas nodokļu likmes noteikšana autoratlīdzību un mikrouzņēmumu nodokļa režīmiem.</w:t>
      </w:r>
    </w:p>
    <w:p w14:paraId="53313CB0" w14:textId="3857A5B3" w:rsidR="003063D3" w:rsidRDefault="003063D3" w:rsidP="00534B42">
      <w:pPr>
        <w:pStyle w:val="Tabulasnosaukums"/>
        <w:spacing w:after="0"/>
        <w:jc w:val="both"/>
        <w:rPr>
          <w:b w:val="0"/>
          <w:bCs/>
          <w:i w:val="0"/>
          <w:iCs/>
          <w:szCs w:val="24"/>
        </w:rPr>
      </w:pPr>
      <w:r w:rsidRPr="003063D3">
        <w:rPr>
          <w:b w:val="0"/>
          <w:bCs/>
          <w:i w:val="0"/>
          <w:iCs/>
          <w:szCs w:val="24"/>
        </w:rPr>
        <w:lastRenderedPageBreak/>
        <w:t>Salīdzinājumā a</w:t>
      </w:r>
      <w:r w:rsidRPr="00DF009D">
        <w:rPr>
          <w:b w:val="0"/>
          <w:bCs/>
          <w:i w:val="0"/>
          <w:iCs/>
          <w:szCs w:val="24"/>
        </w:rPr>
        <w:t xml:space="preserve">r </w:t>
      </w:r>
      <w:r w:rsidR="00DF009D" w:rsidRPr="00DF009D">
        <w:rPr>
          <w:b w:val="0"/>
          <w:bCs/>
          <w:i w:val="0"/>
          <w:iCs/>
          <w:szCs w:val="24"/>
        </w:rPr>
        <w:t>likum</w:t>
      </w:r>
      <w:r w:rsidR="00DF009D">
        <w:rPr>
          <w:b w:val="0"/>
          <w:bCs/>
          <w:i w:val="0"/>
          <w:iCs/>
          <w:szCs w:val="24"/>
        </w:rPr>
        <w:t>u</w:t>
      </w:r>
      <w:r w:rsidR="00DF009D" w:rsidRPr="00DF009D">
        <w:rPr>
          <w:b w:val="0"/>
          <w:bCs/>
          <w:i w:val="0"/>
          <w:iCs/>
          <w:szCs w:val="24"/>
        </w:rPr>
        <w:t xml:space="preserve"> “Par valsts budžetu 2024. gadam un budžeta ietvaru 2024., 2025. un 2026. gadam”</w:t>
      </w:r>
      <w:r w:rsidR="00DF009D">
        <w:rPr>
          <w:b w:val="0"/>
          <w:bCs/>
          <w:szCs w:val="24"/>
        </w:rPr>
        <w:t xml:space="preserve"> </w:t>
      </w:r>
      <w:r w:rsidRPr="003063D3">
        <w:rPr>
          <w:b w:val="0"/>
          <w:bCs/>
          <w:i w:val="0"/>
          <w:iCs/>
          <w:szCs w:val="24"/>
        </w:rPr>
        <w:t>izmaiņas ekonomikas izaugsmes rādītāju prognozēs liek samazināt kopbudžeta nodokļu ieņēmumu prognozes 2024.</w:t>
      </w:r>
      <w:r>
        <w:rPr>
          <w:b w:val="0"/>
          <w:bCs/>
          <w:i w:val="0"/>
          <w:iCs/>
          <w:szCs w:val="24"/>
        </w:rPr>
        <w:t xml:space="preserve"> </w:t>
      </w:r>
      <w:r w:rsidRPr="003063D3">
        <w:rPr>
          <w:b w:val="0"/>
          <w:bCs/>
          <w:i w:val="0"/>
          <w:iCs/>
          <w:szCs w:val="24"/>
        </w:rPr>
        <w:t>gadā par -185,5 milj.</w:t>
      </w:r>
      <w:r>
        <w:rPr>
          <w:b w:val="0"/>
          <w:bCs/>
          <w:i w:val="0"/>
          <w:iCs/>
          <w:szCs w:val="24"/>
        </w:rPr>
        <w:t xml:space="preserve"> </w:t>
      </w:r>
      <w:proofErr w:type="spellStart"/>
      <w:r w:rsidRPr="003063D3">
        <w:rPr>
          <w:b w:val="0"/>
          <w:bCs/>
          <w:szCs w:val="24"/>
        </w:rPr>
        <w:t>euro</w:t>
      </w:r>
      <w:proofErr w:type="spellEnd"/>
      <w:r w:rsidRPr="003063D3">
        <w:rPr>
          <w:b w:val="0"/>
          <w:bCs/>
          <w:i w:val="0"/>
          <w:iCs/>
          <w:szCs w:val="24"/>
        </w:rPr>
        <w:t xml:space="preserve"> (pēc naudas plūsmas), 2025.</w:t>
      </w:r>
      <w:r>
        <w:rPr>
          <w:b w:val="0"/>
          <w:bCs/>
          <w:i w:val="0"/>
          <w:iCs/>
          <w:szCs w:val="24"/>
        </w:rPr>
        <w:t xml:space="preserve"> </w:t>
      </w:r>
      <w:r w:rsidRPr="003063D3">
        <w:rPr>
          <w:b w:val="0"/>
          <w:bCs/>
          <w:i w:val="0"/>
          <w:iCs/>
          <w:szCs w:val="24"/>
        </w:rPr>
        <w:t>gadā -107,1 milj.</w:t>
      </w:r>
      <w:r>
        <w:rPr>
          <w:b w:val="0"/>
          <w:bCs/>
          <w:i w:val="0"/>
          <w:iCs/>
          <w:szCs w:val="24"/>
        </w:rPr>
        <w:t xml:space="preserve"> </w:t>
      </w:r>
      <w:proofErr w:type="spellStart"/>
      <w:r w:rsidRPr="003063D3">
        <w:rPr>
          <w:b w:val="0"/>
          <w:bCs/>
          <w:szCs w:val="24"/>
        </w:rPr>
        <w:t>euro</w:t>
      </w:r>
      <w:proofErr w:type="spellEnd"/>
      <w:r w:rsidRPr="003063D3">
        <w:rPr>
          <w:b w:val="0"/>
          <w:bCs/>
          <w:i w:val="0"/>
          <w:iCs/>
          <w:szCs w:val="24"/>
        </w:rPr>
        <w:t xml:space="preserve"> un 2026.</w:t>
      </w:r>
      <w:r>
        <w:rPr>
          <w:b w:val="0"/>
          <w:bCs/>
          <w:i w:val="0"/>
          <w:iCs/>
          <w:szCs w:val="24"/>
        </w:rPr>
        <w:t xml:space="preserve"> </w:t>
      </w:r>
      <w:r w:rsidRPr="003063D3">
        <w:rPr>
          <w:b w:val="0"/>
          <w:bCs/>
          <w:i w:val="0"/>
          <w:iCs/>
          <w:szCs w:val="24"/>
        </w:rPr>
        <w:t>gadā -183,8 milj.</w:t>
      </w:r>
      <w:r w:rsidR="00AD1286">
        <w:rPr>
          <w:b w:val="0"/>
          <w:bCs/>
          <w:i w:val="0"/>
          <w:iCs/>
          <w:szCs w:val="24"/>
        </w:rPr>
        <w:t xml:space="preserve"> </w:t>
      </w:r>
      <w:proofErr w:type="spellStart"/>
      <w:r w:rsidRPr="003063D3">
        <w:rPr>
          <w:b w:val="0"/>
          <w:bCs/>
          <w:szCs w:val="24"/>
        </w:rPr>
        <w:t>euro</w:t>
      </w:r>
      <w:proofErr w:type="spellEnd"/>
      <w:r w:rsidRPr="003063D3">
        <w:rPr>
          <w:b w:val="0"/>
          <w:bCs/>
          <w:i w:val="0"/>
          <w:iCs/>
          <w:szCs w:val="24"/>
        </w:rPr>
        <w:t>.</w:t>
      </w:r>
    </w:p>
    <w:p w14:paraId="7541272D" w14:textId="77777777" w:rsidR="00FF1B5A" w:rsidRPr="003063D3" w:rsidRDefault="00FF1B5A" w:rsidP="00FF1B5A">
      <w:pPr>
        <w:pStyle w:val="Tabulasnosaukums"/>
        <w:spacing w:before="0" w:after="0"/>
        <w:jc w:val="both"/>
        <w:rPr>
          <w:b w:val="0"/>
          <w:bCs/>
          <w:i w:val="0"/>
          <w:iCs/>
          <w:szCs w:val="24"/>
        </w:rPr>
      </w:pPr>
    </w:p>
    <w:p w14:paraId="22F207E0" w14:textId="77777777" w:rsidR="003063D3" w:rsidRPr="003063D3" w:rsidRDefault="003063D3" w:rsidP="00FF1B5A">
      <w:pPr>
        <w:pStyle w:val="Tabulasnosaukums"/>
        <w:spacing w:before="0"/>
        <w:rPr>
          <w:szCs w:val="24"/>
        </w:rPr>
      </w:pPr>
      <w:r w:rsidRPr="003063D3">
        <w:rPr>
          <w:szCs w:val="24"/>
        </w:rPr>
        <w:t>5.1. tabula. Nodokļu ieņēmumi vispārējās valdības budžetā (S.13), milj. </w:t>
      </w:r>
      <w:proofErr w:type="spellStart"/>
      <w:r w:rsidRPr="003063D3">
        <w:rPr>
          <w:szCs w:val="24"/>
        </w:rPr>
        <w:t>euro</w:t>
      </w:r>
      <w:proofErr w:type="spellEnd"/>
    </w:p>
    <w:tbl>
      <w:tblPr>
        <w:tblStyle w:val="TableGrid11"/>
        <w:tblW w:w="5000" w:type="pct"/>
        <w:jc w:val="center"/>
        <w:tblLook w:val="04A0" w:firstRow="1" w:lastRow="0" w:firstColumn="1" w:lastColumn="0" w:noHBand="0" w:noVBand="1"/>
      </w:tblPr>
      <w:tblGrid>
        <w:gridCol w:w="2587"/>
        <w:gridCol w:w="1386"/>
        <w:gridCol w:w="991"/>
        <w:gridCol w:w="1133"/>
        <w:gridCol w:w="989"/>
        <w:gridCol w:w="989"/>
        <w:gridCol w:w="986"/>
      </w:tblGrid>
      <w:tr w:rsidR="00827F4C" w:rsidRPr="003063D3" w14:paraId="627870EA" w14:textId="77777777" w:rsidTr="00827F4C">
        <w:trPr>
          <w:trHeight w:val="222"/>
          <w:jc w:val="center"/>
        </w:trPr>
        <w:tc>
          <w:tcPr>
            <w:tcW w:w="1427" w:type="pct"/>
            <w:shd w:val="clear" w:color="auto" w:fill="9CC2E5" w:themeFill="accent1" w:themeFillTint="99"/>
          </w:tcPr>
          <w:p w14:paraId="3A24F158" w14:textId="77777777" w:rsidR="00827F4C" w:rsidRPr="003063D3" w:rsidRDefault="00827F4C" w:rsidP="00827F4C">
            <w:pPr>
              <w:pStyle w:val="Tabulasgalvenesrinda"/>
              <w:rPr>
                <w:sz w:val="24"/>
                <w:szCs w:val="24"/>
              </w:rPr>
            </w:pPr>
            <w:bookmarkStart w:id="71" w:name="_Hlk68007787"/>
          </w:p>
        </w:tc>
        <w:tc>
          <w:tcPr>
            <w:tcW w:w="765" w:type="pct"/>
            <w:shd w:val="clear" w:color="auto" w:fill="9CC2E5" w:themeFill="accent1" w:themeFillTint="99"/>
          </w:tcPr>
          <w:p w14:paraId="364B960F" w14:textId="49A37B6C" w:rsidR="00827F4C" w:rsidRPr="003063D3" w:rsidRDefault="00827F4C" w:rsidP="00827F4C">
            <w:pPr>
              <w:pStyle w:val="Tabulasgalvenesrinda"/>
              <w:rPr>
                <w:sz w:val="24"/>
                <w:szCs w:val="24"/>
              </w:rPr>
            </w:pPr>
            <w:r w:rsidRPr="00F64587">
              <w:t>Kods (EKS)</w:t>
            </w:r>
          </w:p>
        </w:tc>
        <w:tc>
          <w:tcPr>
            <w:tcW w:w="547" w:type="pct"/>
            <w:tcBorders>
              <w:bottom w:val="single" w:sz="4" w:space="0" w:color="auto"/>
            </w:tcBorders>
            <w:shd w:val="clear" w:color="auto" w:fill="9CC2E5" w:themeFill="accent1" w:themeFillTint="99"/>
            <w:vAlign w:val="center"/>
          </w:tcPr>
          <w:p w14:paraId="0CC8962B" w14:textId="0A8734D0" w:rsidR="00827F4C" w:rsidRPr="003063D3" w:rsidRDefault="00827F4C" w:rsidP="00827F4C">
            <w:pPr>
              <w:pStyle w:val="Tabulasgalvenesrinda"/>
              <w:rPr>
                <w:sz w:val="24"/>
                <w:szCs w:val="24"/>
              </w:rPr>
            </w:pPr>
            <w:r w:rsidRPr="00F64587">
              <w:t>202</w:t>
            </w:r>
            <w:r>
              <w:t>4</w:t>
            </w:r>
          </w:p>
        </w:tc>
        <w:tc>
          <w:tcPr>
            <w:tcW w:w="625" w:type="pct"/>
            <w:tcBorders>
              <w:bottom w:val="single" w:sz="4" w:space="0" w:color="auto"/>
            </w:tcBorders>
            <w:shd w:val="clear" w:color="auto" w:fill="9CC2E5" w:themeFill="accent1" w:themeFillTint="99"/>
            <w:vAlign w:val="center"/>
          </w:tcPr>
          <w:p w14:paraId="0635A580" w14:textId="5F6A7F61" w:rsidR="00827F4C" w:rsidRPr="003063D3" w:rsidRDefault="00827F4C" w:rsidP="00827F4C">
            <w:pPr>
              <w:pStyle w:val="Tabulasgalvenesrinda"/>
              <w:rPr>
                <w:sz w:val="24"/>
                <w:szCs w:val="24"/>
              </w:rPr>
            </w:pPr>
            <w:r w:rsidRPr="00F64587">
              <w:t>202</w:t>
            </w:r>
            <w:r>
              <w:t>5</w:t>
            </w:r>
          </w:p>
        </w:tc>
        <w:tc>
          <w:tcPr>
            <w:tcW w:w="546" w:type="pct"/>
            <w:tcBorders>
              <w:bottom w:val="single" w:sz="4" w:space="0" w:color="auto"/>
            </w:tcBorders>
            <w:shd w:val="clear" w:color="auto" w:fill="9CC2E5" w:themeFill="accent1" w:themeFillTint="99"/>
            <w:vAlign w:val="center"/>
          </w:tcPr>
          <w:p w14:paraId="531AC39D" w14:textId="536586A6" w:rsidR="00827F4C" w:rsidRPr="003063D3" w:rsidRDefault="00827F4C" w:rsidP="00827F4C">
            <w:pPr>
              <w:pStyle w:val="Tabulasgalvenesrinda"/>
              <w:rPr>
                <w:sz w:val="24"/>
                <w:szCs w:val="24"/>
              </w:rPr>
            </w:pPr>
            <w:r w:rsidRPr="00F64587">
              <w:t>202</w:t>
            </w:r>
            <w:r>
              <w:t>6</w:t>
            </w:r>
          </w:p>
        </w:tc>
        <w:tc>
          <w:tcPr>
            <w:tcW w:w="546" w:type="pct"/>
            <w:tcBorders>
              <w:bottom w:val="single" w:sz="4" w:space="0" w:color="auto"/>
            </w:tcBorders>
            <w:shd w:val="clear" w:color="auto" w:fill="9CC2E5" w:themeFill="accent1" w:themeFillTint="99"/>
            <w:vAlign w:val="center"/>
          </w:tcPr>
          <w:p w14:paraId="44CF4D01" w14:textId="79776B94" w:rsidR="00827F4C" w:rsidRPr="003063D3" w:rsidRDefault="00827F4C" w:rsidP="00827F4C">
            <w:pPr>
              <w:pStyle w:val="Tabulasgalvenesrinda"/>
              <w:rPr>
                <w:sz w:val="24"/>
                <w:szCs w:val="24"/>
              </w:rPr>
            </w:pPr>
            <w:r w:rsidRPr="00F64587">
              <w:t>202</w:t>
            </w:r>
            <w:r>
              <w:t>7</w:t>
            </w:r>
          </w:p>
        </w:tc>
        <w:tc>
          <w:tcPr>
            <w:tcW w:w="545" w:type="pct"/>
            <w:tcBorders>
              <w:bottom w:val="single" w:sz="4" w:space="0" w:color="auto"/>
            </w:tcBorders>
            <w:shd w:val="clear" w:color="auto" w:fill="9CC2E5" w:themeFill="accent1" w:themeFillTint="99"/>
            <w:vAlign w:val="center"/>
          </w:tcPr>
          <w:p w14:paraId="5FC9F993" w14:textId="09BA8243" w:rsidR="00827F4C" w:rsidRPr="003063D3" w:rsidRDefault="00827F4C" w:rsidP="00827F4C">
            <w:pPr>
              <w:pStyle w:val="Tabulasgalvenesrinda"/>
              <w:rPr>
                <w:sz w:val="24"/>
                <w:szCs w:val="24"/>
              </w:rPr>
            </w:pPr>
            <w:r w:rsidRPr="00F64587">
              <w:t>202</w:t>
            </w:r>
            <w:r>
              <w:t>8</w:t>
            </w:r>
          </w:p>
        </w:tc>
      </w:tr>
      <w:tr w:rsidR="00827F4C" w:rsidRPr="003063D3" w14:paraId="433DC164" w14:textId="77777777" w:rsidTr="00827F4C">
        <w:trPr>
          <w:trHeight w:val="459"/>
          <w:jc w:val="center"/>
        </w:trPr>
        <w:tc>
          <w:tcPr>
            <w:tcW w:w="1427" w:type="pct"/>
          </w:tcPr>
          <w:p w14:paraId="4190AC28" w14:textId="283CC3B3" w:rsidR="00827F4C" w:rsidRPr="003063D3" w:rsidRDefault="00827F4C" w:rsidP="00827F4C">
            <w:pPr>
              <w:pStyle w:val="Tabulasteksts"/>
              <w:rPr>
                <w:sz w:val="24"/>
                <w:szCs w:val="24"/>
              </w:rPr>
            </w:pPr>
            <w:r w:rsidRPr="009C17A0">
              <w:t>1. Ražošanas un importa nodokļi</w:t>
            </w:r>
          </w:p>
        </w:tc>
        <w:tc>
          <w:tcPr>
            <w:tcW w:w="765" w:type="pct"/>
          </w:tcPr>
          <w:p w14:paraId="66294AA1" w14:textId="4AC084DB" w:rsidR="00827F4C" w:rsidRPr="003063D3" w:rsidRDefault="00827F4C" w:rsidP="00827F4C">
            <w:pPr>
              <w:pStyle w:val="Tabulasteksts"/>
              <w:rPr>
                <w:sz w:val="24"/>
                <w:szCs w:val="24"/>
              </w:rPr>
            </w:pPr>
            <w:r w:rsidRPr="009C17A0">
              <w:t>D.2</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5920E2FF" w14:textId="13CA3A09" w:rsidR="00827F4C" w:rsidRPr="003063D3" w:rsidRDefault="00827F4C" w:rsidP="00827F4C">
            <w:pPr>
              <w:pStyle w:val="Tabulasteksts"/>
              <w:rPr>
                <w:sz w:val="24"/>
                <w:szCs w:val="24"/>
              </w:rPr>
            </w:pPr>
            <w:r w:rsidRPr="00670D30">
              <w:t xml:space="preserve"> 5 927,9 </w:t>
            </w:r>
          </w:p>
        </w:tc>
        <w:tc>
          <w:tcPr>
            <w:tcW w:w="625" w:type="pct"/>
            <w:tcBorders>
              <w:top w:val="single" w:sz="4" w:space="0" w:color="auto"/>
              <w:left w:val="nil"/>
              <w:bottom w:val="single" w:sz="4" w:space="0" w:color="auto"/>
              <w:right w:val="single" w:sz="4" w:space="0" w:color="auto"/>
            </w:tcBorders>
            <w:shd w:val="clear" w:color="auto" w:fill="auto"/>
          </w:tcPr>
          <w:p w14:paraId="5DB128AD" w14:textId="2399808F" w:rsidR="00827F4C" w:rsidRPr="003063D3" w:rsidRDefault="00827F4C" w:rsidP="00827F4C">
            <w:pPr>
              <w:pStyle w:val="Tabulasteksts"/>
              <w:rPr>
                <w:sz w:val="24"/>
                <w:szCs w:val="24"/>
              </w:rPr>
            </w:pPr>
            <w:r w:rsidRPr="00670D30">
              <w:t xml:space="preserve"> 6 185,2 </w:t>
            </w:r>
          </w:p>
        </w:tc>
        <w:tc>
          <w:tcPr>
            <w:tcW w:w="546" w:type="pct"/>
            <w:tcBorders>
              <w:top w:val="single" w:sz="4" w:space="0" w:color="auto"/>
              <w:left w:val="nil"/>
              <w:bottom w:val="single" w:sz="4" w:space="0" w:color="auto"/>
              <w:right w:val="single" w:sz="4" w:space="0" w:color="auto"/>
            </w:tcBorders>
            <w:shd w:val="clear" w:color="auto" w:fill="auto"/>
          </w:tcPr>
          <w:p w14:paraId="70725F18" w14:textId="5023909C" w:rsidR="00827F4C" w:rsidRPr="003063D3" w:rsidRDefault="00827F4C" w:rsidP="00827F4C">
            <w:pPr>
              <w:pStyle w:val="Tabulasteksts"/>
              <w:rPr>
                <w:sz w:val="24"/>
                <w:szCs w:val="24"/>
              </w:rPr>
            </w:pPr>
            <w:r w:rsidRPr="00670D30">
              <w:t xml:space="preserve"> 6 466,</w:t>
            </w:r>
            <w:r>
              <w:t>2</w:t>
            </w:r>
            <w:r w:rsidRPr="00670D30">
              <w:t xml:space="preserve"> </w:t>
            </w:r>
          </w:p>
        </w:tc>
        <w:tc>
          <w:tcPr>
            <w:tcW w:w="546" w:type="pct"/>
            <w:tcBorders>
              <w:top w:val="single" w:sz="4" w:space="0" w:color="auto"/>
              <w:left w:val="nil"/>
              <w:bottom w:val="single" w:sz="4" w:space="0" w:color="auto"/>
              <w:right w:val="single" w:sz="4" w:space="0" w:color="auto"/>
            </w:tcBorders>
            <w:shd w:val="clear" w:color="auto" w:fill="auto"/>
          </w:tcPr>
          <w:p w14:paraId="6EB70B49" w14:textId="78ED298C" w:rsidR="00827F4C" w:rsidRPr="003063D3" w:rsidRDefault="00827F4C" w:rsidP="00827F4C">
            <w:pPr>
              <w:pStyle w:val="Tabulasteksts"/>
              <w:rPr>
                <w:sz w:val="24"/>
                <w:szCs w:val="24"/>
              </w:rPr>
            </w:pPr>
            <w:r w:rsidRPr="00670D30">
              <w:t xml:space="preserve"> 6 730,</w:t>
            </w:r>
            <w:r>
              <w:t>4</w:t>
            </w:r>
            <w:r w:rsidRPr="00670D30">
              <w:t xml:space="preserve"> </w:t>
            </w:r>
          </w:p>
        </w:tc>
        <w:tc>
          <w:tcPr>
            <w:tcW w:w="545" w:type="pct"/>
            <w:tcBorders>
              <w:top w:val="single" w:sz="4" w:space="0" w:color="auto"/>
              <w:left w:val="nil"/>
              <w:bottom w:val="single" w:sz="4" w:space="0" w:color="auto"/>
              <w:right w:val="single" w:sz="4" w:space="0" w:color="auto"/>
            </w:tcBorders>
            <w:shd w:val="clear" w:color="auto" w:fill="auto"/>
          </w:tcPr>
          <w:p w14:paraId="7F38DB30" w14:textId="204C2CC5" w:rsidR="00827F4C" w:rsidRPr="003063D3" w:rsidRDefault="00827F4C" w:rsidP="00827F4C">
            <w:pPr>
              <w:pStyle w:val="Tabulasteksts"/>
              <w:rPr>
                <w:sz w:val="24"/>
                <w:szCs w:val="24"/>
              </w:rPr>
            </w:pPr>
            <w:r w:rsidRPr="00670D30">
              <w:t xml:space="preserve"> 6 989,</w:t>
            </w:r>
            <w:r>
              <w:t>1</w:t>
            </w:r>
            <w:r w:rsidRPr="00670D30">
              <w:t xml:space="preserve"> </w:t>
            </w:r>
          </w:p>
        </w:tc>
      </w:tr>
      <w:tr w:rsidR="00827F4C" w:rsidRPr="003063D3" w14:paraId="700D1A09" w14:textId="77777777" w:rsidTr="00827F4C">
        <w:trPr>
          <w:trHeight w:val="444"/>
          <w:jc w:val="center"/>
        </w:trPr>
        <w:tc>
          <w:tcPr>
            <w:tcW w:w="1427" w:type="pct"/>
          </w:tcPr>
          <w:p w14:paraId="3330E408" w14:textId="2EAC248D" w:rsidR="00827F4C" w:rsidRPr="003063D3" w:rsidRDefault="00827F4C" w:rsidP="00827F4C">
            <w:pPr>
              <w:pStyle w:val="Tabulasteksts"/>
              <w:rPr>
                <w:sz w:val="24"/>
                <w:szCs w:val="24"/>
              </w:rPr>
            </w:pPr>
            <w:r w:rsidRPr="009C17A0">
              <w:t>2. Ienākuma un mantas kārtējie nodokļi</w:t>
            </w:r>
          </w:p>
        </w:tc>
        <w:tc>
          <w:tcPr>
            <w:tcW w:w="765" w:type="pct"/>
          </w:tcPr>
          <w:p w14:paraId="75A8E46A" w14:textId="17A81E88" w:rsidR="00827F4C" w:rsidRPr="003063D3" w:rsidRDefault="00827F4C" w:rsidP="00827F4C">
            <w:pPr>
              <w:pStyle w:val="Tabulasteksts"/>
              <w:rPr>
                <w:sz w:val="24"/>
                <w:szCs w:val="24"/>
              </w:rPr>
            </w:pPr>
            <w:r w:rsidRPr="009C17A0">
              <w:t>D.5</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6B4FAAB8" w14:textId="75FC777B" w:rsidR="00827F4C" w:rsidRPr="003063D3" w:rsidRDefault="00827F4C" w:rsidP="00827F4C">
            <w:pPr>
              <w:pStyle w:val="Tabulasteksts"/>
              <w:rPr>
                <w:sz w:val="24"/>
                <w:szCs w:val="24"/>
              </w:rPr>
            </w:pPr>
            <w:r w:rsidRPr="00514BB4">
              <w:t xml:space="preserve"> 3 512,3 </w:t>
            </w:r>
          </w:p>
        </w:tc>
        <w:tc>
          <w:tcPr>
            <w:tcW w:w="625" w:type="pct"/>
            <w:tcBorders>
              <w:top w:val="single" w:sz="4" w:space="0" w:color="auto"/>
              <w:left w:val="nil"/>
              <w:bottom w:val="single" w:sz="4" w:space="0" w:color="auto"/>
              <w:right w:val="single" w:sz="4" w:space="0" w:color="auto"/>
            </w:tcBorders>
            <w:shd w:val="clear" w:color="auto" w:fill="auto"/>
          </w:tcPr>
          <w:p w14:paraId="6A554A8E" w14:textId="6F362451" w:rsidR="00827F4C" w:rsidRPr="003063D3" w:rsidRDefault="00827F4C" w:rsidP="00827F4C">
            <w:pPr>
              <w:pStyle w:val="Tabulasteksts"/>
              <w:rPr>
                <w:sz w:val="24"/>
                <w:szCs w:val="24"/>
              </w:rPr>
            </w:pPr>
            <w:r w:rsidRPr="00514BB4">
              <w:t xml:space="preserve"> 3 680,</w:t>
            </w:r>
            <w:r>
              <w:t>6</w:t>
            </w:r>
            <w:r w:rsidRPr="00514BB4">
              <w:t xml:space="preserve"> </w:t>
            </w:r>
          </w:p>
        </w:tc>
        <w:tc>
          <w:tcPr>
            <w:tcW w:w="546" w:type="pct"/>
            <w:tcBorders>
              <w:top w:val="single" w:sz="4" w:space="0" w:color="auto"/>
              <w:left w:val="nil"/>
              <w:bottom w:val="single" w:sz="4" w:space="0" w:color="auto"/>
              <w:right w:val="single" w:sz="4" w:space="0" w:color="auto"/>
            </w:tcBorders>
            <w:shd w:val="clear" w:color="auto" w:fill="auto"/>
          </w:tcPr>
          <w:p w14:paraId="651A1136" w14:textId="525B8695" w:rsidR="00827F4C" w:rsidRPr="003063D3" w:rsidRDefault="00827F4C" w:rsidP="00827F4C">
            <w:pPr>
              <w:pStyle w:val="Tabulasteksts"/>
              <w:rPr>
                <w:sz w:val="24"/>
                <w:szCs w:val="24"/>
              </w:rPr>
            </w:pPr>
            <w:r w:rsidRPr="00514BB4">
              <w:t xml:space="preserve"> 3 894,</w:t>
            </w:r>
            <w:r>
              <w:t>1</w:t>
            </w:r>
            <w:r w:rsidRPr="00514BB4">
              <w:t xml:space="preserve"> </w:t>
            </w:r>
          </w:p>
        </w:tc>
        <w:tc>
          <w:tcPr>
            <w:tcW w:w="546" w:type="pct"/>
            <w:tcBorders>
              <w:top w:val="single" w:sz="4" w:space="0" w:color="auto"/>
              <w:left w:val="nil"/>
              <w:bottom w:val="single" w:sz="4" w:space="0" w:color="auto"/>
              <w:right w:val="single" w:sz="4" w:space="0" w:color="auto"/>
            </w:tcBorders>
            <w:shd w:val="clear" w:color="auto" w:fill="auto"/>
          </w:tcPr>
          <w:p w14:paraId="34132679" w14:textId="66BC1BE4" w:rsidR="00827F4C" w:rsidRPr="003063D3" w:rsidRDefault="00827F4C" w:rsidP="00827F4C">
            <w:pPr>
              <w:pStyle w:val="Tabulasteksts"/>
              <w:rPr>
                <w:sz w:val="24"/>
                <w:szCs w:val="24"/>
              </w:rPr>
            </w:pPr>
            <w:r w:rsidRPr="00514BB4">
              <w:t xml:space="preserve"> 4 074,</w:t>
            </w:r>
            <w:r>
              <w:t>7</w:t>
            </w:r>
            <w:r w:rsidRPr="00514BB4">
              <w:t xml:space="preserve"> </w:t>
            </w:r>
          </w:p>
        </w:tc>
        <w:tc>
          <w:tcPr>
            <w:tcW w:w="545" w:type="pct"/>
            <w:tcBorders>
              <w:top w:val="single" w:sz="4" w:space="0" w:color="auto"/>
              <w:left w:val="nil"/>
              <w:bottom w:val="single" w:sz="4" w:space="0" w:color="auto"/>
              <w:right w:val="single" w:sz="4" w:space="0" w:color="auto"/>
            </w:tcBorders>
          </w:tcPr>
          <w:p w14:paraId="5DB7D256" w14:textId="28194EC4" w:rsidR="00827F4C" w:rsidRPr="003063D3" w:rsidRDefault="00827F4C" w:rsidP="00827F4C">
            <w:pPr>
              <w:pStyle w:val="Tabulasteksts"/>
              <w:rPr>
                <w:sz w:val="24"/>
                <w:szCs w:val="24"/>
              </w:rPr>
            </w:pPr>
            <w:r w:rsidRPr="00514BB4">
              <w:t xml:space="preserve"> 4 259,7 </w:t>
            </w:r>
          </w:p>
        </w:tc>
      </w:tr>
      <w:tr w:rsidR="00827F4C" w:rsidRPr="003063D3" w14:paraId="7466CBA2" w14:textId="77777777" w:rsidTr="00827F4C">
        <w:trPr>
          <w:trHeight w:val="222"/>
          <w:jc w:val="center"/>
        </w:trPr>
        <w:tc>
          <w:tcPr>
            <w:tcW w:w="1427" w:type="pct"/>
          </w:tcPr>
          <w:p w14:paraId="41ACC195" w14:textId="14FFC7D8" w:rsidR="00827F4C" w:rsidRPr="003063D3" w:rsidRDefault="00827F4C" w:rsidP="00827F4C">
            <w:pPr>
              <w:pStyle w:val="Tabulasteksts"/>
              <w:rPr>
                <w:sz w:val="24"/>
                <w:szCs w:val="24"/>
              </w:rPr>
            </w:pPr>
            <w:r w:rsidRPr="009C17A0">
              <w:t>3. Kapitāla nodokļi</w:t>
            </w:r>
          </w:p>
        </w:tc>
        <w:tc>
          <w:tcPr>
            <w:tcW w:w="765" w:type="pct"/>
          </w:tcPr>
          <w:p w14:paraId="1B8B43C7" w14:textId="75AF4EC6" w:rsidR="00827F4C" w:rsidRPr="003063D3" w:rsidRDefault="00827F4C" w:rsidP="00827F4C">
            <w:pPr>
              <w:pStyle w:val="Tabulasteksts"/>
              <w:rPr>
                <w:sz w:val="24"/>
                <w:szCs w:val="24"/>
              </w:rPr>
            </w:pPr>
            <w:r w:rsidRPr="009C17A0">
              <w:t>D.91</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48B3EA2E" w14:textId="540427B8" w:rsidR="00827F4C" w:rsidRPr="003063D3" w:rsidRDefault="00827F4C" w:rsidP="00827F4C">
            <w:pPr>
              <w:pStyle w:val="Tabulasteksts"/>
              <w:rPr>
                <w:sz w:val="24"/>
                <w:szCs w:val="24"/>
              </w:rPr>
            </w:pPr>
            <w:r w:rsidRPr="00D85A06">
              <w:t xml:space="preserve"> 1</w:t>
            </w:r>
            <w:r>
              <w:t>7,0</w:t>
            </w:r>
          </w:p>
        </w:tc>
        <w:tc>
          <w:tcPr>
            <w:tcW w:w="625" w:type="pct"/>
            <w:tcBorders>
              <w:top w:val="single" w:sz="4" w:space="0" w:color="auto"/>
              <w:left w:val="nil"/>
              <w:bottom w:val="single" w:sz="4" w:space="0" w:color="auto"/>
              <w:right w:val="single" w:sz="4" w:space="0" w:color="auto"/>
            </w:tcBorders>
            <w:shd w:val="clear" w:color="auto" w:fill="auto"/>
          </w:tcPr>
          <w:p w14:paraId="392BCC17" w14:textId="1AF17A7B" w:rsidR="00827F4C" w:rsidRPr="003063D3" w:rsidRDefault="00827F4C" w:rsidP="00827F4C">
            <w:pPr>
              <w:pStyle w:val="Tabulasteksts"/>
              <w:rPr>
                <w:sz w:val="24"/>
                <w:szCs w:val="24"/>
              </w:rPr>
            </w:pPr>
            <w:r w:rsidRPr="00D85A06">
              <w:t xml:space="preserve"> 17,</w:t>
            </w:r>
            <w:r>
              <w:t>3</w:t>
            </w:r>
            <w:r w:rsidRPr="00D85A06">
              <w:t xml:space="preserve"> </w:t>
            </w:r>
          </w:p>
        </w:tc>
        <w:tc>
          <w:tcPr>
            <w:tcW w:w="546" w:type="pct"/>
            <w:tcBorders>
              <w:top w:val="single" w:sz="4" w:space="0" w:color="auto"/>
              <w:left w:val="nil"/>
              <w:bottom w:val="single" w:sz="4" w:space="0" w:color="auto"/>
              <w:right w:val="single" w:sz="4" w:space="0" w:color="auto"/>
            </w:tcBorders>
            <w:shd w:val="clear" w:color="auto" w:fill="auto"/>
          </w:tcPr>
          <w:p w14:paraId="60415EFA" w14:textId="0A526C79" w:rsidR="00827F4C" w:rsidRPr="003063D3" w:rsidRDefault="00827F4C" w:rsidP="00827F4C">
            <w:pPr>
              <w:pStyle w:val="Tabulasteksts"/>
              <w:rPr>
                <w:sz w:val="24"/>
                <w:szCs w:val="24"/>
              </w:rPr>
            </w:pPr>
            <w:r w:rsidRPr="00D85A06">
              <w:t xml:space="preserve"> 17,</w:t>
            </w:r>
            <w:r>
              <w:t>3</w:t>
            </w:r>
            <w:r w:rsidRPr="00D85A06">
              <w:t xml:space="preserve"> </w:t>
            </w:r>
          </w:p>
        </w:tc>
        <w:tc>
          <w:tcPr>
            <w:tcW w:w="546" w:type="pct"/>
            <w:tcBorders>
              <w:top w:val="single" w:sz="4" w:space="0" w:color="auto"/>
              <w:left w:val="nil"/>
              <w:bottom w:val="single" w:sz="4" w:space="0" w:color="auto"/>
              <w:right w:val="single" w:sz="4" w:space="0" w:color="auto"/>
            </w:tcBorders>
            <w:shd w:val="clear" w:color="auto" w:fill="auto"/>
          </w:tcPr>
          <w:p w14:paraId="46E587BE" w14:textId="12FCAE81" w:rsidR="00827F4C" w:rsidRPr="003063D3" w:rsidRDefault="00827F4C" w:rsidP="00827F4C">
            <w:pPr>
              <w:pStyle w:val="Tabulasteksts"/>
              <w:rPr>
                <w:sz w:val="24"/>
                <w:szCs w:val="24"/>
              </w:rPr>
            </w:pPr>
            <w:r w:rsidRPr="00D85A06">
              <w:t xml:space="preserve"> 17,</w:t>
            </w:r>
            <w:r>
              <w:t>3</w:t>
            </w:r>
            <w:r w:rsidRPr="00D85A06">
              <w:t xml:space="preserve"> </w:t>
            </w:r>
          </w:p>
        </w:tc>
        <w:tc>
          <w:tcPr>
            <w:tcW w:w="545" w:type="pct"/>
            <w:tcBorders>
              <w:top w:val="single" w:sz="4" w:space="0" w:color="auto"/>
              <w:left w:val="nil"/>
              <w:bottom w:val="single" w:sz="4" w:space="0" w:color="auto"/>
              <w:right w:val="single" w:sz="4" w:space="0" w:color="auto"/>
            </w:tcBorders>
          </w:tcPr>
          <w:p w14:paraId="6E956594" w14:textId="016217C5" w:rsidR="00827F4C" w:rsidRPr="003063D3" w:rsidRDefault="00827F4C" w:rsidP="00827F4C">
            <w:pPr>
              <w:pStyle w:val="Tabulasteksts"/>
              <w:rPr>
                <w:sz w:val="24"/>
                <w:szCs w:val="24"/>
              </w:rPr>
            </w:pPr>
            <w:r w:rsidRPr="00D85A06">
              <w:t xml:space="preserve"> 17,</w:t>
            </w:r>
            <w:r>
              <w:t>3</w:t>
            </w:r>
            <w:r w:rsidRPr="00D85A06">
              <w:t xml:space="preserve"> </w:t>
            </w:r>
          </w:p>
        </w:tc>
      </w:tr>
      <w:tr w:rsidR="00827F4C" w:rsidRPr="003063D3" w14:paraId="36E763D6" w14:textId="77777777" w:rsidTr="00827F4C">
        <w:trPr>
          <w:trHeight w:val="222"/>
          <w:jc w:val="center"/>
        </w:trPr>
        <w:tc>
          <w:tcPr>
            <w:tcW w:w="1427" w:type="pct"/>
          </w:tcPr>
          <w:p w14:paraId="269F0335" w14:textId="65031362" w:rsidR="00827F4C" w:rsidRPr="003063D3" w:rsidRDefault="00827F4C" w:rsidP="00827F4C">
            <w:pPr>
              <w:pStyle w:val="Tabulasteksts"/>
              <w:rPr>
                <w:sz w:val="24"/>
                <w:szCs w:val="24"/>
              </w:rPr>
            </w:pPr>
            <w:r w:rsidRPr="009C17A0">
              <w:t>4. Sociālās iemaksas</w:t>
            </w:r>
          </w:p>
        </w:tc>
        <w:tc>
          <w:tcPr>
            <w:tcW w:w="765" w:type="pct"/>
          </w:tcPr>
          <w:p w14:paraId="3D4ADDBF" w14:textId="4E5F442B" w:rsidR="00827F4C" w:rsidRPr="003063D3" w:rsidRDefault="00827F4C" w:rsidP="00827F4C">
            <w:pPr>
              <w:pStyle w:val="Tabulasteksts"/>
              <w:rPr>
                <w:sz w:val="24"/>
                <w:szCs w:val="24"/>
              </w:rPr>
            </w:pPr>
            <w:r w:rsidRPr="009C17A0">
              <w:t>D.61</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7C29CBE3" w14:textId="69799592" w:rsidR="00827F4C" w:rsidRPr="003063D3" w:rsidRDefault="00827F4C" w:rsidP="00827F4C">
            <w:pPr>
              <w:pStyle w:val="Tabulasteksts"/>
              <w:rPr>
                <w:sz w:val="24"/>
                <w:szCs w:val="24"/>
              </w:rPr>
            </w:pPr>
            <w:r w:rsidRPr="00A44A6E">
              <w:t xml:space="preserve"> 4 625,</w:t>
            </w:r>
            <w:r>
              <w:t>3</w:t>
            </w:r>
            <w:r w:rsidRPr="00A44A6E">
              <w:t xml:space="preserve"> </w:t>
            </w:r>
          </w:p>
        </w:tc>
        <w:tc>
          <w:tcPr>
            <w:tcW w:w="625" w:type="pct"/>
            <w:tcBorders>
              <w:top w:val="single" w:sz="4" w:space="0" w:color="auto"/>
              <w:left w:val="nil"/>
              <w:bottom w:val="single" w:sz="4" w:space="0" w:color="auto"/>
              <w:right w:val="single" w:sz="4" w:space="0" w:color="auto"/>
            </w:tcBorders>
            <w:shd w:val="clear" w:color="auto" w:fill="auto"/>
          </w:tcPr>
          <w:p w14:paraId="6A7FCC0F" w14:textId="5F183ECD" w:rsidR="00827F4C" w:rsidRPr="003063D3" w:rsidRDefault="00827F4C" w:rsidP="00827F4C">
            <w:pPr>
              <w:pStyle w:val="Tabulasteksts"/>
              <w:rPr>
                <w:sz w:val="24"/>
                <w:szCs w:val="24"/>
              </w:rPr>
            </w:pPr>
            <w:r w:rsidRPr="00A44A6E">
              <w:t xml:space="preserve"> 4 941,</w:t>
            </w:r>
            <w:r>
              <w:t>5</w:t>
            </w:r>
            <w:r w:rsidRPr="00A44A6E">
              <w:t xml:space="preserve"> </w:t>
            </w:r>
          </w:p>
        </w:tc>
        <w:tc>
          <w:tcPr>
            <w:tcW w:w="546" w:type="pct"/>
            <w:tcBorders>
              <w:top w:val="single" w:sz="4" w:space="0" w:color="auto"/>
              <w:left w:val="nil"/>
              <w:bottom w:val="single" w:sz="4" w:space="0" w:color="auto"/>
              <w:right w:val="single" w:sz="4" w:space="0" w:color="auto"/>
            </w:tcBorders>
            <w:shd w:val="clear" w:color="auto" w:fill="auto"/>
          </w:tcPr>
          <w:p w14:paraId="43C43A62" w14:textId="47895724" w:rsidR="00827F4C" w:rsidRPr="003063D3" w:rsidRDefault="00827F4C" w:rsidP="00827F4C">
            <w:pPr>
              <w:pStyle w:val="Tabulasteksts"/>
              <w:rPr>
                <w:sz w:val="24"/>
                <w:szCs w:val="24"/>
              </w:rPr>
            </w:pPr>
            <w:r w:rsidRPr="00A44A6E">
              <w:t xml:space="preserve"> 5</w:t>
            </w:r>
            <w:r>
              <w:t> </w:t>
            </w:r>
            <w:r w:rsidRPr="00A44A6E">
              <w:t>23</w:t>
            </w:r>
            <w:r>
              <w:t>2,0</w:t>
            </w:r>
          </w:p>
        </w:tc>
        <w:tc>
          <w:tcPr>
            <w:tcW w:w="546" w:type="pct"/>
            <w:tcBorders>
              <w:top w:val="single" w:sz="4" w:space="0" w:color="auto"/>
              <w:left w:val="nil"/>
              <w:bottom w:val="single" w:sz="4" w:space="0" w:color="auto"/>
              <w:right w:val="single" w:sz="4" w:space="0" w:color="auto"/>
            </w:tcBorders>
            <w:shd w:val="clear" w:color="auto" w:fill="auto"/>
          </w:tcPr>
          <w:p w14:paraId="5A00A0C2" w14:textId="21B57FC8" w:rsidR="00827F4C" w:rsidRPr="003063D3" w:rsidRDefault="00827F4C" w:rsidP="00827F4C">
            <w:pPr>
              <w:pStyle w:val="Tabulasteksts"/>
              <w:rPr>
                <w:sz w:val="24"/>
                <w:szCs w:val="24"/>
              </w:rPr>
            </w:pPr>
            <w:r w:rsidRPr="00A44A6E">
              <w:t xml:space="preserve"> 5</w:t>
            </w:r>
            <w:r>
              <w:t> </w:t>
            </w:r>
            <w:r w:rsidRPr="00A44A6E">
              <w:t>48</w:t>
            </w:r>
            <w:r>
              <w:t>5,0</w:t>
            </w:r>
          </w:p>
        </w:tc>
        <w:tc>
          <w:tcPr>
            <w:tcW w:w="545" w:type="pct"/>
            <w:tcBorders>
              <w:top w:val="single" w:sz="4" w:space="0" w:color="auto"/>
              <w:left w:val="nil"/>
              <w:bottom w:val="single" w:sz="4" w:space="0" w:color="auto"/>
              <w:right w:val="single" w:sz="4" w:space="0" w:color="auto"/>
            </w:tcBorders>
          </w:tcPr>
          <w:p w14:paraId="6524268A" w14:textId="0B4364A4" w:rsidR="00827F4C" w:rsidRPr="003063D3" w:rsidRDefault="00827F4C" w:rsidP="00827F4C">
            <w:pPr>
              <w:pStyle w:val="Tabulasteksts"/>
              <w:rPr>
                <w:sz w:val="24"/>
                <w:szCs w:val="24"/>
              </w:rPr>
            </w:pPr>
            <w:r w:rsidRPr="00A44A6E">
              <w:t xml:space="preserve"> 5 744,9 </w:t>
            </w:r>
          </w:p>
        </w:tc>
      </w:tr>
      <w:tr w:rsidR="00827F4C" w:rsidRPr="003063D3" w14:paraId="5265D623" w14:textId="77777777" w:rsidTr="00827F4C">
        <w:trPr>
          <w:trHeight w:val="188"/>
          <w:jc w:val="center"/>
        </w:trPr>
        <w:tc>
          <w:tcPr>
            <w:tcW w:w="1427" w:type="pct"/>
          </w:tcPr>
          <w:p w14:paraId="65EDCB34" w14:textId="35C16FAC" w:rsidR="00827F4C" w:rsidRPr="003063D3" w:rsidRDefault="00827F4C" w:rsidP="00827F4C">
            <w:pPr>
              <w:pStyle w:val="Tabulasteksts"/>
              <w:rPr>
                <w:i/>
                <w:iCs w:val="0"/>
                <w:sz w:val="24"/>
                <w:szCs w:val="24"/>
              </w:rPr>
            </w:pPr>
            <w:r w:rsidRPr="009C17A0">
              <w:rPr>
                <w:i/>
                <w:iCs w:val="0"/>
              </w:rPr>
              <w:t>No tā faktiskās sociālās iemaksas</w:t>
            </w:r>
          </w:p>
        </w:tc>
        <w:tc>
          <w:tcPr>
            <w:tcW w:w="765" w:type="pct"/>
          </w:tcPr>
          <w:p w14:paraId="6E996826" w14:textId="0675A2B1" w:rsidR="00827F4C" w:rsidRPr="003063D3" w:rsidRDefault="00827F4C" w:rsidP="00827F4C">
            <w:pPr>
              <w:pStyle w:val="Tabulasteksts"/>
              <w:rPr>
                <w:i/>
                <w:iCs w:val="0"/>
                <w:sz w:val="24"/>
                <w:szCs w:val="24"/>
              </w:rPr>
            </w:pPr>
            <w:r w:rsidRPr="009C17A0">
              <w:rPr>
                <w:i/>
                <w:iCs w:val="0"/>
              </w:rPr>
              <w:t>D.611 un D.613</w:t>
            </w:r>
          </w:p>
        </w:tc>
        <w:tc>
          <w:tcPr>
            <w:tcW w:w="547" w:type="pct"/>
            <w:tcBorders>
              <w:top w:val="single" w:sz="4" w:space="0" w:color="auto"/>
              <w:left w:val="nil"/>
              <w:bottom w:val="single" w:sz="4" w:space="0" w:color="auto"/>
              <w:right w:val="single" w:sz="4" w:space="0" w:color="auto"/>
            </w:tcBorders>
            <w:shd w:val="clear" w:color="auto" w:fill="auto"/>
          </w:tcPr>
          <w:p w14:paraId="0E3D66FB" w14:textId="168E2BAC" w:rsidR="00827F4C" w:rsidRPr="003063D3" w:rsidRDefault="00827F4C" w:rsidP="00827F4C">
            <w:pPr>
              <w:pStyle w:val="Tabulasteksts"/>
              <w:rPr>
                <w:i/>
                <w:iCs w:val="0"/>
                <w:sz w:val="24"/>
                <w:szCs w:val="24"/>
              </w:rPr>
            </w:pPr>
            <w:r w:rsidRPr="00D74570">
              <w:t>4</w:t>
            </w:r>
            <w:r>
              <w:t xml:space="preserve"> </w:t>
            </w:r>
            <w:r w:rsidRPr="00D74570">
              <w:t>436,</w:t>
            </w:r>
            <w:r>
              <w:t>9</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4A45152" w14:textId="6E74E78E" w:rsidR="00827F4C" w:rsidRPr="003063D3" w:rsidRDefault="00827F4C" w:rsidP="00827F4C">
            <w:pPr>
              <w:pStyle w:val="Tabulasteksts"/>
              <w:rPr>
                <w:i/>
                <w:iCs w:val="0"/>
                <w:sz w:val="24"/>
                <w:szCs w:val="24"/>
              </w:rPr>
            </w:pPr>
            <w:r w:rsidRPr="00D74570">
              <w:t>4</w:t>
            </w:r>
            <w:r>
              <w:t xml:space="preserve"> </w:t>
            </w:r>
            <w:r w:rsidRPr="00D74570">
              <w:t>753,</w:t>
            </w:r>
            <w:r>
              <w:t>1</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0ED0A217" w14:textId="6B24A7AB" w:rsidR="00827F4C" w:rsidRPr="003063D3" w:rsidRDefault="00827F4C" w:rsidP="00827F4C">
            <w:pPr>
              <w:pStyle w:val="Tabulasteksts"/>
              <w:rPr>
                <w:i/>
                <w:iCs w:val="0"/>
                <w:sz w:val="24"/>
                <w:szCs w:val="24"/>
              </w:rPr>
            </w:pPr>
            <w:r w:rsidRPr="00D74570">
              <w:t>5</w:t>
            </w:r>
            <w:r>
              <w:t xml:space="preserve"> </w:t>
            </w:r>
            <w:r w:rsidRPr="00D74570">
              <w:t>043,</w:t>
            </w:r>
            <w:r>
              <w:t>6</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74E70406" w14:textId="773F1702" w:rsidR="00827F4C" w:rsidRPr="003063D3" w:rsidRDefault="00827F4C" w:rsidP="00827F4C">
            <w:pPr>
              <w:pStyle w:val="Tabulasteksts"/>
              <w:rPr>
                <w:i/>
                <w:iCs w:val="0"/>
                <w:sz w:val="24"/>
                <w:szCs w:val="24"/>
              </w:rPr>
            </w:pPr>
            <w:r w:rsidRPr="00D74570">
              <w:t>5</w:t>
            </w:r>
            <w:r>
              <w:t xml:space="preserve"> </w:t>
            </w:r>
            <w:r w:rsidRPr="00D74570">
              <w:t>296,</w:t>
            </w:r>
            <w:r>
              <w:t>6</w:t>
            </w:r>
          </w:p>
        </w:tc>
        <w:tc>
          <w:tcPr>
            <w:tcW w:w="545" w:type="pct"/>
            <w:tcBorders>
              <w:top w:val="single" w:sz="4" w:space="0" w:color="auto"/>
              <w:left w:val="single" w:sz="4" w:space="0" w:color="auto"/>
              <w:bottom w:val="single" w:sz="4" w:space="0" w:color="auto"/>
              <w:right w:val="single" w:sz="4" w:space="0" w:color="auto"/>
            </w:tcBorders>
          </w:tcPr>
          <w:p w14:paraId="5D9258CF" w14:textId="45D12735" w:rsidR="00827F4C" w:rsidRPr="003063D3" w:rsidRDefault="00827F4C" w:rsidP="00827F4C">
            <w:pPr>
              <w:pStyle w:val="Tabulasteksts"/>
              <w:rPr>
                <w:sz w:val="24"/>
                <w:szCs w:val="24"/>
              </w:rPr>
            </w:pPr>
            <w:r w:rsidRPr="00D74570">
              <w:t>5</w:t>
            </w:r>
            <w:r>
              <w:t xml:space="preserve"> </w:t>
            </w:r>
            <w:r w:rsidRPr="00D74570">
              <w:t>556,</w:t>
            </w:r>
            <w:r>
              <w:t>5</w:t>
            </w:r>
          </w:p>
        </w:tc>
      </w:tr>
      <w:bookmarkEnd w:id="71"/>
    </w:tbl>
    <w:p w14:paraId="3A810A91" w14:textId="77777777" w:rsidR="00FF1B5A" w:rsidRDefault="00FF1B5A" w:rsidP="00FF1B5A">
      <w:pPr>
        <w:pStyle w:val="BodyTextIndent2"/>
        <w:spacing w:before="0" w:after="0"/>
        <w:ind w:firstLine="709"/>
        <w:rPr>
          <w:szCs w:val="24"/>
        </w:rPr>
      </w:pPr>
    </w:p>
    <w:p w14:paraId="27D4EDDC" w14:textId="5C8A2382" w:rsidR="003063D3" w:rsidRPr="003063D3" w:rsidRDefault="003063D3" w:rsidP="00FF1B5A">
      <w:pPr>
        <w:pStyle w:val="BodyTextIndent2"/>
        <w:spacing w:before="0" w:after="0"/>
        <w:ind w:firstLine="709"/>
        <w:rPr>
          <w:szCs w:val="24"/>
        </w:rPr>
      </w:pPr>
      <w:r w:rsidRPr="003063D3">
        <w:rPr>
          <w:szCs w:val="24"/>
        </w:rPr>
        <w:t>Kopējie nodokļu ieņēmumi turpmākajos gados uzrāda stabilu pieauguma tendenci, saglabājot vienmērīgu līmeni attiecībā pret IKP, kas vidēji tiek prognozēts 33% apmērā.</w:t>
      </w:r>
    </w:p>
    <w:p w14:paraId="2EB5CF0A" w14:textId="2CD91040" w:rsidR="003063D3" w:rsidRPr="003063D3" w:rsidRDefault="003063D3" w:rsidP="00BA387D">
      <w:pPr>
        <w:pStyle w:val="BodyTextIndent2"/>
        <w:spacing w:before="0" w:after="0"/>
        <w:ind w:firstLine="709"/>
        <w:rPr>
          <w:szCs w:val="24"/>
        </w:rPr>
      </w:pPr>
      <w:r w:rsidRPr="003063D3">
        <w:rPr>
          <w:szCs w:val="24"/>
        </w:rPr>
        <w:t>Kopējais nodokļu ieņēmumu pieaugums</w:t>
      </w:r>
      <w:r>
        <w:rPr>
          <w:szCs w:val="24"/>
        </w:rPr>
        <w:t xml:space="preserve"> </w:t>
      </w:r>
      <w:r w:rsidRPr="003063D3">
        <w:rPr>
          <w:szCs w:val="24"/>
        </w:rPr>
        <w:t>(2028.</w:t>
      </w:r>
      <w:r>
        <w:rPr>
          <w:szCs w:val="24"/>
        </w:rPr>
        <w:t xml:space="preserve"> </w:t>
      </w:r>
      <w:r w:rsidRPr="003063D3">
        <w:rPr>
          <w:szCs w:val="24"/>
        </w:rPr>
        <w:t>gads pret 2024.</w:t>
      </w:r>
      <w:r>
        <w:rPr>
          <w:szCs w:val="24"/>
        </w:rPr>
        <w:t xml:space="preserve"> </w:t>
      </w:r>
      <w:r w:rsidRPr="003063D3">
        <w:rPr>
          <w:szCs w:val="24"/>
        </w:rPr>
        <w:t>gadu) prognozēts 21% apmērā, darbaspēka nodokļiem pieaugot par 26%, patēriņa nodokļiem par 21%, bet kapitāla nodokļiem samazinoties par 1 procentu.</w:t>
      </w:r>
    </w:p>
    <w:p w14:paraId="0FD47C5E" w14:textId="6D1159FB" w:rsidR="003063D3" w:rsidRPr="003063D3" w:rsidRDefault="003063D3" w:rsidP="00BA387D">
      <w:pPr>
        <w:pStyle w:val="BodyTextIndent2"/>
        <w:spacing w:before="0" w:after="0"/>
        <w:ind w:firstLine="709"/>
        <w:rPr>
          <w:szCs w:val="24"/>
        </w:rPr>
      </w:pPr>
      <w:r w:rsidRPr="003063D3">
        <w:rPr>
          <w:szCs w:val="24"/>
        </w:rPr>
        <w:t>Būtiskāko nodokļu ieņēmumu kategoriju īpatsvars IKP atspoguļots 5.</w:t>
      </w:r>
      <w:r w:rsidR="000F5AFF">
        <w:rPr>
          <w:szCs w:val="24"/>
        </w:rPr>
        <w:t>2</w:t>
      </w:r>
      <w:r w:rsidRPr="003063D3">
        <w:rPr>
          <w:szCs w:val="24"/>
        </w:rPr>
        <w:t>. attēlā.</w:t>
      </w:r>
    </w:p>
    <w:p w14:paraId="65B3CB6F" w14:textId="27EE4687" w:rsidR="003063D3" w:rsidRPr="003063D3" w:rsidRDefault="00827F4C" w:rsidP="003063D3">
      <w:pPr>
        <w:pStyle w:val="Attls"/>
        <w:rPr>
          <w:szCs w:val="24"/>
          <w:highlight w:val="yellow"/>
        </w:rPr>
      </w:pPr>
      <w:r w:rsidRPr="009C17A0">
        <w:drawing>
          <wp:inline distT="0" distB="0" distL="0" distR="0" wp14:anchorId="7B1474A4" wp14:editId="5ACBC258">
            <wp:extent cx="4886325" cy="2152650"/>
            <wp:effectExtent l="0" t="0" r="0" b="0"/>
            <wp:docPr id="4" name="Chart 4">
              <a:extLst xmlns:a="http://schemas.openxmlformats.org/drawingml/2006/main">
                <a:ext uri="{FF2B5EF4-FFF2-40B4-BE49-F238E27FC236}">
                  <a16:creationId xmlns:a16="http://schemas.microsoft.com/office/drawing/2014/main" id="{1800175E-539F-49E1-8B3F-EFA237105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D903E63" w14:textId="4CE37090" w:rsidR="003063D3" w:rsidRPr="003063D3" w:rsidRDefault="003063D3" w:rsidP="004576B5">
      <w:pPr>
        <w:pStyle w:val="Attlanosaukums"/>
        <w:spacing w:before="0" w:after="0"/>
        <w:ind w:firstLine="0"/>
      </w:pPr>
      <w:r w:rsidRPr="003063D3">
        <w:t>5.</w:t>
      </w:r>
      <w:r w:rsidR="000F5AFF">
        <w:t>2</w:t>
      </w:r>
      <w:r w:rsidRPr="003063D3">
        <w:t>. att. Nodokļu ieņēmumi atbilstoši ekonomiskajām funkcijām, % no IKP</w:t>
      </w:r>
    </w:p>
    <w:p w14:paraId="61B6265E" w14:textId="77777777" w:rsidR="003063D3" w:rsidRPr="003063D3" w:rsidRDefault="003063D3" w:rsidP="00534B42">
      <w:pPr>
        <w:pStyle w:val="Attlanosaukums"/>
        <w:spacing w:before="0" w:after="0"/>
      </w:pPr>
    </w:p>
    <w:p w14:paraId="23EACC27" w14:textId="77777777" w:rsidR="003063D3" w:rsidRPr="003063D3" w:rsidRDefault="003063D3" w:rsidP="003063D3">
      <w:pPr>
        <w:rPr>
          <w:sz w:val="24"/>
          <w:szCs w:val="24"/>
        </w:rPr>
      </w:pPr>
      <w:r w:rsidRPr="003063D3">
        <w:rPr>
          <w:sz w:val="24"/>
          <w:szCs w:val="24"/>
        </w:rPr>
        <w:t xml:space="preserve">Jāatzīmē, ka 2024. gadā sadarbībā ar valdības sociālajiem un sadarbības partneriem tiks izstrādātas Valsts nodokļu politikas pamatnostādnes 2024. – 2027. gadam, definējot nodokļu politikas prioritātes turpmākajiem gadiem. </w:t>
      </w:r>
      <w:bookmarkStart w:id="72" w:name="_Hlk163209535"/>
      <w:r w:rsidRPr="003063D3">
        <w:rPr>
          <w:sz w:val="24"/>
          <w:szCs w:val="24"/>
        </w:rPr>
        <w:t>Nodokļu politikas stratēģisko virzienu skaidrība un stabilitāte ir būtiska gan uzņēmējdarbības, gan sabiedrisko pakalpojumu un investīciju efektīvai plānošanai,  to sasaistot ar valsts vispārējiem attīstības mērķiem</w:t>
      </w:r>
      <w:bookmarkEnd w:id="72"/>
      <w:r w:rsidRPr="003063D3">
        <w:rPr>
          <w:sz w:val="24"/>
          <w:szCs w:val="24"/>
        </w:rPr>
        <w:t>.</w:t>
      </w:r>
    </w:p>
    <w:bookmarkEnd w:id="70"/>
    <w:p w14:paraId="79DB7192" w14:textId="661C56E9" w:rsidR="00D766E4" w:rsidRPr="003063D3" w:rsidRDefault="00D766E4">
      <w:pPr>
        <w:spacing w:after="160" w:line="259" w:lineRule="auto"/>
        <w:ind w:firstLine="0"/>
        <w:jc w:val="left"/>
        <w:rPr>
          <w:rFonts w:eastAsia="Times New Roman" w:cs="Times New Roman"/>
          <w:iCs/>
          <w:sz w:val="24"/>
          <w:szCs w:val="24"/>
          <w:highlight w:val="lightGray"/>
          <w:lang w:eastAsia="x-none"/>
        </w:rPr>
      </w:pPr>
      <w:r w:rsidRPr="003063D3">
        <w:rPr>
          <w:rFonts w:eastAsia="Times New Roman" w:cs="Times New Roman"/>
          <w:iCs/>
          <w:sz w:val="24"/>
          <w:szCs w:val="24"/>
          <w:highlight w:val="lightGray"/>
          <w:lang w:eastAsia="x-none"/>
        </w:rPr>
        <w:br w:type="page"/>
      </w:r>
    </w:p>
    <w:p w14:paraId="4579B020" w14:textId="4C12E6D8" w:rsidR="00BF4753" w:rsidRPr="00507D8A" w:rsidRDefault="00BF4753" w:rsidP="00D766E4">
      <w:pPr>
        <w:pStyle w:val="Heading1"/>
        <w:rPr>
          <w:sz w:val="32"/>
          <w:szCs w:val="32"/>
        </w:rPr>
      </w:pPr>
      <w:bookmarkStart w:id="73" w:name="_Toc164679839"/>
      <w:r w:rsidRPr="00507D8A">
        <w:rPr>
          <w:bCs w:val="0"/>
          <w:smallCaps w:val="0"/>
          <w:sz w:val="32"/>
          <w:szCs w:val="32"/>
        </w:rPr>
        <w:lastRenderedPageBreak/>
        <w:t>6.</w:t>
      </w:r>
      <w:r w:rsidRPr="00507D8A">
        <w:rPr>
          <w:sz w:val="32"/>
          <w:szCs w:val="32"/>
        </w:rPr>
        <w:t xml:space="preserve"> Publisko finanšu ilgtspēja</w:t>
      </w:r>
      <w:bookmarkEnd w:id="73"/>
    </w:p>
    <w:p w14:paraId="68ECB31D" w14:textId="77777777" w:rsidR="00507D8A" w:rsidRPr="00507D8A" w:rsidRDefault="00507D8A" w:rsidP="004F034A">
      <w:pPr>
        <w:keepNext/>
        <w:keepLines/>
        <w:numPr>
          <w:ilvl w:val="1"/>
          <w:numId w:val="27"/>
        </w:numPr>
        <w:spacing w:before="120" w:after="120"/>
        <w:ind w:left="0" w:firstLine="0"/>
        <w:jc w:val="center"/>
        <w:outlineLvl w:val="1"/>
        <w:rPr>
          <w:rFonts w:eastAsia="Times New Roman" w:cs="Times New Roman"/>
          <w:b/>
          <w:bCs/>
          <w:color w:val="000000"/>
          <w:szCs w:val="24"/>
          <w:lang w:eastAsia="lv-LV"/>
        </w:rPr>
      </w:pPr>
      <w:bookmarkStart w:id="74" w:name="_Toc510790676"/>
      <w:bookmarkStart w:id="75" w:name="_Toc511027836"/>
      <w:bookmarkStart w:id="76" w:name="_Toc164679840"/>
      <w:r w:rsidRPr="00507D8A">
        <w:rPr>
          <w:rFonts w:eastAsia="Times New Roman" w:cs="Times New Roman"/>
          <w:b/>
          <w:bCs/>
          <w:color w:val="000000"/>
          <w:szCs w:val="24"/>
          <w:lang w:eastAsia="lv-LV"/>
        </w:rPr>
        <w:t>Publisko finanšu ilgtermiņa attīstības scenārijs</w:t>
      </w:r>
      <w:bookmarkEnd w:id="74"/>
      <w:bookmarkEnd w:id="75"/>
      <w:bookmarkEnd w:id="76"/>
    </w:p>
    <w:p w14:paraId="5BA03CD2" w14:textId="2F7ECB8B" w:rsidR="00507D8A" w:rsidRPr="00507D8A" w:rsidRDefault="00507D8A" w:rsidP="00BA387D">
      <w:pPr>
        <w:autoSpaceDE w:val="0"/>
        <w:autoSpaceDN w:val="0"/>
        <w:adjustRightInd w:val="0"/>
        <w:rPr>
          <w:rFonts w:eastAsia="Times New Roman" w:cs="Times New Roman"/>
          <w:sz w:val="24"/>
          <w:szCs w:val="24"/>
        </w:rPr>
      </w:pPr>
      <w:r w:rsidRPr="00507D8A">
        <w:rPr>
          <w:rFonts w:eastAsia="Times New Roman" w:cs="Times New Roman"/>
          <w:sz w:val="24"/>
          <w:szCs w:val="24"/>
        </w:rPr>
        <w:t xml:space="preserve">Reizi trijos gados </w:t>
      </w:r>
      <w:r>
        <w:rPr>
          <w:rFonts w:eastAsia="Times New Roman" w:cs="Times New Roman"/>
          <w:sz w:val="24"/>
          <w:szCs w:val="24"/>
        </w:rPr>
        <w:t>EK</w:t>
      </w:r>
      <w:r w:rsidRPr="00507D8A">
        <w:rPr>
          <w:rFonts w:eastAsia="Times New Roman" w:cs="Times New Roman"/>
          <w:sz w:val="24"/>
          <w:szCs w:val="24"/>
        </w:rPr>
        <w:t xml:space="preserve"> sadarbībā ar dalībvalstīm Ekonomiskās politikas komitejas Iedzīvotāju novecošanās darba grupas (EPC AWG) ietvaros izstrādā ilgtermiņa ar novecošanos saistītu budžeta izdevumu prognozes. Aktuālākās ilgtermiņa budžeta izdevumu prognozes, kuras darba grupa izstrādāja 2023. gada otrajā pusē, tiek publicētas Novecošanās ziņojumā </w:t>
      </w:r>
      <w:r w:rsidRPr="00507D8A">
        <w:rPr>
          <w:rFonts w:eastAsia="Times New Roman" w:cs="Times New Roman"/>
          <w:noProof/>
          <w:sz w:val="24"/>
          <w:szCs w:val="24"/>
        </w:rPr>
        <w:t>2024 (</w:t>
      </w:r>
      <w:r w:rsidRPr="00507D8A">
        <w:rPr>
          <w:rFonts w:eastAsia="Times New Roman" w:cs="Times New Roman"/>
          <w:i/>
          <w:iCs/>
          <w:noProof/>
          <w:sz w:val="24"/>
          <w:szCs w:val="24"/>
        </w:rPr>
        <w:t>Ageing Report 2024</w:t>
      </w:r>
      <w:r w:rsidRPr="00507D8A">
        <w:rPr>
          <w:rFonts w:eastAsia="Times New Roman" w:cs="Times New Roman"/>
          <w:noProof/>
          <w:sz w:val="24"/>
          <w:szCs w:val="24"/>
        </w:rPr>
        <w:t>).</w:t>
      </w:r>
    </w:p>
    <w:p w14:paraId="2D4A2399" w14:textId="4BA23925" w:rsidR="00507D8A" w:rsidRPr="00507D8A" w:rsidRDefault="00507D8A" w:rsidP="00BA387D">
      <w:pPr>
        <w:autoSpaceDE w:val="0"/>
        <w:autoSpaceDN w:val="0"/>
        <w:adjustRightInd w:val="0"/>
        <w:rPr>
          <w:rFonts w:eastAsia="Times New Roman" w:cs="Times New Roman"/>
          <w:i/>
          <w:iCs/>
          <w:noProof/>
          <w:sz w:val="24"/>
          <w:szCs w:val="24"/>
        </w:rPr>
      </w:pPr>
      <w:r w:rsidRPr="00507D8A">
        <w:rPr>
          <w:rFonts w:eastAsia="Times New Roman" w:cs="Times New Roman"/>
          <w:noProof/>
          <w:sz w:val="24"/>
          <w:szCs w:val="24"/>
        </w:rPr>
        <w:t xml:space="preserve">Sagatavojot publisko izdevumu prognozes līdz 2070. gadam, tika ņemtas vērā </w:t>
      </w:r>
      <w:r w:rsidRPr="00507D8A">
        <w:rPr>
          <w:rFonts w:eastAsia="Times New Roman" w:cs="Times New Roman"/>
          <w:i/>
          <w:iCs/>
          <w:noProof/>
          <w:sz w:val="24"/>
          <w:szCs w:val="24"/>
        </w:rPr>
        <w:t>Eurostat</w:t>
      </w:r>
      <w:r w:rsidRPr="00507D8A">
        <w:rPr>
          <w:rFonts w:eastAsia="Times New Roman" w:cs="Times New Roman"/>
          <w:noProof/>
          <w:sz w:val="24"/>
          <w:szCs w:val="24"/>
        </w:rPr>
        <w:t xml:space="preserve"> sagatavotās demogrāfiskās prognozes </w:t>
      </w:r>
      <w:r w:rsidRPr="00507D8A">
        <w:rPr>
          <w:rFonts w:eastAsia="Times New Roman" w:cs="Times New Roman"/>
          <w:i/>
          <w:iCs/>
          <w:noProof/>
          <w:sz w:val="24"/>
          <w:szCs w:val="24"/>
        </w:rPr>
        <w:t>EUROPOP2023</w:t>
      </w:r>
      <w:r w:rsidRPr="00507D8A">
        <w:rPr>
          <w:rFonts w:eastAsia="Times New Roman" w:cs="Times New Roman"/>
          <w:noProof/>
          <w:sz w:val="24"/>
          <w:szCs w:val="24"/>
        </w:rPr>
        <w:t xml:space="preserve">, kā arī </w:t>
      </w:r>
      <w:r>
        <w:rPr>
          <w:rFonts w:eastAsia="Times New Roman" w:cs="Times New Roman"/>
          <w:noProof/>
          <w:sz w:val="24"/>
          <w:szCs w:val="24"/>
        </w:rPr>
        <w:t>EK</w:t>
      </w:r>
      <w:r w:rsidRPr="00507D8A">
        <w:rPr>
          <w:rFonts w:eastAsia="Times New Roman" w:cs="Times New Roman"/>
          <w:noProof/>
          <w:sz w:val="24"/>
          <w:szCs w:val="24"/>
        </w:rPr>
        <w:t xml:space="preserve"> sagatavotās makroekonomisko rādītāju prognozes ilgam termiņam. Prognozēšanas metodoloģija, kas ir vienota visām dalībvalstīm, ir izdiskutēta un apstiprināta AWG darba grupā, kā arī publicēta </w:t>
      </w:r>
      <w:r w:rsidRPr="00507D8A">
        <w:rPr>
          <w:rFonts w:eastAsia="Times New Roman" w:cs="Times New Roman"/>
          <w:i/>
          <w:iCs/>
          <w:noProof/>
          <w:sz w:val="24"/>
          <w:szCs w:val="24"/>
        </w:rPr>
        <w:t>Ageing Report 2024: Underlying Assumptions and Projection Methodologies.</w:t>
      </w:r>
    </w:p>
    <w:p w14:paraId="10448039" w14:textId="1E9AE3E6" w:rsidR="00507D8A" w:rsidRPr="00507D8A" w:rsidRDefault="00507D8A" w:rsidP="00BA387D">
      <w:pPr>
        <w:autoSpaceDE w:val="0"/>
        <w:autoSpaceDN w:val="0"/>
        <w:adjustRightInd w:val="0"/>
        <w:rPr>
          <w:rFonts w:eastAsia="Times New Roman" w:cs="Times New Roman"/>
          <w:noProof/>
          <w:sz w:val="24"/>
          <w:szCs w:val="24"/>
        </w:rPr>
      </w:pPr>
      <w:r w:rsidRPr="00507D8A">
        <w:rPr>
          <w:rFonts w:eastAsia="Times New Roman" w:cs="Times New Roman"/>
          <w:i/>
          <w:iCs/>
          <w:noProof/>
          <w:sz w:val="24"/>
          <w:szCs w:val="20"/>
        </w:rPr>
        <w:t xml:space="preserve">EUROPOP2023 </w:t>
      </w:r>
      <w:r w:rsidRPr="00507D8A">
        <w:rPr>
          <w:rFonts w:eastAsia="Times New Roman" w:cs="Times New Roman"/>
          <w:noProof/>
          <w:sz w:val="24"/>
          <w:szCs w:val="20"/>
        </w:rPr>
        <w:t xml:space="preserve">prognozēs bāzes gads ir 2022. gads, un Latvijā 2022. gada sākumā </w:t>
      </w:r>
      <w:r w:rsidRPr="00507D8A">
        <w:rPr>
          <w:rFonts w:eastAsia="Times New Roman" w:cs="Times New Roman"/>
          <w:noProof/>
          <w:sz w:val="24"/>
          <w:szCs w:val="24"/>
        </w:rPr>
        <w:t>iedzīvotāju skaits bija 1,88 milj</w:t>
      </w:r>
      <w:r>
        <w:rPr>
          <w:rFonts w:eastAsia="Times New Roman" w:cs="Times New Roman"/>
          <w:noProof/>
          <w:sz w:val="24"/>
          <w:szCs w:val="24"/>
        </w:rPr>
        <w:t xml:space="preserve">. </w:t>
      </w:r>
      <w:r w:rsidRPr="00507D8A">
        <w:rPr>
          <w:rFonts w:eastAsia="Times New Roman" w:cs="Times New Roman"/>
          <w:noProof/>
          <w:sz w:val="24"/>
          <w:szCs w:val="24"/>
        </w:rPr>
        <w:t>cilvēku, kas salīdzinājumā, piemēram, ar 2010. gadu ir par 245 tūkst</w:t>
      </w:r>
      <w:r>
        <w:rPr>
          <w:rFonts w:eastAsia="Times New Roman" w:cs="Times New Roman"/>
          <w:noProof/>
          <w:sz w:val="24"/>
          <w:szCs w:val="24"/>
        </w:rPr>
        <w:t>.</w:t>
      </w:r>
      <w:r w:rsidRPr="00507D8A">
        <w:rPr>
          <w:rFonts w:eastAsia="Times New Roman" w:cs="Times New Roman"/>
          <w:noProof/>
          <w:sz w:val="24"/>
          <w:szCs w:val="24"/>
        </w:rPr>
        <w:t xml:space="preserve"> mazāk. Atbilstoši </w:t>
      </w:r>
      <w:r w:rsidRPr="00507D8A">
        <w:rPr>
          <w:rFonts w:eastAsia="Times New Roman" w:cs="Times New Roman"/>
          <w:i/>
          <w:iCs/>
          <w:noProof/>
          <w:sz w:val="24"/>
          <w:szCs w:val="24"/>
        </w:rPr>
        <w:t>Eurostat</w:t>
      </w:r>
      <w:r w:rsidRPr="00507D8A">
        <w:rPr>
          <w:rFonts w:eastAsia="Times New Roman" w:cs="Times New Roman"/>
          <w:noProof/>
          <w:sz w:val="24"/>
          <w:szCs w:val="24"/>
        </w:rPr>
        <w:t xml:space="preserve"> demogrāfiskajām prognozēm Latvijas iedzīvotāju skaits turpinās samazināties, un 2070.</w:t>
      </w:r>
      <w:r>
        <w:rPr>
          <w:rFonts w:eastAsia="Times New Roman" w:cs="Times New Roman"/>
          <w:noProof/>
          <w:sz w:val="24"/>
          <w:szCs w:val="24"/>
        </w:rPr>
        <w:t xml:space="preserve"> </w:t>
      </w:r>
      <w:r w:rsidRPr="00507D8A">
        <w:rPr>
          <w:rFonts w:eastAsia="Times New Roman" w:cs="Times New Roman"/>
          <w:noProof/>
          <w:sz w:val="24"/>
          <w:szCs w:val="24"/>
        </w:rPr>
        <w:t xml:space="preserve">gadā jau būs par trešdaļu mazāk nekā bāzes gadā (skat. 6.1. attēlu). </w:t>
      </w:r>
    </w:p>
    <w:p w14:paraId="2EF7C3CE" w14:textId="77777777" w:rsidR="00507D8A" w:rsidRPr="00507D8A" w:rsidRDefault="00507D8A" w:rsidP="00507D8A">
      <w:pPr>
        <w:autoSpaceDE w:val="0"/>
        <w:autoSpaceDN w:val="0"/>
        <w:adjustRightInd w:val="0"/>
        <w:spacing w:after="120"/>
        <w:rPr>
          <w:rFonts w:eastAsia="Times New Roman" w:cs="Times New Roman"/>
          <w:bCs/>
          <w:sz w:val="24"/>
          <w:szCs w:val="20"/>
        </w:rPr>
        <w:sectPr w:rsidR="00507D8A" w:rsidRPr="00507D8A" w:rsidSect="00162345">
          <w:headerReference w:type="even" r:id="rId32"/>
          <w:footerReference w:type="even" r:id="rId33"/>
          <w:headerReference w:type="first" r:id="rId34"/>
          <w:type w:val="continuous"/>
          <w:pgSz w:w="11906" w:h="16838"/>
          <w:pgMar w:top="1134" w:right="1134" w:bottom="1134" w:left="1701" w:header="0" w:footer="624" w:gutter="0"/>
          <w:cols w:space="709"/>
          <w:docGrid w:linePitch="381"/>
        </w:sectPr>
      </w:pPr>
      <w:r w:rsidRPr="00507D8A">
        <w:rPr>
          <w:rFonts w:eastAsia="Times New Roman" w:cs="Times New Roman"/>
          <w:noProof/>
          <w:sz w:val="24"/>
          <w:szCs w:val="20"/>
        </w:rPr>
        <w:drawing>
          <wp:anchor distT="0" distB="0" distL="114300" distR="114300" simplePos="0" relativeHeight="251707392" behindDoc="0" locked="0" layoutInCell="1" allowOverlap="1" wp14:anchorId="5EAF26E9" wp14:editId="0074A9CA">
            <wp:simplePos x="0" y="0"/>
            <wp:positionH relativeFrom="column">
              <wp:posOffset>-191135</wp:posOffset>
            </wp:positionH>
            <wp:positionV relativeFrom="margin">
              <wp:posOffset>3578860</wp:posOffset>
            </wp:positionV>
            <wp:extent cx="3194050" cy="2091690"/>
            <wp:effectExtent l="0" t="0" r="6350" b="0"/>
            <wp:wrapTopAndBottom/>
            <wp:docPr id="292010311" name="Chart 1">
              <a:extLst xmlns:a="http://schemas.openxmlformats.org/drawingml/2006/main">
                <a:ext uri="{FF2B5EF4-FFF2-40B4-BE49-F238E27FC236}">
                  <a16:creationId xmlns:a16="http://schemas.microsoft.com/office/drawing/2014/main" id="{8D3FDB0E-5709-4873-BC5C-9E8D655AC6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Pr="00507D8A">
        <w:rPr>
          <w:rFonts w:eastAsia="Times New Roman" w:cs="Times New Roman"/>
          <w:noProof/>
          <w:sz w:val="24"/>
          <w:szCs w:val="20"/>
        </w:rPr>
        <w:drawing>
          <wp:anchor distT="0" distB="0" distL="114300" distR="114300" simplePos="0" relativeHeight="251708416" behindDoc="0" locked="0" layoutInCell="1" allowOverlap="1" wp14:anchorId="16A26880" wp14:editId="6F8FC03A">
            <wp:simplePos x="0" y="0"/>
            <wp:positionH relativeFrom="column">
              <wp:posOffset>3060065</wp:posOffset>
            </wp:positionH>
            <wp:positionV relativeFrom="page">
              <wp:posOffset>4349750</wp:posOffset>
            </wp:positionV>
            <wp:extent cx="2940050" cy="2038350"/>
            <wp:effectExtent l="0" t="0" r="0" b="0"/>
            <wp:wrapTopAndBottom/>
            <wp:docPr id="590850083" name="Chart 1">
              <a:extLst xmlns:a="http://schemas.openxmlformats.org/drawingml/2006/main">
                <a:ext uri="{FF2B5EF4-FFF2-40B4-BE49-F238E27FC236}">
                  <a16:creationId xmlns:a16="http://schemas.microsoft.com/office/drawing/2014/main" id="{618E4F87-1606-4D2A-8620-AFCD5C6D89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721F790B" w14:textId="60CF6C03" w:rsidR="00507D8A" w:rsidRPr="004576B5" w:rsidRDefault="00507D8A" w:rsidP="00507D8A">
      <w:pPr>
        <w:spacing w:before="240"/>
        <w:ind w:left="720" w:firstLine="0"/>
        <w:jc w:val="center"/>
        <w:rPr>
          <w:rFonts w:eastAsia="Calibri" w:cs="Times New Roman"/>
          <w:b/>
          <w:i/>
          <w:iCs/>
          <w:sz w:val="24"/>
          <w:szCs w:val="24"/>
        </w:rPr>
      </w:pPr>
      <w:r w:rsidRPr="004576B5">
        <w:rPr>
          <w:rFonts w:eastAsia="Calibri" w:cs="Times New Roman"/>
          <w:b/>
          <w:i/>
          <w:iCs/>
          <w:sz w:val="24"/>
          <w:szCs w:val="24"/>
        </w:rPr>
        <w:t>6.1. att. Iedzīvotāju skaits</w:t>
      </w:r>
      <w:r w:rsidRPr="004576B5">
        <w:rPr>
          <w:rFonts w:eastAsia="Calibri" w:cs="Times New Roman"/>
          <w:b/>
          <w:i/>
          <w:iCs/>
          <w:sz w:val="24"/>
          <w:szCs w:val="24"/>
        </w:rPr>
        <w:br/>
        <w:t xml:space="preserve">(Datu avots: </w:t>
      </w:r>
      <w:r w:rsidRPr="004576B5">
        <w:rPr>
          <w:rFonts w:eastAsia="Calibri" w:cs="Times New Roman"/>
          <w:b/>
          <w:i/>
          <w:iCs/>
          <w:noProof/>
          <w:sz w:val="24"/>
          <w:szCs w:val="24"/>
        </w:rPr>
        <w:t>Eurostat</w:t>
      </w:r>
      <w:r w:rsidRPr="004576B5">
        <w:rPr>
          <w:rFonts w:eastAsia="Calibri" w:cs="Times New Roman"/>
          <w:b/>
          <w:i/>
          <w:iCs/>
          <w:sz w:val="24"/>
          <w:szCs w:val="24"/>
        </w:rPr>
        <w:t>)</w:t>
      </w:r>
    </w:p>
    <w:p w14:paraId="3C739894" w14:textId="77777777" w:rsidR="00507D8A" w:rsidRPr="004576B5" w:rsidRDefault="00507D8A" w:rsidP="00507D8A">
      <w:pPr>
        <w:rPr>
          <w:rFonts w:eastAsia="Times New Roman" w:cs="Times New Roman"/>
          <w:bCs/>
          <w:i/>
          <w:iCs/>
          <w:sz w:val="24"/>
          <w:szCs w:val="20"/>
        </w:rPr>
      </w:pPr>
    </w:p>
    <w:p w14:paraId="39B129BA" w14:textId="28DE2341" w:rsidR="00507D8A" w:rsidRPr="004576B5" w:rsidRDefault="00507D8A" w:rsidP="00507D8A">
      <w:pPr>
        <w:spacing w:before="60"/>
        <w:ind w:firstLine="0"/>
        <w:jc w:val="center"/>
        <w:rPr>
          <w:rFonts w:eastAsia="Calibri" w:cs="Times New Roman"/>
          <w:b/>
          <w:i/>
          <w:iCs/>
          <w:sz w:val="24"/>
          <w:szCs w:val="24"/>
        </w:rPr>
      </w:pPr>
      <w:r w:rsidRPr="004576B5">
        <w:rPr>
          <w:rFonts w:eastAsia="Calibri" w:cs="Times New Roman"/>
          <w:b/>
          <w:i/>
          <w:iCs/>
          <w:sz w:val="24"/>
          <w:szCs w:val="24"/>
        </w:rPr>
        <w:t>6.2. att. 65+ iedzīvotāju attiecība pret</w:t>
      </w:r>
      <w:r w:rsidRPr="004576B5">
        <w:rPr>
          <w:rFonts w:eastAsia="Calibri" w:cs="Times New Roman"/>
          <w:b/>
          <w:i/>
          <w:iCs/>
          <w:sz w:val="24"/>
          <w:szCs w:val="24"/>
        </w:rPr>
        <w:br/>
        <w:t>15-64 iedzīvotāju skaitu, %</w:t>
      </w:r>
      <w:r w:rsidRPr="004576B5">
        <w:rPr>
          <w:rFonts w:eastAsia="Calibri" w:cs="Times New Roman"/>
          <w:b/>
          <w:i/>
          <w:iCs/>
          <w:sz w:val="24"/>
          <w:szCs w:val="24"/>
        </w:rPr>
        <w:br/>
        <w:t xml:space="preserve">(Datu avots: </w:t>
      </w:r>
      <w:r w:rsidRPr="004576B5">
        <w:rPr>
          <w:rFonts w:eastAsia="Calibri" w:cs="Times New Roman"/>
          <w:b/>
          <w:i/>
          <w:iCs/>
          <w:noProof/>
          <w:sz w:val="24"/>
          <w:szCs w:val="24"/>
        </w:rPr>
        <w:t>Eurostat</w:t>
      </w:r>
      <w:r w:rsidRPr="004576B5">
        <w:rPr>
          <w:rFonts w:eastAsia="Calibri" w:cs="Times New Roman"/>
          <w:b/>
          <w:i/>
          <w:iCs/>
          <w:sz w:val="24"/>
          <w:szCs w:val="24"/>
        </w:rPr>
        <w:t>)</w:t>
      </w:r>
    </w:p>
    <w:p w14:paraId="5C9A94BE" w14:textId="77777777" w:rsidR="00507D8A" w:rsidRPr="00507D8A" w:rsidRDefault="00507D8A" w:rsidP="00507D8A">
      <w:pPr>
        <w:spacing w:before="60"/>
        <w:ind w:firstLine="0"/>
        <w:jc w:val="center"/>
        <w:rPr>
          <w:rFonts w:eastAsia="Calibri" w:cs="Times New Roman"/>
          <w:b/>
          <w:sz w:val="24"/>
          <w:szCs w:val="24"/>
        </w:rPr>
      </w:pPr>
    </w:p>
    <w:p w14:paraId="31492480" w14:textId="77777777" w:rsidR="00507D8A" w:rsidRPr="00507D8A" w:rsidRDefault="00507D8A" w:rsidP="00507D8A">
      <w:pPr>
        <w:spacing w:before="60"/>
        <w:ind w:firstLine="0"/>
        <w:jc w:val="center"/>
        <w:rPr>
          <w:rFonts w:eastAsia="Calibri" w:cs="Times New Roman"/>
          <w:b/>
          <w:sz w:val="24"/>
          <w:szCs w:val="24"/>
        </w:rPr>
        <w:sectPr w:rsidR="00507D8A" w:rsidRPr="00507D8A" w:rsidSect="00162345">
          <w:type w:val="continuous"/>
          <w:pgSz w:w="11906" w:h="16838"/>
          <w:pgMar w:top="1418" w:right="1134" w:bottom="709" w:left="1418" w:header="709" w:footer="709" w:gutter="0"/>
          <w:cols w:num="2" w:space="709"/>
          <w:titlePg/>
          <w:docGrid w:linePitch="381"/>
        </w:sectPr>
      </w:pPr>
    </w:p>
    <w:p w14:paraId="5E0A166B" w14:textId="77777777" w:rsidR="00507D8A" w:rsidRPr="00507D8A" w:rsidRDefault="00507D8A" w:rsidP="00507D8A">
      <w:pPr>
        <w:spacing w:after="120"/>
        <w:rPr>
          <w:rFonts w:eastAsia="Times New Roman" w:cs="Times New Roman"/>
          <w:bCs/>
          <w:sz w:val="24"/>
          <w:szCs w:val="20"/>
          <w:highlight w:val="yellow"/>
        </w:rPr>
      </w:pPr>
      <w:r w:rsidRPr="00507D8A">
        <w:rPr>
          <w:rFonts w:eastAsia="Times New Roman" w:cs="Times New Roman"/>
          <w:bCs/>
          <w:sz w:val="24"/>
          <w:szCs w:val="20"/>
        </w:rPr>
        <w:t>Sagatavojot demogrāfiskās prognozes Latvijai, tika ņemts vērā, ka:</w:t>
      </w:r>
    </w:p>
    <w:p w14:paraId="440AF17E" w14:textId="77777777" w:rsidR="00507D8A" w:rsidRPr="00507D8A" w:rsidRDefault="00507D8A" w:rsidP="004F034A">
      <w:pPr>
        <w:numPr>
          <w:ilvl w:val="0"/>
          <w:numId w:val="28"/>
        </w:numPr>
        <w:spacing w:after="120"/>
        <w:ind w:left="1497" w:hanging="357"/>
        <w:rPr>
          <w:rFonts w:eastAsia="Times New Roman" w:cs="Times New Roman"/>
          <w:bCs/>
          <w:sz w:val="24"/>
          <w:szCs w:val="20"/>
        </w:rPr>
      </w:pPr>
      <w:r w:rsidRPr="00507D8A">
        <w:rPr>
          <w:rFonts w:eastAsia="Times New Roman" w:cs="Times New Roman"/>
          <w:sz w:val="24"/>
          <w:szCs w:val="24"/>
          <w:lang w:eastAsia="lv-LV"/>
        </w:rPr>
        <w:t>summārais dzimstības koeficients pieaugs no 1,53 2022. gadā līdz 1,72 2100. gadā;</w:t>
      </w:r>
    </w:p>
    <w:p w14:paraId="72DF5AD1" w14:textId="1720200D" w:rsidR="00507D8A" w:rsidRPr="00507D8A" w:rsidRDefault="00507D8A" w:rsidP="004F034A">
      <w:pPr>
        <w:numPr>
          <w:ilvl w:val="0"/>
          <w:numId w:val="28"/>
        </w:numPr>
        <w:spacing w:afterLines="60" w:after="144"/>
        <w:rPr>
          <w:rFonts w:eastAsia="Times New Roman" w:cs="Times New Roman"/>
          <w:sz w:val="24"/>
          <w:szCs w:val="24"/>
          <w:lang w:eastAsia="lv-LV"/>
        </w:rPr>
      </w:pPr>
      <w:r w:rsidRPr="00507D8A">
        <w:rPr>
          <w:rFonts w:eastAsia="Times New Roman" w:cs="Times New Roman"/>
          <w:sz w:val="24"/>
          <w:szCs w:val="24"/>
          <w:lang w:eastAsia="lv-LV"/>
        </w:rPr>
        <w:t>dabiskais pieaugums Latvijā ilgstoši saglabāsies negatīvs – līdz pat 2100. gadam. Aktuālie statistikas dati liecina, ka 2023. gadā mirušo skaits bija divreiz jeb par 13 345 cilvēkiem lielāks nekā dzimušo skaits, kas ir vērojams jau kopš 2021.</w:t>
      </w:r>
      <w:r w:rsidR="005B6B24">
        <w:rPr>
          <w:rFonts w:eastAsia="Times New Roman" w:cs="Times New Roman"/>
          <w:sz w:val="24"/>
          <w:szCs w:val="24"/>
          <w:lang w:eastAsia="lv-LV"/>
        </w:rPr>
        <w:t xml:space="preserve"> </w:t>
      </w:r>
      <w:r w:rsidRPr="00507D8A">
        <w:rPr>
          <w:rFonts w:eastAsia="Times New Roman" w:cs="Times New Roman"/>
          <w:sz w:val="24"/>
          <w:szCs w:val="24"/>
          <w:lang w:eastAsia="lv-LV"/>
        </w:rPr>
        <w:t>gada. Savukārt, dzimušo skaits Latvijā turpina samazināties, piemēram, 2023. gadā piedzima 14 121 bērns, kas ir par 11,5% jeb 1 833 jaundzimušajiem mazāk nekā 2022. gadā;</w:t>
      </w:r>
    </w:p>
    <w:p w14:paraId="4F063231" w14:textId="04C4192D" w:rsidR="00507D8A" w:rsidRDefault="00507D8A" w:rsidP="004F034A">
      <w:pPr>
        <w:numPr>
          <w:ilvl w:val="0"/>
          <w:numId w:val="28"/>
        </w:numPr>
        <w:spacing w:afterLines="60" w:after="144"/>
        <w:rPr>
          <w:rFonts w:eastAsia="Times New Roman" w:cs="Times New Roman"/>
          <w:sz w:val="24"/>
          <w:szCs w:val="24"/>
          <w:lang w:eastAsia="lv-LV"/>
        </w:rPr>
      </w:pPr>
      <w:r w:rsidRPr="00507D8A">
        <w:rPr>
          <w:rFonts w:eastAsia="Times New Roman" w:cs="Times New Roman"/>
          <w:sz w:val="24"/>
          <w:szCs w:val="24"/>
          <w:lang w:eastAsia="lv-LV"/>
        </w:rPr>
        <w:t xml:space="preserve">65+ iedzīvotāju attiecības pret iedzīvotāju skaitu darbspējas vecumā (15-64) </w:t>
      </w:r>
      <w:r w:rsidRPr="00507D8A">
        <w:rPr>
          <w:rFonts w:eastAsia="Times New Roman" w:cs="Times New Roman"/>
          <w:noProof/>
          <w:sz w:val="24"/>
          <w:szCs w:val="24"/>
          <w:lang w:eastAsia="lv-LV"/>
        </w:rPr>
        <w:t>(</w:t>
      </w:r>
      <w:r w:rsidRPr="00507D8A">
        <w:rPr>
          <w:rFonts w:eastAsia="Times New Roman" w:cs="Times New Roman"/>
          <w:i/>
          <w:iCs/>
          <w:noProof/>
          <w:sz w:val="24"/>
          <w:szCs w:val="24"/>
          <w:lang w:eastAsia="lv-LV"/>
        </w:rPr>
        <w:t>old-age dependency ratio</w:t>
      </w:r>
      <w:r w:rsidRPr="00507D8A">
        <w:rPr>
          <w:rFonts w:eastAsia="Times New Roman" w:cs="Times New Roman"/>
          <w:noProof/>
          <w:sz w:val="24"/>
          <w:szCs w:val="24"/>
          <w:lang w:eastAsia="lv-LV"/>
        </w:rPr>
        <w:t>)</w:t>
      </w:r>
      <w:r w:rsidRPr="00507D8A">
        <w:rPr>
          <w:rFonts w:eastAsia="Times New Roman" w:cs="Times New Roman"/>
          <w:sz w:val="24"/>
          <w:szCs w:val="24"/>
          <w:lang w:eastAsia="lv-LV"/>
        </w:rPr>
        <w:t xml:space="preserve"> palielināšanās, augstāko īpatsvaru </w:t>
      </w:r>
      <w:r w:rsidRPr="00507D8A">
        <w:rPr>
          <w:rFonts w:eastAsia="Times New Roman" w:cs="Times New Roman"/>
          <w:sz w:val="24"/>
          <w:szCs w:val="24"/>
          <w:lang w:eastAsia="lv-LV"/>
        </w:rPr>
        <w:softHyphen/>
        <w:t xml:space="preserve">– 63% no darbspējas vecuma iedzīvotājiem sasniedzot 2059. gadā (skat. 6.2. attēlu). Ilgtermiņā vecāka gadagājuma iedzīvotāju īpatsvara palielināšanos ietekmēs mūža ilguma palielināšanās, kas saskaņā ar </w:t>
      </w:r>
      <w:r w:rsidRPr="00507D8A">
        <w:rPr>
          <w:rFonts w:eastAsia="Times New Roman" w:cs="Times New Roman"/>
          <w:i/>
          <w:iCs/>
          <w:noProof/>
          <w:sz w:val="24"/>
          <w:szCs w:val="24"/>
          <w:lang w:eastAsia="lv-LV"/>
        </w:rPr>
        <w:t>Eurostat</w:t>
      </w:r>
      <w:r w:rsidRPr="00507D8A">
        <w:rPr>
          <w:rFonts w:eastAsia="Times New Roman" w:cs="Times New Roman"/>
          <w:sz w:val="24"/>
          <w:szCs w:val="24"/>
          <w:lang w:eastAsia="lv-LV"/>
        </w:rPr>
        <w:t xml:space="preserve"> prognozēm Latvijā </w:t>
      </w:r>
      <w:r w:rsidRPr="00507D8A">
        <w:rPr>
          <w:rFonts w:eastAsia="Times New Roman" w:cs="Times New Roman"/>
          <w:sz w:val="24"/>
          <w:szCs w:val="24"/>
          <w:lang w:eastAsia="lv-LV"/>
        </w:rPr>
        <w:lastRenderedPageBreak/>
        <w:t xml:space="preserve">vīriešiem pieaugs no vidēji 71,4 gadiem 2022. gadā līdz 87,5 gadiem 2100. gadā, savukārt sievietēm palielināsies no vidēji 80,6 gadiem 2022. gadā līdz 92 gadiem 2100. gadā. Tāpat arī 65+ attiecības palielināšanos pret 15-64 iedzīvotājiem ilgtermiņā ietekmēs iedzīvotāju darbspējas vecumā skaita </w:t>
      </w:r>
      <w:r w:rsidR="000F5AFF" w:rsidRPr="00507D8A">
        <w:rPr>
          <w:rFonts w:eastAsia="Times New Roman" w:cs="Times New Roman"/>
          <w:noProof/>
          <w:sz w:val="24"/>
          <w:szCs w:val="20"/>
        </w:rPr>
        <w:drawing>
          <wp:anchor distT="0" distB="0" distL="114300" distR="114300" simplePos="0" relativeHeight="251709440" behindDoc="0" locked="0" layoutInCell="1" allowOverlap="1" wp14:anchorId="78CE7295" wp14:editId="66FEF600">
            <wp:simplePos x="0" y="0"/>
            <wp:positionH relativeFrom="margin">
              <wp:posOffset>-184785</wp:posOffset>
            </wp:positionH>
            <wp:positionV relativeFrom="page">
              <wp:posOffset>1888694</wp:posOffset>
            </wp:positionV>
            <wp:extent cx="2978150" cy="2303780"/>
            <wp:effectExtent l="0" t="0" r="0" b="0"/>
            <wp:wrapSquare wrapText="bothSides"/>
            <wp:docPr id="1733437853" name="Chart 1">
              <a:extLst xmlns:a="http://schemas.openxmlformats.org/drawingml/2006/main">
                <a:ext uri="{FF2B5EF4-FFF2-40B4-BE49-F238E27FC236}">
                  <a16:creationId xmlns:a16="http://schemas.microsoft.com/office/drawing/2014/main" id="{743B9205-8D50-44A8-8BA9-24579E178C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V relativeFrom="margin">
              <wp14:pctHeight>0</wp14:pctHeight>
            </wp14:sizeRelV>
          </wp:anchor>
        </w:drawing>
      </w:r>
      <w:r w:rsidR="006D0B71" w:rsidRPr="00507D8A">
        <w:rPr>
          <w:rFonts w:eastAsia="Times New Roman" w:cs="Times New Roman"/>
          <w:noProof/>
          <w:color w:val="2A7B9B"/>
          <w:sz w:val="24"/>
          <w:szCs w:val="20"/>
        </w:rPr>
        <mc:AlternateContent>
          <mc:Choice Requires="wpg">
            <w:drawing>
              <wp:anchor distT="0" distB="0" distL="114300" distR="114300" simplePos="0" relativeHeight="251710464" behindDoc="0" locked="0" layoutInCell="1" allowOverlap="1" wp14:anchorId="049AB7CE" wp14:editId="094AE73F">
                <wp:simplePos x="0" y="0"/>
                <wp:positionH relativeFrom="column">
                  <wp:posOffset>2767965</wp:posOffset>
                </wp:positionH>
                <wp:positionV relativeFrom="page">
                  <wp:posOffset>1917700</wp:posOffset>
                </wp:positionV>
                <wp:extent cx="3333750" cy="2202180"/>
                <wp:effectExtent l="0" t="0" r="0" b="0"/>
                <wp:wrapSquare wrapText="bothSides"/>
                <wp:docPr id="1612878150" name="Group 1"/>
                <wp:cNvGraphicFramePr/>
                <a:graphic xmlns:a="http://schemas.openxmlformats.org/drawingml/2006/main">
                  <a:graphicData uri="http://schemas.microsoft.com/office/word/2010/wordprocessingGroup">
                    <wpg:wgp>
                      <wpg:cNvGrpSpPr/>
                      <wpg:grpSpPr>
                        <a:xfrm>
                          <a:off x="0" y="0"/>
                          <a:ext cx="3333750" cy="2202180"/>
                          <a:chOff x="0" y="0"/>
                          <a:chExt cx="5698524" cy="3943351"/>
                        </a:xfrm>
                      </wpg:grpSpPr>
                      <wpg:graphicFrame>
                        <wpg:cNvPr id="1772581229" name="Chart 1772581229"/>
                        <wpg:cNvFrPr>
                          <a:graphicFrameLocks/>
                        </wpg:cNvFrPr>
                        <wpg:xfrm>
                          <a:off x="2974797" y="0"/>
                          <a:ext cx="2723727" cy="3938692"/>
                        </wpg:xfrm>
                        <a:graphic>
                          <a:graphicData uri="http://schemas.openxmlformats.org/drawingml/2006/chart">
                            <c:chart xmlns:c="http://schemas.openxmlformats.org/drawingml/2006/chart" xmlns:r="http://schemas.openxmlformats.org/officeDocument/2006/relationships" r:id="rId38"/>
                          </a:graphicData>
                        </a:graphic>
                      </wpg:graphicFrame>
                      <wpg:graphicFrame>
                        <wpg:cNvPr id="1052059135" name="Chart 1052059135"/>
                        <wpg:cNvFrPr>
                          <a:graphicFrameLocks/>
                        </wpg:cNvFrPr>
                        <wpg:xfrm>
                          <a:off x="0" y="6564"/>
                          <a:ext cx="3073577" cy="3936787"/>
                        </wpg:xfrm>
                        <a:graphic>
                          <a:graphicData uri="http://schemas.openxmlformats.org/drawingml/2006/chart">
                            <c:chart xmlns:c="http://schemas.openxmlformats.org/drawingml/2006/chart" xmlns:r="http://schemas.openxmlformats.org/officeDocument/2006/relationships" r:id="rId39"/>
                          </a:graphicData>
                        </a:graphic>
                      </wpg:graphicFrame>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E2657DA" id="Group 1" o:spid="_x0000_s1026" style="position:absolute;margin-left:217.95pt;margin-top:151pt;width:262.5pt;height:173.4pt;z-index:251710464;mso-position-vertical-relative:page;mso-width-relative:margin;mso-height-relative:margin" coordsize="56985,39433" o:gfxdata="UEsDBBQABgAIAAAAIQAvmHpBeAEAAAIGAAATAAAAW0NvbnRlbnRfVHlwZXNdLnhtbMSUz07DMAzG&#10;70i8Q5UrarPtgBBatwMdR0BoPECUuGtFmlRx1m1vj/tnmjYxiDYkLq3a5PPvi+14Ot9WOmrAYWlN&#10;ysbJiEVgpFWlWaXsY/kcP7AIvTBKaGsgZTtANp/d3kyXuxowIrXBlBXe14+coyygEpjYGgyt5NZV&#10;wtOnW/FayE+xAj4Zje65tMaD8bFvY7DZNINcrLWPFlv63TtxoJFFT/3GlpUyUde6lMKTU94YdUKJ&#10;B0JCym4PFmWNd2SD8W8J7cp5wKB7pdS4UkH0Jpx/ERXZ4Mohh4nNrEx+jtGarDC2eV5KSDKHi061&#10;93QutiyIhbx7jQMQx9kecMrKdUU5TpQTGypmpZMuYCAc/U5DCPxwvt52qwtkSKutwwsgvTCE5Kkf&#10;gXfPfbZDeD9n9Chc6Fnbmk7+s5gh8KuLeQHkqmKG8P6wmMNdQhoB3aW6vpdObicWgibibz2l7MY4&#10;aAK66VBQmj4Zyd6h2Ufn3QSffQE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MEN2pYqAgAANQUAABkAAABkcnMvZHJhd2luZ3MvZHJhd2luZzEueG1spJRLj9ow&#10;EID/iuV7iPOERASpQFJVWrWoVL27jgNRkzi1DYRd7X/vOI/tthwqQQ6xx57nN7aXLD4pLvdH2nKF&#10;urpqVMwSfNS6jW1bsSOvqZqJljewVwhZUw2iPNi5pJeyOdSV7RIS2uxIpcarJctlLHm1L5/5h4Yd&#10;hZx85vJer9sh0ui8kKIewnQrsrRNvG6QrysyI543Xwyr19Uw/jHQYjJ0bg0jh/xjOKmrFtWUSZFg&#10;jDTvdFU2P2E++GrO+3Ynhzn7fN5JVOYJdjFqaM0T/A3016JDDqjTGIQnpUci9A4eNS2byRM6yTLB&#10;L1nmroM0860MZpZP1r61Tv3IylxvkbrzbON64auxccKYSU51KZpP+ZSDE95kUZdQqxKFnjFR26Io&#10;SsanbkOvHd/us+jrfMnWi8DZko0VhE5qpSBabrrZWHNCtlt/GwVRNH/FNrSir34agcLYnZ7ZGz7D&#10;EukOiCXY6c1Mf98zVj1tGneFrKcibkr4/3F9Awn1IQhGMLpCSM8hTmTi9tkiBjseWYQLEmDEQMGF&#10;LyBjPSYFo9lKpT9y8XA6yDhKsOTMXCQa0zNgGtBNIUZoAwSDxrDK4aTT+AeMAG+4wXefLXTmUn+B&#10;X1GJS4JZVbYYXSRtE6x+najkGEldbURlkPWcKqX3+lrxRyP3ztpHvfSda/IdlfQr0Khoc0hwdbae&#10;vmOknqHDDpna144wJ4T9U6Km1b/eMKP57plc/QYAAP//AwBQSwMEFAAGAAgAAAAhAJ1taQMpAgAA&#10;gQYAAA4AAABkcnMvZTJvRG9jLnhtbOxVy46bMBTdV+o/WN43gAlPhcyiaUaVqjbStB/gGvNQASPb&#10;GTJ/32vDkAxJNdWoy2bhxL74+J4Hzubu1DbokUtViy7D3srFiHdM5HVXZvjH9/2HGCOlaZfTRnQ8&#10;w09c4bvt+3eboU85EZVoci4RgHQqHfoMV1r3qeMoVvGWqpXoeQfFQsiWapjK0sklHQC9bRziuqEz&#10;CJn3UjCuFKzuxiLeWvyi4Ex/KwrFNWoyDL1pO0o7/jSjs93QtJS0r2o2tUHf0EVL6w4OnaF2VFN0&#10;lPUVVFszKZQo9IqJ1hFFUTNuOQAbz12wuZfi2FsuZTqU/SwTSLvQ6c2w7Ovjvewf+oMEJYa+BC3s&#10;zHA5FbI139AlOlnJnmbJ+EkjBos+fKIAlGVQI8QlXjyJyipQ/mofqz5NO4MwiQOyHnf6ydr3A8/Y&#10;4Twf7LxoZ5xYn/aStnzsFto/SFTnEL0oIkHsEZJg1EE9wx8rKjW6WJ8Ywp69PMgLtyzgF8F+KXO+&#10;OWl+xkwWOpAkWkdJhNG1GiQifkSgZNTwEz8OE2I5XcJMabs4/49peT3+zJCEiLDU/poiwq4C8rdI&#10;EwC8IYuE3QAY07sT7NjyTo+vo+QN1XAXqKruFUYyNd7Iz/mztRN5w9haPYsxub00eKrfttwNiBsk&#10;nh8sLD+v/yPLId9gaBiE6/HCmNPvRn4Qnf0Oozj677fxe4z9i/vwVb9tBOCeu3zwZlDO/xzb3wAA&#10;AP//AwBQSwMEFAAGAAgAAAAhAG9PUUrACgAAWSkAABUAAABkcnMvY2hhcnRzL2NoYXJ0MS54bWzs&#10;Wulu3MgR/h8g7zChDSyQxWh4H7MeOdJIWhuRD1i2AwQLGD1kz4grDkmTHFnyYoG8Q94wT5Kv+uAc&#10;VsuSnUV2AduAptlHse4qVvWjx1fLYnDJmzavyonl7NnWgJdpleXlYmK9eX0yjK1B27EyY0VV8ol1&#10;zVvr8f6f//QoHafnrOnOapbyAYCU7TidWOddV49HozY950vW7lU1L7E2r5ol6/DYLEZZwz4A+LIY&#10;ubYdjgQQSwFgXwBgyfJSn2/ucr6az/OUH1XpasnLTmLR8IJ14EB7ntethpY6YeN+AnGZp03VVvNu&#10;L62WIwlMEwVgTjDqqdoHkzLWcSex/cElKyaWbY1osmDlQk7wcvjmTE421arMeDatmhLi2Ni/TMcH&#10;RcebEqCmVdkBa8Wv5Z04vmTNxaoeAt0aRM7yIu+uBdnW/iPAnp5X4MfgFX+/yhveTqzU8dcs8O/L&#10;ADsaxSNXyRXEOv647a4LLglybJeoHfXvFSicsKKYsfSCeLOxud+6XqeDu8ygU2nRPGP1i8tmMFs4&#10;E6voHGvQXWGUXWA0W0CORefSHEbZBUYsTcFI7FADPYN1OdPv8fSMp/eAKXIPGCUHgZ4J9EyoZ0Jr&#10;cF7k5QUYST/WYF4VT+SEHkkFEKZAxHR5V3AxuKK/TZ6e7z9i41mVXb9sBk3VkSIN2jo9yZu2O2Vt&#10;95I1sB1QCkvuXuDPvKg+TCxeFNDnHBpN80Cgaj5agw8NqydW+37FGg5syxTTkHrX6Idph2eHkGLj&#10;ou3OSHzioaaZ+mVDPxmfvwI27Uds9W3gMxNY5eLvamKVcBfkOpr8Am6jrM7EyBpcQJFxBMYvSBDb&#10;Z6zl4Aj22dBJNm6rIs9O8qIQD81iNi0aqT/TyLa9RKjQzjYy4HLQXdd8Do80sb5flsOik0RwtrPA&#10;mVxI252FtFWwJXnQ1J5gQXUDksl6oU6Xw9O3IIHoF8SAfucLscdLAJiI7fbPcn6Z84639OpOICBW&#10;eJmRlInnEgHpOv5nCKzhS6LxV6seBp3QxIJdVyvglI6XrFyx4rR/vnpWZcrEebbgxMR0fH3T5JXy&#10;bHthEESuE8S2HSd2Eghjxxm57O7ZYeKHif4fOcdD6Q523w3k1mhV0HM8qVdILFqlsGVFGiWVuiRe&#10;9xNgdCFm+HzO0+607bALcOVJIl4K55sBTqz/owGuNXTLBElWMFIhMSkp0lftQtmqq17TwxEvYFXZ&#10;lmrURdUdNJyRsq6VaFe35cpr1ix4J4/nJUK01K57K36wF7qxaydxFAa+h0GgNLvXfXsPUTJ2wsiO&#10;4yS2Xd8Xvjgdf1DI78WB53uwHBcW4nhBEklczvV6FIYRpn038bDRDcV5cGWbsi3LmbFmSvkcsQLj&#10;o1w5XIwl8AXykxqJm3xHWqxapCQ8k4uXrLmeVkW1lbfAgDhcVzrOM2X0io6qybgCrxIi6V4QLF7x&#10;OZ2Y73/HFpyixyrtVg0fuLbrDi5b/Eb2d395OH3okYGKvdg0Zcg36VzdTZFFKSmpt9XdAAjI0JKO&#10;L/cJFB2+FBpTk4ulrEMDkQ8CDwwVYsqFmOPSyQmS2VC4f1bU50xyCXEBYU4qaCvDmFDWLTjS9dzZ&#10;GeUlxfKn8+d8gYh3qZyu4mPKhADvzsjDh8H44eFD9y7sFGGXeLzNT3vob7NzvYXiITE6+M+//p2Y&#10;Nrlqk2Njl2OE5eltBMwxQvPVNpeguUZogd5G0FwjNJIoEeARNM8ILdLbCJpnhBarbT5B843QEr2N&#10;oPlGaA7lSoK7BC4wgnN6KRC8wAxPCyIkeKEZnpZESPBCMzwtiojgRWZ4WhYRwYvM8LQwYoIXm+Fp&#10;acQELzbD0+JI7O+3dfMWf6AMDB9zxPtytbyjwzomOzvetDOc7d2W/D6eIoXafzf86+DBT4MHD+x3&#10;wx9+2nygFWtoPX6MhXfDv70bEtIbJ4HPtvsz2KsfuEm4TfANFuu4Zs5pRfHjMIpNkLSW+IETC++y&#10;9rfr12kV8W3HbA9aP/wwTGzT67RyhL4dRKZNWjPCIIod0yatFqEd24Fpk7bRMHADI3W9hYaR7xoZ&#10;1dtnmESOkT5HMz0KglvEp7mO5MEzC1mzPXRsbycWrmXj9HyPbbPrczTj/chzzDRqzrt+4hjF42jW&#10;O66/y1Xo+tpi5IOO0coY+RVl7mSWGA1WDb5Ef5l6XmxPp/4wOAqPh76dTIeHx547PI7cIzdBjuRN&#10;p7+uix34Zt8pYH2u2uNvFDrC8arM36/4U5Vk/kLRn/4NI89HlDw5DoexfxQNp8dT1/YO4sQ9PvxV&#10;pAcCZ5GIaCrIB8nsaTeJUqF+I4lSic59k6iTr0qioh1VJYS/Mom65duiHKCc4bj4+kfQu8en27ds&#10;CTHwW7YE3fmWLW188Wx4ee2Zf0/Z0hPKlp78LrIlN0AsMmUBOrN2gygyxlEduN3IcY2QdNx2kyA0&#10;QtJh23OCwBhqddT2HM+cTeigjUzQN75Oa4Ybe5ExZuuQ7dlOZEw4dLaEYoT9+WzJd1AaNLJc89yj&#10;4ohxl2a6l/hm7+dorqMMY/5URDdEfmehmhKb36j5jqJLYsZeMx7Zkr8TQG+wSS8IbvkOW7M+Snbk&#10;8wfOlpyvy5ay01nRkrza8+rDKV+gaPh3vlMQxspbhq7nRkeOdk9Z95wttwsqNH/GmxvnX/KGWkif&#10;wDlczWYFP8s/boKCRHrUFqz+R551ulwnS2iydF1LaLFK8tiVTiZD1w58JwrUR93mQuh4nh2LGiDe&#10;slnIw9fqgSjcb27fgtOmDI2XBTGsanJQI9qgEollXj5jVyo/3diYiUqq3KNST3b1slIty0KSg2T9&#10;ZNmh10WdX/qynVg/clRNWYGeSbUC507RDOMZNU1QIKPa5M9V8zpPL56hXSmBo9eg1vJyd020l8TB&#10;Dmcg9B6BEin060oepFZte6CqjyEKoT2n0DKkNa6wpjLxP3mjjtHTFn3FrDgoFqWcS9EpE2/G7Iv5&#10;vNVVYUfW+vChUj1bFV1+elkAL3lGVgHxUi0RKN+notnCb4Pjt4iGGKfoQydFVRuh/Wu5boqrV6ue&#10;W7MN7v/Y5Bm14aT9qJpnIVJv9GfQ2UypcThHpw3DZQ3ZteUCTUNwRvYPRbtuq3dH9wB4371DR1ak&#10;78VqidaQ4nCgsEYTZrUEP+V0rKdR2xe3CQjKp8VT0TSXBdZbWjgwC6FeWwTeoKGy8PKD+Hmwq6eK&#10;dzfo6VoXYTJ3V1S0aCXzf5sO1TAkfcA/0Wf9nbSKE0LnCzrFt3eIP69loVanbS3z9PTtWvab95bv&#10;3NpSbmvt0ra8+S0uTSwd8u4D58qNzeTDhv2/KXMVzdDQ711J76m+Vk1hhVsNNxGcyfUXYtS7JOVd&#10;t3q5Kkh8LQp/gF6uthBc5rjXXYpvFtI3f6U+kWaRvr3N2xdloVJApUdZ3taHuEZx0R6oBAA5mbQE&#10;XYDbLCMG4WFyPHWOhl6Mbq3v+PEwsZ2TYRQfIei6URRN7c0yYoMrQ/csJEYj29usJTYeXR1jR0AU&#10;/ecXtbid5oQgCrfSsIb55+ygFUSoQEr4j9TyjUdhgKBuq8wo8+Qj5CktXRtCvreTr+ie8I2WR0W5&#10;u2cGfYsTt13orttnw/auteLAZy8kSaAqd7mHWwVj6IZdcQTODRq0rCdW8zSTn36UDr6p6SbfNnM2&#10;zwiurm9E7v8XAAD//wMAUEsDBBQABgAIAAAAIQC4eOzr5wQAABgmAAAVAAAAZHJzL2NoYXJ0cy9z&#10;dHlsZTEueG1s7Fphb9o8EP4rkX9AA/SlBVQqda0mTaLvqm3S+9kkDnhz4ry2GaW/fmcnMXESoIiG&#10;Qbdv5BIlvue5e+585iaQo2COhfqqVox4zzFLwCDHaK5UOvJ9GcxJjOVFTAPBJY/URcBjn0cRDYgf&#10;Crykyczvdbo9f/0WlL8G197CU5LAJyIuYqzkBRez4h0xg7d0rvwY0wR5NByj3vAa3d7A8vAzld+o&#10;YsRcseQLieCB5zHqIN+YIspYzUiiiASqZo54sjbGNOECPoJHxk1yz4T3E7MxUs9dY2aL+JGHme2q&#10;3+mYL+IRmD9HUWa+LMx+6S23Nz4sPP+WWWNIoi9PwpMvY9TV7/F+EJHAb3Bae6Efd/0MsCIzLlZ3&#10;4P05Oy7TJ6ERZom3HKNhv9dHXoDTMYoYVvAzToFrmcyQh9kMEAlUzghnNPwIzL6Snm7Bg0vPoDBX&#10;6AGyyh8QfJGEmge90IyObOHAS4m6YTNzNa5MLtwJgr2Yh5BMmDG+/Jdrdz7/JELQkIC7xjahCSls&#10;WbwfLcLzuCuHacGWA04lOaazrgnZCoTvguBNuWkJzZIZKzzBUwKxCfFxNL5MGpUU6bqIbTfke4W5&#10;EvKbFWlDWIeOm/bqXkfuQh3P9/DHW6vxa8KcqQ1hbgSpLB6V/GharuXEpcoyWKHKSa39NQmYnvJw&#10;BfVGcKXrpCfT4CMVUk2wVE9YQGXuIg+USGnpiUCIQHgZTZE35+KlatPPQSmHO8hbCq3d8v8FFgR5&#10;7FMC6nZ51b++Qp4yF91BbzBAnijfmZbv4CSAV2VC72UX9wquM45lerdQIJQqF6fMj0yRGyNQG584&#10;TV4Xj/ojgI7UzY6t9hi+WBThvJcwTx3cQlQFVld5d7326vLhVfl0QuvPV2w90IWs7sMOuI12mmec&#10;Js5kHoD15gxo7p2GpDfoXxcdiUhC0/VtK37pHMKmqfxt7CAc0i1IFrZHLKAVfDvgdgDeanzX0DXt&#10;3i693ABpTfYcIEuwVaCc4BVUJ0+u4imHVj6gImAgVZK+kDHqa+rKWfgfFSQSOD7D0C310keIXBco&#10;jfk3PD3vPVmhBIlpzCEwdPP/fncpLmchXyYfcIPwZAniyHGx0W5TjreJblNHZVsnt6Oyjda2jqp9&#10;nvccFjj9Hh5tryUl4kLBU1tSjrYPqbY1zbLfyi7fTltc1i3c21nfjmsZS9ijc3FK6dG2MFkEXWAt&#10;3gcA62AJew1+OqLjKL/Wf2to7D7Wi5/BCIdBw/uIv5+QO20HSUszNt3Y1QG1Fj2krffHv6lMtQ1x&#10;Mbtx03BYmA9Iwzqeczrhf1T10Cg2jPCt+QB0XSwJDon4o6C1hcINXFtWDoCWVdAkM5KExxUEszUo&#10;TV6tW663FoSKt6Bv5SH77gMFtvYxZVyd3UmCVvRi4Yap4uLy4axORMp+5PMuSQQl8txP5XaHYMXP&#10;7PKvpI2Rzf1Kku+zh6ugqd7T6fY/+ox0ak4dSmfc+gTC2KZYEt0558f3OsPW7isB0q7v1uXdWDbP&#10;7TcMko8xuchawu6w0wfHzdH2QeO4FI5pHrCcZ38vkCv5wFU+cHaPpg10DmAWvhM4nLRp0lKJbPB1&#10;kZ7Sjn3bQGvj2WK708c9OdlH0dbYwx9oFuT910fXzSWcidc16zftUe0QA1IP/syya6qRrV2ryfov&#10;XLe/AAAA//8DAFBLAwQUAAYACAAAACEAHBSnqAIBAABuAwAAFgAAAGRycy9jaGFydHMvY29sb3Jz&#10;MS54bWyck0FugzAQRa+CfAAMJKEVCtlkXXXRE4wGO1iyPZHtps3ta0ihhapI4N3M139/ZiQf0VdI&#10;mtxbuGuRfBptY8PXrA3hWnHusRUGfGoUOvIkQ4pkOEmpUPDGwYeyF15kecGxBRd6CvvGwB8KXYWN&#10;EZKcgeBTcpeBYXSkZCU3oCxLjAhtzfCOWrBENTXLM3Y6QtVPI87aJTfQNQNEYUPO+L9asaDtFrT9&#10;gnZY0MpOiye9gVMQFNlZ2Q2q380LNY8Nyiy+zsN/m6aIued58PSoVykfqHi+7agV8ePI0/j9hvjD&#10;Bs/T4JnG74b2ik1G1ArPOPI0fmzPUF35871OXwAAAP//AwBQSwMEFAAGAAgAAAAhAD7faUhvBgAA&#10;ABsAABwAAABkcnMvdGhlbWUvdGhlbWVPdmVycmlkZTEueG1s7FlPb9s2FL8P2HcgdG9jJ3aaBHWK&#10;2LGbrU0bJG6HHmmJlthQokDSSX0b2uOAAcO6YYcV2G2HYVuBFtil+zTZOmwd0K+wR1JSyFhe0jbY&#10;iq0+2BL54/v/Hh/py1fupQwdECEpzzpB82IjQCQLeUSzuBPcGg4urARIKpxFmPGMdIIpkcGV9fff&#10;u4zXVEJSchPWChoRBHQyuYY7QaJUvrawIEOYxvIiz0kGc2MuUqzgVcQLkcCHQD9lC4uNxvJCimkW&#10;rAPBkIk9vYqgDKfA6+Z4TENipqL9pkbIqewxgQ4w6wRAIuKHQ3JPBYhhqWCiEzTMJ1hYv7yA14pF&#10;TM1Z66wbmE+xrlgQ7S8aniIeVUybg9bqpc2KvgEwNYvr9/u9frOiZwA4DElWyOLSbA1Wmt2SpgOy&#10;j7O0e412o+XjHfpLMzKvdrvd9mohiyVqQPaxNYNfaSy3NhY9vAFZfHsG3+pu9HrLHt6ALH55Bj+4&#10;tLrc8vEGlDCa7c+gtUMHg4J6BRlztlULXwH4SqOAH6MgGqro0izGPFPzYi3Fd7kYAEADGVY0Q2qa&#10;kzEOISZ7OB0JijUDvEawM2OHQjkzpHkhGQqaq07wYY6zwIG8fPb9y2dP0NH9p0f3fzp68ODo/o+W&#10;kLdqC2exu+rFt5/9+ehj9MeTb148/KIeL138rz988svPn9cDIX2O1Xv+5ePfnj5+/tWnv3/3sAa+&#10;IfDIhQ9pSiS6QQ7RLk9BMWMVX3IyEq+2Yphg6q7YyGKJM6y51NDvq8RD35hiVnjHk6NLfAveFlA+&#10;6oBXJ3c9gfcSMVG0hvO1JPWA25yzLhe1VrimeTlmHk6yuJ65mLi4XYwP6nj3cOb5tz/JoW6WYekp&#10;3kuIJ+YOw5nCMcmIQnqO7xNSo90dSj27btNQcMnHCt2hqItprUmGdORF0/GiLZqCX6Z1OoO/Pdts&#10;30Zdzuq03iQHPhKyArMa4YeEeWa8iicKp3UkhzhlrsGvY5XUCbk3FaGL60sFno4J46gfESnr1twU&#10;oK/j9GsYKlat27fZNPWRQtH9OprXMecucpPv9xKc5nXYPZolLvYDuQ8hitEOV3Xwbe5niH4HP+Bs&#10;rrtvU+K5+/RqcIvGnkjHAaJnJkL7Ekq1V4FTmv1dOWYU6rGNgfMrx1AAn3/9qCay3tZCvAF7Ul0m&#10;bJ0ov/NwJ4tuj4uIvv01dxNPsh0CYT678bwrue9KbvCfL7nz8vmshfa4tkLZ1X2DbYpNi5zO7ZDH&#10;lLE9NWXkujRNsoR9IhrAoF5nDn6kOjHlCTwWdd3DxQKbNUhw9RFVyV6Cc2iwm4EmEsuCdCxRziUc&#10;7MxwLW2NhyZd2WNhWx8YbD2QWG3zyA4v6eHyXFCRMbtNLC1Hy2hJEzgrs6VLBVFQ+3WYNbVQZ+bW&#10;NKKZUudxq1QGH86qBoOVNaEBQdC2gJWX4eitWcPBBDMSabvbvbd0i7HJebpIJhiuCczRva31nvVR&#10;0zipjBVzEwCxU+Mjfcg7xWoOt1VN9g24ncVJLrvWHHal997ES2UEH3tJ5+2JdGSZm5wsQ4edYLW9&#10;2A5QiPNOMIYzLTymOXhd6p4PsxjufkIlbNifmsw6NFyFS8X8JGjCNYW1+4zCXh3IhVSbWCY2NMxU&#10;EQIs05ys/IttMOt5KWAj/TWkWFqBYPjXpAA7+q4l4zEJletsZ0Tbzr4WpZRPFBF7SXSIRmwidjG4&#10;X4cq6BNRCVcTpiLoF7hH09Y2U35xLpLOvb0yODuOWZ7gotzqFC0z2cJNHlcymDdHPNCtVnaj3Kur&#10;YlL+nFRxw/h/poreT+CmYCnSHgjhUlZgpPO1E3ChEg5VKE9oOBDQOJjaAdECd7EwDUEF98XmV5AD&#10;/WtzztIwaQ0HPrVLYyQo7EcqEYTsQFky0XcKsWaxd1mSrCBkIsoRV+ZW7BE5IGyoa+Cy3tsDlECo&#10;m2pSlAGDOxl//nuRQaNYNzluvnk1pNp7bQ78052PTWZQyq/DpqEp7V+JWLOr2vVmebn3uoroieM2&#10;q1Vmhb8VrBZp/5oivOJWayvWjMaL7VI48OKsxjBYNUQ53Pcg/QX7HxUhs/826A11yHehtiL4o0ET&#10;g7CBqL5gGw+kC6QdHEHjZAdtMGlS1rRF66StVm7W59zpVnxPGFtLdhZ/v6Kxq+bMZ+fl4nkau7Cw&#10;Z2s7NtfU4NmTKQpD4/IgYxzj/Wu1/hcAAAD//wMAUEsDBBQABgAIAAAAIQDTMznK5goAAO4sAAAV&#10;AAAAZHJzL2NoYXJ0cy9jaGFydDIueG1s7FrpbtzIEf4fIO/A0AYWyIIaNm/OeuRIM5ZjRD6wsh0g&#10;WMDoIXtmuOohaZKjw4sF8g55gvzOayQvkidJVR+cQ+qJZDtYL2JbkMg+il1nf13Vjx5fLbl1wZq2&#10;qMqRTQ5c22JlVuVFOR/Zb16fOIlttR0tc8qrko3sa9bajw9/+5tH2TBb0KY7q2nGLCBStsNsZC+6&#10;rh4OBm22YEvaHlQ1K6FvVjVL2sFrMx/kDb0E4ks+8Fw3GggitiJAP4LAkhalnt/cZX41mxUZm1TZ&#10;asnKTq6iYZx2IIF2UdStppaRqPFuUFwWWVO11aw7yKrlQBLTTAExEg56rg5BSDntGEndwLqgfGS7&#10;9gAbOS3nsoGVzpsz2dhUqzJn+bhqSlDHxvhlNjziHWtKIDWuyg5WreS1vJPEl7Q5X9UOLLcGJqcF&#10;L7prwbZ9+AhojxcVyMP6nr1fFQ1rR3ZGgrUIgvsKwI0HycBTegVmSTBsu2vOJEPE9ZDbQf9dsYQT&#10;yvmUZucom43B/dB1P07cFQbOynjznNYvLxprOicjm3fEtroreMrP4Wk6Bz3yzsM2eMrP4YlmGQgS&#10;RqgH3QL9sqUf4+sWX48BocgxICj5EOqWULdEuiWyrQUvynMQJP6xrVnF/ygb9JM0AOEKyExXdJyJ&#10;hyv83RTZ4vARHU6r/PpVYzVVh4ZktXV2UjRtd0rb7hVtwHeAU/Dk7iX8mvHqcmQzzsGeC7BobIcF&#10;VM0H27psaD2y2/cr2jBYbZlBM2i9a/TLuIN3gouiQ952Z6g+8VJjS/2qwT85m30Pq2k/wNDAhfVM&#10;xaoK8Xs1sksIFxg6muIcwkZZnYkn2zoHQ4Yp4PyCBTF8SlsGEoFxLtgkHbYVL/KTgnPx0synY95I&#10;+/GO4uP0WJjQzjB04NLqrms2g4g0sr9dlg7vJBOM7nQwKjuydqcjaxVtyR5Yas+w4LoBltF7wZwu&#10;nNO3wALyL5gB/kEBvxD/sExYGoqrO3z7z380BfvX3wtcfCdYED2szNFOUGuSBRl8viAW1iuUgoff&#10;2vzhoRPewOl1tQKusuGSlivKT/v3q+dVrsIMy+cMFZkNr29rvFLR9YD4IfFiN4wj+IlJ4qtJKlgd&#10;pD4Jo/X/J44MSbvfhsWtl1WBr8Gb+oQk2CqnKSu0aulYJWqrbwBVcdHCZjOWdadtB6OArpyJzEv1&#10;fg0CI/sXDAJrC90KA6grCBRCY1JTaK86jNNVV73GlwnjrGP5lmnUvOqOGkbRWNdGtGvbsuc1beas&#10;k9OLEmCCtK57G356QOLUjYP+x1OWDf6iFndAXLB9cA/XTYMgTNxAfutS90cBISRIg8R3wXnAjWT/&#10;QvfHYZiEkRcFURr7SRLcwXOmtBkjpkRRwPOkUEEfniXxOWCkGsCj/EbGVy3AIpbLzgvaXI8rXm1h&#10;J3AgBsEvGxa5dno5umpypsgrUCbDC2xY37MZzpgdfkPnDHewVdatGmZ5rudZFy38jd1vfvdw/NBH&#10;BxVjYdCYAubFeXU3BiSntCR2UWyzYAFye8uGF4dICidfCIupMUgj8tFE5ItYBzyqhakQYt4bQVPp&#10;yYmNYYXyekGllGBvgq1WGmgrt1JhrFt0eGkBXMBQCLtyJuEBPCzrHIBCORc07xyqihLRxrPZCzaH&#10;PflChWQl5YwK9d5dzMcPw+HD44feXYSdSt3uStt1gm1hrxVCgDVUQ/jvv/4tNQ3y1CDiwihipOXr&#10;YUiMGKkFapiH1DwjtVAPQ2qekVqkhvlIzTdSi/UwpOYbqSVqWIDUAiO1VA9DaoGRGkE0J6SL5EIj&#10;OdJrAemFZnpaERHSi8z0tCYipBeZ6WlVxEgvNtPTuoiRXmymp5WRIL3ETE9rI0F6iZmeVkfqfrtt&#10;m3uihXIwOG6i7MvV8o7hbIJ+Ntn0M5jbBzV5gh8DwDp85/zeevCD9eCB+8757ofNF+yxHfvxY+h4&#10;5/zhnYOL3ph5Izga/NUJEthYtjm+6bJOGLq+axqlTcWBnckNTaO0oThBHJntSZuJE3ix2Xe0kTih&#10;G6TGdWkTcaIkMVuSNhAnSqPdnWItCW0eTkRImJh41M7qRF6yR6raV4GYFxsF1ruqE6ahZ+QS0ID0&#10;fBjm7XH8tfxDj8QmDiAfoaj5QZoQ47BeAx5JY/PaehWQhJgjJul1EEeu+Zu9Drx01xjB+NcuJF/0&#10;lq68k10h0Efe4MlaNXB4/Gns+4k7HgdOOImeOIGbjp3jJ77nPIm9iQdQKvTH45/X+RlIM+zk3P5b&#10;girYyM1Ew1VZvF+xZwqT/oRgAf850dEEvp6EgXMUhqkzCU6CdBIRAHInPws0IdYscIvmAoOSBFu7&#10;mEuhoA3MpVrui7lOPglz7doELvgTMdeeo8gGpNo66cE5AbI2E9oqqCyAmAJoe4+AX3EV7JZfcRXg&#10;dB2rw6+4CoOnxvt9yP6ScNVTxFVPvwxc5UWJGb9oEO54sZfsnE7XMu43di+JIuOO3e/rPvHNWGhj&#10;Wyfmw0a/q/sBMWPqflP3vTg1wpd+T/cJZDVMQKLf0/3AC4089rjKT1LPOKr3VYCYbiwOsetD/1qs&#10;a1wV+EESmVa2xlWB50VGJZG1/AN/D3hZK8ANPPNH1xpIvMg8bK0CMDOzQHodeF66B0H2SiA+oL5t&#10;gfyKkRX5NGSVn055izGvXVSXp2wO+cg/MZ2zk9kP7HlLoai7UXDEtjHtXtDldjYG289Yc2v7K9Zg&#10;hewGnePVdMrZWfFhkxRopF/anNZ/LvJOZwLlqmRWvJbUEpUMolcaeEZwSAtIHKoT4WZHBAbgJrEC&#10;nZs5QjjqHomawObwLTptRqGuNEeBVVATKTtR5ZWLWBblc3qlyG4MzEWSdottevWqUhVZLtkBYH+y&#10;7KCUh4VtPBaP7KcMErKUQ0moWoHkTqHWxyB9ppDukv5YNa+L7Pw5VGMlcVEhg8QcVBOK0tzZwSTQ&#10;er+CRTFfyEXcWlXARB4czaAOKfJ4M6iLbWbyLMrnUH/LoNqHqHQrCyiq9qyvtUH9VIzhqyUUUeSa&#10;SQiHA/w6lCtWy5ezmWxOdDNkwXsqN9OMosQtU5F7ke7nKHZ89ipnirnRjyhy7i9u4kWJ/SKPtGy3&#10;Re7r5v0i/5+XRe9cEYEiPVycaI9UHh5KA2vHVn1MORkWTP7CmkqaOb4p65MNfMqPwIplG1qycCJo&#10;BXtsdX3E81SQKavnK94VpxccvEjOET0QsvoAArHyZiTZWt9GgPhMkWQqly0Cw9OmyLEALkO7yvTL&#10;pPyv25dByDcZvCV4yoTid+LPg90QqhT5+UIoXI6Qwr81gm6d1j+mLutEIoeC8eLLuaTxNXyBKm/e&#10;6vj48LUFNERouz18ia5j1l0ypkLWVL5s+P+bslBAC67SyA0WPKePSp9qpkBrq8wscCMCDy6eemih&#10;wM3/6Q0G7SH3vcXzdYPvrzxIe0LLQnt7W7QvS65OJwoH50VbH8P1o/P2SG32cFyQnqDzyJvZ8DA6&#10;Tp+MycTxkxDy0SRInNQlJ06cTBLX9eI4Hrub2fAGLuvdMx8eD1x/MyXe+Hhpk05goXDr4mUt7oWS&#10;CJiC+6DQB+0v6FErmNiAJQPVfetUcEDgbitbLo9wE8AkLV7Yg6PIDjbRNyFudf77ofy+dA+3xPCW&#10;6b0huAT8+68CSqIKu9wjrIJg8G4rn4DkrAYuaozs5lkuUxMI/d7UeId2Wzibc9DaVlBxOFvQGiJw&#10;TyFEqwLBi2uV4pry4X8AAAD//wMAUEsDBBQABgAIAAAAIQC4eOzr5wQAABgmAAAVAAAAZHJzL2No&#10;YXJ0cy9zdHlsZTIueG1s7Fphb9o8EP4rkX9AA/SlBVQqda0mTaLvqm3S+9kkDnhz4ry2GaW/fmcn&#10;MXESoIiGQbdv5BIlvue5e+585iaQo2COhfqqVox4zzFLwCDHaK5UOvJ9GcxJjOVFTAPBJY/URcBj&#10;n0cRDYgfCrykyczvdbo9f/0WlL8G197CU5LAJyIuYqzkBRez4h0xg7d0rvwY0wR5NByj3vAa3d7A&#10;8vAzld+oYsRcseQLieCB5zHqIN+YIspYzUiiiASqZo54sjbGNOECPoJHxk1yz4T3E7MxUs9dY2aL&#10;+JGHme2q3+mYL+IRmD9HUWa+LMx+6S23Nz4sPP+WWWNIoi9PwpMvY9TV7/F+EJHAb3Bae6Efd/0M&#10;sCIzLlZ34P05Oy7TJ6ERZom3HKNhv9dHXoDTMYoYVvAzToFrmcyQh9kMEAlUzghnNPwIzL6Snm7B&#10;g0vPoDBX6AGyyh8QfJGEmge90IyObOHAS4m6YTNzNa5MLtwJgr2Yh5BMmDG+/Jdrdz7/JELQkIC7&#10;xjahCSlsWbwfLcLzuCuHacGWA04lOaazrgnZCoTvguBNuWkJzZIZKzzBUwKxCfFxNL5MGpUU6bqI&#10;bTfke4W5EvKbFWlDWIeOm/bqXkfuQh3P9/DHW6vxa8KcqQ1hbgSpLB6V/GharuXEpcoyWKHKSa39&#10;NQmYnvJwBfVGcKXrpCfT4CMVUk2wVE9YQGXuIg+USGnpiUCIQHgZTZE35+KlatPPQSmHO8hbCq3d&#10;8v8FFgR57FMC6nZ51b++Qp4yF91BbzBAnijfmZbv4CSAV2VC72UX9wquM45lerdQIJQqF6fMj0yR&#10;GyNQG584TV4Xj/ojgI7UzY6t9hi+WBThvJcwTx3cQlQFVld5d7326vLhVfl0QuvPV2w90IWs7sMO&#10;uI12mmecJs5kHoD15gxo7p2GpDfoXxcdiUhC0/VtK37pHMKmqfxt7CAc0i1IFrZHLKAVfDvgdgDe&#10;anzX0DXt3i693ABpTfYcIEuwVaCc4BVUJ0+u4imHVj6gImAgVZK+kDHqa+rKWfgfFSQSOD7D0C31&#10;0keIXBcojfk3PD3vPVmhBIlpzCEwdPP/fncpLmchXyYfcIPwZAniyHGx0W5TjreJblNHZVsnt6Oy&#10;jda2jqp9nvccFjj9Hh5tryUl4kLBU1tSjrYPqbY1zbLfyi7fTltc1i3c21nfjmsZS9ijc3FK6dG2&#10;MFkEXWAt3gcA62AJew1+OqLjKL/Wf2to7D7Wi5/BCIdBw/uIv5+QO20HSUszNt3Y1QG1Fj2krffH&#10;v6lMtQ1xMbtx03BYmA9Iwzqeczrhf1T10Cg2jPCt+QB0XSwJDon4o6C1hcINXFtWDoCWVdAkM5KE&#10;xxUEszUoTV6tW663FoSKt6Bv5SH77gMFtvYxZVyd3UmCVvRi4Yap4uLy4axORMp+5PMuSQQl8txP&#10;5XaHYMXP7PKvpI2Rzf1Kku+zh6ugqd7T6fY/+ox0ak4dSmfc+gTC2KZYEt0558f3OsPW7isB0q7v&#10;1uXdWDbP7TcMko8xuchawu6w0wfHzdH2QeO4FI5pHrCcZ38vkCv5wFU+cHaPpg10DmAWvhM4nLRp&#10;0lKJbPB1kZ7Sjn3bQGvj2WK708c9OdlH0dbYwx9oFuT910fXzSWcidc16zftUe0QA1IP/syya6qR&#10;rV2ryfovXLe/AAAA//8DAFBLAwQUAAYACAAAACEAHBSnqAIBAABuAwAAFgAAAGRycy9jaGFydHMv&#10;Y29sb3JzMi54bWyck0FugzAQRa+CfAAMJKEVCtlkXXXRE4wGO1iyPZHtps3ta0ihhapI4N3M139/&#10;ZiQf0VdImtxbuGuRfBptY8PXrA3hWnHusRUGfGoUOvIkQ4pkOEmpUPDGwYeyF15kecGxBRd6CvvG&#10;wB8KXYWNEZKcgeBTcpeBYXSkZCU3oCxLjAhtzfCOWrBENTXLM3Y6QtVPI87aJTfQNQNEYUPO+L9a&#10;saDtFrT9gnZY0MpOiye9gVMQFNlZ2Q2q380LNY8Nyiy+zsN/m6aIued58PSoVykfqHi+7agV8ePI&#10;0/j9hvjDBs/T4JnG74b2ik1G1ArPOPI0fmzPUF35871OXwAAAP//AwBQSwMEFAAGAAgAAAAhAD7f&#10;aUhvBgAAABsAABwAAABkcnMvdGhlbWUvdGhlbWVPdmVycmlkZTIueG1s7FlPb9s2FL8P2HcgdG9j&#10;J3aaBHWK2LGbrU0bJG6HHmmJlthQokDSSX0b2uOAAcO6YYcV2G2HYVuBFtil+zTZOmwd0K+wR1JS&#10;yFhe0jbYiq0+2BL54/v/Hh/py1fupQwdECEpzzpB82IjQCQLeUSzuBPcGg4urARIKpxFmPGMdIIp&#10;kcGV9fffu4zXVEJSchPWChoRBHQyuYY7QaJUvrawIEOYxvIiz0kGc2MuUqzgVcQLkcCHQD9lC4uN&#10;xvJCimkWrAPBkIk9vYqgDKfA6+Z4TENipqL9pkbIqewxgQ4w6wRAIuKHQ3JPBYhhqWCiEzTMJ1hY&#10;v7yA14pFTM1Z66wbmE+xrlgQ7S8aniIeVUybg9bqpc2KvgEwNYvr9/u9frOiZwA4DElWyOLSbA1W&#10;mt2SpgOyj7O0e412o+XjHfpLMzKvdrvd9mohiyVqQPaxNYNfaSy3NhY9vAFZfHsG3+pu9HrLHt6A&#10;LH55Bj+4tLrc8vEGlDCa7c+gtUMHg4J6BRlztlULXwH4SqOAH6MgGqro0izGPFPzYi3Fd7kYAEAD&#10;GVY0Q2qakzEOISZ7OB0JijUDvEawM2OHQjkzpHkhGQqaq07wYY6zwIG8fPb9y2dP0NH9p0f3fzp6&#10;8ODo/o+WkLdqC2exu+rFt5/9+ehj9MeTb148/KIeL138rz988svPn9cDIX2O1Xv+5ePfnj5+/tWn&#10;v3/3sAa+IfDIhQ9pSiS6QQ7RLk9BMWMVX3IyEq+2Yphg6q7YyGKJM6y51NDvq8RD35hiVnjHk6NL&#10;fAveFlA+6oBXJ3c9gfcSMVG0hvO1JPWA25yzLhe1VrimeTlmHk6yuJ65mLi4XYwP6nj3cOb5tz/J&#10;oW6WYekp3kuIJ+YOw5nCMcmIQnqO7xNSo90dSj27btNQcMnHCt2hqItprUmGdORF0/GiLZqCX6Z1&#10;OoO/Pdts30Zdzuq03iQHPhKyArMa4YeEeWa8iicKp3UkhzhlrsGvY5XUCbk3FaGL60sFno4J46gf&#10;ESnr1twUoK/j9GsYKlat27fZNPWRQtH9OprXMecucpPv9xKc5nXYPZolLvYDuQ8hitEOV3Xwbe5n&#10;iH4HP+BsrrtvU+K5+/RqcIvGnkjHAaJnJkL7Ekq1V4FTmv1dOWYU6rGNgfMrx1AAn3/9qCay3tZC&#10;vAF7Ul0mbJ0ov/NwJ4tuj4uIvv01dxNPsh0CYT678bwrue9KbvCfL7nz8vmshfa4tkLZ1X2DbYpN&#10;i5zO7ZDHlLE9NWXkujRNsoR9IhrAoF5nDn6kOjHlCTwWdd3DxQKbNUhw9RFVyV6Cc2iwm4EmEsuC&#10;dCxRziUc7MxwLW2NhyZd2WNhWx8YbD2QWG3zyA4v6eHyXFCRMbtNLC1Hy2hJEzgrs6VLBVFQ+3WY&#10;NbVQZ+bWNKKZUudxq1QGH86qBoOVNaEBQdC2gJWX4eitWcPBBDMSabvbvbd0i7HJebpIJhiuCczR&#10;va31nvVR0zipjBVzEwCxU+Mjfcg7xWoOt1VN9g24ncVJLrvWHHal997ES2UEH3tJ5+2JdGSZm5ws&#10;Q4edYLW92A5QiPNOMIYzLTymOXhd6p4PsxjufkIlbNifmsw6NFyFS8X8JGjCNYW1+4zCXh3IhVSb&#10;WCY2NMxUEQIs05ys/IttMOt5KWAj/TWkWFqBYPjXpAA7+q4l4zEJletsZ0Tbzr4WpZRPFBF7SXSI&#10;RmwidjG4X4cq6BNRCVcTpiLoF7hH09Y2U35xLpLOvb0yODuOWZ7gotzqFC0z2cJNHlcymDdHPNCt&#10;Vnaj3KurYlL+nFRxw/h/poreT+CmYCnSHgjhUlZgpPO1E3ChEg5VKE9oOBDQOJjaAdECd7EwDUEF&#10;98XmV5AD/WtzztIwaQ0HPrVLYyQo7EcqEYTsQFky0XcKsWaxd1mSrCBkIsoRV+ZW7BE5IGyoa+Cy&#10;3tsDlECom2pSlAGDOxl//nuRQaNYNzluvnk1pNp7bQ78052PTWZQyq/DpqEp7V+JWLOr2vVmebn3&#10;uoroieM2q1Vmhb8VrBZp/5oivOJWayvWjMaL7VI48OKsxjBYNUQ53Pcg/QX7HxUhs/826A11yHeh&#10;tiL4o0ETg7CBqL5gGw+kC6QdHEHjZAdtMGlS1rRF66StVm7W59zpVnxPGFtLdhZ/v6Kxq+bMZ+fl&#10;4nkau7CwZ2s7NtfU4NmTKQpD4/IgYxzj/Wu1/hcAAAD//wMAUEsDBBQABgAIAAAAIQDFeLWr4gAA&#10;AAsBAAAPAAAAZHJzL2Rvd25yZXYueG1sTI/BasMwDIbvg72D0WC31U7ThjSNU0rZdiqDtYPRmxur&#10;SWhsh9hN0refdtqOkj5+fX++mUzLBux946yEaCaAoS2dbmwl4ev49pIC80FZrVpnUcIdPWyKx4dc&#10;ZdqN9hOHQ6gYhVifKQl1CF3GuS9rNMrPXIeWbhfXGxVo7CuuezVSuGn5XIiEG9VY+lCrDnc1ltfD&#10;zUh4H9W4jaPXYX+97O6n4/Ljex+hlM9P03YNLOAU/mD41Sd1KMjp7G5We9ZKWMTLFaESYjGnUkSs&#10;EkGbs4RkkabAi5z/71D8AAAA//8DAFBLAwQUAAYACAAAACEAet90s8IAAACnAQAAGQAAAGRycy9f&#10;cmVscy9lMm9Eb2MueG1sLnJlbHO8kMsKwkAMRfeC/zBkb6ftQkScdiNCt6IfEKbpAzsPJqPo3zso&#10;goLgzuVNyLmHbOqrmcSFAo/OKiiyHARZ7drR9gqOh91iBYIj2hYnZ0nBjRjqaj7b7GnCmI54GD2L&#10;RLGsYIjRr6VkPZBBzpwnmzadCwZjiqGXHvUJe5Jlni9leGdA9cEUTasgNG0J4nDzqfk323XdqGnr&#10;9NmQjV8qpB4wxATE0FNU8Ij8nJZZMgX5XaL4k0TxkpAf763uAAAA//8DAFBLAwQUAAYACAAAACEA&#10;R1BgK9kBAACzAwAAIAAAAGRycy9jaGFydHMvX3JlbHMvY2hhcnQxLnhtbC5yZWxzrFOxbtswEN0L&#10;9B8EAh0jSqoRBEXkQK2TQKhtGZayBAIEmqJk2hIpkHRhb87SD2h/oF3bT+gq/1dPDorGhZ0sHXjg&#10;8e7ee+QdL6/WdWV9YkpzKXzk2g6ymKAy56L00V1yc3aBLG2IyEklBfPRhml01X/96nLKKmKgSM95&#10;oy1AEdpHc2OadxhrOmc10bZsmIBIIVVNDLiqxA2hS1Iy7DnOOVZPMVD/ANMKcx+pMH+LrGTTAPPL&#10;2LIoOGUDSVc1E+YIBTagi0VwXcVzBsBElcz4yLYfI4dx1wbtCB+X5Z2QVXOqpJaFsams8aMiUOK6&#10;h5fFdE6U+SArqWKzqZ5ood2Zfpbb/R/c/9DqTsWzrL0TrEea/HIjZMWi2YJR87cJBa8YzA5O02KZ&#10;dhOXJsF4kN6E8cd2O2y38RvPCcbBsP1xf93t78ZgJtPodhzdt1923yDWHY+jQdD+CtIsi5PgfTgM&#10;k3ab7Au63GkwGgWp53i9MzAXkH86K4uDPVScnttuNlnNKq6XEkoKLojYfV/BllelYarmu88EPGJM&#10;+1PDmhENrqZMtA+KL3R6q0jBlzyLJxmU6Kb9uiCZ03N6nRR7Xen1n4cYyRyG/XoNsILsxw8ffLX+&#10;bwAAAP//AwBQSwMEFAAGAAgAAAAhAIR2tIr2AQAASQQAACAAAABkcnMvY2hhcnRzL19yZWxzL2No&#10;YXJ0Mi54bWwucmVsc6xUS27bMBDdF+gdBAJdRpRUNwiKyIFaJ4FR/2DJm0CAQFOUTVsiBZJu7J27&#10;6QGSC7Tb9gjdyvfqyGlRu7CdTRYiZjic995oOLy8Wha59ZkpzaXwkWs7yGKCypSLiY9G0c3ZBbK0&#10;ISIluRTMRyum0VXz9avLIcuJgSQ95aW2AEVoH02NKd9jrOmUFUTbsmQCIplUBTHgqgkuCZ2TCcOe&#10;45xjtYuBmnuYVjv1kWqnb5EVrUpgfh5bZhmnrCXpomDCHKDABnSxPpSreMoAmKgJMz6y7afIftyz&#10;QTvCh2V5R2QVnCqpZWZsKgv8pAiUuO5+sZhOiTIfZS5VaFb5jhZa7+mT3O5LcP9Hq2sVJ1nfHWE9&#10;0OTnG7Etf6SZCqekhCu124pUkXu4fhr/MdxTfWi8pCqZs/54xqj5pyfjOYMbjeM4m8f1HMRR0GvF&#10;N+3wU7XuVOvwjecEvaBT/bi7ru1RD5bBsH/b699VD5tvEKu3e/1WUP0K4iQJo+BDu9OOqnW0TajP&#10;DoNuN4g9x2ucwXIB54+fSsJgCxXG57abDBbjnOu5hJSMCyI23xdg8nximCr45isBjxhT/dTwjYkG&#10;V1Mmqi+Kz3R8q0jG5zwJBwmk6LJ6nJHEaTiNWoq9zPXy74/oyhRG8HoJsIJshwLvPQDN3wAAAP//&#10;AwBQSwECLQAUAAYACAAAACEAL5h6QXgBAAACBgAAEwAAAAAAAAAAAAAAAAAAAAAAW0NvbnRlbnRf&#10;VHlwZXNdLnhtbFBLAQItABQABgAIAAAAIQA4/SH/1gAAAJQBAAALAAAAAAAAAAAAAAAAAKkBAABf&#10;cmVscy8ucmVsc1BLAQItABQABgAIAAAAIQDBDdqWKgIAADUFAAAZAAAAAAAAAAAAAAAAAKgCAABk&#10;cnMvZHJhd2luZ3MvZHJhd2luZzEueG1sUEsBAi0AFAAGAAgAAAAhAJ1taQMpAgAAgQYAAA4AAAAA&#10;AAAAAAAAAAAACQUAAGRycy9lMm9Eb2MueG1sUEsBAi0AFAAGAAgAAAAhAG9PUUrACgAAWSkAABUA&#10;AAAAAAAAAAAAAAAAXgcAAGRycy9jaGFydHMvY2hhcnQxLnhtbFBLAQItABQABgAIAAAAIQC4eOzr&#10;5wQAABgmAAAVAAAAAAAAAAAAAAAAAFESAABkcnMvY2hhcnRzL3N0eWxlMS54bWxQSwECLQAUAAYA&#10;CAAAACEAHBSnqAIBAABuAwAAFgAAAAAAAAAAAAAAAABrFwAAZHJzL2NoYXJ0cy9jb2xvcnMxLnht&#10;bFBLAQItABQABgAIAAAAIQA+32lIbwYAAAAbAAAcAAAAAAAAAAAAAAAAAKEYAABkcnMvdGhlbWUv&#10;dGhlbWVPdmVycmlkZTEueG1sUEsBAi0AFAAGAAgAAAAhANMzOcrmCgAA7iwAABUAAAAAAAAAAAAA&#10;AAAASh8AAGRycy9jaGFydHMvY2hhcnQyLnhtbFBLAQItABQABgAIAAAAIQC4eOzr5wQAABgmAAAV&#10;AAAAAAAAAAAAAAAAAGMqAABkcnMvY2hhcnRzL3N0eWxlMi54bWxQSwECLQAUAAYACAAAACEAHBSn&#10;qAIBAABuAwAAFgAAAAAAAAAAAAAAAAB9LwAAZHJzL2NoYXJ0cy9jb2xvcnMyLnhtbFBLAQItABQA&#10;BgAIAAAAIQA+32lIbwYAAAAbAAAcAAAAAAAAAAAAAAAAALMwAABkcnMvdGhlbWUvdGhlbWVPdmVy&#10;cmlkZTIueG1sUEsBAi0AFAAGAAgAAAAhAMV4taviAAAACwEAAA8AAAAAAAAAAAAAAAAAXDcAAGRy&#10;cy9kb3ducmV2LnhtbFBLAQItABQABgAIAAAAIQB633SzwgAAAKcBAAAZAAAAAAAAAAAAAAAAAGs4&#10;AABkcnMvX3JlbHMvZTJvRG9jLnhtbC5yZWxzUEsBAi0AFAAGAAgAAAAhAEdQYCvZAQAAswMAACAA&#10;AAAAAAAAAAAAAAAAZDkAAGRycy9jaGFydHMvX3JlbHMvY2hhcnQxLnhtbC5yZWxzUEsBAi0AFAAG&#10;AAgAAAAhAIR2tIr2AQAASQQAACAAAAAAAAAAAAAAAAAAezsAAGRycy9jaGFydHMvX3JlbHMvY2hh&#10;cnQyLnhtbC5yZWxzUEsFBgAAAAAQABAARQQAAK89AAAAAA==&#10;">
                <v:shape id="Chart 1772581229" o:spid="_x0000_s1027" type="#_x0000_t75" style="position:absolute;left:31260;top:1746;width:25529;height:360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TUyQAAAOMAAAAPAAAAZHJzL2Rvd25yZXYueG1sRE9LawIx&#10;EL4X/A9hCr3VrItWuzWKKKUVT9oH9DbdjJvVzWRJUt3++0YQepzvPdN5ZxtxIh9qxwoG/QwEcel0&#10;zZWC97fn+wmIEJE1No5JwS8FmM96N1MstDvzlk67WIkUwqFABSbGtpAylIYshr5riRO3d95iTKev&#10;pPZ4TuG2kXmWPUiLNacGgy0tDZXH3Y9V8Olftiu7Hn3vP4aHL4pmud6UtVJ3t93iCUSkLv6Lr+5X&#10;neaPx/loMsjzR7j8lACQsz8AAAD//wMAUEsBAi0AFAAGAAgAAAAhANvh9svuAAAAhQEAABMAAAAA&#10;AAAAAAAAAAAAAAAAAFtDb250ZW50X1R5cGVzXS54bWxQSwECLQAUAAYACAAAACEAWvQsW78AAAAV&#10;AQAACwAAAAAAAAAAAAAAAAAfAQAAX3JlbHMvLnJlbHNQSwECLQAUAAYACAAAACEAGSUk1MkAAADj&#10;AAAADwAAAAAAAAAAAAAAAAAHAgAAZHJzL2Rvd25yZXYueG1sUEsFBgAAAAADAAMAtwAAAP0CAAAA&#10;AA==&#10;">
                  <v:imagedata r:id="rId44" o:title=""/>
                  <o:lock v:ext="edit" aspectratio="f"/>
                </v:shape>
                <v:shape id="Chart 1052059135" o:spid="_x0000_s1028" type="#_x0000_t75" style="position:absolute;left:1146;top:1637;width:29593;height:35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HQyAAAAOMAAAAPAAAAZHJzL2Rvd25yZXYueG1sRE9fa8Iw&#10;EH8f+B3CCXsZM9FR0WoUkQ1kYzC74vPR3Jqy5lKaqPXbL4PBHu/3/9bbwbXiQn1oPGuYThQI4sqb&#10;hmsN5efL4wJEiMgGW8+k4UYBtpvR3Rpz4698pEsRa5FCOOSowcbY5VKGypLDMPEdceK+fO8wprOv&#10;penxmsJdK2dKzaXDhlODxY72lqrv4uw0nIO9vS3K+fvr89EeBlWcHsqPk9b342G3AhFpiP/iP/fB&#10;pPkqm6lsOX3K4PenBIDc/AAAAP//AwBQSwECLQAUAAYACAAAACEA2+H2y+4AAACFAQAAEwAAAAAA&#10;AAAAAAAAAAAAAAAAW0NvbnRlbnRfVHlwZXNdLnhtbFBLAQItABQABgAIAAAAIQBa9CxbvwAAABUB&#10;AAALAAAAAAAAAAAAAAAAAB8BAABfcmVscy8ucmVsc1BLAQItABQABgAIAAAAIQBOfpHQyAAAAOMA&#10;AAAPAAAAAAAAAAAAAAAAAAcCAABkcnMvZG93bnJldi54bWxQSwUGAAAAAAMAAwC3AAAA/AIAAAAA&#10;">
                  <v:imagedata r:id="rId45" o:title=""/>
                  <o:lock v:ext="edit" aspectratio="f"/>
                </v:shape>
                <w10:wrap type="square" anchory="page"/>
              </v:group>
            </w:pict>
          </mc:Fallback>
        </mc:AlternateContent>
      </w:r>
      <w:r w:rsidR="006D0B71" w:rsidRPr="006D0B71">
        <w:rPr>
          <w:rFonts w:eastAsia="Times New Roman" w:cs="Times New Roman"/>
          <w:sz w:val="24"/>
          <w:szCs w:val="24"/>
          <w:lang w:eastAsia="lv-LV"/>
        </w:rPr>
        <w:t>samazināšanās atbilstoši</w:t>
      </w:r>
      <w:r w:rsidR="006D0B71">
        <w:rPr>
          <w:rFonts w:eastAsia="Times New Roman" w:cs="Times New Roman"/>
          <w:sz w:val="24"/>
          <w:szCs w:val="24"/>
          <w:lang w:eastAsia="lv-LV"/>
        </w:rPr>
        <w:t xml:space="preserve"> </w:t>
      </w:r>
      <w:proofErr w:type="spellStart"/>
      <w:r w:rsidR="006D0B71" w:rsidRPr="006D0B71">
        <w:rPr>
          <w:rFonts w:eastAsia="Times New Roman" w:cs="Times New Roman"/>
          <w:i/>
          <w:iCs/>
          <w:sz w:val="24"/>
          <w:szCs w:val="24"/>
          <w:lang w:eastAsia="lv-LV"/>
        </w:rPr>
        <w:t>Eurostat</w:t>
      </w:r>
      <w:proofErr w:type="spellEnd"/>
      <w:r w:rsidR="006D0B71" w:rsidRPr="006D0B71">
        <w:rPr>
          <w:rFonts w:eastAsia="Times New Roman" w:cs="Times New Roman"/>
          <w:sz w:val="24"/>
          <w:szCs w:val="24"/>
          <w:lang w:eastAsia="lv-LV"/>
        </w:rPr>
        <w:t xml:space="preserve"> prognozēm.</w:t>
      </w:r>
    </w:p>
    <w:p w14:paraId="7DAC0147" w14:textId="12891093" w:rsidR="006D0B71" w:rsidRPr="00507D8A" w:rsidRDefault="006D0B71" w:rsidP="006D0B71">
      <w:pPr>
        <w:spacing w:afterLines="60" w:after="144"/>
        <w:ind w:firstLine="0"/>
        <w:rPr>
          <w:rFonts w:eastAsia="Times New Roman" w:cs="Times New Roman"/>
          <w:sz w:val="24"/>
          <w:szCs w:val="24"/>
          <w:lang w:eastAsia="lv-LV"/>
        </w:rPr>
        <w:sectPr w:rsidR="006D0B71" w:rsidRPr="00507D8A" w:rsidSect="00162345">
          <w:headerReference w:type="even" r:id="rId46"/>
          <w:headerReference w:type="default" r:id="rId47"/>
          <w:footerReference w:type="even" r:id="rId48"/>
          <w:footerReference w:type="default" r:id="rId49"/>
          <w:headerReference w:type="first" r:id="rId50"/>
          <w:type w:val="continuous"/>
          <w:pgSz w:w="11906" w:h="16838"/>
          <w:pgMar w:top="1134" w:right="1134" w:bottom="1134" w:left="1701" w:header="0" w:footer="624" w:gutter="0"/>
          <w:cols w:space="709"/>
          <w:docGrid w:linePitch="381"/>
        </w:sectPr>
      </w:pPr>
    </w:p>
    <w:p w14:paraId="4AB9FCA6" w14:textId="2FEE8C4E" w:rsidR="00507D8A" w:rsidRPr="004576B5" w:rsidRDefault="00507D8A" w:rsidP="00507D8A">
      <w:pPr>
        <w:spacing w:before="240"/>
        <w:ind w:left="1440" w:firstLine="0"/>
        <w:jc w:val="center"/>
        <w:rPr>
          <w:rFonts w:eastAsia="Calibri" w:cs="Times New Roman"/>
          <w:b/>
          <w:i/>
          <w:iCs/>
          <w:sz w:val="24"/>
          <w:szCs w:val="24"/>
        </w:rPr>
      </w:pPr>
      <w:r w:rsidRPr="004576B5">
        <w:rPr>
          <w:rFonts w:eastAsia="Calibri" w:cs="Times New Roman"/>
          <w:b/>
          <w:i/>
          <w:iCs/>
          <w:sz w:val="24"/>
          <w:szCs w:val="24"/>
        </w:rPr>
        <w:t xml:space="preserve">6.3. att. Iedzīvotāju skaits pēc dzimuma (Datu avots: </w:t>
      </w:r>
      <w:r w:rsidRPr="004576B5">
        <w:rPr>
          <w:rFonts w:eastAsia="Calibri" w:cs="Times New Roman"/>
          <w:b/>
          <w:i/>
          <w:iCs/>
          <w:noProof/>
          <w:sz w:val="24"/>
          <w:szCs w:val="24"/>
        </w:rPr>
        <w:t>Eurostat, EUROPOP2023</w:t>
      </w:r>
      <w:r w:rsidRPr="004576B5">
        <w:rPr>
          <w:rFonts w:eastAsia="Calibri" w:cs="Times New Roman"/>
          <w:b/>
          <w:i/>
          <w:iCs/>
          <w:sz w:val="24"/>
          <w:szCs w:val="24"/>
        </w:rPr>
        <w:t>)</w:t>
      </w:r>
    </w:p>
    <w:p w14:paraId="5C1E4FE2" w14:textId="77777777" w:rsidR="00507D8A" w:rsidRPr="004576B5" w:rsidRDefault="00507D8A" w:rsidP="000F5AFF">
      <w:pPr>
        <w:ind w:left="1503" w:firstLine="0"/>
        <w:contextualSpacing/>
        <w:rPr>
          <w:rFonts w:eastAsia="Times New Roman" w:cs="Times New Roman"/>
          <w:bCs/>
          <w:i/>
          <w:iCs/>
          <w:sz w:val="24"/>
          <w:szCs w:val="20"/>
        </w:rPr>
      </w:pPr>
    </w:p>
    <w:p w14:paraId="11EB7A4E" w14:textId="14482CE2" w:rsidR="00507D8A" w:rsidRPr="004576B5" w:rsidRDefault="00507D8A" w:rsidP="00507D8A">
      <w:pPr>
        <w:ind w:left="720" w:firstLine="0"/>
        <w:jc w:val="center"/>
        <w:rPr>
          <w:rFonts w:eastAsia="Calibri" w:cs="Times New Roman"/>
          <w:b/>
          <w:i/>
          <w:iCs/>
          <w:sz w:val="24"/>
          <w:szCs w:val="24"/>
        </w:rPr>
        <w:sectPr w:rsidR="00507D8A" w:rsidRPr="004576B5" w:rsidSect="00162345">
          <w:type w:val="continuous"/>
          <w:pgSz w:w="11906" w:h="16838"/>
          <w:pgMar w:top="1418" w:right="1134" w:bottom="709" w:left="1418" w:header="709" w:footer="709" w:gutter="0"/>
          <w:cols w:num="2" w:space="709"/>
          <w:titlePg/>
          <w:docGrid w:linePitch="381"/>
        </w:sectPr>
      </w:pPr>
      <w:r w:rsidRPr="004576B5">
        <w:rPr>
          <w:rFonts w:eastAsia="Calibri" w:cs="Times New Roman"/>
          <w:b/>
          <w:i/>
          <w:iCs/>
          <w:sz w:val="24"/>
          <w:szCs w:val="24"/>
        </w:rPr>
        <w:t xml:space="preserve">6.4. att. Iedzīvotāju vecuma piramīda 2022.gadā un 2070.gadā (Datu avots: </w:t>
      </w:r>
      <w:r w:rsidRPr="004576B5">
        <w:rPr>
          <w:rFonts w:eastAsia="Calibri" w:cs="Times New Roman"/>
          <w:b/>
          <w:i/>
          <w:iCs/>
          <w:noProof/>
          <w:sz w:val="24"/>
          <w:szCs w:val="24"/>
        </w:rPr>
        <w:t>Eurostat, EUROPOP2023</w:t>
      </w:r>
      <w:r w:rsidRPr="004576B5">
        <w:rPr>
          <w:rFonts w:eastAsia="Calibri" w:cs="Times New Roman"/>
          <w:b/>
          <w:i/>
          <w:iCs/>
          <w:sz w:val="24"/>
          <w:szCs w:val="24"/>
        </w:rPr>
        <w:t>)</w:t>
      </w:r>
    </w:p>
    <w:p w14:paraId="11BFB6B7" w14:textId="77777777" w:rsidR="00507D8A" w:rsidRPr="00507D8A" w:rsidRDefault="00507D8A" w:rsidP="000F5AFF">
      <w:pPr>
        <w:spacing w:before="240"/>
        <w:rPr>
          <w:rFonts w:eastAsia="Times New Roman" w:cs="Times New Roman"/>
          <w:sz w:val="22"/>
          <w:szCs w:val="20"/>
        </w:rPr>
      </w:pPr>
      <w:r w:rsidRPr="00507D8A">
        <w:rPr>
          <w:rFonts w:eastAsia="Times New Roman" w:cs="Times New Roman"/>
          <w:sz w:val="24"/>
          <w:szCs w:val="24"/>
        </w:rPr>
        <w:t xml:space="preserve">Atbilstoši </w:t>
      </w:r>
      <w:r w:rsidRPr="00507D8A">
        <w:rPr>
          <w:rFonts w:eastAsia="Times New Roman" w:cs="Times New Roman"/>
          <w:i/>
          <w:iCs/>
          <w:noProof/>
          <w:sz w:val="24"/>
          <w:szCs w:val="24"/>
        </w:rPr>
        <w:t>Eurostat</w:t>
      </w:r>
      <w:r w:rsidRPr="00507D8A">
        <w:rPr>
          <w:rFonts w:eastAsia="Times New Roman" w:cs="Times New Roman"/>
          <w:sz w:val="24"/>
          <w:szCs w:val="24"/>
        </w:rPr>
        <w:t xml:space="preserve"> prognozēm vīriešu skaits Latvijā, kas vēsturiski bija zemāks nekā sieviešu, ilgtermiņā samazināsies lēnāk nekā sieviešu skaits (skat. 6.3. attēlu). To noteiks tas, ka zēni vismaz pēdējo 15 gadu laikā ir piedzimuši vairāk nekā meitenes, un atbilstoši prognozēm vīriešiem </w:t>
      </w:r>
      <w:r w:rsidRPr="00507D8A">
        <w:rPr>
          <w:rFonts w:eastAsia="Times New Roman" w:cs="Times New Roman"/>
          <w:sz w:val="24"/>
          <w:szCs w:val="20"/>
        </w:rPr>
        <w:t xml:space="preserve">straujāk samazinoties mirstības koeficientam nekā sievietēm, straujāk augs vīriešu mūža ilgums, piemēram, 2100. gadā salīdzinājumā ar 2022. gadu mūža ilgums vīriešiem pieaugs par 16,1 gadu jeb 22,5%, savukārt sievietēm par 11,4 gadiem jeb 14,1%. </w:t>
      </w:r>
    </w:p>
    <w:p w14:paraId="02D13CB0" w14:textId="77777777" w:rsidR="00507D8A" w:rsidRPr="00507D8A" w:rsidRDefault="00507D8A" w:rsidP="00BA387D">
      <w:pPr>
        <w:autoSpaceDE w:val="0"/>
        <w:autoSpaceDN w:val="0"/>
        <w:adjustRightInd w:val="0"/>
        <w:rPr>
          <w:rFonts w:eastAsia="Times New Roman" w:cs="Times New Roman"/>
          <w:sz w:val="24"/>
          <w:szCs w:val="24"/>
        </w:rPr>
      </w:pPr>
      <w:r w:rsidRPr="00507D8A">
        <w:rPr>
          <w:rFonts w:eastAsia="Times New Roman" w:cs="Times New Roman"/>
          <w:sz w:val="24"/>
          <w:szCs w:val="24"/>
        </w:rPr>
        <w:t>Vienlaikus ar kopējā iedzīvotāju skaita samazināšanos tiek prognozētas izmaiņas iedzīvotāju vecuma struktūrā (skat. 6.4. attēlu), kur laika posmā no 2022. gada līdz 2070. gadam pieaugs vecāka gadagājuma iedzīvotāju skaits, it īpaši sieviešu skaits 80+.</w:t>
      </w:r>
    </w:p>
    <w:p w14:paraId="3011D3E0" w14:textId="7DF1CC4E" w:rsidR="00507D8A" w:rsidRPr="00507D8A" w:rsidRDefault="00507D8A" w:rsidP="00BA387D">
      <w:pPr>
        <w:autoSpaceDE w:val="0"/>
        <w:autoSpaceDN w:val="0"/>
        <w:adjustRightInd w:val="0"/>
        <w:rPr>
          <w:rFonts w:eastAsia="Times New Roman" w:cs="Times New Roman"/>
          <w:sz w:val="24"/>
          <w:szCs w:val="24"/>
          <w:lang w:eastAsia="lv-LV"/>
        </w:rPr>
      </w:pPr>
      <w:r w:rsidRPr="00507D8A">
        <w:rPr>
          <w:rFonts w:eastAsia="Times New Roman" w:cs="Times New Roman"/>
          <w:noProof/>
          <w:sz w:val="24"/>
          <w:szCs w:val="24"/>
        </w:rPr>
        <w:t xml:space="preserve">Sagatavojot makroekonomisko rādītāju prognozes ilgtermiņam un izmantojot AWG darba grupā apstiprinātos pieņēmumus, </w:t>
      </w:r>
      <w:r>
        <w:rPr>
          <w:rFonts w:eastAsia="Times New Roman" w:cs="Times New Roman"/>
          <w:noProof/>
          <w:sz w:val="24"/>
          <w:szCs w:val="24"/>
        </w:rPr>
        <w:t>EK</w:t>
      </w:r>
      <w:r w:rsidRPr="00507D8A">
        <w:rPr>
          <w:rFonts w:eastAsia="Times New Roman" w:cs="Times New Roman"/>
          <w:noProof/>
          <w:sz w:val="24"/>
          <w:szCs w:val="24"/>
        </w:rPr>
        <w:t xml:space="preserve"> prognozē, ka Latvijas reālā </w:t>
      </w:r>
      <w:r w:rsidR="006D0B71">
        <w:rPr>
          <w:rFonts w:eastAsia="Times New Roman" w:cs="Times New Roman"/>
          <w:noProof/>
          <w:sz w:val="24"/>
          <w:szCs w:val="24"/>
        </w:rPr>
        <w:t>IKP</w:t>
      </w:r>
      <w:r w:rsidRPr="00507D8A">
        <w:rPr>
          <w:rFonts w:eastAsia="Times New Roman" w:cs="Times New Roman"/>
          <w:noProof/>
          <w:sz w:val="24"/>
          <w:szCs w:val="24"/>
        </w:rPr>
        <w:t xml:space="preserve"> pieaugums samazināsies no 2,8% 2022. gadā līdz 0,9% 2070. gadā. Ekonomikā tiek prognozēta</w:t>
      </w:r>
      <w:r w:rsidRPr="00507D8A">
        <w:rPr>
          <w:rFonts w:eastAsia="Times New Roman" w:cs="Times New Roman"/>
          <w:sz w:val="24"/>
          <w:szCs w:val="24"/>
          <w:lang w:eastAsia="lv-LV"/>
        </w:rPr>
        <w:t xml:space="preserve"> kopējo nostrādāto stundu skaita samazināšanās vidēji par 1,0% gadā laika posmā no 2022. līdz 2070. gadam, straujāk sarūkot iedzīvotāju skaitam darbspējas vecumā. EK prognozē, ka Latvijā nodarbinātības līmenis laika periodā no 2022. līdz 2034. gadam samazināsies no 71,4% līdz 70%, taču pēc tam pakāpeniski pieaugs līdz sasniegs 71,9% 2070. gadā. Neskatoties uz nodarbinātības līmeņa pieaugumu, tiek prognozēts, ka kopumā nodarbināto skaits ilgtermiņā saruks līdz ar iedzīvotāju skaitu darbspējas vecumā.</w:t>
      </w:r>
    </w:p>
    <w:p w14:paraId="36FA0B19" w14:textId="77777777" w:rsidR="00507D8A" w:rsidRPr="00507D8A" w:rsidRDefault="00507D8A" w:rsidP="00BA387D">
      <w:pPr>
        <w:autoSpaceDE w:val="0"/>
        <w:autoSpaceDN w:val="0"/>
        <w:adjustRightInd w:val="0"/>
        <w:rPr>
          <w:rFonts w:eastAsia="Times New Roman" w:cs="Times New Roman"/>
          <w:sz w:val="24"/>
          <w:szCs w:val="24"/>
        </w:rPr>
      </w:pPr>
      <w:r w:rsidRPr="00507D8A">
        <w:rPr>
          <w:rFonts w:eastAsia="Times New Roman" w:cs="Times New Roman"/>
          <w:color w:val="000000"/>
          <w:sz w:val="24"/>
          <w:szCs w:val="24"/>
        </w:rPr>
        <w:t>Demogrāfiskā un ekonomiskā, it īpaši darba tirgus situācija ilgtermiņā ietekmēs valsts finanšu ilgtspēju, radot ietekmi gan uz nodokļu ieņēmumiem, gan budžeta izdevumiem. Iekasēto nodokļu apjoms lielā mērā būs atkarīgs no nodarbināto skaita tendencēm ilgtermiņā, tāpat</w:t>
      </w:r>
      <w:r w:rsidRPr="00507D8A">
        <w:rPr>
          <w:rFonts w:eastAsia="Times New Roman" w:cs="Times New Roman"/>
          <w:sz w:val="24"/>
          <w:szCs w:val="24"/>
        </w:rPr>
        <w:t xml:space="preserve"> </w:t>
      </w:r>
      <w:r w:rsidRPr="00507D8A">
        <w:rPr>
          <w:rFonts w:eastAsia="Times New Roman" w:cs="Times New Roman"/>
          <w:color w:val="000000"/>
          <w:sz w:val="24"/>
          <w:szCs w:val="20"/>
        </w:rPr>
        <w:t>budžeta izdevumu pieaugumu ilgtermiņā ietekmēs jau iepriekš uzņemtās saistības pensiju un pabalstu izmaksai, parāda apkalpošanas izdevumi, kā arī ar iedzīvotāju novecošanos saistītu izdevumu pieaugums.</w:t>
      </w:r>
    </w:p>
    <w:p w14:paraId="31889CF1" w14:textId="77777777" w:rsidR="00507D8A" w:rsidRPr="00507D8A" w:rsidRDefault="00507D8A" w:rsidP="00BA387D">
      <w:pPr>
        <w:autoSpaceDE w:val="0"/>
        <w:autoSpaceDN w:val="0"/>
        <w:adjustRightInd w:val="0"/>
        <w:rPr>
          <w:rFonts w:eastAsia="Times New Roman" w:cs="Times New Roman"/>
          <w:sz w:val="24"/>
          <w:szCs w:val="24"/>
        </w:rPr>
      </w:pPr>
      <w:r w:rsidRPr="00507D8A">
        <w:rPr>
          <w:rFonts w:eastAsia="Times New Roman" w:cs="Times New Roman"/>
          <w:noProof/>
          <w:sz w:val="24"/>
          <w:szCs w:val="24"/>
        </w:rPr>
        <w:t>EPC AWG darba grupa, ņemot vērā aktualizētās ilgtermiņa demogrāfiskās un makroekonomiskās prognozes, ir aktualizējusi ar iedzīvotāju novecošanos saistīto izdevumu prognozes līdz 2070. gadam. Tās tiks publicētas 2024. gada Novecošanās ziņojuma Otrajā daļā (</w:t>
      </w:r>
      <w:r w:rsidRPr="00507D8A">
        <w:rPr>
          <w:rFonts w:eastAsia="Times New Roman" w:cs="Times New Roman"/>
          <w:i/>
          <w:iCs/>
          <w:noProof/>
          <w:sz w:val="24"/>
          <w:szCs w:val="24"/>
        </w:rPr>
        <w:t>Ageing Report 2024:Economic &amp; Budgetary Projections for the EU Member States (2022-2070</w:t>
      </w:r>
      <w:r w:rsidRPr="00507D8A">
        <w:rPr>
          <w:rFonts w:eastAsia="Times New Roman" w:cs="Times New Roman"/>
          <w:noProof/>
          <w:sz w:val="24"/>
          <w:szCs w:val="24"/>
        </w:rPr>
        <w:t>)).</w:t>
      </w:r>
    </w:p>
    <w:p w14:paraId="60F9A1BD" w14:textId="5D9EE4F7" w:rsidR="00507D8A" w:rsidRPr="00507D8A" w:rsidRDefault="000F5AFF" w:rsidP="00BA387D">
      <w:pPr>
        <w:autoSpaceDE w:val="0"/>
        <w:autoSpaceDN w:val="0"/>
        <w:adjustRightInd w:val="0"/>
        <w:rPr>
          <w:rFonts w:eastAsia="Times New Roman" w:cs="Times New Roman"/>
          <w:noProof/>
          <w:sz w:val="24"/>
          <w:szCs w:val="24"/>
        </w:rPr>
      </w:pPr>
      <w:r w:rsidRPr="00507D8A">
        <w:rPr>
          <w:rFonts w:eastAsia="Times New Roman" w:cs="Times New Roman"/>
          <w:noProof/>
          <w:sz w:val="24"/>
          <w:szCs w:val="20"/>
        </w:rPr>
        <w:lastRenderedPageBreak/>
        <w:drawing>
          <wp:anchor distT="0" distB="0" distL="114300" distR="114300" simplePos="0" relativeHeight="251711488" behindDoc="0" locked="0" layoutInCell="1" allowOverlap="1" wp14:anchorId="53698DFF" wp14:editId="5C64BDF7">
            <wp:simplePos x="0" y="0"/>
            <wp:positionH relativeFrom="column">
              <wp:posOffset>3117190</wp:posOffset>
            </wp:positionH>
            <wp:positionV relativeFrom="page">
              <wp:posOffset>2057095</wp:posOffset>
            </wp:positionV>
            <wp:extent cx="2978150" cy="2303780"/>
            <wp:effectExtent l="0" t="0" r="0" b="0"/>
            <wp:wrapTopAndBottom/>
            <wp:docPr id="1989033712" name="Chart 1">
              <a:extLst xmlns:a="http://schemas.openxmlformats.org/drawingml/2006/main">
                <a:ext uri="{FF2B5EF4-FFF2-40B4-BE49-F238E27FC236}">
                  <a16:creationId xmlns:a16="http://schemas.microsoft.com/office/drawing/2014/main" id="{62D862DE-6353-44B4-8BF1-7848FFED84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sidRPr="00507D8A">
        <w:rPr>
          <w:rFonts w:eastAsia="Times New Roman" w:cs="Times New Roman"/>
          <w:noProof/>
          <w:sz w:val="24"/>
          <w:szCs w:val="20"/>
        </w:rPr>
        <w:drawing>
          <wp:anchor distT="0" distB="0" distL="114300" distR="114300" simplePos="0" relativeHeight="251712512" behindDoc="0" locked="0" layoutInCell="1" allowOverlap="1" wp14:anchorId="32885684" wp14:editId="4E3CFC04">
            <wp:simplePos x="0" y="0"/>
            <wp:positionH relativeFrom="margin">
              <wp:align>left</wp:align>
            </wp:positionH>
            <wp:positionV relativeFrom="page">
              <wp:posOffset>2083409</wp:posOffset>
            </wp:positionV>
            <wp:extent cx="3054350" cy="2279650"/>
            <wp:effectExtent l="0" t="0" r="0" b="0"/>
            <wp:wrapTopAndBottom/>
            <wp:docPr id="484803709" name="Chart 1">
              <a:extLst xmlns:a="http://schemas.openxmlformats.org/drawingml/2006/main">
                <a:ext uri="{FF2B5EF4-FFF2-40B4-BE49-F238E27FC236}">
                  <a16:creationId xmlns:a16="http://schemas.microsoft.com/office/drawing/2014/main" id="{DBB9F10C-0B62-47E7-B919-6DEF59D64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00507D8A" w:rsidRPr="00507D8A">
        <w:rPr>
          <w:rFonts w:eastAsia="Times New Roman" w:cs="Times New Roman"/>
          <w:noProof/>
          <w:sz w:val="24"/>
          <w:szCs w:val="24"/>
        </w:rPr>
        <w:t xml:space="preserve"> Atbilstoši bāzes scenārijam ar novecošanos saistītie publiskie izdevumi 2070. gadā salīdzinājumā ar 2022. gadu samazināsies par 1,8 procentpunktiem un būs 15,4% no IKP (skat. 6.5. attēlu). Tendence Latvijā budžeta izdevumiem ilgtermiņā kopumā samazināties saglabājas līdzīgi kā iepriekšējās prognozēs, un to galvenokārt nosaka </w:t>
      </w:r>
      <w:r w:rsidR="00507D8A" w:rsidRPr="00507D8A">
        <w:rPr>
          <w:rFonts w:eastAsia="Times New Roman" w:cs="Times New Roman"/>
          <w:i/>
          <w:iCs/>
          <w:noProof/>
          <w:sz w:val="24"/>
          <w:szCs w:val="24"/>
        </w:rPr>
        <w:t>Eurostat</w:t>
      </w:r>
      <w:r w:rsidR="00507D8A" w:rsidRPr="00507D8A">
        <w:rPr>
          <w:rFonts w:eastAsia="Times New Roman" w:cs="Times New Roman"/>
          <w:noProof/>
          <w:sz w:val="24"/>
          <w:szCs w:val="24"/>
        </w:rPr>
        <w:t xml:space="preserve"> konservatīvās demogrāfiskās prognozes. Jāvērš uzmanība, ka prognozes sagatavotas pie nemainīgas politikas scenārija, t.i., ņemot vērā tās likumdošanas izmaiņas, kas ir pieņemtas līdz 2023. gada oktobrim.</w:t>
      </w:r>
    </w:p>
    <w:p w14:paraId="63BEC7D8" w14:textId="77777777" w:rsidR="00507D8A" w:rsidRPr="00507D8A" w:rsidRDefault="00507D8A" w:rsidP="00507D8A">
      <w:pPr>
        <w:autoSpaceDE w:val="0"/>
        <w:autoSpaceDN w:val="0"/>
        <w:adjustRightInd w:val="0"/>
        <w:ind w:firstLine="567"/>
        <w:rPr>
          <w:rFonts w:eastAsia="Times New Roman" w:cs="Times New Roman"/>
          <w:color w:val="000000"/>
          <w:sz w:val="24"/>
          <w:szCs w:val="20"/>
          <w:highlight w:val="yellow"/>
        </w:rPr>
        <w:sectPr w:rsidR="00507D8A" w:rsidRPr="00507D8A" w:rsidSect="00162345">
          <w:headerReference w:type="even" r:id="rId53"/>
          <w:headerReference w:type="default" r:id="rId54"/>
          <w:footerReference w:type="even" r:id="rId55"/>
          <w:footerReference w:type="default" r:id="rId56"/>
          <w:headerReference w:type="first" r:id="rId57"/>
          <w:type w:val="continuous"/>
          <w:pgSz w:w="11906" w:h="16838"/>
          <w:pgMar w:top="1418" w:right="1134" w:bottom="709" w:left="1418" w:header="709" w:footer="624" w:gutter="0"/>
          <w:cols w:space="709"/>
          <w:titlePg/>
          <w:docGrid w:linePitch="381"/>
        </w:sectPr>
      </w:pPr>
    </w:p>
    <w:p w14:paraId="290590CC" w14:textId="0AF1D279" w:rsidR="00507D8A" w:rsidRPr="004576B5" w:rsidRDefault="00507D8A" w:rsidP="00507D8A">
      <w:pPr>
        <w:spacing w:after="120"/>
        <w:ind w:left="567" w:firstLine="0"/>
        <w:jc w:val="center"/>
        <w:rPr>
          <w:rFonts w:eastAsia="Calibri" w:cs="Times New Roman"/>
          <w:b/>
          <w:i/>
          <w:iCs/>
          <w:color w:val="000000"/>
          <w:sz w:val="24"/>
          <w:szCs w:val="24"/>
        </w:rPr>
      </w:pPr>
      <w:r w:rsidRPr="004576B5">
        <w:rPr>
          <w:rFonts w:eastAsia="Calibri" w:cs="Times New Roman"/>
          <w:b/>
          <w:i/>
          <w:iCs/>
          <w:sz w:val="24"/>
          <w:szCs w:val="24"/>
        </w:rPr>
        <w:t>6.5. att. Ar novecošanos saistītie publiskie izdevumi bāzes un riska scenārijā, % no IKP</w:t>
      </w:r>
      <w:r w:rsidRPr="004576B5">
        <w:rPr>
          <w:rFonts w:eastAsia="Calibri" w:cs="Times New Roman"/>
          <w:b/>
          <w:i/>
          <w:iCs/>
          <w:sz w:val="24"/>
          <w:szCs w:val="24"/>
        </w:rPr>
        <w:br/>
      </w:r>
      <w:r w:rsidRPr="004576B5">
        <w:rPr>
          <w:rFonts w:eastAsia="Calibri" w:cs="Times New Roman"/>
          <w:b/>
          <w:i/>
          <w:iCs/>
          <w:color w:val="000000"/>
          <w:sz w:val="24"/>
          <w:szCs w:val="24"/>
        </w:rPr>
        <w:t xml:space="preserve">(Datu avots: </w:t>
      </w:r>
      <w:r w:rsidRPr="004576B5">
        <w:rPr>
          <w:rFonts w:eastAsia="Calibri" w:cs="Times New Roman"/>
          <w:b/>
          <w:i/>
          <w:iCs/>
          <w:noProof/>
          <w:sz w:val="24"/>
          <w:szCs w:val="24"/>
        </w:rPr>
        <w:t>Ageing Report 2024</w:t>
      </w:r>
      <w:r w:rsidRPr="004576B5">
        <w:rPr>
          <w:rFonts w:eastAsia="Calibri" w:cs="Times New Roman"/>
          <w:b/>
          <w:i/>
          <w:iCs/>
          <w:color w:val="000000"/>
          <w:sz w:val="24"/>
          <w:szCs w:val="24"/>
        </w:rPr>
        <w:t>)</w:t>
      </w:r>
      <w:r w:rsidR="00EC23E4" w:rsidRPr="00EC23E4">
        <w:rPr>
          <w:rFonts w:eastAsia="Calibri" w:cs="Times New Roman"/>
          <w:bCs/>
          <w:i/>
          <w:iCs/>
          <w:color w:val="000000"/>
          <w:sz w:val="24"/>
          <w:szCs w:val="24"/>
          <w:vertAlign w:val="superscript"/>
        </w:rPr>
        <w:t>25</w:t>
      </w:r>
      <w:r w:rsidR="00A542CD" w:rsidRPr="004576B5">
        <w:rPr>
          <w:rFonts w:ascii="Garamond" w:eastAsia="Times New Roman" w:hAnsi="Garamond" w:cs="Times New Roman"/>
          <w:i/>
          <w:iCs/>
          <w:color w:val="000000"/>
          <w:sz w:val="20"/>
          <w:szCs w:val="20"/>
          <w:vertAlign w:val="superscript"/>
        </w:rPr>
        <w:t xml:space="preserve"> </w:t>
      </w:r>
    </w:p>
    <w:p w14:paraId="5590A817" w14:textId="72B4F82F" w:rsidR="00507D8A" w:rsidRPr="004576B5" w:rsidRDefault="00507D8A" w:rsidP="00507D8A">
      <w:pPr>
        <w:spacing w:after="120"/>
        <w:ind w:left="567" w:firstLine="0"/>
        <w:jc w:val="center"/>
        <w:rPr>
          <w:rFonts w:eastAsia="Calibri" w:cs="Times New Roman"/>
          <w:b/>
          <w:i/>
          <w:iCs/>
          <w:sz w:val="24"/>
          <w:szCs w:val="24"/>
        </w:rPr>
      </w:pPr>
      <w:r w:rsidRPr="004576B5">
        <w:rPr>
          <w:rFonts w:eastAsia="Calibri" w:cs="Times New Roman"/>
          <w:b/>
          <w:i/>
          <w:iCs/>
          <w:sz w:val="24"/>
          <w:szCs w:val="24"/>
        </w:rPr>
        <w:t>6.6. att. Ar novecošanos saistītie publiskie izdevumi pa pozīcijām,</w:t>
      </w:r>
      <w:r w:rsidRPr="004576B5">
        <w:rPr>
          <w:rFonts w:eastAsia="Calibri" w:cs="Times New Roman"/>
          <w:b/>
          <w:i/>
          <w:iCs/>
          <w:sz w:val="24"/>
          <w:szCs w:val="24"/>
        </w:rPr>
        <w:br/>
        <w:t>% no IKP</w:t>
      </w:r>
      <w:r w:rsidRPr="004576B5">
        <w:rPr>
          <w:rFonts w:eastAsia="Calibri" w:cs="Times New Roman"/>
          <w:b/>
          <w:i/>
          <w:iCs/>
          <w:sz w:val="24"/>
          <w:szCs w:val="24"/>
        </w:rPr>
        <w:br/>
      </w:r>
      <w:r w:rsidRPr="004576B5">
        <w:rPr>
          <w:rFonts w:eastAsia="Calibri" w:cs="Times New Roman"/>
          <w:b/>
          <w:i/>
          <w:iCs/>
          <w:color w:val="000000"/>
          <w:sz w:val="24"/>
          <w:szCs w:val="24"/>
        </w:rPr>
        <w:t xml:space="preserve">(Datu avots: </w:t>
      </w:r>
      <w:r w:rsidRPr="004576B5">
        <w:rPr>
          <w:rFonts w:eastAsia="Calibri" w:cs="Times New Roman"/>
          <w:b/>
          <w:i/>
          <w:iCs/>
          <w:noProof/>
          <w:sz w:val="24"/>
          <w:szCs w:val="24"/>
        </w:rPr>
        <w:t>Ageing Report 2024</w:t>
      </w:r>
      <w:r w:rsidRPr="004576B5">
        <w:rPr>
          <w:rFonts w:eastAsia="Calibri" w:cs="Times New Roman"/>
          <w:b/>
          <w:i/>
          <w:iCs/>
          <w:noProof/>
          <w:color w:val="000000"/>
          <w:sz w:val="24"/>
          <w:szCs w:val="24"/>
        </w:rPr>
        <w:t>)</w:t>
      </w:r>
    </w:p>
    <w:p w14:paraId="298D6D39" w14:textId="77777777" w:rsidR="00507D8A" w:rsidRPr="00507D8A" w:rsidRDefault="00507D8A" w:rsidP="00507D8A">
      <w:pPr>
        <w:spacing w:after="120"/>
        <w:ind w:firstLine="0"/>
        <w:rPr>
          <w:rFonts w:eastAsia="Times New Roman" w:cs="Times New Roman"/>
          <w:sz w:val="24"/>
          <w:szCs w:val="24"/>
        </w:rPr>
        <w:sectPr w:rsidR="00507D8A" w:rsidRPr="00507D8A" w:rsidSect="00162345">
          <w:type w:val="continuous"/>
          <w:pgSz w:w="11906" w:h="16838"/>
          <w:pgMar w:top="1418" w:right="1134" w:bottom="709" w:left="1418" w:header="709" w:footer="709" w:gutter="0"/>
          <w:cols w:num="2" w:space="709"/>
          <w:titlePg/>
          <w:docGrid w:linePitch="381"/>
        </w:sectPr>
      </w:pPr>
    </w:p>
    <w:p w14:paraId="31A3E8A4" w14:textId="4492E2F9" w:rsidR="00507D8A" w:rsidRPr="00507D8A" w:rsidRDefault="00507D8A" w:rsidP="00BA387D">
      <w:pPr>
        <w:autoSpaceDE w:val="0"/>
        <w:autoSpaceDN w:val="0"/>
        <w:adjustRightInd w:val="0"/>
        <w:spacing w:before="240"/>
        <w:rPr>
          <w:rFonts w:eastAsia="Times New Roman" w:cs="Times New Roman"/>
          <w:color w:val="000000"/>
          <w:sz w:val="24"/>
          <w:szCs w:val="20"/>
        </w:rPr>
      </w:pPr>
      <w:r w:rsidRPr="00507D8A">
        <w:rPr>
          <w:rFonts w:eastAsia="Times New Roman" w:cs="Times New Roman"/>
          <w:noProof/>
          <w:color w:val="000000"/>
          <w:sz w:val="24"/>
          <w:szCs w:val="20"/>
        </w:rPr>
        <w:t>Pensiju izdevumu prognožu pamatā</w:t>
      </w:r>
      <w:r w:rsidR="00EC23E4" w:rsidRPr="00A70F73">
        <w:rPr>
          <w:rFonts w:eastAsia="Calibri" w:cs="Times New Roman"/>
          <w:b/>
          <w:i/>
          <w:iCs/>
          <w:color w:val="FFFFFF" w:themeColor="background1"/>
          <w:sz w:val="10"/>
          <w:szCs w:val="10"/>
          <w:vertAlign w:val="superscript"/>
        </w:rPr>
        <w:footnoteReference w:id="26"/>
      </w:r>
      <w:r w:rsidRPr="00507D8A">
        <w:rPr>
          <w:rFonts w:eastAsia="Times New Roman" w:cs="Times New Roman"/>
          <w:noProof/>
          <w:color w:val="000000"/>
          <w:sz w:val="24"/>
          <w:szCs w:val="20"/>
        </w:rPr>
        <w:t xml:space="preserve">(skat. 6.6. attēlu) ir </w:t>
      </w:r>
      <w:r w:rsidR="00DF009D">
        <w:rPr>
          <w:rFonts w:eastAsia="Times New Roman" w:cs="Times New Roman"/>
          <w:noProof/>
          <w:color w:val="000000"/>
          <w:sz w:val="24"/>
          <w:szCs w:val="20"/>
        </w:rPr>
        <w:t>LM</w:t>
      </w:r>
      <w:r w:rsidRPr="00507D8A">
        <w:rPr>
          <w:rFonts w:eastAsia="Times New Roman" w:cs="Times New Roman"/>
          <w:noProof/>
          <w:color w:val="000000"/>
          <w:sz w:val="24"/>
          <w:szCs w:val="20"/>
        </w:rPr>
        <w:t xml:space="preserve"> sagatavotās prognozes, kas paredz pensiju izdevumu īpatsvara </w:t>
      </w:r>
      <w:r w:rsidR="006D0B71">
        <w:rPr>
          <w:rFonts w:eastAsia="Times New Roman" w:cs="Times New Roman"/>
          <w:noProof/>
          <w:color w:val="000000"/>
          <w:sz w:val="24"/>
          <w:szCs w:val="20"/>
        </w:rPr>
        <w:t>IKP</w:t>
      </w:r>
      <w:r w:rsidRPr="00507D8A">
        <w:rPr>
          <w:rFonts w:eastAsia="Times New Roman" w:cs="Times New Roman"/>
          <w:noProof/>
          <w:color w:val="000000"/>
          <w:sz w:val="24"/>
          <w:szCs w:val="20"/>
        </w:rPr>
        <w:t xml:space="preserve"> samazināšanos no 7,2% no IKP 2022. gadā līdz 5,4% no IKP 2070. gadā. Izdevumu īpatsvara </w:t>
      </w:r>
      <w:r w:rsidR="006D0B71">
        <w:rPr>
          <w:rFonts w:eastAsia="Times New Roman" w:cs="Times New Roman"/>
          <w:noProof/>
          <w:color w:val="000000"/>
          <w:sz w:val="24"/>
          <w:szCs w:val="20"/>
        </w:rPr>
        <w:t>IKP</w:t>
      </w:r>
      <w:r w:rsidRPr="00507D8A">
        <w:rPr>
          <w:rFonts w:eastAsia="Times New Roman" w:cs="Times New Roman"/>
          <w:noProof/>
          <w:color w:val="000000"/>
          <w:sz w:val="24"/>
          <w:szCs w:val="20"/>
        </w:rPr>
        <w:t xml:space="preserve"> samazināšanos, it īpaši līdz 2025. gadam veicina pensiju reforma, paaugstinot pensionēšanās vecumu līdz 65 gadiem, kā rezultātā samazinās pensiju saņēmēju skaits un pirmspensijas vecuma iedzīvotāji ilgāk atrodas darba tirgū. Taču turpmākās pensiju izdevumu prognozes galvenokārt noteiks pensionāru skaita izmaiņas atbilstoši demogrāfiskajām prognozēm. Visstraujāk pensiju izdevumu īpatsvars IKP saruks sākot ar aptuveni 2055.-2060. gadu, būtiski samazinoties jauno pensiju saņēmēju skaitam (20. gs. 90. gados dzimušie). </w:t>
      </w:r>
      <w:r w:rsidRPr="00507D8A">
        <w:rPr>
          <w:rFonts w:eastAsia="Times New Roman" w:cs="Times New Roman"/>
          <w:color w:val="000000"/>
          <w:sz w:val="24"/>
          <w:szCs w:val="20"/>
        </w:rPr>
        <w:t>Pensiju izdevumu prognozes sagatavotas pie nemainīgas politikas scenārija, ņemot vērā tās likumdošanas izmaiņas, kas ir pieņemtas līdz 2023. gada oktobrim.</w:t>
      </w:r>
      <w:r w:rsidR="00A542CD" w:rsidRPr="00A542CD">
        <w:rPr>
          <w:rStyle w:val="FootnoteReference"/>
          <w:rFonts w:eastAsia="Times New Roman" w:cs="Times New Roman"/>
          <w:color w:val="000000"/>
          <w:szCs w:val="20"/>
        </w:rPr>
        <w:t xml:space="preserve"> </w:t>
      </w:r>
    </w:p>
    <w:p w14:paraId="7820B99C" w14:textId="77777777" w:rsidR="00507D8A" w:rsidRPr="00507D8A" w:rsidRDefault="00507D8A" w:rsidP="00BA387D">
      <w:pPr>
        <w:rPr>
          <w:rFonts w:eastAsia="Times New Roman" w:cs="Times New Roman"/>
          <w:noProof/>
          <w:sz w:val="24"/>
          <w:szCs w:val="24"/>
        </w:rPr>
      </w:pPr>
      <w:r w:rsidRPr="00507D8A">
        <w:rPr>
          <w:rFonts w:eastAsia="Times New Roman" w:cs="Times New Roman"/>
          <w:noProof/>
          <w:sz w:val="24"/>
          <w:szCs w:val="24"/>
        </w:rPr>
        <w:t xml:space="preserve">Tiek prognozēts, ka veselības aprūpes izdevumi samazināsies no 6,0% no IKP 2022. gadā līdz 5,8% no IKP 2070. gadā. Taču jāņem vērā, ka vēl 2022. gadā izdevumos tika iekļauti Covid-19 atbalsta pasākumi, tāpēc, salīdzinājumā, piemēram, ar 2024. gadu (5,3% no IKP) izdevumi ilgtermiņā pieaugs. To noteiks lielāks veselības aprūpes pakalpojumu pieprasījums, palielinoties mūža ilgumam un iedzīvotājiem novecojot. Līdzīga tendence, ņemot vērā pieaugošo nepieciešamību pēc ilgtermiņa aprūpes pakalpojumiem,  ir arī ilgstošās aprūpes izdevumiem – tiek prognozēts to pieaugums no 0,5% IKP 2022. gadā līdz 0,8% IKP 2070. gadā. </w:t>
      </w:r>
    </w:p>
    <w:p w14:paraId="48A832FE" w14:textId="38FEA9B5" w:rsidR="0005631E" w:rsidRPr="00FF1B5A" w:rsidRDefault="00507D8A" w:rsidP="00FF1B5A">
      <w:pPr>
        <w:rPr>
          <w:rFonts w:eastAsia="Times New Roman" w:cs="Times New Roman"/>
          <w:noProof/>
          <w:sz w:val="24"/>
          <w:szCs w:val="20"/>
        </w:rPr>
      </w:pPr>
      <w:r w:rsidRPr="00507D8A">
        <w:rPr>
          <w:rFonts w:eastAsia="Times New Roman" w:cs="Times New Roman"/>
          <w:noProof/>
          <w:sz w:val="24"/>
          <w:szCs w:val="20"/>
        </w:rPr>
        <w:t>Papildus bāzes scenārijam tika izstrādāti arī vairāki jutīguma testi un alternatīvie scenāriji pie dažādiem pieņēmumiem. Riska scenārijā tiek prognozēts, ka publiskie izdevumi, kas ir saistīti ar iedzīvotāju novecošanos, salīdzinājumā ar 2022. gadu varētu palielināties par 1,4 procentpunktiem un 2070. gadā sasniegt 18,9% no IKP. Riska scenārijā galvenokārt palielinātos izdevumi veselības aprūpei un ilgstošajai aprūpei, ņemot vērā gan iespējamo</w:t>
      </w:r>
      <w:r w:rsidR="00EC23E4">
        <w:rPr>
          <w:rFonts w:eastAsia="Times New Roman" w:cs="Times New Roman"/>
          <w:noProof/>
          <w:sz w:val="24"/>
          <w:szCs w:val="20"/>
        </w:rPr>
        <w:t xml:space="preserve"> </w:t>
      </w:r>
      <w:r w:rsidRPr="00507D8A">
        <w:rPr>
          <w:rFonts w:eastAsia="Times New Roman" w:cs="Times New Roman"/>
          <w:noProof/>
          <w:sz w:val="24"/>
          <w:szCs w:val="20"/>
        </w:rPr>
        <w:t>izmaksu sadārdzināšanos, attīstoties tehnoloģijām, gan izmaksām uz 1 saņēmēju konverģējot ar ES vidējiem rādītājiem.</w:t>
      </w:r>
    </w:p>
    <w:p w14:paraId="7A953D57" w14:textId="615485BC" w:rsidR="00BF4753" w:rsidRPr="008C2C03" w:rsidRDefault="00BF4753" w:rsidP="00FF1B5A">
      <w:pPr>
        <w:pStyle w:val="Heading2"/>
        <w:numPr>
          <w:ilvl w:val="0"/>
          <w:numId w:val="0"/>
        </w:numPr>
        <w:spacing w:before="0" w:after="240"/>
        <w:rPr>
          <w:rFonts w:eastAsia="Times New Roman" w:cs="Times New Roman"/>
          <w:sz w:val="22"/>
          <w:szCs w:val="18"/>
        </w:rPr>
      </w:pPr>
      <w:bookmarkStart w:id="77" w:name="_Toc164679841"/>
      <w:r w:rsidRPr="008C2C03">
        <w:rPr>
          <w:rFonts w:eastAsia="Times New Roman"/>
          <w:sz w:val="28"/>
          <w:szCs w:val="24"/>
          <w:lang w:eastAsia="lv-LV"/>
        </w:rPr>
        <w:lastRenderedPageBreak/>
        <w:t>6.2. Valsts sniegtie galvojumi</w:t>
      </w:r>
      <w:bookmarkEnd w:id="77"/>
    </w:p>
    <w:p w14:paraId="210FA02E" w14:textId="2E5300AA" w:rsidR="009A7932" w:rsidRPr="009A7932" w:rsidRDefault="009A7932" w:rsidP="009A7932">
      <w:pPr>
        <w:ind w:firstLine="709"/>
        <w:rPr>
          <w:rFonts w:eastAsia="Times New Roman" w:cs="Times New Roman"/>
          <w:sz w:val="24"/>
          <w:szCs w:val="24"/>
        </w:rPr>
      </w:pPr>
      <w:r w:rsidRPr="009A7932">
        <w:rPr>
          <w:rFonts w:eastAsia="Times New Roman" w:cs="Times New Roman"/>
          <w:sz w:val="24"/>
          <w:szCs w:val="24"/>
        </w:rPr>
        <w:t xml:space="preserve">Likums “Par valsts budžetu 2023. gadam un budžeta ietvaru 2023., 2024., un 2025. gadam” jaunus valsts vārdā sniedzamos galvojumus neparedzēja, taču noteica, ka saskaņā ar </w:t>
      </w:r>
      <w:hyperlink r:id="rId58" w:tgtFrame="_blank" w:history="1">
        <w:r w:rsidRPr="009A7932">
          <w:rPr>
            <w:rFonts w:eastAsia="Times New Roman" w:cs="Times New Roman"/>
            <w:sz w:val="24"/>
            <w:szCs w:val="24"/>
          </w:rPr>
          <w:t>Lauksaimniecības un lauku attīstības likumu</w:t>
        </w:r>
      </w:hyperlink>
      <w:r w:rsidRPr="009A7932">
        <w:rPr>
          <w:rFonts w:eastAsia="Times New Roman" w:cs="Times New Roman"/>
          <w:sz w:val="24"/>
          <w:szCs w:val="24"/>
        </w:rPr>
        <w:t xml:space="preserve"> un </w:t>
      </w:r>
      <w:hyperlink r:id="rId59" w:tgtFrame="_blank" w:history="1">
        <w:r w:rsidRPr="009A7932">
          <w:rPr>
            <w:rFonts w:eastAsia="Times New Roman" w:cs="Times New Roman"/>
            <w:sz w:val="24"/>
            <w:szCs w:val="24"/>
          </w:rPr>
          <w:t>Attīstības finanšu institūcijas likumu</w:t>
        </w:r>
      </w:hyperlink>
      <w:r w:rsidRPr="009A7932">
        <w:rPr>
          <w:rFonts w:eastAsia="Times New Roman" w:cs="Times New Roman"/>
          <w:sz w:val="24"/>
          <w:szCs w:val="24"/>
        </w:rPr>
        <w:t xml:space="preserve"> valsts 250,0 milj. </w:t>
      </w:r>
      <w:proofErr w:type="spellStart"/>
      <w:r w:rsidRPr="009A7932">
        <w:rPr>
          <w:rFonts w:eastAsia="Times New Roman" w:cs="Times New Roman"/>
          <w:i/>
          <w:sz w:val="24"/>
          <w:szCs w:val="24"/>
        </w:rPr>
        <w:t>euro</w:t>
      </w:r>
      <w:proofErr w:type="spellEnd"/>
      <w:r w:rsidRPr="009A7932">
        <w:rPr>
          <w:rFonts w:eastAsia="Times New Roman" w:cs="Times New Roman"/>
          <w:sz w:val="24"/>
          <w:szCs w:val="24"/>
        </w:rPr>
        <w:t xml:space="preserve"> apmērā atbild par </w:t>
      </w:r>
      <w:proofErr w:type="spellStart"/>
      <w:r w:rsidRPr="009A7932">
        <w:rPr>
          <w:rFonts w:eastAsia="Times New Roman" w:cs="Times New Roman"/>
          <w:sz w:val="24"/>
          <w:szCs w:val="24"/>
        </w:rPr>
        <w:t>Altum</w:t>
      </w:r>
      <w:proofErr w:type="spellEnd"/>
      <w:r w:rsidR="007C1EEE">
        <w:rPr>
          <w:rFonts w:eastAsia="Times New Roman" w:cs="Times New Roman"/>
          <w:sz w:val="24"/>
          <w:szCs w:val="24"/>
        </w:rPr>
        <w:t xml:space="preserve"> </w:t>
      </w:r>
      <w:r w:rsidRPr="009A7932">
        <w:rPr>
          <w:rFonts w:eastAsia="Times New Roman" w:cs="Times New Roman"/>
          <w:sz w:val="24"/>
          <w:szCs w:val="24"/>
        </w:rPr>
        <w:t>izsniegtajām garantijām.</w:t>
      </w:r>
      <w:r w:rsidRPr="009A7932">
        <w:rPr>
          <w:rFonts w:eastAsia="Calibri" w:cs="Times New Roman"/>
          <w:sz w:val="24"/>
          <w:szCs w:val="24"/>
          <w:highlight w:val="cyan"/>
        </w:rPr>
        <w:t xml:space="preserve"> </w:t>
      </w:r>
    </w:p>
    <w:p w14:paraId="6F80D242" w14:textId="576278B1" w:rsidR="009A7932" w:rsidRPr="009A7932" w:rsidRDefault="009A7932" w:rsidP="009A7932">
      <w:pPr>
        <w:ind w:firstLine="709"/>
        <w:rPr>
          <w:rFonts w:eastAsia="Times New Roman" w:cs="Times New Roman"/>
          <w:bCs/>
          <w:sz w:val="24"/>
          <w:szCs w:val="24"/>
          <w:lang w:eastAsia="lv-LV"/>
        </w:rPr>
      </w:pPr>
      <w:r w:rsidRPr="009A7932">
        <w:rPr>
          <w:rFonts w:eastAsia="Times New Roman" w:cs="Times New Roman"/>
          <w:bCs/>
          <w:sz w:val="24"/>
          <w:szCs w:val="24"/>
          <w:lang w:eastAsia="lv-LV"/>
        </w:rPr>
        <w:t>Kopējais valsts vārdā sniegto galvojumu atlikums 2023. gada beigās bija 354,6 milj. </w:t>
      </w:r>
      <w:proofErr w:type="spellStart"/>
      <w:r w:rsidRPr="009A7932">
        <w:rPr>
          <w:rFonts w:eastAsia="Times New Roman" w:cs="Times New Roman"/>
          <w:bCs/>
          <w:i/>
          <w:sz w:val="24"/>
          <w:szCs w:val="24"/>
          <w:lang w:eastAsia="lv-LV"/>
        </w:rPr>
        <w:t>euro</w:t>
      </w:r>
      <w:proofErr w:type="spellEnd"/>
      <w:r w:rsidRPr="009A7932">
        <w:rPr>
          <w:rFonts w:eastAsia="Times New Roman" w:cs="Times New Roman"/>
          <w:bCs/>
          <w:sz w:val="24"/>
          <w:szCs w:val="24"/>
          <w:lang w:eastAsia="lv-LV"/>
        </w:rPr>
        <w:t xml:space="preserve"> jeb nedaudz mazāk par </w:t>
      </w:r>
      <w:r w:rsidRPr="009A7932">
        <w:rPr>
          <w:rFonts w:eastAsia="Times New Roman" w:cs="Times New Roman"/>
          <w:sz w:val="24"/>
          <w:szCs w:val="24"/>
          <w:lang w:eastAsia="lv-LV"/>
        </w:rPr>
        <w:t>1 % no IKP</w:t>
      </w:r>
      <w:r w:rsidRPr="009A7932">
        <w:rPr>
          <w:rFonts w:eastAsia="Times New Roman" w:cs="Times New Roman"/>
          <w:bCs/>
          <w:sz w:val="24"/>
          <w:szCs w:val="24"/>
          <w:lang w:eastAsia="lv-LV"/>
        </w:rPr>
        <w:t xml:space="preserve"> (sk. </w:t>
      </w:r>
      <w:r w:rsidR="00E613C4">
        <w:rPr>
          <w:rFonts w:eastAsia="Times New Roman" w:cs="Times New Roman"/>
          <w:bCs/>
          <w:sz w:val="24"/>
          <w:szCs w:val="24"/>
          <w:lang w:eastAsia="lv-LV"/>
        </w:rPr>
        <w:t>6.7</w:t>
      </w:r>
      <w:r w:rsidRPr="009A7932">
        <w:rPr>
          <w:rFonts w:eastAsia="Times New Roman" w:cs="Times New Roman"/>
          <w:bCs/>
          <w:sz w:val="24"/>
          <w:szCs w:val="24"/>
          <w:lang w:eastAsia="lv-LV"/>
        </w:rPr>
        <w:t>.</w:t>
      </w:r>
      <w:r w:rsidR="00E613C4">
        <w:rPr>
          <w:rFonts w:eastAsia="Times New Roman" w:cs="Times New Roman"/>
          <w:bCs/>
          <w:sz w:val="24"/>
          <w:szCs w:val="24"/>
          <w:lang w:eastAsia="lv-LV"/>
        </w:rPr>
        <w:t xml:space="preserve"> </w:t>
      </w:r>
      <w:r w:rsidRPr="009A7932">
        <w:rPr>
          <w:rFonts w:eastAsia="Times New Roman" w:cs="Times New Roman"/>
          <w:bCs/>
          <w:sz w:val="24"/>
          <w:szCs w:val="24"/>
          <w:lang w:eastAsia="lv-LV"/>
        </w:rPr>
        <w:t xml:space="preserve">attēlu), savukārt neizmaksātais, </w:t>
      </w:r>
      <w:r w:rsidRPr="009A7932">
        <w:rPr>
          <w:rFonts w:eastAsia="Times New Roman" w:cs="Times New Roman"/>
          <w:sz w:val="24"/>
          <w:szCs w:val="24"/>
        </w:rPr>
        <w:t>bet vēl pieejamais valsts vārdā sniegto galvojumu apmērs bija 187,3 milj. </w:t>
      </w:r>
      <w:proofErr w:type="spellStart"/>
      <w:r w:rsidRPr="009A7932">
        <w:rPr>
          <w:rFonts w:eastAsia="Times New Roman" w:cs="Times New Roman"/>
          <w:bCs/>
          <w:i/>
          <w:sz w:val="24"/>
          <w:szCs w:val="24"/>
          <w:lang w:eastAsia="lv-LV"/>
        </w:rPr>
        <w:t>euro</w:t>
      </w:r>
      <w:proofErr w:type="spellEnd"/>
      <w:r w:rsidRPr="009A7932">
        <w:rPr>
          <w:rFonts w:eastAsia="Times New Roman" w:cs="Times New Roman"/>
          <w:bCs/>
          <w:i/>
          <w:sz w:val="24"/>
          <w:szCs w:val="24"/>
          <w:lang w:eastAsia="lv-LV"/>
        </w:rPr>
        <w:t xml:space="preserve"> </w:t>
      </w:r>
      <w:r w:rsidRPr="009A7932">
        <w:rPr>
          <w:rFonts w:eastAsia="Times New Roman" w:cs="Times New Roman"/>
          <w:bCs/>
          <w:sz w:val="24"/>
          <w:szCs w:val="24"/>
          <w:lang w:eastAsia="lv-LV"/>
        </w:rPr>
        <w:t>apmērā.</w:t>
      </w:r>
    </w:p>
    <w:p w14:paraId="3C0F2E1B" w14:textId="77777777" w:rsidR="009A7932" w:rsidRPr="009A7932" w:rsidRDefault="009A7932" w:rsidP="009A7932">
      <w:pPr>
        <w:ind w:firstLine="0"/>
        <w:jc w:val="center"/>
        <w:rPr>
          <w:rFonts w:eastAsia="Times New Roman" w:cs="Times New Roman"/>
          <w:bCs/>
          <w:sz w:val="24"/>
          <w:szCs w:val="26"/>
        </w:rPr>
      </w:pPr>
    </w:p>
    <w:p w14:paraId="2D688CAA" w14:textId="77777777" w:rsidR="009A7932" w:rsidRPr="009A7932" w:rsidRDefault="009A7932" w:rsidP="009A7932">
      <w:pPr>
        <w:ind w:firstLine="0"/>
        <w:jc w:val="center"/>
        <w:rPr>
          <w:rFonts w:eastAsia="Times New Roman" w:cs="Times New Roman"/>
          <w:bCs/>
          <w:sz w:val="24"/>
          <w:szCs w:val="26"/>
        </w:rPr>
      </w:pPr>
    </w:p>
    <w:p w14:paraId="1EE91AD8" w14:textId="77777777" w:rsidR="009A7932" w:rsidRPr="009A7932" w:rsidRDefault="009A7932" w:rsidP="009A7932">
      <w:pPr>
        <w:ind w:firstLine="0"/>
        <w:jc w:val="center"/>
        <w:rPr>
          <w:rFonts w:eastAsia="Times New Roman" w:cs="Times New Roman"/>
          <w:bCs/>
          <w:sz w:val="24"/>
          <w:szCs w:val="26"/>
        </w:rPr>
      </w:pPr>
      <w:r w:rsidRPr="009A7932">
        <w:rPr>
          <w:rFonts w:eastAsia="Times New Roman" w:cs="Times New Roman"/>
          <w:bCs/>
          <w:noProof/>
          <w:sz w:val="24"/>
          <w:szCs w:val="26"/>
          <w:lang w:eastAsia="lv-LV"/>
        </w:rPr>
        <w:drawing>
          <wp:inline distT="0" distB="0" distL="0" distR="0" wp14:anchorId="168BDC83" wp14:editId="0E975D2B">
            <wp:extent cx="4000230" cy="2324100"/>
            <wp:effectExtent l="0" t="0" r="635" b="0"/>
            <wp:docPr id="1852820182" name="Picture 1852820182"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20182" name="Picture 1852820182" descr="A graph with numbers and a line&#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19092" cy="2335059"/>
                    </a:xfrm>
                    <a:prstGeom prst="rect">
                      <a:avLst/>
                    </a:prstGeom>
                    <a:noFill/>
                  </pic:spPr>
                </pic:pic>
              </a:graphicData>
            </a:graphic>
          </wp:inline>
        </w:drawing>
      </w:r>
    </w:p>
    <w:p w14:paraId="6FB79613" w14:textId="39A09FBC" w:rsidR="009A7932" w:rsidRPr="009A7932" w:rsidRDefault="00E613C4" w:rsidP="009A7932">
      <w:pPr>
        <w:ind w:firstLine="0"/>
        <w:jc w:val="center"/>
        <w:rPr>
          <w:rFonts w:eastAsia="Times New Roman" w:cs="Times New Roman"/>
          <w:b/>
          <w:bCs/>
          <w:i/>
          <w:sz w:val="24"/>
          <w:szCs w:val="26"/>
        </w:rPr>
      </w:pPr>
      <w:r>
        <w:rPr>
          <w:rFonts w:eastAsia="Times New Roman" w:cs="Times New Roman"/>
          <w:b/>
          <w:bCs/>
          <w:i/>
          <w:sz w:val="24"/>
          <w:szCs w:val="26"/>
        </w:rPr>
        <w:t>6.7</w:t>
      </w:r>
      <w:r w:rsidR="009A7932" w:rsidRPr="009A7932">
        <w:rPr>
          <w:rFonts w:eastAsia="Times New Roman" w:cs="Times New Roman"/>
          <w:b/>
          <w:bCs/>
          <w:i/>
          <w:sz w:val="24"/>
          <w:szCs w:val="26"/>
        </w:rPr>
        <w:t>.</w:t>
      </w:r>
      <w:r>
        <w:rPr>
          <w:rFonts w:eastAsia="Times New Roman" w:cs="Times New Roman"/>
          <w:b/>
          <w:bCs/>
          <w:i/>
          <w:sz w:val="24"/>
          <w:szCs w:val="26"/>
        </w:rPr>
        <w:t xml:space="preserve"> </w:t>
      </w:r>
      <w:r w:rsidR="009A7932" w:rsidRPr="009A7932">
        <w:rPr>
          <w:rFonts w:eastAsia="Times New Roman" w:cs="Times New Roman"/>
          <w:b/>
          <w:bCs/>
          <w:i/>
          <w:sz w:val="24"/>
          <w:szCs w:val="26"/>
        </w:rPr>
        <w:t>att. Valsts vārdā izsniegto galvojumu atlikums attiecīgā gada beigās (milj. </w:t>
      </w:r>
      <w:proofErr w:type="spellStart"/>
      <w:r w:rsidR="009A7932" w:rsidRPr="009A7932">
        <w:rPr>
          <w:rFonts w:eastAsia="Times New Roman" w:cs="Times New Roman"/>
          <w:b/>
          <w:bCs/>
          <w:i/>
          <w:sz w:val="24"/>
          <w:szCs w:val="26"/>
        </w:rPr>
        <w:t>euro</w:t>
      </w:r>
      <w:proofErr w:type="spellEnd"/>
      <w:r w:rsidR="009A7932" w:rsidRPr="009A7932">
        <w:rPr>
          <w:rFonts w:eastAsia="Times New Roman" w:cs="Times New Roman"/>
          <w:b/>
          <w:bCs/>
          <w:i/>
          <w:sz w:val="24"/>
          <w:szCs w:val="26"/>
        </w:rPr>
        <w:t>)</w:t>
      </w:r>
    </w:p>
    <w:p w14:paraId="71054D49" w14:textId="77777777" w:rsidR="009A7932" w:rsidRPr="009A7932" w:rsidRDefault="009A7932" w:rsidP="009A7932">
      <w:pPr>
        <w:ind w:firstLine="0"/>
        <w:jc w:val="center"/>
        <w:rPr>
          <w:rFonts w:eastAsia="Times New Roman" w:cs="Times New Roman"/>
          <w:sz w:val="20"/>
          <w:szCs w:val="20"/>
          <w:lang w:eastAsia="lv-LV"/>
        </w:rPr>
      </w:pPr>
    </w:p>
    <w:p w14:paraId="7372E96B" w14:textId="197A21C4" w:rsidR="009A7932" w:rsidRPr="009A7932" w:rsidRDefault="009A7932" w:rsidP="009A7932">
      <w:pPr>
        <w:ind w:firstLine="567"/>
        <w:rPr>
          <w:rFonts w:eastAsia="Times New Roman" w:cs="Times New Roman"/>
          <w:sz w:val="24"/>
          <w:szCs w:val="26"/>
        </w:rPr>
      </w:pPr>
      <w:r w:rsidRPr="009A7932">
        <w:rPr>
          <w:rFonts w:eastAsia="Times New Roman" w:cs="Times New Roman"/>
          <w:sz w:val="24"/>
          <w:szCs w:val="26"/>
        </w:rPr>
        <w:t xml:space="preserve">Valsts vārdā sniegto galvojumu portfelī lielāko apjomu veido galvojumi par </w:t>
      </w:r>
      <w:proofErr w:type="spellStart"/>
      <w:r w:rsidRPr="009A7932">
        <w:rPr>
          <w:rFonts w:eastAsia="Times New Roman" w:cs="Times New Roman"/>
          <w:sz w:val="24"/>
          <w:szCs w:val="24"/>
        </w:rPr>
        <w:t>Altum</w:t>
      </w:r>
      <w:proofErr w:type="spellEnd"/>
      <w:r w:rsidR="00DF009D">
        <w:rPr>
          <w:rFonts w:eastAsia="Times New Roman" w:cs="Times New Roman"/>
          <w:sz w:val="24"/>
          <w:szCs w:val="26"/>
        </w:rPr>
        <w:t xml:space="preserve"> </w:t>
      </w:r>
      <w:r w:rsidRPr="009A7932">
        <w:rPr>
          <w:rFonts w:eastAsia="Times New Roman" w:cs="Times New Roman"/>
          <w:sz w:val="24"/>
          <w:szCs w:val="26"/>
        </w:rPr>
        <w:t>izsniegtajām garantijām kredītiestādēm par lauksaimnieku aizņēmumiem (</w:t>
      </w:r>
      <w:proofErr w:type="spellStart"/>
      <w:r w:rsidRPr="009A7932">
        <w:rPr>
          <w:rFonts w:eastAsia="Times New Roman" w:cs="Times New Roman"/>
          <w:sz w:val="24"/>
          <w:szCs w:val="26"/>
        </w:rPr>
        <w:t>pārgalvojumi</w:t>
      </w:r>
      <w:proofErr w:type="spellEnd"/>
      <w:r w:rsidRPr="009A7932">
        <w:rPr>
          <w:rFonts w:eastAsia="Times New Roman" w:cs="Times New Roman"/>
          <w:sz w:val="24"/>
          <w:szCs w:val="26"/>
        </w:rPr>
        <w:t xml:space="preserve">) un galvojumi Eiropas Investīciju bankai par </w:t>
      </w:r>
      <w:proofErr w:type="spellStart"/>
      <w:r w:rsidRPr="009A7932">
        <w:rPr>
          <w:rFonts w:eastAsia="Times New Roman" w:cs="Times New Roman"/>
          <w:sz w:val="24"/>
          <w:szCs w:val="24"/>
        </w:rPr>
        <w:t>Altum</w:t>
      </w:r>
      <w:proofErr w:type="spellEnd"/>
      <w:r w:rsidRPr="009A7932">
        <w:rPr>
          <w:rFonts w:eastAsia="Times New Roman" w:cs="Times New Roman"/>
          <w:sz w:val="24"/>
          <w:szCs w:val="26"/>
        </w:rPr>
        <w:t xml:space="preserve"> izsniegtajiem aizdevumiem uzņēmumu konkurētspējas uzlabošanas atbalsta programmas ietvaros un Latvijas mazo un vidējo uzņēmumu attīstības kreditēšanas ietvaros (kopā 229,9 milj. </w:t>
      </w:r>
      <w:proofErr w:type="spellStart"/>
      <w:r w:rsidRPr="009A7932">
        <w:rPr>
          <w:rFonts w:eastAsia="Times New Roman" w:cs="Times New Roman"/>
          <w:i/>
          <w:sz w:val="24"/>
          <w:szCs w:val="26"/>
        </w:rPr>
        <w:t>euro</w:t>
      </w:r>
      <w:proofErr w:type="spellEnd"/>
      <w:r w:rsidRPr="009A7932">
        <w:rPr>
          <w:rFonts w:eastAsia="Times New Roman" w:cs="Times New Roman"/>
          <w:sz w:val="24"/>
          <w:szCs w:val="26"/>
        </w:rPr>
        <w:t xml:space="preserve">), </w:t>
      </w:r>
      <w:r w:rsidRPr="009A7932">
        <w:rPr>
          <w:rFonts w:eastAsia="Times New Roman" w:cs="Times New Roman"/>
          <w:sz w:val="24"/>
          <w:szCs w:val="24"/>
        </w:rPr>
        <w:t xml:space="preserve">pamatojoties uz Likumu par valsts apdraudējuma un tā seku novēršanas un pārvarēšanas pasākumiem sakarā ar Covid-19 izplatību, galvojums </w:t>
      </w:r>
      <w:r w:rsidR="00E613C4">
        <w:rPr>
          <w:rFonts w:eastAsia="Times New Roman" w:cs="Times New Roman"/>
          <w:sz w:val="24"/>
          <w:szCs w:val="24"/>
        </w:rPr>
        <w:t>EK</w:t>
      </w:r>
      <w:r w:rsidRPr="009A7932">
        <w:rPr>
          <w:rFonts w:eastAsia="Times New Roman" w:cs="Times New Roman"/>
          <w:sz w:val="24"/>
          <w:szCs w:val="24"/>
        </w:rPr>
        <w:t xml:space="preserve"> par Latvijas dalību ES atbalsta instrumentā EK SURE (57,1 milj. </w:t>
      </w:r>
      <w:proofErr w:type="spellStart"/>
      <w:r w:rsidRPr="009A7932">
        <w:rPr>
          <w:rFonts w:eastAsia="Times New Roman" w:cs="Times New Roman"/>
          <w:i/>
          <w:sz w:val="24"/>
          <w:szCs w:val="24"/>
        </w:rPr>
        <w:t>euro</w:t>
      </w:r>
      <w:proofErr w:type="spellEnd"/>
      <w:r w:rsidRPr="009A7932">
        <w:rPr>
          <w:rFonts w:eastAsia="Times New Roman" w:cs="Times New Roman"/>
          <w:sz w:val="24"/>
          <w:szCs w:val="24"/>
        </w:rPr>
        <w:t xml:space="preserve">), </w:t>
      </w:r>
      <w:r w:rsidRPr="009A7932">
        <w:rPr>
          <w:rFonts w:eastAsia="Times New Roman" w:cs="Times New Roman"/>
          <w:sz w:val="24"/>
          <w:szCs w:val="26"/>
        </w:rPr>
        <w:t>galvojumi studējošo un studiju kreditēšanai (kopā 38,4 milj. </w:t>
      </w:r>
      <w:proofErr w:type="spellStart"/>
      <w:r w:rsidRPr="009A7932">
        <w:rPr>
          <w:rFonts w:eastAsia="Times New Roman" w:cs="Times New Roman"/>
          <w:i/>
          <w:sz w:val="24"/>
          <w:szCs w:val="26"/>
        </w:rPr>
        <w:t>euro</w:t>
      </w:r>
      <w:proofErr w:type="spellEnd"/>
      <w:r w:rsidRPr="009A7932">
        <w:rPr>
          <w:rFonts w:eastAsia="Times New Roman" w:cs="Times New Roman"/>
          <w:sz w:val="24"/>
          <w:szCs w:val="26"/>
        </w:rPr>
        <w:t>), kā arī galvojumi</w:t>
      </w:r>
      <w:r w:rsidRPr="009A7932">
        <w:rPr>
          <w:rFonts w:eastAsia="Times New Roman" w:cs="Times New Roman"/>
          <w:sz w:val="24"/>
          <w:szCs w:val="24"/>
        </w:rPr>
        <w:t xml:space="preserve"> Pasaules Bankas grupas Starptautiskajai Rekonstrukcijas un attīstības bankai “Publisko izdevumu administratīvās kapacitātes stiprināšanai Ukrainā” projekta ietvaros un </w:t>
      </w:r>
      <w:r w:rsidR="00E613C4">
        <w:rPr>
          <w:rFonts w:eastAsia="Times New Roman" w:cs="Times New Roman"/>
          <w:sz w:val="24"/>
          <w:szCs w:val="26"/>
        </w:rPr>
        <w:t>EK</w:t>
      </w:r>
      <w:r w:rsidRPr="009A7932">
        <w:rPr>
          <w:rFonts w:eastAsia="Times New Roman" w:cs="Times New Roman"/>
          <w:sz w:val="24"/>
          <w:szCs w:val="26"/>
        </w:rPr>
        <w:t xml:space="preserve"> saistībā ar </w:t>
      </w:r>
      <w:r w:rsidRPr="009A7932">
        <w:rPr>
          <w:rFonts w:eastAsia="Times New Roman" w:cs="Times New Roman"/>
          <w:sz w:val="24"/>
          <w:szCs w:val="24"/>
        </w:rPr>
        <w:t xml:space="preserve">ārkārtas </w:t>
      </w:r>
      <w:proofErr w:type="spellStart"/>
      <w:r w:rsidRPr="009A7932">
        <w:rPr>
          <w:rFonts w:eastAsia="Times New Roman" w:cs="Times New Roman"/>
          <w:sz w:val="24"/>
          <w:szCs w:val="24"/>
        </w:rPr>
        <w:t>makrofinansiālo</w:t>
      </w:r>
      <w:proofErr w:type="spellEnd"/>
      <w:r w:rsidRPr="009A7932">
        <w:rPr>
          <w:rFonts w:eastAsia="Times New Roman" w:cs="Times New Roman"/>
          <w:sz w:val="24"/>
          <w:szCs w:val="24"/>
        </w:rPr>
        <w:t xml:space="preserve"> palīdzību Ukrainai (kopā 18,1 milj. </w:t>
      </w:r>
      <w:proofErr w:type="spellStart"/>
      <w:r w:rsidRPr="009A7932">
        <w:rPr>
          <w:rFonts w:eastAsia="Times New Roman" w:cs="Times New Roman"/>
          <w:i/>
          <w:sz w:val="24"/>
          <w:szCs w:val="24"/>
        </w:rPr>
        <w:t>euro</w:t>
      </w:r>
      <w:proofErr w:type="spellEnd"/>
      <w:r w:rsidRPr="009A7932">
        <w:rPr>
          <w:rFonts w:eastAsia="Times New Roman" w:cs="Times New Roman"/>
          <w:sz w:val="24"/>
          <w:szCs w:val="24"/>
        </w:rPr>
        <w:t>).</w:t>
      </w:r>
      <w:r w:rsidRPr="009A7932">
        <w:rPr>
          <w:rFonts w:eastAsia="Times New Roman" w:cs="Times New Roman"/>
          <w:sz w:val="24"/>
          <w:szCs w:val="26"/>
        </w:rPr>
        <w:t xml:space="preserve"> </w:t>
      </w:r>
    </w:p>
    <w:p w14:paraId="749FBFF5" w14:textId="5A72E3CC" w:rsidR="00322651" w:rsidRDefault="009A7932" w:rsidP="009A7932">
      <w:pPr>
        <w:spacing w:after="120"/>
        <w:ind w:firstLine="567"/>
        <w:rPr>
          <w:rFonts w:eastAsia="Times New Roman" w:cs="Times New Roman"/>
          <w:sz w:val="24"/>
          <w:szCs w:val="26"/>
        </w:rPr>
      </w:pPr>
      <w:r w:rsidRPr="009A7932">
        <w:rPr>
          <w:rFonts w:eastAsia="Times New Roman" w:cs="Times New Roman"/>
          <w:sz w:val="24"/>
          <w:szCs w:val="26"/>
        </w:rPr>
        <w:t xml:space="preserve">Neskatoties uz iepriekšējos gados novērotajiem faktoriem </w:t>
      </w:r>
      <w:r w:rsidR="00E613C4">
        <w:rPr>
          <w:rFonts w:eastAsia="Times New Roman" w:cs="Times New Roman"/>
          <w:sz w:val="24"/>
          <w:szCs w:val="26"/>
        </w:rPr>
        <w:t xml:space="preserve">– </w:t>
      </w:r>
      <w:r w:rsidRPr="009A7932">
        <w:rPr>
          <w:rFonts w:eastAsia="Times New Roman" w:cs="Times New Roman"/>
          <w:sz w:val="24"/>
          <w:szCs w:val="26"/>
        </w:rPr>
        <w:t>Covid-19 izraisīto ekonomikas kritumu, globālo energoresursu cenu kāpumu, Krievijas pilna mēroga iebrukumu Ukrainā un aizdevuma procentu likmju kāpumu</w:t>
      </w:r>
      <w:r w:rsidR="00E613C4">
        <w:rPr>
          <w:rFonts w:eastAsia="Times New Roman" w:cs="Times New Roman"/>
          <w:sz w:val="24"/>
          <w:szCs w:val="26"/>
        </w:rPr>
        <w:t xml:space="preserve"> –</w:t>
      </w:r>
      <w:r w:rsidRPr="009A7932">
        <w:rPr>
          <w:rFonts w:eastAsia="Times New Roman" w:cs="Times New Roman"/>
          <w:sz w:val="24"/>
          <w:szCs w:val="26"/>
        </w:rPr>
        <w:t>, līdz šim t</w:t>
      </w:r>
      <w:r w:rsidR="00E613C4">
        <w:rPr>
          <w:rFonts w:eastAsia="Times New Roman" w:cs="Times New Roman"/>
          <w:sz w:val="24"/>
          <w:szCs w:val="26"/>
        </w:rPr>
        <w:t>ie</w:t>
      </w:r>
      <w:r w:rsidRPr="009A7932">
        <w:rPr>
          <w:rFonts w:eastAsia="Times New Roman" w:cs="Times New Roman"/>
          <w:sz w:val="24"/>
          <w:szCs w:val="26"/>
        </w:rPr>
        <w:t xml:space="preserve"> nav radīj</w:t>
      </w:r>
      <w:r w:rsidR="00E613C4">
        <w:rPr>
          <w:rFonts w:eastAsia="Times New Roman" w:cs="Times New Roman"/>
          <w:sz w:val="24"/>
          <w:szCs w:val="26"/>
        </w:rPr>
        <w:t>uši</w:t>
      </w:r>
      <w:r w:rsidRPr="009A7932">
        <w:rPr>
          <w:rFonts w:eastAsia="Times New Roman" w:cs="Times New Roman"/>
          <w:sz w:val="24"/>
          <w:szCs w:val="26"/>
        </w:rPr>
        <w:t xml:space="preserve"> negatīvu ietekmi uz valsts vārdā sniegto galvojumu izpildi. </w:t>
      </w:r>
    </w:p>
    <w:p w14:paraId="424E8C8D" w14:textId="7D6C577C" w:rsidR="003E7948" w:rsidRPr="009A7932" w:rsidRDefault="00322651" w:rsidP="00322651">
      <w:pPr>
        <w:spacing w:after="160" w:line="259" w:lineRule="auto"/>
        <w:ind w:firstLine="0"/>
        <w:jc w:val="left"/>
        <w:rPr>
          <w:rFonts w:eastAsia="Times New Roman" w:cs="Times New Roman"/>
          <w:sz w:val="24"/>
          <w:szCs w:val="26"/>
        </w:rPr>
      </w:pPr>
      <w:r>
        <w:rPr>
          <w:rFonts w:eastAsia="Times New Roman" w:cs="Times New Roman"/>
          <w:sz w:val="24"/>
          <w:szCs w:val="26"/>
        </w:rPr>
        <w:br w:type="page"/>
      </w:r>
    </w:p>
    <w:p w14:paraId="0160291A" w14:textId="4AF77A2D" w:rsidR="00BF4753" w:rsidRPr="001329C7" w:rsidRDefault="00BF4753" w:rsidP="00264301">
      <w:pPr>
        <w:pStyle w:val="Heading1"/>
        <w:spacing w:before="0" w:after="360"/>
        <w:rPr>
          <w:sz w:val="32"/>
          <w:szCs w:val="32"/>
        </w:rPr>
      </w:pPr>
      <w:bookmarkStart w:id="78" w:name="_Toc164679842"/>
      <w:r w:rsidRPr="001329C7">
        <w:rPr>
          <w:sz w:val="32"/>
          <w:szCs w:val="32"/>
        </w:rPr>
        <w:lastRenderedPageBreak/>
        <w:t>7. Valsts finanšu institucionālās iezīmes</w:t>
      </w:r>
      <w:bookmarkEnd w:id="78"/>
    </w:p>
    <w:p w14:paraId="611573BB" w14:textId="65CD66C9" w:rsidR="00BF4753" w:rsidRPr="001329C7" w:rsidRDefault="00BF4753" w:rsidP="004A37C8">
      <w:pPr>
        <w:pStyle w:val="Heading2"/>
        <w:numPr>
          <w:ilvl w:val="0"/>
          <w:numId w:val="0"/>
        </w:numPr>
        <w:spacing w:before="0" w:after="240"/>
        <w:rPr>
          <w:sz w:val="28"/>
          <w:szCs w:val="24"/>
          <w:lang w:eastAsia="lv-LV"/>
        </w:rPr>
      </w:pPr>
      <w:bookmarkStart w:id="79" w:name="_Toc164679843"/>
      <w:r w:rsidRPr="001329C7">
        <w:rPr>
          <w:sz w:val="28"/>
          <w:szCs w:val="24"/>
          <w:lang w:eastAsia="lv-LV"/>
        </w:rPr>
        <w:t>7.</w:t>
      </w:r>
      <w:r w:rsidR="004A37C8" w:rsidRPr="001329C7">
        <w:rPr>
          <w:sz w:val="28"/>
          <w:szCs w:val="24"/>
          <w:lang w:eastAsia="lv-LV"/>
        </w:rPr>
        <w:t>1</w:t>
      </w:r>
      <w:r w:rsidRPr="001329C7">
        <w:rPr>
          <w:sz w:val="28"/>
          <w:szCs w:val="24"/>
          <w:lang w:eastAsia="lv-LV"/>
        </w:rPr>
        <w:t>. Vidējā termiņa budžeta plānošana</w:t>
      </w:r>
      <w:bookmarkEnd w:id="79"/>
    </w:p>
    <w:p w14:paraId="61B4AC60" w14:textId="77777777" w:rsidR="001329C7" w:rsidRPr="001329C7" w:rsidRDefault="001329C7" w:rsidP="001329C7">
      <w:pPr>
        <w:rPr>
          <w:sz w:val="24"/>
          <w:szCs w:val="20"/>
          <w:lang w:eastAsia="lv-LV"/>
        </w:rPr>
      </w:pPr>
      <w:r w:rsidRPr="001329C7">
        <w:rPr>
          <w:sz w:val="24"/>
          <w:szCs w:val="20"/>
          <w:lang w:eastAsia="lv-LV"/>
        </w:rPr>
        <w:t xml:space="preserve">Atbilstoši LBFV vidēja termiņa valsts budžeta plānošana ir process, kurā tiek noteikti pieejamie resursi vidējam termiņam un nodrošināta šo resursu izlietošana atbilstoši valdības noteiktajām prioritātēm. Ar vidēju termiņu saprotams triju gadu periods, ko veido saimnieciskais gads, kuram plāno valsts budžetu, un tam sekojošie divi saimnieciskie gadi. </w:t>
      </w:r>
    </w:p>
    <w:p w14:paraId="6B45D03D" w14:textId="18D639E6" w:rsidR="001329C7" w:rsidRPr="001329C7" w:rsidRDefault="001329C7" w:rsidP="001329C7">
      <w:pPr>
        <w:rPr>
          <w:sz w:val="24"/>
          <w:szCs w:val="20"/>
          <w:lang w:eastAsia="lv-LV"/>
        </w:rPr>
      </w:pPr>
      <w:r w:rsidRPr="001329C7">
        <w:rPr>
          <w:sz w:val="24"/>
          <w:szCs w:val="20"/>
          <w:lang w:eastAsia="lv-LV"/>
        </w:rPr>
        <w:t>Kopš 2007.</w:t>
      </w:r>
      <w:r>
        <w:rPr>
          <w:sz w:val="24"/>
          <w:szCs w:val="20"/>
          <w:lang w:eastAsia="lv-LV"/>
        </w:rPr>
        <w:t xml:space="preserve"> </w:t>
      </w:r>
      <w:r w:rsidRPr="001329C7">
        <w:rPr>
          <w:sz w:val="24"/>
          <w:szCs w:val="20"/>
          <w:lang w:eastAsia="lv-LV"/>
        </w:rPr>
        <w:t>gada valstī tika sagatavots vidēja termiņa makroekonomiskās attīstības un fiskālās politikas ietvars (turpmāk – Ietvars) nākamajiem trijiem saimnieciskajiem gadiem, iekļaujot tajā vidēja termiņa valsts makroekonomiskās situācijas analīzi, valdības fiskālās politikas mērķus vidējam termiņam, valsts budžeta ieņēmumu prognozes un maksimāli pieļaujamo valsts budžeta kopējo izdevumu apjomu katrai ministrijai un citām centrālajām valsts iestādēm vidējam termiņam. Ņemot vērā, ka Ietvaram nebija juridiski saistošs raksturs un tas tikai indikatīvi norādīja maksimāli pieļaujamo valsts budžeta kopējo izdevumu apjomu vidējam termiņam, radās nepieciešamība nostiprināt vidējā termiņa budžeta plānošanas sistēmu. Līdz ar to tika veikti attiecīgi grozījumi LBFV un, sākot ar 2012.</w:t>
      </w:r>
      <w:r>
        <w:rPr>
          <w:sz w:val="24"/>
          <w:szCs w:val="20"/>
          <w:lang w:eastAsia="lv-LV"/>
        </w:rPr>
        <w:t xml:space="preserve"> </w:t>
      </w:r>
      <w:r w:rsidRPr="001329C7">
        <w:rPr>
          <w:sz w:val="24"/>
          <w:szCs w:val="20"/>
          <w:lang w:eastAsia="lv-LV"/>
        </w:rPr>
        <w:t>gada 1.</w:t>
      </w:r>
      <w:r>
        <w:rPr>
          <w:sz w:val="24"/>
          <w:szCs w:val="20"/>
          <w:lang w:eastAsia="lv-LV"/>
        </w:rPr>
        <w:t xml:space="preserve"> </w:t>
      </w:r>
      <w:r w:rsidRPr="001329C7">
        <w:rPr>
          <w:sz w:val="24"/>
          <w:szCs w:val="20"/>
          <w:lang w:eastAsia="lv-LV"/>
        </w:rPr>
        <w:t>janvāri, Ietvaru, ko kopš 2007.</w:t>
      </w:r>
      <w:r>
        <w:rPr>
          <w:sz w:val="24"/>
          <w:szCs w:val="20"/>
          <w:lang w:eastAsia="lv-LV"/>
        </w:rPr>
        <w:t xml:space="preserve"> </w:t>
      </w:r>
      <w:r w:rsidRPr="001329C7">
        <w:rPr>
          <w:sz w:val="24"/>
          <w:szCs w:val="20"/>
          <w:lang w:eastAsia="lv-LV"/>
        </w:rPr>
        <w:t>gada apstiprināja MK, sāka izstrādāt likuma formā kā Ietvara likumu, kuru apstiprina Saeima. Savukārt 2022.</w:t>
      </w:r>
      <w:r>
        <w:rPr>
          <w:sz w:val="24"/>
          <w:szCs w:val="20"/>
          <w:lang w:eastAsia="lv-LV"/>
        </w:rPr>
        <w:t xml:space="preserve"> </w:t>
      </w:r>
      <w:r w:rsidRPr="001329C7">
        <w:rPr>
          <w:sz w:val="24"/>
          <w:szCs w:val="20"/>
          <w:lang w:eastAsia="lv-LV"/>
        </w:rPr>
        <w:t>gadā tika veikti grozījumi LBFV, kas, sākot ar 2023.</w:t>
      </w:r>
      <w:r>
        <w:rPr>
          <w:sz w:val="24"/>
          <w:szCs w:val="20"/>
          <w:lang w:eastAsia="lv-LV"/>
        </w:rPr>
        <w:t xml:space="preserve"> </w:t>
      </w:r>
      <w:r w:rsidRPr="001329C7">
        <w:rPr>
          <w:sz w:val="24"/>
          <w:szCs w:val="20"/>
          <w:lang w:eastAsia="lv-LV"/>
        </w:rPr>
        <w:t xml:space="preserve">gadu, apvieno vidēja termiņa budžeta ietvara likumu un gadskārtējo valsts budžeta likumu, samazinot administratīvo slogu un vienkāršojot likuma izskatīšanas procedūru Saeimā. Tādējādi informācija par kārtējo gadu un turpmākajiem diviem gadiem ir integrēta vienā likumā – valsts budžeta likumā. </w:t>
      </w:r>
    </w:p>
    <w:p w14:paraId="7052AD8B" w14:textId="77777777" w:rsidR="001329C7" w:rsidRPr="001329C7" w:rsidRDefault="001329C7" w:rsidP="001329C7">
      <w:pPr>
        <w:rPr>
          <w:sz w:val="24"/>
          <w:szCs w:val="20"/>
          <w:lang w:eastAsia="lv-LV"/>
        </w:rPr>
      </w:pPr>
      <w:r w:rsidRPr="001329C7">
        <w:rPr>
          <w:sz w:val="24"/>
          <w:szCs w:val="20"/>
          <w:lang w:eastAsia="lv-LV"/>
        </w:rPr>
        <w:t xml:space="preserve">Valsts budžeta likumu izstrādā katru gadu nākamo triju gadu periodam, kur darbības perioda pirmais gads tiek detalizēti izvērsts. Katra nākamā valsts budžeta likuma perioda pirmajam un otrajam gadam tiek izmantoti iepriekšējā valsts budžeta likumā noteiktie rādītāji, kas precizēti atbilstoši normatīvajos aktos noteiktajiem gadījumiem, savukārt trešajā gadā plānotie rādītāji ir jauni. Vienlaikus valsts budžeta likums tiek sasaistīts ar attīstības plānošanas dokumentiem, nodrošinot pieejamo resursu sasaisti ar valdības politikas prioritātēm vidējā termiņā un tas pakļaujas FDL noteiktajiem fiskālajiem nosacījumiem, nodrošinot pārredzamu un atbildīgu fiskālo politiku. Tādējādi valsts budžeta likums ir galvenais instruments fiskālās disciplīnas ievērošanā. </w:t>
      </w:r>
    </w:p>
    <w:p w14:paraId="2ED8913A" w14:textId="31E37639" w:rsidR="001329C7" w:rsidRPr="001329C7" w:rsidRDefault="001329C7" w:rsidP="001329C7">
      <w:pPr>
        <w:rPr>
          <w:sz w:val="24"/>
          <w:szCs w:val="20"/>
          <w:lang w:eastAsia="lv-LV"/>
        </w:rPr>
      </w:pPr>
      <w:r w:rsidRPr="001329C7">
        <w:rPr>
          <w:sz w:val="24"/>
          <w:szCs w:val="20"/>
          <w:lang w:eastAsia="lv-LV"/>
        </w:rPr>
        <w:t>Valsts budžeta likumā tiek īstenoti FDL noteiktie fiskālās politikas principi un tiek norādīti vidēja termiņa budžeta politikas prioritārie attīstības virzieni, maksimāli pieļaujamais valsts budžeta izdevumu kopapjoms (arī izdevumu kopapjoms katram budžeta resoram), IKP prognozes, valsts budžeta ieņēmumu prognozes, valsts budžeta finansiālās bilances apjoms (maksimālais deficīta līmenis un vai minimālais pārpalikuma līmenis). Atbilstoši FDL nosacījumiem vienlaikus ar valsts budžeta likumu tiek izstrādāta Fiskālo risku deklarācija</w:t>
      </w:r>
      <w:r w:rsidR="00BE30A6">
        <w:rPr>
          <w:sz w:val="24"/>
          <w:szCs w:val="20"/>
          <w:lang w:eastAsia="lv-LV"/>
        </w:rPr>
        <w:t xml:space="preserve"> (FRD)</w:t>
      </w:r>
      <w:r w:rsidRPr="001329C7">
        <w:rPr>
          <w:sz w:val="24"/>
          <w:szCs w:val="20"/>
          <w:lang w:eastAsia="lv-LV"/>
        </w:rPr>
        <w:t>, kuras mērķis ir nodrošināt fiskālo risku vispārēju vadību, kā arī fiskālo rādītāju stabilitāti vidējā termiņā.</w:t>
      </w:r>
    </w:p>
    <w:p w14:paraId="26F264F9" w14:textId="483269B1" w:rsidR="004E02FD" w:rsidRPr="00874664" w:rsidRDefault="001329C7" w:rsidP="00BE30A6">
      <w:pPr>
        <w:rPr>
          <w:sz w:val="24"/>
          <w:szCs w:val="20"/>
          <w:highlight w:val="lightGray"/>
          <w:lang w:eastAsia="lv-LV"/>
        </w:rPr>
      </w:pPr>
      <w:r w:rsidRPr="001329C7">
        <w:rPr>
          <w:sz w:val="24"/>
          <w:szCs w:val="20"/>
          <w:lang w:eastAsia="lv-LV"/>
        </w:rPr>
        <w:t xml:space="preserve">Latvija kā ES dalībvalsts iesniedz EK Stabilitātes programmu. Latvija kā  </w:t>
      </w:r>
      <w:proofErr w:type="spellStart"/>
      <w:r w:rsidRPr="001329C7">
        <w:rPr>
          <w:i/>
          <w:iCs/>
          <w:sz w:val="24"/>
          <w:szCs w:val="20"/>
          <w:lang w:eastAsia="lv-LV"/>
        </w:rPr>
        <w:t>euro</w:t>
      </w:r>
      <w:proofErr w:type="spellEnd"/>
      <w:r>
        <w:rPr>
          <w:sz w:val="24"/>
          <w:szCs w:val="20"/>
          <w:lang w:eastAsia="lv-LV"/>
        </w:rPr>
        <w:t xml:space="preserve"> </w:t>
      </w:r>
      <w:r w:rsidRPr="001329C7">
        <w:rPr>
          <w:sz w:val="24"/>
          <w:szCs w:val="20"/>
          <w:lang w:eastAsia="lv-LV"/>
        </w:rPr>
        <w:t xml:space="preserve">zonas dalībvalsts sagatavo arī Vispārējās valdības budžeta plāna projektu, kurā tiek norādītas galveno nākamā gada budžeta rādītāju prognozes – ieņēmumi, izdevumi, deficīts un valsts parāds, ietverot valsts budžetu, pašvaldību budžetu, no valsts budžeta daļēji finansēto atvasināto publisko personu budžetu un </w:t>
      </w:r>
      <w:r w:rsidR="00BE30A6">
        <w:rPr>
          <w:sz w:val="24"/>
          <w:szCs w:val="20"/>
          <w:lang w:eastAsia="lv-LV"/>
        </w:rPr>
        <w:t>valsts un pašvaldību struktūru kontrolētas un finansētas</w:t>
      </w:r>
      <w:r w:rsidRPr="001329C7">
        <w:rPr>
          <w:sz w:val="24"/>
          <w:szCs w:val="20"/>
          <w:lang w:eastAsia="lv-LV"/>
        </w:rPr>
        <w:t xml:space="preserve"> komercsabiedrības. Minētā plāna mērķis ir iesniegt EK informāciju, kas ļautu tai novērtēt plānotā budžeta atbilstību ES tiesību normām fiskālās disciplīnas jomā. Ja EK konstatē, ka budžeta plāns būtiski pārkāpj ES fiskālās disciplīnas noteikumus, tā var noraidīt budžeta plānu un pieprasīt dalībvalstij veikt izmaiņas un iesniegt to atkārtoti. Tāpat EK savā atzinumā var sniegt rekomendācijas plāna uzlabošanai. Procedūra paredz, ka nacionālie parlamenti ņem vērā EK atzinumu, pieņemot galīgajā lasījumā valsts budžetu.</w:t>
      </w:r>
    </w:p>
    <w:p w14:paraId="195974E9" w14:textId="47D7CAAD" w:rsidR="00BF4753" w:rsidRPr="00A27A3F" w:rsidRDefault="00FF1B5A" w:rsidP="00FF1B5A">
      <w:pPr>
        <w:pStyle w:val="Heading2"/>
        <w:numPr>
          <w:ilvl w:val="0"/>
          <w:numId w:val="0"/>
        </w:numPr>
        <w:spacing w:before="0" w:after="240"/>
        <w:ind w:left="375"/>
        <w:rPr>
          <w:rFonts w:eastAsia="Times New Roman"/>
          <w:color w:val="000000"/>
          <w:sz w:val="28"/>
          <w:szCs w:val="24"/>
          <w:lang w:eastAsia="lv-LV"/>
        </w:rPr>
      </w:pPr>
      <w:bookmarkStart w:id="80" w:name="_Toc164679844"/>
      <w:r>
        <w:rPr>
          <w:rFonts w:eastAsia="Times New Roman"/>
          <w:color w:val="000000"/>
          <w:sz w:val="28"/>
          <w:szCs w:val="24"/>
          <w:lang w:eastAsia="lv-LV"/>
        </w:rPr>
        <w:lastRenderedPageBreak/>
        <w:t xml:space="preserve">7.2. </w:t>
      </w:r>
      <w:r w:rsidR="00BF4753" w:rsidRPr="00A27A3F">
        <w:rPr>
          <w:rFonts w:eastAsia="Times New Roman"/>
          <w:color w:val="000000"/>
          <w:sz w:val="28"/>
          <w:szCs w:val="24"/>
          <w:lang w:eastAsia="lv-LV"/>
        </w:rPr>
        <w:t>Budžeta procedūras, t.sk. valsts finanšu statistikas pārvalde</w:t>
      </w:r>
      <w:bookmarkEnd w:id="80"/>
    </w:p>
    <w:p w14:paraId="17E6D8FA" w14:textId="26EFA1B0" w:rsidR="00BF4753" w:rsidRPr="00A27A3F" w:rsidRDefault="00C226AF" w:rsidP="00FF1B5A">
      <w:pPr>
        <w:pStyle w:val="Heading3"/>
        <w:numPr>
          <w:ilvl w:val="0"/>
          <w:numId w:val="0"/>
        </w:numPr>
        <w:spacing w:before="0" w:after="240"/>
        <w:ind w:left="720" w:hanging="720"/>
        <w:jc w:val="center"/>
        <w:rPr>
          <w:sz w:val="24"/>
          <w:szCs w:val="20"/>
          <w:lang w:eastAsia="lv-LV"/>
        </w:rPr>
      </w:pPr>
      <w:bookmarkStart w:id="81" w:name="_Toc164679845"/>
      <w:r>
        <w:rPr>
          <w:sz w:val="24"/>
          <w:szCs w:val="20"/>
        </w:rPr>
        <w:t xml:space="preserve">7.2.1. </w:t>
      </w:r>
      <w:r w:rsidR="00BF4753" w:rsidRPr="00A27A3F">
        <w:rPr>
          <w:sz w:val="24"/>
          <w:szCs w:val="20"/>
        </w:rPr>
        <w:t>Budžeta</w:t>
      </w:r>
      <w:r w:rsidR="00BF4753" w:rsidRPr="00A27A3F">
        <w:rPr>
          <w:sz w:val="24"/>
          <w:szCs w:val="20"/>
          <w:lang w:eastAsia="lv-LV"/>
        </w:rPr>
        <w:t xml:space="preserve"> procedūras</w:t>
      </w:r>
      <w:bookmarkEnd w:id="81"/>
    </w:p>
    <w:p w14:paraId="2089EC0A" w14:textId="77777777" w:rsidR="00A27A3F" w:rsidRPr="00312522" w:rsidRDefault="00A27A3F" w:rsidP="00A27A3F">
      <w:pPr>
        <w:pStyle w:val="Default"/>
        <w:ind w:firstLine="709"/>
        <w:jc w:val="both"/>
      </w:pPr>
      <w:r w:rsidRPr="00312522">
        <w:t xml:space="preserve">Latvijas Republikas Satversme nosaka, ka Saeima ik gadu pirms saimnieciskā gada sākšanās lemj par valsts ienākumu un izdevumu budžetu, kura projektu tai iesniedz MK. </w:t>
      </w:r>
      <w:r>
        <w:rPr>
          <w:bCs/>
        </w:rPr>
        <w:t>L</w:t>
      </w:r>
      <w:r w:rsidRPr="00B775A3">
        <w:rPr>
          <w:bCs/>
        </w:rPr>
        <w:t>ikumu par valsts budžetu kārtējam gadam un vidēja termiņa budžeta ietvaru (turpmāk – valsts budžeta likums)</w:t>
      </w:r>
      <w:r>
        <w:rPr>
          <w:bCs/>
        </w:rPr>
        <w:t xml:space="preserve"> </w:t>
      </w:r>
      <w:r w:rsidRPr="00312522">
        <w:rPr>
          <w:bCs/>
        </w:rPr>
        <w:t xml:space="preserve">apstiprina Saeima. </w:t>
      </w:r>
    </w:p>
    <w:p w14:paraId="6630EE82" w14:textId="56EE3464" w:rsidR="00A27A3F" w:rsidRPr="00312522" w:rsidRDefault="00A27A3F" w:rsidP="00A27A3F">
      <w:pPr>
        <w:pStyle w:val="Default"/>
        <w:ind w:firstLine="709"/>
        <w:jc w:val="both"/>
      </w:pPr>
      <w:r w:rsidRPr="00312522">
        <w:t>Valsts budžeta līdzekļu izdevumu plānošanā sākotnēji tiek aprēķināti un saskaņoti bāzes izdevumi. Bāzes izdevumu aprēķinu un to sasaistes principus ar</w:t>
      </w:r>
      <w:r>
        <w:t xml:space="preserve"> </w:t>
      </w:r>
      <w:r w:rsidRPr="00615147">
        <w:t>vidēja termiņa budžeta</w:t>
      </w:r>
      <w:r w:rsidRPr="00312522">
        <w:t xml:space="preserve"> </w:t>
      </w:r>
      <w:r>
        <w:t xml:space="preserve">ietvaru </w:t>
      </w:r>
      <w:r w:rsidRPr="00312522">
        <w:t>nosaka</w:t>
      </w:r>
      <w:r>
        <w:t xml:space="preserve"> MK</w:t>
      </w:r>
      <w:r w:rsidRPr="00E529D0">
        <w:t xml:space="preserve"> 2023.</w:t>
      </w:r>
      <w:r w:rsidR="00DD0703">
        <w:t xml:space="preserve"> </w:t>
      </w:r>
      <w:r w:rsidRPr="00E529D0">
        <w:t>gada 17.</w:t>
      </w:r>
      <w:r w:rsidR="00DD0703">
        <w:t xml:space="preserve"> </w:t>
      </w:r>
      <w:r w:rsidRPr="00E529D0">
        <w:t>janvāra noteikum</w:t>
      </w:r>
      <w:r>
        <w:t>i</w:t>
      </w:r>
      <w:r w:rsidRPr="00E529D0">
        <w:t xml:space="preserve"> Nr.</w:t>
      </w:r>
      <w:r>
        <w:t> </w:t>
      </w:r>
      <w:r w:rsidRPr="00E529D0">
        <w:t xml:space="preserve">15 </w:t>
      </w:r>
      <w:r w:rsidR="00744189">
        <w:t>“</w:t>
      </w:r>
      <w:r w:rsidRPr="00E529D0">
        <w:t>Maksimāli pieļaujamā valsts budžeta izdevumu kopapjoma un katrai ministrijai un citai centrālajai valsts iestādei paredzētā izdevumu kopējā apjoma noteikšanas kārtība vidējam termiņam</w:t>
      </w:r>
      <w:r w:rsidR="00744189">
        <w:t>”</w:t>
      </w:r>
      <w:r w:rsidRPr="00312522">
        <w:t>. Tādējādi tiek noteikts nepieciešamais izdevumu apjoms, lai nodrošinātu valsts funkciju izpildi nemainīgā līmenī. Bāzes izdevumus apstiprina MK.</w:t>
      </w:r>
    </w:p>
    <w:p w14:paraId="7E3AD7E0" w14:textId="58FA8861" w:rsidR="00A27A3F" w:rsidRPr="00312522" w:rsidRDefault="00A27A3F" w:rsidP="00A27A3F">
      <w:pPr>
        <w:pStyle w:val="Default"/>
        <w:ind w:firstLine="709"/>
        <w:jc w:val="both"/>
      </w:pPr>
      <w:r w:rsidRPr="00312522">
        <w:t>Kopš 2016.</w:t>
      </w:r>
      <w:r w:rsidR="00DD0703">
        <w:t xml:space="preserve"> </w:t>
      </w:r>
      <w:r w:rsidRPr="00312522">
        <w:t xml:space="preserve">gada kā budžeta procesa sastāvdaļa ir ieviesta pastāvīga un sistemātiska valsts budžeta izdevumu pārskatīšana, par kuru plašāka informācija ir sniegta </w:t>
      </w:r>
      <w:r>
        <w:t>5</w:t>
      </w:r>
      <w:r w:rsidRPr="00312522">
        <w:t>.1.</w:t>
      </w:r>
      <w:r w:rsidR="00DD0703">
        <w:t xml:space="preserve"> </w:t>
      </w:r>
      <w:r w:rsidRPr="00312522">
        <w:t>sadaļā.</w:t>
      </w:r>
    </w:p>
    <w:p w14:paraId="3278A6BC" w14:textId="77777777" w:rsidR="00A27A3F" w:rsidRPr="00312522" w:rsidRDefault="00A27A3F" w:rsidP="00A27A3F">
      <w:pPr>
        <w:pStyle w:val="Default"/>
        <w:ind w:firstLine="720"/>
        <w:jc w:val="both"/>
        <w:rPr>
          <w:color w:val="auto"/>
        </w:rPr>
      </w:pPr>
      <w:r w:rsidRPr="00312522">
        <w:rPr>
          <w:color w:val="auto"/>
        </w:rPr>
        <w:t xml:space="preserve">Ja attiecīgajos nākamajos saimnieciskajos gados atbilstoši aktuālajām makroekonomiskās attīstības prognozēm būs pieejami līdzekļi </w:t>
      </w:r>
      <w:r w:rsidRPr="006B0D5B">
        <w:rPr>
          <w:color w:val="auto"/>
        </w:rPr>
        <w:t>prioritāro pasākumu finansēšanai</w:t>
      </w:r>
      <w:r w:rsidRPr="00312522">
        <w:rPr>
          <w:color w:val="auto"/>
        </w:rPr>
        <w:t>, ministrijas un citas centrālās valsts iestādes sagatavo priekšlikumus atbalstāmajiem prioritārajiem pasākumiem. Priekšlikumus pasākumiem gatavo, pamatojoties uz Nacionālajā attīstības plānā, Valsts aizsardzības koncepcijā un citos attīstības plānošanas dokumentos noteiktajām prioritātēm un mērķiem. Tādējādi tiek nodrošināta valstī noteikto prioritāšu sasaiste ar valsts budžetā pieejamajiem resursiem vidējam termiņam.</w:t>
      </w:r>
    </w:p>
    <w:p w14:paraId="59A14599" w14:textId="050A0EEA" w:rsidR="00A27A3F" w:rsidRPr="00312522" w:rsidRDefault="00A27A3F" w:rsidP="00A27A3F">
      <w:pPr>
        <w:pStyle w:val="Default"/>
        <w:ind w:firstLine="720"/>
        <w:jc w:val="both"/>
        <w:rPr>
          <w:color w:val="auto"/>
        </w:rPr>
      </w:pPr>
      <w:r w:rsidRPr="00312522">
        <w:t xml:space="preserve">Aprēķinot maksimāli pieļaujamo valsts budžeta izdevumu kopapjomu, kas sastāv no valsts pamatbudžeta un valsts speciālā budžeta bāzes izdevumiem un valsts pamatbudžeta un valsts speciālā budžeta </w:t>
      </w:r>
      <w:r w:rsidRPr="006B0D5B">
        <w:t>izdevum</w:t>
      </w:r>
      <w:r>
        <w:t>iem</w:t>
      </w:r>
      <w:r w:rsidRPr="006B0D5B">
        <w:t xml:space="preserve"> prioritārajiem pasākumiem</w:t>
      </w:r>
      <w:r w:rsidRPr="00312522">
        <w:t xml:space="preserve">, FM pamatojas uz </w:t>
      </w:r>
      <w:r w:rsidRPr="00615147">
        <w:t>valsts budžeta likumu</w:t>
      </w:r>
      <w:r w:rsidRPr="00312522">
        <w:t xml:space="preserve">, prognozēm par makroekonomisko attīstību, kā arī ievēro valstī noteiktos fiskālos nosacījumus. Pamatojoties uz MK apstiprinātiem lēmumiem par bāzes izdevumiem un prioritāro pasākumu finansēšanu, ministrijas un citas centrālās valsts iestādes izstrādā un iesniedz FM budžeta </w:t>
      </w:r>
      <w:r w:rsidRPr="00312522">
        <w:rPr>
          <w:color w:val="auto"/>
        </w:rPr>
        <w:t>pieprasījumus. FM sagatavo un iesniedz likumprojektu</w:t>
      </w:r>
      <w:r w:rsidRPr="00E529D0">
        <w:rPr>
          <w:color w:val="auto"/>
        </w:rPr>
        <w:t xml:space="preserve"> par valsts budžetu kārtējam gadam un vidēja termiņa budžeta ietvaru</w:t>
      </w:r>
      <w:r>
        <w:rPr>
          <w:color w:val="auto"/>
        </w:rPr>
        <w:t xml:space="preserve"> </w:t>
      </w:r>
      <w:r w:rsidRPr="00D36760">
        <w:rPr>
          <w:color w:val="auto"/>
        </w:rPr>
        <w:t xml:space="preserve">(turpmāk — </w:t>
      </w:r>
      <w:r>
        <w:rPr>
          <w:color w:val="auto"/>
        </w:rPr>
        <w:t>v</w:t>
      </w:r>
      <w:r w:rsidRPr="00D36760">
        <w:rPr>
          <w:color w:val="auto"/>
        </w:rPr>
        <w:t>alsts budžeta likumprojekts)</w:t>
      </w:r>
      <w:r w:rsidRPr="00312522">
        <w:rPr>
          <w:color w:val="auto"/>
        </w:rPr>
        <w:t xml:space="preserve"> ar paskaidrojumiem</w:t>
      </w:r>
      <w:r>
        <w:rPr>
          <w:color w:val="auto"/>
        </w:rPr>
        <w:t xml:space="preserve">, </w:t>
      </w:r>
      <w:r w:rsidR="00BE30A6">
        <w:rPr>
          <w:color w:val="auto"/>
        </w:rPr>
        <w:t>FRD</w:t>
      </w:r>
      <w:r w:rsidRPr="00312522">
        <w:rPr>
          <w:color w:val="auto"/>
        </w:rPr>
        <w:t xml:space="preserve">, </w:t>
      </w:r>
      <w:r w:rsidR="00BE30A6">
        <w:rPr>
          <w:color w:val="auto"/>
        </w:rPr>
        <w:t>FDP</w:t>
      </w:r>
      <w:r w:rsidRPr="00312522">
        <w:rPr>
          <w:color w:val="auto"/>
        </w:rPr>
        <w:t xml:space="preserve"> fiskālās disciplīnas uzraudzības ziņojumu izskatīšanai MK.</w:t>
      </w:r>
    </w:p>
    <w:p w14:paraId="1AF7ED7A" w14:textId="77777777" w:rsidR="00A27A3F" w:rsidRPr="00312522" w:rsidRDefault="00A27A3F" w:rsidP="00A27A3F">
      <w:pPr>
        <w:pStyle w:val="Default"/>
        <w:ind w:firstLine="720"/>
        <w:jc w:val="both"/>
        <w:rPr>
          <w:color w:val="auto"/>
        </w:rPr>
      </w:pPr>
      <w:r w:rsidRPr="00312522">
        <w:rPr>
          <w:color w:val="auto"/>
        </w:rPr>
        <w:t xml:space="preserve">Lai nodrošinātu sabiedrībai uzskatāmu priekšstatu par resursiem, kādi ir iesaistīti valsts pamatfunkciju īstenošanā un ES un citu ārvalstu politiku instrumentu pasākumu ieviešanā, budžets tiek sagatavots šādās sadaļās: </w:t>
      </w:r>
    </w:p>
    <w:p w14:paraId="345E3491" w14:textId="77777777" w:rsidR="00A27A3F" w:rsidRPr="00312522" w:rsidRDefault="00A27A3F" w:rsidP="004F034A">
      <w:pPr>
        <w:pStyle w:val="Default"/>
        <w:numPr>
          <w:ilvl w:val="0"/>
          <w:numId w:val="22"/>
        </w:numPr>
        <w:ind w:left="993"/>
        <w:jc w:val="both"/>
        <w:rPr>
          <w:color w:val="auto"/>
        </w:rPr>
      </w:pPr>
      <w:r w:rsidRPr="00312522">
        <w:rPr>
          <w:color w:val="auto"/>
        </w:rPr>
        <w:t>valsts pamatfunkciju īstenošana (izņemot ES politiku instrumentu un pārējās ārvalstu finanšu palīdzības līdzfinansētos un finansētos projektus un pasākumus);</w:t>
      </w:r>
    </w:p>
    <w:p w14:paraId="1D1370F3" w14:textId="77777777" w:rsidR="00A27A3F" w:rsidRPr="00312522" w:rsidRDefault="00A27A3F" w:rsidP="004F034A">
      <w:pPr>
        <w:pStyle w:val="Default"/>
        <w:numPr>
          <w:ilvl w:val="0"/>
          <w:numId w:val="22"/>
        </w:numPr>
        <w:spacing w:after="120"/>
        <w:ind w:left="992" w:hanging="357"/>
        <w:jc w:val="both"/>
        <w:rPr>
          <w:color w:val="auto"/>
        </w:rPr>
      </w:pPr>
      <w:r w:rsidRPr="00312522">
        <w:rPr>
          <w:color w:val="auto"/>
        </w:rPr>
        <w:t>ES politiku instrumentu un pārējās ārvalstu finanšu palīdzības līdzfinansēto un finansēto projektu un pasākumu īstenošana.</w:t>
      </w:r>
    </w:p>
    <w:p w14:paraId="0DE0DEB1" w14:textId="77777777" w:rsidR="00A27A3F" w:rsidRPr="00312522" w:rsidRDefault="00A27A3F" w:rsidP="00BE30A6">
      <w:pPr>
        <w:pStyle w:val="Default"/>
        <w:spacing w:after="120"/>
        <w:ind w:firstLine="720"/>
        <w:jc w:val="both"/>
        <w:rPr>
          <w:color w:val="auto"/>
        </w:rPr>
      </w:pPr>
      <w:r>
        <w:rPr>
          <w:color w:val="auto"/>
        </w:rPr>
        <w:t>V</w:t>
      </w:r>
      <w:r w:rsidRPr="00312522">
        <w:rPr>
          <w:color w:val="auto"/>
        </w:rPr>
        <w:t xml:space="preserve">alsts budžeta likumprojekta sagatavošanas procesā tiek kompleksi vērtēti un pēc tam valsts budžeta likumā atspoguļoti šādi rādītāji: </w:t>
      </w:r>
    </w:p>
    <w:p w14:paraId="06CBD990" w14:textId="77777777" w:rsidR="00A27A3F" w:rsidRPr="00312522" w:rsidRDefault="00A27A3F" w:rsidP="004F034A">
      <w:pPr>
        <w:pStyle w:val="Default"/>
        <w:numPr>
          <w:ilvl w:val="0"/>
          <w:numId w:val="21"/>
        </w:numPr>
        <w:ind w:left="993"/>
        <w:jc w:val="both"/>
        <w:rPr>
          <w:color w:val="auto"/>
        </w:rPr>
      </w:pPr>
      <w:r w:rsidRPr="00312522">
        <w:rPr>
          <w:color w:val="auto"/>
        </w:rPr>
        <w:t>valsts budžeta ieņēmumi sadalījumā pa ieņēmumu veidiem;</w:t>
      </w:r>
    </w:p>
    <w:p w14:paraId="556611B3" w14:textId="77777777" w:rsidR="00A27A3F" w:rsidRPr="00312522" w:rsidRDefault="00A27A3F" w:rsidP="004F034A">
      <w:pPr>
        <w:pStyle w:val="Default"/>
        <w:numPr>
          <w:ilvl w:val="0"/>
          <w:numId w:val="21"/>
        </w:numPr>
        <w:ind w:left="993"/>
        <w:jc w:val="both"/>
        <w:rPr>
          <w:color w:val="auto"/>
        </w:rPr>
      </w:pPr>
      <w:r w:rsidRPr="00312522">
        <w:rPr>
          <w:color w:val="auto"/>
        </w:rPr>
        <w:t>valsts budžeta izdevumi sadalījumā</w:t>
      </w:r>
      <w:r w:rsidRPr="003B59F7">
        <w:rPr>
          <w:color w:val="auto"/>
        </w:rPr>
        <w:t xml:space="preserve"> </w:t>
      </w:r>
      <w:r>
        <w:rPr>
          <w:color w:val="auto"/>
        </w:rPr>
        <w:t>budžeta resoriem,</w:t>
      </w:r>
      <w:r w:rsidRPr="00312522">
        <w:rPr>
          <w:color w:val="auto"/>
        </w:rPr>
        <w:t xml:space="preserve"> pa programmām (apakšprogrammām) un izdevumu veidiem atbilstoši ekonomiskajai būtībai; </w:t>
      </w:r>
    </w:p>
    <w:p w14:paraId="47C1D632" w14:textId="77777777" w:rsidR="00A27A3F" w:rsidRPr="00312522" w:rsidRDefault="00A27A3F" w:rsidP="004F034A">
      <w:pPr>
        <w:pStyle w:val="Default"/>
        <w:numPr>
          <w:ilvl w:val="0"/>
          <w:numId w:val="21"/>
        </w:numPr>
        <w:ind w:left="993"/>
        <w:jc w:val="both"/>
        <w:rPr>
          <w:color w:val="auto"/>
        </w:rPr>
      </w:pPr>
      <w:r w:rsidRPr="00312522">
        <w:rPr>
          <w:color w:val="auto"/>
        </w:rPr>
        <w:t xml:space="preserve">valsts budžeta finansiālā bilance; </w:t>
      </w:r>
    </w:p>
    <w:p w14:paraId="724311A8" w14:textId="77777777" w:rsidR="00A27A3F" w:rsidRPr="00312522" w:rsidRDefault="00A27A3F" w:rsidP="004F034A">
      <w:pPr>
        <w:pStyle w:val="Default"/>
        <w:numPr>
          <w:ilvl w:val="0"/>
          <w:numId w:val="21"/>
        </w:numPr>
        <w:ind w:left="993"/>
        <w:jc w:val="both"/>
        <w:rPr>
          <w:color w:val="auto"/>
        </w:rPr>
      </w:pPr>
      <w:r w:rsidRPr="00312522">
        <w:rPr>
          <w:color w:val="auto"/>
        </w:rPr>
        <w:t xml:space="preserve">valsts parāda maksimāli pieļaujamais apjoms saimnieciskā gada beigās; </w:t>
      </w:r>
    </w:p>
    <w:p w14:paraId="12093D8A" w14:textId="77777777" w:rsidR="00A27A3F" w:rsidRPr="00312522" w:rsidRDefault="00A27A3F" w:rsidP="004F034A">
      <w:pPr>
        <w:pStyle w:val="Default"/>
        <w:numPr>
          <w:ilvl w:val="0"/>
          <w:numId w:val="21"/>
        </w:numPr>
        <w:ind w:left="993"/>
        <w:jc w:val="both"/>
        <w:rPr>
          <w:color w:val="auto"/>
        </w:rPr>
      </w:pPr>
      <w:r w:rsidRPr="00312522">
        <w:rPr>
          <w:color w:val="auto"/>
        </w:rPr>
        <w:t xml:space="preserve">valsts vārdā izsniedzamo galvojumu apmērs; </w:t>
      </w:r>
    </w:p>
    <w:p w14:paraId="078A9301" w14:textId="77777777" w:rsidR="00A27A3F" w:rsidRPr="00312522" w:rsidRDefault="00A27A3F" w:rsidP="004F034A">
      <w:pPr>
        <w:pStyle w:val="Default"/>
        <w:numPr>
          <w:ilvl w:val="0"/>
          <w:numId w:val="21"/>
        </w:numPr>
        <w:ind w:left="993"/>
        <w:jc w:val="both"/>
        <w:rPr>
          <w:color w:val="auto"/>
        </w:rPr>
      </w:pPr>
      <w:r w:rsidRPr="00312522">
        <w:rPr>
          <w:color w:val="auto"/>
        </w:rPr>
        <w:t xml:space="preserve">valsts budžeta aizdevumu kopējais palielinājums; </w:t>
      </w:r>
    </w:p>
    <w:p w14:paraId="6A3645DB" w14:textId="77777777" w:rsidR="00A27A3F" w:rsidRPr="00312522" w:rsidRDefault="00A27A3F" w:rsidP="004F034A">
      <w:pPr>
        <w:pStyle w:val="Default"/>
        <w:numPr>
          <w:ilvl w:val="0"/>
          <w:numId w:val="21"/>
        </w:numPr>
        <w:ind w:left="993"/>
        <w:jc w:val="both"/>
        <w:rPr>
          <w:color w:val="auto"/>
        </w:rPr>
      </w:pPr>
      <w:r w:rsidRPr="00312522">
        <w:rPr>
          <w:color w:val="auto"/>
        </w:rPr>
        <w:t xml:space="preserve">valsts budžeta mērķdotāciju apmērs pašvaldībām, kā arī valsts budžeta dotācijas apmērs pašvaldību finanšu izlīdzināšanas fondam; </w:t>
      </w:r>
    </w:p>
    <w:p w14:paraId="3F22E11D" w14:textId="77777777" w:rsidR="00A27A3F" w:rsidRPr="00312522" w:rsidRDefault="00A27A3F" w:rsidP="004F034A">
      <w:pPr>
        <w:pStyle w:val="Default"/>
        <w:numPr>
          <w:ilvl w:val="0"/>
          <w:numId w:val="21"/>
        </w:numPr>
        <w:ind w:left="993"/>
        <w:jc w:val="both"/>
        <w:rPr>
          <w:color w:val="auto"/>
        </w:rPr>
      </w:pPr>
      <w:r w:rsidRPr="00312522">
        <w:rPr>
          <w:color w:val="auto"/>
        </w:rPr>
        <w:lastRenderedPageBreak/>
        <w:t xml:space="preserve">pašvaldību aizņēmumu kopējais palielinājums un pašvaldību sniegto galvojumu kopējais palielinājums; </w:t>
      </w:r>
    </w:p>
    <w:p w14:paraId="3822E75C" w14:textId="77777777" w:rsidR="00A27A3F" w:rsidRPr="00312522" w:rsidRDefault="00A27A3F" w:rsidP="004F034A">
      <w:pPr>
        <w:pStyle w:val="Default"/>
        <w:numPr>
          <w:ilvl w:val="0"/>
          <w:numId w:val="21"/>
        </w:numPr>
        <w:ind w:left="993"/>
        <w:jc w:val="both"/>
        <w:rPr>
          <w:color w:val="auto"/>
        </w:rPr>
      </w:pPr>
      <w:r w:rsidRPr="00312522">
        <w:rPr>
          <w:color w:val="auto"/>
        </w:rPr>
        <w:t xml:space="preserve">citi nosacījumi, piemēram, valsts </w:t>
      </w:r>
      <w:proofErr w:type="spellStart"/>
      <w:r w:rsidRPr="00312522">
        <w:rPr>
          <w:color w:val="auto"/>
        </w:rPr>
        <w:t>fondēto</w:t>
      </w:r>
      <w:proofErr w:type="spellEnd"/>
      <w:r w:rsidRPr="00312522">
        <w:rPr>
          <w:color w:val="auto"/>
        </w:rPr>
        <w:t xml:space="preserve"> pensiju shēmas iemaksu likme un iemaksu summa. </w:t>
      </w:r>
    </w:p>
    <w:p w14:paraId="2E127563" w14:textId="77777777" w:rsidR="00A27A3F" w:rsidRPr="00312522" w:rsidRDefault="00A27A3F" w:rsidP="00DD0703">
      <w:pPr>
        <w:pStyle w:val="Default"/>
        <w:spacing w:before="120"/>
        <w:ind w:firstLine="720"/>
        <w:jc w:val="both"/>
        <w:rPr>
          <w:b/>
          <w:bCs/>
          <w:color w:val="auto"/>
        </w:rPr>
      </w:pPr>
      <w:r>
        <w:rPr>
          <w:color w:val="auto"/>
        </w:rPr>
        <w:t>V</w:t>
      </w:r>
      <w:r w:rsidRPr="00312522">
        <w:rPr>
          <w:color w:val="auto"/>
        </w:rPr>
        <w:t xml:space="preserve">alsts budžeta likumprojekta paskaidrojumos tiek ietverts makroekonomiskās attīstības scenārija apraksts, fiskālais apskats, </w:t>
      </w:r>
      <w:r w:rsidRPr="003E0F91">
        <w:rPr>
          <w:color w:val="auto"/>
        </w:rPr>
        <w:t xml:space="preserve">vidēja termiņa strukturālās bilances mērķu noteikšanas apraksts, apraksts par vidēja termiņa budžeta prioritāriem attīstības virzieniem, </w:t>
      </w:r>
      <w:r w:rsidRPr="00312522">
        <w:rPr>
          <w:color w:val="auto"/>
        </w:rPr>
        <w:t>ieņēmumu prognožu analīze, valsts budžeta izdevumu plānošanas būtiskākie elementi, ministriju izdevumu paskaidrojumi, valsts budžeta izdevumi funkcionālajā, administratīvajā un ekonomisko kategoriju sadalījumā, kā arī informācija par plānotajiem investīciju projektiem, informācija par valsts</w:t>
      </w:r>
      <w:r w:rsidRPr="00465ED7">
        <w:t xml:space="preserve"> </w:t>
      </w:r>
      <w:r w:rsidRPr="00465ED7">
        <w:rPr>
          <w:color w:val="auto"/>
        </w:rPr>
        <w:t xml:space="preserve">parāda, aizdevumu un galvojumu </w:t>
      </w:r>
      <w:r w:rsidRPr="00312522">
        <w:rPr>
          <w:color w:val="auto"/>
        </w:rPr>
        <w:t xml:space="preserve">finansiālajām saistībām (kopsavilkums), kā arī informācija par budžeta likumprojektu paketes ietvaros veiktajiem grozījumiem normatīvajos aktos. Ministrijas un citas centrālās valsts iestādes paskaidrojumos iekļauj Politikas un resursu vadības kartes, prioritāros pasākumus un to īstenošanas rezultātā sagaidāmos darbības rezultātus un to rezultatīvos rādītājus, optimizācijas pasākumus, kā arī katrai pamatbudžeta vai speciālā budžeta programmai (apakšprogrammai) norāda mērķi, galvenās aktivitātes un izpildītājus, darbības rezultātus un to rezultatīvos rādītājus, finansiālos rādītājus un kopējo izdevumu izmaiņas. </w:t>
      </w:r>
    </w:p>
    <w:p w14:paraId="152E1CF3" w14:textId="77777777" w:rsidR="00A27A3F" w:rsidRPr="00312522" w:rsidRDefault="00A27A3F" w:rsidP="00A27A3F">
      <w:pPr>
        <w:pStyle w:val="Default"/>
        <w:ind w:firstLine="720"/>
        <w:jc w:val="both"/>
      </w:pPr>
      <w:r w:rsidRPr="00312522">
        <w:t>Neatkarīgo iestāžu (ties</w:t>
      </w:r>
      <w:r>
        <w:t>u</w:t>
      </w:r>
      <w:r w:rsidRPr="00312522">
        <w:t xml:space="preserve">, Valsts kontroles, </w:t>
      </w:r>
      <w:proofErr w:type="spellStart"/>
      <w:r w:rsidRPr="00312522">
        <w:t>Tiesībsarga</w:t>
      </w:r>
      <w:proofErr w:type="spellEnd"/>
      <w:r>
        <w:t xml:space="preserve"> biroja</w:t>
      </w:r>
      <w:r w:rsidRPr="00312522">
        <w:t xml:space="preserve"> un cit</w:t>
      </w:r>
      <w:r>
        <w:t>u</w:t>
      </w:r>
      <w:r w:rsidRPr="00312522">
        <w:t xml:space="preserve">) budžeta pieprasījumiem ir īpaša loma budžeta procesā. LBFV nosaka, ka MK, sagatavojot </w:t>
      </w:r>
      <w:r>
        <w:rPr>
          <w:color w:val="auto"/>
        </w:rPr>
        <w:t>v</w:t>
      </w:r>
      <w:r w:rsidRPr="00D36760">
        <w:rPr>
          <w:color w:val="auto"/>
        </w:rPr>
        <w:t>alsts budžeta likumprojekt</w:t>
      </w:r>
      <w:r>
        <w:rPr>
          <w:color w:val="auto"/>
        </w:rPr>
        <w:t>u</w:t>
      </w:r>
      <w:r w:rsidRPr="00312522">
        <w:rPr>
          <w:color w:val="auto"/>
        </w:rPr>
        <w:t>,</w:t>
      </w:r>
      <w:r w:rsidRPr="00312522">
        <w:t xml:space="preserve"> ir jāuzklausa neatkarīgo iestāžu viedoklis par attiecīgo iestāžu finansējuma sadaļām, jāpamato MK viedoklis finansējuma samazinājuma gadījumā, kā arī minēto sarunu rezultāti protokola veidā ir jādara zināmi likumdevējam, pievienojot tos attiecīgajiem likumprojektiem.</w:t>
      </w:r>
    </w:p>
    <w:p w14:paraId="251962C8" w14:textId="77777777" w:rsidR="00A27A3F" w:rsidRPr="00312522" w:rsidRDefault="00A27A3F" w:rsidP="00A27A3F">
      <w:pPr>
        <w:pStyle w:val="Default"/>
        <w:ind w:firstLine="720"/>
        <w:jc w:val="both"/>
      </w:pPr>
      <w:r>
        <w:rPr>
          <w:color w:val="auto"/>
        </w:rPr>
        <w:t>V</w:t>
      </w:r>
      <w:r w:rsidRPr="00D36760">
        <w:rPr>
          <w:color w:val="auto"/>
        </w:rPr>
        <w:t>alsts budžeta likumprojekt</w:t>
      </w:r>
      <w:r>
        <w:rPr>
          <w:color w:val="auto"/>
        </w:rPr>
        <w:t>a</w:t>
      </w:r>
      <w:r w:rsidRPr="00312522">
        <w:t xml:space="preserve"> izstrādes gaitā notiek LPS un FM sarunas, kuru rezultātā tiek sagatavots MK un LPS protokola projekts, kas tiek iesniegts izskatīšanai MK sēdē. Protokola projektā tiek iekļauti jautājumi par pašvaldību nodokļu ieņēmumu, </w:t>
      </w:r>
      <w:proofErr w:type="spellStart"/>
      <w:r w:rsidRPr="00312522">
        <w:t>nenodokļu</w:t>
      </w:r>
      <w:proofErr w:type="spellEnd"/>
      <w:r w:rsidRPr="00312522">
        <w:t xml:space="preserve"> ieņēmumu un citu ieņēmumu prognozēm, valsts budžeta </w:t>
      </w:r>
      <w:proofErr w:type="spellStart"/>
      <w:r w:rsidRPr="00312522">
        <w:t>transfertiem</w:t>
      </w:r>
      <w:proofErr w:type="spellEnd"/>
      <w:r w:rsidRPr="00312522">
        <w:t xml:space="preserve"> pašvaldībām, pašvaldību aizņēmumiem, galvojumiem, ilgtermiņa saistību apmēru un nosacījumiem, pašvaldību finanšu izlīdzināšanu, kā arī citi ar pašvaldību darbību un finansēm saistīti jautājumi. Protokols tiek pievienots</w:t>
      </w:r>
      <w:r>
        <w:t xml:space="preserve"> v</w:t>
      </w:r>
      <w:r w:rsidRPr="00586833">
        <w:t>alsts budžeta likumprojekt</w:t>
      </w:r>
      <w:r>
        <w:t>am</w:t>
      </w:r>
      <w:r w:rsidRPr="00312522">
        <w:t xml:space="preserve">, MK to iesniedzot Saeimā. </w:t>
      </w:r>
    </w:p>
    <w:p w14:paraId="59EF5797" w14:textId="77777777" w:rsidR="00A27A3F" w:rsidRPr="00312522" w:rsidRDefault="00A27A3F" w:rsidP="00A27A3F">
      <w:pPr>
        <w:pStyle w:val="Default"/>
        <w:ind w:firstLine="720"/>
        <w:jc w:val="both"/>
      </w:pPr>
      <w:r w:rsidRPr="00312522">
        <w:t>Ja, sākoties saimnieciskajam gadam, nav stājies spēkā valsts budžeta likums, finanšu ministrs apstiprina valsts darbībai nepieciešamos valsts budžeta izdevumus, aizdevumu un aizņēmumu limitus ar noteikumu, ka izdevumi nepārsniedz valsts budžeta likumā attiecīgajam gadam noteikto maksimāli pieļaujamo valsts budžeta kopējo izdevumu apjomu katrai ministrijai un citai centrālajai valsts iestādei, veicot LBFV noteiktās korekcijas.</w:t>
      </w:r>
    </w:p>
    <w:p w14:paraId="4E0019E4" w14:textId="77777777" w:rsidR="00A27A3F" w:rsidRPr="00312522" w:rsidRDefault="00A27A3F" w:rsidP="00A27A3F">
      <w:pPr>
        <w:pStyle w:val="Default"/>
        <w:ind w:firstLine="720"/>
        <w:jc w:val="both"/>
      </w:pPr>
      <w:r w:rsidRPr="00312522">
        <w:t xml:space="preserve">Atbilstoši </w:t>
      </w:r>
      <w:r>
        <w:t>LBFV</w:t>
      </w:r>
      <w:r w:rsidRPr="00312522">
        <w:t xml:space="preserve">, pašvaldības izstrādā savus budžetus ne vēlāk kā divu mēnešu laikā pēc valsts budžeta likuma izsludināšanas. </w:t>
      </w:r>
    </w:p>
    <w:p w14:paraId="74EE1817" w14:textId="77777777" w:rsidR="00A27A3F" w:rsidRDefault="00A27A3F" w:rsidP="00A27A3F">
      <w:pPr>
        <w:pStyle w:val="Default"/>
        <w:ind w:firstLine="720"/>
        <w:jc w:val="both"/>
      </w:pPr>
      <w:bookmarkStart w:id="82" w:name="_Hlk97641121"/>
      <w:r>
        <w:t>Ja, sākoties saimnieciskajam gadam, nav stājies spēkā gadskārtējais pašvaldības budžets, pašvaldības domes noteiktajā kārtībā apstiprina pašvaldības darbībai nepieciešamos budžeta izdevumus ar noteikumu, ka:</w:t>
      </w:r>
    </w:p>
    <w:p w14:paraId="6D1F2982" w14:textId="01BE4303" w:rsidR="00A27A3F" w:rsidRDefault="00A27A3F" w:rsidP="004F034A">
      <w:pPr>
        <w:pStyle w:val="Default"/>
        <w:numPr>
          <w:ilvl w:val="0"/>
          <w:numId w:val="23"/>
        </w:numPr>
        <w:ind w:left="641" w:hanging="357"/>
        <w:jc w:val="both"/>
      </w:pPr>
      <w:r>
        <w:t>tie nepārsniedz pašvaldības iepriekšējā saimnieciskā gada faktiskos izdevumus, izdarot šādas korekcijas:</w:t>
      </w:r>
    </w:p>
    <w:p w14:paraId="5F884381" w14:textId="33463B5F" w:rsidR="00A27A3F" w:rsidRDefault="00A27A3F" w:rsidP="004F034A">
      <w:pPr>
        <w:pStyle w:val="Default"/>
        <w:numPr>
          <w:ilvl w:val="1"/>
          <w:numId w:val="24"/>
        </w:numPr>
        <w:jc w:val="both"/>
      </w:pPr>
      <w:r>
        <w:t>netiek apmaksāti pakalpojumi (maksājumu uzdevumi), kas nav sniegti iepriekšējā saimnieciskajā gadā, un netiek veiktas investīcijas, kas nav realizētas iepriekšējā saimnieciskajā gadā,</w:t>
      </w:r>
    </w:p>
    <w:p w14:paraId="09929FA2" w14:textId="7E55DA93" w:rsidR="00A27A3F" w:rsidRDefault="00A27A3F" w:rsidP="004F034A">
      <w:pPr>
        <w:pStyle w:val="Default"/>
        <w:numPr>
          <w:ilvl w:val="1"/>
          <w:numId w:val="24"/>
        </w:numPr>
        <w:jc w:val="both"/>
      </w:pPr>
      <w:r>
        <w:t>tiek turpināta iepriekšējā saimnieciskajā gadā uzsākto pasākumu finansēšana,</w:t>
      </w:r>
    </w:p>
    <w:p w14:paraId="5902AF51" w14:textId="3EAF467E" w:rsidR="00A27A3F" w:rsidRDefault="00A27A3F" w:rsidP="004F034A">
      <w:pPr>
        <w:pStyle w:val="Default"/>
        <w:numPr>
          <w:ilvl w:val="1"/>
          <w:numId w:val="24"/>
        </w:numPr>
        <w:jc w:val="both"/>
      </w:pPr>
      <w:r>
        <w:t>tiek nodrošināta spēkā esošo normatīvo aktu izpilde;</w:t>
      </w:r>
    </w:p>
    <w:p w14:paraId="570C895F" w14:textId="3B0175D7" w:rsidR="00A27A3F" w:rsidRDefault="00A27A3F" w:rsidP="004F034A">
      <w:pPr>
        <w:pStyle w:val="Default"/>
        <w:numPr>
          <w:ilvl w:val="0"/>
          <w:numId w:val="23"/>
        </w:numPr>
        <w:ind w:left="641" w:hanging="357"/>
        <w:jc w:val="both"/>
      </w:pPr>
      <w:r>
        <w:t>tiek nodrošināta iepriekšējā saimnieciskā gada pašvaldības budžetā noteikto budžeta politiku un nosacījumu izpilde nemainīgā līmenī, izņemot terminētus pasākumus;</w:t>
      </w:r>
    </w:p>
    <w:p w14:paraId="16FEDE47" w14:textId="60686721" w:rsidR="00A27A3F" w:rsidRDefault="00A27A3F" w:rsidP="004F034A">
      <w:pPr>
        <w:pStyle w:val="Default"/>
        <w:numPr>
          <w:ilvl w:val="0"/>
          <w:numId w:val="23"/>
        </w:numPr>
        <w:ind w:left="641" w:hanging="357"/>
        <w:jc w:val="both"/>
      </w:pPr>
      <w:r>
        <w:t xml:space="preserve">tiek nodrošināta </w:t>
      </w:r>
      <w:r w:rsidR="00507D8A">
        <w:t>ES</w:t>
      </w:r>
      <w:r>
        <w:t xml:space="preserve"> un pārējās ārvalstu finanšu palīdzības līdzfinansēto projektu īstenošana;</w:t>
      </w:r>
    </w:p>
    <w:p w14:paraId="4AA1F853" w14:textId="5F5C8B69" w:rsidR="00A27A3F" w:rsidRDefault="00A27A3F" w:rsidP="004F034A">
      <w:pPr>
        <w:pStyle w:val="Default"/>
        <w:numPr>
          <w:ilvl w:val="0"/>
          <w:numId w:val="23"/>
        </w:numPr>
        <w:ind w:left="641" w:hanging="357"/>
        <w:jc w:val="both"/>
      </w:pPr>
      <w:r>
        <w:lastRenderedPageBreak/>
        <w:t>tiek ņemtas vērā saimnieciskajam gadam apstiprinātās valsts budžeta mērķdotācijas un dotācijas;</w:t>
      </w:r>
    </w:p>
    <w:p w14:paraId="42C05A46" w14:textId="7C5D1DD2" w:rsidR="00A27A3F" w:rsidRDefault="00A27A3F" w:rsidP="004F034A">
      <w:pPr>
        <w:pStyle w:val="Default"/>
        <w:numPr>
          <w:ilvl w:val="0"/>
          <w:numId w:val="23"/>
        </w:numPr>
        <w:ind w:left="641" w:hanging="357"/>
        <w:jc w:val="both"/>
      </w:pPr>
      <w:r>
        <w:t>tiek paredzēts finansējums pašvaldības uzņemto saistību izpildei;</w:t>
      </w:r>
    </w:p>
    <w:p w14:paraId="68540C44" w14:textId="22B4F504" w:rsidR="00A27A3F" w:rsidRDefault="00A27A3F" w:rsidP="004F034A">
      <w:pPr>
        <w:pStyle w:val="Default"/>
        <w:numPr>
          <w:ilvl w:val="0"/>
          <w:numId w:val="23"/>
        </w:numPr>
        <w:ind w:left="641" w:hanging="357"/>
        <w:jc w:val="both"/>
      </w:pPr>
      <w:r>
        <w:t>netiek uzņemtas jaunas aizņēmuma un galvojuma saistības, izņemot saistības 3.</w:t>
      </w:r>
      <w:r w:rsidR="002B6464">
        <w:t xml:space="preserve"> </w:t>
      </w:r>
      <w:r>
        <w:t>punktā minēto projektu īstenošanai.</w:t>
      </w:r>
    </w:p>
    <w:bookmarkEnd w:id="82"/>
    <w:p w14:paraId="7B676890" w14:textId="77777777" w:rsidR="00A27A3F" w:rsidRPr="00312522" w:rsidRDefault="00A27A3F" w:rsidP="00A27A3F">
      <w:pPr>
        <w:pStyle w:val="Default"/>
        <w:spacing w:before="120"/>
        <w:ind w:firstLine="720"/>
        <w:jc w:val="both"/>
      </w:pPr>
      <w:r w:rsidRPr="00312522">
        <w:t>Pašvaldībām likumā “Par pašvaldību budžetiem” ir noteikti stingri nosacījumi budžeta plānošanas un izpildes jomā – pašvaldību budžeta asignējumi nedrīkst pārsniegt budžetā plānotos apjomus.</w:t>
      </w:r>
    </w:p>
    <w:p w14:paraId="61CBFB60" w14:textId="2CA0EAB1" w:rsidR="00837783" w:rsidRPr="00A27A3F" w:rsidRDefault="00A27A3F" w:rsidP="00A27A3F">
      <w:pPr>
        <w:pStyle w:val="Default"/>
        <w:ind w:firstLine="720"/>
        <w:jc w:val="both"/>
      </w:pPr>
      <w:r w:rsidRPr="00312522">
        <w:t xml:space="preserve">MK ir tiesības noteikt valsts un pašvaldību budžeta plānošanas un izpildes papildu nosacījumus, lai nodrošinātu makroekonomisko procesu izraisīto paaugstināto fiskālo, ekonomisko un sociālo risku ietekmes mazināšanas un novēršanas pasākumus un nodrošinātu starptautiskajās saistībās noteikto fiskālo kritēriju izpildi. </w:t>
      </w:r>
    </w:p>
    <w:p w14:paraId="051343A0" w14:textId="77777777" w:rsidR="00837783" w:rsidRPr="00874664" w:rsidRDefault="00837783" w:rsidP="00837783">
      <w:pPr>
        <w:rPr>
          <w:sz w:val="24"/>
          <w:szCs w:val="20"/>
          <w:highlight w:val="lightGray"/>
          <w:lang w:eastAsia="lv-LV"/>
        </w:rPr>
      </w:pPr>
    </w:p>
    <w:p w14:paraId="4B0E3D7B" w14:textId="773497CF" w:rsidR="00BF4753" w:rsidRPr="00874664" w:rsidRDefault="00C226AF" w:rsidP="00C226AF">
      <w:pPr>
        <w:pStyle w:val="Heading3"/>
        <w:numPr>
          <w:ilvl w:val="0"/>
          <w:numId w:val="0"/>
        </w:numPr>
        <w:spacing w:before="0" w:after="360"/>
        <w:jc w:val="center"/>
        <w:rPr>
          <w:sz w:val="24"/>
          <w:szCs w:val="20"/>
          <w:lang w:eastAsia="lv-LV"/>
        </w:rPr>
      </w:pPr>
      <w:bookmarkStart w:id="83" w:name="_Toc164679846"/>
      <w:r>
        <w:rPr>
          <w:rFonts w:eastAsia="Times New Roman"/>
          <w:color w:val="000000"/>
          <w:sz w:val="24"/>
          <w:szCs w:val="20"/>
          <w:lang w:eastAsia="lv-LV"/>
        </w:rPr>
        <w:t xml:space="preserve">7.2.2. </w:t>
      </w:r>
      <w:r w:rsidR="00BF4753" w:rsidRPr="00874664">
        <w:rPr>
          <w:rFonts w:eastAsia="Times New Roman"/>
          <w:color w:val="000000"/>
          <w:sz w:val="24"/>
          <w:szCs w:val="20"/>
          <w:lang w:eastAsia="lv-LV"/>
        </w:rPr>
        <w:t>Valsts finanšu statistikas pārvaldība</w:t>
      </w:r>
      <w:bookmarkEnd w:id="83"/>
    </w:p>
    <w:p w14:paraId="6A7B30C5" w14:textId="3888D9BF" w:rsidR="00874664" w:rsidRPr="00874664" w:rsidRDefault="00874664" w:rsidP="00874664">
      <w:pPr>
        <w:rPr>
          <w:rFonts w:eastAsia="Times New Roman" w:cs="Times New Roman"/>
          <w:sz w:val="24"/>
          <w:szCs w:val="20"/>
        </w:rPr>
      </w:pPr>
      <w:r w:rsidRPr="00874664">
        <w:rPr>
          <w:rFonts w:eastAsia="Times New Roman" w:cs="Times New Roman"/>
          <w:sz w:val="24"/>
          <w:szCs w:val="20"/>
        </w:rPr>
        <w:t>CSP</w:t>
      </w:r>
      <w:r>
        <w:rPr>
          <w:rFonts w:eastAsia="Times New Roman" w:cs="Times New Roman"/>
          <w:sz w:val="24"/>
          <w:szCs w:val="20"/>
        </w:rPr>
        <w:t xml:space="preserve"> </w:t>
      </w:r>
      <w:r w:rsidRPr="00874664">
        <w:rPr>
          <w:rFonts w:eastAsia="Times New Roman" w:cs="Times New Roman"/>
          <w:sz w:val="24"/>
          <w:szCs w:val="20"/>
        </w:rPr>
        <w:t xml:space="preserve">apkopo valdības finanšu statistiku atbilstoši Eiropas Parlamenta un Padomes Regulas (ES) Nr. 549/2013 (2013. gada 21. maijs) par Eiropas nacionālo un reģionālo kontu sistēmu </w:t>
      </w:r>
      <w:r w:rsidR="00507D8A">
        <w:rPr>
          <w:rFonts w:eastAsia="Times New Roman" w:cs="Times New Roman"/>
          <w:sz w:val="24"/>
          <w:szCs w:val="20"/>
        </w:rPr>
        <w:t>ES</w:t>
      </w:r>
      <w:r w:rsidRPr="00874664">
        <w:rPr>
          <w:rFonts w:eastAsia="Times New Roman" w:cs="Times New Roman"/>
          <w:sz w:val="24"/>
          <w:szCs w:val="20"/>
        </w:rPr>
        <w:t xml:space="preserve"> (turpmāk – EKS 2010) prasībām.</w:t>
      </w:r>
    </w:p>
    <w:p w14:paraId="130AEA62" w14:textId="13FE47C7" w:rsidR="00874664" w:rsidRPr="00874664" w:rsidRDefault="00874664" w:rsidP="00874664">
      <w:pPr>
        <w:rPr>
          <w:rFonts w:eastAsia="Times New Roman" w:cs="Times New Roman"/>
          <w:sz w:val="24"/>
          <w:szCs w:val="20"/>
        </w:rPr>
      </w:pPr>
      <w:r w:rsidRPr="00874664">
        <w:rPr>
          <w:rFonts w:eastAsia="Times New Roman" w:cs="Times New Roman"/>
          <w:sz w:val="24"/>
          <w:szCs w:val="20"/>
        </w:rPr>
        <w:t xml:space="preserve">Vispārējās valdības sektora (S.13) ietvars Latvijā atbilstoši EKS 2010 metodoloģijai sastāv no trim </w:t>
      </w:r>
      <w:proofErr w:type="spellStart"/>
      <w:r w:rsidRPr="00874664">
        <w:rPr>
          <w:rFonts w:eastAsia="Times New Roman" w:cs="Times New Roman"/>
          <w:sz w:val="24"/>
          <w:szCs w:val="20"/>
        </w:rPr>
        <w:t>apakšsektoriem</w:t>
      </w:r>
      <w:proofErr w:type="spellEnd"/>
      <w:r w:rsidRPr="00874664">
        <w:rPr>
          <w:rFonts w:eastAsia="Times New Roman" w:cs="Times New Roman"/>
          <w:sz w:val="24"/>
          <w:szCs w:val="20"/>
        </w:rPr>
        <w:t xml:space="preserve">: centrālās valdības </w:t>
      </w:r>
      <w:proofErr w:type="spellStart"/>
      <w:r w:rsidRPr="00874664">
        <w:rPr>
          <w:rFonts w:eastAsia="Times New Roman" w:cs="Times New Roman"/>
          <w:sz w:val="24"/>
          <w:szCs w:val="20"/>
        </w:rPr>
        <w:t>apakšsektora</w:t>
      </w:r>
      <w:proofErr w:type="spellEnd"/>
      <w:r w:rsidRPr="00874664">
        <w:rPr>
          <w:rFonts w:eastAsia="Times New Roman" w:cs="Times New Roman"/>
          <w:sz w:val="24"/>
          <w:szCs w:val="20"/>
        </w:rPr>
        <w:t xml:space="preserve"> (S.1311), </w:t>
      </w:r>
      <w:r w:rsidR="00BE30A6">
        <w:rPr>
          <w:rFonts w:eastAsia="Times New Roman" w:cs="Times New Roman"/>
          <w:sz w:val="24"/>
          <w:szCs w:val="20"/>
        </w:rPr>
        <w:t>vietējās valdības</w:t>
      </w:r>
      <w:r w:rsidRPr="00874664">
        <w:rPr>
          <w:rFonts w:eastAsia="Times New Roman" w:cs="Times New Roman"/>
          <w:sz w:val="24"/>
          <w:szCs w:val="20"/>
        </w:rPr>
        <w:t xml:space="preserve"> </w:t>
      </w:r>
      <w:proofErr w:type="spellStart"/>
      <w:r w:rsidRPr="00874664">
        <w:rPr>
          <w:rFonts w:eastAsia="Times New Roman" w:cs="Times New Roman"/>
          <w:sz w:val="24"/>
          <w:szCs w:val="20"/>
        </w:rPr>
        <w:t>apakšsektora</w:t>
      </w:r>
      <w:proofErr w:type="spellEnd"/>
      <w:r w:rsidRPr="00874664">
        <w:rPr>
          <w:rFonts w:eastAsia="Times New Roman" w:cs="Times New Roman"/>
          <w:sz w:val="24"/>
          <w:szCs w:val="20"/>
        </w:rPr>
        <w:t xml:space="preserve"> (S.1313) un sociālās </w:t>
      </w:r>
      <w:r w:rsidR="00BE30A6" w:rsidRPr="00BE30A6">
        <w:rPr>
          <w:rFonts w:eastAsia="Times New Roman" w:cs="Times New Roman"/>
          <w:sz w:val="24"/>
          <w:szCs w:val="20"/>
        </w:rPr>
        <w:t>nodrošināšanas fondu</w:t>
      </w:r>
      <w:r w:rsidRPr="00874664">
        <w:rPr>
          <w:rFonts w:eastAsia="Times New Roman" w:cs="Times New Roman"/>
          <w:sz w:val="24"/>
          <w:szCs w:val="20"/>
        </w:rPr>
        <w:t xml:space="preserve"> </w:t>
      </w:r>
      <w:proofErr w:type="spellStart"/>
      <w:r w:rsidRPr="00874664">
        <w:rPr>
          <w:rFonts w:eastAsia="Times New Roman" w:cs="Times New Roman"/>
          <w:sz w:val="24"/>
          <w:szCs w:val="20"/>
        </w:rPr>
        <w:t>apakšsektora</w:t>
      </w:r>
      <w:proofErr w:type="spellEnd"/>
      <w:r w:rsidRPr="00874664">
        <w:rPr>
          <w:rFonts w:eastAsia="Times New Roman" w:cs="Times New Roman"/>
          <w:sz w:val="24"/>
          <w:szCs w:val="20"/>
        </w:rPr>
        <w:t xml:space="preserve"> (S.1314).</w:t>
      </w:r>
    </w:p>
    <w:p w14:paraId="24CE6BE6" w14:textId="15BC453C" w:rsidR="00874664" w:rsidRPr="00874664" w:rsidRDefault="00874664" w:rsidP="00874664">
      <w:pPr>
        <w:rPr>
          <w:rFonts w:eastAsia="Times New Roman" w:cs="Times New Roman"/>
          <w:sz w:val="24"/>
          <w:szCs w:val="20"/>
        </w:rPr>
      </w:pPr>
      <w:r w:rsidRPr="00874664">
        <w:rPr>
          <w:rFonts w:eastAsia="Times New Roman" w:cs="Times New Roman"/>
          <w:sz w:val="24"/>
          <w:szCs w:val="20"/>
        </w:rPr>
        <w:t xml:space="preserve">Atbilstoši Ministru kabineta 2013. gada 10. decembra noteikumu Nr. 1456 “Noteikumi par institucionālo sektoru klasifikāciju” 6. punktam, CSP sagatavo un uztur vispārējās valdības sektora sarakstu. Lai sagatavotu sarakstu un lemtu par tajā iekļaujamajām vienībām, CSP ievēro EKS 2010 prasības, kā arī </w:t>
      </w:r>
      <w:r w:rsidR="00507D8A">
        <w:rPr>
          <w:rFonts w:eastAsia="Times New Roman" w:cs="Times New Roman"/>
          <w:sz w:val="24"/>
          <w:szCs w:val="20"/>
        </w:rPr>
        <w:t>ES</w:t>
      </w:r>
      <w:r w:rsidRPr="00874664">
        <w:rPr>
          <w:rFonts w:eastAsia="Times New Roman" w:cs="Times New Roman"/>
          <w:sz w:val="24"/>
          <w:szCs w:val="20"/>
        </w:rPr>
        <w:t xml:space="preserve"> Statistikas biroja </w:t>
      </w:r>
      <w:proofErr w:type="spellStart"/>
      <w:r w:rsidRPr="00874664">
        <w:rPr>
          <w:rFonts w:eastAsia="Times New Roman" w:cs="Times New Roman"/>
          <w:i/>
          <w:iCs/>
          <w:sz w:val="24"/>
          <w:szCs w:val="20"/>
        </w:rPr>
        <w:t>Eurostat</w:t>
      </w:r>
      <w:proofErr w:type="spellEnd"/>
      <w:r w:rsidRPr="00874664">
        <w:rPr>
          <w:rFonts w:eastAsia="Times New Roman" w:cs="Times New Roman"/>
          <w:sz w:val="24"/>
          <w:szCs w:val="20"/>
        </w:rPr>
        <w:t xml:space="preserve"> (turpmāk – </w:t>
      </w:r>
      <w:proofErr w:type="spellStart"/>
      <w:r w:rsidRPr="00874664">
        <w:rPr>
          <w:rFonts w:eastAsia="Times New Roman" w:cs="Times New Roman"/>
          <w:i/>
          <w:iCs/>
          <w:sz w:val="24"/>
          <w:szCs w:val="20"/>
        </w:rPr>
        <w:t>Eurostat</w:t>
      </w:r>
      <w:proofErr w:type="spellEnd"/>
      <w:r w:rsidRPr="00874664">
        <w:rPr>
          <w:rFonts w:eastAsia="Times New Roman" w:cs="Times New Roman"/>
          <w:sz w:val="24"/>
          <w:szCs w:val="20"/>
        </w:rPr>
        <w:t>) Rokasgrāmatā par valdības deficītu un valsts parādu definētos principus, kas paredz uz vispārējās valdības sektoru attiecināt valsts un pašvaldību kontrolētas un</w:t>
      </w:r>
      <w:r w:rsidR="00BE30A6">
        <w:rPr>
          <w:rFonts w:eastAsia="Times New Roman" w:cs="Times New Roman"/>
          <w:sz w:val="24"/>
          <w:szCs w:val="20"/>
        </w:rPr>
        <w:t xml:space="preserve"> </w:t>
      </w:r>
      <w:r w:rsidRPr="00874664">
        <w:rPr>
          <w:rFonts w:eastAsia="Times New Roman" w:cs="Times New Roman"/>
          <w:sz w:val="24"/>
          <w:szCs w:val="20"/>
        </w:rPr>
        <w:t>finansētas kapitālsabiedrības.</w:t>
      </w:r>
    </w:p>
    <w:p w14:paraId="1E0E162C" w14:textId="2CF51678" w:rsidR="00874664" w:rsidRPr="00874664" w:rsidRDefault="00874664" w:rsidP="00874664">
      <w:pPr>
        <w:rPr>
          <w:rFonts w:eastAsia="Times New Roman" w:cs="Times New Roman"/>
          <w:sz w:val="24"/>
          <w:szCs w:val="20"/>
        </w:rPr>
      </w:pPr>
      <w:r w:rsidRPr="00874664">
        <w:rPr>
          <w:rFonts w:eastAsia="Times New Roman" w:cs="Times New Roman"/>
          <w:sz w:val="24"/>
          <w:szCs w:val="20"/>
        </w:rPr>
        <w:t xml:space="preserve">Vispārējās valdības sektorā uz 2023. gada 31. decembri bija 540 neatkarīgas budžeta iestādes, no tām centrālās valdības </w:t>
      </w:r>
      <w:proofErr w:type="spellStart"/>
      <w:r w:rsidRPr="00874664">
        <w:rPr>
          <w:rFonts w:eastAsia="Times New Roman" w:cs="Times New Roman"/>
          <w:sz w:val="24"/>
          <w:szCs w:val="20"/>
        </w:rPr>
        <w:t>apakšsektorā</w:t>
      </w:r>
      <w:proofErr w:type="spellEnd"/>
      <w:r w:rsidRPr="00874664">
        <w:rPr>
          <w:rFonts w:eastAsia="Times New Roman" w:cs="Times New Roman"/>
          <w:sz w:val="24"/>
          <w:szCs w:val="20"/>
        </w:rPr>
        <w:t xml:space="preserve"> – 227 iestādes, </w:t>
      </w:r>
      <w:r w:rsidR="00BE30A6">
        <w:rPr>
          <w:rFonts w:eastAsia="Times New Roman" w:cs="Times New Roman"/>
          <w:sz w:val="24"/>
          <w:szCs w:val="20"/>
        </w:rPr>
        <w:t>vietējās valdības</w:t>
      </w:r>
      <w:r w:rsidRPr="00874664">
        <w:rPr>
          <w:rFonts w:eastAsia="Times New Roman" w:cs="Times New Roman"/>
          <w:sz w:val="24"/>
          <w:szCs w:val="20"/>
        </w:rPr>
        <w:t xml:space="preserve"> </w:t>
      </w:r>
      <w:proofErr w:type="spellStart"/>
      <w:r w:rsidRPr="00874664">
        <w:rPr>
          <w:rFonts w:eastAsia="Times New Roman" w:cs="Times New Roman"/>
          <w:sz w:val="24"/>
          <w:szCs w:val="20"/>
        </w:rPr>
        <w:t>apakšsektorā</w:t>
      </w:r>
      <w:proofErr w:type="spellEnd"/>
      <w:r w:rsidRPr="00874664">
        <w:rPr>
          <w:rFonts w:eastAsia="Times New Roman" w:cs="Times New Roman"/>
          <w:sz w:val="24"/>
          <w:szCs w:val="20"/>
        </w:rPr>
        <w:t xml:space="preserve"> – 312 iestādes un sociālās </w:t>
      </w:r>
      <w:r w:rsidR="00BE30A6">
        <w:rPr>
          <w:rFonts w:eastAsia="Times New Roman" w:cs="Times New Roman"/>
          <w:sz w:val="24"/>
          <w:szCs w:val="20"/>
        </w:rPr>
        <w:t>no</w:t>
      </w:r>
      <w:r w:rsidRPr="00874664">
        <w:rPr>
          <w:rFonts w:eastAsia="Times New Roman" w:cs="Times New Roman"/>
          <w:sz w:val="24"/>
          <w:szCs w:val="20"/>
        </w:rPr>
        <w:t>drošināšanas fond</w:t>
      </w:r>
      <w:r w:rsidR="00BE30A6">
        <w:rPr>
          <w:rFonts w:eastAsia="Times New Roman" w:cs="Times New Roman"/>
          <w:sz w:val="24"/>
          <w:szCs w:val="20"/>
        </w:rPr>
        <w:t>u</w:t>
      </w:r>
      <w:r w:rsidRPr="00874664">
        <w:rPr>
          <w:rFonts w:eastAsia="Times New Roman" w:cs="Times New Roman"/>
          <w:sz w:val="24"/>
          <w:szCs w:val="20"/>
        </w:rPr>
        <w:t xml:space="preserve"> </w:t>
      </w:r>
      <w:proofErr w:type="spellStart"/>
      <w:r w:rsidRPr="00874664">
        <w:rPr>
          <w:rFonts w:eastAsia="Times New Roman" w:cs="Times New Roman"/>
          <w:sz w:val="24"/>
          <w:szCs w:val="20"/>
        </w:rPr>
        <w:t>apakšsektorā</w:t>
      </w:r>
      <w:proofErr w:type="spellEnd"/>
      <w:r w:rsidRPr="00874664">
        <w:rPr>
          <w:rFonts w:eastAsia="Times New Roman" w:cs="Times New Roman"/>
          <w:sz w:val="24"/>
          <w:szCs w:val="20"/>
        </w:rPr>
        <w:t xml:space="preserve"> – viena iestāde, bez tam – 141 valsts un pašvaldību kontrolētas un finansētas </w:t>
      </w:r>
      <w:bookmarkStart w:id="84" w:name="_Hlk164074427"/>
      <w:r w:rsidR="00BE30A6">
        <w:rPr>
          <w:rFonts w:eastAsia="Times New Roman" w:cs="Times New Roman"/>
          <w:sz w:val="24"/>
          <w:szCs w:val="20"/>
        </w:rPr>
        <w:t>komercs</w:t>
      </w:r>
      <w:r w:rsidRPr="00874664">
        <w:rPr>
          <w:rFonts w:eastAsia="Times New Roman" w:cs="Times New Roman"/>
          <w:sz w:val="24"/>
          <w:szCs w:val="20"/>
        </w:rPr>
        <w:t>abiedrības</w:t>
      </w:r>
      <w:bookmarkEnd w:id="84"/>
      <w:r w:rsidRPr="00874664">
        <w:rPr>
          <w:rFonts w:eastAsia="Times New Roman" w:cs="Times New Roman"/>
          <w:sz w:val="24"/>
          <w:szCs w:val="20"/>
        </w:rPr>
        <w:t xml:space="preserve">, no tām valsts kontrolētas – 56 </w:t>
      </w:r>
      <w:r w:rsidR="00BE30A6" w:rsidRPr="00BE30A6">
        <w:rPr>
          <w:rFonts w:eastAsia="Times New Roman" w:cs="Times New Roman"/>
          <w:sz w:val="24"/>
          <w:szCs w:val="20"/>
        </w:rPr>
        <w:t>komercsabiedrības</w:t>
      </w:r>
      <w:r w:rsidRPr="00874664">
        <w:rPr>
          <w:rFonts w:eastAsia="Times New Roman" w:cs="Times New Roman"/>
          <w:sz w:val="24"/>
          <w:szCs w:val="20"/>
        </w:rPr>
        <w:t xml:space="preserve">, pašvaldību kontrolētas – 85 </w:t>
      </w:r>
      <w:r w:rsidR="00BE30A6" w:rsidRPr="00BE30A6">
        <w:rPr>
          <w:rFonts w:eastAsia="Times New Roman" w:cs="Times New Roman"/>
          <w:sz w:val="24"/>
          <w:szCs w:val="20"/>
        </w:rPr>
        <w:t>komercsabiedrības</w:t>
      </w:r>
      <w:r w:rsidR="00BE30A6">
        <w:rPr>
          <w:rFonts w:eastAsia="Times New Roman" w:cs="Times New Roman"/>
          <w:sz w:val="24"/>
          <w:szCs w:val="20"/>
        </w:rPr>
        <w:t>.</w:t>
      </w:r>
    </w:p>
    <w:p w14:paraId="1D7551A1" w14:textId="77777777" w:rsidR="00874664" w:rsidRPr="00874664" w:rsidRDefault="00874664" w:rsidP="00874664">
      <w:pPr>
        <w:rPr>
          <w:rFonts w:eastAsia="Times New Roman" w:cs="Times New Roman"/>
          <w:sz w:val="24"/>
          <w:szCs w:val="20"/>
        </w:rPr>
      </w:pPr>
      <w:r w:rsidRPr="00874664">
        <w:rPr>
          <w:rFonts w:eastAsia="Times New Roman" w:cs="Times New Roman"/>
          <w:sz w:val="24"/>
          <w:szCs w:val="20"/>
        </w:rPr>
        <w:t xml:space="preserve">CSP katru ceturksni aprēķina šādus vispārējās valdības sektora rādītājus – ieņēmumus, izdevumus, deficītu, parādu un sagatavo vispārējās valdības ceturkšņa finanšu kontus. Informācija tiek publicēta CSP mājaslapā un nosūtīta uz </w:t>
      </w:r>
      <w:proofErr w:type="spellStart"/>
      <w:r w:rsidRPr="00874664">
        <w:rPr>
          <w:rFonts w:eastAsia="Times New Roman" w:cs="Times New Roman"/>
          <w:i/>
          <w:iCs/>
          <w:sz w:val="24"/>
          <w:szCs w:val="20"/>
        </w:rPr>
        <w:t>Eurostat</w:t>
      </w:r>
      <w:proofErr w:type="spellEnd"/>
      <w:r w:rsidRPr="00874664">
        <w:rPr>
          <w:rFonts w:eastAsia="Times New Roman" w:cs="Times New Roman"/>
          <w:sz w:val="24"/>
          <w:szCs w:val="20"/>
        </w:rPr>
        <w:t xml:space="preserve">  trīs mēnešus pēc pārskata perioda beigām.</w:t>
      </w:r>
    </w:p>
    <w:p w14:paraId="38C95771" w14:textId="77777777" w:rsidR="00874664" w:rsidRPr="00874664" w:rsidRDefault="00874664" w:rsidP="00874664">
      <w:pPr>
        <w:rPr>
          <w:rFonts w:eastAsia="Times New Roman" w:cs="Times New Roman"/>
          <w:sz w:val="24"/>
          <w:szCs w:val="20"/>
        </w:rPr>
      </w:pPr>
      <w:r w:rsidRPr="00874664">
        <w:rPr>
          <w:rFonts w:eastAsia="Times New Roman" w:cs="Times New Roman"/>
          <w:sz w:val="24"/>
          <w:szCs w:val="20"/>
        </w:rPr>
        <w:t xml:space="preserve">Bez tam CSP katru gadu noteiktajos termiņos līdz 1. aprīlim (operatīvie dati) un līdz 1. oktobrim (gala dati) - sagatavo un iesniedz vispārējās valdības budžeta deficīta un parāda notifikāciju (turpmāk – Notifikācija) </w:t>
      </w:r>
      <w:proofErr w:type="spellStart"/>
      <w:r w:rsidRPr="00874664">
        <w:rPr>
          <w:rFonts w:eastAsia="Times New Roman" w:cs="Times New Roman"/>
          <w:i/>
          <w:iCs/>
          <w:sz w:val="24"/>
          <w:szCs w:val="20"/>
        </w:rPr>
        <w:t>Eurostat</w:t>
      </w:r>
      <w:proofErr w:type="spellEnd"/>
      <w:r w:rsidRPr="00874664">
        <w:rPr>
          <w:rFonts w:eastAsia="Times New Roman" w:cs="Times New Roman"/>
          <w:sz w:val="24"/>
          <w:szCs w:val="20"/>
        </w:rPr>
        <w:t>.</w:t>
      </w:r>
    </w:p>
    <w:p w14:paraId="1F2C6E9B" w14:textId="37C733E2" w:rsidR="00874664" w:rsidRPr="00874664" w:rsidRDefault="00874664" w:rsidP="00874664">
      <w:pPr>
        <w:rPr>
          <w:rFonts w:eastAsia="Times New Roman" w:cs="Times New Roman"/>
          <w:sz w:val="24"/>
          <w:szCs w:val="20"/>
        </w:rPr>
      </w:pPr>
      <w:r w:rsidRPr="00874664">
        <w:rPr>
          <w:rFonts w:eastAsia="Times New Roman" w:cs="Times New Roman"/>
          <w:sz w:val="24"/>
          <w:szCs w:val="20"/>
        </w:rPr>
        <w:t xml:space="preserve">Notifikācija tiek sagatavota atbilstoši Ministru kabineta 2015. gada 22. decembra noteikumu Nr. 756 “Kārtība kādā sagatavo vispārējās valdības budžeta deficīta un parāda notifikāciju” prasībām. Par Notifikācijas sagatavošanu un iesniegšanu </w:t>
      </w:r>
      <w:proofErr w:type="spellStart"/>
      <w:r w:rsidRPr="00874664">
        <w:rPr>
          <w:rFonts w:eastAsia="Times New Roman" w:cs="Times New Roman"/>
          <w:i/>
          <w:iCs/>
          <w:sz w:val="24"/>
          <w:szCs w:val="20"/>
        </w:rPr>
        <w:t>Eurostat</w:t>
      </w:r>
      <w:proofErr w:type="spellEnd"/>
      <w:r w:rsidRPr="00874664">
        <w:rPr>
          <w:rFonts w:eastAsia="Times New Roman" w:cs="Times New Roman"/>
          <w:sz w:val="24"/>
          <w:szCs w:val="20"/>
        </w:rPr>
        <w:t xml:space="preserve"> atbildīgā iestāde ir CSP, kura vada regulāras starpinstitūciju darba grupas sanāksmes. Notifikācijas sagatavošanā ir iesaistīti speciālisti no </w:t>
      </w:r>
      <w:r w:rsidR="00BE30A6">
        <w:rPr>
          <w:rFonts w:eastAsia="Times New Roman" w:cs="Times New Roman"/>
          <w:sz w:val="24"/>
          <w:szCs w:val="20"/>
        </w:rPr>
        <w:t>FM</w:t>
      </w:r>
      <w:r w:rsidRPr="00874664">
        <w:rPr>
          <w:rFonts w:eastAsia="Times New Roman" w:cs="Times New Roman"/>
          <w:sz w:val="24"/>
          <w:szCs w:val="20"/>
        </w:rPr>
        <w:t xml:space="preserve">, </w:t>
      </w:r>
      <w:r w:rsidR="00BE30A6">
        <w:rPr>
          <w:rFonts w:eastAsia="Times New Roman" w:cs="Times New Roman"/>
          <w:sz w:val="24"/>
          <w:szCs w:val="20"/>
        </w:rPr>
        <w:t>VK</w:t>
      </w:r>
      <w:r w:rsidRPr="00874664">
        <w:rPr>
          <w:rFonts w:eastAsia="Times New Roman" w:cs="Times New Roman"/>
          <w:sz w:val="24"/>
          <w:szCs w:val="20"/>
        </w:rPr>
        <w:t xml:space="preserve">, </w:t>
      </w:r>
      <w:r w:rsidR="00BE30A6">
        <w:rPr>
          <w:rFonts w:eastAsia="Times New Roman" w:cs="Times New Roman"/>
          <w:sz w:val="24"/>
          <w:szCs w:val="20"/>
        </w:rPr>
        <w:t>CFLA</w:t>
      </w:r>
      <w:r w:rsidRPr="00874664">
        <w:rPr>
          <w:rFonts w:eastAsia="Times New Roman" w:cs="Times New Roman"/>
          <w:sz w:val="24"/>
          <w:szCs w:val="20"/>
        </w:rPr>
        <w:t xml:space="preserve">, </w:t>
      </w:r>
      <w:proofErr w:type="spellStart"/>
      <w:r w:rsidR="00BE30A6">
        <w:rPr>
          <w:rFonts w:eastAsia="Times New Roman" w:cs="Times New Roman"/>
          <w:sz w:val="24"/>
          <w:szCs w:val="20"/>
        </w:rPr>
        <w:t>AiM</w:t>
      </w:r>
      <w:proofErr w:type="spellEnd"/>
      <w:r w:rsidR="00BE30A6">
        <w:rPr>
          <w:rFonts w:eastAsia="Times New Roman" w:cs="Times New Roman"/>
          <w:sz w:val="24"/>
          <w:szCs w:val="20"/>
        </w:rPr>
        <w:t xml:space="preserve"> </w:t>
      </w:r>
      <w:r w:rsidRPr="00874664">
        <w:rPr>
          <w:rFonts w:eastAsia="Times New Roman" w:cs="Times New Roman"/>
          <w:sz w:val="24"/>
          <w:szCs w:val="20"/>
        </w:rPr>
        <w:t xml:space="preserve">un </w:t>
      </w:r>
      <w:r w:rsidR="00BE30A6">
        <w:rPr>
          <w:rFonts w:eastAsia="Times New Roman" w:cs="Times New Roman"/>
          <w:sz w:val="24"/>
          <w:szCs w:val="20"/>
        </w:rPr>
        <w:t>VSAA</w:t>
      </w:r>
      <w:r w:rsidRPr="00874664">
        <w:rPr>
          <w:rFonts w:eastAsia="Times New Roman" w:cs="Times New Roman"/>
          <w:sz w:val="24"/>
          <w:szCs w:val="20"/>
        </w:rPr>
        <w:t>. Vajadzības gadījumā tiek piesaistīti speciālisti no citām institūcijām (</w:t>
      </w:r>
      <w:r w:rsidR="00BE30A6">
        <w:rPr>
          <w:rFonts w:eastAsia="Times New Roman" w:cs="Times New Roman"/>
          <w:sz w:val="24"/>
          <w:szCs w:val="20"/>
        </w:rPr>
        <w:t>EM</w:t>
      </w:r>
      <w:r w:rsidRPr="00874664">
        <w:rPr>
          <w:rFonts w:eastAsia="Times New Roman" w:cs="Times New Roman"/>
          <w:sz w:val="24"/>
          <w:szCs w:val="20"/>
        </w:rPr>
        <w:t xml:space="preserve">, </w:t>
      </w:r>
      <w:r w:rsidR="00BE30A6">
        <w:rPr>
          <w:rFonts w:eastAsia="Times New Roman" w:cs="Times New Roman"/>
          <w:sz w:val="24"/>
          <w:szCs w:val="20"/>
        </w:rPr>
        <w:t>LM</w:t>
      </w:r>
      <w:r w:rsidRPr="00874664">
        <w:rPr>
          <w:rFonts w:eastAsia="Times New Roman" w:cs="Times New Roman"/>
          <w:sz w:val="24"/>
          <w:szCs w:val="20"/>
        </w:rPr>
        <w:t xml:space="preserve">, </w:t>
      </w:r>
      <w:r w:rsidR="00BE30A6">
        <w:rPr>
          <w:rFonts w:eastAsia="Times New Roman" w:cs="Times New Roman"/>
          <w:sz w:val="24"/>
          <w:szCs w:val="20"/>
        </w:rPr>
        <w:t>R</w:t>
      </w:r>
      <w:r w:rsidR="002A71C2">
        <w:rPr>
          <w:rFonts w:eastAsia="Times New Roman" w:cs="Times New Roman"/>
          <w:sz w:val="24"/>
          <w:szCs w:val="20"/>
        </w:rPr>
        <w:t xml:space="preserve">īgas </w:t>
      </w:r>
      <w:r w:rsidR="00A72EB1">
        <w:rPr>
          <w:rFonts w:eastAsia="Times New Roman" w:cs="Times New Roman"/>
          <w:sz w:val="24"/>
          <w:szCs w:val="20"/>
        </w:rPr>
        <w:t>dom</w:t>
      </w:r>
      <w:r w:rsidR="001E0D58">
        <w:rPr>
          <w:rFonts w:eastAsia="Times New Roman" w:cs="Times New Roman"/>
          <w:sz w:val="24"/>
          <w:szCs w:val="20"/>
        </w:rPr>
        <w:t xml:space="preserve">e </w:t>
      </w:r>
      <w:r w:rsidRPr="00874664">
        <w:rPr>
          <w:rFonts w:eastAsia="Times New Roman" w:cs="Times New Roman"/>
          <w:sz w:val="24"/>
          <w:szCs w:val="20"/>
        </w:rPr>
        <w:t>u.c</w:t>
      </w:r>
      <w:r w:rsidR="00D313B0">
        <w:rPr>
          <w:rFonts w:eastAsia="Times New Roman" w:cs="Times New Roman"/>
          <w:sz w:val="24"/>
          <w:szCs w:val="20"/>
        </w:rPr>
        <w:t>.</w:t>
      </w:r>
      <w:r w:rsidRPr="00874664">
        <w:rPr>
          <w:rFonts w:eastAsia="Times New Roman" w:cs="Times New Roman"/>
          <w:sz w:val="24"/>
          <w:szCs w:val="20"/>
        </w:rPr>
        <w:t>).</w:t>
      </w:r>
    </w:p>
    <w:p w14:paraId="069C0103" w14:textId="77777777" w:rsidR="00874664" w:rsidRPr="00874664" w:rsidRDefault="00874664" w:rsidP="00874664">
      <w:pPr>
        <w:rPr>
          <w:rFonts w:eastAsia="Times New Roman" w:cs="Times New Roman"/>
          <w:sz w:val="24"/>
          <w:szCs w:val="20"/>
        </w:rPr>
      </w:pPr>
      <w:r w:rsidRPr="00874664">
        <w:rPr>
          <w:rFonts w:eastAsia="Times New Roman" w:cs="Times New Roman"/>
          <w:sz w:val="24"/>
          <w:szCs w:val="20"/>
        </w:rPr>
        <w:t xml:space="preserve">Notifikāciju rezultāti tiek izmantoti valstu izvērtēšanai par to, kā tiek nodrošināta fiskālo rādītāju atbilstība Stabilitātes un izaugsmes </w:t>
      </w:r>
      <w:proofErr w:type="spellStart"/>
      <w:r w:rsidRPr="00874664">
        <w:rPr>
          <w:rFonts w:eastAsia="Times New Roman" w:cs="Times New Roman"/>
          <w:sz w:val="24"/>
          <w:szCs w:val="20"/>
        </w:rPr>
        <w:t>pakta</w:t>
      </w:r>
      <w:proofErr w:type="spellEnd"/>
      <w:r w:rsidRPr="00874664">
        <w:rPr>
          <w:rFonts w:eastAsia="Times New Roman" w:cs="Times New Roman"/>
          <w:sz w:val="24"/>
          <w:szCs w:val="20"/>
        </w:rPr>
        <w:t xml:space="preserve"> nosacījumiem ar mērķi īstenot ilgtspējīgas publiskās finanses un fiskālās politikas koordināciju starp dalībvalstīm.  </w:t>
      </w:r>
    </w:p>
    <w:p w14:paraId="29DF7542" w14:textId="615439C0" w:rsidR="00874664" w:rsidRPr="00874664" w:rsidRDefault="00874664" w:rsidP="00874664">
      <w:pPr>
        <w:rPr>
          <w:rFonts w:eastAsia="Times New Roman" w:cs="Times New Roman"/>
          <w:sz w:val="24"/>
          <w:szCs w:val="20"/>
        </w:rPr>
      </w:pPr>
      <w:r w:rsidRPr="00874664">
        <w:rPr>
          <w:rFonts w:eastAsia="Times New Roman" w:cs="Times New Roman"/>
          <w:sz w:val="24"/>
          <w:szCs w:val="20"/>
        </w:rPr>
        <w:t xml:space="preserve">Padomes Direktīva 2011/85/ES (2011. gada 8. novembris) par prasībām dalībvalstu budžeta struktūrām nosaka detalizētus noteikumus ES dalībvalstīm, lai stiprinātu ES fiskālo un ekonomikas pārvaldību, neveidotu pārmērīgu budžeta deficītu. FM mājaslapā tiek publicēti </w:t>
      </w:r>
      <w:r w:rsidRPr="00874664">
        <w:rPr>
          <w:rFonts w:eastAsia="Times New Roman" w:cs="Times New Roman"/>
          <w:sz w:val="24"/>
          <w:szCs w:val="20"/>
        </w:rPr>
        <w:lastRenderedPageBreak/>
        <w:t>Direktīvas 2011/85/ES ietvaros atrunātie fiskālie dati. Turklāt mājas lapā pieejama detalizēta pārejas tabula budžeta datiem no naudas plūsmas pēc nacionālās klasifikācijas uz vispārējās valdības sektora datiem pēc EKS 2010 metodoloģijas. Regulāri tiek publiskota šāda informācija:</w:t>
      </w:r>
    </w:p>
    <w:p w14:paraId="7CA21C0C" w14:textId="77777777" w:rsidR="00874664" w:rsidRPr="00874664" w:rsidRDefault="00874664" w:rsidP="004F034A">
      <w:pPr>
        <w:pStyle w:val="ListParagraph"/>
        <w:numPr>
          <w:ilvl w:val="0"/>
          <w:numId w:val="20"/>
        </w:numPr>
        <w:rPr>
          <w:rFonts w:eastAsia="Times New Roman" w:cs="Times New Roman"/>
          <w:sz w:val="24"/>
          <w:szCs w:val="20"/>
        </w:rPr>
      </w:pPr>
      <w:r w:rsidRPr="00874664">
        <w:rPr>
          <w:rFonts w:eastAsia="Times New Roman" w:cs="Times New Roman"/>
          <w:sz w:val="24"/>
          <w:szCs w:val="20"/>
        </w:rPr>
        <w:t>fiskālie dati (mēneša un ceturkšņa dati);</w:t>
      </w:r>
    </w:p>
    <w:p w14:paraId="721AE59A" w14:textId="77777777" w:rsidR="00874664" w:rsidRPr="00874664" w:rsidRDefault="00874664" w:rsidP="004F034A">
      <w:pPr>
        <w:pStyle w:val="ListParagraph"/>
        <w:numPr>
          <w:ilvl w:val="0"/>
          <w:numId w:val="20"/>
        </w:numPr>
        <w:rPr>
          <w:rFonts w:eastAsia="Times New Roman" w:cs="Times New Roman"/>
          <w:sz w:val="24"/>
          <w:szCs w:val="20"/>
        </w:rPr>
      </w:pPr>
      <w:r w:rsidRPr="00874664">
        <w:rPr>
          <w:rFonts w:eastAsia="Times New Roman" w:cs="Times New Roman"/>
          <w:sz w:val="24"/>
          <w:szCs w:val="20"/>
        </w:rPr>
        <w:t>vispārējās valdības sektora galvojumi (gada dati);</w:t>
      </w:r>
    </w:p>
    <w:p w14:paraId="0CE73EDB" w14:textId="77777777" w:rsidR="00874664" w:rsidRPr="00874664" w:rsidRDefault="00874664" w:rsidP="004F034A">
      <w:pPr>
        <w:pStyle w:val="ListParagraph"/>
        <w:numPr>
          <w:ilvl w:val="0"/>
          <w:numId w:val="20"/>
        </w:numPr>
        <w:rPr>
          <w:rFonts w:eastAsia="Times New Roman" w:cs="Times New Roman"/>
          <w:sz w:val="24"/>
          <w:szCs w:val="20"/>
        </w:rPr>
      </w:pPr>
      <w:r w:rsidRPr="00874664">
        <w:rPr>
          <w:rFonts w:eastAsia="Times New Roman" w:cs="Times New Roman"/>
          <w:sz w:val="24"/>
          <w:szCs w:val="20"/>
        </w:rPr>
        <w:t>vispārējās valdības sektora ienākumus nenesošie kredīti (gada dati);</w:t>
      </w:r>
    </w:p>
    <w:p w14:paraId="1E631F6B" w14:textId="77777777" w:rsidR="00874664" w:rsidRPr="00874664" w:rsidRDefault="00874664" w:rsidP="004F034A">
      <w:pPr>
        <w:pStyle w:val="ListParagraph"/>
        <w:numPr>
          <w:ilvl w:val="0"/>
          <w:numId w:val="20"/>
        </w:numPr>
        <w:rPr>
          <w:rFonts w:eastAsia="Times New Roman" w:cs="Times New Roman"/>
          <w:sz w:val="24"/>
          <w:szCs w:val="20"/>
        </w:rPr>
      </w:pPr>
      <w:r w:rsidRPr="00874664">
        <w:rPr>
          <w:rFonts w:eastAsia="Times New Roman" w:cs="Times New Roman"/>
          <w:sz w:val="24"/>
          <w:szCs w:val="20"/>
        </w:rPr>
        <w:t>ārpusbilances publisko un privāto partnerību koriģētā vērtība (gada dati);</w:t>
      </w:r>
    </w:p>
    <w:p w14:paraId="5BB906C3" w14:textId="77777777" w:rsidR="00874664" w:rsidRPr="00874664" w:rsidRDefault="00874664" w:rsidP="004F034A">
      <w:pPr>
        <w:pStyle w:val="ListParagraph"/>
        <w:numPr>
          <w:ilvl w:val="0"/>
          <w:numId w:val="20"/>
        </w:numPr>
        <w:rPr>
          <w:rFonts w:eastAsia="Times New Roman" w:cs="Times New Roman"/>
          <w:sz w:val="24"/>
          <w:szCs w:val="20"/>
        </w:rPr>
      </w:pPr>
      <w:r w:rsidRPr="00874664">
        <w:rPr>
          <w:rFonts w:eastAsia="Times New Roman" w:cs="Times New Roman"/>
          <w:sz w:val="24"/>
          <w:szCs w:val="20"/>
        </w:rPr>
        <w:t>publisko kapitālsabiedrību saistības (gada dati);</w:t>
      </w:r>
    </w:p>
    <w:p w14:paraId="64455E33" w14:textId="77777777" w:rsidR="00874664" w:rsidRPr="00874664" w:rsidRDefault="00874664" w:rsidP="004F034A">
      <w:pPr>
        <w:pStyle w:val="ListParagraph"/>
        <w:numPr>
          <w:ilvl w:val="0"/>
          <w:numId w:val="20"/>
        </w:numPr>
        <w:rPr>
          <w:rFonts w:eastAsia="Times New Roman" w:cs="Times New Roman"/>
          <w:sz w:val="24"/>
          <w:szCs w:val="20"/>
        </w:rPr>
      </w:pPr>
      <w:r w:rsidRPr="00874664">
        <w:rPr>
          <w:rFonts w:eastAsia="Times New Roman" w:cs="Times New Roman"/>
          <w:sz w:val="24"/>
          <w:szCs w:val="20"/>
        </w:rPr>
        <w:t>vispārējās valdības sektora līdzdalības vērtība kapitālsabiedrību kapitālā (gada dati).</w:t>
      </w:r>
    </w:p>
    <w:p w14:paraId="28507B64" w14:textId="01DB7342" w:rsidR="00360DA1" w:rsidRPr="00874664" w:rsidRDefault="00360DA1" w:rsidP="00424332">
      <w:pPr>
        <w:rPr>
          <w:sz w:val="24"/>
          <w:szCs w:val="20"/>
          <w:highlight w:val="lightGray"/>
          <w:lang w:eastAsia="lv-LV"/>
        </w:rPr>
      </w:pPr>
    </w:p>
    <w:p w14:paraId="69F06394" w14:textId="77777777" w:rsidR="00BF4753" w:rsidRPr="00874664" w:rsidRDefault="00BF4753" w:rsidP="00BF4753">
      <w:pPr>
        <w:rPr>
          <w:rFonts w:eastAsia="Times New Roman" w:cs="Times New Roman"/>
          <w:b/>
          <w:bCs/>
          <w:smallCaps/>
          <w:color w:val="000000"/>
          <w:sz w:val="36"/>
          <w:szCs w:val="36"/>
          <w:highlight w:val="lightGray"/>
          <w:lang w:eastAsia="lv-LV"/>
        </w:rPr>
      </w:pPr>
      <w:bookmarkStart w:id="85" w:name="_Toc510790684"/>
      <w:bookmarkStart w:id="86" w:name="_Toc5627394"/>
      <w:bookmarkStart w:id="87" w:name="_Toc5798649"/>
    </w:p>
    <w:p w14:paraId="462911B6" w14:textId="77777777" w:rsidR="00BF4753" w:rsidRPr="00874664" w:rsidRDefault="00BF4753" w:rsidP="00BF4753">
      <w:pPr>
        <w:rPr>
          <w:rFonts w:eastAsia="Times New Roman" w:cs="Times New Roman"/>
          <w:b/>
          <w:bCs/>
          <w:smallCaps/>
          <w:color w:val="000000"/>
          <w:sz w:val="36"/>
          <w:szCs w:val="36"/>
          <w:highlight w:val="lightGray"/>
          <w:lang w:eastAsia="lv-LV"/>
        </w:rPr>
      </w:pPr>
    </w:p>
    <w:p w14:paraId="30995101" w14:textId="77777777" w:rsidR="00BF4753" w:rsidRPr="00874664" w:rsidRDefault="00BF4753" w:rsidP="00BF4753">
      <w:pPr>
        <w:rPr>
          <w:rFonts w:eastAsia="Times New Roman" w:cs="Times New Roman"/>
          <w:b/>
          <w:bCs/>
          <w:smallCaps/>
          <w:color w:val="000000"/>
          <w:sz w:val="36"/>
          <w:szCs w:val="36"/>
          <w:highlight w:val="lightGray"/>
          <w:lang w:eastAsia="lv-LV"/>
        </w:rPr>
      </w:pPr>
    </w:p>
    <w:p w14:paraId="04C55DB2" w14:textId="77777777" w:rsidR="00BF4753" w:rsidRPr="00874664" w:rsidRDefault="00BF4753" w:rsidP="00BF4753">
      <w:pPr>
        <w:rPr>
          <w:rFonts w:eastAsia="Times New Roman" w:cs="Times New Roman"/>
          <w:b/>
          <w:bCs/>
          <w:smallCaps/>
          <w:color w:val="000000"/>
          <w:sz w:val="36"/>
          <w:szCs w:val="36"/>
          <w:highlight w:val="lightGray"/>
          <w:lang w:eastAsia="lv-LV"/>
        </w:rPr>
      </w:pPr>
    </w:p>
    <w:p w14:paraId="22A83056" w14:textId="77777777" w:rsidR="00BF4753" w:rsidRPr="00874664" w:rsidRDefault="00BF4753" w:rsidP="00BF4753">
      <w:pPr>
        <w:ind w:firstLine="0"/>
        <w:rPr>
          <w:rFonts w:eastAsia="Times New Roman" w:cs="Times New Roman"/>
          <w:b/>
          <w:bCs/>
          <w:smallCaps/>
          <w:color w:val="000000"/>
          <w:sz w:val="36"/>
          <w:szCs w:val="36"/>
          <w:highlight w:val="lightGray"/>
          <w:lang w:eastAsia="lv-LV"/>
        </w:rPr>
      </w:pPr>
    </w:p>
    <w:p w14:paraId="29530F56" w14:textId="77777777" w:rsidR="00BF4753" w:rsidRPr="00874664" w:rsidRDefault="00BF4753" w:rsidP="00BF4753">
      <w:pPr>
        <w:rPr>
          <w:rFonts w:eastAsia="Times New Roman" w:cs="Times New Roman"/>
          <w:b/>
          <w:bCs/>
          <w:smallCaps/>
          <w:color w:val="000000"/>
          <w:sz w:val="36"/>
          <w:szCs w:val="36"/>
          <w:highlight w:val="lightGray"/>
          <w:lang w:eastAsia="lv-LV"/>
        </w:rPr>
      </w:pPr>
    </w:p>
    <w:p w14:paraId="728023A4" w14:textId="77777777" w:rsidR="00BF4753" w:rsidRPr="00874664" w:rsidRDefault="00BF4753" w:rsidP="00BF4753">
      <w:pPr>
        <w:rPr>
          <w:rFonts w:eastAsia="Times New Roman" w:cs="Times New Roman"/>
          <w:b/>
          <w:bCs/>
          <w:smallCaps/>
          <w:color w:val="000000"/>
          <w:sz w:val="36"/>
          <w:szCs w:val="36"/>
          <w:highlight w:val="lightGray"/>
          <w:lang w:eastAsia="lv-LV"/>
        </w:rPr>
      </w:pPr>
    </w:p>
    <w:p w14:paraId="38E43CC5" w14:textId="77777777" w:rsidR="00BF4753" w:rsidRPr="00874664" w:rsidRDefault="00BF4753" w:rsidP="00BF4753">
      <w:pPr>
        <w:rPr>
          <w:rFonts w:eastAsia="Times New Roman" w:cs="Times New Roman"/>
          <w:b/>
          <w:bCs/>
          <w:smallCaps/>
          <w:color w:val="000000"/>
          <w:sz w:val="36"/>
          <w:szCs w:val="36"/>
          <w:highlight w:val="lightGray"/>
          <w:lang w:eastAsia="lv-LV"/>
        </w:rPr>
      </w:pPr>
    </w:p>
    <w:p w14:paraId="26FC2484" w14:textId="77777777" w:rsidR="00BF4753" w:rsidRPr="00874664" w:rsidRDefault="00BF4753" w:rsidP="00BF4753">
      <w:pPr>
        <w:rPr>
          <w:rFonts w:eastAsia="Times New Roman" w:cs="Times New Roman"/>
          <w:b/>
          <w:bCs/>
          <w:smallCaps/>
          <w:color w:val="000000"/>
          <w:sz w:val="36"/>
          <w:szCs w:val="36"/>
          <w:highlight w:val="lightGray"/>
          <w:lang w:eastAsia="lv-LV"/>
        </w:rPr>
      </w:pPr>
    </w:p>
    <w:p w14:paraId="3211925A" w14:textId="7D3E4448" w:rsidR="00BF4753" w:rsidRPr="00874664" w:rsidRDefault="00BF4753" w:rsidP="00BF4753">
      <w:pPr>
        <w:rPr>
          <w:rFonts w:eastAsia="Times New Roman" w:cs="Times New Roman"/>
          <w:b/>
          <w:bCs/>
          <w:smallCaps/>
          <w:color w:val="000000"/>
          <w:sz w:val="36"/>
          <w:szCs w:val="36"/>
          <w:highlight w:val="lightGray"/>
          <w:lang w:eastAsia="lv-LV"/>
        </w:rPr>
      </w:pPr>
    </w:p>
    <w:p w14:paraId="58CE7A63" w14:textId="043A081A" w:rsidR="00002184" w:rsidRPr="00874664" w:rsidRDefault="00002184" w:rsidP="00BF4753">
      <w:pPr>
        <w:rPr>
          <w:rFonts w:eastAsia="Times New Roman" w:cs="Times New Roman"/>
          <w:b/>
          <w:bCs/>
          <w:smallCaps/>
          <w:color w:val="000000"/>
          <w:sz w:val="36"/>
          <w:szCs w:val="36"/>
          <w:highlight w:val="lightGray"/>
          <w:lang w:eastAsia="lv-LV"/>
        </w:rPr>
      </w:pPr>
    </w:p>
    <w:p w14:paraId="415582A5" w14:textId="0881CC6F" w:rsidR="00002184" w:rsidRPr="00874664" w:rsidRDefault="00002184" w:rsidP="00BF4753">
      <w:pPr>
        <w:rPr>
          <w:rFonts w:eastAsia="Times New Roman" w:cs="Times New Roman"/>
          <w:b/>
          <w:bCs/>
          <w:smallCaps/>
          <w:color w:val="000000"/>
          <w:sz w:val="36"/>
          <w:szCs w:val="36"/>
          <w:highlight w:val="lightGray"/>
          <w:lang w:eastAsia="lv-LV"/>
        </w:rPr>
      </w:pPr>
    </w:p>
    <w:p w14:paraId="768C85A7" w14:textId="07F054E0" w:rsidR="00002184" w:rsidRPr="00874664" w:rsidRDefault="00002184" w:rsidP="00BF4753">
      <w:pPr>
        <w:rPr>
          <w:rFonts w:eastAsia="Times New Roman" w:cs="Times New Roman"/>
          <w:b/>
          <w:bCs/>
          <w:smallCaps/>
          <w:color w:val="000000"/>
          <w:sz w:val="36"/>
          <w:szCs w:val="36"/>
          <w:highlight w:val="lightGray"/>
          <w:lang w:eastAsia="lv-LV"/>
        </w:rPr>
      </w:pPr>
    </w:p>
    <w:p w14:paraId="29F4DCEF" w14:textId="31CC8236" w:rsidR="00002184" w:rsidRPr="00874664" w:rsidRDefault="00002184" w:rsidP="00BF4753">
      <w:pPr>
        <w:rPr>
          <w:rFonts w:eastAsia="Times New Roman" w:cs="Times New Roman"/>
          <w:b/>
          <w:bCs/>
          <w:smallCaps/>
          <w:color w:val="000000"/>
          <w:sz w:val="36"/>
          <w:szCs w:val="36"/>
          <w:highlight w:val="lightGray"/>
          <w:lang w:eastAsia="lv-LV"/>
        </w:rPr>
      </w:pPr>
    </w:p>
    <w:p w14:paraId="0DAC0CBD" w14:textId="1C716E34" w:rsidR="00002184" w:rsidRPr="00874664" w:rsidRDefault="00002184" w:rsidP="00BF4753">
      <w:pPr>
        <w:rPr>
          <w:rFonts w:eastAsia="Times New Roman" w:cs="Times New Roman"/>
          <w:b/>
          <w:bCs/>
          <w:smallCaps/>
          <w:color w:val="000000"/>
          <w:sz w:val="36"/>
          <w:szCs w:val="36"/>
          <w:highlight w:val="lightGray"/>
          <w:lang w:eastAsia="lv-LV"/>
        </w:rPr>
      </w:pPr>
    </w:p>
    <w:p w14:paraId="469D7591" w14:textId="21B409C1" w:rsidR="00002184" w:rsidRPr="00874664" w:rsidRDefault="00002184" w:rsidP="00BF4753">
      <w:pPr>
        <w:rPr>
          <w:rFonts w:eastAsia="Times New Roman" w:cs="Times New Roman"/>
          <w:b/>
          <w:bCs/>
          <w:smallCaps/>
          <w:color w:val="000000"/>
          <w:sz w:val="36"/>
          <w:szCs w:val="36"/>
          <w:highlight w:val="lightGray"/>
          <w:lang w:eastAsia="lv-LV"/>
        </w:rPr>
      </w:pPr>
    </w:p>
    <w:p w14:paraId="12E6EEEF" w14:textId="4068F4AE" w:rsidR="00002184" w:rsidRPr="00874664" w:rsidRDefault="00002184" w:rsidP="00BF4753">
      <w:pPr>
        <w:rPr>
          <w:rFonts w:eastAsia="Times New Roman" w:cs="Times New Roman"/>
          <w:b/>
          <w:bCs/>
          <w:smallCaps/>
          <w:color w:val="000000"/>
          <w:sz w:val="36"/>
          <w:szCs w:val="36"/>
          <w:highlight w:val="lightGray"/>
          <w:lang w:eastAsia="lv-LV"/>
        </w:rPr>
      </w:pPr>
    </w:p>
    <w:p w14:paraId="157F9759" w14:textId="5ADDE688" w:rsidR="00002184" w:rsidRPr="00874664" w:rsidRDefault="00002184" w:rsidP="00BF4753">
      <w:pPr>
        <w:rPr>
          <w:rFonts w:eastAsia="Times New Roman" w:cs="Times New Roman"/>
          <w:b/>
          <w:bCs/>
          <w:smallCaps/>
          <w:color w:val="000000"/>
          <w:sz w:val="36"/>
          <w:szCs w:val="36"/>
          <w:highlight w:val="lightGray"/>
          <w:lang w:eastAsia="lv-LV"/>
        </w:rPr>
      </w:pPr>
    </w:p>
    <w:p w14:paraId="0DE1C7E6" w14:textId="29BE89E3" w:rsidR="00002184" w:rsidRPr="00874664" w:rsidRDefault="00002184" w:rsidP="00BF4753">
      <w:pPr>
        <w:rPr>
          <w:rFonts w:eastAsia="Times New Roman" w:cs="Times New Roman"/>
          <w:b/>
          <w:bCs/>
          <w:smallCaps/>
          <w:color w:val="000000"/>
          <w:sz w:val="36"/>
          <w:szCs w:val="36"/>
          <w:highlight w:val="lightGray"/>
          <w:lang w:eastAsia="lv-LV"/>
        </w:rPr>
      </w:pPr>
    </w:p>
    <w:p w14:paraId="0DBCA04F" w14:textId="185EBE2F" w:rsidR="00002184" w:rsidRPr="00874664" w:rsidRDefault="00002184" w:rsidP="00BF4753">
      <w:pPr>
        <w:rPr>
          <w:rFonts w:eastAsia="Times New Roman" w:cs="Times New Roman"/>
          <w:b/>
          <w:bCs/>
          <w:smallCaps/>
          <w:color w:val="000000"/>
          <w:sz w:val="36"/>
          <w:szCs w:val="36"/>
          <w:highlight w:val="lightGray"/>
          <w:lang w:eastAsia="lv-LV"/>
        </w:rPr>
      </w:pPr>
    </w:p>
    <w:p w14:paraId="05B2CF7E" w14:textId="37CED404" w:rsidR="00002184" w:rsidRPr="00874664" w:rsidRDefault="00002184" w:rsidP="00BF4753">
      <w:pPr>
        <w:rPr>
          <w:rFonts w:eastAsia="Times New Roman" w:cs="Times New Roman"/>
          <w:b/>
          <w:bCs/>
          <w:smallCaps/>
          <w:color w:val="000000"/>
          <w:sz w:val="36"/>
          <w:szCs w:val="36"/>
          <w:highlight w:val="lightGray"/>
          <w:lang w:eastAsia="lv-LV"/>
        </w:rPr>
      </w:pPr>
    </w:p>
    <w:p w14:paraId="14A85C9F" w14:textId="19F5F7F6" w:rsidR="00002184" w:rsidRPr="00874664" w:rsidRDefault="00002184" w:rsidP="00BF4753">
      <w:pPr>
        <w:rPr>
          <w:rFonts w:eastAsia="Times New Roman" w:cs="Times New Roman"/>
          <w:b/>
          <w:bCs/>
          <w:smallCaps/>
          <w:color w:val="000000"/>
          <w:sz w:val="36"/>
          <w:szCs w:val="36"/>
          <w:highlight w:val="lightGray"/>
          <w:lang w:eastAsia="lv-LV"/>
        </w:rPr>
      </w:pPr>
    </w:p>
    <w:p w14:paraId="0C3654B0" w14:textId="1B5B9FE2" w:rsidR="00002184" w:rsidRPr="00874664" w:rsidRDefault="00002184" w:rsidP="00BF4753">
      <w:pPr>
        <w:rPr>
          <w:rFonts w:eastAsia="Times New Roman" w:cs="Times New Roman"/>
          <w:b/>
          <w:bCs/>
          <w:smallCaps/>
          <w:color w:val="000000"/>
          <w:sz w:val="36"/>
          <w:szCs w:val="36"/>
          <w:highlight w:val="lightGray"/>
          <w:lang w:eastAsia="lv-LV"/>
        </w:rPr>
      </w:pPr>
    </w:p>
    <w:p w14:paraId="25116091" w14:textId="26B26EBF" w:rsidR="00002184" w:rsidRPr="00874664" w:rsidRDefault="00002184" w:rsidP="00BF4753">
      <w:pPr>
        <w:rPr>
          <w:rFonts w:eastAsia="Times New Roman" w:cs="Times New Roman"/>
          <w:b/>
          <w:bCs/>
          <w:smallCaps/>
          <w:color w:val="000000"/>
          <w:sz w:val="36"/>
          <w:szCs w:val="36"/>
          <w:highlight w:val="lightGray"/>
          <w:lang w:eastAsia="lv-LV"/>
        </w:rPr>
      </w:pPr>
    </w:p>
    <w:p w14:paraId="264F6796" w14:textId="4F45A2EF" w:rsidR="00002184" w:rsidRPr="00874664" w:rsidRDefault="00002184" w:rsidP="00BF4753">
      <w:pPr>
        <w:rPr>
          <w:rFonts w:eastAsia="Times New Roman" w:cs="Times New Roman"/>
          <w:b/>
          <w:bCs/>
          <w:smallCaps/>
          <w:color w:val="000000"/>
          <w:sz w:val="36"/>
          <w:szCs w:val="36"/>
          <w:highlight w:val="lightGray"/>
          <w:lang w:eastAsia="lv-LV"/>
        </w:rPr>
      </w:pPr>
    </w:p>
    <w:p w14:paraId="3D888291" w14:textId="3905C30D" w:rsidR="00002184" w:rsidRPr="00874664" w:rsidRDefault="00002184" w:rsidP="00BF4753">
      <w:pPr>
        <w:rPr>
          <w:rFonts w:eastAsia="Times New Roman" w:cs="Times New Roman"/>
          <w:b/>
          <w:bCs/>
          <w:smallCaps/>
          <w:color w:val="000000"/>
          <w:sz w:val="36"/>
          <w:szCs w:val="36"/>
          <w:highlight w:val="lightGray"/>
          <w:lang w:eastAsia="lv-LV"/>
        </w:rPr>
      </w:pPr>
    </w:p>
    <w:p w14:paraId="2D18A36A" w14:textId="2541DD3F" w:rsidR="00002184" w:rsidRPr="00874664" w:rsidRDefault="00002184" w:rsidP="00BF4753">
      <w:pPr>
        <w:rPr>
          <w:rFonts w:eastAsia="Times New Roman" w:cs="Times New Roman"/>
          <w:b/>
          <w:bCs/>
          <w:smallCaps/>
          <w:color w:val="000000"/>
          <w:sz w:val="36"/>
          <w:szCs w:val="36"/>
          <w:highlight w:val="lightGray"/>
          <w:lang w:eastAsia="lv-LV"/>
        </w:rPr>
      </w:pPr>
    </w:p>
    <w:p w14:paraId="6AD17527" w14:textId="00884D03" w:rsidR="00002184" w:rsidRPr="00874664" w:rsidRDefault="00002184" w:rsidP="00BF4753">
      <w:pPr>
        <w:rPr>
          <w:rFonts w:eastAsia="Times New Roman" w:cs="Times New Roman"/>
          <w:b/>
          <w:bCs/>
          <w:smallCaps/>
          <w:color w:val="000000"/>
          <w:sz w:val="36"/>
          <w:szCs w:val="36"/>
          <w:highlight w:val="lightGray"/>
          <w:lang w:eastAsia="lv-LV"/>
        </w:rPr>
      </w:pPr>
    </w:p>
    <w:p w14:paraId="07FF18AD" w14:textId="60625B3F" w:rsidR="00002184" w:rsidRPr="00874664" w:rsidRDefault="00002184" w:rsidP="00BF4753">
      <w:pPr>
        <w:rPr>
          <w:rFonts w:eastAsia="Times New Roman" w:cs="Times New Roman"/>
          <w:b/>
          <w:bCs/>
          <w:smallCaps/>
          <w:color w:val="000000"/>
          <w:sz w:val="36"/>
          <w:szCs w:val="36"/>
          <w:highlight w:val="lightGray"/>
          <w:lang w:eastAsia="lv-LV"/>
        </w:rPr>
      </w:pPr>
    </w:p>
    <w:p w14:paraId="68DD30A8" w14:textId="77777777" w:rsidR="00BF4753" w:rsidRPr="00874664" w:rsidRDefault="00BF4753" w:rsidP="0062512B">
      <w:pPr>
        <w:ind w:firstLine="0"/>
        <w:rPr>
          <w:highlight w:val="lightGray"/>
          <w:lang w:eastAsia="lv-LV"/>
        </w:rPr>
      </w:pPr>
    </w:p>
    <w:p w14:paraId="6028EF6D" w14:textId="77777777" w:rsidR="00BE30A6" w:rsidRDefault="00BE30A6" w:rsidP="00BF4753">
      <w:pPr>
        <w:pStyle w:val="Heading1"/>
        <w:rPr>
          <w:sz w:val="32"/>
          <w:szCs w:val="32"/>
        </w:rPr>
      </w:pPr>
    </w:p>
    <w:p w14:paraId="572527DF" w14:textId="77777777" w:rsidR="00BE30A6" w:rsidRDefault="00BE30A6" w:rsidP="00BF4753">
      <w:pPr>
        <w:pStyle w:val="Heading1"/>
        <w:rPr>
          <w:sz w:val="32"/>
          <w:szCs w:val="32"/>
        </w:rPr>
      </w:pPr>
    </w:p>
    <w:p w14:paraId="4C3E8D8A" w14:textId="77777777" w:rsidR="00BE30A6" w:rsidRDefault="00BE30A6" w:rsidP="00BF4753">
      <w:pPr>
        <w:pStyle w:val="Heading1"/>
        <w:rPr>
          <w:sz w:val="32"/>
          <w:szCs w:val="32"/>
        </w:rPr>
      </w:pPr>
    </w:p>
    <w:p w14:paraId="2EF05E82" w14:textId="77777777" w:rsidR="00BE30A6" w:rsidRDefault="00BE30A6" w:rsidP="00BF4753">
      <w:pPr>
        <w:pStyle w:val="Heading1"/>
        <w:rPr>
          <w:sz w:val="32"/>
          <w:szCs w:val="32"/>
        </w:rPr>
      </w:pPr>
    </w:p>
    <w:p w14:paraId="346F4E24" w14:textId="77777777" w:rsidR="00BE30A6" w:rsidRDefault="00BE30A6" w:rsidP="00BF4753">
      <w:pPr>
        <w:pStyle w:val="Heading1"/>
        <w:rPr>
          <w:sz w:val="32"/>
          <w:szCs w:val="32"/>
        </w:rPr>
      </w:pPr>
    </w:p>
    <w:p w14:paraId="305AC8E8" w14:textId="77777777" w:rsidR="00BE30A6" w:rsidRDefault="00BE30A6" w:rsidP="00BF4753">
      <w:pPr>
        <w:pStyle w:val="Heading1"/>
        <w:rPr>
          <w:sz w:val="32"/>
          <w:szCs w:val="32"/>
        </w:rPr>
      </w:pPr>
    </w:p>
    <w:p w14:paraId="08A078E6" w14:textId="2D159751" w:rsidR="00BF4753" w:rsidRPr="00DE625E" w:rsidRDefault="00BF4753" w:rsidP="00BF4753">
      <w:pPr>
        <w:pStyle w:val="Heading1"/>
        <w:rPr>
          <w:sz w:val="32"/>
          <w:szCs w:val="32"/>
        </w:rPr>
      </w:pPr>
      <w:bookmarkStart w:id="88" w:name="_Toc164679847"/>
      <w:r w:rsidRPr="00DE625E">
        <w:rPr>
          <w:sz w:val="32"/>
          <w:szCs w:val="32"/>
        </w:rPr>
        <w:t>Pielikumi</w:t>
      </w:r>
      <w:bookmarkEnd w:id="85"/>
      <w:bookmarkEnd w:id="86"/>
      <w:bookmarkEnd w:id="87"/>
      <w:bookmarkEnd w:id="88"/>
    </w:p>
    <w:p w14:paraId="0F4AB732" w14:textId="77777777" w:rsidR="00BF4753" w:rsidRPr="00DE625E" w:rsidRDefault="00BF4753" w:rsidP="00BF4753">
      <w:pPr>
        <w:rPr>
          <w:lang w:eastAsia="lv-LV"/>
        </w:rPr>
      </w:pPr>
    </w:p>
    <w:p w14:paraId="4062B003" w14:textId="77777777" w:rsidR="00BF4753" w:rsidRPr="00874664" w:rsidRDefault="00BF4753" w:rsidP="00BF4753">
      <w:pPr>
        <w:rPr>
          <w:highlight w:val="lightGray"/>
          <w:lang w:eastAsia="lv-LV"/>
        </w:rPr>
      </w:pPr>
    </w:p>
    <w:p w14:paraId="25073B6F" w14:textId="77777777" w:rsidR="00BF4753" w:rsidRPr="00874664" w:rsidRDefault="00BF4753" w:rsidP="00BF4753">
      <w:pPr>
        <w:rPr>
          <w:highlight w:val="lightGray"/>
          <w:lang w:eastAsia="lv-LV"/>
        </w:rPr>
      </w:pPr>
    </w:p>
    <w:p w14:paraId="217FCAB9" w14:textId="77777777" w:rsidR="00BF4753" w:rsidRPr="00874664" w:rsidRDefault="00BF4753" w:rsidP="00BF4753">
      <w:pPr>
        <w:rPr>
          <w:highlight w:val="lightGray"/>
          <w:lang w:eastAsia="lv-LV"/>
        </w:rPr>
      </w:pPr>
    </w:p>
    <w:p w14:paraId="3E90D3EE" w14:textId="77777777" w:rsidR="00BF4753" w:rsidRPr="00874664" w:rsidRDefault="00BF4753" w:rsidP="00BF4753">
      <w:pPr>
        <w:rPr>
          <w:highlight w:val="lightGray"/>
          <w:lang w:eastAsia="lv-LV"/>
        </w:rPr>
      </w:pPr>
    </w:p>
    <w:p w14:paraId="551F1831" w14:textId="77777777" w:rsidR="00BF4753" w:rsidRPr="00874664" w:rsidRDefault="00BF4753" w:rsidP="00BF4753">
      <w:pPr>
        <w:rPr>
          <w:highlight w:val="lightGray"/>
          <w:lang w:eastAsia="lv-LV"/>
        </w:rPr>
      </w:pPr>
    </w:p>
    <w:p w14:paraId="24EFFBA0" w14:textId="71A18AF6" w:rsidR="00BF4753" w:rsidRPr="00874664" w:rsidRDefault="00BF4753" w:rsidP="00BF4753">
      <w:pPr>
        <w:rPr>
          <w:highlight w:val="lightGray"/>
          <w:lang w:eastAsia="lv-LV"/>
        </w:rPr>
      </w:pPr>
    </w:p>
    <w:p w14:paraId="5D5CF348" w14:textId="51EDEAFF" w:rsidR="00002184" w:rsidRPr="00874664" w:rsidRDefault="00002184" w:rsidP="00BF4753">
      <w:pPr>
        <w:rPr>
          <w:highlight w:val="lightGray"/>
          <w:lang w:eastAsia="lv-LV"/>
        </w:rPr>
      </w:pPr>
    </w:p>
    <w:p w14:paraId="2F5D0A4F" w14:textId="1F615217" w:rsidR="00002184" w:rsidRPr="00874664" w:rsidRDefault="00002184" w:rsidP="00BF4753">
      <w:pPr>
        <w:rPr>
          <w:highlight w:val="lightGray"/>
          <w:lang w:eastAsia="lv-LV"/>
        </w:rPr>
      </w:pPr>
    </w:p>
    <w:p w14:paraId="73970A94" w14:textId="047DC1E3" w:rsidR="00002184" w:rsidRPr="00874664" w:rsidRDefault="00002184" w:rsidP="00BF4753">
      <w:pPr>
        <w:rPr>
          <w:highlight w:val="lightGray"/>
          <w:lang w:eastAsia="lv-LV"/>
        </w:rPr>
      </w:pPr>
    </w:p>
    <w:p w14:paraId="6783C727" w14:textId="457C0B05" w:rsidR="00002184" w:rsidRPr="00874664" w:rsidRDefault="00002184" w:rsidP="00BF4753">
      <w:pPr>
        <w:rPr>
          <w:highlight w:val="lightGray"/>
          <w:lang w:eastAsia="lv-LV"/>
        </w:rPr>
      </w:pPr>
    </w:p>
    <w:p w14:paraId="42BF8F37" w14:textId="77777777" w:rsidR="00002184" w:rsidRPr="00874664" w:rsidRDefault="00002184" w:rsidP="00BF4753">
      <w:pPr>
        <w:rPr>
          <w:highlight w:val="lightGray"/>
          <w:lang w:eastAsia="lv-LV"/>
        </w:rPr>
      </w:pPr>
    </w:p>
    <w:p w14:paraId="2594EB37" w14:textId="77777777" w:rsidR="00BF4753" w:rsidRPr="00874664" w:rsidRDefault="00BF4753" w:rsidP="00BF4753">
      <w:pPr>
        <w:rPr>
          <w:highlight w:val="lightGray"/>
          <w:lang w:eastAsia="lv-LV"/>
        </w:rPr>
      </w:pPr>
    </w:p>
    <w:p w14:paraId="5D105866" w14:textId="77777777" w:rsidR="00BF4753" w:rsidRPr="00874664" w:rsidRDefault="00BF4753" w:rsidP="00BF4753">
      <w:pPr>
        <w:rPr>
          <w:highlight w:val="lightGray"/>
          <w:lang w:eastAsia="lv-LV"/>
        </w:rPr>
      </w:pPr>
    </w:p>
    <w:p w14:paraId="571C1C77" w14:textId="22F7DCA4" w:rsidR="00BF4753" w:rsidRPr="00874664" w:rsidRDefault="00BF4753" w:rsidP="00BF4753">
      <w:pPr>
        <w:rPr>
          <w:highlight w:val="lightGray"/>
          <w:lang w:eastAsia="lv-LV"/>
        </w:rPr>
      </w:pPr>
    </w:p>
    <w:p w14:paraId="19D837B4" w14:textId="16DDA9BE" w:rsidR="0062512B" w:rsidRPr="00874664" w:rsidRDefault="0062512B" w:rsidP="00BF4753">
      <w:pPr>
        <w:rPr>
          <w:highlight w:val="lightGray"/>
          <w:lang w:eastAsia="lv-LV"/>
        </w:rPr>
      </w:pPr>
    </w:p>
    <w:p w14:paraId="50C59E16" w14:textId="77777777" w:rsidR="0062512B" w:rsidRPr="00874664" w:rsidRDefault="0062512B" w:rsidP="00BF4753">
      <w:pPr>
        <w:rPr>
          <w:highlight w:val="lightGray"/>
          <w:lang w:eastAsia="lv-LV"/>
        </w:rPr>
      </w:pPr>
    </w:p>
    <w:p w14:paraId="6C7CF225" w14:textId="197C25D9" w:rsidR="00BF4753" w:rsidRPr="00874664" w:rsidRDefault="00BF4753" w:rsidP="00BF4753">
      <w:pPr>
        <w:rPr>
          <w:highlight w:val="lightGray"/>
          <w:lang w:eastAsia="lv-LV"/>
        </w:rPr>
      </w:pPr>
    </w:p>
    <w:p w14:paraId="3FFDC25B" w14:textId="77777777" w:rsidR="001138C5" w:rsidRPr="00874664" w:rsidRDefault="001138C5">
      <w:pPr>
        <w:spacing w:after="160" w:line="259" w:lineRule="auto"/>
        <w:ind w:firstLine="0"/>
        <w:jc w:val="left"/>
        <w:rPr>
          <w:rFonts w:eastAsia="Times New Roman" w:cs="Times New Roman"/>
          <w:b/>
          <w:color w:val="000000"/>
          <w:sz w:val="24"/>
          <w:szCs w:val="20"/>
          <w:highlight w:val="lightGray"/>
        </w:rPr>
      </w:pPr>
      <w:r w:rsidRPr="00874664">
        <w:rPr>
          <w:rFonts w:eastAsia="Times New Roman" w:cs="Times New Roman"/>
          <w:b/>
          <w:color w:val="000000"/>
          <w:sz w:val="24"/>
          <w:szCs w:val="20"/>
          <w:highlight w:val="lightGray"/>
        </w:rPr>
        <w:br w:type="page"/>
      </w:r>
    </w:p>
    <w:p w14:paraId="5404ACFA" w14:textId="24302D4F" w:rsidR="00C8305B" w:rsidRPr="00002184" w:rsidRDefault="00C8305B" w:rsidP="00C8305B">
      <w:pPr>
        <w:keepNext/>
        <w:spacing w:before="360" w:after="120"/>
        <w:ind w:firstLine="0"/>
        <w:jc w:val="left"/>
        <w:rPr>
          <w:rFonts w:eastAsia="Times New Roman" w:cs="Times New Roman"/>
          <w:b/>
          <w:color w:val="000000"/>
          <w:sz w:val="24"/>
          <w:szCs w:val="20"/>
        </w:rPr>
      </w:pPr>
      <w:r w:rsidRPr="00002184">
        <w:rPr>
          <w:rFonts w:eastAsia="Times New Roman" w:cs="Times New Roman"/>
          <w:b/>
          <w:color w:val="000000"/>
          <w:sz w:val="24"/>
          <w:szCs w:val="20"/>
        </w:rPr>
        <w:lastRenderedPageBreak/>
        <w:t>1a.</w:t>
      </w:r>
      <w:r>
        <w:rPr>
          <w:rFonts w:eastAsia="Times New Roman" w:cs="Times New Roman"/>
          <w:b/>
          <w:color w:val="000000"/>
          <w:sz w:val="24"/>
          <w:szCs w:val="20"/>
        </w:rPr>
        <w:t xml:space="preserve"> </w:t>
      </w:r>
      <w:r w:rsidRPr="00002184">
        <w:rPr>
          <w:rFonts w:eastAsia="Times New Roman" w:cs="Times New Roman"/>
          <w:b/>
          <w:color w:val="000000"/>
          <w:sz w:val="24"/>
          <w:szCs w:val="20"/>
        </w:rPr>
        <w:t>tabula. Izaugsme un ar to saistītie faktori</w:t>
      </w:r>
      <w:r>
        <w:rPr>
          <w:rFonts w:eastAsia="Times New Roman" w:cs="Times New Roman"/>
          <w:b/>
          <w:color w:val="000000"/>
          <w:sz w:val="24"/>
          <w:szCs w:val="20"/>
          <w:vertAlign w:val="superscript"/>
        </w:rPr>
        <w:t>*</w:t>
      </w:r>
    </w:p>
    <w:tbl>
      <w:tblPr>
        <w:tblW w:w="9120" w:type="dxa"/>
        <w:tblLayout w:type="fixed"/>
        <w:tblLook w:val="04A0" w:firstRow="1" w:lastRow="0" w:firstColumn="1" w:lastColumn="0" w:noHBand="0" w:noVBand="1"/>
      </w:tblPr>
      <w:tblGrid>
        <w:gridCol w:w="2739"/>
        <w:gridCol w:w="992"/>
        <w:gridCol w:w="795"/>
        <w:gridCol w:w="765"/>
        <w:gridCol w:w="766"/>
        <w:gridCol w:w="765"/>
        <w:gridCol w:w="766"/>
        <w:gridCol w:w="766"/>
        <w:gridCol w:w="766"/>
      </w:tblGrid>
      <w:tr w:rsidR="00C8305B" w:rsidRPr="00D84BAD" w14:paraId="723C9314" w14:textId="77777777" w:rsidTr="00B312F7">
        <w:trPr>
          <w:trHeight w:val="315"/>
        </w:trPr>
        <w:tc>
          <w:tcPr>
            <w:tcW w:w="2739" w:type="dxa"/>
            <w:vMerge w:val="restart"/>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526CCE88" w14:textId="77777777"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 </w:t>
            </w:r>
          </w:p>
        </w:tc>
        <w:tc>
          <w:tcPr>
            <w:tcW w:w="992" w:type="dxa"/>
            <w:vMerge w:val="restart"/>
            <w:tcBorders>
              <w:top w:val="single" w:sz="8" w:space="0" w:color="9CC2E5"/>
              <w:left w:val="single" w:sz="8" w:space="0" w:color="9CC2E5"/>
              <w:bottom w:val="single" w:sz="8" w:space="0" w:color="9CC2E5"/>
              <w:right w:val="single" w:sz="8" w:space="0" w:color="9CC2E5"/>
            </w:tcBorders>
            <w:shd w:val="clear" w:color="auto" w:fill="auto"/>
            <w:noWrap/>
            <w:vAlign w:val="center"/>
            <w:hideMark/>
          </w:tcPr>
          <w:p w14:paraId="333C1DD6" w14:textId="77777777" w:rsidR="00C8305B" w:rsidRPr="00D84BAD" w:rsidRDefault="00C8305B" w:rsidP="00B312F7">
            <w:pPr>
              <w:ind w:firstLine="0"/>
              <w:jc w:val="center"/>
              <w:rPr>
                <w:rFonts w:eastAsia="Times New Roman" w:cs="Times New Roman"/>
                <w:b/>
                <w:bCs/>
                <w:sz w:val="18"/>
                <w:szCs w:val="18"/>
                <w:lang w:eastAsia="lv-LV"/>
              </w:rPr>
            </w:pPr>
            <w:r w:rsidRPr="00D84BAD">
              <w:rPr>
                <w:rFonts w:eastAsia="Times New Roman" w:cs="Times New Roman"/>
                <w:b/>
                <w:bCs/>
                <w:sz w:val="18"/>
                <w:szCs w:val="18"/>
                <w:lang w:eastAsia="lv-LV"/>
              </w:rPr>
              <w:t>EKS kods</w:t>
            </w:r>
          </w:p>
        </w:tc>
        <w:tc>
          <w:tcPr>
            <w:tcW w:w="795" w:type="dxa"/>
            <w:tcBorders>
              <w:top w:val="single" w:sz="8" w:space="0" w:color="9CC2E5"/>
              <w:left w:val="nil"/>
              <w:bottom w:val="single" w:sz="12" w:space="0" w:color="9CC2E5"/>
              <w:right w:val="single" w:sz="8" w:space="0" w:color="9CC2E5"/>
            </w:tcBorders>
            <w:shd w:val="clear" w:color="auto" w:fill="auto"/>
            <w:noWrap/>
            <w:vAlign w:val="center"/>
            <w:hideMark/>
          </w:tcPr>
          <w:p w14:paraId="245159D5" w14:textId="77777777" w:rsidR="00C8305B" w:rsidRPr="00D84BAD" w:rsidRDefault="00C8305B" w:rsidP="00B312F7">
            <w:pPr>
              <w:ind w:firstLine="0"/>
              <w:jc w:val="center"/>
              <w:rPr>
                <w:rFonts w:eastAsia="Times New Roman" w:cs="Times New Roman"/>
                <w:b/>
                <w:bCs/>
                <w:sz w:val="18"/>
                <w:szCs w:val="18"/>
                <w:lang w:eastAsia="lv-LV"/>
              </w:rPr>
            </w:pPr>
            <w:r>
              <w:rPr>
                <w:b/>
                <w:bCs/>
                <w:color w:val="000000"/>
                <w:sz w:val="18"/>
                <w:szCs w:val="18"/>
              </w:rPr>
              <w:t>2023</w:t>
            </w:r>
          </w:p>
        </w:tc>
        <w:tc>
          <w:tcPr>
            <w:tcW w:w="765" w:type="dxa"/>
            <w:tcBorders>
              <w:top w:val="single" w:sz="8" w:space="0" w:color="9CC2E5"/>
              <w:left w:val="nil"/>
              <w:bottom w:val="single" w:sz="12" w:space="0" w:color="9CC2E5"/>
              <w:right w:val="single" w:sz="8" w:space="0" w:color="9CC2E5"/>
            </w:tcBorders>
            <w:shd w:val="clear" w:color="auto" w:fill="auto"/>
            <w:noWrap/>
            <w:vAlign w:val="center"/>
            <w:hideMark/>
          </w:tcPr>
          <w:p w14:paraId="5FF017F8" w14:textId="77777777" w:rsidR="00C8305B" w:rsidRPr="00D84BAD" w:rsidRDefault="00C8305B" w:rsidP="00B312F7">
            <w:pPr>
              <w:ind w:firstLine="0"/>
              <w:jc w:val="center"/>
              <w:rPr>
                <w:rFonts w:eastAsia="Times New Roman" w:cs="Times New Roman"/>
                <w:b/>
                <w:bCs/>
                <w:sz w:val="18"/>
                <w:szCs w:val="18"/>
                <w:lang w:eastAsia="lv-LV"/>
              </w:rPr>
            </w:pPr>
            <w:r>
              <w:rPr>
                <w:b/>
                <w:bCs/>
                <w:color w:val="000000"/>
                <w:sz w:val="18"/>
                <w:szCs w:val="18"/>
              </w:rPr>
              <w:t>2023</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18D46BE6" w14:textId="77777777" w:rsidR="00C8305B" w:rsidRPr="00D84BAD" w:rsidRDefault="00C8305B" w:rsidP="00B312F7">
            <w:pPr>
              <w:ind w:firstLine="0"/>
              <w:jc w:val="center"/>
              <w:rPr>
                <w:rFonts w:eastAsia="Times New Roman" w:cs="Times New Roman"/>
                <w:b/>
                <w:bCs/>
                <w:sz w:val="18"/>
                <w:szCs w:val="18"/>
                <w:lang w:eastAsia="lv-LV"/>
              </w:rPr>
            </w:pPr>
            <w:r>
              <w:rPr>
                <w:b/>
                <w:bCs/>
                <w:color w:val="000000"/>
                <w:sz w:val="18"/>
                <w:szCs w:val="18"/>
              </w:rPr>
              <w:t>2024</w:t>
            </w:r>
          </w:p>
        </w:tc>
        <w:tc>
          <w:tcPr>
            <w:tcW w:w="765" w:type="dxa"/>
            <w:tcBorders>
              <w:top w:val="single" w:sz="8" w:space="0" w:color="9CC2E5"/>
              <w:left w:val="nil"/>
              <w:bottom w:val="single" w:sz="12" w:space="0" w:color="9CC2E5"/>
              <w:right w:val="single" w:sz="8" w:space="0" w:color="9CC2E5"/>
            </w:tcBorders>
            <w:shd w:val="clear" w:color="auto" w:fill="auto"/>
            <w:noWrap/>
            <w:vAlign w:val="center"/>
            <w:hideMark/>
          </w:tcPr>
          <w:p w14:paraId="283C1220" w14:textId="77777777" w:rsidR="00C8305B" w:rsidRPr="00D84BAD" w:rsidRDefault="00C8305B" w:rsidP="00B312F7">
            <w:pPr>
              <w:ind w:firstLine="0"/>
              <w:jc w:val="center"/>
              <w:rPr>
                <w:rFonts w:eastAsia="Times New Roman" w:cs="Times New Roman"/>
                <w:b/>
                <w:bCs/>
                <w:sz w:val="18"/>
                <w:szCs w:val="18"/>
                <w:lang w:eastAsia="lv-LV"/>
              </w:rPr>
            </w:pPr>
            <w:r>
              <w:rPr>
                <w:b/>
                <w:bCs/>
                <w:color w:val="000000"/>
                <w:sz w:val="18"/>
                <w:szCs w:val="18"/>
              </w:rPr>
              <w:t>2025</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2390189D" w14:textId="77777777" w:rsidR="00C8305B" w:rsidRPr="00D84BAD" w:rsidRDefault="00C8305B" w:rsidP="00B312F7">
            <w:pPr>
              <w:ind w:firstLine="0"/>
              <w:jc w:val="center"/>
              <w:rPr>
                <w:rFonts w:eastAsia="Times New Roman" w:cs="Times New Roman"/>
                <w:b/>
                <w:bCs/>
                <w:sz w:val="18"/>
                <w:szCs w:val="18"/>
                <w:lang w:eastAsia="lv-LV"/>
              </w:rPr>
            </w:pPr>
            <w:r>
              <w:rPr>
                <w:b/>
                <w:bCs/>
                <w:color w:val="000000"/>
                <w:sz w:val="18"/>
                <w:szCs w:val="18"/>
              </w:rPr>
              <w:t>2026</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6A0D0158" w14:textId="77777777" w:rsidR="00C8305B" w:rsidRPr="00D84BAD" w:rsidRDefault="00C8305B" w:rsidP="00B312F7">
            <w:pPr>
              <w:ind w:firstLine="0"/>
              <w:jc w:val="center"/>
              <w:rPr>
                <w:rFonts w:eastAsia="Times New Roman" w:cs="Times New Roman"/>
                <w:b/>
                <w:bCs/>
                <w:sz w:val="18"/>
                <w:szCs w:val="18"/>
                <w:lang w:eastAsia="lv-LV"/>
              </w:rPr>
            </w:pPr>
            <w:r>
              <w:rPr>
                <w:b/>
                <w:bCs/>
                <w:color w:val="000000"/>
                <w:sz w:val="18"/>
                <w:szCs w:val="18"/>
              </w:rPr>
              <w:t>2027</w:t>
            </w:r>
          </w:p>
        </w:tc>
        <w:tc>
          <w:tcPr>
            <w:tcW w:w="766" w:type="dxa"/>
            <w:tcBorders>
              <w:top w:val="single" w:sz="8" w:space="0" w:color="9CC2E5"/>
              <w:left w:val="nil"/>
              <w:bottom w:val="single" w:sz="12" w:space="0" w:color="9CC2E5"/>
              <w:right w:val="single" w:sz="8" w:space="0" w:color="9CC2E5"/>
            </w:tcBorders>
            <w:vAlign w:val="center"/>
          </w:tcPr>
          <w:p w14:paraId="0FF983A9" w14:textId="77777777" w:rsidR="00C8305B" w:rsidRDefault="00C8305B" w:rsidP="00B312F7">
            <w:pPr>
              <w:ind w:firstLine="0"/>
              <w:jc w:val="center"/>
              <w:rPr>
                <w:b/>
                <w:bCs/>
                <w:color w:val="000000"/>
                <w:sz w:val="18"/>
                <w:szCs w:val="18"/>
              </w:rPr>
            </w:pPr>
            <w:r>
              <w:rPr>
                <w:b/>
                <w:bCs/>
                <w:color w:val="000000"/>
                <w:sz w:val="18"/>
                <w:szCs w:val="18"/>
              </w:rPr>
              <w:t>2028</w:t>
            </w:r>
          </w:p>
        </w:tc>
      </w:tr>
      <w:tr w:rsidR="00C8305B" w:rsidRPr="00D84BAD" w14:paraId="1E743B85" w14:textId="77777777" w:rsidTr="00B312F7">
        <w:trPr>
          <w:trHeight w:val="330"/>
        </w:trPr>
        <w:tc>
          <w:tcPr>
            <w:tcW w:w="2739" w:type="dxa"/>
            <w:vMerge/>
            <w:tcBorders>
              <w:top w:val="single" w:sz="8" w:space="0" w:color="9CC2E5"/>
              <w:left w:val="single" w:sz="8" w:space="0" w:color="9CC2E5"/>
              <w:bottom w:val="single" w:sz="8" w:space="0" w:color="9CC2E5"/>
              <w:right w:val="single" w:sz="8" w:space="0" w:color="9CC2E5"/>
            </w:tcBorders>
            <w:vAlign w:val="center"/>
            <w:hideMark/>
          </w:tcPr>
          <w:p w14:paraId="18E3584F" w14:textId="77777777" w:rsidR="00C8305B" w:rsidRPr="00D84BAD" w:rsidRDefault="00C8305B" w:rsidP="00B312F7">
            <w:pPr>
              <w:ind w:firstLine="0"/>
              <w:jc w:val="left"/>
              <w:rPr>
                <w:rFonts w:eastAsia="Times New Roman" w:cs="Times New Roman"/>
                <w:sz w:val="18"/>
                <w:szCs w:val="18"/>
                <w:lang w:eastAsia="lv-LV"/>
              </w:rPr>
            </w:pPr>
          </w:p>
        </w:tc>
        <w:tc>
          <w:tcPr>
            <w:tcW w:w="992" w:type="dxa"/>
            <w:vMerge/>
            <w:tcBorders>
              <w:top w:val="single" w:sz="8" w:space="0" w:color="9CC2E5"/>
              <w:left w:val="single" w:sz="8" w:space="0" w:color="9CC2E5"/>
              <w:bottom w:val="single" w:sz="8" w:space="0" w:color="9CC2E5"/>
              <w:right w:val="single" w:sz="8" w:space="0" w:color="9CC2E5"/>
            </w:tcBorders>
            <w:vAlign w:val="center"/>
            <w:hideMark/>
          </w:tcPr>
          <w:p w14:paraId="64BF93DB" w14:textId="77777777" w:rsidR="00C8305B" w:rsidRPr="00D84BAD" w:rsidRDefault="00C8305B" w:rsidP="00B312F7">
            <w:pPr>
              <w:ind w:firstLine="0"/>
              <w:jc w:val="left"/>
              <w:rPr>
                <w:rFonts w:eastAsia="Times New Roman" w:cs="Times New Roman"/>
                <w:b/>
                <w:bCs/>
                <w:sz w:val="18"/>
                <w:szCs w:val="18"/>
                <w:lang w:eastAsia="lv-LV"/>
              </w:rPr>
            </w:pPr>
          </w:p>
        </w:tc>
        <w:tc>
          <w:tcPr>
            <w:tcW w:w="795" w:type="dxa"/>
            <w:tcBorders>
              <w:top w:val="nil"/>
              <w:left w:val="nil"/>
              <w:bottom w:val="single" w:sz="8" w:space="0" w:color="9CC2E5"/>
              <w:right w:val="single" w:sz="8" w:space="0" w:color="9CC2E5"/>
            </w:tcBorders>
            <w:shd w:val="clear" w:color="000000" w:fill="DEEAF6"/>
            <w:noWrap/>
            <w:vAlign w:val="center"/>
            <w:hideMark/>
          </w:tcPr>
          <w:p w14:paraId="24982B80"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 xml:space="preserve">milj. </w:t>
            </w:r>
            <w:proofErr w:type="spellStart"/>
            <w:r w:rsidRPr="00D84BAD">
              <w:rPr>
                <w:rFonts w:eastAsia="Times New Roman" w:cs="Times New Roman"/>
                <w:i/>
                <w:iCs/>
                <w:sz w:val="18"/>
                <w:szCs w:val="18"/>
                <w:lang w:eastAsia="lv-LV"/>
              </w:rPr>
              <w:t>euro</w:t>
            </w:r>
            <w:proofErr w:type="spellEnd"/>
          </w:p>
        </w:tc>
        <w:tc>
          <w:tcPr>
            <w:tcW w:w="3828" w:type="dxa"/>
            <w:gridSpan w:val="5"/>
            <w:tcBorders>
              <w:top w:val="single" w:sz="12" w:space="0" w:color="9CC2E5"/>
              <w:left w:val="nil"/>
              <w:bottom w:val="single" w:sz="8" w:space="0" w:color="9CC2E5"/>
              <w:right w:val="single" w:sz="8" w:space="0" w:color="9CC2E5"/>
            </w:tcBorders>
            <w:shd w:val="clear" w:color="000000" w:fill="DEEAF6"/>
            <w:vAlign w:val="center"/>
            <w:hideMark/>
          </w:tcPr>
          <w:p w14:paraId="7CC99966"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Pieaugums %</w:t>
            </w:r>
          </w:p>
        </w:tc>
        <w:tc>
          <w:tcPr>
            <w:tcW w:w="766" w:type="dxa"/>
            <w:tcBorders>
              <w:top w:val="single" w:sz="12" w:space="0" w:color="9CC2E5"/>
              <w:left w:val="nil"/>
              <w:bottom w:val="single" w:sz="8" w:space="0" w:color="9CC2E5"/>
              <w:right w:val="single" w:sz="8" w:space="0" w:color="9CC2E5"/>
            </w:tcBorders>
            <w:shd w:val="clear" w:color="000000" w:fill="DEEAF6"/>
          </w:tcPr>
          <w:p w14:paraId="5D0EDE55" w14:textId="77777777" w:rsidR="00C8305B" w:rsidRPr="00D84BAD" w:rsidRDefault="00C8305B" w:rsidP="00B312F7">
            <w:pPr>
              <w:ind w:firstLine="0"/>
              <w:jc w:val="center"/>
              <w:rPr>
                <w:rFonts w:eastAsia="Times New Roman" w:cs="Times New Roman"/>
                <w:sz w:val="18"/>
                <w:szCs w:val="18"/>
                <w:lang w:eastAsia="lv-LV"/>
              </w:rPr>
            </w:pPr>
          </w:p>
        </w:tc>
      </w:tr>
      <w:tr w:rsidR="00C8305B" w:rsidRPr="00D84BAD" w14:paraId="1D0CF722" w14:textId="77777777" w:rsidTr="00B312F7">
        <w:trPr>
          <w:trHeight w:val="315"/>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6C1C3295" w14:textId="7FEA5D69"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1. IKP 2015.</w:t>
            </w:r>
            <w:r w:rsidR="003E5E38">
              <w:rPr>
                <w:rFonts w:eastAsia="Times New Roman" w:cs="Times New Roman"/>
                <w:sz w:val="18"/>
                <w:szCs w:val="18"/>
                <w:lang w:eastAsia="lv-LV"/>
              </w:rPr>
              <w:t xml:space="preserve"> </w:t>
            </w:r>
            <w:r w:rsidRPr="00D84BAD">
              <w:rPr>
                <w:rFonts w:eastAsia="Times New Roman" w:cs="Times New Roman"/>
                <w:sz w:val="18"/>
                <w:szCs w:val="18"/>
                <w:lang w:eastAsia="lv-LV"/>
              </w:rPr>
              <w:t>gada cenās</w:t>
            </w:r>
          </w:p>
        </w:tc>
        <w:tc>
          <w:tcPr>
            <w:tcW w:w="992" w:type="dxa"/>
            <w:tcBorders>
              <w:top w:val="nil"/>
              <w:left w:val="nil"/>
              <w:bottom w:val="single" w:sz="8" w:space="0" w:color="9CC2E5"/>
              <w:right w:val="single" w:sz="8" w:space="0" w:color="9CC2E5"/>
            </w:tcBorders>
            <w:shd w:val="clear" w:color="auto" w:fill="auto"/>
            <w:noWrap/>
            <w:vAlign w:val="center"/>
            <w:hideMark/>
          </w:tcPr>
          <w:p w14:paraId="10CD7318"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B1*g</w:t>
            </w:r>
          </w:p>
        </w:tc>
        <w:tc>
          <w:tcPr>
            <w:tcW w:w="795" w:type="dxa"/>
            <w:tcBorders>
              <w:top w:val="nil"/>
              <w:left w:val="nil"/>
              <w:bottom w:val="single" w:sz="8" w:space="0" w:color="9CC2E5"/>
              <w:right w:val="single" w:sz="8" w:space="0" w:color="9CC2E5"/>
            </w:tcBorders>
            <w:shd w:val="clear" w:color="auto" w:fill="auto"/>
            <w:noWrap/>
            <w:vAlign w:val="center"/>
            <w:hideMark/>
          </w:tcPr>
          <w:p w14:paraId="34C52807" w14:textId="77777777" w:rsidR="00C8305B" w:rsidRPr="00D84BAD" w:rsidRDefault="00C8305B" w:rsidP="00B312F7">
            <w:pPr>
              <w:ind w:firstLine="0"/>
              <w:jc w:val="center"/>
              <w:rPr>
                <w:rFonts w:eastAsia="Times New Roman" w:cs="Times New Roman"/>
                <w:color w:val="000000"/>
                <w:sz w:val="18"/>
                <w:szCs w:val="18"/>
              </w:rPr>
            </w:pPr>
            <w:r>
              <w:rPr>
                <w:color w:val="000000"/>
                <w:sz w:val="18"/>
                <w:szCs w:val="18"/>
              </w:rPr>
              <w:t>28 739</w:t>
            </w:r>
          </w:p>
        </w:tc>
        <w:tc>
          <w:tcPr>
            <w:tcW w:w="765" w:type="dxa"/>
            <w:tcBorders>
              <w:top w:val="nil"/>
              <w:left w:val="nil"/>
              <w:bottom w:val="single" w:sz="8" w:space="0" w:color="9CC2E5"/>
              <w:right w:val="single" w:sz="8" w:space="0" w:color="9CC2E5"/>
            </w:tcBorders>
            <w:shd w:val="clear" w:color="auto" w:fill="auto"/>
            <w:noWrap/>
            <w:vAlign w:val="center"/>
            <w:hideMark/>
          </w:tcPr>
          <w:p w14:paraId="0A9D52E3"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-0,3</w:t>
            </w:r>
          </w:p>
        </w:tc>
        <w:tc>
          <w:tcPr>
            <w:tcW w:w="766" w:type="dxa"/>
            <w:tcBorders>
              <w:top w:val="nil"/>
              <w:left w:val="nil"/>
              <w:bottom w:val="single" w:sz="8" w:space="0" w:color="9CC2E5"/>
              <w:right w:val="single" w:sz="8" w:space="0" w:color="9CC2E5"/>
            </w:tcBorders>
            <w:shd w:val="clear" w:color="auto" w:fill="auto"/>
            <w:noWrap/>
            <w:vAlign w:val="center"/>
            <w:hideMark/>
          </w:tcPr>
          <w:p w14:paraId="508186BC"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1,4</w:t>
            </w:r>
          </w:p>
        </w:tc>
        <w:tc>
          <w:tcPr>
            <w:tcW w:w="765" w:type="dxa"/>
            <w:tcBorders>
              <w:top w:val="nil"/>
              <w:left w:val="nil"/>
              <w:bottom w:val="single" w:sz="8" w:space="0" w:color="9CC2E5"/>
              <w:right w:val="single" w:sz="8" w:space="0" w:color="9CC2E5"/>
            </w:tcBorders>
            <w:shd w:val="clear" w:color="auto" w:fill="auto"/>
            <w:noWrap/>
            <w:vAlign w:val="center"/>
            <w:hideMark/>
          </w:tcPr>
          <w:p w14:paraId="141AC3F3"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2,9</w:t>
            </w:r>
          </w:p>
        </w:tc>
        <w:tc>
          <w:tcPr>
            <w:tcW w:w="766" w:type="dxa"/>
            <w:tcBorders>
              <w:top w:val="nil"/>
              <w:left w:val="nil"/>
              <w:bottom w:val="single" w:sz="8" w:space="0" w:color="9CC2E5"/>
              <w:right w:val="single" w:sz="8" w:space="0" w:color="9CC2E5"/>
            </w:tcBorders>
            <w:shd w:val="clear" w:color="auto" w:fill="auto"/>
            <w:noWrap/>
            <w:vAlign w:val="center"/>
            <w:hideMark/>
          </w:tcPr>
          <w:p w14:paraId="61DBF919"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2,5</w:t>
            </w:r>
          </w:p>
        </w:tc>
        <w:tc>
          <w:tcPr>
            <w:tcW w:w="766" w:type="dxa"/>
            <w:tcBorders>
              <w:top w:val="nil"/>
              <w:left w:val="nil"/>
              <w:bottom w:val="single" w:sz="8" w:space="0" w:color="9CC2E5"/>
              <w:right w:val="single" w:sz="8" w:space="0" w:color="9CC2E5"/>
            </w:tcBorders>
            <w:shd w:val="clear" w:color="auto" w:fill="auto"/>
            <w:noWrap/>
            <w:vAlign w:val="center"/>
            <w:hideMark/>
          </w:tcPr>
          <w:p w14:paraId="4EF01A49"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2,3</w:t>
            </w:r>
          </w:p>
        </w:tc>
        <w:tc>
          <w:tcPr>
            <w:tcW w:w="766" w:type="dxa"/>
            <w:tcBorders>
              <w:top w:val="nil"/>
              <w:left w:val="nil"/>
              <w:bottom w:val="single" w:sz="8" w:space="0" w:color="9CC2E5"/>
              <w:right w:val="single" w:sz="8" w:space="0" w:color="9CC2E5"/>
            </w:tcBorders>
            <w:vAlign w:val="center"/>
          </w:tcPr>
          <w:p w14:paraId="6C2D3311" w14:textId="77777777" w:rsidR="00C8305B" w:rsidRDefault="00C8305B" w:rsidP="00B312F7">
            <w:pPr>
              <w:ind w:firstLine="0"/>
              <w:jc w:val="center"/>
              <w:rPr>
                <w:color w:val="000000"/>
                <w:sz w:val="18"/>
                <w:szCs w:val="18"/>
              </w:rPr>
            </w:pPr>
            <w:r>
              <w:rPr>
                <w:color w:val="000000"/>
                <w:sz w:val="18"/>
                <w:szCs w:val="18"/>
              </w:rPr>
              <w:t>2,3</w:t>
            </w:r>
          </w:p>
        </w:tc>
      </w:tr>
      <w:tr w:rsidR="00C8305B" w:rsidRPr="00D84BAD" w14:paraId="1616D656" w14:textId="77777777" w:rsidTr="00B312F7">
        <w:trPr>
          <w:trHeight w:val="315"/>
        </w:trPr>
        <w:tc>
          <w:tcPr>
            <w:tcW w:w="2739" w:type="dxa"/>
            <w:tcBorders>
              <w:top w:val="nil"/>
              <w:left w:val="single" w:sz="8" w:space="0" w:color="9CC2E5"/>
              <w:bottom w:val="single" w:sz="8" w:space="0" w:color="9CC2E5"/>
              <w:right w:val="single" w:sz="8" w:space="0" w:color="9CC2E5"/>
            </w:tcBorders>
            <w:shd w:val="clear" w:color="000000" w:fill="DEEAF6"/>
            <w:vAlign w:val="center"/>
            <w:hideMark/>
          </w:tcPr>
          <w:p w14:paraId="157192D2" w14:textId="77777777"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2. IKP faktiskajās cenās</w:t>
            </w:r>
          </w:p>
        </w:tc>
        <w:tc>
          <w:tcPr>
            <w:tcW w:w="992" w:type="dxa"/>
            <w:tcBorders>
              <w:top w:val="nil"/>
              <w:left w:val="nil"/>
              <w:bottom w:val="single" w:sz="8" w:space="0" w:color="9CC2E5"/>
              <w:right w:val="single" w:sz="8" w:space="0" w:color="9CC2E5"/>
            </w:tcBorders>
            <w:shd w:val="clear" w:color="000000" w:fill="DEEAF6"/>
            <w:noWrap/>
            <w:vAlign w:val="center"/>
            <w:hideMark/>
          </w:tcPr>
          <w:p w14:paraId="411A2FFF"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B1*g</w:t>
            </w:r>
          </w:p>
        </w:tc>
        <w:tc>
          <w:tcPr>
            <w:tcW w:w="795" w:type="dxa"/>
            <w:tcBorders>
              <w:top w:val="nil"/>
              <w:left w:val="nil"/>
              <w:bottom w:val="single" w:sz="8" w:space="0" w:color="9CC2E5"/>
              <w:right w:val="single" w:sz="8" w:space="0" w:color="9CC2E5"/>
            </w:tcBorders>
            <w:shd w:val="clear" w:color="000000" w:fill="DEEAF6"/>
            <w:noWrap/>
            <w:vAlign w:val="center"/>
            <w:hideMark/>
          </w:tcPr>
          <w:p w14:paraId="24B01BD6"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40 348</w:t>
            </w:r>
          </w:p>
        </w:tc>
        <w:tc>
          <w:tcPr>
            <w:tcW w:w="765" w:type="dxa"/>
            <w:tcBorders>
              <w:top w:val="nil"/>
              <w:left w:val="nil"/>
              <w:bottom w:val="single" w:sz="8" w:space="0" w:color="9CC2E5"/>
              <w:right w:val="single" w:sz="8" w:space="0" w:color="9CC2E5"/>
            </w:tcBorders>
            <w:shd w:val="clear" w:color="000000" w:fill="DEEAF6"/>
            <w:noWrap/>
            <w:vAlign w:val="center"/>
            <w:hideMark/>
          </w:tcPr>
          <w:p w14:paraId="13289E30"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5,1</w:t>
            </w:r>
          </w:p>
        </w:tc>
        <w:tc>
          <w:tcPr>
            <w:tcW w:w="766" w:type="dxa"/>
            <w:tcBorders>
              <w:top w:val="nil"/>
              <w:left w:val="nil"/>
              <w:bottom w:val="single" w:sz="8" w:space="0" w:color="9CC2E5"/>
              <w:right w:val="single" w:sz="8" w:space="0" w:color="9CC2E5"/>
            </w:tcBorders>
            <w:shd w:val="clear" w:color="000000" w:fill="DEEAF6"/>
            <w:noWrap/>
            <w:vAlign w:val="center"/>
            <w:hideMark/>
          </w:tcPr>
          <w:p w14:paraId="184948D1"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4,1</w:t>
            </w:r>
          </w:p>
        </w:tc>
        <w:tc>
          <w:tcPr>
            <w:tcW w:w="765" w:type="dxa"/>
            <w:tcBorders>
              <w:top w:val="nil"/>
              <w:left w:val="nil"/>
              <w:bottom w:val="single" w:sz="8" w:space="0" w:color="9CC2E5"/>
              <w:right w:val="single" w:sz="8" w:space="0" w:color="9CC2E5"/>
            </w:tcBorders>
            <w:shd w:val="clear" w:color="000000" w:fill="DEEAF6"/>
            <w:noWrap/>
            <w:vAlign w:val="center"/>
            <w:hideMark/>
          </w:tcPr>
          <w:p w14:paraId="4E7B484D"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6,0</w:t>
            </w:r>
          </w:p>
        </w:tc>
        <w:tc>
          <w:tcPr>
            <w:tcW w:w="766" w:type="dxa"/>
            <w:tcBorders>
              <w:top w:val="nil"/>
              <w:left w:val="nil"/>
              <w:bottom w:val="single" w:sz="8" w:space="0" w:color="9CC2E5"/>
              <w:right w:val="single" w:sz="8" w:space="0" w:color="9CC2E5"/>
            </w:tcBorders>
            <w:shd w:val="clear" w:color="000000" w:fill="DEEAF6"/>
            <w:noWrap/>
            <w:vAlign w:val="center"/>
            <w:hideMark/>
          </w:tcPr>
          <w:p w14:paraId="6A918BA9"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5,3</w:t>
            </w:r>
          </w:p>
        </w:tc>
        <w:tc>
          <w:tcPr>
            <w:tcW w:w="766" w:type="dxa"/>
            <w:tcBorders>
              <w:top w:val="nil"/>
              <w:left w:val="nil"/>
              <w:bottom w:val="single" w:sz="8" w:space="0" w:color="9CC2E5"/>
              <w:right w:val="single" w:sz="8" w:space="0" w:color="9CC2E5"/>
            </w:tcBorders>
            <w:shd w:val="clear" w:color="000000" w:fill="DEEAF6"/>
            <w:noWrap/>
            <w:vAlign w:val="center"/>
            <w:hideMark/>
          </w:tcPr>
          <w:p w14:paraId="6CA7BC7E"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5,1</w:t>
            </w:r>
          </w:p>
        </w:tc>
        <w:tc>
          <w:tcPr>
            <w:tcW w:w="766" w:type="dxa"/>
            <w:tcBorders>
              <w:top w:val="nil"/>
              <w:left w:val="nil"/>
              <w:bottom w:val="single" w:sz="8" w:space="0" w:color="9CC2E5"/>
              <w:right w:val="single" w:sz="8" w:space="0" w:color="9CC2E5"/>
            </w:tcBorders>
            <w:shd w:val="clear" w:color="000000" w:fill="DEEAF6"/>
            <w:vAlign w:val="center"/>
          </w:tcPr>
          <w:p w14:paraId="79F70F67" w14:textId="77777777" w:rsidR="00C8305B" w:rsidRDefault="00C8305B" w:rsidP="00B312F7">
            <w:pPr>
              <w:ind w:firstLine="0"/>
              <w:jc w:val="center"/>
              <w:rPr>
                <w:color w:val="000000"/>
                <w:sz w:val="18"/>
                <w:szCs w:val="18"/>
              </w:rPr>
            </w:pPr>
            <w:r>
              <w:rPr>
                <w:color w:val="000000"/>
                <w:sz w:val="18"/>
                <w:szCs w:val="18"/>
              </w:rPr>
              <w:t>5,1</w:t>
            </w:r>
          </w:p>
        </w:tc>
      </w:tr>
      <w:tr w:rsidR="00C8305B" w:rsidRPr="00D84BAD" w14:paraId="341BE958" w14:textId="77777777" w:rsidTr="00B312F7">
        <w:trPr>
          <w:trHeight w:val="315"/>
        </w:trPr>
        <w:tc>
          <w:tcPr>
            <w:tcW w:w="8354" w:type="dxa"/>
            <w:gridSpan w:val="8"/>
            <w:tcBorders>
              <w:top w:val="single" w:sz="8" w:space="0" w:color="9CC2E5"/>
              <w:left w:val="single" w:sz="8" w:space="0" w:color="9CC2E5"/>
              <w:bottom w:val="single" w:sz="8" w:space="0" w:color="9CC2E5"/>
              <w:right w:val="single" w:sz="8" w:space="0" w:color="9CC2E5"/>
            </w:tcBorders>
            <w:shd w:val="clear" w:color="auto" w:fill="auto"/>
            <w:noWrap/>
            <w:vAlign w:val="center"/>
            <w:hideMark/>
          </w:tcPr>
          <w:p w14:paraId="052954B9" w14:textId="51245D10" w:rsidR="00C8305B" w:rsidRPr="002A71C2" w:rsidRDefault="00C8305B" w:rsidP="00B312F7">
            <w:pPr>
              <w:ind w:firstLine="0"/>
              <w:jc w:val="center"/>
              <w:rPr>
                <w:rFonts w:eastAsia="Times New Roman" w:cs="Times New Roman"/>
                <w:b/>
                <w:bCs/>
                <w:sz w:val="18"/>
                <w:szCs w:val="18"/>
                <w:lang w:eastAsia="lv-LV"/>
              </w:rPr>
            </w:pPr>
            <w:r w:rsidRPr="002A71C2">
              <w:rPr>
                <w:rFonts w:eastAsia="Times New Roman" w:cs="Times New Roman"/>
                <w:b/>
                <w:bCs/>
                <w:sz w:val="18"/>
                <w:szCs w:val="18"/>
                <w:lang w:eastAsia="lv-LV"/>
              </w:rPr>
              <w:t>IKP pēc izlietojuma 2015.</w:t>
            </w:r>
            <w:r w:rsidR="002A71C2">
              <w:rPr>
                <w:rFonts w:eastAsia="Times New Roman" w:cs="Times New Roman"/>
                <w:b/>
                <w:bCs/>
                <w:sz w:val="18"/>
                <w:szCs w:val="18"/>
                <w:lang w:eastAsia="lv-LV"/>
              </w:rPr>
              <w:t xml:space="preserve"> </w:t>
            </w:r>
            <w:r w:rsidRPr="002A71C2">
              <w:rPr>
                <w:rFonts w:eastAsia="Times New Roman" w:cs="Times New Roman"/>
                <w:b/>
                <w:bCs/>
                <w:sz w:val="18"/>
                <w:szCs w:val="18"/>
                <w:lang w:eastAsia="lv-LV"/>
              </w:rPr>
              <w:t>gada cenās</w:t>
            </w:r>
          </w:p>
        </w:tc>
        <w:tc>
          <w:tcPr>
            <w:tcW w:w="766" w:type="dxa"/>
            <w:tcBorders>
              <w:top w:val="single" w:sz="8" w:space="0" w:color="9CC2E5"/>
              <w:left w:val="single" w:sz="8" w:space="0" w:color="9CC2E5"/>
              <w:bottom w:val="single" w:sz="8" w:space="0" w:color="9CC2E5"/>
              <w:right w:val="single" w:sz="8" w:space="0" w:color="9CC2E5"/>
            </w:tcBorders>
            <w:vAlign w:val="center"/>
          </w:tcPr>
          <w:p w14:paraId="1DA3E885" w14:textId="77777777" w:rsidR="00C8305B" w:rsidRPr="00D84BAD" w:rsidRDefault="00C8305B" w:rsidP="00B312F7">
            <w:pPr>
              <w:ind w:firstLine="0"/>
              <w:jc w:val="center"/>
              <w:rPr>
                <w:rFonts w:eastAsia="Times New Roman" w:cs="Times New Roman"/>
                <w:sz w:val="18"/>
                <w:szCs w:val="18"/>
                <w:lang w:eastAsia="lv-LV"/>
              </w:rPr>
            </w:pPr>
          </w:p>
        </w:tc>
      </w:tr>
      <w:tr w:rsidR="00C8305B" w:rsidRPr="00D84BAD" w14:paraId="3D55CA10" w14:textId="77777777" w:rsidTr="00B312F7">
        <w:trPr>
          <w:trHeight w:val="315"/>
        </w:trPr>
        <w:tc>
          <w:tcPr>
            <w:tcW w:w="2739" w:type="dxa"/>
            <w:tcBorders>
              <w:top w:val="nil"/>
              <w:left w:val="single" w:sz="8" w:space="0" w:color="9CC2E5"/>
              <w:bottom w:val="single" w:sz="8" w:space="0" w:color="9CC2E5"/>
              <w:right w:val="single" w:sz="8" w:space="0" w:color="9CC2E5"/>
            </w:tcBorders>
            <w:shd w:val="clear" w:color="000000" w:fill="DEEAF6"/>
            <w:vAlign w:val="center"/>
            <w:hideMark/>
          </w:tcPr>
          <w:p w14:paraId="2DD3A332" w14:textId="77777777"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3. Privātais patēriņš</w:t>
            </w:r>
          </w:p>
        </w:tc>
        <w:tc>
          <w:tcPr>
            <w:tcW w:w="992" w:type="dxa"/>
            <w:tcBorders>
              <w:top w:val="nil"/>
              <w:left w:val="nil"/>
              <w:bottom w:val="single" w:sz="8" w:space="0" w:color="9CC2E5"/>
              <w:right w:val="single" w:sz="8" w:space="0" w:color="9CC2E5"/>
            </w:tcBorders>
            <w:shd w:val="clear" w:color="000000" w:fill="DEEAF6"/>
            <w:noWrap/>
            <w:vAlign w:val="center"/>
            <w:hideMark/>
          </w:tcPr>
          <w:p w14:paraId="2B2880EB"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P3</w:t>
            </w:r>
          </w:p>
        </w:tc>
        <w:tc>
          <w:tcPr>
            <w:tcW w:w="795" w:type="dxa"/>
            <w:tcBorders>
              <w:top w:val="nil"/>
              <w:left w:val="nil"/>
              <w:bottom w:val="single" w:sz="8" w:space="0" w:color="9CC2E5"/>
              <w:right w:val="single" w:sz="8" w:space="0" w:color="9CC2E5"/>
            </w:tcBorders>
            <w:shd w:val="clear" w:color="000000" w:fill="DEEAF6"/>
            <w:noWrap/>
            <w:vAlign w:val="center"/>
            <w:hideMark/>
          </w:tcPr>
          <w:p w14:paraId="4BE68359"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17 539</w:t>
            </w:r>
          </w:p>
        </w:tc>
        <w:tc>
          <w:tcPr>
            <w:tcW w:w="765" w:type="dxa"/>
            <w:tcBorders>
              <w:top w:val="nil"/>
              <w:left w:val="nil"/>
              <w:bottom w:val="single" w:sz="8" w:space="0" w:color="9CC2E5"/>
              <w:right w:val="single" w:sz="8" w:space="0" w:color="9CC2E5"/>
            </w:tcBorders>
            <w:shd w:val="clear" w:color="000000" w:fill="DEEAF6"/>
            <w:noWrap/>
            <w:vAlign w:val="center"/>
            <w:hideMark/>
          </w:tcPr>
          <w:p w14:paraId="6549CE36"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-1,3</w:t>
            </w:r>
          </w:p>
        </w:tc>
        <w:tc>
          <w:tcPr>
            <w:tcW w:w="766" w:type="dxa"/>
            <w:tcBorders>
              <w:top w:val="nil"/>
              <w:left w:val="nil"/>
              <w:bottom w:val="single" w:sz="8" w:space="0" w:color="9CC2E5"/>
              <w:right w:val="single" w:sz="8" w:space="0" w:color="9CC2E5"/>
            </w:tcBorders>
            <w:shd w:val="clear" w:color="000000" w:fill="DEEAF6"/>
            <w:noWrap/>
            <w:vAlign w:val="center"/>
            <w:hideMark/>
          </w:tcPr>
          <w:p w14:paraId="5B78E880"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1,9</w:t>
            </w:r>
          </w:p>
        </w:tc>
        <w:tc>
          <w:tcPr>
            <w:tcW w:w="765" w:type="dxa"/>
            <w:tcBorders>
              <w:top w:val="nil"/>
              <w:left w:val="nil"/>
              <w:bottom w:val="single" w:sz="8" w:space="0" w:color="9CC2E5"/>
              <w:right w:val="single" w:sz="8" w:space="0" w:color="9CC2E5"/>
            </w:tcBorders>
            <w:shd w:val="clear" w:color="000000" w:fill="DEEAF6"/>
            <w:noWrap/>
            <w:vAlign w:val="center"/>
            <w:hideMark/>
          </w:tcPr>
          <w:p w14:paraId="487C4C25"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2,5</w:t>
            </w:r>
          </w:p>
        </w:tc>
        <w:tc>
          <w:tcPr>
            <w:tcW w:w="766" w:type="dxa"/>
            <w:tcBorders>
              <w:top w:val="nil"/>
              <w:left w:val="nil"/>
              <w:bottom w:val="single" w:sz="8" w:space="0" w:color="9CC2E5"/>
              <w:right w:val="single" w:sz="8" w:space="0" w:color="9CC2E5"/>
            </w:tcBorders>
            <w:shd w:val="clear" w:color="000000" w:fill="DEEAF6"/>
            <w:noWrap/>
            <w:vAlign w:val="center"/>
            <w:hideMark/>
          </w:tcPr>
          <w:p w14:paraId="6381F285"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2,7</w:t>
            </w:r>
          </w:p>
        </w:tc>
        <w:tc>
          <w:tcPr>
            <w:tcW w:w="766" w:type="dxa"/>
            <w:tcBorders>
              <w:top w:val="nil"/>
              <w:left w:val="nil"/>
              <w:bottom w:val="single" w:sz="8" w:space="0" w:color="9CC2E5"/>
              <w:right w:val="single" w:sz="8" w:space="0" w:color="9CC2E5"/>
            </w:tcBorders>
            <w:shd w:val="clear" w:color="000000" w:fill="DEEAF6"/>
            <w:noWrap/>
            <w:vAlign w:val="center"/>
            <w:hideMark/>
          </w:tcPr>
          <w:p w14:paraId="0B41B24F"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2,5</w:t>
            </w:r>
          </w:p>
        </w:tc>
        <w:tc>
          <w:tcPr>
            <w:tcW w:w="766" w:type="dxa"/>
            <w:tcBorders>
              <w:top w:val="nil"/>
              <w:left w:val="nil"/>
              <w:bottom w:val="single" w:sz="8" w:space="0" w:color="9CC2E5"/>
              <w:right w:val="single" w:sz="8" w:space="0" w:color="9CC2E5"/>
            </w:tcBorders>
            <w:shd w:val="clear" w:color="000000" w:fill="DEEAF6"/>
            <w:vAlign w:val="center"/>
          </w:tcPr>
          <w:p w14:paraId="726239F1" w14:textId="77777777" w:rsidR="00C8305B" w:rsidRDefault="00C8305B" w:rsidP="00B312F7">
            <w:pPr>
              <w:ind w:firstLine="0"/>
              <w:jc w:val="center"/>
              <w:rPr>
                <w:color w:val="000000"/>
                <w:sz w:val="18"/>
                <w:szCs w:val="18"/>
              </w:rPr>
            </w:pPr>
            <w:r>
              <w:rPr>
                <w:color w:val="000000"/>
                <w:sz w:val="18"/>
                <w:szCs w:val="18"/>
              </w:rPr>
              <w:t>2,5</w:t>
            </w:r>
          </w:p>
        </w:tc>
      </w:tr>
      <w:tr w:rsidR="00C8305B" w:rsidRPr="00D84BAD" w14:paraId="761366C2" w14:textId="77777777" w:rsidTr="00B312F7">
        <w:trPr>
          <w:trHeight w:val="315"/>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1F3596DD" w14:textId="77777777"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4. Sabiedriskais patēriņš</w:t>
            </w:r>
          </w:p>
        </w:tc>
        <w:tc>
          <w:tcPr>
            <w:tcW w:w="992" w:type="dxa"/>
            <w:tcBorders>
              <w:top w:val="nil"/>
              <w:left w:val="nil"/>
              <w:bottom w:val="single" w:sz="8" w:space="0" w:color="9CC2E5"/>
              <w:right w:val="single" w:sz="8" w:space="0" w:color="9CC2E5"/>
            </w:tcBorders>
            <w:shd w:val="clear" w:color="auto" w:fill="auto"/>
            <w:noWrap/>
            <w:vAlign w:val="center"/>
            <w:hideMark/>
          </w:tcPr>
          <w:p w14:paraId="65E967F6"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P3</w:t>
            </w:r>
          </w:p>
        </w:tc>
        <w:tc>
          <w:tcPr>
            <w:tcW w:w="795" w:type="dxa"/>
            <w:tcBorders>
              <w:top w:val="nil"/>
              <w:left w:val="nil"/>
              <w:bottom w:val="single" w:sz="8" w:space="0" w:color="9CC2E5"/>
              <w:right w:val="single" w:sz="8" w:space="0" w:color="9CC2E5"/>
            </w:tcBorders>
            <w:shd w:val="clear" w:color="auto" w:fill="auto"/>
            <w:noWrap/>
            <w:vAlign w:val="center"/>
            <w:hideMark/>
          </w:tcPr>
          <w:p w14:paraId="464633BD"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5 862</w:t>
            </w:r>
          </w:p>
        </w:tc>
        <w:tc>
          <w:tcPr>
            <w:tcW w:w="765" w:type="dxa"/>
            <w:tcBorders>
              <w:top w:val="nil"/>
              <w:left w:val="nil"/>
              <w:bottom w:val="single" w:sz="8" w:space="0" w:color="9CC2E5"/>
              <w:right w:val="single" w:sz="8" w:space="0" w:color="9CC2E5"/>
            </w:tcBorders>
            <w:shd w:val="clear" w:color="auto" w:fill="auto"/>
            <w:noWrap/>
            <w:vAlign w:val="center"/>
            <w:hideMark/>
          </w:tcPr>
          <w:p w14:paraId="0E3BBEAB"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7,0</w:t>
            </w:r>
          </w:p>
        </w:tc>
        <w:tc>
          <w:tcPr>
            <w:tcW w:w="766" w:type="dxa"/>
            <w:tcBorders>
              <w:top w:val="nil"/>
              <w:left w:val="nil"/>
              <w:bottom w:val="single" w:sz="8" w:space="0" w:color="9CC2E5"/>
              <w:right w:val="single" w:sz="8" w:space="0" w:color="9CC2E5"/>
            </w:tcBorders>
            <w:shd w:val="clear" w:color="auto" w:fill="auto"/>
            <w:noWrap/>
            <w:vAlign w:val="center"/>
            <w:hideMark/>
          </w:tcPr>
          <w:p w14:paraId="250E53E7"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6,7</w:t>
            </w:r>
          </w:p>
        </w:tc>
        <w:tc>
          <w:tcPr>
            <w:tcW w:w="765" w:type="dxa"/>
            <w:tcBorders>
              <w:top w:val="nil"/>
              <w:left w:val="nil"/>
              <w:bottom w:val="single" w:sz="8" w:space="0" w:color="9CC2E5"/>
              <w:right w:val="single" w:sz="8" w:space="0" w:color="9CC2E5"/>
            </w:tcBorders>
            <w:shd w:val="clear" w:color="auto" w:fill="auto"/>
            <w:noWrap/>
            <w:vAlign w:val="center"/>
            <w:hideMark/>
          </w:tcPr>
          <w:p w14:paraId="31B59E15"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5,8</w:t>
            </w:r>
          </w:p>
        </w:tc>
        <w:tc>
          <w:tcPr>
            <w:tcW w:w="766" w:type="dxa"/>
            <w:tcBorders>
              <w:top w:val="nil"/>
              <w:left w:val="nil"/>
              <w:bottom w:val="single" w:sz="8" w:space="0" w:color="9CC2E5"/>
              <w:right w:val="single" w:sz="8" w:space="0" w:color="9CC2E5"/>
            </w:tcBorders>
            <w:shd w:val="clear" w:color="auto" w:fill="auto"/>
            <w:noWrap/>
            <w:vAlign w:val="center"/>
            <w:hideMark/>
          </w:tcPr>
          <w:p w14:paraId="1F7E6B51"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3,1</w:t>
            </w:r>
          </w:p>
        </w:tc>
        <w:tc>
          <w:tcPr>
            <w:tcW w:w="766" w:type="dxa"/>
            <w:tcBorders>
              <w:top w:val="nil"/>
              <w:left w:val="nil"/>
              <w:bottom w:val="single" w:sz="8" w:space="0" w:color="9CC2E5"/>
              <w:right w:val="single" w:sz="8" w:space="0" w:color="9CC2E5"/>
            </w:tcBorders>
            <w:shd w:val="clear" w:color="auto" w:fill="auto"/>
            <w:noWrap/>
            <w:vAlign w:val="center"/>
            <w:hideMark/>
          </w:tcPr>
          <w:p w14:paraId="4FE7B42D"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3,0</w:t>
            </w:r>
          </w:p>
        </w:tc>
        <w:tc>
          <w:tcPr>
            <w:tcW w:w="766" w:type="dxa"/>
            <w:tcBorders>
              <w:top w:val="nil"/>
              <w:left w:val="nil"/>
              <w:bottom w:val="single" w:sz="8" w:space="0" w:color="9CC2E5"/>
              <w:right w:val="single" w:sz="8" w:space="0" w:color="9CC2E5"/>
            </w:tcBorders>
            <w:vAlign w:val="center"/>
          </w:tcPr>
          <w:p w14:paraId="06F81391" w14:textId="77777777" w:rsidR="00C8305B" w:rsidRDefault="00C8305B" w:rsidP="00B312F7">
            <w:pPr>
              <w:ind w:firstLine="0"/>
              <w:jc w:val="center"/>
              <w:rPr>
                <w:color w:val="000000"/>
                <w:sz w:val="18"/>
                <w:szCs w:val="18"/>
              </w:rPr>
            </w:pPr>
            <w:r>
              <w:rPr>
                <w:color w:val="000000"/>
                <w:sz w:val="18"/>
                <w:szCs w:val="18"/>
              </w:rPr>
              <w:t>3,0</w:t>
            </w:r>
          </w:p>
        </w:tc>
      </w:tr>
      <w:tr w:rsidR="00C8305B" w:rsidRPr="00D84BAD" w14:paraId="290CEE14" w14:textId="77777777" w:rsidTr="00B312F7">
        <w:trPr>
          <w:trHeight w:val="315"/>
        </w:trPr>
        <w:tc>
          <w:tcPr>
            <w:tcW w:w="2739" w:type="dxa"/>
            <w:tcBorders>
              <w:top w:val="nil"/>
              <w:left w:val="single" w:sz="8" w:space="0" w:color="9CC2E5"/>
              <w:bottom w:val="single" w:sz="8" w:space="0" w:color="9CC2E5"/>
              <w:right w:val="single" w:sz="8" w:space="0" w:color="9CC2E5"/>
            </w:tcBorders>
            <w:shd w:val="clear" w:color="000000" w:fill="DEEAF6"/>
            <w:vAlign w:val="center"/>
            <w:hideMark/>
          </w:tcPr>
          <w:p w14:paraId="615A0C72" w14:textId="77777777"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5. Kopējā pamatkapitāla veidošana</w:t>
            </w:r>
          </w:p>
        </w:tc>
        <w:tc>
          <w:tcPr>
            <w:tcW w:w="992" w:type="dxa"/>
            <w:tcBorders>
              <w:top w:val="nil"/>
              <w:left w:val="nil"/>
              <w:bottom w:val="single" w:sz="8" w:space="0" w:color="9CC2E5"/>
              <w:right w:val="single" w:sz="8" w:space="0" w:color="9CC2E5"/>
            </w:tcBorders>
            <w:shd w:val="clear" w:color="000000" w:fill="DEEAF6"/>
            <w:noWrap/>
            <w:vAlign w:val="center"/>
            <w:hideMark/>
          </w:tcPr>
          <w:p w14:paraId="569C67E0"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P51</w:t>
            </w:r>
          </w:p>
        </w:tc>
        <w:tc>
          <w:tcPr>
            <w:tcW w:w="795" w:type="dxa"/>
            <w:tcBorders>
              <w:top w:val="nil"/>
              <w:left w:val="nil"/>
              <w:bottom w:val="single" w:sz="8" w:space="0" w:color="9CC2E5"/>
              <w:right w:val="single" w:sz="8" w:space="0" w:color="9CC2E5"/>
            </w:tcBorders>
            <w:shd w:val="clear" w:color="000000" w:fill="DEEAF6"/>
            <w:noWrap/>
            <w:vAlign w:val="center"/>
            <w:hideMark/>
          </w:tcPr>
          <w:p w14:paraId="4949DCE2"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7 110</w:t>
            </w:r>
          </w:p>
        </w:tc>
        <w:tc>
          <w:tcPr>
            <w:tcW w:w="765" w:type="dxa"/>
            <w:tcBorders>
              <w:top w:val="nil"/>
              <w:left w:val="nil"/>
              <w:bottom w:val="single" w:sz="8" w:space="0" w:color="9CC2E5"/>
              <w:right w:val="single" w:sz="8" w:space="0" w:color="9CC2E5"/>
            </w:tcBorders>
            <w:shd w:val="clear" w:color="000000" w:fill="DEEAF6"/>
            <w:noWrap/>
            <w:vAlign w:val="center"/>
            <w:hideMark/>
          </w:tcPr>
          <w:p w14:paraId="31ABA225"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8,2</w:t>
            </w:r>
          </w:p>
        </w:tc>
        <w:tc>
          <w:tcPr>
            <w:tcW w:w="766" w:type="dxa"/>
            <w:tcBorders>
              <w:top w:val="nil"/>
              <w:left w:val="nil"/>
              <w:bottom w:val="single" w:sz="8" w:space="0" w:color="9CC2E5"/>
              <w:right w:val="single" w:sz="8" w:space="0" w:color="9CC2E5"/>
            </w:tcBorders>
            <w:shd w:val="clear" w:color="000000" w:fill="DEEAF6"/>
            <w:noWrap/>
            <w:vAlign w:val="center"/>
            <w:hideMark/>
          </w:tcPr>
          <w:p w14:paraId="20782954"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3,8</w:t>
            </w:r>
          </w:p>
        </w:tc>
        <w:tc>
          <w:tcPr>
            <w:tcW w:w="765" w:type="dxa"/>
            <w:tcBorders>
              <w:top w:val="nil"/>
              <w:left w:val="nil"/>
              <w:bottom w:val="single" w:sz="8" w:space="0" w:color="9CC2E5"/>
              <w:right w:val="single" w:sz="8" w:space="0" w:color="9CC2E5"/>
            </w:tcBorders>
            <w:shd w:val="clear" w:color="000000" w:fill="DEEAF6"/>
            <w:noWrap/>
            <w:vAlign w:val="center"/>
            <w:hideMark/>
          </w:tcPr>
          <w:p w14:paraId="3CD644B9"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4,2</w:t>
            </w:r>
          </w:p>
        </w:tc>
        <w:tc>
          <w:tcPr>
            <w:tcW w:w="766" w:type="dxa"/>
            <w:tcBorders>
              <w:top w:val="nil"/>
              <w:left w:val="nil"/>
              <w:bottom w:val="single" w:sz="8" w:space="0" w:color="9CC2E5"/>
              <w:right w:val="single" w:sz="8" w:space="0" w:color="9CC2E5"/>
            </w:tcBorders>
            <w:shd w:val="clear" w:color="000000" w:fill="DEEAF6"/>
            <w:noWrap/>
            <w:vAlign w:val="center"/>
            <w:hideMark/>
          </w:tcPr>
          <w:p w14:paraId="03173272"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2,8</w:t>
            </w:r>
          </w:p>
        </w:tc>
        <w:tc>
          <w:tcPr>
            <w:tcW w:w="766" w:type="dxa"/>
            <w:tcBorders>
              <w:top w:val="nil"/>
              <w:left w:val="nil"/>
              <w:bottom w:val="single" w:sz="8" w:space="0" w:color="9CC2E5"/>
              <w:right w:val="single" w:sz="8" w:space="0" w:color="9CC2E5"/>
            </w:tcBorders>
            <w:shd w:val="clear" w:color="000000" w:fill="DEEAF6"/>
            <w:noWrap/>
            <w:vAlign w:val="center"/>
            <w:hideMark/>
          </w:tcPr>
          <w:p w14:paraId="2BF6EC99"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2,8</w:t>
            </w:r>
          </w:p>
        </w:tc>
        <w:tc>
          <w:tcPr>
            <w:tcW w:w="766" w:type="dxa"/>
            <w:tcBorders>
              <w:top w:val="nil"/>
              <w:left w:val="nil"/>
              <w:bottom w:val="single" w:sz="8" w:space="0" w:color="9CC2E5"/>
              <w:right w:val="single" w:sz="8" w:space="0" w:color="9CC2E5"/>
            </w:tcBorders>
            <w:shd w:val="clear" w:color="000000" w:fill="DEEAF6"/>
            <w:vAlign w:val="center"/>
          </w:tcPr>
          <w:p w14:paraId="3ADF715E" w14:textId="77777777" w:rsidR="00C8305B" w:rsidRDefault="00C8305B" w:rsidP="00B312F7">
            <w:pPr>
              <w:ind w:firstLine="0"/>
              <w:jc w:val="center"/>
              <w:rPr>
                <w:color w:val="000000"/>
                <w:sz w:val="18"/>
                <w:szCs w:val="18"/>
              </w:rPr>
            </w:pPr>
            <w:r>
              <w:rPr>
                <w:color w:val="000000"/>
                <w:sz w:val="18"/>
                <w:szCs w:val="18"/>
              </w:rPr>
              <w:t>2,8</w:t>
            </w:r>
          </w:p>
        </w:tc>
      </w:tr>
      <w:tr w:rsidR="00C8305B" w:rsidRPr="00D84BAD" w14:paraId="358E1F0C" w14:textId="77777777" w:rsidTr="00B312F7">
        <w:trPr>
          <w:trHeight w:val="315"/>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70164151" w14:textId="77777777"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6. Krājumu pārmaiņas un vērtslietu iegāde</w:t>
            </w:r>
          </w:p>
        </w:tc>
        <w:tc>
          <w:tcPr>
            <w:tcW w:w="992" w:type="dxa"/>
            <w:tcBorders>
              <w:top w:val="nil"/>
              <w:left w:val="nil"/>
              <w:bottom w:val="single" w:sz="8" w:space="0" w:color="9CC2E5"/>
              <w:right w:val="single" w:sz="8" w:space="0" w:color="9CC2E5"/>
            </w:tcBorders>
            <w:shd w:val="clear" w:color="auto" w:fill="auto"/>
            <w:noWrap/>
            <w:vAlign w:val="center"/>
            <w:hideMark/>
          </w:tcPr>
          <w:p w14:paraId="20D4A847"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P52+P53</w:t>
            </w:r>
          </w:p>
        </w:tc>
        <w:tc>
          <w:tcPr>
            <w:tcW w:w="795" w:type="dxa"/>
            <w:tcBorders>
              <w:top w:val="nil"/>
              <w:left w:val="nil"/>
              <w:bottom w:val="single" w:sz="8" w:space="0" w:color="9CC2E5"/>
              <w:right w:val="single" w:sz="8" w:space="0" w:color="9CC2E5"/>
            </w:tcBorders>
            <w:shd w:val="clear" w:color="auto" w:fill="auto"/>
            <w:noWrap/>
            <w:vAlign w:val="center"/>
            <w:hideMark/>
          </w:tcPr>
          <w:p w14:paraId="19487C58"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1 428</w:t>
            </w:r>
          </w:p>
        </w:tc>
        <w:tc>
          <w:tcPr>
            <w:tcW w:w="765" w:type="dxa"/>
            <w:tcBorders>
              <w:top w:val="nil"/>
              <w:left w:val="nil"/>
              <w:bottom w:val="single" w:sz="8" w:space="0" w:color="9CC2E5"/>
              <w:right w:val="single" w:sz="8" w:space="0" w:color="9CC2E5"/>
            </w:tcBorders>
            <w:shd w:val="clear" w:color="auto" w:fill="auto"/>
            <w:noWrap/>
            <w:vAlign w:val="center"/>
            <w:hideMark/>
          </w:tcPr>
          <w:p w14:paraId="0CD6F990"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w:t>
            </w:r>
          </w:p>
        </w:tc>
        <w:tc>
          <w:tcPr>
            <w:tcW w:w="766" w:type="dxa"/>
            <w:tcBorders>
              <w:top w:val="nil"/>
              <w:left w:val="nil"/>
              <w:bottom w:val="single" w:sz="8" w:space="0" w:color="9CC2E5"/>
              <w:right w:val="single" w:sz="8" w:space="0" w:color="9CC2E5"/>
            </w:tcBorders>
            <w:shd w:val="clear" w:color="auto" w:fill="auto"/>
            <w:noWrap/>
            <w:vAlign w:val="center"/>
            <w:hideMark/>
          </w:tcPr>
          <w:p w14:paraId="2E30C8A1"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w:t>
            </w:r>
          </w:p>
        </w:tc>
        <w:tc>
          <w:tcPr>
            <w:tcW w:w="765" w:type="dxa"/>
            <w:tcBorders>
              <w:top w:val="nil"/>
              <w:left w:val="nil"/>
              <w:bottom w:val="single" w:sz="8" w:space="0" w:color="9CC2E5"/>
              <w:right w:val="single" w:sz="8" w:space="0" w:color="9CC2E5"/>
            </w:tcBorders>
            <w:shd w:val="clear" w:color="auto" w:fill="auto"/>
            <w:noWrap/>
            <w:vAlign w:val="center"/>
            <w:hideMark/>
          </w:tcPr>
          <w:p w14:paraId="208D8EA0"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w:t>
            </w:r>
          </w:p>
        </w:tc>
        <w:tc>
          <w:tcPr>
            <w:tcW w:w="766" w:type="dxa"/>
            <w:tcBorders>
              <w:top w:val="nil"/>
              <w:left w:val="nil"/>
              <w:bottom w:val="single" w:sz="8" w:space="0" w:color="9CC2E5"/>
              <w:right w:val="single" w:sz="8" w:space="0" w:color="9CC2E5"/>
            </w:tcBorders>
            <w:shd w:val="clear" w:color="auto" w:fill="auto"/>
            <w:noWrap/>
            <w:vAlign w:val="center"/>
            <w:hideMark/>
          </w:tcPr>
          <w:p w14:paraId="71A54433"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w:t>
            </w:r>
          </w:p>
        </w:tc>
        <w:tc>
          <w:tcPr>
            <w:tcW w:w="766" w:type="dxa"/>
            <w:tcBorders>
              <w:top w:val="nil"/>
              <w:left w:val="nil"/>
              <w:bottom w:val="single" w:sz="8" w:space="0" w:color="9CC2E5"/>
              <w:right w:val="single" w:sz="8" w:space="0" w:color="9CC2E5"/>
            </w:tcBorders>
            <w:shd w:val="clear" w:color="auto" w:fill="auto"/>
            <w:noWrap/>
            <w:vAlign w:val="center"/>
            <w:hideMark/>
          </w:tcPr>
          <w:p w14:paraId="6C363B95"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w:t>
            </w:r>
          </w:p>
        </w:tc>
        <w:tc>
          <w:tcPr>
            <w:tcW w:w="766" w:type="dxa"/>
            <w:tcBorders>
              <w:top w:val="nil"/>
              <w:left w:val="nil"/>
              <w:bottom w:val="single" w:sz="8" w:space="0" w:color="9CC2E5"/>
              <w:right w:val="single" w:sz="8" w:space="0" w:color="9CC2E5"/>
            </w:tcBorders>
            <w:vAlign w:val="center"/>
          </w:tcPr>
          <w:p w14:paraId="7798A20F" w14:textId="77777777" w:rsidR="00C8305B" w:rsidRDefault="00C8305B" w:rsidP="00B312F7">
            <w:pPr>
              <w:ind w:firstLine="0"/>
              <w:jc w:val="center"/>
              <w:rPr>
                <w:color w:val="000000"/>
                <w:sz w:val="18"/>
                <w:szCs w:val="18"/>
              </w:rPr>
            </w:pPr>
            <w:r>
              <w:rPr>
                <w:color w:val="000000"/>
                <w:sz w:val="18"/>
                <w:szCs w:val="18"/>
              </w:rPr>
              <w:t>-</w:t>
            </w:r>
          </w:p>
        </w:tc>
      </w:tr>
      <w:tr w:rsidR="00C8305B" w:rsidRPr="00D84BAD" w14:paraId="7CBA2A3F" w14:textId="77777777" w:rsidTr="00B312F7">
        <w:trPr>
          <w:trHeight w:val="315"/>
        </w:trPr>
        <w:tc>
          <w:tcPr>
            <w:tcW w:w="2739" w:type="dxa"/>
            <w:tcBorders>
              <w:top w:val="nil"/>
              <w:left w:val="single" w:sz="8" w:space="0" w:color="9CC2E5"/>
              <w:bottom w:val="single" w:sz="8" w:space="0" w:color="9CC2E5"/>
              <w:right w:val="single" w:sz="8" w:space="0" w:color="9CC2E5"/>
            </w:tcBorders>
            <w:shd w:val="clear" w:color="000000" w:fill="DEEAF6"/>
            <w:vAlign w:val="center"/>
            <w:hideMark/>
          </w:tcPr>
          <w:p w14:paraId="2849E41B" w14:textId="77777777"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7. Eksports</w:t>
            </w:r>
          </w:p>
        </w:tc>
        <w:tc>
          <w:tcPr>
            <w:tcW w:w="992" w:type="dxa"/>
            <w:tcBorders>
              <w:top w:val="nil"/>
              <w:left w:val="nil"/>
              <w:bottom w:val="single" w:sz="8" w:space="0" w:color="9CC2E5"/>
              <w:right w:val="single" w:sz="8" w:space="0" w:color="9CC2E5"/>
            </w:tcBorders>
            <w:shd w:val="clear" w:color="000000" w:fill="DEEAF6"/>
            <w:noWrap/>
            <w:vAlign w:val="center"/>
            <w:hideMark/>
          </w:tcPr>
          <w:p w14:paraId="35C0A3FF"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P6</w:t>
            </w:r>
          </w:p>
        </w:tc>
        <w:tc>
          <w:tcPr>
            <w:tcW w:w="795" w:type="dxa"/>
            <w:tcBorders>
              <w:top w:val="nil"/>
              <w:left w:val="nil"/>
              <w:bottom w:val="single" w:sz="8" w:space="0" w:color="9CC2E5"/>
              <w:right w:val="single" w:sz="8" w:space="0" w:color="9CC2E5"/>
            </w:tcBorders>
            <w:shd w:val="clear" w:color="000000" w:fill="DEEAF6"/>
            <w:noWrap/>
            <w:vAlign w:val="center"/>
            <w:hideMark/>
          </w:tcPr>
          <w:p w14:paraId="3A602C5A"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19 665</w:t>
            </w:r>
          </w:p>
        </w:tc>
        <w:tc>
          <w:tcPr>
            <w:tcW w:w="765" w:type="dxa"/>
            <w:tcBorders>
              <w:top w:val="nil"/>
              <w:left w:val="nil"/>
              <w:bottom w:val="single" w:sz="8" w:space="0" w:color="9CC2E5"/>
              <w:right w:val="single" w:sz="8" w:space="0" w:color="9CC2E5"/>
            </w:tcBorders>
            <w:shd w:val="clear" w:color="000000" w:fill="DEEAF6"/>
            <w:noWrap/>
            <w:vAlign w:val="center"/>
            <w:hideMark/>
          </w:tcPr>
          <w:p w14:paraId="169253D0"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-5,9</w:t>
            </w:r>
          </w:p>
        </w:tc>
        <w:tc>
          <w:tcPr>
            <w:tcW w:w="766" w:type="dxa"/>
            <w:tcBorders>
              <w:top w:val="nil"/>
              <w:left w:val="nil"/>
              <w:bottom w:val="single" w:sz="8" w:space="0" w:color="9CC2E5"/>
              <w:right w:val="single" w:sz="8" w:space="0" w:color="9CC2E5"/>
            </w:tcBorders>
            <w:shd w:val="clear" w:color="000000" w:fill="DEEAF6"/>
            <w:noWrap/>
            <w:vAlign w:val="center"/>
            <w:hideMark/>
          </w:tcPr>
          <w:p w14:paraId="06A6013F"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-0,8</w:t>
            </w:r>
          </w:p>
        </w:tc>
        <w:tc>
          <w:tcPr>
            <w:tcW w:w="765" w:type="dxa"/>
            <w:tcBorders>
              <w:top w:val="nil"/>
              <w:left w:val="nil"/>
              <w:bottom w:val="single" w:sz="8" w:space="0" w:color="9CC2E5"/>
              <w:right w:val="single" w:sz="8" w:space="0" w:color="9CC2E5"/>
            </w:tcBorders>
            <w:shd w:val="clear" w:color="000000" w:fill="DEEAF6"/>
            <w:noWrap/>
            <w:vAlign w:val="center"/>
            <w:hideMark/>
          </w:tcPr>
          <w:p w14:paraId="298A8795"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3,3</w:t>
            </w:r>
          </w:p>
        </w:tc>
        <w:tc>
          <w:tcPr>
            <w:tcW w:w="766" w:type="dxa"/>
            <w:tcBorders>
              <w:top w:val="nil"/>
              <w:left w:val="nil"/>
              <w:bottom w:val="single" w:sz="8" w:space="0" w:color="9CC2E5"/>
              <w:right w:val="single" w:sz="8" w:space="0" w:color="9CC2E5"/>
            </w:tcBorders>
            <w:shd w:val="clear" w:color="000000" w:fill="DEEAF6"/>
            <w:noWrap/>
            <w:vAlign w:val="center"/>
            <w:hideMark/>
          </w:tcPr>
          <w:p w14:paraId="428033B9"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4,1</w:t>
            </w:r>
          </w:p>
        </w:tc>
        <w:tc>
          <w:tcPr>
            <w:tcW w:w="766" w:type="dxa"/>
            <w:tcBorders>
              <w:top w:val="nil"/>
              <w:left w:val="nil"/>
              <w:bottom w:val="single" w:sz="8" w:space="0" w:color="9CC2E5"/>
              <w:right w:val="single" w:sz="8" w:space="0" w:color="9CC2E5"/>
            </w:tcBorders>
            <w:shd w:val="clear" w:color="000000" w:fill="DEEAF6"/>
            <w:noWrap/>
            <w:vAlign w:val="center"/>
            <w:hideMark/>
          </w:tcPr>
          <w:p w14:paraId="4B4D1CD1"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4,0</w:t>
            </w:r>
          </w:p>
        </w:tc>
        <w:tc>
          <w:tcPr>
            <w:tcW w:w="766" w:type="dxa"/>
            <w:tcBorders>
              <w:top w:val="nil"/>
              <w:left w:val="nil"/>
              <w:bottom w:val="single" w:sz="8" w:space="0" w:color="9CC2E5"/>
              <w:right w:val="single" w:sz="8" w:space="0" w:color="9CC2E5"/>
            </w:tcBorders>
            <w:shd w:val="clear" w:color="000000" w:fill="DEEAF6"/>
            <w:vAlign w:val="center"/>
          </w:tcPr>
          <w:p w14:paraId="68576B3E" w14:textId="77777777" w:rsidR="00C8305B" w:rsidRDefault="00C8305B" w:rsidP="00B312F7">
            <w:pPr>
              <w:ind w:firstLine="0"/>
              <w:jc w:val="center"/>
              <w:rPr>
                <w:color w:val="000000"/>
                <w:sz w:val="18"/>
                <w:szCs w:val="18"/>
              </w:rPr>
            </w:pPr>
            <w:r>
              <w:rPr>
                <w:color w:val="000000"/>
                <w:sz w:val="18"/>
                <w:szCs w:val="18"/>
              </w:rPr>
              <w:t>4,0</w:t>
            </w:r>
          </w:p>
        </w:tc>
      </w:tr>
      <w:tr w:rsidR="00C8305B" w:rsidRPr="00D84BAD" w14:paraId="2F0FF9B5" w14:textId="77777777" w:rsidTr="00B312F7">
        <w:trPr>
          <w:trHeight w:val="315"/>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0CF3B557" w14:textId="77777777"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8. Imports</w:t>
            </w:r>
          </w:p>
        </w:tc>
        <w:tc>
          <w:tcPr>
            <w:tcW w:w="992" w:type="dxa"/>
            <w:tcBorders>
              <w:top w:val="nil"/>
              <w:left w:val="nil"/>
              <w:bottom w:val="single" w:sz="8" w:space="0" w:color="9CC2E5"/>
              <w:right w:val="single" w:sz="8" w:space="0" w:color="9CC2E5"/>
            </w:tcBorders>
            <w:shd w:val="clear" w:color="auto" w:fill="auto"/>
            <w:noWrap/>
            <w:vAlign w:val="center"/>
            <w:hideMark/>
          </w:tcPr>
          <w:p w14:paraId="7C808738"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P7</w:t>
            </w:r>
          </w:p>
        </w:tc>
        <w:tc>
          <w:tcPr>
            <w:tcW w:w="795" w:type="dxa"/>
            <w:tcBorders>
              <w:top w:val="nil"/>
              <w:left w:val="nil"/>
              <w:bottom w:val="single" w:sz="8" w:space="0" w:color="9CC2E5"/>
              <w:right w:val="single" w:sz="8" w:space="0" w:color="9CC2E5"/>
            </w:tcBorders>
            <w:shd w:val="clear" w:color="auto" w:fill="auto"/>
            <w:noWrap/>
            <w:vAlign w:val="center"/>
            <w:hideMark/>
          </w:tcPr>
          <w:p w14:paraId="69D06D85"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22 865</w:t>
            </w:r>
          </w:p>
        </w:tc>
        <w:tc>
          <w:tcPr>
            <w:tcW w:w="765" w:type="dxa"/>
            <w:tcBorders>
              <w:top w:val="nil"/>
              <w:left w:val="nil"/>
              <w:bottom w:val="single" w:sz="8" w:space="0" w:color="9CC2E5"/>
              <w:right w:val="single" w:sz="8" w:space="0" w:color="9CC2E5"/>
            </w:tcBorders>
            <w:shd w:val="clear" w:color="auto" w:fill="auto"/>
            <w:noWrap/>
            <w:vAlign w:val="center"/>
            <w:hideMark/>
          </w:tcPr>
          <w:p w14:paraId="7C068305"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-2,8</w:t>
            </w:r>
          </w:p>
        </w:tc>
        <w:tc>
          <w:tcPr>
            <w:tcW w:w="766" w:type="dxa"/>
            <w:tcBorders>
              <w:top w:val="nil"/>
              <w:left w:val="nil"/>
              <w:bottom w:val="single" w:sz="8" w:space="0" w:color="9CC2E5"/>
              <w:right w:val="single" w:sz="8" w:space="0" w:color="9CC2E5"/>
            </w:tcBorders>
            <w:shd w:val="clear" w:color="auto" w:fill="auto"/>
            <w:noWrap/>
            <w:vAlign w:val="center"/>
            <w:hideMark/>
          </w:tcPr>
          <w:p w14:paraId="20DD52C0"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1,9</w:t>
            </w:r>
          </w:p>
        </w:tc>
        <w:tc>
          <w:tcPr>
            <w:tcW w:w="765" w:type="dxa"/>
            <w:tcBorders>
              <w:top w:val="nil"/>
              <w:left w:val="nil"/>
              <w:bottom w:val="single" w:sz="8" w:space="0" w:color="9CC2E5"/>
              <w:right w:val="single" w:sz="8" w:space="0" w:color="9CC2E5"/>
            </w:tcBorders>
            <w:shd w:val="clear" w:color="auto" w:fill="auto"/>
            <w:noWrap/>
            <w:vAlign w:val="center"/>
            <w:hideMark/>
          </w:tcPr>
          <w:p w14:paraId="65BC5402"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3,9</w:t>
            </w:r>
          </w:p>
        </w:tc>
        <w:tc>
          <w:tcPr>
            <w:tcW w:w="766" w:type="dxa"/>
            <w:tcBorders>
              <w:top w:val="nil"/>
              <w:left w:val="nil"/>
              <w:bottom w:val="single" w:sz="8" w:space="0" w:color="9CC2E5"/>
              <w:right w:val="single" w:sz="8" w:space="0" w:color="9CC2E5"/>
            </w:tcBorders>
            <w:shd w:val="clear" w:color="auto" w:fill="auto"/>
            <w:noWrap/>
            <w:vAlign w:val="center"/>
            <w:hideMark/>
          </w:tcPr>
          <w:p w14:paraId="04EFBCC7"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4,0</w:t>
            </w:r>
          </w:p>
        </w:tc>
        <w:tc>
          <w:tcPr>
            <w:tcW w:w="766" w:type="dxa"/>
            <w:tcBorders>
              <w:top w:val="nil"/>
              <w:left w:val="nil"/>
              <w:bottom w:val="single" w:sz="8" w:space="0" w:color="9CC2E5"/>
              <w:right w:val="single" w:sz="8" w:space="0" w:color="9CC2E5"/>
            </w:tcBorders>
            <w:shd w:val="clear" w:color="auto" w:fill="auto"/>
            <w:noWrap/>
            <w:vAlign w:val="center"/>
            <w:hideMark/>
          </w:tcPr>
          <w:p w14:paraId="7C29CEEB"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4,0</w:t>
            </w:r>
          </w:p>
        </w:tc>
        <w:tc>
          <w:tcPr>
            <w:tcW w:w="766" w:type="dxa"/>
            <w:tcBorders>
              <w:top w:val="nil"/>
              <w:left w:val="nil"/>
              <w:bottom w:val="single" w:sz="8" w:space="0" w:color="9CC2E5"/>
              <w:right w:val="single" w:sz="8" w:space="0" w:color="9CC2E5"/>
            </w:tcBorders>
            <w:vAlign w:val="center"/>
          </w:tcPr>
          <w:p w14:paraId="6AF40926" w14:textId="77777777" w:rsidR="00C8305B" w:rsidRDefault="00C8305B" w:rsidP="00B312F7">
            <w:pPr>
              <w:ind w:firstLine="0"/>
              <w:jc w:val="center"/>
              <w:rPr>
                <w:color w:val="000000"/>
                <w:sz w:val="18"/>
                <w:szCs w:val="18"/>
              </w:rPr>
            </w:pPr>
            <w:r>
              <w:rPr>
                <w:color w:val="000000"/>
                <w:sz w:val="18"/>
                <w:szCs w:val="18"/>
              </w:rPr>
              <w:t>4,0</w:t>
            </w:r>
          </w:p>
        </w:tc>
      </w:tr>
      <w:tr w:rsidR="00C8305B" w:rsidRPr="00D84BAD" w14:paraId="4E1E4FD4" w14:textId="77777777" w:rsidTr="00B312F7">
        <w:trPr>
          <w:trHeight w:val="315"/>
        </w:trPr>
        <w:tc>
          <w:tcPr>
            <w:tcW w:w="8354" w:type="dxa"/>
            <w:gridSpan w:val="8"/>
            <w:tcBorders>
              <w:top w:val="single" w:sz="8" w:space="0" w:color="9CC2E5"/>
              <w:left w:val="single" w:sz="8" w:space="0" w:color="9CC2E5"/>
              <w:bottom w:val="single" w:sz="8" w:space="0" w:color="9CC2E5"/>
              <w:right w:val="single" w:sz="8" w:space="0" w:color="9CC2E5"/>
            </w:tcBorders>
            <w:shd w:val="clear" w:color="000000" w:fill="DEEAF6"/>
            <w:noWrap/>
            <w:vAlign w:val="center"/>
            <w:hideMark/>
          </w:tcPr>
          <w:p w14:paraId="12EB54D2" w14:textId="77777777" w:rsidR="00C8305B" w:rsidRPr="002A71C2" w:rsidRDefault="00C8305B" w:rsidP="00B312F7">
            <w:pPr>
              <w:ind w:firstLine="0"/>
              <w:jc w:val="center"/>
              <w:rPr>
                <w:rFonts w:eastAsia="Times New Roman" w:cs="Times New Roman"/>
                <w:b/>
                <w:bCs/>
                <w:sz w:val="18"/>
                <w:szCs w:val="18"/>
                <w:lang w:eastAsia="lv-LV"/>
              </w:rPr>
            </w:pPr>
            <w:r w:rsidRPr="002A71C2">
              <w:rPr>
                <w:rFonts w:eastAsia="Times New Roman" w:cs="Times New Roman"/>
                <w:b/>
                <w:bCs/>
                <w:sz w:val="18"/>
                <w:szCs w:val="18"/>
                <w:lang w:eastAsia="lv-LV"/>
              </w:rPr>
              <w:t>Ieguldījums IKP izaugsmē</w:t>
            </w:r>
          </w:p>
        </w:tc>
        <w:tc>
          <w:tcPr>
            <w:tcW w:w="766" w:type="dxa"/>
            <w:tcBorders>
              <w:top w:val="single" w:sz="8" w:space="0" w:color="9CC2E5"/>
              <w:left w:val="single" w:sz="8" w:space="0" w:color="9CC2E5"/>
              <w:bottom w:val="single" w:sz="8" w:space="0" w:color="9CC2E5"/>
              <w:right w:val="single" w:sz="8" w:space="0" w:color="9CC2E5"/>
            </w:tcBorders>
            <w:shd w:val="clear" w:color="000000" w:fill="DEEAF6"/>
            <w:vAlign w:val="center"/>
          </w:tcPr>
          <w:p w14:paraId="6921BB60" w14:textId="77777777" w:rsidR="00C8305B" w:rsidRPr="00D84BAD" w:rsidRDefault="00C8305B" w:rsidP="00B312F7">
            <w:pPr>
              <w:ind w:firstLine="0"/>
              <w:jc w:val="center"/>
              <w:rPr>
                <w:rFonts w:eastAsia="Times New Roman" w:cs="Times New Roman"/>
                <w:sz w:val="18"/>
                <w:szCs w:val="18"/>
                <w:lang w:eastAsia="lv-LV"/>
              </w:rPr>
            </w:pPr>
          </w:p>
        </w:tc>
      </w:tr>
      <w:tr w:rsidR="00C8305B" w:rsidRPr="00D84BAD" w14:paraId="7088074B" w14:textId="77777777" w:rsidTr="00B312F7">
        <w:trPr>
          <w:trHeight w:val="315"/>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7BE95ED0" w14:textId="77777777"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9. Kopējais iekšzemes pieprasījums</w:t>
            </w:r>
          </w:p>
        </w:tc>
        <w:tc>
          <w:tcPr>
            <w:tcW w:w="992" w:type="dxa"/>
            <w:tcBorders>
              <w:top w:val="nil"/>
              <w:left w:val="nil"/>
              <w:bottom w:val="single" w:sz="8" w:space="0" w:color="9CC2E5"/>
              <w:right w:val="single" w:sz="8" w:space="0" w:color="9CC2E5"/>
            </w:tcBorders>
            <w:shd w:val="clear" w:color="auto" w:fill="auto"/>
            <w:noWrap/>
            <w:vAlign w:val="center"/>
            <w:hideMark/>
          </w:tcPr>
          <w:p w14:paraId="42E759DB" w14:textId="77777777" w:rsidR="00C8305B" w:rsidRPr="00D84BAD" w:rsidRDefault="00C8305B" w:rsidP="00B312F7">
            <w:pPr>
              <w:ind w:firstLine="0"/>
              <w:jc w:val="center"/>
              <w:rPr>
                <w:rFonts w:eastAsia="Times New Roman" w:cs="Times New Roman"/>
                <w:sz w:val="18"/>
                <w:szCs w:val="18"/>
                <w:lang w:eastAsia="lv-LV"/>
              </w:rPr>
            </w:pPr>
          </w:p>
        </w:tc>
        <w:tc>
          <w:tcPr>
            <w:tcW w:w="795" w:type="dxa"/>
            <w:tcBorders>
              <w:top w:val="nil"/>
              <w:left w:val="nil"/>
              <w:bottom w:val="single" w:sz="8" w:space="0" w:color="9CC2E5"/>
              <w:right w:val="single" w:sz="8" w:space="0" w:color="9CC2E5"/>
            </w:tcBorders>
            <w:shd w:val="clear" w:color="auto" w:fill="auto"/>
            <w:noWrap/>
            <w:vAlign w:val="center"/>
            <w:hideMark/>
          </w:tcPr>
          <w:p w14:paraId="406F0FFC" w14:textId="77777777" w:rsidR="00C8305B" w:rsidRPr="00D84BAD" w:rsidRDefault="00C8305B" w:rsidP="00B312F7">
            <w:pPr>
              <w:ind w:firstLine="0"/>
              <w:jc w:val="center"/>
              <w:rPr>
                <w:rFonts w:eastAsia="Times New Roman" w:cs="Times New Roman"/>
                <w:sz w:val="18"/>
                <w:szCs w:val="18"/>
                <w:lang w:eastAsia="lv-LV"/>
              </w:rPr>
            </w:pPr>
          </w:p>
        </w:tc>
        <w:tc>
          <w:tcPr>
            <w:tcW w:w="765" w:type="dxa"/>
            <w:tcBorders>
              <w:top w:val="nil"/>
              <w:left w:val="nil"/>
              <w:bottom w:val="single" w:sz="8" w:space="0" w:color="9CC2E5"/>
              <w:right w:val="single" w:sz="8" w:space="0" w:color="9CC2E5"/>
            </w:tcBorders>
            <w:shd w:val="clear" w:color="auto" w:fill="auto"/>
            <w:noWrap/>
            <w:vAlign w:val="center"/>
            <w:hideMark/>
          </w:tcPr>
          <w:p w14:paraId="7FC4FFD3"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1,7</w:t>
            </w:r>
          </w:p>
        </w:tc>
        <w:tc>
          <w:tcPr>
            <w:tcW w:w="766" w:type="dxa"/>
            <w:tcBorders>
              <w:top w:val="nil"/>
              <w:left w:val="nil"/>
              <w:bottom w:val="single" w:sz="8" w:space="0" w:color="9CC2E5"/>
              <w:right w:val="single" w:sz="8" w:space="0" w:color="9CC2E5"/>
            </w:tcBorders>
            <w:shd w:val="clear" w:color="auto" w:fill="auto"/>
            <w:noWrap/>
            <w:vAlign w:val="center"/>
            <w:hideMark/>
          </w:tcPr>
          <w:p w14:paraId="43973438"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3,5</w:t>
            </w:r>
          </w:p>
        </w:tc>
        <w:tc>
          <w:tcPr>
            <w:tcW w:w="765" w:type="dxa"/>
            <w:tcBorders>
              <w:top w:val="nil"/>
              <w:left w:val="nil"/>
              <w:bottom w:val="single" w:sz="8" w:space="0" w:color="9CC2E5"/>
              <w:right w:val="single" w:sz="8" w:space="0" w:color="9CC2E5"/>
            </w:tcBorders>
            <w:shd w:val="clear" w:color="auto" w:fill="auto"/>
            <w:noWrap/>
            <w:vAlign w:val="center"/>
            <w:hideMark/>
          </w:tcPr>
          <w:p w14:paraId="1ABB17D8"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3,8</w:t>
            </w:r>
          </w:p>
        </w:tc>
        <w:tc>
          <w:tcPr>
            <w:tcW w:w="766" w:type="dxa"/>
            <w:tcBorders>
              <w:top w:val="nil"/>
              <w:left w:val="nil"/>
              <w:bottom w:val="single" w:sz="8" w:space="0" w:color="9CC2E5"/>
              <w:right w:val="single" w:sz="8" w:space="0" w:color="9CC2E5"/>
            </w:tcBorders>
            <w:shd w:val="clear" w:color="auto" w:fill="auto"/>
            <w:noWrap/>
            <w:vAlign w:val="center"/>
            <w:hideMark/>
          </w:tcPr>
          <w:p w14:paraId="168E8899"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3,0</w:t>
            </w:r>
          </w:p>
        </w:tc>
        <w:tc>
          <w:tcPr>
            <w:tcW w:w="766" w:type="dxa"/>
            <w:tcBorders>
              <w:top w:val="nil"/>
              <w:left w:val="nil"/>
              <w:bottom w:val="single" w:sz="8" w:space="0" w:color="9CC2E5"/>
              <w:right w:val="single" w:sz="8" w:space="0" w:color="9CC2E5"/>
            </w:tcBorders>
            <w:shd w:val="clear" w:color="auto" w:fill="auto"/>
            <w:noWrap/>
            <w:vAlign w:val="center"/>
            <w:hideMark/>
          </w:tcPr>
          <w:p w14:paraId="751B01DD"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2,8</w:t>
            </w:r>
          </w:p>
        </w:tc>
        <w:tc>
          <w:tcPr>
            <w:tcW w:w="766" w:type="dxa"/>
            <w:tcBorders>
              <w:top w:val="nil"/>
              <w:left w:val="nil"/>
              <w:bottom w:val="single" w:sz="8" w:space="0" w:color="9CC2E5"/>
              <w:right w:val="single" w:sz="8" w:space="0" w:color="9CC2E5"/>
            </w:tcBorders>
            <w:vAlign w:val="center"/>
          </w:tcPr>
          <w:p w14:paraId="2823628A" w14:textId="77777777" w:rsidR="00C8305B" w:rsidRDefault="00C8305B" w:rsidP="00B312F7">
            <w:pPr>
              <w:ind w:firstLine="0"/>
              <w:jc w:val="center"/>
              <w:rPr>
                <w:color w:val="000000"/>
                <w:sz w:val="18"/>
                <w:szCs w:val="18"/>
              </w:rPr>
            </w:pPr>
            <w:r>
              <w:rPr>
                <w:color w:val="000000"/>
                <w:sz w:val="18"/>
                <w:szCs w:val="18"/>
              </w:rPr>
              <w:t>2,9</w:t>
            </w:r>
          </w:p>
        </w:tc>
      </w:tr>
      <w:tr w:rsidR="00C8305B" w:rsidRPr="00D84BAD" w14:paraId="63E9B4A6" w14:textId="77777777" w:rsidTr="00B312F7">
        <w:trPr>
          <w:trHeight w:val="315"/>
        </w:trPr>
        <w:tc>
          <w:tcPr>
            <w:tcW w:w="2739" w:type="dxa"/>
            <w:tcBorders>
              <w:top w:val="nil"/>
              <w:left w:val="single" w:sz="8" w:space="0" w:color="9CC2E5"/>
              <w:bottom w:val="single" w:sz="8" w:space="0" w:color="9CC2E5"/>
              <w:right w:val="single" w:sz="8" w:space="0" w:color="9CC2E5"/>
            </w:tcBorders>
            <w:shd w:val="clear" w:color="000000" w:fill="DEEAF6"/>
            <w:vAlign w:val="center"/>
            <w:hideMark/>
          </w:tcPr>
          <w:p w14:paraId="2D8CCD2C" w14:textId="77777777"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 xml:space="preserve">10. Krājumu pārmaiņas un vērtslietu iegāde </w:t>
            </w:r>
          </w:p>
        </w:tc>
        <w:tc>
          <w:tcPr>
            <w:tcW w:w="992" w:type="dxa"/>
            <w:tcBorders>
              <w:top w:val="nil"/>
              <w:left w:val="nil"/>
              <w:bottom w:val="single" w:sz="8" w:space="0" w:color="9CC2E5"/>
              <w:right w:val="single" w:sz="8" w:space="0" w:color="9CC2E5"/>
            </w:tcBorders>
            <w:shd w:val="clear" w:color="000000" w:fill="DEEAF6"/>
            <w:noWrap/>
            <w:vAlign w:val="center"/>
            <w:hideMark/>
          </w:tcPr>
          <w:p w14:paraId="0DA7CD74"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P52+P53</w:t>
            </w:r>
          </w:p>
        </w:tc>
        <w:tc>
          <w:tcPr>
            <w:tcW w:w="795" w:type="dxa"/>
            <w:tcBorders>
              <w:top w:val="nil"/>
              <w:left w:val="nil"/>
              <w:bottom w:val="single" w:sz="8" w:space="0" w:color="9CC2E5"/>
              <w:right w:val="single" w:sz="8" w:space="0" w:color="9CC2E5"/>
            </w:tcBorders>
            <w:shd w:val="clear" w:color="000000" w:fill="DEEAF6"/>
            <w:noWrap/>
            <w:vAlign w:val="center"/>
            <w:hideMark/>
          </w:tcPr>
          <w:p w14:paraId="7981A504" w14:textId="77777777" w:rsidR="00C8305B" w:rsidRPr="00D84BAD" w:rsidRDefault="00C8305B" w:rsidP="00B312F7">
            <w:pPr>
              <w:ind w:firstLine="0"/>
              <w:jc w:val="center"/>
              <w:rPr>
                <w:rFonts w:eastAsia="Times New Roman" w:cs="Times New Roman"/>
                <w:sz w:val="18"/>
                <w:szCs w:val="18"/>
                <w:lang w:eastAsia="lv-LV"/>
              </w:rPr>
            </w:pPr>
          </w:p>
        </w:tc>
        <w:tc>
          <w:tcPr>
            <w:tcW w:w="765" w:type="dxa"/>
            <w:tcBorders>
              <w:top w:val="nil"/>
              <w:left w:val="nil"/>
              <w:bottom w:val="single" w:sz="8" w:space="0" w:color="9CC2E5"/>
              <w:right w:val="single" w:sz="8" w:space="0" w:color="9CC2E5"/>
            </w:tcBorders>
            <w:shd w:val="clear" w:color="000000" w:fill="DEEAF6"/>
            <w:noWrap/>
            <w:vAlign w:val="center"/>
            <w:hideMark/>
          </w:tcPr>
          <w:p w14:paraId="7DA48E66"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-0,7</w:t>
            </w:r>
          </w:p>
        </w:tc>
        <w:tc>
          <w:tcPr>
            <w:tcW w:w="766" w:type="dxa"/>
            <w:tcBorders>
              <w:top w:val="nil"/>
              <w:left w:val="nil"/>
              <w:bottom w:val="single" w:sz="8" w:space="0" w:color="9CC2E5"/>
              <w:right w:val="single" w:sz="8" w:space="0" w:color="9CC2E5"/>
            </w:tcBorders>
            <w:shd w:val="clear" w:color="000000" w:fill="DEEAF6"/>
            <w:noWrap/>
            <w:vAlign w:val="center"/>
            <w:hideMark/>
          </w:tcPr>
          <w:p w14:paraId="2CF7DA50"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0,0</w:t>
            </w:r>
          </w:p>
        </w:tc>
        <w:tc>
          <w:tcPr>
            <w:tcW w:w="765" w:type="dxa"/>
            <w:tcBorders>
              <w:top w:val="nil"/>
              <w:left w:val="nil"/>
              <w:bottom w:val="single" w:sz="8" w:space="0" w:color="9CC2E5"/>
              <w:right w:val="single" w:sz="8" w:space="0" w:color="9CC2E5"/>
            </w:tcBorders>
            <w:shd w:val="clear" w:color="000000" w:fill="DEEAF6"/>
            <w:noWrap/>
            <w:vAlign w:val="center"/>
            <w:hideMark/>
          </w:tcPr>
          <w:p w14:paraId="3B7F0142"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0,0</w:t>
            </w:r>
          </w:p>
        </w:tc>
        <w:tc>
          <w:tcPr>
            <w:tcW w:w="766" w:type="dxa"/>
            <w:tcBorders>
              <w:top w:val="nil"/>
              <w:left w:val="nil"/>
              <w:bottom w:val="single" w:sz="8" w:space="0" w:color="9CC2E5"/>
              <w:right w:val="single" w:sz="8" w:space="0" w:color="9CC2E5"/>
            </w:tcBorders>
            <w:shd w:val="clear" w:color="000000" w:fill="DEEAF6"/>
            <w:noWrap/>
            <w:vAlign w:val="center"/>
            <w:hideMark/>
          </w:tcPr>
          <w:p w14:paraId="126024C9"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-0,1</w:t>
            </w:r>
          </w:p>
        </w:tc>
        <w:tc>
          <w:tcPr>
            <w:tcW w:w="766" w:type="dxa"/>
            <w:tcBorders>
              <w:top w:val="nil"/>
              <w:left w:val="nil"/>
              <w:bottom w:val="single" w:sz="8" w:space="0" w:color="9CC2E5"/>
              <w:right w:val="single" w:sz="8" w:space="0" w:color="9CC2E5"/>
            </w:tcBorders>
            <w:shd w:val="clear" w:color="000000" w:fill="DEEAF6"/>
            <w:noWrap/>
            <w:vAlign w:val="center"/>
            <w:hideMark/>
          </w:tcPr>
          <w:p w14:paraId="0D6FE467"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-0,1</w:t>
            </w:r>
          </w:p>
        </w:tc>
        <w:tc>
          <w:tcPr>
            <w:tcW w:w="766" w:type="dxa"/>
            <w:tcBorders>
              <w:top w:val="nil"/>
              <w:left w:val="nil"/>
              <w:bottom w:val="single" w:sz="8" w:space="0" w:color="9CC2E5"/>
              <w:right w:val="single" w:sz="8" w:space="0" w:color="9CC2E5"/>
            </w:tcBorders>
            <w:shd w:val="clear" w:color="000000" w:fill="DEEAF6"/>
            <w:vAlign w:val="center"/>
          </w:tcPr>
          <w:p w14:paraId="1899EB6F" w14:textId="77777777" w:rsidR="00C8305B" w:rsidRDefault="00C8305B" w:rsidP="00B312F7">
            <w:pPr>
              <w:ind w:firstLine="0"/>
              <w:jc w:val="center"/>
              <w:rPr>
                <w:color w:val="000000"/>
                <w:sz w:val="18"/>
                <w:szCs w:val="18"/>
              </w:rPr>
            </w:pPr>
            <w:r>
              <w:rPr>
                <w:color w:val="000000"/>
                <w:sz w:val="18"/>
                <w:szCs w:val="18"/>
              </w:rPr>
              <w:t>-0,1</w:t>
            </w:r>
          </w:p>
        </w:tc>
      </w:tr>
      <w:tr w:rsidR="00C8305B" w:rsidRPr="00D84BAD" w14:paraId="0CD49AE4" w14:textId="77777777" w:rsidTr="00B312F7">
        <w:trPr>
          <w:trHeight w:val="315"/>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17C42E68" w14:textId="4775DEC3" w:rsidR="00C8305B" w:rsidRPr="00D84BAD" w:rsidRDefault="00C8305B" w:rsidP="00B312F7">
            <w:pPr>
              <w:ind w:firstLine="0"/>
              <w:jc w:val="left"/>
              <w:rPr>
                <w:rFonts w:eastAsia="Times New Roman" w:cs="Times New Roman"/>
                <w:sz w:val="18"/>
                <w:szCs w:val="18"/>
                <w:lang w:eastAsia="lv-LV"/>
              </w:rPr>
            </w:pPr>
            <w:r w:rsidRPr="00D84BAD">
              <w:rPr>
                <w:rFonts w:eastAsia="Times New Roman" w:cs="Times New Roman"/>
                <w:sz w:val="18"/>
                <w:szCs w:val="18"/>
                <w:lang w:eastAsia="lv-LV"/>
              </w:rPr>
              <w:t>11. Eksporta</w:t>
            </w:r>
            <w:r w:rsidR="002A71C2">
              <w:rPr>
                <w:rFonts w:eastAsia="Times New Roman" w:cs="Times New Roman"/>
                <w:sz w:val="18"/>
                <w:szCs w:val="18"/>
                <w:lang w:eastAsia="lv-LV"/>
              </w:rPr>
              <w:t xml:space="preserve"> – </w:t>
            </w:r>
            <w:r w:rsidRPr="00D84BAD">
              <w:rPr>
                <w:rFonts w:eastAsia="Times New Roman" w:cs="Times New Roman"/>
                <w:sz w:val="18"/>
                <w:szCs w:val="18"/>
                <w:lang w:eastAsia="lv-LV"/>
              </w:rPr>
              <w:t>importa bilance</w:t>
            </w:r>
          </w:p>
        </w:tc>
        <w:tc>
          <w:tcPr>
            <w:tcW w:w="992" w:type="dxa"/>
            <w:tcBorders>
              <w:top w:val="nil"/>
              <w:left w:val="nil"/>
              <w:bottom w:val="single" w:sz="8" w:space="0" w:color="9CC2E5"/>
              <w:right w:val="single" w:sz="8" w:space="0" w:color="9CC2E5"/>
            </w:tcBorders>
            <w:shd w:val="clear" w:color="auto" w:fill="auto"/>
            <w:noWrap/>
            <w:vAlign w:val="center"/>
            <w:hideMark/>
          </w:tcPr>
          <w:p w14:paraId="5C35070C" w14:textId="77777777" w:rsidR="00C8305B" w:rsidRPr="00D84BAD" w:rsidRDefault="00C8305B" w:rsidP="00B312F7">
            <w:pPr>
              <w:ind w:firstLine="0"/>
              <w:jc w:val="center"/>
              <w:rPr>
                <w:rFonts w:eastAsia="Times New Roman" w:cs="Times New Roman"/>
                <w:sz w:val="18"/>
                <w:szCs w:val="18"/>
                <w:lang w:eastAsia="lv-LV"/>
              </w:rPr>
            </w:pPr>
            <w:r w:rsidRPr="00D84BAD">
              <w:rPr>
                <w:rFonts w:eastAsia="Times New Roman" w:cs="Times New Roman"/>
                <w:sz w:val="18"/>
                <w:szCs w:val="18"/>
                <w:lang w:eastAsia="lv-LV"/>
              </w:rPr>
              <w:t>B11</w:t>
            </w:r>
          </w:p>
        </w:tc>
        <w:tc>
          <w:tcPr>
            <w:tcW w:w="795" w:type="dxa"/>
            <w:tcBorders>
              <w:top w:val="nil"/>
              <w:left w:val="nil"/>
              <w:bottom w:val="single" w:sz="8" w:space="0" w:color="9CC2E5"/>
              <w:right w:val="single" w:sz="8" w:space="0" w:color="9CC2E5"/>
            </w:tcBorders>
            <w:shd w:val="clear" w:color="auto" w:fill="auto"/>
            <w:noWrap/>
            <w:vAlign w:val="center"/>
            <w:hideMark/>
          </w:tcPr>
          <w:p w14:paraId="795C4B32" w14:textId="77777777" w:rsidR="00C8305B" w:rsidRPr="00D84BAD" w:rsidRDefault="00C8305B" w:rsidP="00B312F7">
            <w:pPr>
              <w:ind w:firstLine="0"/>
              <w:jc w:val="center"/>
              <w:rPr>
                <w:rFonts w:eastAsia="Times New Roman" w:cs="Times New Roman"/>
                <w:sz w:val="18"/>
                <w:szCs w:val="18"/>
                <w:lang w:eastAsia="lv-LV"/>
              </w:rPr>
            </w:pPr>
          </w:p>
        </w:tc>
        <w:tc>
          <w:tcPr>
            <w:tcW w:w="765" w:type="dxa"/>
            <w:tcBorders>
              <w:top w:val="nil"/>
              <w:left w:val="nil"/>
              <w:bottom w:val="single" w:sz="8" w:space="0" w:color="9CC2E5"/>
              <w:right w:val="single" w:sz="8" w:space="0" w:color="9CC2E5"/>
            </w:tcBorders>
            <w:shd w:val="clear" w:color="auto" w:fill="auto"/>
            <w:noWrap/>
            <w:vAlign w:val="center"/>
            <w:hideMark/>
          </w:tcPr>
          <w:p w14:paraId="64BDB652"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-2,0</w:t>
            </w:r>
          </w:p>
        </w:tc>
        <w:tc>
          <w:tcPr>
            <w:tcW w:w="766" w:type="dxa"/>
            <w:tcBorders>
              <w:top w:val="nil"/>
              <w:left w:val="nil"/>
              <w:bottom w:val="single" w:sz="8" w:space="0" w:color="9CC2E5"/>
              <w:right w:val="single" w:sz="8" w:space="0" w:color="9CC2E5"/>
            </w:tcBorders>
            <w:shd w:val="clear" w:color="auto" w:fill="auto"/>
            <w:noWrap/>
            <w:vAlign w:val="center"/>
            <w:hideMark/>
          </w:tcPr>
          <w:p w14:paraId="5D085D0D"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-2,1</w:t>
            </w:r>
          </w:p>
        </w:tc>
        <w:tc>
          <w:tcPr>
            <w:tcW w:w="765" w:type="dxa"/>
            <w:tcBorders>
              <w:top w:val="nil"/>
              <w:left w:val="nil"/>
              <w:bottom w:val="single" w:sz="8" w:space="0" w:color="9CC2E5"/>
              <w:right w:val="single" w:sz="8" w:space="0" w:color="9CC2E5"/>
            </w:tcBorders>
            <w:shd w:val="clear" w:color="auto" w:fill="auto"/>
            <w:noWrap/>
            <w:vAlign w:val="center"/>
            <w:hideMark/>
          </w:tcPr>
          <w:p w14:paraId="24E69FD4"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-0,9</w:t>
            </w:r>
          </w:p>
        </w:tc>
        <w:tc>
          <w:tcPr>
            <w:tcW w:w="766" w:type="dxa"/>
            <w:tcBorders>
              <w:top w:val="nil"/>
              <w:left w:val="nil"/>
              <w:bottom w:val="single" w:sz="8" w:space="0" w:color="9CC2E5"/>
              <w:right w:val="single" w:sz="8" w:space="0" w:color="9CC2E5"/>
            </w:tcBorders>
            <w:shd w:val="clear" w:color="auto" w:fill="auto"/>
            <w:noWrap/>
            <w:vAlign w:val="center"/>
            <w:hideMark/>
          </w:tcPr>
          <w:p w14:paraId="3E8E5544"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-0,5</w:t>
            </w:r>
          </w:p>
        </w:tc>
        <w:tc>
          <w:tcPr>
            <w:tcW w:w="766" w:type="dxa"/>
            <w:tcBorders>
              <w:top w:val="nil"/>
              <w:left w:val="nil"/>
              <w:bottom w:val="single" w:sz="8" w:space="0" w:color="9CC2E5"/>
              <w:right w:val="single" w:sz="8" w:space="0" w:color="9CC2E5"/>
            </w:tcBorders>
            <w:shd w:val="clear" w:color="auto" w:fill="auto"/>
            <w:noWrap/>
            <w:vAlign w:val="center"/>
            <w:hideMark/>
          </w:tcPr>
          <w:p w14:paraId="7569F5F4" w14:textId="77777777" w:rsidR="00C8305B" w:rsidRPr="00D84BAD" w:rsidRDefault="00C8305B" w:rsidP="00B312F7">
            <w:pPr>
              <w:ind w:firstLine="0"/>
              <w:jc w:val="center"/>
              <w:rPr>
                <w:rFonts w:eastAsia="Times New Roman" w:cs="Times New Roman"/>
                <w:sz w:val="18"/>
                <w:szCs w:val="18"/>
                <w:lang w:eastAsia="lv-LV"/>
              </w:rPr>
            </w:pPr>
            <w:r>
              <w:rPr>
                <w:color w:val="000000"/>
                <w:sz w:val="18"/>
                <w:szCs w:val="18"/>
              </w:rPr>
              <w:t>-0,5</w:t>
            </w:r>
          </w:p>
        </w:tc>
        <w:tc>
          <w:tcPr>
            <w:tcW w:w="766" w:type="dxa"/>
            <w:tcBorders>
              <w:top w:val="nil"/>
              <w:left w:val="nil"/>
              <w:bottom w:val="single" w:sz="8" w:space="0" w:color="9CC2E5"/>
              <w:right w:val="single" w:sz="8" w:space="0" w:color="9CC2E5"/>
            </w:tcBorders>
            <w:vAlign w:val="center"/>
          </w:tcPr>
          <w:p w14:paraId="7D0D9330" w14:textId="77777777" w:rsidR="00C8305B" w:rsidRDefault="00C8305B" w:rsidP="00B312F7">
            <w:pPr>
              <w:ind w:firstLine="0"/>
              <w:jc w:val="center"/>
              <w:rPr>
                <w:color w:val="000000"/>
                <w:sz w:val="18"/>
                <w:szCs w:val="18"/>
              </w:rPr>
            </w:pPr>
            <w:r>
              <w:rPr>
                <w:color w:val="000000"/>
                <w:sz w:val="18"/>
                <w:szCs w:val="18"/>
              </w:rPr>
              <w:t>-0,5</w:t>
            </w:r>
          </w:p>
        </w:tc>
      </w:tr>
    </w:tbl>
    <w:p w14:paraId="5346D972" w14:textId="13A682C7" w:rsidR="00C8305B" w:rsidRDefault="00C8305B" w:rsidP="00C8305B">
      <w:pPr>
        <w:spacing w:after="160" w:line="259" w:lineRule="auto"/>
        <w:ind w:firstLine="0"/>
        <w:jc w:val="left"/>
        <w:rPr>
          <w:rFonts w:eastAsia="Times New Roman" w:cs="Times New Roman"/>
          <w:color w:val="000000"/>
          <w:sz w:val="18"/>
          <w:szCs w:val="18"/>
        </w:rPr>
      </w:pPr>
      <w:r>
        <w:rPr>
          <w:rFonts w:eastAsia="Times New Roman" w:cs="Times New Roman"/>
          <w:color w:val="000000"/>
          <w:sz w:val="18"/>
          <w:szCs w:val="18"/>
          <w:vertAlign w:val="superscript"/>
        </w:rPr>
        <w:t>*</w:t>
      </w:r>
      <w:r w:rsidRPr="0087383B">
        <w:rPr>
          <w:rFonts w:eastAsia="Times New Roman" w:cs="Times New Roman"/>
          <w:color w:val="000000"/>
          <w:sz w:val="18"/>
          <w:szCs w:val="18"/>
          <w:vertAlign w:val="superscript"/>
        </w:rPr>
        <w:t xml:space="preserve"> </w:t>
      </w:r>
      <w:r w:rsidRPr="0087383B">
        <w:rPr>
          <w:rFonts w:eastAsia="Times New Roman" w:cs="Times New Roman"/>
          <w:color w:val="000000"/>
          <w:sz w:val="18"/>
          <w:szCs w:val="18"/>
        </w:rPr>
        <w:t>Prognozes</w:t>
      </w:r>
      <w:r>
        <w:rPr>
          <w:rFonts w:eastAsia="Times New Roman" w:cs="Times New Roman"/>
          <w:color w:val="000000"/>
          <w:sz w:val="18"/>
          <w:szCs w:val="18"/>
        </w:rPr>
        <w:t>:</w:t>
      </w:r>
      <w:r w:rsidRPr="0087383B">
        <w:rPr>
          <w:rFonts w:eastAsia="Times New Roman" w:cs="Times New Roman"/>
          <w:color w:val="000000"/>
          <w:sz w:val="18"/>
          <w:szCs w:val="18"/>
        </w:rPr>
        <w:t xml:space="preserve"> 202</w:t>
      </w:r>
      <w:r>
        <w:rPr>
          <w:rFonts w:eastAsia="Times New Roman" w:cs="Times New Roman"/>
          <w:color w:val="000000"/>
          <w:sz w:val="18"/>
          <w:szCs w:val="18"/>
        </w:rPr>
        <w:t>4</w:t>
      </w:r>
      <w:r w:rsidRPr="0087383B">
        <w:rPr>
          <w:rFonts w:eastAsia="Times New Roman" w:cs="Times New Roman"/>
          <w:color w:val="000000"/>
          <w:sz w:val="18"/>
          <w:szCs w:val="18"/>
        </w:rPr>
        <w:t>.</w:t>
      </w:r>
      <w:r>
        <w:rPr>
          <w:rFonts w:eastAsia="Times New Roman" w:cs="Times New Roman"/>
          <w:color w:val="000000"/>
          <w:sz w:val="18"/>
          <w:szCs w:val="18"/>
        </w:rPr>
        <w:t xml:space="preserve"> </w:t>
      </w:r>
      <w:r w:rsidRPr="0087383B">
        <w:rPr>
          <w:rFonts w:eastAsia="Times New Roman" w:cs="Times New Roman"/>
          <w:color w:val="000000"/>
          <w:sz w:val="18"/>
          <w:szCs w:val="18"/>
        </w:rPr>
        <w:t xml:space="preserve">gada </w:t>
      </w:r>
      <w:r>
        <w:rPr>
          <w:rFonts w:eastAsia="Times New Roman" w:cs="Times New Roman"/>
          <w:color w:val="000000"/>
          <w:sz w:val="18"/>
          <w:szCs w:val="18"/>
        </w:rPr>
        <w:t>februāra</w:t>
      </w:r>
      <w:r w:rsidRPr="0087383B">
        <w:rPr>
          <w:rFonts w:eastAsia="Times New Roman" w:cs="Times New Roman"/>
          <w:color w:val="000000"/>
          <w:sz w:val="18"/>
          <w:szCs w:val="18"/>
        </w:rPr>
        <w:t xml:space="preserve"> scenārijs</w:t>
      </w:r>
    </w:p>
    <w:p w14:paraId="6010C23A" w14:textId="77777777" w:rsidR="00C8305B" w:rsidRPr="0045390C" w:rsidRDefault="00C8305B" w:rsidP="00C8305B">
      <w:pPr>
        <w:spacing w:after="160" w:line="259" w:lineRule="auto"/>
        <w:ind w:firstLine="0"/>
        <w:jc w:val="left"/>
        <w:rPr>
          <w:rFonts w:eastAsia="Times New Roman" w:cs="Times New Roman"/>
          <w:color w:val="000000"/>
          <w:sz w:val="18"/>
          <w:szCs w:val="18"/>
        </w:rPr>
      </w:pPr>
    </w:p>
    <w:p w14:paraId="7DF826C6" w14:textId="66009C04" w:rsidR="00C8305B" w:rsidRPr="00002184" w:rsidRDefault="00C8305B" w:rsidP="00C8305B">
      <w:pPr>
        <w:keepNext/>
        <w:spacing w:after="120"/>
        <w:ind w:firstLine="0"/>
        <w:jc w:val="left"/>
        <w:rPr>
          <w:rFonts w:eastAsia="Times New Roman" w:cs="Times New Roman"/>
          <w:b/>
          <w:color w:val="000000"/>
          <w:sz w:val="24"/>
          <w:szCs w:val="20"/>
        </w:rPr>
      </w:pPr>
      <w:r w:rsidRPr="00002184">
        <w:rPr>
          <w:rFonts w:eastAsia="Times New Roman" w:cs="Times New Roman"/>
          <w:b/>
          <w:color w:val="000000"/>
          <w:sz w:val="24"/>
          <w:szCs w:val="20"/>
        </w:rPr>
        <w:t>1b.</w:t>
      </w:r>
      <w:r w:rsidR="008B4878">
        <w:rPr>
          <w:rFonts w:eastAsia="Times New Roman" w:cs="Times New Roman"/>
          <w:b/>
          <w:color w:val="000000"/>
          <w:sz w:val="24"/>
          <w:szCs w:val="20"/>
        </w:rPr>
        <w:t xml:space="preserve"> </w:t>
      </w:r>
      <w:r w:rsidRPr="00002184">
        <w:rPr>
          <w:rFonts w:eastAsia="Times New Roman" w:cs="Times New Roman"/>
          <w:b/>
          <w:color w:val="000000"/>
          <w:sz w:val="24"/>
          <w:szCs w:val="20"/>
        </w:rPr>
        <w:t>tabula. Cenu izmaiņas</w:t>
      </w:r>
      <w:r>
        <w:rPr>
          <w:rFonts w:eastAsia="Times New Roman" w:cs="Times New Roman"/>
          <w:b/>
          <w:color w:val="000000"/>
          <w:sz w:val="20"/>
          <w:szCs w:val="20"/>
          <w:vertAlign w:val="superscript"/>
        </w:rPr>
        <w:t>*</w:t>
      </w:r>
    </w:p>
    <w:tbl>
      <w:tblPr>
        <w:tblW w:w="9120" w:type="dxa"/>
        <w:tblLayout w:type="fixed"/>
        <w:tblLook w:val="04A0" w:firstRow="1" w:lastRow="0" w:firstColumn="1" w:lastColumn="0" w:noHBand="0" w:noVBand="1"/>
      </w:tblPr>
      <w:tblGrid>
        <w:gridCol w:w="2967"/>
        <w:gridCol w:w="709"/>
        <w:gridCol w:w="850"/>
        <w:gridCol w:w="765"/>
        <w:gridCol w:w="766"/>
        <w:gridCol w:w="765"/>
        <w:gridCol w:w="766"/>
        <w:gridCol w:w="766"/>
        <w:gridCol w:w="766"/>
      </w:tblGrid>
      <w:tr w:rsidR="00C8305B" w:rsidRPr="005346E4" w14:paraId="580DBBFA" w14:textId="77777777" w:rsidTr="00B312F7">
        <w:trPr>
          <w:trHeight w:val="315"/>
        </w:trPr>
        <w:tc>
          <w:tcPr>
            <w:tcW w:w="2967" w:type="dxa"/>
            <w:vMerge w:val="restart"/>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33F475DD" w14:textId="77777777" w:rsidR="00C8305B" w:rsidRPr="005346E4" w:rsidRDefault="00C8305B" w:rsidP="00B312F7">
            <w:pPr>
              <w:ind w:firstLine="0"/>
              <w:jc w:val="left"/>
              <w:rPr>
                <w:rFonts w:ascii="Calibri" w:eastAsia="Times New Roman" w:hAnsi="Calibri" w:cs="Calibri"/>
                <w:sz w:val="18"/>
                <w:szCs w:val="18"/>
                <w:lang w:eastAsia="lv-LV"/>
              </w:rPr>
            </w:pPr>
            <w:r w:rsidRPr="005346E4">
              <w:rPr>
                <w:rFonts w:ascii="Calibri" w:eastAsia="Times New Roman" w:hAnsi="Calibri" w:cs="Calibri"/>
                <w:sz w:val="18"/>
                <w:szCs w:val="18"/>
                <w:lang w:eastAsia="lv-LV"/>
              </w:rPr>
              <w:t> </w:t>
            </w:r>
          </w:p>
        </w:tc>
        <w:tc>
          <w:tcPr>
            <w:tcW w:w="709" w:type="dxa"/>
            <w:vMerge w:val="restart"/>
            <w:tcBorders>
              <w:top w:val="single" w:sz="8" w:space="0" w:color="9CC2E5"/>
              <w:left w:val="single" w:sz="8" w:space="0" w:color="9CC2E5"/>
              <w:bottom w:val="single" w:sz="8" w:space="0" w:color="9CC2E5"/>
              <w:right w:val="single" w:sz="8" w:space="0" w:color="9CC2E5"/>
            </w:tcBorders>
            <w:shd w:val="clear" w:color="auto" w:fill="auto"/>
            <w:noWrap/>
            <w:vAlign w:val="center"/>
            <w:hideMark/>
          </w:tcPr>
          <w:p w14:paraId="445A638B" w14:textId="77777777" w:rsidR="00C8305B" w:rsidRPr="005346E4" w:rsidRDefault="00C8305B" w:rsidP="00B312F7">
            <w:pPr>
              <w:ind w:firstLine="0"/>
              <w:jc w:val="center"/>
              <w:rPr>
                <w:rFonts w:eastAsia="Times New Roman" w:cs="Times New Roman"/>
                <w:b/>
                <w:bCs/>
                <w:sz w:val="18"/>
                <w:szCs w:val="18"/>
                <w:lang w:eastAsia="lv-LV"/>
              </w:rPr>
            </w:pPr>
            <w:r w:rsidRPr="005346E4">
              <w:rPr>
                <w:rFonts w:eastAsia="Times New Roman" w:cs="Times New Roman"/>
                <w:b/>
                <w:bCs/>
                <w:sz w:val="18"/>
                <w:szCs w:val="18"/>
                <w:lang w:eastAsia="lv-LV"/>
              </w:rPr>
              <w:t>EKS kods</w:t>
            </w:r>
          </w:p>
        </w:tc>
        <w:tc>
          <w:tcPr>
            <w:tcW w:w="850" w:type="dxa"/>
            <w:tcBorders>
              <w:top w:val="single" w:sz="8" w:space="0" w:color="9CC2E5"/>
              <w:left w:val="nil"/>
              <w:bottom w:val="single" w:sz="12" w:space="0" w:color="9CC2E5"/>
              <w:right w:val="single" w:sz="8" w:space="0" w:color="9CC2E5"/>
            </w:tcBorders>
            <w:shd w:val="clear" w:color="auto" w:fill="auto"/>
            <w:noWrap/>
            <w:vAlign w:val="center"/>
            <w:hideMark/>
          </w:tcPr>
          <w:p w14:paraId="5AA9B78B"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2023</w:t>
            </w:r>
          </w:p>
        </w:tc>
        <w:tc>
          <w:tcPr>
            <w:tcW w:w="765" w:type="dxa"/>
            <w:tcBorders>
              <w:top w:val="single" w:sz="8" w:space="0" w:color="9CC2E5"/>
              <w:left w:val="nil"/>
              <w:bottom w:val="single" w:sz="12" w:space="0" w:color="9CC2E5"/>
              <w:right w:val="single" w:sz="8" w:space="0" w:color="9CC2E5"/>
            </w:tcBorders>
            <w:shd w:val="clear" w:color="auto" w:fill="auto"/>
            <w:noWrap/>
            <w:vAlign w:val="center"/>
            <w:hideMark/>
          </w:tcPr>
          <w:p w14:paraId="3BF3267D"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2023</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7A185ED3"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2024</w:t>
            </w:r>
          </w:p>
        </w:tc>
        <w:tc>
          <w:tcPr>
            <w:tcW w:w="765" w:type="dxa"/>
            <w:tcBorders>
              <w:top w:val="single" w:sz="8" w:space="0" w:color="9CC2E5"/>
              <w:left w:val="nil"/>
              <w:bottom w:val="single" w:sz="12" w:space="0" w:color="9CC2E5"/>
              <w:right w:val="single" w:sz="8" w:space="0" w:color="9CC2E5"/>
            </w:tcBorders>
            <w:shd w:val="clear" w:color="auto" w:fill="auto"/>
            <w:noWrap/>
            <w:vAlign w:val="center"/>
            <w:hideMark/>
          </w:tcPr>
          <w:p w14:paraId="13FAC78E"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2025</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16C652A7"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2026</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515D8FC2"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2027</w:t>
            </w:r>
          </w:p>
        </w:tc>
        <w:tc>
          <w:tcPr>
            <w:tcW w:w="766" w:type="dxa"/>
            <w:tcBorders>
              <w:top w:val="single" w:sz="8" w:space="0" w:color="9CC2E5"/>
              <w:left w:val="nil"/>
              <w:bottom w:val="single" w:sz="12" w:space="0" w:color="9CC2E5"/>
              <w:right w:val="single" w:sz="8" w:space="0" w:color="9CC2E5"/>
            </w:tcBorders>
            <w:vAlign w:val="center"/>
          </w:tcPr>
          <w:p w14:paraId="0D60DD12" w14:textId="77777777" w:rsidR="00C8305B" w:rsidRDefault="00C8305B" w:rsidP="00B312F7">
            <w:pPr>
              <w:ind w:firstLine="0"/>
              <w:jc w:val="center"/>
              <w:rPr>
                <w:b/>
                <w:bCs/>
                <w:color w:val="000000"/>
                <w:sz w:val="18"/>
                <w:szCs w:val="18"/>
              </w:rPr>
            </w:pPr>
            <w:r>
              <w:rPr>
                <w:b/>
                <w:bCs/>
                <w:color w:val="000000"/>
                <w:sz w:val="18"/>
                <w:szCs w:val="18"/>
              </w:rPr>
              <w:t>2028</w:t>
            </w:r>
          </w:p>
        </w:tc>
      </w:tr>
      <w:tr w:rsidR="00C8305B" w:rsidRPr="005346E4" w14:paraId="2D763A5C" w14:textId="77777777" w:rsidTr="00B312F7">
        <w:trPr>
          <w:trHeight w:val="330"/>
        </w:trPr>
        <w:tc>
          <w:tcPr>
            <w:tcW w:w="2967" w:type="dxa"/>
            <w:vMerge/>
            <w:tcBorders>
              <w:top w:val="single" w:sz="8" w:space="0" w:color="9CC2E5"/>
              <w:left w:val="single" w:sz="8" w:space="0" w:color="9CC2E5"/>
              <w:bottom w:val="single" w:sz="8" w:space="0" w:color="9CC2E5"/>
              <w:right w:val="single" w:sz="8" w:space="0" w:color="9CC2E5"/>
            </w:tcBorders>
            <w:vAlign w:val="center"/>
            <w:hideMark/>
          </w:tcPr>
          <w:p w14:paraId="21F147C1" w14:textId="77777777" w:rsidR="00C8305B" w:rsidRPr="005346E4" w:rsidRDefault="00C8305B" w:rsidP="00B312F7">
            <w:pPr>
              <w:ind w:firstLine="0"/>
              <w:jc w:val="left"/>
              <w:rPr>
                <w:rFonts w:ascii="Calibri" w:eastAsia="Times New Roman" w:hAnsi="Calibri" w:cs="Calibri"/>
                <w:sz w:val="18"/>
                <w:szCs w:val="18"/>
                <w:lang w:eastAsia="lv-LV"/>
              </w:rPr>
            </w:pPr>
          </w:p>
        </w:tc>
        <w:tc>
          <w:tcPr>
            <w:tcW w:w="709" w:type="dxa"/>
            <w:vMerge/>
            <w:tcBorders>
              <w:top w:val="single" w:sz="8" w:space="0" w:color="9CC2E5"/>
              <w:left w:val="single" w:sz="8" w:space="0" w:color="9CC2E5"/>
              <w:bottom w:val="single" w:sz="8" w:space="0" w:color="9CC2E5"/>
              <w:right w:val="single" w:sz="8" w:space="0" w:color="9CC2E5"/>
            </w:tcBorders>
            <w:vAlign w:val="center"/>
            <w:hideMark/>
          </w:tcPr>
          <w:p w14:paraId="405A7A19" w14:textId="77777777" w:rsidR="00C8305B" w:rsidRPr="005346E4" w:rsidRDefault="00C8305B" w:rsidP="00B312F7">
            <w:pPr>
              <w:ind w:firstLine="0"/>
              <w:jc w:val="left"/>
              <w:rPr>
                <w:rFonts w:eastAsia="Times New Roman" w:cs="Times New Roman"/>
                <w:b/>
                <w:bCs/>
                <w:sz w:val="18"/>
                <w:szCs w:val="18"/>
                <w:lang w:eastAsia="lv-LV"/>
              </w:rPr>
            </w:pPr>
          </w:p>
        </w:tc>
        <w:tc>
          <w:tcPr>
            <w:tcW w:w="850" w:type="dxa"/>
            <w:tcBorders>
              <w:top w:val="nil"/>
              <w:left w:val="nil"/>
              <w:bottom w:val="single" w:sz="8" w:space="0" w:color="9CC2E5"/>
              <w:right w:val="single" w:sz="8" w:space="0" w:color="9CC2E5"/>
            </w:tcBorders>
            <w:shd w:val="clear" w:color="000000" w:fill="DEEAF6"/>
            <w:vAlign w:val="center"/>
            <w:hideMark/>
          </w:tcPr>
          <w:p w14:paraId="6A0AF9C1"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līmenis</w:t>
            </w:r>
          </w:p>
        </w:tc>
        <w:tc>
          <w:tcPr>
            <w:tcW w:w="3828" w:type="dxa"/>
            <w:gridSpan w:val="5"/>
            <w:tcBorders>
              <w:top w:val="single" w:sz="12" w:space="0" w:color="9CC2E5"/>
              <w:left w:val="nil"/>
              <w:bottom w:val="single" w:sz="8" w:space="0" w:color="9CC2E5"/>
              <w:right w:val="single" w:sz="8" w:space="0" w:color="9CC2E5"/>
            </w:tcBorders>
            <w:shd w:val="clear" w:color="000000" w:fill="DEEAF6"/>
            <w:vAlign w:val="center"/>
            <w:hideMark/>
          </w:tcPr>
          <w:p w14:paraId="421C57CD"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Pieaugums %</w:t>
            </w:r>
          </w:p>
        </w:tc>
        <w:tc>
          <w:tcPr>
            <w:tcW w:w="766" w:type="dxa"/>
            <w:tcBorders>
              <w:top w:val="single" w:sz="12" w:space="0" w:color="9CC2E5"/>
              <w:left w:val="nil"/>
              <w:bottom w:val="single" w:sz="8" w:space="0" w:color="9CC2E5"/>
              <w:right w:val="single" w:sz="8" w:space="0" w:color="9CC2E5"/>
            </w:tcBorders>
            <w:shd w:val="clear" w:color="000000" w:fill="DEEAF6"/>
            <w:vAlign w:val="center"/>
          </w:tcPr>
          <w:p w14:paraId="54612285" w14:textId="77777777" w:rsidR="00C8305B" w:rsidRPr="005346E4" w:rsidRDefault="00C8305B" w:rsidP="00B312F7">
            <w:pPr>
              <w:ind w:firstLine="0"/>
              <w:jc w:val="center"/>
              <w:rPr>
                <w:rFonts w:eastAsia="Times New Roman" w:cs="Times New Roman"/>
                <w:sz w:val="18"/>
                <w:szCs w:val="18"/>
                <w:lang w:eastAsia="lv-LV"/>
              </w:rPr>
            </w:pPr>
          </w:p>
        </w:tc>
      </w:tr>
      <w:tr w:rsidR="00C8305B" w:rsidRPr="005346E4" w14:paraId="7D7F0A85" w14:textId="77777777" w:rsidTr="00B312F7">
        <w:trPr>
          <w:trHeight w:val="315"/>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2BA9A06F"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 xml:space="preserve">1. IKP </w:t>
            </w:r>
            <w:proofErr w:type="spellStart"/>
            <w:r w:rsidRPr="005346E4">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auto" w:fill="auto"/>
            <w:vAlign w:val="center"/>
            <w:hideMark/>
          </w:tcPr>
          <w:p w14:paraId="257C80F7"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auto" w:fill="auto"/>
            <w:vAlign w:val="center"/>
            <w:hideMark/>
          </w:tcPr>
          <w:p w14:paraId="346C57E0"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center"/>
            <w:hideMark/>
          </w:tcPr>
          <w:p w14:paraId="3B74058A"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5,4</w:t>
            </w:r>
          </w:p>
        </w:tc>
        <w:tc>
          <w:tcPr>
            <w:tcW w:w="766" w:type="dxa"/>
            <w:tcBorders>
              <w:top w:val="nil"/>
              <w:left w:val="nil"/>
              <w:bottom w:val="single" w:sz="8" w:space="0" w:color="9CC2E5"/>
              <w:right w:val="single" w:sz="8" w:space="0" w:color="9CC2E5"/>
            </w:tcBorders>
            <w:shd w:val="clear" w:color="auto" w:fill="auto"/>
            <w:vAlign w:val="center"/>
            <w:hideMark/>
          </w:tcPr>
          <w:p w14:paraId="6D055ED0"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2,7</w:t>
            </w:r>
          </w:p>
        </w:tc>
        <w:tc>
          <w:tcPr>
            <w:tcW w:w="765" w:type="dxa"/>
            <w:tcBorders>
              <w:top w:val="nil"/>
              <w:left w:val="nil"/>
              <w:bottom w:val="single" w:sz="8" w:space="0" w:color="9CC2E5"/>
              <w:right w:val="single" w:sz="8" w:space="0" w:color="9CC2E5"/>
            </w:tcBorders>
            <w:shd w:val="clear" w:color="auto" w:fill="auto"/>
            <w:vAlign w:val="center"/>
            <w:hideMark/>
          </w:tcPr>
          <w:p w14:paraId="0213500C"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3,0</w:t>
            </w:r>
          </w:p>
        </w:tc>
        <w:tc>
          <w:tcPr>
            <w:tcW w:w="766" w:type="dxa"/>
            <w:tcBorders>
              <w:top w:val="nil"/>
              <w:left w:val="nil"/>
              <w:bottom w:val="single" w:sz="8" w:space="0" w:color="9CC2E5"/>
              <w:right w:val="single" w:sz="8" w:space="0" w:color="9CC2E5"/>
            </w:tcBorders>
            <w:shd w:val="clear" w:color="auto" w:fill="auto"/>
            <w:vAlign w:val="center"/>
            <w:hideMark/>
          </w:tcPr>
          <w:p w14:paraId="39F280DA"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2,7</w:t>
            </w:r>
          </w:p>
        </w:tc>
        <w:tc>
          <w:tcPr>
            <w:tcW w:w="766" w:type="dxa"/>
            <w:tcBorders>
              <w:top w:val="nil"/>
              <w:left w:val="nil"/>
              <w:bottom w:val="single" w:sz="8" w:space="0" w:color="9CC2E5"/>
              <w:right w:val="single" w:sz="8" w:space="0" w:color="9CC2E5"/>
            </w:tcBorders>
            <w:shd w:val="clear" w:color="auto" w:fill="auto"/>
            <w:vAlign w:val="center"/>
            <w:hideMark/>
          </w:tcPr>
          <w:p w14:paraId="2745F049"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2,7</w:t>
            </w:r>
          </w:p>
        </w:tc>
        <w:tc>
          <w:tcPr>
            <w:tcW w:w="766" w:type="dxa"/>
            <w:tcBorders>
              <w:top w:val="nil"/>
              <w:left w:val="nil"/>
              <w:bottom w:val="single" w:sz="8" w:space="0" w:color="9CC2E5"/>
              <w:right w:val="single" w:sz="8" w:space="0" w:color="9CC2E5"/>
            </w:tcBorders>
            <w:vAlign w:val="center"/>
          </w:tcPr>
          <w:p w14:paraId="411FD6C5" w14:textId="77777777" w:rsidR="00C8305B" w:rsidRDefault="00C8305B" w:rsidP="00B312F7">
            <w:pPr>
              <w:ind w:firstLine="0"/>
              <w:jc w:val="center"/>
              <w:rPr>
                <w:color w:val="000000"/>
                <w:sz w:val="18"/>
                <w:szCs w:val="18"/>
              </w:rPr>
            </w:pPr>
            <w:r>
              <w:rPr>
                <w:color w:val="000000"/>
                <w:sz w:val="18"/>
                <w:szCs w:val="18"/>
              </w:rPr>
              <w:t>2,7</w:t>
            </w:r>
          </w:p>
        </w:tc>
      </w:tr>
      <w:tr w:rsidR="00C8305B" w:rsidRPr="005346E4" w14:paraId="2F048386" w14:textId="77777777" w:rsidTr="00B312F7">
        <w:trPr>
          <w:trHeight w:val="315"/>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0DC3910C"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 xml:space="preserve">2. Privātā patēriņa </w:t>
            </w:r>
            <w:proofErr w:type="spellStart"/>
            <w:r w:rsidRPr="005346E4">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000000" w:fill="DEEAF6"/>
            <w:vAlign w:val="center"/>
            <w:hideMark/>
          </w:tcPr>
          <w:p w14:paraId="22A02F3C"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000000" w:fill="DEEAF6"/>
            <w:vAlign w:val="center"/>
            <w:hideMark/>
          </w:tcPr>
          <w:p w14:paraId="7640DB46"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000000" w:fill="DEEAF6"/>
            <w:vAlign w:val="center"/>
            <w:hideMark/>
          </w:tcPr>
          <w:p w14:paraId="3128FB66"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8,0</w:t>
            </w:r>
          </w:p>
        </w:tc>
        <w:tc>
          <w:tcPr>
            <w:tcW w:w="766" w:type="dxa"/>
            <w:tcBorders>
              <w:top w:val="nil"/>
              <w:left w:val="nil"/>
              <w:bottom w:val="single" w:sz="8" w:space="0" w:color="9CC2E5"/>
              <w:right w:val="single" w:sz="8" w:space="0" w:color="9CC2E5"/>
            </w:tcBorders>
            <w:shd w:val="clear" w:color="000000" w:fill="DEEAF6"/>
            <w:vAlign w:val="center"/>
            <w:hideMark/>
          </w:tcPr>
          <w:p w14:paraId="0C415259"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1,6</w:t>
            </w:r>
          </w:p>
        </w:tc>
        <w:tc>
          <w:tcPr>
            <w:tcW w:w="765" w:type="dxa"/>
            <w:tcBorders>
              <w:top w:val="nil"/>
              <w:left w:val="nil"/>
              <w:bottom w:val="single" w:sz="8" w:space="0" w:color="9CC2E5"/>
              <w:right w:val="single" w:sz="8" w:space="0" w:color="9CC2E5"/>
            </w:tcBorders>
            <w:shd w:val="clear" w:color="000000" w:fill="DEEAF6"/>
            <w:vAlign w:val="center"/>
            <w:hideMark/>
          </w:tcPr>
          <w:p w14:paraId="4100CF16"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2,5</w:t>
            </w:r>
          </w:p>
        </w:tc>
        <w:tc>
          <w:tcPr>
            <w:tcW w:w="766" w:type="dxa"/>
            <w:tcBorders>
              <w:top w:val="nil"/>
              <w:left w:val="nil"/>
              <w:bottom w:val="single" w:sz="8" w:space="0" w:color="9CC2E5"/>
              <w:right w:val="single" w:sz="8" w:space="0" w:color="9CC2E5"/>
            </w:tcBorders>
            <w:shd w:val="clear" w:color="000000" w:fill="DEEAF6"/>
            <w:vAlign w:val="center"/>
            <w:hideMark/>
          </w:tcPr>
          <w:p w14:paraId="57156604"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2,5</w:t>
            </w:r>
          </w:p>
        </w:tc>
        <w:tc>
          <w:tcPr>
            <w:tcW w:w="766" w:type="dxa"/>
            <w:tcBorders>
              <w:top w:val="nil"/>
              <w:left w:val="nil"/>
              <w:bottom w:val="single" w:sz="8" w:space="0" w:color="9CC2E5"/>
              <w:right w:val="single" w:sz="8" w:space="0" w:color="9CC2E5"/>
            </w:tcBorders>
            <w:shd w:val="clear" w:color="000000" w:fill="DEEAF6"/>
            <w:vAlign w:val="center"/>
            <w:hideMark/>
          </w:tcPr>
          <w:p w14:paraId="6AF79E49"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2,5</w:t>
            </w:r>
          </w:p>
        </w:tc>
        <w:tc>
          <w:tcPr>
            <w:tcW w:w="766" w:type="dxa"/>
            <w:tcBorders>
              <w:top w:val="nil"/>
              <w:left w:val="nil"/>
              <w:bottom w:val="single" w:sz="8" w:space="0" w:color="9CC2E5"/>
              <w:right w:val="single" w:sz="8" w:space="0" w:color="9CC2E5"/>
            </w:tcBorders>
            <w:shd w:val="clear" w:color="000000" w:fill="DEEAF6"/>
            <w:vAlign w:val="center"/>
          </w:tcPr>
          <w:p w14:paraId="388059DF" w14:textId="77777777" w:rsidR="00C8305B" w:rsidRDefault="00C8305B" w:rsidP="00B312F7">
            <w:pPr>
              <w:ind w:firstLine="0"/>
              <w:jc w:val="center"/>
              <w:rPr>
                <w:color w:val="000000"/>
                <w:sz w:val="18"/>
                <w:szCs w:val="18"/>
              </w:rPr>
            </w:pPr>
            <w:r>
              <w:rPr>
                <w:color w:val="000000"/>
                <w:sz w:val="18"/>
                <w:szCs w:val="18"/>
              </w:rPr>
              <w:t>2,5</w:t>
            </w:r>
          </w:p>
        </w:tc>
      </w:tr>
      <w:tr w:rsidR="00C8305B" w:rsidRPr="005346E4" w14:paraId="113AB76C" w14:textId="77777777" w:rsidTr="00B312F7">
        <w:trPr>
          <w:trHeight w:val="315"/>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5B367868"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3. SPCI izmaiņas (gads pret gadu)</w:t>
            </w:r>
          </w:p>
        </w:tc>
        <w:tc>
          <w:tcPr>
            <w:tcW w:w="709" w:type="dxa"/>
            <w:tcBorders>
              <w:top w:val="nil"/>
              <w:left w:val="nil"/>
              <w:bottom w:val="single" w:sz="8" w:space="0" w:color="9CC2E5"/>
              <w:right w:val="single" w:sz="8" w:space="0" w:color="9CC2E5"/>
            </w:tcBorders>
            <w:shd w:val="clear" w:color="auto" w:fill="auto"/>
            <w:vAlign w:val="center"/>
            <w:hideMark/>
          </w:tcPr>
          <w:p w14:paraId="53B6079F"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auto" w:fill="auto"/>
            <w:vAlign w:val="center"/>
            <w:hideMark/>
          </w:tcPr>
          <w:p w14:paraId="094F3070"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center"/>
            <w:hideMark/>
          </w:tcPr>
          <w:p w14:paraId="3E01EBB7"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8,9</w:t>
            </w:r>
          </w:p>
        </w:tc>
        <w:tc>
          <w:tcPr>
            <w:tcW w:w="766" w:type="dxa"/>
            <w:tcBorders>
              <w:top w:val="nil"/>
              <w:left w:val="nil"/>
              <w:bottom w:val="single" w:sz="8" w:space="0" w:color="9CC2E5"/>
              <w:right w:val="single" w:sz="8" w:space="0" w:color="9CC2E5"/>
            </w:tcBorders>
            <w:shd w:val="clear" w:color="auto" w:fill="auto"/>
            <w:vAlign w:val="center"/>
            <w:hideMark/>
          </w:tcPr>
          <w:p w14:paraId="6ABC99B4"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1,6</w:t>
            </w:r>
          </w:p>
        </w:tc>
        <w:tc>
          <w:tcPr>
            <w:tcW w:w="765" w:type="dxa"/>
            <w:tcBorders>
              <w:top w:val="nil"/>
              <w:left w:val="nil"/>
              <w:bottom w:val="single" w:sz="8" w:space="0" w:color="9CC2E5"/>
              <w:right w:val="single" w:sz="8" w:space="0" w:color="9CC2E5"/>
            </w:tcBorders>
            <w:shd w:val="clear" w:color="auto" w:fill="auto"/>
            <w:vAlign w:val="center"/>
            <w:hideMark/>
          </w:tcPr>
          <w:p w14:paraId="60618081"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2,5</w:t>
            </w:r>
          </w:p>
        </w:tc>
        <w:tc>
          <w:tcPr>
            <w:tcW w:w="766" w:type="dxa"/>
            <w:tcBorders>
              <w:top w:val="nil"/>
              <w:left w:val="nil"/>
              <w:bottom w:val="single" w:sz="8" w:space="0" w:color="9CC2E5"/>
              <w:right w:val="single" w:sz="8" w:space="0" w:color="9CC2E5"/>
            </w:tcBorders>
            <w:shd w:val="clear" w:color="auto" w:fill="auto"/>
            <w:vAlign w:val="center"/>
            <w:hideMark/>
          </w:tcPr>
          <w:p w14:paraId="178BC735"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2,5</w:t>
            </w:r>
          </w:p>
        </w:tc>
        <w:tc>
          <w:tcPr>
            <w:tcW w:w="766" w:type="dxa"/>
            <w:tcBorders>
              <w:top w:val="nil"/>
              <w:left w:val="nil"/>
              <w:bottom w:val="single" w:sz="8" w:space="0" w:color="9CC2E5"/>
              <w:right w:val="single" w:sz="8" w:space="0" w:color="9CC2E5"/>
            </w:tcBorders>
            <w:shd w:val="clear" w:color="auto" w:fill="auto"/>
            <w:vAlign w:val="center"/>
            <w:hideMark/>
          </w:tcPr>
          <w:p w14:paraId="6865F6C5"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2,5</w:t>
            </w:r>
          </w:p>
        </w:tc>
        <w:tc>
          <w:tcPr>
            <w:tcW w:w="766" w:type="dxa"/>
            <w:tcBorders>
              <w:top w:val="nil"/>
              <w:left w:val="nil"/>
              <w:bottom w:val="single" w:sz="8" w:space="0" w:color="9CC2E5"/>
              <w:right w:val="single" w:sz="8" w:space="0" w:color="9CC2E5"/>
            </w:tcBorders>
            <w:vAlign w:val="center"/>
          </w:tcPr>
          <w:p w14:paraId="2AB8DE73" w14:textId="77777777" w:rsidR="00C8305B" w:rsidRDefault="00C8305B" w:rsidP="00B312F7">
            <w:pPr>
              <w:ind w:firstLine="0"/>
              <w:jc w:val="center"/>
              <w:rPr>
                <w:color w:val="000000"/>
                <w:sz w:val="18"/>
                <w:szCs w:val="18"/>
              </w:rPr>
            </w:pPr>
            <w:r>
              <w:rPr>
                <w:color w:val="000000"/>
                <w:sz w:val="18"/>
                <w:szCs w:val="18"/>
              </w:rPr>
              <w:t>2,5</w:t>
            </w:r>
          </w:p>
        </w:tc>
      </w:tr>
      <w:tr w:rsidR="00C8305B" w:rsidRPr="005346E4" w14:paraId="7FA76F08" w14:textId="77777777" w:rsidTr="00B312F7">
        <w:trPr>
          <w:trHeight w:val="315"/>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149B7551"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 xml:space="preserve">4. Sabiedriskā patēriņa </w:t>
            </w:r>
            <w:proofErr w:type="spellStart"/>
            <w:r w:rsidRPr="005346E4">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000000" w:fill="DEEAF6"/>
            <w:vAlign w:val="center"/>
            <w:hideMark/>
          </w:tcPr>
          <w:p w14:paraId="2AF0580E"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000000" w:fill="DEEAF6"/>
            <w:vAlign w:val="center"/>
            <w:hideMark/>
          </w:tcPr>
          <w:p w14:paraId="616ECA54"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000000" w:fill="DEEAF6"/>
            <w:vAlign w:val="center"/>
            <w:hideMark/>
          </w:tcPr>
          <w:p w14:paraId="7254F006"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0,6</w:t>
            </w:r>
          </w:p>
        </w:tc>
        <w:tc>
          <w:tcPr>
            <w:tcW w:w="766" w:type="dxa"/>
            <w:tcBorders>
              <w:top w:val="nil"/>
              <w:left w:val="nil"/>
              <w:bottom w:val="single" w:sz="8" w:space="0" w:color="9CC2E5"/>
              <w:right w:val="single" w:sz="8" w:space="0" w:color="9CC2E5"/>
            </w:tcBorders>
            <w:shd w:val="clear" w:color="000000" w:fill="DEEAF6"/>
            <w:vAlign w:val="center"/>
            <w:hideMark/>
          </w:tcPr>
          <w:p w14:paraId="3F890B85"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1,5</w:t>
            </w:r>
          </w:p>
        </w:tc>
        <w:tc>
          <w:tcPr>
            <w:tcW w:w="765" w:type="dxa"/>
            <w:tcBorders>
              <w:top w:val="nil"/>
              <w:left w:val="nil"/>
              <w:bottom w:val="single" w:sz="8" w:space="0" w:color="9CC2E5"/>
              <w:right w:val="single" w:sz="8" w:space="0" w:color="9CC2E5"/>
            </w:tcBorders>
            <w:shd w:val="clear" w:color="000000" w:fill="DEEAF6"/>
            <w:vAlign w:val="center"/>
            <w:hideMark/>
          </w:tcPr>
          <w:p w14:paraId="078BB22E"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2,0</w:t>
            </w:r>
          </w:p>
        </w:tc>
        <w:tc>
          <w:tcPr>
            <w:tcW w:w="766" w:type="dxa"/>
            <w:tcBorders>
              <w:top w:val="nil"/>
              <w:left w:val="nil"/>
              <w:bottom w:val="single" w:sz="8" w:space="0" w:color="9CC2E5"/>
              <w:right w:val="single" w:sz="8" w:space="0" w:color="9CC2E5"/>
            </w:tcBorders>
            <w:shd w:val="clear" w:color="000000" w:fill="DEEAF6"/>
            <w:vAlign w:val="center"/>
            <w:hideMark/>
          </w:tcPr>
          <w:p w14:paraId="153F3F6B"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1,2</w:t>
            </w:r>
          </w:p>
        </w:tc>
        <w:tc>
          <w:tcPr>
            <w:tcW w:w="766" w:type="dxa"/>
            <w:tcBorders>
              <w:top w:val="nil"/>
              <w:left w:val="nil"/>
              <w:bottom w:val="single" w:sz="8" w:space="0" w:color="9CC2E5"/>
              <w:right w:val="single" w:sz="8" w:space="0" w:color="9CC2E5"/>
            </w:tcBorders>
            <w:shd w:val="clear" w:color="000000" w:fill="DEEAF6"/>
            <w:vAlign w:val="center"/>
            <w:hideMark/>
          </w:tcPr>
          <w:p w14:paraId="3670A1E5"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0,5</w:t>
            </w:r>
          </w:p>
        </w:tc>
        <w:tc>
          <w:tcPr>
            <w:tcW w:w="766" w:type="dxa"/>
            <w:tcBorders>
              <w:top w:val="nil"/>
              <w:left w:val="nil"/>
              <w:bottom w:val="single" w:sz="8" w:space="0" w:color="9CC2E5"/>
              <w:right w:val="single" w:sz="8" w:space="0" w:color="9CC2E5"/>
            </w:tcBorders>
            <w:shd w:val="clear" w:color="000000" w:fill="DEEAF6"/>
            <w:vAlign w:val="center"/>
          </w:tcPr>
          <w:p w14:paraId="19FFA69C" w14:textId="77777777" w:rsidR="00C8305B" w:rsidRDefault="00C8305B" w:rsidP="00B312F7">
            <w:pPr>
              <w:ind w:firstLine="0"/>
              <w:jc w:val="center"/>
              <w:rPr>
                <w:color w:val="000000"/>
                <w:sz w:val="18"/>
                <w:szCs w:val="18"/>
              </w:rPr>
            </w:pPr>
            <w:r>
              <w:rPr>
                <w:color w:val="000000"/>
                <w:sz w:val="18"/>
                <w:szCs w:val="18"/>
              </w:rPr>
              <w:t>0,5</w:t>
            </w:r>
          </w:p>
        </w:tc>
      </w:tr>
      <w:tr w:rsidR="00C8305B" w:rsidRPr="005346E4" w14:paraId="5AA479FB" w14:textId="77777777" w:rsidTr="00B312F7">
        <w:trPr>
          <w:trHeight w:val="315"/>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555B873B"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 xml:space="preserve">5. Investīciju </w:t>
            </w:r>
            <w:proofErr w:type="spellStart"/>
            <w:r w:rsidRPr="005346E4">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auto" w:fill="auto"/>
            <w:vAlign w:val="center"/>
            <w:hideMark/>
          </w:tcPr>
          <w:p w14:paraId="335FD00E"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auto" w:fill="auto"/>
            <w:vAlign w:val="center"/>
            <w:hideMark/>
          </w:tcPr>
          <w:p w14:paraId="7DBD78F5"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center"/>
            <w:hideMark/>
          </w:tcPr>
          <w:p w14:paraId="68D640F8"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6,4</w:t>
            </w:r>
          </w:p>
        </w:tc>
        <w:tc>
          <w:tcPr>
            <w:tcW w:w="766" w:type="dxa"/>
            <w:tcBorders>
              <w:top w:val="nil"/>
              <w:left w:val="nil"/>
              <w:bottom w:val="single" w:sz="8" w:space="0" w:color="9CC2E5"/>
              <w:right w:val="single" w:sz="8" w:space="0" w:color="9CC2E5"/>
            </w:tcBorders>
            <w:shd w:val="clear" w:color="auto" w:fill="auto"/>
            <w:vAlign w:val="center"/>
            <w:hideMark/>
          </w:tcPr>
          <w:p w14:paraId="7E874E92"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4,0</w:t>
            </w:r>
          </w:p>
        </w:tc>
        <w:tc>
          <w:tcPr>
            <w:tcW w:w="765" w:type="dxa"/>
            <w:tcBorders>
              <w:top w:val="nil"/>
              <w:left w:val="nil"/>
              <w:bottom w:val="single" w:sz="8" w:space="0" w:color="9CC2E5"/>
              <w:right w:val="single" w:sz="8" w:space="0" w:color="9CC2E5"/>
            </w:tcBorders>
            <w:shd w:val="clear" w:color="auto" w:fill="auto"/>
            <w:vAlign w:val="center"/>
            <w:hideMark/>
          </w:tcPr>
          <w:p w14:paraId="27DE2722"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4,0</w:t>
            </w:r>
          </w:p>
        </w:tc>
        <w:tc>
          <w:tcPr>
            <w:tcW w:w="766" w:type="dxa"/>
            <w:tcBorders>
              <w:top w:val="nil"/>
              <w:left w:val="nil"/>
              <w:bottom w:val="single" w:sz="8" w:space="0" w:color="9CC2E5"/>
              <w:right w:val="single" w:sz="8" w:space="0" w:color="9CC2E5"/>
            </w:tcBorders>
            <w:shd w:val="clear" w:color="auto" w:fill="auto"/>
            <w:vAlign w:val="center"/>
            <w:hideMark/>
          </w:tcPr>
          <w:p w14:paraId="10901301"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2,0</w:t>
            </w:r>
          </w:p>
        </w:tc>
        <w:tc>
          <w:tcPr>
            <w:tcW w:w="766" w:type="dxa"/>
            <w:tcBorders>
              <w:top w:val="nil"/>
              <w:left w:val="nil"/>
              <w:bottom w:val="single" w:sz="8" w:space="0" w:color="9CC2E5"/>
              <w:right w:val="single" w:sz="8" w:space="0" w:color="9CC2E5"/>
            </w:tcBorders>
            <w:shd w:val="clear" w:color="auto" w:fill="auto"/>
            <w:vAlign w:val="center"/>
            <w:hideMark/>
          </w:tcPr>
          <w:p w14:paraId="0235C411"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2,0</w:t>
            </w:r>
          </w:p>
        </w:tc>
        <w:tc>
          <w:tcPr>
            <w:tcW w:w="766" w:type="dxa"/>
            <w:tcBorders>
              <w:top w:val="nil"/>
              <w:left w:val="nil"/>
              <w:bottom w:val="single" w:sz="8" w:space="0" w:color="9CC2E5"/>
              <w:right w:val="single" w:sz="8" w:space="0" w:color="9CC2E5"/>
            </w:tcBorders>
            <w:vAlign w:val="center"/>
          </w:tcPr>
          <w:p w14:paraId="63AF6437" w14:textId="77777777" w:rsidR="00C8305B" w:rsidRDefault="00C8305B" w:rsidP="00B312F7">
            <w:pPr>
              <w:ind w:firstLine="0"/>
              <w:jc w:val="center"/>
              <w:rPr>
                <w:color w:val="000000"/>
                <w:sz w:val="18"/>
                <w:szCs w:val="18"/>
              </w:rPr>
            </w:pPr>
            <w:r>
              <w:rPr>
                <w:color w:val="000000"/>
                <w:sz w:val="18"/>
                <w:szCs w:val="18"/>
              </w:rPr>
              <w:t>2,0</w:t>
            </w:r>
          </w:p>
        </w:tc>
      </w:tr>
      <w:tr w:rsidR="00C8305B" w:rsidRPr="005346E4" w14:paraId="0243136A" w14:textId="77777777" w:rsidTr="00B312F7">
        <w:trPr>
          <w:trHeight w:val="315"/>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72E88785"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 xml:space="preserve">6. Eksporta (preču un pakalpojumu) </w:t>
            </w:r>
            <w:proofErr w:type="spellStart"/>
            <w:r w:rsidRPr="005346E4">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000000" w:fill="DEEAF6"/>
            <w:vAlign w:val="center"/>
            <w:hideMark/>
          </w:tcPr>
          <w:p w14:paraId="5DA3E463"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000000" w:fill="DEEAF6"/>
            <w:vAlign w:val="center"/>
            <w:hideMark/>
          </w:tcPr>
          <w:p w14:paraId="737D9988"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000000" w:fill="DEEAF6"/>
            <w:vAlign w:val="center"/>
            <w:hideMark/>
          </w:tcPr>
          <w:p w14:paraId="3477E201"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-1,8</w:t>
            </w:r>
          </w:p>
        </w:tc>
        <w:tc>
          <w:tcPr>
            <w:tcW w:w="766" w:type="dxa"/>
            <w:tcBorders>
              <w:top w:val="nil"/>
              <w:left w:val="nil"/>
              <w:bottom w:val="single" w:sz="8" w:space="0" w:color="9CC2E5"/>
              <w:right w:val="single" w:sz="8" w:space="0" w:color="9CC2E5"/>
            </w:tcBorders>
            <w:shd w:val="clear" w:color="000000" w:fill="DEEAF6"/>
            <w:vAlign w:val="center"/>
            <w:hideMark/>
          </w:tcPr>
          <w:p w14:paraId="762613E8"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2,9</w:t>
            </w:r>
          </w:p>
        </w:tc>
        <w:tc>
          <w:tcPr>
            <w:tcW w:w="765" w:type="dxa"/>
            <w:tcBorders>
              <w:top w:val="nil"/>
              <w:left w:val="nil"/>
              <w:bottom w:val="single" w:sz="8" w:space="0" w:color="9CC2E5"/>
              <w:right w:val="single" w:sz="8" w:space="0" w:color="9CC2E5"/>
            </w:tcBorders>
            <w:shd w:val="clear" w:color="000000" w:fill="DEEAF6"/>
            <w:vAlign w:val="center"/>
            <w:hideMark/>
          </w:tcPr>
          <w:p w14:paraId="2DD6996D"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3,4</w:t>
            </w:r>
          </w:p>
        </w:tc>
        <w:tc>
          <w:tcPr>
            <w:tcW w:w="766" w:type="dxa"/>
            <w:tcBorders>
              <w:top w:val="nil"/>
              <w:left w:val="nil"/>
              <w:bottom w:val="single" w:sz="8" w:space="0" w:color="9CC2E5"/>
              <w:right w:val="single" w:sz="8" w:space="0" w:color="9CC2E5"/>
            </w:tcBorders>
            <w:shd w:val="clear" w:color="000000" w:fill="DEEAF6"/>
            <w:vAlign w:val="center"/>
            <w:hideMark/>
          </w:tcPr>
          <w:p w14:paraId="1CC8C50A"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3,2</w:t>
            </w:r>
          </w:p>
        </w:tc>
        <w:tc>
          <w:tcPr>
            <w:tcW w:w="766" w:type="dxa"/>
            <w:tcBorders>
              <w:top w:val="nil"/>
              <w:left w:val="nil"/>
              <w:bottom w:val="single" w:sz="8" w:space="0" w:color="9CC2E5"/>
              <w:right w:val="single" w:sz="8" w:space="0" w:color="9CC2E5"/>
            </w:tcBorders>
            <w:shd w:val="clear" w:color="000000" w:fill="DEEAF6"/>
            <w:vAlign w:val="center"/>
            <w:hideMark/>
          </w:tcPr>
          <w:p w14:paraId="5D3BCD53"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3,2</w:t>
            </w:r>
          </w:p>
        </w:tc>
        <w:tc>
          <w:tcPr>
            <w:tcW w:w="766" w:type="dxa"/>
            <w:tcBorders>
              <w:top w:val="nil"/>
              <w:left w:val="nil"/>
              <w:bottom w:val="single" w:sz="8" w:space="0" w:color="9CC2E5"/>
              <w:right w:val="single" w:sz="8" w:space="0" w:color="9CC2E5"/>
            </w:tcBorders>
            <w:shd w:val="clear" w:color="000000" w:fill="DEEAF6"/>
            <w:vAlign w:val="center"/>
          </w:tcPr>
          <w:p w14:paraId="5A40C7EF" w14:textId="77777777" w:rsidR="00C8305B" w:rsidRDefault="00C8305B" w:rsidP="00B312F7">
            <w:pPr>
              <w:ind w:firstLine="0"/>
              <w:jc w:val="center"/>
              <w:rPr>
                <w:color w:val="000000"/>
                <w:sz w:val="18"/>
                <w:szCs w:val="18"/>
              </w:rPr>
            </w:pPr>
            <w:r>
              <w:rPr>
                <w:color w:val="000000"/>
                <w:sz w:val="18"/>
                <w:szCs w:val="18"/>
              </w:rPr>
              <w:t>3,2</w:t>
            </w:r>
          </w:p>
        </w:tc>
      </w:tr>
      <w:tr w:rsidR="00C8305B" w:rsidRPr="005346E4" w14:paraId="0AA7D28C" w14:textId="77777777" w:rsidTr="00B312F7">
        <w:trPr>
          <w:trHeight w:val="315"/>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624C7916"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 xml:space="preserve">7. Importa (preču un pakalpojumu) </w:t>
            </w:r>
            <w:proofErr w:type="spellStart"/>
            <w:r w:rsidRPr="005346E4">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auto" w:fill="auto"/>
            <w:vAlign w:val="center"/>
            <w:hideMark/>
          </w:tcPr>
          <w:p w14:paraId="2ACE27F3"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auto" w:fill="auto"/>
            <w:vAlign w:val="center"/>
            <w:hideMark/>
          </w:tcPr>
          <w:p w14:paraId="41DF4F6C"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center"/>
            <w:hideMark/>
          </w:tcPr>
          <w:p w14:paraId="2EF6BA47"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-5,2</w:t>
            </w:r>
          </w:p>
        </w:tc>
        <w:tc>
          <w:tcPr>
            <w:tcW w:w="766" w:type="dxa"/>
            <w:tcBorders>
              <w:top w:val="nil"/>
              <w:left w:val="nil"/>
              <w:bottom w:val="single" w:sz="8" w:space="0" w:color="9CC2E5"/>
              <w:right w:val="single" w:sz="8" w:space="0" w:color="9CC2E5"/>
            </w:tcBorders>
            <w:shd w:val="clear" w:color="auto" w:fill="auto"/>
            <w:vAlign w:val="center"/>
            <w:hideMark/>
          </w:tcPr>
          <w:p w14:paraId="4A54F9AD"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1,1</w:t>
            </w:r>
          </w:p>
        </w:tc>
        <w:tc>
          <w:tcPr>
            <w:tcW w:w="765" w:type="dxa"/>
            <w:tcBorders>
              <w:top w:val="nil"/>
              <w:left w:val="nil"/>
              <w:bottom w:val="single" w:sz="8" w:space="0" w:color="9CC2E5"/>
              <w:right w:val="single" w:sz="8" w:space="0" w:color="9CC2E5"/>
            </w:tcBorders>
            <w:shd w:val="clear" w:color="auto" w:fill="auto"/>
            <w:vAlign w:val="center"/>
            <w:hideMark/>
          </w:tcPr>
          <w:p w14:paraId="38FB516B"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2,6</w:t>
            </w:r>
          </w:p>
        </w:tc>
        <w:tc>
          <w:tcPr>
            <w:tcW w:w="766" w:type="dxa"/>
            <w:tcBorders>
              <w:top w:val="nil"/>
              <w:left w:val="nil"/>
              <w:bottom w:val="single" w:sz="8" w:space="0" w:color="9CC2E5"/>
              <w:right w:val="single" w:sz="8" w:space="0" w:color="9CC2E5"/>
            </w:tcBorders>
            <w:shd w:val="clear" w:color="auto" w:fill="auto"/>
            <w:vAlign w:val="center"/>
            <w:hideMark/>
          </w:tcPr>
          <w:p w14:paraId="1C6F3B1B"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3,0</w:t>
            </w:r>
          </w:p>
        </w:tc>
        <w:tc>
          <w:tcPr>
            <w:tcW w:w="766" w:type="dxa"/>
            <w:tcBorders>
              <w:top w:val="nil"/>
              <w:left w:val="nil"/>
              <w:bottom w:val="single" w:sz="8" w:space="0" w:color="9CC2E5"/>
              <w:right w:val="single" w:sz="8" w:space="0" w:color="9CC2E5"/>
            </w:tcBorders>
            <w:shd w:val="clear" w:color="auto" w:fill="auto"/>
            <w:vAlign w:val="center"/>
            <w:hideMark/>
          </w:tcPr>
          <w:p w14:paraId="723B4E5A" w14:textId="77777777" w:rsidR="00C8305B" w:rsidRPr="0045390C" w:rsidRDefault="00C8305B" w:rsidP="00B312F7">
            <w:pPr>
              <w:ind w:firstLine="0"/>
              <w:jc w:val="center"/>
              <w:rPr>
                <w:rFonts w:eastAsia="Times New Roman" w:cs="Times New Roman"/>
                <w:sz w:val="18"/>
                <w:szCs w:val="18"/>
                <w:lang w:eastAsia="lv-LV"/>
              </w:rPr>
            </w:pPr>
            <w:r>
              <w:rPr>
                <w:color w:val="000000"/>
                <w:sz w:val="18"/>
                <w:szCs w:val="18"/>
              </w:rPr>
              <w:t>3,0</w:t>
            </w:r>
          </w:p>
        </w:tc>
        <w:tc>
          <w:tcPr>
            <w:tcW w:w="766" w:type="dxa"/>
            <w:tcBorders>
              <w:top w:val="nil"/>
              <w:left w:val="nil"/>
              <w:bottom w:val="single" w:sz="8" w:space="0" w:color="9CC2E5"/>
              <w:right w:val="single" w:sz="8" w:space="0" w:color="9CC2E5"/>
            </w:tcBorders>
            <w:vAlign w:val="center"/>
          </w:tcPr>
          <w:p w14:paraId="6839C0D6" w14:textId="77777777" w:rsidR="00C8305B" w:rsidRDefault="00C8305B" w:rsidP="00B312F7">
            <w:pPr>
              <w:ind w:firstLine="0"/>
              <w:jc w:val="center"/>
              <w:rPr>
                <w:color w:val="000000"/>
                <w:sz w:val="18"/>
                <w:szCs w:val="18"/>
              </w:rPr>
            </w:pPr>
            <w:r>
              <w:rPr>
                <w:color w:val="000000"/>
                <w:sz w:val="18"/>
                <w:szCs w:val="18"/>
              </w:rPr>
              <w:t>3,0</w:t>
            </w:r>
          </w:p>
        </w:tc>
      </w:tr>
    </w:tbl>
    <w:p w14:paraId="6345018D" w14:textId="7D2B0A08" w:rsidR="00C8305B" w:rsidRPr="00002184" w:rsidRDefault="00C8305B" w:rsidP="00C8305B">
      <w:pPr>
        <w:spacing w:after="160" w:line="259" w:lineRule="auto"/>
        <w:ind w:firstLine="0"/>
        <w:jc w:val="left"/>
        <w:rPr>
          <w:rFonts w:eastAsia="Times New Roman" w:cs="Times New Roman"/>
          <w:b/>
          <w:color w:val="000000"/>
          <w:sz w:val="24"/>
        </w:rPr>
      </w:pPr>
      <w:r>
        <w:rPr>
          <w:rFonts w:eastAsia="Times New Roman" w:cs="Times New Roman"/>
          <w:color w:val="000000"/>
          <w:sz w:val="18"/>
          <w:szCs w:val="18"/>
          <w:vertAlign w:val="superscript"/>
        </w:rPr>
        <w:t>*</w:t>
      </w:r>
      <w:r w:rsidRPr="0087383B">
        <w:rPr>
          <w:rFonts w:eastAsia="Times New Roman" w:cs="Times New Roman"/>
          <w:color w:val="000000"/>
          <w:sz w:val="18"/>
          <w:szCs w:val="18"/>
          <w:vertAlign w:val="superscript"/>
        </w:rPr>
        <w:t xml:space="preserve"> </w:t>
      </w:r>
      <w:r w:rsidRPr="0087383B">
        <w:rPr>
          <w:rFonts w:eastAsia="Times New Roman" w:cs="Times New Roman"/>
          <w:color w:val="000000"/>
          <w:sz w:val="18"/>
          <w:szCs w:val="18"/>
        </w:rPr>
        <w:t>Prognozes</w:t>
      </w:r>
      <w:r>
        <w:rPr>
          <w:rFonts w:eastAsia="Times New Roman" w:cs="Times New Roman"/>
          <w:color w:val="000000"/>
          <w:sz w:val="18"/>
          <w:szCs w:val="18"/>
        </w:rPr>
        <w:t>:</w:t>
      </w:r>
      <w:r w:rsidRPr="0087383B">
        <w:rPr>
          <w:rFonts w:eastAsia="Times New Roman" w:cs="Times New Roman"/>
          <w:color w:val="000000"/>
          <w:sz w:val="18"/>
          <w:szCs w:val="18"/>
        </w:rPr>
        <w:t xml:space="preserve"> 202</w:t>
      </w:r>
      <w:r>
        <w:rPr>
          <w:rFonts w:eastAsia="Times New Roman" w:cs="Times New Roman"/>
          <w:color w:val="000000"/>
          <w:sz w:val="18"/>
          <w:szCs w:val="18"/>
        </w:rPr>
        <w:t>4</w:t>
      </w:r>
      <w:r w:rsidRPr="0087383B">
        <w:rPr>
          <w:rFonts w:eastAsia="Times New Roman" w:cs="Times New Roman"/>
          <w:color w:val="000000"/>
          <w:sz w:val="18"/>
          <w:szCs w:val="18"/>
        </w:rPr>
        <w:t>.</w:t>
      </w:r>
      <w:r>
        <w:rPr>
          <w:rFonts w:eastAsia="Times New Roman" w:cs="Times New Roman"/>
          <w:color w:val="000000"/>
          <w:sz w:val="18"/>
          <w:szCs w:val="18"/>
        </w:rPr>
        <w:t xml:space="preserve"> </w:t>
      </w:r>
      <w:r w:rsidRPr="0087383B">
        <w:rPr>
          <w:rFonts w:eastAsia="Times New Roman" w:cs="Times New Roman"/>
          <w:color w:val="000000"/>
          <w:sz w:val="18"/>
          <w:szCs w:val="18"/>
        </w:rPr>
        <w:t xml:space="preserve">gada </w:t>
      </w:r>
      <w:r>
        <w:rPr>
          <w:rFonts w:eastAsia="Times New Roman" w:cs="Times New Roman"/>
          <w:color w:val="000000"/>
          <w:sz w:val="18"/>
          <w:szCs w:val="18"/>
        </w:rPr>
        <w:t>februāra</w:t>
      </w:r>
      <w:r w:rsidRPr="0087383B">
        <w:rPr>
          <w:rFonts w:eastAsia="Times New Roman" w:cs="Times New Roman"/>
          <w:color w:val="000000"/>
          <w:sz w:val="18"/>
          <w:szCs w:val="18"/>
        </w:rPr>
        <w:t xml:space="preserve"> scenārijs</w:t>
      </w:r>
      <w:r w:rsidRPr="00002184">
        <w:rPr>
          <w:rFonts w:eastAsia="Times New Roman" w:cs="Times New Roman"/>
          <w:b/>
          <w:color w:val="000000"/>
          <w:sz w:val="24"/>
        </w:rPr>
        <w:t xml:space="preserve"> </w:t>
      </w:r>
      <w:r w:rsidRPr="00002184">
        <w:rPr>
          <w:rFonts w:eastAsia="Times New Roman" w:cs="Times New Roman"/>
          <w:b/>
          <w:color w:val="000000"/>
          <w:sz w:val="24"/>
        </w:rPr>
        <w:br w:type="page"/>
      </w:r>
      <w:r w:rsidRPr="00002184">
        <w:rPr>
          <w:rFonts w:eastAsia="Times New Roman" w:cs="Times New Roman"/>
          <w:b/>
          <w:color w:val="000000"/>
          <w:sz w:val="24"/>
        </w:rPr>
        <w:lastRenderedPageBreak/>
        <w:t>1c.</w:t>
      </w:r>
      <w:r>
        <w:rPr>
          <w:rFonts w:eastAsia="Times New Roman" w:cs="Times New Roman"/>
          <w:b/>
          <w:color w:val="000000"/>
          <w:sz w:val="24"/>
        </w:rPr>
        <w:t xml:space="preserve"> </w:t>
      </w:r>
      <w:r w:rsidRPr="00002184">
        <w:rPr>
          <w:rFonts w:eastAsia="Times New Roman" w:cs="Times New Roman"/>
          <w:b/>
          <w:color w:val="000000"/>
          <w:sz w:val="24"/>
        </w:rPr>
        <w:t>tabula. Darba tirgus attīstība</w:t>
      </w:r>
      <w:r>
        <w:rPr>
          <w:rFonts w:eastAsia="Times New Roman" w:cs="Times New Roman"/>
          <w:color w:val="000000"/>
          <w:sz w:val="20"/>
          <w:szCs w:val="20"/>
          <w:vertAlign w:val="superscript"/>
        </w:rPr>
        <w:t>*</w:t>
      </w:r>
    </w:p>
    <w:tbl>
      <w:tblPr>
        <w:tblW w:w="9120" w:type="dxa"/>
        <w:tblLayout w:type="fixed"/>
        <w:tblLook w:val="04A0" w:firstRow="1" w:lastRow="0" w:firstColumn="1" w:lastColumn="0" w:noHBand="0" w:noVBand="1"/>
      </w:tblPr>
      <w:tblGrid>
        <w:gridCol w:w="2967"/>
        <w:gridCol w:w="709"/>
        <w:gridCol w:w="850"/>
        <w:gridCol w:w="765"/>
        <w:gridCol w:w="766"/>
        <w:gridCol w:w="765"/>
        <w:gridCol w:w="766"/>
        <w:gridCol w:w="766"/>
        <w:gridCol w:w="766"/>
      </w:tblGrid>
      <w:tr w:rsidR="00C8305B" w:rsidRPr="005346E4" w14:paraId="5F2F11AD" w14:textId="77777777" w:rsidTr="00B312F7">
        <w:tc>
          <w:tcPr>
            <w:tcW w:w="2967" w:type="dxa"/>
            <w:vMerge w:val="restart"/>
            <w:tcBorders>
              <w:top w:val="single" w:sz="8" w:space="0" w:color="9CC2E5"/>
              <w:left w:val="single" w:sz="8" w:space="0" w:color="9CC2E5"/>
              <w:right w:val="single" w:sz="8" w:space="0" w:color="9CC2E5"/>
            </w:tcBorders>
            <w:shd w:val="clear" w:color="auto" w:fill="auto"/>
            <w:vAlign w:val="center"/>
            <w:hideMark/>
          </w:tcPr>
          <w:p w14:paraId="69595D01" w14:textId="77777777" w:rsidR="00C8305B" w:rsidRPr="005346E4" w:rsidRDefault="00C8305B" w:rsidP="00B312F7">
            <w:pPr>
              <w:ind w:firstLine="0"/>
              <w:jc w:val="center"/>
              <w:rPr>
                <w:rFonts w:eastAsia="Times New Roman" w:cs="Times New Roman"/>
                <w:b/>
                <w:bCs/>
                <w:sz w:val="18"/>
                <w:szCs w:val="18"/>
                <w:lang w:eastAsia="lv-LV"/>
              </w:rPr>
            </w:pPr>
          </w:p>
        </w:tc>
        <w:tc>
          <w:tcPr>
            <w:tcW w:w="709" w:type="dxa"/>
            <w:vMerge w:val="restart"/>
            <w:tcBorders>
              <w:top w:val="single" w:sz="8" w:space="0" w:color="9CC2E5"/>
              <w:left w:val="nil"/>
              <w:right w:val="single" w:sz="8" w:space="0" w:color="9CC2E5"/>
            </w:tcBorders>
            <w:shd w:val="clear" w:color="auto" w:fill="auto"/>
            <w:vAlign w:val="center"/>
            <w:hideMark/>
          </w:tcPr>
          <w:p w14:paraId="2451E6F3" w14:textId="77777777" w:rsidR="00C8305B" w:rsidRPr="005346E4" w:rsidRDefault="00C8305B" w:rsidP="00B312F7">
            <w:pPr>
              <w:ind w:firstLine="0"/>
              <w:jc w:val="center"/>
              <w:rPr>
                <w:rFonts w:eastAsia="Times New Roman" w:cs="Times New Roman"/>
                <w:b/>
                <w:bCs/>
                <w:sz w:val="18"/>
                <w:szCs w:val="18"/>
                <w:lang w:eastAsia="lv-LV"/>
              </w:rPr>
            </w:pPr>
            <w:r w:rsidRPr="005346E4">
              <w:rPr>
                <w:rFonts w:eastAsia="Times New Roman" w:cs="Times New Roman"/>
                <w:b/>
                <w:bCs/>
                <w:sz w:val="18"/>
                <w:szCs w:val="18"/>
                <w:lang w:eastAsia="lv-LV"/>
              </w:rPr>
              <w:t>EKS</w:t>
            </w:r>
            <w:r w:rsidRPr="005346E4">
              <w:rPr>
                <w:rFonts w:eastAsia="Times New Roman" w:cs="Times New Roman"/>
                <w:b/>
                <w:bCs/>
                <w:sz w:val="18"/>
                <w:szCs w:val="18"/>
                <w:lang w:eastAsia="lv-LV"/>
              </w:rPr>
              <w:br/>
              <w:t>kods</w:t>
            </w:r>
          </w:p>
        </w:tc>
        <w:tc>
          <w:tcPr>
            <w:tcW w:w="850"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7515CE38"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2023</w:t>
            </w:r>
          </w:p>
        </w:tc>
        <w:tc>
          <w:tcPr>
            <w:tcW w:w="765"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6095214B"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2023</w:t>
            </w:r>
          </w:p>
        </w:tc>
        <w:tc>
          <w:tcPr>
            <w:tcW w:w="766"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542B2A43"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2024</w:t>
            </w:r>
          </w:p>
        </w:tc>
        <w:tc>
          <w:tcPr>
            <w:tcW w:w="765"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17013B63"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2025</w:t>
            </w:r>
          </w:p>
        </w:tc>
        <w:tc>
          <w:tcPr>
            <w:tcW w:w="766"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254FFFC9"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2026</w:t>
            </w:r>
          </w:p>
        </w:tc>
        <w:tc>
          <w:tcPr>
            <w:tcW w:w="766"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09148C0D"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2027</w:t>
            </w:r>
          </w:p>
        </w:tc>
        <w:tc>
          <w:tcPr>
            <w:tcW w:w="766" w:type="dxa"/>
            <w:tcBorders>
              <w:top w:val="single" w:sz="8" w:space="0" w:color="9CC2E5"/>
              <w:left w:val="single" w:sz="8" w:space="0" w:color="9CC2E5"/>
              <w:bottom w:val="single" w:sz="12" w:space="0" w:color="9CC2E5"/>
              <w:right w:val="single" w:sz="8" w:space="0" w:color="9CC2E5"/>
            </w:tcBorders>
            <w:vAlign w:val="center"/>
          </w:tcPr>
          <w:p w14:paraId="744D93E1" w14:textId="77777777" w:rsidR="00C8305B" w:rsidRDefault="00C8305B" w:rsidP="00B312F7">
            <w:pPr>
              <w:ind w:firstLine="0"/>
              <w:jc w:val="center"/>
              <w:rPr>
                <w:b/>
                <w:bCs/>
                <w:color w:val="000000"/>
                <w:sz w:val="18"/>
                <w:szCs w:val="18"/>
              </w:rPr>
            </w:pPr>
            <w:r>
              <w:rPr>
                <w:b/>
                <w:bCs/>
                <w:color w:val="000000"/>
                <w:sz w:val="18"/>
                <w:szCs w:val="18"/>
              </w:rPr>
              <w:t>2028</w:t>
            </w:r>
          </w:p>
        </w:tc>
      </w:tr>
      <w:tr w:rsidR="00C8305B" w:rsidRPr="005346E4" w14:paraId="57398841" w14:textId="77777777" w:rsidTr="00B312F7">
        <w:trPr>
          <w:trHeight w:val="330"/>
        </w:trPr>
        <w:tc>
          <w:tcPr>
            <w:tcW w:w="2967" w:type="dxa"/>
            <w:vMerge/>
            <w:tcBorders>
              <w:left w:val="single" w:sz="8" w:space="0" w:color="9CC2E5"/>
              <w:bottom w:val="single" w:sz="8" w:space="0" w:color="9CC2E5"/>
              <w:right w:val="single" w:sz="8" w:space="0" w:color="9CC2E5"/>
            </w:tcBorders>
            <w:shd w:val="clear" w:color="000000" w:fill="DEEAF6"/>
            <w:vAlign w:val="center"/>
            <w:hideMark/>
          </w:tcPr>
          <w:p w14:paraId="2BC60C44" w14:textId="77777777" w:rsidR="00C8305B" w:rsidRPr="005346E4" w:rsidRDefault="00C8305B" w:rsidP="00B312F7">
            <w:pPr>
              <w:ind w:firstLine="0"/>
              <w:jc w:val="center"/>
              <w:rPr>
                <w:rFonts w:eastAsia="Times New Roman" w:cs="Times New Roman"/>
                <w:b/>
                <w:bCs/>
                <w:sz w:val="18"/>
                <w:szCs w:val="18"/>
                <w:lang w:eastAsia="lv-LV"/>
              </w:rPr>
            </w:pPr>
          </w:p>
        </w:tc>
        <w:tc>
          <w:tcPr>
            <w:tcW w:w="709" w:type="dxa"/>
            <w:vMerge/>
            <w:tcBorders>
              <w:left w:val="nil"/>
              <w:bottom w:val="single" w:sz="8" w:space="0" w:color="9CC2E5"/>
              <w:right w:val="single" w:sz="8" w:space="0" w:color="9CC2E5"/>
            </w:tcBorders>
            <w:shd w:val="clear" w:color="000000" w:fill="DEEAF6"/>
            <w:vAlign w:val="center"/>
            <w:hideMark/>
          </w:tcPr>
          <w:p w14:paraId="67D14E30" w14:textId="77777777" w:rsidR="00C8305B" w:rsidRPr="005346E4" w:rsidRDefault="00C8305B" w:rsidP="00B312F7">
            <w:pPr>
              <w:ind w:firstLine="0"/>
              <w:jc w:val="center"/>
              <w:rPr>
                <w:rFonts w:eastAsia="Times New Roman" w:cs="Times New Roman"/>
                <w:sz w:val="18"/>
                <w:szCs w:val="18"/>
                <w:lang w:eastAsia="lv-LV"/>
              </w:rPr>
            </w:pPr>
          </w:p>
        </w:tc>
        <w:tc>
          <w:tcPr>
            <w:tcW w:w="850" w:type="dxa"/>
            <w:tcBorders>
              <w:top w:val="nil"/>
              <w:left w:val="nil"/>
              <w:bottom w:val="single" w:sz="8" w:space="0" w:color="9CC2E5"/>
              <w:right w:val="single" w:sz="8" w:space="0" w:color="9CC2E5"/>
            </w:tcBorders>
            <w:shd w:val="clear" w:color="000000" w:fill="DEEAF6"/>
            <w:vAlign w:val="center"/>
            <w:hideMark/>
          </w:tcPr>
          <w:p w14:paraId="63B17E32"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līmenis</w:t>
            </w:r>
          </w:p>
        </w:tc>
        <w:tc>
          <w:tcPr>
            <w:tcW w:w="3828" w:type="dxa"/>
            <w:gridSpan w:val="5"/>
            <w:tcBorders>
              <w:top w:val="single" w:sz="12" w:space="0" w:color="9CC2E5"/>
              <w:left w:val="nil"/>
              <w:bottom w:val="single" w:sz="8" w:space="0" w:color="9CC2E5"/>
              <w:right w:val="single" w:sz="8" w:space="0" w:color="9CC2E5"/>
            </w:tcBorders>
            <w:shd w:val="clear" w:color="000000" w:fill="DEEAF6"/>
            <w:vAlign w:val="center"/>
            <w:hideMark/>
          </w:tcPr>
          <w:p w14:paraId="2B43408C"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Pieaugums %</w:t>
            </w:r>
          </w:p>
        </w:tc>
        <w:tc>
          <w:tcPr>
            <w:tcW w:w="766" w:type="dxa"/>
            <w:tcBorders>
              <w:top w:val="single" w:sz="12" w:space="0" w:color="9CC2E5"/>
              <w:left w:val="nil"/>
              <w:bottom w:val="single" w:sz="8" w:space="0" w:color="9CC2E5"/>
              <w:right w:val="single" w:sz="8" w:space="0" w:color="9CC2E5"/>
            </w:tcBorders>
            <w:shd w:val="clear" w:color="000000" w:fill="DEEAF6"/>
            <w:vAlign w:val="center"/>
          </w:tcPr>
          <w:p w14:paraId="4E10026A" w14:textId="77777777" w:rsidR="00C8305B" w:rsidRPr="005346E4" w:rsidRDefault="00C8305B" w:rsidP="00B312F7">
            <w:pPr>
              <w:ind w:firstLine="0"/>
              <w:jc w:val="center"/>
              <w:rPr>
                <w:rFonts w:eastAsia="Times New Roman" w:cs="Times New Roman"/>
                <w:sz w:val="18"/>
                <w:szCs w:val="18"/>
                <w:lang w:eastAsia="lv-LV"/>
              </w:rPr>
            </w:pPr>
          </w:p>
        </w:tc>
      </w:tr>
      <w:tr w:rsidR="00C8305B" w:rsidRPr="005346E4" w14:paraId="35409062" w14:textId="77777777" w:rsidTr="00B312F7">
        <w:trPr>
          <w:trHeight w:val="44"/>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552D0718"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1. Nodarbinātība, cilvēki, tūkst</w:t>
            </w:r>
            <w:r>
              <w:rPr>
                <w:rFonts w:eastAsia="Times New Roman" w:cs="Times New Roman"/>
                <w:sz w:val="18"/>
                <w:szCs w:val="18"/>
                <w:lang w:eastAsia="lv-LV"/>
              </w:rPr>
              <w:t>.</w:t>
            </w:r>
          </w:p>
        </w:tc>
        <w:tc>
          <w:tcPr>
            <w:tcW w:w="709" w:type="dxa"/>
            <w:tcBorders>
              <w:top w:val="nil"/>
              <w:left w:val="nil"/>
              <w:bottom w:val="single" w:sz="8" w:space="0" w:color="9CC2E5"/>
              <w:right w:val="single" w:sz="8" w:space="0" w:color="9CC2E5"/>
            </w:tcBorders>
            <w:shd w:val="clear" w:color="auto" w:fill="auto"/>
            <w:vAlign w:val="center"/>
            <w:hideMark/>
          </w:tcPr>
          <w:p w14:paraId="3B76099F" w14:textId="77777777" w:rsidR="00C8305B" w:rsidRPr="005346E4" w:rsidRDefault="00C8305B" w:rsidP="00B312F7">
            <w:pPr>
              <w:ind w:firstLine="0"/>
              <w:jc w:val="center"/>
              <w:rPr>
                <w:rFonts w:eastAsia="Times New Roman" w:cs="Times New Roman"/>
                <w:sz w:val="18"/>
                <w:szCs w:val="18"/>
                <w:lang w:eastAsia="lv-LV"/>
              </w:rPr>
            </w:pPr>
          </w:p>
        </w:tc>
        <w:tc>
          <w:tcPr>
            <w:tcW w:w="850" w:type="dxa"/>
            <w:tcBorders>
              <w:top w:val="nil"/>
              <w:left w:val="nil"/>
              <w:bottom w:val="single" w:sz="8" w:space="0" w:color="9CC2E5"/>
              <w:right w:val="single" w:sz="8" w:space="0" w:color="9CC2E5"/>
            </w:tcBorders>
            <w:shd w:val="clear" w:color="auto" w:fill="auto"/>
            <w:vAlign w:val="center"/>
            <w:hideMark/>
          </w:tcPr>
          <w:p w14:paraId="3A5BF3CD"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884</w:t>
            </w:r>
          </w:p>
        </w:tc>
        <w:tc>
          <w:tcPr>
            <w:tcW w:w="765" w:type="dxa"/>
            <w:tcBorders>
              <w:top w:val="nil"/>
              <w:left w:val="nil"/>
              <w:bottom w:val="single" w:sz="8" w:space="0" w:color="9CC2E5"/>
              <w:right w:val="single" w:sz="8" w:space="0" w:color="9CC2E5"/>
            </w:tcBorders>
            <w:shd w:val="clear" w:color="auto" w:fill="auto"/>
            <w:vAlign w:val="center"/>
            <w:hideMark/>
          </w:tcPr>
          <w:p w14:paraId="74A4CD8C"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-0,2</w:t>
            </w:r>
          </w:p>
        </w:tc>
        <w:tc>
          <w:tcPr>
            <w:tcW w:w="766" w:type="dxa"/>
            <w:tcBorders>
              <w:top w:val="nil"/>
              <w:left w:val="nil"/>
              <w:bottom w:val="single" w:sz="8" w:space="0" w:color="9CC2E5"/>
              <w:right w:val="single" w:sz="8" w:space="0" w:color="9CC2E5"/>
            </w:tcBorders>
            <w:shd w:val="clear" w:color="auto" w:fill="auto"/>
            <w:vAlign w:val="center"/>
            <w:hideMark/>
          </w:tcPr>
          <w:p w14:paraId="716E5809"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0,0</w:t>
            </w:r>
          </w:p>
        </w:tc>
        <w:tc>
          <w:tcPr>
            <w:tcW w:w="765" w:type="dxa"/>
            <w:tcBorders>
              <w:top w:val="nil"/>
              <w:left w:val="nil"/>
              <w:bottom w:val="single" w:sz="8" w:space="0" w:color="9CC2E5"/>
              <w:right w:val="single" w:sz="8" w:space="0" w:color="9CC2E5"/>
            </w:tcBorders>
            <w:shd w:val="clear" w:color="auto" w:fill="auto"/>
            <w:vAlign w:val="center"/>
            <w:hideMark/>
          </w:tcPr>
          <w:p w14:paraId="31344BEE"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0,0</w:t>
            </w:r>
          </w:p>
        </w:tc>
        <w:tc>
          <w:tcPr>
            <w:tcW w:w="766" w:type="dxa"/>
            <w:tcBorders>
              <w:top w:val="nil"/>
              <w:left w:val="nil"/>
              <w:bottom w:val="single" w:sz="8" w:space="0" w:color="9CC2E5"/>
              <w:right w:val="single" w:sz="8" w:space="0" w:color="9CC2E5"/>
            </w:tcBorders>
            <w:shd w:val="clear" w:color="auto" w:fill="auto"/>
            <w:vAlign w:val="center"/>
            <w:hideMark/>
          </w:tcPr>
          <w:p w14:paraId="3E51AA46"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-0,3</w:t>
            </w:r>
          </w:p>
        </w:tc>
        <w:tc>
          <w:tcPr>
            <w:tcW w:w="766" w:type="dxa"/>
            <w:tcBorders>
              <w:top w:val="nil"/>
              <w:left w:val="nil"/>
              <w:bottom w:val="single" w:sz="8" w:space="0" w:color="9CC2E5"/>
              <w:right w:val="single" w:sz="8" w:space="0" w:color="9CC2E5"/>
            </w:tcBorders>
            <w:shd w:val="clear" w:color="auto" w:fill="auto"/>
            <w:vAlign w:val="center"/>
            <w:hideMark/>
          </w:tcPr>
          <w:p w14:paraId="5DFE1DD6"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-0,3</w:t>
            </w:r>
          </w:p>
        </w:tc>
        <w:tc>
          <w:tcPr>
            <w:tcW w:w="766" w:type="dxa"/>
            <w:tcBorders>
              <w:top w:val="nil"/>
              <w:left w:val="nil"/>
              <w:bottom w:val="single" w:sz="8" w:space="0" w:color="9CC2E5"/>
              <w:right w:val="single" w:sz="8" w:space="0" w:color="9CC2E5"/>
            </w:tcBorders>
            <w:vAlign w:val="center"/>
          </w:tcPr>
          <w:p w14:paraId="78CB95D9" w14:textId="77777777" w:rsidR="00C8305B" w:rsidRDefault="00C8305B" w:rsidP="00B312F7">
            <w:pPr>
              <w:ind w:firstLine="0"/>
              <w:jc w:val="center"/>
              <w:rPr>
                <w:color w:val="000000"/>
                <w:sz w:val="18"/>
                <w:szCs w:val="18"/>
              </w:rPr>
            </w:pPr>
            <w:r>
              <w:rPr>
                <w:color w:val="000000"/>
                <w:sz w:val="18"/>
                <w:szCs w:val="18"/>
              </w:rPr>
              <w:t>-0,3</w:t>
            </w:r>
          </w:p>
        </w:tc>
      </w:tr>
      <w:tr w:rsidR="00C8305B" w:rsidRPr="005346E4" w14:paraId="17EECDDC" w14:textId="77777777" w:rsidTr="00B312F7">
        <w:trPr>
          <w:trHeight w:val="48"/>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08EFBE78"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2. Nodarbinātība, darba stundas uz vienu nodarbināto</w:t>
            </w:r>
          </w:p>
        </w:tc>
        <w:tc>
          <w:tcPr>
            <w:tcW w:w="709" w:type="dxa"/>
            <w:tcBorders>
              <w:top w:val="nil"/>
              <w:left w:val="nil"/>
              <w:bottom w:val="single" w:sz="8" w:space="0" w:color="9CC2E5"/>
              <w:right w:val="single" w:sz="8" w:space="0" w:color="9CC2E5"/>
            </w:tcBorders>
            <w:shd w:val="clear" w:color="000000" w:fill="DEEAF6"/>
            <w:vAlign w:val="center"/>
            <w:hideMark/>
          </w:tcPr>
          <w:p w14:paraId="706AC447" w14:textId="77777777" w:rsidR="00C8305B" w:rsidRPr="005346E4" w:rsidRDefault="00C8305B" w:rsidP="00B312F7">
            <w:pPr>
              <w:ind w:firstLine="0"/>
              <w:jc w:val="center"/>
              <w:rPr>
                <w:rFonts w:eastAsia="Times New Roman" w:cs="Times New Roman"/>
                <w:b/>
                <w:bCs/>
                <w:sz w:val="18"/>
                <w:szCs w:val="18"/>
                <w:lang w:eastAsia="lv-LV"/>
              </w:rPr>
            </w:pPr>
          </w:p>
        </w:tc>
        <w:tc>
          <w:tcPr>
            <w:tcW w:w="850" w:type="dxa"/>
            <w:tcBorders>
              <w:top w:val="nil"/>
              <w:left w:val="nil"/>
              <w:bottom w:val="single" w:sz="8" w:space="0" w:color="9CC2E5"/>
              <w:right w:val="single" w:sz="8" w:space="0" w:color="9CC2E5"/>
            </w:tcBorders>
            <w:shd w:val="clear" w:color="000000" w:fill="DEEAF6"/>
            <w:vAlign w:val="center"/>
            <w:hideMark/>
          </w:tcPr>
          <w:p w14:paraId="4AF8CAF5"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1 862</w:t>
            </w:r>
          </w:p>
        </w:tc>
        <w:tc>
          <w:tcPr>
            <w:tcW w:w="765" w:type="dxa"/>
            <w:tcBorders>
              <w:top w:val="nil"/>
              <w:left w:val="nil"/>
              <w:bottom w:val="single" w:sz="8" w:space="0" w:color="9CC2E5"/>
              <w:right w:val="single" w:sz="8" w:space="0" w:color="9CC2E5"/>
            </w:tcBorders>
            <w:shd w:val="clear" w:color="000000" w:fill="DEEAF6"/>
            <w:vAlign w:val="center"/>
            <w:hideMark/>
          </w:tcPr>
          <w:p w14:paraId="458EF9E3"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-0,4</w:t>
            </w:r>
          </w:p>
        </w:tc>
        <w:tc>
          <w:tcPr>
            <w:tcW w:w="766" w:type="dxa"/>
            <w:tcBorders>
              <w:top w:val="nil"/>
              <w:left w:val="nil"/>
              <w:bottom w:val="single" w:sz="8" w:space="0" w:color="9CC2E5"/>
              <w:right w:val="single" w:sz="8" w:space="0" w:color="9CC2E5"/>
            </w:tcBorders>
            <w:shd w:val="clear" w:color="000000" w:fill="DEEAF6"/>
            <w:vAlign w:val="center"/>
            <w:hideMark/>
          </w:tcPr>
          <w:p w14:paraId="19154DFD"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0,0</w:t>
            </w:r>
          </w:p>
        </w:tc>
        <w:tc>
          <w:tcPr>
            <w:tcW w:w="765" w:type="dxa"/>
            <w:tcBorders>
              <w:top w:val="nil"/>
              <w:left w:val="nil"/>
              <w:bottom w:val="single" w:sz="8" w:space="0" w:color="9CC2E5"/>
              <w:right w:val="single" w:sz="8" w:space="0" w:color="9CC2E5"/>
            </w:tcBorders>
            <w:shd w:val="clear" w:color="000000" w:fill="DEEAF6"/>
            <w:vAlign w:val="center"/>
            <w:hideMark/>
          </w:tcPr>
          <w:p w14:paraId="615D9230"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0,0</w:t>
            </w:r>
          </w:p>
        </w:tc>
        <w:tc>
          <w:tcPr>
            <w:tcW w:w="766" w:type="dxa"/>
            <w:tcBorders>
              <w:top w:val="nil"/>
              <w:left w:val="nil"/>
              <w:bottom w:val="single" w:sz="8" w:space="0" w:color="9CC2E5"/>
              <w:right w:val="single" w:sz="8" w:space="0" w:color="9CC2E5"/>
            </w:tcBorders>
            <w:shd w:val="clear" w:color="000000" w:fill="DEEAF6"/>
            <w:vAlign w:val="center"/>
            <w:hideMark/>
          </w:tcPr>
          <w:p w14:paraId="5DBE2CE1"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0,0</w:t>
            </w:r>
          </w:p>
        </w:tc>
        <w:tc>
          <w:tcPr>
            <w:tcW w:w="766" w:type="dxa"/>
            <w:tcBorders>
              <w:top w:val="nil"/>
              <w:left w:val="nil"/>
              <w:bottom w:val="single" w:sz="8" w:space="0" w:color="9CC2E5"/>
              <w:right w:val="single" w:sz="8" w:space="0" w:color="9CC2E5"/>
            </w:tcBorders>
            <w:shd w:val="clear" w:color="000000" w:fill="DEEAF6"/>
            <w:vAlign w:val="center"/>
            <w:hideMark/>
          </w:tcPr>
          <w:p w14:paraId="63CC8DBA"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0,0</w:t>
            </w:r>
          </w:p>
        </w:tc>
        <w:tc>
          <w:tcPr>
            <w:tcW w:w="766" w:type="dxa"/>
            <w:tcBorders>
              <w:top w:val="nil"/>
              <w:left w:val="nil"/>
              <w:bottom w:val="single" w:sz="8" w:space="0" w:color="9CC2E5"/>
              <w:right w:val="single" w:sz="8" w:space="0" w:color="9CC2E5"/>
            </w:tcBorders>
            <w:shd w:val="clear" w:color="000000" w:fill="DEEAF6"/>
            <w:vAlign w:val="center"/>
          </w:tcPr>
          <w:p w14:paraId="3965F82E" w14:textId="77777777" w:rsidR="00C8305B" w:rsidRDefault="00C8305B" w:rsidP="00B312F7">
            <w:pPr>
              <w:ind w:firstLine="0"/>
              <w:jc w:val="center"/>
              <w:rPr>
                <w:color w:val="000000"/>
                <w:sz w:val="18"/>
                <w:szCs w:val="18"/>
              </w:rPr>
            </w:pPr>
            <w:r>
              <w:rPr>
                <w:color w:val="000000"/>
                <w:sz w:val="18"/>
                <w:szCs w:val="18"/>
              </w:rPr>
              <w:t>0,0</w:t>
            </w:r>
          </w:p>
        </w:tc>
      </w:tr>
      <w:tr w:rsidR="00C8305B" w:rsidRPr="005346E4" w14:paraId="4EB4CCF5" w14:textId="77777777" w:rsidTr="00B312F7">
        <w:trPr>
          <w:trHeight w:val="44"/>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3F5C3FE6"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3. Bezdarba līmenis (%)</w:t>
            </w:r>
          </w:p>
        </w:tc>
        <w:tc>
          <w:tcPr>
            <w:tcW w:w="709" w:type="dxa"/>
            <w:tcBorders>
              <w:top w:val="nil"/>
              <w:left w:val="nil"/>
              <w:bottom w:val="single" w:sz="8" w:space="0" w:color="9CC2E5"/>
              <w:right w:val="single" w:sz="8" w:space="0" w:color="9CC2E5"/>
            </w:tcBorders>
            <w:shd w:val="clear" w:color="auto" w:fill="auto"/>
            <w:vAlign w:val="center"/>
            <w:hideMark/>
          </w:tcPr>
          <w:p w14:paraId="510C1F43" w14:textId="77777777" w:rsidR="00C8305B" w:rsidRPr="005346E4" w:rsidRDefault="00C8305B" w:rsidP="00B312F7">
            <w:pPr>
              <w:ind w:firstLine="0"/>
              <w:jc w:val="center"/>
              <w:rPr>
                <w:rFonts w:eastAsia="Times New Roman" w:cs="Times New Roman"/>
                <w:sz w:val="18"/>
                <w:szCs w:val="18"/>
                <w:lang w:eastAsia="lv-LV"/>
              </w:rPr>
            </w:pPr>
          </w:p>
        </w:tc>
        <w:tc>
          <w:tcPr>
            <w:tcW w:w="850" w:type="dxa"/>
            <w:tcBorders>
              <w:top w:val="nil"/>
              <w:left w:val="nil"/>
              <w:bottom w:val="single" w:sz="8" w:space="0" w:color="9CC2E5"/>
              <w:right w:val="single" w:sz="8" w:space="0" w:color="9CC2E5"/>
            </w:tcBorders>
            <w:shd w:val="clear" w:color="auto" w:fill="auto"/>
            <w:vAlign w:val="center"/>
            <w:hideMark/>
          </w:tcPr>
          <w:p w14:paraId="59183CD5" w14:textId="77777777" w:rsidR="00C8305B" w:rsidRPr="005346E4" w:rsidRDefault="00C8305B" w:rsidP="00B312F7">
            <w:pPr>
              <w:ind w:firstLine="0"/>
              <w:jc w:val="center"/>
              <w:rPr>
                <w:rFonts w:eastAsia="Times New Roman" w:cs="Times New Roman"/>
                <w:sz w:val="18"/>
                <w:szCs w:val="18"/>
                <w:lang w:eastAsia="lv-LV"/>
              </w:rPr>
            </w:pPr>
            <w:r>
              <w:rPr>
                <w:rFonts w:ascii="Calibri" w:hAnsi="Calibri" w:cs="Calibri"/>
                <w:color w:val="000000"/>
                <w:sz w:val="22"/>
              </w:rPr>
              <w:t> </w:t>
            </w:r>
          </w:p>
        </w:tc>
        <w:tc>
          <w:tcPr>
            <w:tcW w:w="765" w:type="dxa"/>
            <w:tcBorders>
              <w:top w:val="nil"/>
              <w:left w:val="nil"/>
              <w:bottom w:val="single" w:sz="8" w:space="0" w:color="9CC2E5"/>
              <w:right w:val="single" w:sz="8" w:space="0" w:color="9CC2E5"/>
            </w:tcBorders>
            <w:shd w:val="clear" w:color="auto" w:fill="auto"/>
            <w:vAlign w:val="center"/>
            <w:hideMark/>
          </w:tcPr>
          <w:p w14:paraId="11E29C03"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6,5</w:t>
            </w:r>
          </w:p>
        </w:tc>
        <w:tc>
          <w:tcPr>
            <w:tcW w:w="766" w:type="dxa"/>
            <w:tcBorders>
              <w:top w:val="nil"/>
              <w:left w:val="nil"/>
              <w:bottom w:val="single" w:sz="8" w:space="0" w:color="9CC2E5"/>
              <w:right w:val="single" w:sz="8" w:space="0" w:color="9CC2E5"/>
            </w:tcBorders>
            <w:shd w:val="clear" w:color="auto" w:fill="auto"/>
            <w:vAlign w:val="center"/>
            <w:hideMark/>
          </w:tcPr>
          <w:p w14:paraId="3D87D065"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6,4</w:t>
            </w:r>
          </w:p>
        </w:tc>
        <w:tc>
          <w:tcPr>
            <w:tcW w:w="765" w:type="dxa"/>
            <w:tcBorders>
              <w:top w:val="nil"/>
              <w:left w:val="nil"/>
              <w:bottom w:val="single" w:sz="8" w:space="0" w:color="9CC2E5"/>
              <w:right w:val="single" w:sz="8" w:space="0" w:color="9CC2E5"/>
            </w:tcBorders>
            <w:shd w:val="clear" w:color="auto" w:fill="auto"/>
            <w:vAlign w:val="center"/>
            <w:hideMark/>
          </w:tcPr>
          <w:p w14:paraId="1E527A1A"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6,0</w:t>
            </w:r>
          </w:p>
        </w:tc>
        <w:tc>
          <w:tcPr>
            <w:tcW w:w="766" w:type="dxa"/>
            <w:tcBorders>
              <w:top w:val="nil"/>
              <w:left w:val="nil"/>
              <w:bottom w:val="single" w:sz="8" w:space="0" w:color="9CC2E5"/>
              <w:right w:val="single" w:sz="8" w:space="0" w:color="9CC2E5"/>
            </w:tcBorders>
            <w:shd w:val="clear" w:color="auto" w:fill="auto"/>
            <w:vAlign w:val="center"/>
            <w:hideMark/>
          </w:tcPr>
          <w:p w14:paraId="5D22EEE4"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6,0</w:t>
            </w:r>
          </w:p>
        </w:tc>
        <w:tc>
          <w:tcPr>
            <w:tcW w:w="766" w:type="dxa"/>
            <w:tcBorders>
              <w:top w:val="nil"/>
              <w:left w:val="nil"/>
              <w:bottom w:val="single" w:sz="8" w:space="0" w:color="9CC2E5"/>
              <w:right w:val="single" w:sz="8" w:space="0" w:color="9CC2E5"/>
            </w:tcBorders>
            <w:shd w:val="clear" w:color="auto" w:fill="auto"/>
            <w:vAlign w:val="center"/>
            <w:hideMark/>
          </w:tcPr>
          <w:p w14:paraId="20338A8E"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5,5</w:t>
            </w:r>
          </w:p>
        </w:tc>
        <w:tc>
          <w:tcPr>
            <w:tcW w:w="766" w:type="dxa"/>
            <w:tcBorders>
              <w:top w:val="nil"/>
              <w:left w:val="nil"/>
              <w:bottom w:val="single" w:sz="8" w:space="0" w:color="9CC2E5"/>
              <w:right w:val="single" w:sz="8" w:space="0" w:color="9CC2E5"/>
            </w:tcBorders>
            <w:vAlign w:val="center"/>
          </w:tcPr>
          <w:p w14:paraId="7457285F" w14:textId="77777777" w:rsidR="00C8305B" w:rsidRDefault="00C8305B" w:rsidP="00B312F7">
            <w:pPr>
              <w:ind w:firstLine="0"/>
              <w:jc w:val="center"/>
              <w:rPr>
                <w:color w:val="000000"/>
                <w:sz w:val="18"/>
                <w:szCs w:val="18"/>
              </w:rPr>
            </w:pPr>
            <w:r>
              <w:rPr>
                <w:color w:val="000000"/>
                <w:sz w:val="18"/>
                <w:szCs w:val="18"/>
              </w:rPr>
              <w:t>4,9</w:t>
            </w:r>
          </w:p>
        </w:tc>
      </w:tr>
      <w:tr w:rsidR="00C8305B" w:rsidRPr="005346E4" w14:paraId="435F03CF" w14:textId="77777777" w:rsidTr="00B312F7">
        <w:trPr>
          <w:trHeight w:val="44"/>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0927A401"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4. Darba ražīgums, uz nodarbināto</w:t>
            </w:r>
          </w:p>
        </w:tc>
        <w:tc>
          <w:tcPr>
            <w:tcW w:w="709" w:type="dxa"/>
            <w:tcBorders>
              <w:top w:val="nil"/>
              <w:left w:val="nil"/>
              <w:bottom w:val="single" w:sz="8" w:space="0" w:color="9CC2E5"/>
              <w:right w:val="single" w:sz="8" w:space="0" w:color="9CC2E5"/>
            </w:tcBorders>
            <w:shd w:val="clear" w:color="000000" w:fill="DEEAF6"/>
            <w:vAlign w:val="center"/>
            <w:hideMark/>
          </w:tcPr>
          <w:p w14:paraId="50CB7B66" w14:textId="77777777" w:rsidR="00C8305B" w:rsidRPr="005346E4" w:rsidRDefault="00C8305B" w:rsidP="00B312F7">
            <w:pPr>
              <w:ind w:firstLine="0"/>
              <w:jc w:val="center"/>
              <w:rPr>
                <w:rFonts w:eastAsia="Times New Roman" w:cs="Times New Roman"/>
                <w:b/>
                <w:bCs/>
                <w:sz w:val="18"/>
                <w:szCs w:val="18"/>
                <w:lang w:eastAsia="lv-LV"/>
              </w:rPr>
            </w:pPr>
          </w:p>
        </w:tc>
        <w:tc>
          <w:tcPr>
            <w:tcW w:w="850" w:type="dxa"/>
            <w:tcBorders>
              <w:top w:val="nil"/>
              <w:left w:val="nil"/>
              <w:bottom w:val="single" w:sz="8" w:space="0" w:color="9CC2E5"/>
              <w:right w:val="single" w:sz="8" w:space="0" w:color="9CC2E5"/>
            </w:tcBorders>
            <w:shd w:val="clear" w:color="000000" w:fill="DEEAF6"/>
            <w:vAlign w:val="center"/>
            <w:hideMark/>
          </w:tcPr>
          <w:p w14:paraId="2949EB5F" w14:textId="77777777" w:rsidR="00C8305B" w:rsidRPr="005346E4" w:rsidRDefault="00C8305B" w:rsidP="00B312F7">
            <w:pPr>
              <w:ind w:firstLineChars="100" w:firstLine="220"/>
              <w:jc w:val="center"/>
              <w:rPr>
                <w:rFonts w:eastAsia="Times New Roman" w:cs="Times New Roman"/>
                <w:b/>
                <w:bCs/>
                <w:sz w:val="18"/>
                <w:szCs w:val="18"/>
                <w:lang w:eastAsia="lv-LV"/>
              </w:rPr>
            </w:pPr>
            <w:r>
              <w:rPr>
                <w:rFonts w:ascii="Calibri" w:hAnsi="Calibri" w:cs="Calibri"/>
                <w:color w:val="000000"/>
                <w:sz w:val="22"/>
              </w:rPr>
              <w:t> </w:t>
            </w:r>
          </w:p>
        </w:tc>
        <w:tc>
          <w:tcPr>
            <w:tcW w:w="765" w:type="dxa"/>
            <w:tcBorders>
              <w:top w:val="nil"/>
              <w:left w:val="nil"/>
              <w:bottom w:val="single" w:sz="8" w:space="0" w:color="9CC2E5"/>
              <w:right w:val="single" w:sz="8" w:space="0" w:color="9CC2E5"/>
            </w:tcBorders>
            <w:shd w:val="clear" w:color="000000" w:fill="DEEAF6"/>
            <w:vAlign w:val="center"/>
            <w:hideMark/>
          </w:tcPr>
          <w:p w14:paraId="13D763E5"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-0,1</w:t>
            </w:r>
          </w:p>
        </w:tc>
        <w:tc>
          <w:tcPr>
            <w:tcW w:w="766" w:type="dxa"/>
            <w:tcBorders>
              <w:top w:val="nil"/>
              <w:left w:val="nil"/>
              <w:bottom w:val="single" w:sz="8" w:space="0" w:color="9CC2E5"/>
              <w:right w:val="single" w:sz="8" w:space="0" w:color="9CC2E5"/>
            </w:tcBorders>
            <w:shd w:val="clear" w:color="000000" w:fill="DEEAF6"/>
            <w:vAlign w:val="center"/>
            <w:hideMark/>
          </w:tcPr>
          <w:p w14:paraId="49200D80"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1,4</w:t>
            </w:r>
          </w:p>
        </w:tc>
        <w:tc>
          <w:tcPr>
            <w:tcW w:w="765" w:type="dxa"/>
            <w:tcBorders>
              <w:top w:val="nil"/>
              <w:left w:val="nil"/>
              <w:bottom w:val="single" w:sz="8" w:space="0" w:color="9CC2E5"/>
              <w:right w:val="single" w:sz="8" w:space="0" w:color="9CC2E5"/>
            </w:tcBorders>
            <w:shd w:val="clear" w:color="000000" w:fill="DEEAF6"/>
            <w:vAlign w:val="center"/>
            <w:hideMark/>
          </w:tcPr>
          <w:p w14:paraId="6DB2C203"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2,9</w:t>
            </w:r>
          </w:p>
        </w:tc>
        <w:tc>
          <w:tcPr>
            <w:tcW w:w="766" w:type="dxa"/>
            <w:tcBorders>
              <w:top w:val="nil"/>
              <w:left w:val="nil"/>
              <w:bottom w:val="single" w:sz="8" w:space="0" w:color="9CC2E5"/>
              <w:right w:val="single" w:sz="8" w:space="0" w:color="9CC2E5"/>
            </w:tcBorders>
            <w:shd w:val="clear" w:color="000000" w:fill="DEEAF6"/>
            <w:vAlign w:val="center"/>
            <w:hideMark/>
          </w:tcPr>
          <w:p w14:paraId="7DC9D71C"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2,8</w:t>
            </w:r>
          </w:p>
        </w:tc>
        <w:tc>
          <w:tcPr>
            <w:tcW w:w="766" w:type="dxa"/>
            <w:tcBorders>
              <w:top w:val="nil"/>
              <w:left w:val="nil"/>
              <w:bottom w:val="single" w:sz="8" w:space="0" w:color="9CC2E5"/>
              <w:right w:val="single" w:sz="8" w:space="0" w:color="9CC2E5"/>
            </w:tcBorders>
            <w:shd w:val="clear" w:color="000000" w:fill="DEEAF6"/>
            <w:vAlign w:val="center"/>
            <w:hideMark/>
          </w:tcPr>
          <w:p w14:paraId="434E4E46"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2,6</w:t>
            </w:r>
          </w:p>
        </w:tc>
        <w:tc>
          <w:tcPr>
            <w:tcW w:w="766" w:type="dxa"/>
            <w:tcBorders>
              <w:top w:val="nil"/>
              <w:left w:val="nil"/>
              <w:bottom w:val="single" w:sz="8" w:space="0" w:color="9CC2E5"/>
              <w:right w:val="single" w:sz="8" w:space="0" w:color="9CC2E5"/>
            </w:tcBorders>
            <w:shd w:val="clear" w:color="000000" w:fill="DEEAF6"/>
            <w:vAlign w:val="center"/>
          </w:tcPr>
          <w:p w14:paraId="2E1DAC12" w14:textId="77777777" w:rsidR="00C8305B" w:rsidRDefault="00C8305B" w:rsidP="00B312F7">
            <w:pPr>
              <w:ind w:firstLine="0"/>
              <w:jc w:val="center"/>
              <w:rPr>
                <w:color w:val="000000"/>
                <w:sz w:val="18"/>
                <w:szCs w:val="18"/>
              </w:rPr>
            </w:pPr>
            <w:r>
              <w:rPr>
                <w:color w:val="000000"/>
                <w:sz w:val="18"/>
                <w:szCs w:val="18"/>
              </w:rPr>
              <w:t>2,6</w:t>
            </w:r>
          </w:p>
        </w:tc>
      </w:tr>
      <w:tr w:rsidR="00C8305B" w:rsidRPr="005346E4" w14:paraId="2CED9840" w14:textId="77777777" w:rsidTr="00B312F7">
        <w:trPr>
          <w:trHeight w:val="44"/>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2F21EACD"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5. Darba ražīgums, uz darba stundu</w:t>
            </w:r>
          </w:p>
        </w:tc>
        <w:tc>
          <w:tcPr>
            <w:tcW w:w="709" w:type="dxa"/>
            <w:tcBorders>
              <w:top w:val="nil"/>
              <w:left w:val="nil"/>
              <w:bottom w:val="single" w:sz="8" w:space="0" w:color="9CC2E5"/>
              <w:right w:val="single" w:sz="8" w:space="0" w:color="9CC2E5"/>
            </w:tcBorders>
            <w:shd w:val="clear" w:color="auto" w:fill="auto"/>
            <w:vAlign w:val="center"/>
            <w:hideMark/>
          </w:tcPr>
          <w:p w14:paraId="433982B4" w14:textId="77777777" w:rsidR="00C8305B" w:rsidRPr="005346E4" w:rsidRDefault="00C8305B" w:rsidP="00B312F7">
            <w:pPr>
              <w:ind w:firstLine="0"/>
              <w:jc w:val="center"/>
              <w:rPr>
                <w:rFonts w:eastAsia="Times New Roman" w:cs="Times New Roman"/>
                <w:b/>
                <w:bCs/>
                <w:sz w:val="18"/>
                <w:szCs w:val="18"/>
                <w:lang w:eastAsia="lv-LV"/>
              </w:rPr>
            </w:pPr>
          </w:p>
        </w:tc>
        <w:tc>
          <w:tcPr>
            <w:tcW w:w="850" w:type="dxa"/>
            <w:tcBorders>
              <w:top w:val="nil"/>
              <w:left w:val="nil"/>
              <w:bottom w:val="single" w:sz="8" w:space="0" w:color="9CC2E5"/>
              <w:right w:val="single" w:sz="8" w:space="0" w:color="9CC2E5"/>
            </w:tcBorders>
            <w:shd w:val="clear" w:color="auto" w:fill="auto"/>
            <w:vAlign w:val="center"/>
            <w:hideMark/>
          </w:tcPr>
          <w:p w14:paraId="10581121" w14:textId="77777777" w:rsidR="00C8305B" w:rsidRPr="005346E4" w:rsidRDefault="00C8305B" w:rsidP="00B312F7">
            <w:pPr>
              <w:ind w:firstLine="0"/>
              <w:jc w:val="center"/>
              <w:rPr>
                <w:rFonts w:eastAsia="Times New Roman" w:cs="Times New Roman"/>
                <w:b/>
                <w:bCs/>
                <w:sz w:val="18"/>
                <w:szCs w:val="18"/>
                <w:lang w:eastAsia="lv-LV"/>
              </w:rPr>
            </w:pPr>
            <w:r>
              <w:rPr>
                <w:rFonts w:ascii="Calibri" w:hAnsi="Calibri" w:cs="Calibri"/>
                <w:color w:val="000000"/>
                <w:sz w:val="22"/>
              </w:rPr>
              <w:t> </w:t>
            </w:r>
          </w:p>
        </w:tc>
        <w:tc>
          <w:tcPr>
            <w:tcW w:w="765" w:type="dxa"/>
            <w:tcBorders>
              <w:top w:val="nil"/>
              <w:left w:val="nil"/>
              <w:bottom w:val="single" w:sz="8" w:space="0" w:color="9CC2E5"/>
              <w:right w:val="single" w:sz="8" w:space="0" w:color="9CC2E5"/>
            </w:tcBorders>
            <w:shd w:val="clear" w:color="auto" w:fill="auto"/>
            <w:vAlign w:val="center"/>
            <w:hideMark/>
          </w:tcPr>
          <w:p w14:paraId="1D95DB62"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0,0</w:t>
            </w:r>
          </w:p>
        </w:tc>
        <w:tc>
          <w:tcPr>
            <w:tcW w:w="766" w:type="dxa"/>
            <w:tcBorders>
              <w:top w:val="nil"/>
              <w:left w:val="nil"/>
              <w:bottom w:val="single" w:sz="8" w:space="0" w:color="9CC2E5"/>
              <w:right w:val="single" w:sz="8" w:space="0" w:color="9CC2E5"/>
            </w:tcBorders>
            <w:shd w:val="clear" w:color="auto" w:fill="auto"/>
            <w:vAlign w:val="center"/>
            <w:hideMark/>
          </w:tcPr>
          <w:p w14:paraId="190E0184"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1,4</w:t>
            </w:r>
          </w:p>
        </w:tc>
        <w:tc>
          <w:tcPr>
            <w:tcW w:w="765" w:type="dxa"/>
            <w:tcBorders>
              <w:top w:val="nil"/>
              <w:left w:val="nil"/>
              <w:bottom w:val="single" w:sz="8" w:space="0" w:color="9CC2E5"/>
              <w:right w:val="single" w:sz="8" w:space="0" w:color="9CC2E5"/>
            </w:tcBorders>
            <w:shd w:val="clear" w:color="auto" w:fill="auto"/>
            <w:vAlign w:val="center"/>
            <w:hideMark/>
          </w:tcPr>
          <w:p w14:paraId="495CE04C"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2,9</w:t>
            </w:r>
          </w:p>
        </w:tc>
        <w:tc>
          <w:tcPr>
            <w:tcW w:w="766" w:type="dxa"/>
            <w:tcBorders>
              <w:top w:val="nil"/>
              <w:left w:val="nil"/>
              <w:bottom w:val="single" w:sz="8" w:space="0" w:color="9CC2E5"/>
              <w:right w:val="single" w:sz="8" w:space="0" w:color="9CC2E5"/>
            </w:tcBorders>
            <w:shd w:val="clear" w:color="auto" w:fill="auto"/>
            <w:vAlign w:val="center"/>
            <w:hideMark/>
          </w:tcPr>
          <w:p w14:paraId="0B15980F"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2,8</w:t>
            </w:r>
          </w:p>
        </w:tc>
        <w:tc>
          <w:tcPr>
            <w:tcW w:w="766" w:type="dxa"/>
            <w:tcBorders>
              <w:top w:val="nil"/>
              <w:left w:val="nil"/>
              <w:bottom w:val="single" w:sz="8" w:space="0" w:color="9CC2E5"/>
              <w:right w:val="single" w:sz="8" w:space="0" w:color="9CC2E5"/>
            </w:tcBorders>
            <w:shd w:val="clear" w:color="auto" w:fill="auto"/>
            <w:vAlign w:val="center"/>
            <w:hideMark/>
          </w:tcPr>
          <w:p w14:paraId="56771FC2"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2,6</w:t>
            </w:r>
          </w:p>
        </w:tc>
        <w:tc>
          <w:tcPr>
            <w:tcW w:w="766" w:type="dxa"/>
            <w:tcBorders>
              <w:top w:val="nil"/>
              <w:left w:val="nil"/>
              <w:bottom w:val="single" w:sz="8" w:space="0" w:color="9CC2E5"/>
              <w:right w:val="single" w:sz="8" w:space="0" w:color="9CC2E5"/>
            </w:tcBorders>
            <w:vAlign w:val="center"/>
          </w:tcPr>
          <w:p w14:paraId="330A4B0A" w14:textId="77777777" w:rsidR="00C8305B" w:rsidRDefault="00C8305B" w:rsidP="00B312F7">
            <w:pPr>
              <w:ind w:firstLine="0"/>
              <w:jc w:val="center"/>
              <w:rPr>
                <w:color w:val="000000"/>
                <w:sz w:val="18"/>
                <w:szCs w:val="18"/>
              </w:rPr>
            </w:pPr>
            <w:r>
              <w:rPr>
                <w:color w:val="000000"/>
                <w:sz w:val="18"/>
                <w:szCs w:val="18"/>
              </w:rPr>
              <w:t>2,6</w:t>
            </w:r>
          </w:p>
        </w:tc>
      </w:tr>
      <w:tr w:rsidR="00C8305B" w:rsidRPr="005346E4" w14:paraId="6CFCCC17" w14:textId="77777777" w:rsidTr="00B312F7">
        <w:trPr>
          <w:trHeight w:val="205"/>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31F68C05"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 xml:space="preserve">6. Atlīdzība nodarbinātajiem, milj. </w:t>
            </w:r>
            <w:proofErr w:type="spellStart"/>
            <w:r w:rsidRPr="005346E4">
              <w:rPr>
                <w:rFonts w:eastAsia="Times New Roman" w:cs="Times New Roman"/>
                <w:i/>
                <w:iCs/>
                <w:sz w:val="18"/>
                <w:szCs w:val="18"/>
                <w:lang w:eastAsia="lv-LV"/>
              </w:rPr>
              <w:t>euro</w:t>
            </w:r>
            <w:proofErr w:type="spellEnd"/>
            <w:r w:rsidRPr="005346E4">
              <w:rPr>
                <w:rFonts w:eastAsia="Times New Roman" w:cs="Times New Roman"/>
                <w:sz w:val="18"/>
                <w:szCs w:val="18"/>
                <w:lang w:eastAsia="lv-LV"/>
              </w:rPr>
              <w:t>, faktiskās cenās</w:t>
            </w:r>
          </w:p>
        </w:tc>
        <w:tc>
          <w:tcPr>
            <w:tcW w:w="709" w:type="dxa"/>
            <w:tcBorders>
              <w:top w:val="nil"/>
              <w:left w:val="nil"/>
              <w:bottom w:val="single" w:sz="8" w:space="0" w:color="9CC2E5"/>
              <w:right w:val="single" w:sz="8" w:space="0" w:color="9CC2E5"/>
            </w:tcBorders>
            <w:shd w:val="clear" w:color="000000" w:fill="DEEAF6"/>
            <w:vAlign w:val="center"/>
            <w:hideMark/>
          </w:tcPr>
          <w:p w14:paraId="5A665B34" w14:textId="77777777" w:rsidR="00C8305B" w:rsidRPr="005346E4" w:rsidRDefault="00C8305B" w:rsidP="00B312F7">
            <w:pPr>
              <w:ind w:firstLine="0"/>
              <w:jc w:val="center"/>
              <w:rPr>
                <w:rFonts w:eastAsia="Times New Roman" w:cs="Times New Roman"/>
                <w:sz w:val="18"/>
                <w:szCs w:val="18"/>
                <w:lang w:eastAsia="lv-LV"/>
              </w:rPr>
            </w:pPr>
            <w:r w:rsidRPr="005346E4">
              <w:rPr>
                <w:rFonts w:eastAsia="Times New Roman" w:cs="Times New Roman"/>
                <w:sz w:val="18"/>
                <w:szCs w:val="18"/>
                <w:lang w:eastAsia="lv-LV"/>
              </w:rPr>
              <w:t>D.1</w:t>
            </w:r>
          </w:p>
        </w:tc>
        <w:tc>
          <w:tcPr>
            <w:tcW w:w="850" w:type="dxa"/>
            <w:tcBorders>
              <w:top w:val="nil"/>
              <w:left w:val="nil"/>
              <w:bottom w:val="single" w:sz="8" w:space="0" w:color="9CC2E5"/>
              <w:right w:val="single" w:sz="8" w:space="0" w:color="9CC2E5"/>
            </w:tcBorders>
            <w:shd w:val="clear" w:color="000000" w:fill="DEEAF6"/>
            <w:vAlign w:val="center"/>
            <w:hideMark/>
          </w:tcPr>
          <w:p w14:paraId="23C5CD5B"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20 564</w:t>
            </w:r>
          </w:p>
        </w:tc>
        <w:tc>
          <w:tcPr>
            <w:tcW w:w="765" w:type="dxa"/>
            <w:tcBorders>
              <w:top w:val="nil"/>
              <w:left w:val="nil"/>
              <w:bottom w:val="single" w:sz="8" w:space="0" w:color="9CC2E5"/>
              <w:right w:val="single" w:sz="8" w:space="0" w:color="9CC2E5"/>
            </w:tcBorders>
            <w:shd w:val="clear" w:color="000000" w:fill="DEEAF6"/>
            <w:vAlign w:val="center"/>
            <w:hideMark/>
          </w:tcPr>
          <w:p w14:paraId="7663F25F"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12,7</w:t>
            </w:r>
          </w:p>
        </w:tc>
        <w:tc>
          <w:tcPr>
            <w:tcW w:w="766" w:type="dxa"/>
            <w:tcBorders>
              <w:top w:val="nil"/>
              <w:left w:val="nil"/>
              <w:bottom w:val="single" w:sz="8" w:space="0" w:color="9CC2E5"/>
              <w:right w:val="single" w:sz="8" w:space="0" w:color="9CC2E5"/>
            </w:tcBorders>
            <w:shd w:val="clear" w:color="000000" w:fill="DEEAF6"/>
            <w:vAlign w:val="center"/>
            <w:hideMark/>
          </w:tcPr>
          <w:p w14:paraId="7356304D"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6,5</w:t>
            </w:r>
          </w:p>
        </w:tc>
        <w:tc>
          <w:tcPr>
            <w:tcW w:w="765" w:type="dxa"/>
            <w:tcBorders>
              <w:top w:val="nil"/>
              <w:left w:val="nil"/>
              <w:bottom w:val="single" w:sz="8" w:space="0" w:color="9CC2E5"/>
              <w:right w:val="single" w:sz="8" w:space="0" w:color="9CC2E5"/>
            </w:tcBorders>
            <w:shd w:val="clear" w:color="000000" w:fill="DEEAF6"/>
            <w:vAlign w:val="center"/>
            <w:hideMark/>
          </w:tcPr>
          <w:p w14:paraId="4C87FBAC"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6,5</w:t>
            </w:r>
          </w:p>
        </w:tc>
        <w:tc>
          <w:tcPr>
            <w:tcW w:w="766" w:type="dxa"/>
            <w:tcBorders>
              <w:top w:val="nil"/>
              <w:left w:val="nil"/>
              <w:bottom w:val="single" w:sz="8" w:space="0" w:color="9CC2E5"/>
              <w:right w:val="single" w:sz="8" w:space="0" w:color="9CC2E5"/>
            </w:tcBorders>
            <w:shd w:val="clear" w:color="000000" w:fill="DEEAF6"/>
            <w:vAlign w:val="center"/>
            <w:hideMark/>
          </w:tcPr>
          <w:p w14:paraId="17CEDF83"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5,7</w:t>
            </w:r>
          </w:p>
        </w:tc>
        <w:tc>
          <w:tcPr>
            <w:tcW w:w="766" w:type="dxa"/>
            <w:tcBorders>
              <w:top w:val="nil"/>
              <w:left w:val="nil"/>
              <w:bottom w:val="single" w:sz="8" w:space="0" w:color="9CC2E5"/>
              <w:right w:val="single" w:sz="8" w:space="0" w:color="9CC2E5"/>
            </w:tcBorders>
            <w:shd w:val="clear" w:color="000000" w:fill="DEEAF6"/>
            <w:vAlign w:val="center"/>
            <w:hideMark/>
          </w:tcPr>
          <w:p w14:paraId="766158E3"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4,7</w:t>
            </w:r>
          </w:p>
        </w:tc>
        <w:tc>
          <w:tcPr>
            <w:tcW w:w="766" w:type="dxa"/>
            <w:tcBorders>
              <w:top w:val="nil"/>
              <w:left w:val="nil"/>
              <w:bottom w:val="single" w:sz="8" w:space="0" w:color="9CC2E5"/>
              <w:right w:val="single" w:sz="8" w:space="0" w:color="9CC2E5"/>
            </w:tcBorders>
            <w:shd w:val="clear" w:color="000000" w:fill="DEEAF6"/>
            <w:vAlign w:val="center"/>
          </w:tcPr>
          <w:p w14:paraId="0F9BF46E" w14:textId="77777777" w:rsidR="00C8305B" w:rsidRDefault="00C8305B" w:rsidP="00B312F7">
            <w:pPr>
              <w:ind w:firstLine="0"/>
              <w:jc w:val="center"/>
              <w:rPr>
                <w:color w:val="000000"/>
                <w:sz w:val="18"/>
                <w:szCs w:val="18"/>
              </w:rPr>
            </w:pPr>
            <w:r>
              <w:rPr>
                <w:color w:val="000000"/>
                <w:sz w:val="18"/>
                <w:szCs w:val="18"/>
              </w:rPr>
              <w:t>4,7</w:t>
            </w:r>
          </w:p>
        </w:tc>
      </w:tr>
      <w:tr w:rsidR="00C8305B" w:rsidRPr="005346E4" w14:paraId="25E1412D" w14:textId="77777777" w:rsidTr="00B312F7">
        <w:trPr>
          <w:trHeight w:val="56"/>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392E8E09" w14:textId="77777777" w:rsidR="00C8305B" w:rsidRPr="005346E4" w:rsidRDefault="00C8305B" w:rsidP="00B312F7">
            <w:pPr>
              <w:ind w:firstLine="0"/>
              <w:jc w:val="left"/>
              <w:rPr>
                <w:rFonts w:eastAsia="Times New Roman" w:cs="Times New Roman"/>
                <w:sz w:val="18"/>
                <w:szCs w:val="18"/>
                <w:lang w:eastAsia="lv-LV"/>
              </w:rPr>
            </w:pPr>
            <w:r w:rsidRPr="005346E4">
              <w:rPr>
                <w:rFonts w:eastAsia="Times New Roman" w:cs="Times New Roman"/>
                <w:sz w:val="18"/>
                <w:szCs w:val="18"/>
                <w:lang w:eastAsia="lv-LV"/>
              </w:rPr>
              <w:t xml:space="preserve">7. Bruto darba samaksa, </w:t>
            </w:r>
            <w:proofErr w:type="spellStart"/>
            <w:r w:rsidRPr="005346E4">
              <w:rPr>
                <w:rFonts w:eastAsia="Times New Roman" w:cs="Times New Roman"/>
                <w:i/>
                <w:iCs/>
                <w:sz w:val="18"/>
                <w:szCs w:val="18"/>
                <w:lang w:eastAsia="lv-LV"/>
              </w:rPr>
              <w:t>euro</w:t>
            </w:r>
            <w:proofErr w:type="spellEnd"/>
          </w:p>
        </w:tc>
        <w:tc>
          <w:tcPr>
            <w:tcW w:w="709" w:type="dxa"/>
            <w:tcBorders>
              <w:top w:val="nil"/>
              <w:left w:val="nil"/>
              <w:bottom w:val="single" w:sz="8" w:space="0" w:color="9CC2E5"/>
              <w:right w:val="single" w:sz="8" w:space="0" w:color="9CC2E5"/>
            </w:tcBorders>
            <w:shd w:val="clear" w:color="auto" w:fill="auto"/>
            <w:vAlign w:val="center"/>
            <w:hideMark/>
          </w:tcPr>
          <w:p w14:paraId="4A0BB687" w14:textId="77777777" w:rsidR="00C8305B" w:rsidRPr="005346E4" w:rsidRDefault="00C8305B" w:rsidP="00B312F7">
            <w:pPr>
              <w:ind w:firstLine="0"/>
              <w:jc w:val="center"/>
              <w:rPr>
                <w:rFonts w:eastAsia="Times New Roman" w:cs="Times New Roman"/>
                <w:sz w:val="18"/>
                <w:szCs w:val="18"/>
                <w:lang w:eastAsia="lv-LV"/>
              </w:rPr>
            </w:pPr>
          </w:p>
        </w:tc>
        <w:tc>
          <w:tcPr>
            <w:tcW w:w="850" w:type="dxa"/>
            <w:tcBorders>
              <w:top w:val="nil"/>
              <w:left w:val="nil"/>
              <w:bottom w:val="single" w:sz="8" w:space="0" w:color="9CC2E5"/>
              <w:right w:val="single" w:sz="8" w:space="0" w:color="9CC2E5"/>
            </w:tcBorders>
            <w:shd w:val="clear" w:color="auto" w:fill="auto"/>
            <w:vAlign w:val="center"/>
            <w:hideMark/>
          </w:tcPr>
          <w:p w14:paraId="3E6628EB"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1 537</w:t>
            </w:r>
          </w:p>
        </w:tc>
        <w:tc>
          <w:tcPr>
            <w:tcW w:w="765" w:type="dxa"/>
            <w:tcBorders>
              <w:top w:val="nil"/>
              <w:left w:val="nil"/>
              <w:bottom w:val="single" w:sz="8" w:space="0" w:color="9CC2E5"/>
              <w:right w:val="single" w:sz="8" w:space="0" w:color="9CC2E5"/>
            </w:tcBorders>
            <w:shd w:val="clear" w:color="auto" w:fill="auto"/>
            <w:vAlign w:val="center"/>
            <w:hideMark/>
          </w:tcPr>
          <w:p w14:paraId="703C8AF9"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11,9</w:t>
            </w:r>
          </w:p>
        </w:tc>
        <w:tc>
          <w:tcPr>
            <w:tcW w:w="766" w:type="dxa"/>
            <w:tcBorders>
              <w:top w:val="nil"/>
              <w:left w:val="nil"/>
              <w:bottom w:val="single" w:sz="8" w:space="0" w:color="9CC2E5"/>
              <w:right w:val="single" w:sz="8" w:space="0" w:color="9CC2E5"/>
            </w:tcBorders>
            <w:shd w:val="clear" w:color="auto" w:fill="auto"/>
            <w:vAlign w:val="center"/>
            <w:hideMark/>
          </w:tcPr>
          <w:p w14:paraId="5DAC56DC"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7,5</w:t>
            </w:r>
          </w:p>
        </w:tc>
        <w:tc>
          <w:tcPr>
            <w:tcW w:w="765" w:type="dxa"/>
            <w:tcBorders>
              <w:top w:val="nil"/>
              <w:left w:val="nil"/>
              <w:bottom w:val="single" w:sz="8" w:space="0" w:color="9CC2E5"/>
              <w:right w:val="single" w:sz="8" w:space="0" w:color="9CC2E5"/>
            </w:tcBorders>
            <w:shd w:val="clear" w:color="auto" w:fill="auto"/>
            <w:vAlign w:val="center"/>
            <w:hideMark/>
          </w:tcPr>
          <w:p w14:paraId="378D1F0C"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6,5</w:t>
            </w:r>
          </w:p>
        </w:tc>
        <w:tc>
          <w:tcPr>
            <w:tcW w:w="766" w:type="dxa"/>
            <w:tcBorders>
              <w:top w:val="nil"/>
              <w:left w:val="nil"/>
              <w:bottom w:val="single" w:sz="8" w:space="0" w:color="9CC2E5"/>
              <w:right w:val="single" w:sz="8" w:space="0" w:color="9CC2E5"/>
            </w:tcBorders>
            <w:shd w:val="clear" w:color="auto" w:fill="auto"/>
            <w:vAlign w:val="center"/>
            <w:hideMark/>
          </w:tcPr>
          <w:p w14:paraId="3BECE321"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6,0</w:t>
            </w:r>
          </w:p>
        </w:tc>
        <w:tc>
          <w:tcPr>
            <w:tcW w:w="766" w:type="dxa"/>
            <w:tcBorders>
              <w:top w:val="nil"/>
              <w:left w:val="nil"/>
              <w:bottom w:val="single" w:sz="8" w:space="0" w:color="9CC2E5"/>
              <w:right w:val="single" w:sz="8" w:space="0" w:color="9CC2E5"/>
            </w:tcBorders>
            <w:shd w:val="clear" w:color="auto" w:fill="auto"/>
            <w:vAlign w:val="center"/>
            <w:hideMark/>
          </w:tcPr>
          <w:p w14:paraId="09D245AE" w14:textId="77777777" w:rsidR="00C8305B" w:rsidRPr="005346E4" w:rsidRDefault="00C8305B" w:rsidP="00B312F7">
            <w:pPr>
              <w:ind w:firstLine="0"/>
              <w:jc w:val="center"/>
              <w:rPr>
                <w:rFonts w:eastAsia="Times New Roman" w:cs="Times New Roman"/>
                <w:sz w:val="18"/>
                <w:szCs w:val="18"/>
                <w:lang w:eastAsia="lv-LV"/>
              </w:rPr>
            </w:pPr>
            <w:r>
              <w:rPr>
                <w:color w:val="000000"/>
                <w:sz w:val="18"/>
                <w:szCs w:val="18"/>
              </w:rPr>
              <w:t>5,0</w:t>
            </w:r>
          </w:p>
        </w:tc>
        <w:tc>
          <w:tcPr>
            <w:tcW w:w="766" w:type="dxa"/>
            <w:tcBorders>
              <w:top w:val="nil"/>
              <w:left w:val="nil"/>
              <w:bottom w:val="single" w:sz="8" w:space="0" w:color="9CC2E5"/>
              <w:right w:val="single" w:sz="8" w:space="0" w:color="9CC2E5"/>
            </w:tcBorders>
            <w:vAlign w:val="center"/>
          </w:tcPr>
          <w:p w14:paraId="62C7CBC5" w14:textId="77777777" w:rsidR="00C8305B" w:rsidRDefault="00C8305B" w:rsidP="00B312F7">
            <w:pPr>
              <w:ind w:firstLine="0"/>
              <w:jc w:val="center"/>
              <w:rPr>
                <w:color w:val="000000"/>
                <w:sz w:val="18"/>
                <w:szCs w:val="18"/>
              </w:rPr>
            </w:pPr>
            <w:r>
              <w:rPr>
                <w:color w:val="000000"/>
                <w:sz w:val="18"/>
                <w:szCs w:val="18"/>
              </w:rPr>
              <w:t>5,0</w:t>
            </w:r>
          </w:p>
        </w:tc>
      </w:tr>
    </w:tbl>
    <w:p w14:paraId="4D8E1172" w14:textId="71D5EF14" w:rsidR="00C8305B" w:rsidRDefault="00C8305B" w:rsidP="00C8305B">
      <w:pPr>
        <w:spacing w:after="160" w:line="259" w:lineRule="auto"/>
        <w:ind w:firstLine="0"/>
        <w:jc w:val="left"/>
        <w:rPr>
          <w:rFonts w:eastAsia="Times New Roman" w:cs="Times New Roman"/>
          <w:color w:val="000000"/>
          <w:sz w:val="18"/>
          <w:szCs w:val="18"/>
        </w:rPr>
      </w:pPr>
      <w:r>
        <w:rPr>
          <w:rFonts w:eastAsia="Times New Roman" w:cs="Times New Roman"/>
          <w:color w:val="000000"/>
          <w:sz w:val="18"/>
          <w:szCs w:val="18"/>
          <w:vertAlign w:val="superscript"/>
        </w:rPr>
        <w:t>*</w:t>
      </w:r>
      <w:r w:rsidRPr="0087383B">
        <w:rPr>
          <w:rFonts w:eastAsia="Times New Roman" w:cs="Times New Roman"/>
          <w:color w:val="000000"/>
          <w:sz w:val="18"/>
          <w:szCs w:val="18"/>
          <w:vertAlign w:val="superscript"/>
        </w:rPr>
        <w:t xml:space="preserve"> </w:t>
      </w:r>
      <w:r w:rsidRPr="0087383B">
        <w:rPr>
          <w:rFonts w:eastAsia="Times New Roman" w:cs="Times New Roman"/>
          <w:color w:val="000000"/>
          <w:sz w:val="18"/>
          <w:szCs w:val="18"/>
        </w:rPr>
        <w:t>Prognozes</w:t>
      </w:r>
      <w:r>
        <w:rPr>
          <w:rFonts w:eastAsia="Times New Roman" w:cs="Times New Roman"/>
          <w:color w:val="000000"/>
          <w:sz w:val="18"/>
          <w:szCs w:val="18"/>
        </w:rPr>
        <w:t xml:space="preserve">: </w:t>
      </w:r>
      <w:r w:rsidRPr="0087383B">
        <w:rPr>
          <w:rFonts w:eastAsia="Times New Roman" w:cs="Times New Roman"/>
          <w:color w:val="000000"/>
          <w:sz w:val="18"/>
          <w:szCs w:val="18"/>
        </w:rPr>
        <w:t>202</w:t>
      </w:r>
      <w:r>
        <w:rPr>
          <w:rFonts w:eastAsia="Times New Roman" w:cs="Times New Roman"/>
          <w:color w:val="000000"/>
          <w:sz w:val="18"/>
          <w:szCs w:val="18"/>
        </w:rPr>
        <w:t>4</w:t>
      </w:r>
      <w:r w:rsidRPr="0087383B">
        <w:rPr>
          <w:rFonts w:eastAsia="Times New Roman" w:cs="Times New Roman"/>
          <w:color w:val="000000"/>
          <w:sz w:val="18"/>
          <w:szCs w:val="18"/>
        </w:rPr>
        <w:t>.</w:t>
      </w:r>
      <w:r>
        <w:rPr>
          <w:rFonts w:eastAsia="Times New Roman" w:cs="Times New Roman"/>
          <w:color w:val="000000"/>
          <w:sz w:val="18"/>
          <w:szCs w:val="18"/>
        </w:rPr>
        <w:t xml:space="preserve"> </w:t>
      </w:r>
      <w:r w:rsidRPr="0087383B">
        <w:rPr>
          <w:rFonts w:eastAsia="Times New Roman" w:cs="Times New Roman"/>
          <w:color w:val="000000"/>
          <w:sz w:val="18"/>
          <w:szCs w:val="18"/>
        </w:rPr>
        <w:t xml:space="preserve">gada </w:t>
      </w:r>
      <w:r>
        <w:rPr>
          <w:rFonts w:eastAsia="Times New Roman" w:cs="Times New Roman"/>
          <w:color w:val="000000"/>
          <w:sz w:val="18"/>
          <w:szCs w:val="18"/>
        </w:rPr>
        <w:t>februāra</w:t>
      </w:r>
      <w:r w:rsidRPr="0087383B">
        <w:rPr>
          <w:rFonts w:eastAsia="Times New Roman" w:cs="Times New Roman"/>
          <w:color w:val="000000"/>
          <w:sz w:val="18"/>
          <w:szCs w:val="18"/>
        </w:rPr>
        <w:t xml:space="preserve"> scenārijs</w:t>
      </w:r>
    </w:p>
    <w:p w14:paraId="5E4021CC" w14:textId="77777777" w:rsidR="00C8305B" w:rsidRDefault="00C8305B" w:rsidP="00786AC7">
      <w:pPr>
        <w:spacing w:line="259" w:lineRule="auto"/>
        <w:ind w:firstLine="0"/>
        <w:jc w:val="left"/>
        <w:rPr>
          <w:rFonts w:eastAsia="Times New Roman" w:cs="Times New Roman"/>
          <w:color w:val="000000"/>
          <w:sz w:val="18"/>
          <w:szCs w:val="18"/>
        </w:rPr>
      </w:pPr>
    </w:p>
    <w:p w14:paraId="5D5D71B7" w14:textId="330B8AEE" w:rsidR="00C8305B" w:rsidRPr="00002184" w:rsidRDefault="00C8305B" w:rsidP="00C8305B">
      <w:pPr>
        <w:keepNext/>
        <w:spacing w:after="120"/>
        <w:ind w:firstLine="0"/>
        <w:jc w:val="left"/>
        <w:rPr>
          <w:rFonts w:eastAsia="Times New Roman" w:cs="Times New Roman"/>
          <w:b/>
          <w:color w:val="000000"/>
          <w:sz w:val="24"/>
          <w:szCs w:val="20"/>
        </w:rPr>
      </w:pPr>
      <w:r w:rsidRPr="002D3394">
        <w:rPr>
          <w:rFonts w:eastAsia="Times New Roman" w:cs="Times New Roman"/>
          <w:b/>
          <w:color w:val="000000"/>
          <w:sz w:val="24"/>
          <w:szCs w:val="20"/>
        </w:rPr>
        <w:t>1d. tabula. Sektoru bilances</w:t>
      </w:r>
      <w:r w:rsidR="008B4878">
        <w:rPr>
          <w:rFonts w:eastAsia="Times New Roman" w:cs="Times New Roman"/>
          <w:b/>
          <w:color w:val="000000"/>
          <w:sz w:val="20"/>
          <w:szCs w:val="20"/>
          <w:vertAlign w:val="superscript"/>
        </w:rPr>
        <w:t>*</w:t>
      </w:r>
      <w:r w:rsidR="008B4878">
        <w:rPr>
          <w:rFonts w:eastAsia="Times New Roman" w:cs="Times New Roman"/>
          <w:b/>
          <w:color w:val="000000"/>
          <w:sz w:val="24"/>
          <w:szCs w:val="20"/>
        </w:rPr>
        <w:t xml:space="preserve"> (pie mainīgas politikas)</w:t>
      </w:r>
    </w:p>
    <w:tbl>
      <w:tblPr>
        <w:tblW w:w="9120" w:type="dxa"/>
        <w:tblLayout w:type="fixed"/>
        <w:tblLook w:val="04A0" w:firstRow="1" w:lastRow="0" w:firstColumn="1" w:lastColumn="0" w:noHBand="0" w:noVBand="1"/>
      </w:tblPr>
      <w:tblGrid>
        <w:gridCol w:w="3676"/>
        <w:gridCol w:w="850"/>
        <w:gridCol w:w="765"/>
        <w:gridCol w:w="766"/>
        <w:gridCol w:w="765"/>
        <w:gridCol w:w="766"/>
        <w:gridCol w:w="766"/>
        <w:gridCol w:w="766"/>
      </w:tblGrid>
      <w:tr w:rsidR="00C8305B" w:rsidRPr="005346E4" w14:paraId="72304EF3" w14:textId="77777777" w:rsidTr="00B312F7">
        <w:trPr>
          <w:trHeight w:val="1034"/>
        </w:trPr>
        <w:tc>
          <w:tcPr>
            <w:tcW w:w="3676" w:type="dxa"/>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64E054D1" w14:textId="77777777" w:rsidR="00C8305B" w:rsidRPr="005346E4" w:rsidRDefault="00C8305B" w:rsidP="00B312F7">
            <w:pPr>
              <w:ind w:firstLine="0"/>
              <w:jc w:val="center"/>
              <w:rPr>
                <w:rFonts w:eastAsia="Times New Roman" w:cs="Times New Roman"/>
                <w:b/>
                <w:bCs/>
                <w:sz w:val="18"/>
                <w:szCs w:val="18"/>
                <w:lang w:eastAsia="lv-LV"/>
              </w:rPr>
            </w:pPr>
            <w:r w:rsidRPr="005346E4">
              <w:rPr>
                <w:rFonts w:eastAsia="Times New Roman" w:cs="Times New Roman"/>
                <w:b/>
                <w:bCs/>
                <w:sz w:val="18"/>
                <w:szCs w:val="18"/>
                <w:lang w:eastAsia="lv-LV"/>
              </w:rPr>
              <w:t>% no IKP</w:t>
            </w:r>
          </w:p>
        </w:tc>
        <w:tc>
          <w:tcPr>
            <w:tcW w:w="850" w:type="dxa"/>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0D22BFE1" w14:textId="77777777" w:rsidR="00C8305B" w:rsidRPr="005346E4" w:rsidRDefault="00C8305B" w:rsidP="00B312F7">
            <w:pPr>
              <w:ind w:firstLine="0"/>
              <w:jc w:val="center"/>
              <w:rPr>
                <w:rFonts w:eastAsia="Times New Roman" w:cs="Times New Roman"/>
                <w:b/>
                <w:bCs/>
                <w:sz w:val="18"/>
                <w:szCs w:val="18"/>
                <w:lang w:eastAsia="lv-LV"/>
              </w:rPr>
            </w:pPr>
            <w:r w:rsidRPr="005346E4">
              <w:rPr>
                <w:rFonts w:eastAsia="Times New Roman" w:cs="Times New Roman"/>
                <w:b/>
                <w:bCs/>
                <w:sz w:val="18"/>
                <w:szCs w:val="18"/>
                <w:lang w:eastAsia="lv-LV"/>
              </w:rPr>
              <w:t>EKS kods</w:t>
            </w:r>
          </w:p>
        </w:tc>
        <w:tc>
          <w:tcPr>
            <w:tcW w:w="765" w:type="dxa"/>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0927C813"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2023</w:t>
            </w:r>
          </w:p>
        </w:tc>
        <w:tc>
          <w:tcPr>
            <w:tcW w:w="766" w:type="dxa"/>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56333042"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2024</w:t>
            </w:r>
          </w:p>
        </w:tc>
        <w:tc>
          <w:tcPr>
            <w:tcW w:w="765" w:type="dxa"/>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04CF2607"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2025</w:t>
            </w:r>
          </w:p>
        </w:tc>
        <w:tc>
          <w:tcPr>
            <w:tcW w:w="766" w:type="dxa"/>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19F28A0D"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2026</w:t>
            </w:r>
          </w:p>
        </w:tc>
        <w:tc>
          <w:tcPr>
            <w:tcW w:w="766" w:type="dxa"/>
            <w:tcBorders>
              <w:top w:val="single" w:sz="8" w:space="0" w:color="9CC2E5"/>
              <w:left w:val="single" w:sz="8" w:space="0" w:color="9CC2E5"/>
              <w:bottom w:val="single" w:sz="4" w:space="0" w:color="9CC2E5" w:themeColor="accent1" w:themeTint="99"/>
              <w:right w:val="single" w:sz="8" w:space="0" w:color="9CC2E5"/>
            </w:tcBorders>
            <w:shd w:val="clear" w:color="auto" w:fill="auto"/>
            <w:vAlign w:val="center"/>
            <w:hideMark/>
          </w:tcPr>
          <w:p w14:paraId="08A6CE59" w14:textId="77777777" w:rsidR="00C8305B" w:rsidRPr="005346E4" w:rsidRDefault="00C8305B" w:rsidP="00B312F7">
            <w:pPr>
              <w:ind w:firstLine="0"/>
              <w:jc w:val="center"/>
              <w:rPr>
                <w:rFonts w:eastAsia="Times New Roman" w:cs="Times New Roman"/>
                <w:b/>
                <w:bCs/>
                <w:sz w:val="18"/>
                <w:szCs w:val="18"/>
                <w:lang w:eastAsia="lv-LV"/>
              </w:rPr>
            </w:pPr>
            <w:r>
              <w:rPr>
                <w:b/>
                <w:bCs/>
                <w:color w:val="000000"/>
                <w:sz w:val="18"/>
                <w:szCs w:val="18"/>
              </w:rPr>
              <w:t>2027</w:t>
            </w:r>
          </w:p>
        </w:tc>
        <w:tc>
          <w:tcPr>
            <w:tcW w:w="766" w:type="dxa"/>
            <w:tcBorders>
              <w:top w:val="single" w:sz="8" w:space="0" w:color="9CC2E5"/>
              <w:left w:val="single" w:sz="8" w:space="0" w:color="9CC2E5"/>
              <w:bottom w:val="single" w:sz="4" w:space="0" w:color="9CC2E5" w:themeColor="accent1" w:themeTint="99"/>
              <w:right w:val="single" w:sz="8" w:space="0" w:color="9CC2E5"/>
            </w:tcBorders>
            <w:vAlign w:val="center"/>
          </w:tcPr>
          <w:p w14:paraId="0246D399" w14:textId="77777777" w:rsidR="00C8305B" w:rsidRDefault="00C8305B" w:rsidP="00B312F7">
            <w:pPr>
              <w:ind w:firstLine="0"/>
              <w:jc w:val="center"/>
              <w:rPr>
                <w:b/>
                <w:bCs/>
                <w:color w:val="000000"/>
                <w:sz w:val="18"/>
                <w:szCs w:val="18"/>
              </w:rPr>
            </w:pPr>
            <w:r>
              <w:rPr>
                <w:b/>
                <w:bCs/>
                <w:color w:val="000000"/>
                <w:sz w:val="18"/>
                <w:szCs w:val="18"/>
              </w:rPr>
              <w:t>2028</w:t>
            </w:r>
          </w:p>
        </w:tc>
      </w:tr>
      <w:tr w:rsidR="00C8305B" w:rsidRPr="002D3394" w14:paraId="4738F40E" w14:textId="77777777" w:rsidTr="00B312F7">
        <w:trPr>
          <w:trHeight w:val="44"/>
        </w:trPr>
        <w:tc>
          <w:tcPr>
            <w:tcW w:w="3676" w:type="dxa"/>
            <w:tcBorders>
              <w:top w:val="nil"/>
              <w:left w:val="single" w:sz="8" w:space="0" w:color="9CC2E5"/>
              <w:bottom w:val="single" w:sz="8" w:space="0" w:color="9CC2E5"/>
              <w:right w:val="single" w:sz="8" w:space="0" w:color="9CC2E5"/>
            </w:tcBorders>
            <w:shd w:val="clear" w:color="auto" w:fill="auto"/>
            <w:vAlign w:val="center"/>
            <w:hideMark/>
          </w:tcPr>
          <w:p w14:paraId="4251AD3A" w14:textId="77777777" w:rsidR="00C8305B" w:rsidRPr="002D3394" w:rsidRDefault="00C8305B" w:rsidP="00B312F7">
            <w:pPr>
              <w:ind w:firstLine="0"/>
              <w:jc w:val="left"/>
              <w:rPr>
                <w:rFonts w:eastAsia="Times New Roman" w:cs="Times New Roman"/>
                <w:sz w:val="18"/>
                <w:szCs w:val="18"/>
                <w:lang w:eastAsia="lv-LV"/>
              </w:rPr>
            </w:pPr>
            <w:r w:rsidRPr="002D3394">
              <w:rPr>
                <w:rFonts w:eastAsia="Times New Roman" w:cs="Times New Roman"/>
                <w:sz w:val="18"/>
                <w:szCs w:val="18"/>
                <w:lang w:eastAsia="lv-LV"/>
              </w:rPr>
              <w:t>1. Tekošais un kapitāla konts</w:t>
            </w:r>
          </w:p>
        </w:tc>
        <w:tc>
          <w:tcPr>
            <w:tcW w:w="850" w:type="dxa"/>
            <w:tcBorders>
              <w:top w:val="nil"/>
              <w:left w:val="nil"/>
              <w:bottom w:val="single" w:sz="8" w:space="0" w:color="9CC2E5"/>
              <w:right w:val="single" w:sz="8" w:space="0" w:color="9CC2E5"/>
            </w:tcBorders>
            <w:shd w:val="clear" w:color="auto" w:fill="auto"/>
            <w:vAlign w:val="center"/>
            <w:hideMark/>
          </w:tcPr>
          <w:p w14:paraId="526F58AB" w14:textId="77777777" w:rsidR="00C8305B" w:rsidRPr="002D3394" w:rsidRDefault="00C8305B" w:rsidP="00B312F7">
            <w:pPr>
              <w:ind w:firstLine="0"/>
              <w:jc w:val="center"/>
              <w:rPr>
                <w:rFonts w:eastAsia="Times New Roman" w:cs="Times New Roman"/>
                <w:sz w:val="18"/>
                <w:szCs w:val="18"/>
                <w:lang w:eastAsia="lv-LV"/>
              </w:rPr>
            </w:pPr>
            <w:r w:rsidRPr="002D3394">
              <w:rPr>
                <w:rFonts w:eastAsia="Times New Roman" w:cs="Times New Roman"/>
                <w:sz w:val="18"/>
                <w:szCs w:val="18"/>
                <w:lang w:eastAsia="lv-LV"/>
              </w:rPr>
              <w:t>B.9</w:t>
            </w:r>
          </w:p>
        </w:tc>
        <w:tc>
          <w:tcPr>
            <w:tcW w:w="765" w:type="dxa"/>
            <w:tcBorders>
              <w:top w:val="nil"/>
              <w:left w:val="nil"/>
              <w:bottom w:val="single" w:sz="8" w:space="0" w:color="9CC2E5"/>
              <w:right w:val="single" w:sz="8" w:space="0" w:color="9CC2E5"/>
            </w:tcBorders>
            <w:shd w:val="clear" w:color="auto" w:fill="auto"/>
            <w:vAlign w:val="center"/>
          </w:tcPr>
          <w:p w14:paraId="14A986B8" w14:textId="77777777" w:rsidR="00C8305B" w:rsidRPr="004F487F" w:rsidRDefault="00C8305B" w:rsidP="00B312F7">
            <w:pPr>
              <w:ind w:firstLine="0"/>
              <w:jc w:val="center"/>
              <w:rPr>
                <w:rFonts w:eastAsia="Times New Roman" w:cs="Times New Roman"/>
                <w:sz w:val="18"/>
                <w:szCs w:val="18"/>
                <w:lang w:eastAsia="lv-LV"/>
              </w:rPr>
            </w:pPr>
            <w:r w:rsidRPr="004F487F">
              <w:rPr>
                <w:color w:val="000000"/>
                <w:sz w:val="18"/>
                <w:szCs w:val="18"/>
              </w:rPr>
              <w:t>-2,0</w:t>
            </w:r>
          </w:p>
        </w:tc>
        <w:tc>
          <w:tcPr>
            <w:tcW w:w="766" w:type="dxa"/>
            <w:tcBorders>
              <w:top w:val="nil"/>
              <w:left w:val="nil"/>
              <w:bottom w:val="single" w:sz="8" w:space="0" w:color="9CC2E5"/>
              <w:right w:val="single" w:sz="8" w:space="0" w:color="9CC2E5"/>
            </w:tcBorders>
            <w:shd w:val="clear" w:color="auto" w:fill="auto"/>
            <w:vAlign w:val="center"/>
          </w:tcPr>
          <w:p w14:paraId="46A1F837" w14:textId="77777777" w:rsidR="00C8305B" w:rsidRPr="004F487F" w:rsidRDefault="00C8305B" w:rsidP="00B312F7">
            <w:pPr>
              <w:ind w:firstLine="0"/>
              <w:jc w:val="center"/>
              <w:rPr>
                <w:rFonts w:eastAsia="Times New Roman" w:cs="Times New Roman"/>
                <w:sz w:val="18"/>
                <w:szCs w:val="18"/>
                <w:lang w:eastAsia="lv-LV"/>
              </w:rPr>
            </w:pPr>
            <w:r w:rsidRPr="004F487F">
              <w:rPr>
                <w:color w:val="000000"/>
                <w:sz w:val="18"/>
                <w:szCs w:val="18"/>
              </w:rPr>
              <w:t>-2,6</w:t>
            </w:r>
          </w:p>
        </w:tc>
        <w:tc>
          <w:tcPr>
            <w:tcW w:w="765" w:type="dxa"/>
            <w:tcBorders>
              <w:top w:val="nil"/>
              <w:left w:val="nil"/>
              <w:bottom w:val="single" w:sz="8" w:space="0" w:color="9CC2E5"/>
              <w:right w:val="single" w:sz="8" w:space="0" w:color="9CC2E5"/>
            </w:tcBorders>
            <w:shd w:val="clear" w:color="auto" w:fill="auto"/>
            <w:vAlign w:val="center"/>
          </w:tcPr>
          <w:p w14:paraId="4EBC38BC" w14:textId="77777777" w:rsidR="00C8305B" w:rsidRPr="004F487F" w:rsidRDefault="00C8305B" w:rsidP="00B312F7">
            <w:pPr>
              <w:ind w:firstLine="0"/>
              <w:jc w:val="center"/>
              <w:rPr>
                <w:rFonts w:eastAsia="Times New Roman" w:cs="Times New Roman"/>
                <w:sz w:val="18"/>
                <w:szCs w:val="18"/>
                <w:lang w:eastAsia="lv-LV"/>
              </w:rPr>
            </w:pPr>
            <w:r w:rsidRPr="004F487F">
              <w:rPr>
                <w:color w:val="000000"/>
                <w:sz w:val="18"/>
                <w:szCs w:val="18"/>
              </w:rPr>
              <w:t>-2,3</w:t>
            </w:r>
          </w:p>
        </w:tc>
        <w:tc>
          <w:tcPr>
            <w:tcW w:w="766" w:type="dxa"/>
            <w:tcBorders>
              <w:top w:val="nil"/>
              <w:left w:val="nil"/>
              <w:bottom w:val="single" w:sz="8" w:space="0" w:color="9CC2E5"/>
              <w:right w:val="single" w:sz="4" w:space="0" w:color="9CC2E5" w:themeColor="accent1" w:themeTint="99"/>
            </w:tcBorders>
            <w:shd w:val="clear" w:color="auto" w:fill="auto"/>
            <w:vAlign w:val="center"/>
          </w:tcPr>
          <w:p w14:paraId="25D96D93" w14:textId="77777777" w:rsidR="00C8305B" w:rsidRPr="004F487F" w:rsidRDefault="00C8305B" w:rsidP="00B312F7">
            <w:pPr>
              <w:ind w:firstLine="0"/>
              <w:jc w:val="center"/>
              <w:rPr>
                <w:rFonts w:eastAsia="Times New Roman" w:cs="Times New Roman"/>
                <w:sz w:val="18"/>
                <w:szCs w:val="18"/>
                <w:lang w:eastAsia="lv-LV"/>
              </w:rPr>
            </w:pPr>
            <w:r w:rsidRPr="004F487F">
              <w:rPr>
                <w:color w:val="000000"/>
                <w:sz w:val="18"/>
                <w:szCs w:val="18"/>
              </w:rPr>
              <w:t>-2,2</w:t>
            </w:r>
          </w:p>
        </w:tc>
        <w:tc>
          <w:tcPr>
            <w:tcW w:w="76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214D5BBF" w14:textId="77777777" w:rsidR="00C8305B" w:rsidRPr="004F487F" w:rsidRDefault="00C8305B" w:rsidP="00B312F7">
            <w:pPr>
              <w:ind w:firstLine="0"/>
              <w:jc w:val="center"/>
              <w:rPr>
                <w:rFonts w:eastAsia="Times New Roman" w:cs="Times New Roman"/>
                <w:sz w:val="18"/>
                <w:szCs w:val="18"/>
                <w:lang w:eastAsia="lv-LV"/>
              </w:rPr>
            </w:pPr>
            <w:r w:rsidRPr="004F487F">
              <w:rPr>
                <w:color w:val="000000"/>
                <w:sz w:val="18"/>
                <w:szCs w:val="18"/>
              </w:rPr>
              <w:t>-2,7</w:t>
            </w:r>
          </w:p>
        </w:tc>
        <w:tc>
          <w:tcPr>
            <w:tcW w:w="76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FC582D5" w14:textId="77777777" w:rsidR="00C8305B" w:rsidRPr="004F487F" w:rsidRDefault="00C8305B" w:rsidP="00B312F7">
            <w:pPr>
              <w:ind w:firstLine="0"/>
              <w:jc w:val="center"/>
              <w:rPr>
                <w:color w:val="000000"/>
                <w:sz w:val="18"/>
                <w:szCs w:val="18"/>
              </w:rPr>
            </w:pPr>
            <w:r>
              <w:rPr>
                <w:color w:val="000000"/>
                <w:sz w:val="18"/>
                <w:szCs w:val="18"/>
              </w:rPr>
              <w:t>-3,3</w:t>
            </w:r>
          </w:p>
        </w:tc>
      </w:tr>
      <w:tr w:rsidR="00C8305B" w:rsidRPr="002D3394" w14:paraId="46F6302F" w14:textId="77777777" w:rsidTr="00B312F7">
        <w:trPr>
          <w:trHeight w:val="44"/>
        </w:trPr>
        <w:tc>
          <w:tcPr>
            <w:tcW w:w="3676" w:type="dxa"/>
            <w:tcBorders>
              <w:top w:val="nil"/>
              <w:left w:val="single" w:sz="8" w:space="0" w:color="9CC2E5"/>
              <w:bottom w:val="single" w:sz="8" w:space="0" w:color="9CC2E5"/>
              <w:right w:val="single" w:sz="8" w:space="0" w:color="9CC2E5"/>
            </w:tcBorders>
            <w:shd w:val="clear" w:color="000000" w:fill="DEEAF6"/>
            <w:vAlign w:val="center"/>
            <w:hideMark/>
          </w:tcPr>
          <w:p w14:paraId="6EF78C48" w14:textId="77777777" w:rsidR="00C8305B" w:rsidRPr="002D3394" w:rsidRDefault="00C8305B" w:rsidP="00B312F7">
            <w:pPr>
              <w:ind w:firstLine="0"/>
              <w:jc w:val="left"/>
              <w:rPr>
                <w:rFonts w:eastAsia="Times New Roman" w:cs="Times New Roman"/>
                <w:sz w:val="18"/>
                <w:szCs w:val="18"/>
                <w:lang w:eastAsia="lv-LV"/>
              </w:rPr>
            </w:pPr>
            <w:r w:rsidRPr="002D3394">
              <w:rPr>
                <w:rFonts w:eastAsia="Times New Roman" w:cs="Times New Roman"/>
                <w:sz w:val="18"/>
                <w:szCs w:val="18"/>
                <w:lang w:eastAsia="lv-LV"/>
              </w:rPr>
              <w:t>t.sk.:</w:t>
            </w:r>
          </w:p>
        </w:tc>
        <w:tc>
          <w:tcPr>
            <w:tcW w:w="850" w:type="dxa"/>
            <w:tcBorders>
              <w:top w:val="nil"/>
              <w:left w:val="nil"/>
              <w:bottom w:val="single" w:sz="8" w:space="0" w:color="9CC2E5"/>
              <w:right w:val="single" w:sz="8" w:space="0" w:color="9CC2E5"/>
            </w:tcBorders>
            <w:shd w:val="clear" w:color="000000" w:fill="DEEAF6"/>
            <w:vAlign w:val="center"/>
            <w:hideMark/>
          </w:tcPr>
          <w:p w14:paraId="29CDA623" w14:textId="77777777" w:rsidR="00C8305B" w:rsidRPr="002D3394" w:rsidRDefault="00C8305B" w:rsidP="00B312F7">
            <w:pPr>
              <w:ind w:firstLine="0"/>
              <w:jc w:val="left"/>
              <w:rPr>
                <w:rFonts w:ascii="Calibri" w:eastAsia="Times New Roman" w:hAnsi="Calibri" w:cs="Calibri"/>
                <w:sz w:val="18"/>
                <w:szCs w:val="18"/>
                <w:lang w:eastAsia="lv-LV"/>
              </w:rPr>
            </w:pPr>
            <w:r w:rsidRPr="002D3394">
              <w:rPr>
                <w:rFonts w:ascii="Calibri" w:eastAsia="Times New Roman" w:hAnsi="Calibri" w:cs="Calibri"/>
                <w:sz w:val="18"/>
                <w:szCs w:val="18"/>
                <w:lang w:eastAsia="lv-LV"/>
              </w:rPr>
              <w:t> </w:t>
            </w:r>
          </w:p>
        </w:tc>
        <w:tc>
          <w:tcPr>
            <w:tcW w:w="765" w:type="dxa"/>
            <w:tcBorders>
              <w:top w:val="nil"/>
              <w:left w:val="nil"/>
              <w:bottom w:val="single" w:sz="8" w:space="0" w:color="9CC2E5"/>
              <w:right w:val="single" w:sz="8" w:space="0" w:color="9CC2E5"/>
            </w:tcBorders>
            <w:shd w:val="clear" w:color="000000" w:fill="DEEAF6"/>
            <w:noWrap/>
            <w:vAlign w:val="center"/>
          </w:tcPr>
          <w:p w14:paraId="516B497B" w14:textId="77777777" w:rsidR="00C8305B" w:rsidRPr="004F487F" w:rsidRDefault="00C8305B" w:rsidP="00B312F7">
            <w:pPr>
              <w:ind w:firstLine="0"/>
              <w:jc w:val="center"/>
              <w:rPr>
                <w:rFonts w:eastAsia="Times New Roman" w:cs="Times New Roman"/>
                <w:sz w:val="18"/>
                <w:szCs w:val="18"/>
                <w:lang w:eastAsia="lv-LV"/>
              </w:rPr>
            </w:pPr>
            <w:r w:rsidRPr="004F487F">
              <w:rPr>
                <w:color w:val="000000"/>
                <w:sz w:val="18"/>
                <w:szCs w:val="18"/>
              </w:rPr>
              <w:t> </w:t>
            </w:r>
          </w:p>
        </w:tc>
        <w:tc>
          <w:tcPr>
            <w:tcW w:w="766" w:type="dxa"/>
            <w:tcBorders>
              <w:top w:val="nil"/>
              <w:left w:val="nil"/>
              <w:bottom w:val="single" w:sz="8" w:space="0" w:color="9CC2E5"/>
              <w:right w:val="single" w:sz="8" w:space="0" w:color="9CC2E5"/>
            </w:tcBorders>
            <w:shd w:val="clear" w:color="000000" w:fill="DEEAF6"/>
            <w:noWrap/>
            <w:vAlign w:val="center"/>
          </w:tcPr>
          <w:p w14:paraId="1BEED970" w14:textId="77777777" w:rsidR="00C8305B" w:rsidRPr="004F487F" w:rsidRDefault="00C8305B" w:rsidP="00B312F7">
            <w:pPr>
              <w:ind w:firstLine="0"/>
              <w:jc w:val="center"/>
              <w:rPr>
                <w:rFonts w:eastAsia="Times New Roman" w:cs="Times New Roman"/>
                <w:sz w:val="18"/>
                <w:szCs w:val="18"/>
                <w:lang w:eastAsia="lv-LV"/>
              </w:rPr>
            </w:pPr>
            <w:r w:rsidRPr="004F487F">
              <w:rPr>
                <w:color w:val="000000"/>
                <w:sz w:val="18"/>
                <w:szCs w:val="18"/>
              </w:rPr>
              <w:t> </w:t>
            </w:r>
          </w:p>
        </w:tc>
        <w:tc>
          <w:tcPr>
            <w:tcW w:w="765" w:type="dxa"/>
            <w:tcBorders>
              <w:top w:val="nil"/>
              <w:left w:val="nil"/>
              <w:bottom w:val="single" w:sz="8" w:space="0" w:color="9CC2E5"/>
              <w:right w:val="single" w:sz="8" w:space="0" w:color="9CC2E5"/>
            </w:tcBorders>
            <w:shd w:val="clear" w:color="000000" w:fill="DEEAF6"/>
            <w:noWrap/>
            <w:vAlign w:val="center"/>
          </w:tcPr>
          <w:p w14:paraId="35186ACA" w14:textId="77777777" w:rsidR="00C8305B" w:rsidRPr="004F487F" w:rsidRDefault="00C8305B" w:rsidP="00B312F7">
            <w:pPr>
              <w:ind w:firstLine="0"/>
              <w:jc w:val="center"/>
              <w:rPr>
                <w:rFonts w:eastAsia="Times New Roman" w:cs="Times New Roman"/>
                <w:sz w:val="18"/>
                <w:szCs w:val="18"/>
                <w:lang w:eastAsia="lv-LV"/>
              </w:rPr>
            </w:pPr>
            <w:r w:rsidRPr="004F487F">
              <w:rPr>
                <w:color w:val="000000"/>
                <w:sz w:val="18"/>
                <w:szCs w:val="18"/>
              </w:rPr>
              <w:t> </w:t>
            </w:r>
          </w:p>
        </w:tc>
        <w:tc>
          <w:tcPr>
            <w:tcW w:w="766" w:type="dxa"/>
            <w:tcBorders>
              <w:top w:val="nil"/>
              <w:left w:val="nil"/>
              <w:bottom w:val="single" w:sz="8" w:space="0" w:color="9CC2E5"/>
              <w:right w:val="single" w:sz="8" w:space="0" w:color="9CC2E5"/>
            </w:tcBorders>
            <w:shd w:val="clear" w:color="000000" w:fill="DEEAF6"/>
            <w:noWrap/>
            <w:vAlign w:val="center"/>
          </w:tcPr>
          <w:p w14:paraId="04C59DB4" w14:textId="77777777" w:rsidR="00C8305B" w:rsidRPr="004F487F" w:rsidRDefault="00C8305B" w:rsidP="00B312F7">
            <w:pPr>
              <w:ind w:firstLine="0"/>
              <w:jc w:val="center"/>
              <w:rPr>
                <w:rFonts w:eastAsia="Times New Roman" w:cs="Times New Roman"/>
                <w:sz w:val="18"/>
                <w:szCs w:val="18"/>
                <w:lang w:eastAsia="lv-LV"/>
              </w:rPr>
            </w:pPr>
            <w:r w:rsidRPr="004F487F">
              <w:rPr>
                <w:color w:val="000000"/>
                <w:sz w:val="18"/>
                <w:szCs w:val="18"/>
              </w:rPr>
              <w:t> </w:t>
            </w:r>
          </w:p>
        </w:tc>
        <w:tc>
          <w:tcPr>
            <w:tcW w:w="766" w:type="dxa"/>
            <w:tcBorders>
              <w:top w:val="single" w:sz="4" w:space="0" w:color="9CC2E5" w:themeColor="accent1" w:themeTint="99"/>
              <w:left w:val="nil"/>
              <w:bottom w:val="single" w:sz="8" w:space="0" w:color="9CC2E5"/>
              <w:right w:val="single" w:sz="4" w:space="0" w:color="9CC2E5" w:themeColor="accent1" w:themeTint="99"/>
            </w:tcBorders>
            <w:shd w:val="clear" w:color="000000" w:fill="DEEAF6"/>
            <w:noWrap/>
            <w:vAlign w:val="center"/>
          </w:tcPr>
          <w:p w14:paraId="2C3FBF75" w14:textId="77777777" w:rsidR="00C8305B" w:rsidRPr="004F487F" w:rsidRDefault="00C8305B" w:rsidP="00B312F7">
            <w:pPr>
              <w:ind w:firstLine="0"/>
              <w:jc w:val="center"/>
              <w:rPr>
                <w:rFonts w:eastAsia="Times New Roman" w:cs="Times New Roman"/>
                <w:sz w:val="18"/>
                <w:szCs w:val="18"/>
                <w:lang w:eastAsia="lv-LV"/>
              </w:rPr>
            </w:pPr>
            <w:r w:rsidRPr="004F487F">
              <w:rPr>
                <w:color w:val="000000"/>
                <w:sz w:val="18"/>
                <w:szCs w:val="18"/>
              </w:rPr>
              <w:t> </w:t>
            </w:r>
          </w:p>
        </w:tc>
        <w:tc>
          <w:tcPr>
            <w:tcW w:w="76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000000" w:fill="DEEAF6"/>
            <w:vAlign w:val="center"/>
          </w:tcPr>
          <w:p w14:paraId="24A0C6C5" w14:textId="77777777" w:rsidR="00C8305B" w:rsidRPr="004F487F" w:rsidRDefault="00C8305B" w:rsidP="00B312F7">
            <w:pPr>
              <w:ind w:firstLine="0"/>
              <w:jc w:val="center"/>
              <w:rPr>
                <w:color w:val="000000"/>
                <w:sz w:val="18"/>
                <w:szCs w:val="18"/>
              </w:rPr>
            </w:pPr>
          </w:p>
        </w:tc>
      </w:tr>
      <w:tr w:rsidR="00C8305B" w:rsidRPr="002A71C2" w14:paraId="760B1F33" w14:textId="77777777" w:rsidTr="00B312F7">
        <w:trPr>
          <w:trHeight w:val="132"/>
        </w:trPr>
        <w:tc>
          <w:tcPr>
            <w:tcW w:w="3676" w:type="dxa"/>
            <w:tcBorders>
              <w:top w:val="nil"/>
              <w:left w:val="single" w:sz="8" w:space="0" w:color="9CC2E5"/>
              <w:bottom w:val="single" w:sz="8" w:space="0" w:color="9CC2E5"/>
              <w:right w:val="single" w:sz="8" w:space="0" w:color="9CC2E5"/>
            </w:tcBorders>
            <w:shd w:val="clear" w:color="auto" w:fill="auto"/>
            <w:vAlign w:val="center"/>
            <w:hideMark/>
          </w:tcPr>
          <w:p w14:paraId="6DA352E3" w14:textId="77777777" w:rsidR="00C8305B" w:rsidRPr="002A71C2" w:rsidRDefault="00C8305B" w:rsidP="00B312F7">
            <w:pPr>
              <w:ind w:firstLine="0"/>
              <w:jc w:val="left"/>
              <w:rPr>
                <w:rFonts w:eastAsia="Times New Roman" w:cs="Times New Roman"/>
                <w:color w:val="000000"/>
                <w:sz w:val="18"/>
                <w:szCs w:val="18"/>
                <w:lang w:eastAsia="lv-LV"/>
              </w:rPr>
            </w:pPr>
            <w:r w:rsidRPr="002A71C2">
              <w:rPr>
                <w:rFonts w:eastAsia="Times New Roman" w:cs="Times New Roman"/>
                <w:color w:val="000000"/>
                <w:sz w:val="18"/>
                <w:szCs w:val="18"/>
                <w:lang w:eastAsia="lv-LV"/>
              </w:rPr>
              <w:t>- Preču un pakalpojumu bilance</w:t>
            </w:r>
          </w:p>
        </w:tc>
        <w:tc>
          <w:tcPr>
            <w:tcW w:w="850" w:type="dxa"/>
            <w:tcBorders>
              <w:top w:val="nil"/>
              <w:left w:val="nil"/>
              <w:bottom w:val="single" w:sz="8" w:space="0" w:color="9CC2E5"/>
              <w:right w:val="single" w:sz="8" w:space="0" w:color="9CC2E5"/>
            </w:tcBorders>
            <w:shd w:val="clear" w:color="auto" w:fill="auto"/>
            <w:vAlign w:val="center"/>
            <w:hideMark/>
          </w:tcPr>
          <w:p w14:paraId="2DAFCA2C" w14:textId="77777777" w:rsidR="00C8305B" w:rsidRPr="002A71C2" w:rsidRDefault="00C8305B" w:rsidP="00B312F7">
            <w:pPr>
              <w:ind w:firstLine="0"/>
              <w:jc w:val="left"/>
              <w:rPr>
                <w:rFonts w:ascii="Calibri" w:eastAsia="Times New Roman" w:hAnsi="Calibri" w:cs="Calibri"/>
                <w:color w:val="000000"/>
                <w:sz w:val="18"/>
                <w:szCs w:val="18"/>
                <w:lang w:eastAsia="lv-LV"/>
              </w:rPr>
            </w:pPr>
            <w:r w:rsidRPr="002A71C2">
              <w:rPr>
                <w:rFonts w:ascii="Calibri" w:eastAsia="Times New Roman" w:hAnsi="Calibri" w:cs="Calibri"/>
                <w:color w:val="000000"/>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center"/>
          </w:tcPr>
          <w:p w14:paraId="4BEBCFA1" w14:textId="77777777" w:rsidR="00C8305B" w:rsidRPr="002A71C2" w:rsidRDefault="00C8305B" w:rsidP="00B312F7">
            <w:pPr>
              <w:ind w:firstLine="0"/>
              <w:jc w:val="center"/>
              <w:rPr>
                <w:rFonts w:eastAsia="Times New Roman" w:cs="Times New Roman"/>
                <w:color w:val="000000"/>
                <w:sz w:val="18"/>
                <w:szCs w:val="18"/>
                <w:lang w:eastAsia="lv-LV"/>
              </w:rPr>
            </w:pPr>
            <w:r w:rsidRPr="002A71C2">
              <w:rPr>
                <w:color w:val="000000"/>
                <w:sz w:val="18"/>
                <w:szCs w:val="18"/>
              </w:rPr>
              <w:t>-3,9</w:t>
            </w:r>
          </w:p>
        </w:tc>
        <w:tc>
          <w:tcPr>
            <w:tcW w:w="766" w:type="dxa"/>
            <w:tcBorders>
              <w:top w:val="nil"/>
              <w:left w:val="nil"/>
              <w:bottom w:val="single" w:sz="8" w:space="0" w:color="9CC2E5"/>
              <w:right w:val="single" w:sz="8" w:space="0" w:color="9CC2E5"/>
            </w:tcBorders>
            <w:shd w:val="clear" w:color="auto" w:fill="auto"/>
            <w:vAlign w:val="center"/>
          </w:tcPr>
          <w:p w14:paraId="30891E91" w14:textId="77777777" w:rsidR="00C8305B" w:rsidRPr="002A71C2" w:rsidRDefault="00C8305B" w:rsidP="00B312F7">
            <w:pPr>
              <w:ind w:firstLine="0"/>
              <w:jc w:val="center"/>
              <w:rPr>
                <w:rFonts w:eastAsia="Times New Roman" w:cs="Times New Roman"/>
                <w:color w:val="000000"/>
                <w:sz w:val="18"/>
                <w:szCs w:val="18"/>
                <w:lang w:eastAsia="lv-LV"/>
              </w:rPr>
            </w:pPr>
            <w:r w:rsidRPr="002A71C2">
              <w:rPr>
                <w:color w:val="000000"/>
                <w:sz w:val="18"/>
                <w:szCs w:val="18"/>
              </w:rPr>
              <w:t>-4,4</w:t>
            </w:r>
          </w:p>
        </w:tc>
        <w:tc>
          <w:tcPr>
            <w:tcW w:w="765" w:type="dxa"/>
            <w:tcBorders>
              <w:top w:val="nil"/>
              <w:left w:val="nil"/>
              <w:bottom w:val="single" w:sz="8" w:space="0" w:color="9CC2E5"/>
              <w:right w:val="single" w:sz="8" w:space="0" w:color="9CC2E5"/>
            </w:tcBorders>
            <w:shd w:val="clear" w:color="auto" w:fill="auto"/>
            <w:vAlign w:val="center"/>
          </w:tcPr>
          <w:p w14:paraId="17667AAB" w14:textId="77777777" w:rsidR="00C8305B" w:rsidRPr="002A71C2" w:rsidRDefault="00C8305B" w:rsidP="00B312F7">
            <w:pPr>
              <w:ind w:firstLine="0"/>
              <w:jc w:val="center"/>
              <w:rPr>
                <w:rFonts w:eastAsia="Times New Roman" w:cs="Times New Roman"/>
                <w:color w:val="000000"/>
                <w:sz w:val="18"/>
                <w:szCs w:val="18"/>
                <w:lang w:eastAsia="lv-LV"/>
              </w:rPr>
            </w:pPr>
            <w:r w:rsidRPr="002A71C2">
              <w:rPr>
                <w:color w:val="000000"/>
                <w:sz w:val="18"/>
                <w:szCs w:val="18"/>
              </w:rPr>
              <w:t>-4,3</w:t>
            </w:r>
          </w:p>
        </w:tc>
        <w:tc>
          <w:tcPr>
            <w:tcW w:w="766" w:type="dxa"/>
            <w:tcBorders>
              <w:top w:val="nil"/>
              <w:left w:val="nil"/>
              <w:bottom w:val="single" w:sz="8" w:space="0" w:color="9CC2E5"/>
              <w:right w:val="single" w:sz="8" w:space="0" w:color="9CC2E5"/>
            </w:tcBorders>
            <w:shd w:val="clear" w:color="auto" w:fill="auto"/>
            <w:vAlign w:val="center"/>
          </w:tcPr>
          <w:p w14:paraId="517CAB5E" w14:textId="77777777" w:rsidR="00C8305B" w:rsidRPr="002A71C2" w:rsidRDefault="00C8305B" w:rsidP="00B312F7">
            <w:pPr>
              <w:ind w:firstLine="0"/>
              <w:jc w:val="center"/>
              <w:rPr>
                <w:rFonts w:eastAsia="Times New Roman" w:cs="Times New Roman"/>
                <w:color w:val="000000"/>
                <w:sz w:val="18"/>
                <w:szCs w:val="18"/>
                <w:lang w:eastAsia="lv-LV"/>
              </w:rPr>
            </w:pPr>
            <w:r w:rsidRPr="002A71C2">
              <w:rPr>
                <w:color w:val="000000"/>
                <w:sz w:val="18"/>
                <w:szCs w:val="18"/>
              </w:rPr>
              <w:t>-4,2</w:t>
            </w:r>
          </w:p>
        </w:tc>
        <w:tc>
          <w:tcPr>
            <w:tcW w:w="766" w:type="dxa"/>
            <w:tcBorders>
              <w:top w:val="nil"/>
              <w:left w:val="nil"/>
              <w:bottom w:val="single" w:sz="8" w:space="0" w:color="9CC2E5"/>
              <w:right w:val="single" w:sz="8" w:space="0" w:color="9CC2E5"/>
            </w:tcBorders>
            <w:shd w:val="clear" w:color="auto" w:fill="auto"/>
            <w:vAlign w:val="center"/>
          </w:tcPr>
          <w:p w14:paraId="36C7064C" w14:textId="77777777" w:rsidR="00C8305B" w:rsidRPr="002A71C2" w:rsidRDefault="00C8305B" w:rsidP="00B312F7">
            <w:pPr>
              <w:ind w:firstLine="0"/>
              <w:jc w:val="center"/>
              <w:rPr>
                <w:rFonts w:eastAsia="Times New Roman" w:cs="Times New Roman"/>
                <w:color w:val="000000"/>
                <w:sz w:val="18"/>
                <w:szCs w:val="18"/>
                <w:lang w:eastAsia="lv-LV"/>
              </w:rPr>
            </w:pPr>
            <w:r w:rsidRPr="002A71C2">
              <w:rPr>
                <w:color w:val="000000"/>
                <w:sz w:val="18"/>
                <w:szCs w:val="18"/>
              </w:rPr>
              <w:t>-4,1</w:t>
            </w:r>
          </w:p>
        </w:tc>
        <w:tc>
          <w:tcPr>
            <w:tcW w:w="766" w:type="dxa"/>
            <w:tcBorders>
              <w:top w:val="single" w:sz="4" w:space="0" w:color="9CC2E5" w:themeColor="accent1" w:themeTint="99"/>
              <w:left w:val="nil"/>
              <w:bottom w:val="single" w:sz="8" w:space="0" w:color="9CC2E5"/>
              <w:right w:val="single" w:sz="8" w:space="0" w:color="9CC2E5"/>
            </w:tcBorders>
            <w:vAlign w:val="center"/>
          </w:tcPr>
          <w:p w14:paraId="0C496096" w14:textId="77777777" w:rsidR="00C8305B" w:rsidRPr="002A71C2" w:rsidRDefault="00C8305B" w:rsidP="00B312F7">
            <w:pPr>
              <w:ind w:firstLine="0"/>
              <w:jc w:val="center"/>
              <w:rPr>
                <w:color w:val="000000"/>
                <w:sz w:val="18"/>
                <w:szCs w:val="18"/>
              </w:rPr>
            </w:pPr>
            <w:r w:rsidRPr="002A71C2">
              <w:rPr>
                <w:color w:val="000000"/>
                <w:sz w:val="18"/>
                <w:szCs w:val="18"/>
              </w:rPr>
              <w:t>-4,0</w:t>
            </w:r>
          </w:p>
        </w:tc>
      </w:tr>
      <w:tr w:rsidR="00C8305B" w:rsidRPr="002A71C2" w14:paraId="64F11C1D" w14:textId="77777777" w:rsidTr="00B312F7">
        <w:trPr>
          <w:trHeight w:val="44"/>
        </w:trPr>
        <w:tc>
          <w:tcPr>
            <w:tcW w:w="3676" w:type="dxa"/>
            <w:tcBorders>
              <w:top w:val="nil"/>
              <w:left w:val="single" w:sz="8" w:space="0" w:color="9CC2E5"/>
              <w:bottom w:val="single" w:sz="8" w:space="0" w:color="9CC2E5"/>
              <w:right w:val="single" w:sz="8" w:space="0" w:color="9CC2E5"/>
            </w:tcBorders>
            <w:shd w:val="clear" w:color="000000" w:fill="DEEAF6"/>
            <w:vAlign w:val="center"/>
            <w:hideMark/>
          </w:tcPr>
          <w:p w14:paraId="23B8D706" w14:textId="77777777" w:rsidR="00C8305B" w:rsidRPr="002A71C2" w:rsidRDefault="00C8305B" w:rsidP="00B312F7">
            <w:pPr>
              <w:ind w:firstLine="0"/>
              <w:jc w:val="left"/>
              <w:rPr>
                <w:rFonts w:eastAsia="Times New Roman" w:cs="Times New Roman"/>
                <w:color w:val="000000"/>
                <w:sz w:val="18"/>
                <w:szCs w:val="18"/>
                <w:lang w:eastAsia="lv-LV"/>
              </w:rPr>
            </w:pPr>
            <w:r w:rsidRPr="002A71C2">
              <w:rPr>
                <w:rFonts w:eastAsia="Times New Roman" w:cs="Times New Roman"/>
                <w:color w:val="000000"/>
                <w:sz w:val="18"/>
                <w:szCs w:val="18"/>
                <w:lang w:eastAsia="lv-LV"/>
              </w:rPr>
              <w:t>- Ienākumu un pārvedumu bilance</w:t>
            </w:r>
          </w:p>
        </w:tc>
        <w:tc>
          <w:tcPr>
            <w:tcW w:w="850" w:type="dxa"/>
            <w:tcBorders>
              <w:top w:val="nil"/>
              <w:left w:val="nil"/>
              <w:bottom w:val="single" w:sz="8" w:space="0" w:color="9CC2E5"/>
              <w:right w:val="single" w:sz="8" w:space="0" w:color="9CC2E5"/>
            </w:tcBorders>
            <w:shd w:val="clear" w:color="000000" w:fill="DEEAF6"/>
            <w:vAlign w:val="center"/>
            <w:hideMark/>
          </w:tcPr>
          <w:p w14:paraId="051DBF73" w14:textId="77777777" w:rsidR="00C8305B" w:rsidRPr="002A71C2" w:rsidRDefault="00C8305B" w:rsidP="00B312F7">
            <w:pPr>
              <w:ind w:firstLine="0"/>
              <w:jc w:val="left"/>
              <w:rPr>
                <w:rFonts w:ascii="Calibri" w:eastAsia="Times New Roman" w:hAnsi="Calibri" w:cs="Calibri"/>
                <w:color w:val="000000"/>
                <w:sz w:val="18"/>
                <w:szCs w:val="18"/>
                <w:lang w:eastAsia="lv-LV"/>
              </w:rPr>
            </w:pPr>
            <w:r w:rsidRPr="002A71C2">
              <w:rPr>
                <w:rFonts w:ascii="Calibri" w:eastAsia="Times New Roman" w:hAnsi="Calibri" w:cs="Calibri"/>
                <w:color w:val="000000"/>
                <w:sz w:val="18"/>
                <w:szCs w:val="18"/>
                <w:lang w:eastAsia="lv-LV"/>
              </w:rPr>
              <w:t> </w:t>
            </w:r>
          </w:p>
        </w:tc>
        <w:tc>
          <w:tcPr>
            <w:tcW w:w="765" w:type="dxa"/>
            <w:tcBorders>
              <w:top w:val="nil"/>
              <w:left w:val="nil"/>
              <w:bottom w:val="single" w:sz="8" w:space="0" w:color="9CC2E5"/>
              <w:right w:val="single" w:sz="8" w:space="0" w:color="9CC2E5"/>
            </w:tcBorders>
            <w:shd w:val="clear" w:color="000000" w:fill="DEEAF6"/>
            <w:vAlign w:val="center"/>
          </w:tcPr>
          <w:p w14:paraId="61465014" w14:textId="77777777" w:rsidR="00C8305B" w:rsidRPr="002A71C2" w:rsidRDefault="00C8305B" w:rsidP="00B312F7">
            <w:pPr>
              <w:ind w:firstLine="0"/>
              <w:jc w:val="center"/>
              <w:rPr>
                <w:rFonts w:eastAsia="Times New Roman" w:cs="Times New Roman"/>
                <w:color w:val="000000"/>
                <w:sz w:val="18"/>
                <w:szCs w:val="18"/>
                <w:lang w:eastAsia="lv-LV"/>
              </w:rPr>
            </w:pPr>
            <w:r w:rsidRPr="002A71C2">
              <w:rPr>
                <w:color w:val="000000"/>
                <w:sz w:val="18"/>
                <w:szCs w:val="18"/>
              </w:rPr>
              <w:t>-0,2</w:t>
            </w:r>
          </w:p>
        </w:tc>
        <w:tc>
          <w:tcPr>
            <w:tcW w:w="766" w:type="dxa"/>
            <w:tcBorders>
              <w:top w:val="nil"/>
              <w:left w:val="nil"/>
              <w:bottom w:val="single" w:sz="8" w:space="0" w:color="9CC2E5"/>
              <w:right w:val="single" w:sz="8" w:space="0" w:color="9CC2E5"/>
            </w:tcBorders>
            <w:shd w:val="clear" w:color="000000" w:fill="DEEAF6"/>
            <w:vAlign w:val="center"/>
          </w:tcPr>
          <w:p w14:paraId="617AFD09" w14:textId="77777777" w:rsidR="00C8305B" w:rsidRPr="002A71C2" w:rsidRDefault="00C8305B" w:rsidP="00B312F7">
            <w:pPr>
              <w:ind w:firstLine="0"/>
              <w:jc w:val="center"/>
              <w:rPr>
                <w:rFonts w:eastAsia="Times New Roman" w:cs="Times New Roman"/>
                <w:color w:val="000000"/>
                <w:sz w:val="18"/>
                <w:szCs w:val="18"/>
                <w:lang w:eastAsia="lv-LV"/>
              </w:rPr>
            </w:pPr>
            <w:r w:rsidRPr="002A71C2">
              <w:rPr>
                <w:color w:val="000000"/>
                <w:sz w:val="18"/>
                <w:szCs w:val="18"/>
              </w:rPr>
              <w:t>0,7</w:t>
            </w:r>
          </w:p>
        </w:tc>
        <w:tc>
          <w:tcPr>
            <w:tcW w:w="765" w:type="dxa"/>
            <w:tcBorders>
              <w:top w:val="nil"/>
              <w:left w:val="nil"/>
              <w:bottom w:val="single" w:sz="8" w:space="0" w:color="9CC2E5"/>
              <w:right w:val="single" w:sz="8" w:space="0" w:color="9CC2E5"/>
            </w:tcBorders>
            <w:shd w:val="clear" w:color="000000" w:fill="DEEAF6"/>
            <w:vAlign w:val="center"/>
          </w:tcPr>
          <w:p w14:paraId="464A2014" w14:textId="77777777" w:rsidR="00C8305B" w:rsidRPr="002A71C2" w:rsidRDefault="00C8305B" w:rsidP="00B312F7">
            <w:pPr>
              <w:ind w:firstLine="0"/>
              <w:jc w:val="center"/>
              <w:rPr>
                <w:rFonts w:eastAsia="Times New Roman" w:cs="Times New Roman"/>
                <w:color w:val="000000"/>
                <w:sz w:val="18"/>
                <w:szCs w:val="18"/>
                <w:lang w:eastAsia="lv-LV"/>
              </w:rPr>
            </w:pPr>
            <w:r w:rsidRPr="002A71C2">
              <w:rPr>
                <w:color w:val="000000"/>
                <w:sz w:val="18"/>
                <w:szCs w:val="18"/>
              </w:rPr>
              <w:t>0,7</w:t>
            </w:r>
          </w:p>
        </w:tc>
        <w:tc>
          <w:tcPr>
            <w:tcW w:w="766" w:type="dxa"/>
            <w:tcBorders>
              <w:top w:val="nil"/>
              <w:left w:val="nil"/>
              <w:bottom w:val="single" w:sz="8" w:space="0" w:color="9CC2E5"/>
              <w:right w:val="single" w:sz="8" w:space="0" w:color="9CC2E5"/>
            </w:tcBorders>
            <w:shd w:val="clear" w:color="000000" w:fill="DEEAF6"/>
            <w:vAlign w:val="center"/>
          </w:tcPr>
          <w:p w14:paraId="24BD88FE" w14:textId="77777777" w:rsidR="00C8305B" w:rsidRPr="002A71C2" w:rsidRDefault="00C8305B" w:rsidP="00B312F7">
            <w:pPr>
              <w:ind w:firstLine="0"/>
              <w:jc w:val="center"/>
              <w:rPr>
                <w:rFonts w:eastAsia="Times New Roman" w:cs="Times New Roman"/>
                <w:color w:val="000000"/>
                <w:sz w:val="18"/>
                <w:szCs w:val="18"/>
                <w:lang w:eastAsia="lv-LV"/>
              </w:rPr>
            </w:pPr>
            <w:r w:rsidRPr="002A71C2">
              <w:rPr>
                <w:color w:val="000000"/>
                <w:sz w:val="18"/>
                <w:szCs w:val="18"/>
              </w:rPr>
              <w:t>0,3</w:t>
            </w:r>
          </w:p>
        </w:tc>
        <w:tc>
          <w:tcPr>
            <w:tcW w:w="766" w:type="dxa"/>
            <w:tcBorders>
              <w:top w:val="nil"/>
              <w:left w:val="nil"/>
              <w:bottom w:val="single" w:sz="8" w:space="0" w:color="9CC2E5"/>
              <w:right w:val="single" w:sz="8" w:space="0" w:color="9CC2E5"/>
            </w:tcBorders>
            <w:shd w:val="clear" w:color="000000" w:fill="DEEAF6"/>
            <w:vAlign w:val="center"/>
          </w:tcPr>
          <w:p w14:paraId="163D3711" w14:textId="77777777" w:rsidR="00C8305B" w:rsidRPr="002A71C2" w:rsidRDefault="00C8305B" w:rsidP="00B312F7">
            <w:pPr>
              <w:ind w:firstLine="0"/>
              <w:jc w:val="center"/>
              <w:rPr>
                <w:rFonts w:eastAsia="Times New Roman" w:cs="Times New Roman"/>
                <w:color w:val="000000"/>
                <w:sz w:val="18"/>
                <w:szCs w:val="18"/>
                <w:lang w:eastAsia="lv-LV"/>
              </w:rPr>
            </w:pPr>
            <w:r w:rsidRPr="002A71C2">
              <w:rPr>
                <w:color w:val="000000"/>
                <w:sz w:val="18"/>
                <w:szCs w:val="18"/>
              </w:rPr>
              <w:t>0,2</w:t>
            </w:r>
          </w:p>
        </w:tc>
        <w:tc>
          <w:tcPr>
            <w:tcW w:w="766" w:type="dxa"/>
            <w:tcBorders>
              <w:top w:val="nil"/>
              <w:left w:val="nil"/>
              <w:bottom w:val="single" w:sz="8" w:space="0" w:color="9CC2E5"/>
              <w:right w:val="single" w:sz="8" w:space="0" w:color="9CC2E5"/>
            </w:tcBorders>
            <w:shd w:val="clear" w:color="000000" w:fill="DEEAF6"/>
            <w:vAlign w:val="center"/>
          </w:tcPr>
          <w:p w14:paraId="457642E5" w14:textId="77777777" w:rsidR="00C8305B" w:rsidRPr="002A71C2" w:rsidRDefault="00C8305B" w:rsidP="00B312F7">
            <w:pPr>
              <w:ind w:firstLine="0"/>
              <w:jc w:val="center"/>
              <w:rPr>
                <w:color w:val="000000"/>
                <w:sz w:val="18"/>
                <w:szCs w:val="18"/>
              </w:rPr>
            </w:pPr>
            <w:r w:rsidRPr="002A71C2">
              <w:rPr>
                <w:color w:val="000000"/>
                <w:sz w:val="18"/>
                <w:szCs w:val="18"/>
              </w:rPr>
              <w:t>-0,8</w:t>
            </w:r>
          </w:p>
        </w:tc>
      </w:tr>
      <w:tr w:rsidR="00C8305B" w:rsidRPr="002A71C2" w14:paraId="7C92F0F0" w14:textId="77777777" w:rsidTr="00B312F7">
        <w:trPr>
          <w:trHeight w:val="68"/>
        </w:trPr>
        <w:tc>
          <w:tcPr>
            <w:tcW w:w="3676" w:type="dxa"/>
            <w:tcBorders>
              <w:top w:val="nil"/>
              <w:left w:val="single" w:sz="8" w:space="0" w:color="9CC2E5"/>
              <w:bottom w:val="single" w:sz="8" w:space="0" w:color="9CC2E5"/>
              <w:right w:val="single" w:sz="8" w:space="0" w:color="9CC2E5"/>
            </w:tcBorders>
            <w:shd w:val="clear" w:color="auto" w:fill="auto"/>
            <w:vAlign w:val="center"/>
            <w:hideMark/>
          </w:tcPr>
          <w:p w14:paraId="10D064F9" w14:textId="77777777" w:rsidR="00C8305B" w:rsidRPr="00DA6F68" w:rsidRDefault="00C8305B" w:rsidP="00B312F7">
            <w:pPr>
              <w:ind w:firstLine="0"/>
              <w:jc w:val="left"/>
              <w:rPr>
                <w:rFonts w:eastAsia="Times New Roman" w:cs="Times New Roman"/>
                <w:color w:val="000000"/>
                <w:sz w:val="18"/>
                <w:szCs w:val="18"/>
                <w:lang w:eastAsia="lv-LV"/>
              </w:rPr>
            </w:pPr>
            <w:r w:rsidRPr="00DA6F68">
              <w:rPr>
                <w:rFonts w:eastAsia="Times New Roman" w:cs="Times New Roman"/>
                <w:color w:val="000000"/>
                <w:sz w:val="18"/>
                <w:szCs w:val="18"/>
                <w:lang w:eastAsia="lv-LV"/>
              </w:rPr>
              <w:t>- Kapitāla konts</w:t>
            </w:r>
          </w:p>
        </w:tc>
        <w:tc>
          <w:tcPr>
            <w:tcW w:w="850" w:type="dxa"/>
            <w:tcBorders>
              <w:top w:val="nil"/>
              <w:left w:val="nil"/>
              <w:bottom w:val="single" w:sz="8" w:space="0" w:color="9CC2E5"/>
              <w:right w:val="single" w:sz="8" w:space="0" w:color="9CC2E5"/>
            </w:tcBorders>
            <w:shd w:val="clear" w:color="auto" w:fill="auto"/>
            <w:vAlign w:val="center"/>
            <w:hideMark/>
          </w:tcPr>
          <w:p w14:paraId="25BE4F2B" w14:textId="77777777" w:rsidR="00C8305B" w:rsidRPr="00DA6F68" w:rsidRDefault="00C8305B" w:rsidP="00B312F7">
            <w:pPr>
              <w:ind w:firstLine="0"/>
              <w:jc w:val="left"/>
              <w:rPr>
                <w:rFonts w:ascii="Calibri" w:eastAsia="Times New Roman" w:hAnsi="Calibri" w:cs="Calibri"/>
                <w:color w:val="000000"/>
                <w:sz w:val="18"/>
                <w:szCs w:val="18"/>
                <w:lang w:eastAsia="lv-LV"/>
              </w:rPr>
            </w:pPr>
            <w:r w:rsidRPr="00DA6F68">
              <w:rPr>
                <w:rFonts w:ascii="Calibri" w:eastAsia="Times New Roman" w:hAnsi="Calibri" w:cs="Calibri"/>
                <w:color w:val="000000"/>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center"/>
          </w:tcPr>
          <w:p w14:paraId="10EFECA1" w14:textId="77777777" w:rsidR="00C8305B" w:rsidRPr="00DA6F68" w:rsidRDefault="00C8305B" w:rsidP="00B312F7">
            <w:pPr>
              <w:ind w:firstLine="0"/>
              <w:jc w:val="center"/>
              <w:rPr>
                <w:rFonts w:eastAsia="Times New Roman" w:cs="Times New Roman"/>
                <w:color w:val="000000"/>
                <w:sz w:val="18"/>
                <w:szCs w:val="18"/>
                <w:lang w:eastAsia="lv-LV"/>
              </w:rPr>
            </w:pPr>
            <w:r w:rsidRPr="00DA6F68">
              <w:rPr>
                <w:color w:val="000000"/>
                <w:sz w:val="18"/>
                <w:szCs w:val="18"/>
              </w:rPr>
              <w:t>2,0</w:t>
            </w:r>
          </w:p>
        </w:tc>
        <w:tc>
          <w:tcPr>
            <w:tcW w:w="766" w:type="dxa"/>
            <w:tcBorders>
              <w:top w:val="nil"/>
              <w:left w:val="nil"/>
              <w:bottom w:val="single" w:sz="8" w:space="0" w:color="9CC2E5"/>
              <w:right w:val="single" w:sz="8" w:space="0" w:color="9CC2E5"/>
            </w:tcBorders>
            <w:shd w:val="clear" w:color="auto" w:fill="auto"/>
            <w:vAlign w:val="center"/>
          </w:tcPr>
          <w:p w14:paraId="5F55A551" w14:textId="77777777" w:rsidR="00C8305B" w:rsidRPr="00DA6F68" w:rsidRDefault="00C8305B" w:rsidP="00B312F7">
            <w:pPr>
              <w:ind w:firstLine="0"/>
              <w:jc w:val="center"/>
              <w:rPr>
                <w:rFonts w:eastAsia="Times New Roman" w:cs="Times New Roman"/>
                <w:color w:val="000000"/>
                <w:sz w:val="18"/>
                <w:szCs w:val="18"/>
                <w:lang w:eastAsia="lv-LV"/>
              </w:rPr>
            </w:pPr>
            <w:r w:rsidRPr="00DA6F68">
              <w:rPr>
                <w:color w:val="000000"/>
                <w:sz w:val="18"/>
                <w:szCs w:val="18"/>
              </w:rPr>
              <w:t>1,1</w:t>
            </w:r>
          </w:p>
        </w:tc>
        <w:tc>
          <w:tcPr>
            <w:tcW w:w="765" w:type="dxa"/>
            <w:tcBorders>
              <w:top w:val="nil"/>
              <w:left w:val="nil"/>
              <w:bottom w:val="single" w:sz="8" w:space="0" w:color="9CC2E5"/>
              <w:right w:val="single" w:sz="8" w:space="0" w:color="9CC2E5"/>
            </w:tcBorders>
            <w:shd w:val="clear" w:color="auto" w:fill="auto"/>
            <w:vAlign w:val="center"/>
          </w:tcPr>
          <w:p w14:paraId="73B4038B" w14:textId="77777777" w:rsidR="00C8305B" w:rsidRPr="00DA6F68" w:rsidRDefault="00C8305B" w:rsidP="00B312F7">
            <w:pPr>
              <w:ind w:firstLine="0"/>
              <w:jc w:val="center"/>
              <w:rPr>
                <w:rFonts w:eastAsia="Times New Roman" w:cs="Times New Roman"/>
                <w:color w:val="000000"/>
                <w:sz w:val="18"/>
                <w:szCs w:val="18"/>
                <w:lang w:eastAsia="lv-LV"/>
              </w:rPr>
            </w:pPr>
            <w:r w:rsidRPr="00DA6F68">
              <w:rPr>
                <w:color w:val="000000"/>
                <w:sz w:val="18"/>
                <w:szCs w:val="18"/>
              </w:rPr>
              <w:t>1,4</w:t>
            </w:r>
          </w:p>
        </w:tc>
        <w:tc>
          <w:tcPr>
            <w:tcW w:w="766" w:type="dxa"/>
            <w:tcBorders>
              <w:top w:val="nil"/>
              <w:left w:val="nil"/>
              <w:bottom w:val="single" w:sz="8" w:space="0" w:color="9CC2E5"/>
              <w:right w:val="single" w:sz="8" w:space="0" w:color="9CC2E5"/>
            </w:tcBorders>
            <w:shd w:val="clear" w:color="auto" w:fill="auto"/>
            <w:vAlign w:val="center"/>
          </w:tcPr>
          <w:p w14:paraId="5BF8D3A5" w14:textId="77777777" w:rsidR="00C8305B" w:rsidRPr="00DA6F68" w:rsidRDefault="00C8305B" w:rsidP="00B312F7">
            <w:pPr>
              <w:ind w:firstLine="0"/>
              <w:jc w:val="center"/>
              <w:rPr>
                <w:rFonts w:eastAsia="Times New Roman" w:cs="Times New Roman"/>
                <w:color w:val="000000"/>
                <w:sz w:val="18"/>
                <w:szCs w:val="18"/>
                <w:lang w:eastAsia="lv-LV"/>
              </w:rPr>
            </w:pPr>
            <w:r w:rsidRPr="00DA6F68">
              <w:rPr>
                <w:color w:val="000000"/>
                <w:sz w:val="18"/>
                <w:szCs w:val="18"/>
              </w:rPr>
              <w:t>1,6</w:t>
            </w:r>
          </w:p>
        </w:tc>
        <w:tc>
          <w:tcPr>
            <w:tcW w:w="766" w:type="dxa"/>
            <w:tcBorders>
              <w:top w:val="nil"/>
              <w:left w:val="nil"/>
              <w:bottom w:val="single" w:sz="8" w:space="0" w:color="9CC2E5"/>
              <w:right w:val="single" w:sz="8" w:space="0" w:color="9CC2E5"/>
            </w:tcBorders>
            <w:shd w:val="clear" w:color="auto" w:fill="auto"/>
            <w:vAlign w:val="center"/>
          </w:tcPr>
          <w:p w14:paraId="73DC4D5C" w14:textId="77777777" w:rsidR="00C8305B" w:rsidRPr="00DA6F68" w:rsidRDefault="00C8305B" w:rsidP="00B312F7">
            <w:pPr>
              <w:ind w:firstLine="0"/>
              <w:jc w:val="center"/>
              <w:rPr>
                <w:rFonts w:eastAsia="Times New Roman" w:cs="Times New Roman"/>
                <w:color w:val="000000"/>
                <w:sz w:val="18"/>
                <w:szCs w:val="18"/>
                <w:lang w:eastAsia="lv-LV"/>
              </w:rPr>
            </w:pPr>
            <w:r w:rsidRPr="00DA6F68">
              <w:rPr>
                <w:color w:val="000000"/>
                <w:sz w:val="18"/>
                <w:szCs w:val="18"/>
              </w:rPr>
              <w:t>1,2</w:t>
            </w:r>
          </w:p>
        </w:tc>
        <w:tc>
          <w:tcPr>
            <w:tcW w:w="766" w:type="dxa"/>
            <w:tcBorders>
              <w:top w:val="nil"/>
              <w:left w:val="nil"/>
              <w:bottom w:val="single" w:sz="8" w:space="0" w:color="9CC2E5"/>
              <w:right w:val="single" w:sz="8" w:space="0" w:color="9CC2E5"/>
            </w:tcBorders>
            <w:vAlign w:val="center"/>
          </w:tcPr>
          <w:p w14:paraId="6590BC41" w14:textId="77777777" w:rsidR="00C8305B" w:rsidRPr="00DA6F68" w:rsidRDefault="00C8305B" w:rsidP="00B312F7">
            <w:pPr>
              <w:ind w:firstLine="0"/>
              <w:jc w:val="center"/>
              <w:rPr>
                <w:color w:val="000000"/>
                <w:sz w:val="18"/>
                <w:szCs w:val="18"/>
              </w:rPr>
            </w:pPr>
            <w:r w:rsidRPr="00DA6F68">
              <w:rPr>
                <w:color w:val="000000"/>
                <w:sz w:val="18"/>
                <w:szCs w:val="18"/>
              </w:rPr>
              <w:t>1,5</w:t>
            </w:r>
          </w:p>
        </w:tc>
      </w:tr>
      <w:tr w:rsidR="00DD2E48" w:rsidRPr="002A71C2" w14:paraId="368B63BD" w14:textId="77777777" w:rsidTr="00B312F7">
        <w:trPr>
          <w:trHeight w:val="113"/>
        </w:trPr>
        <w:tc>
          <w:tcPr>
            <w:tcW w:w="3676" w:type="dxa"/>
            <w:tcBorders>
              <w:top w:val="nil"/>
              <w:left w:val="single" w:sz="8" w:space="0" w:color="9CC2E5"/>
              <w:bottom w:val="single" w:sz="8" w:space="0" w:color="9CC2E5"/>
              <w:right w:val="single" w:sz="8" w:space="0" w:color="9CC2E5"/>
            </w:tcBorders>
            <w:shd w:val="clear" w:color="000000" w:fill="DEEAF6"/>
            <w:vAlign w:val="center"/>
            <w:hideMark/>
          </w:tcPr>
          <w:p w14:paraId="2C321389" w14:textId="77777777" w:rsidR="00DD2E48" w:rsidRPr="00DA6F68" w:rsidRDefault="00DD2E48" w:rsidP="00DD2E48">
            <w:pPr>
              <w:ind w:firstLine="0"/>
              <w:jc w:val="left"/>
              <w:rPr>
                <w:rFonts w:eastAsia="Times New Roman" w:cs="Times New Roman"/>
                <w:color w:val="000000"/>
                <w:sz w:val="18"/>
                <w:szCs w:val="18"/>
                <w:lang w:eastAsia="lv-LV"/>
              </w:rPr>
            </w:pPr>
            <w:r w:rsidRPr="00DA6F68">
              <w:rPr>
                <w:rFonts w:eastAsia="Times New Roman" w:cs="Times New Roman"/>
                <w:color w:val="000000"/>
                <w:sz w:val="18"/>
                <w:szCs w:val="18"/>
                <w:lang w:eastAsia="lv-LV"/>
              </w:rPr>
              <w:t>2. Neto aizdevumi/ aizņemšanās privātajā sektorā</w:t>
            </w:r>
          </w:p>
        </w:tc>
        <w:tc>
          <w:tcPr>
            <w:tcW w:w="850" w:type="dxa"/>
            <w:tcBorders>
              <w:top w:val="nil"/>
              <w:left w:val="nil"/>
              <w:bottom w:val="single" w:sz="8" w:space="0" w:color="9CC2E5"/>
              <w:right w:val="single" w:sz="8" w:space="0" w:color="9CC2E5"/>
            </w:tcBorders>
            <w:shd w:val="clear" w:color="000000" w:fill="DEEAF6"/>
            <w:vAlign w:val="center"/>
            <w:hideMark/>
          </w:tcPr>
          <w:p w14:paraId="18243B6D" w14:textId="77777777" w:rsidR="00DD2E48" w:rsidRPr="00DA6F68" w:rsidRDefault="00DD2E48" w:rsidP="00DD2E48">
            <w:pPr>
              <w:ind w:firstLine="0"/>
              <w:jc w:val="center"/>
              <w:rPr>
                <w:rFonts w:eastAsia="Times New Roman" w:cs="Times New Roman"/>
                <w:color w:val="000000"/>
                <w:sz w:val="18"/>
                <w:szCs w:val="18"/>
                <w:lang w:eastAsia="lv-LV"/>
              </w:rPr>
            </w:pPr>
            <w:r w:rsidRPr="00DA6F68">
              <w:rPr>
                <w:rFonts w:eastAsia="Times New Roman" w:cs="Times New Roman"/>
                <w:color w:val="000000"/>
                <w:sz w:val="18"/>
                <w:szCs w:val="18"/>
                <w:lang w:eastAsia="lv-LV"/>
              </w:rPr>
              <w:t>B.9</w:t>
            </w:r>
          </w:p>
        </w:tc>
        <w:tc>
          <w:tcPr>
            <w:tcW w:w="765" w:type="dxa"/>
            <w:tcBorders>
              <w:top w:val="nil"/>
              <w:left w:val="nil"/>
              <w:bottom w:val="single" w:sz="8" w:space="0" w:color="9CC2E5"/>
              <w:right w:val="single" w:sz="8" w:space="0" w:color="9CC2E5"/>
            </w:tcBorders>
            <w:shd w:val="clear" w:color="000000" w:fill="DEEAF6"/>
            <w:vAlign w:val="center"/>
          </w:tcPr>
          <w:p w14:paraId="4108711B" w14:textId="77777777" w:rsidR="00DD2E48" w:rsidRPr="00DA6F68" w:rsidRDefault="00DD2E48" w:rsidP="00DD2E48">
            <w:pPr>
              <w:ind w:firstLine="0"/>
              <w:jc w:val="center"/>
              <w:rPr>
                <w:rFonts w:eastAsia="Times New Roman" w:cs="Times New Roman"/>
                <w:color w:val="000000"/>
                <w:sz w:val="18"/>
                <w:szCs w:val="18"/>
                <w:lang w:eastAsia="lv-LV"/>
              </w:rPr>
            </w:pPr>
            <w:r w:rsidRPr="00DA6F68">
              <w:rPr>
                <w:color w:val="000000"/>
                <w:sz w:val="18"/>
                <w:szCs w:val="18"/>
              </w:rPr>
              <w:t>0,2</w:t>
            </w:r>
          </w:p>
        </w:tc>
        <w:tc>
          <w:tcPr>
            <w:tcW w:w="766" w:type="dxa"/>
            <w:tcBorders>
              <w:top w:val="nil"/>
              <w:left w:val="nil"/>
              <w:bottom w:val="single" w:sz="8" w:space="0" w:color="9CC2E5"/>
              <w:right w:val="single" w:sz="8" w:space="0" w:color="9CC2E5"/>
            </w:tcBorders>
            <w:shd w:val="clear" w:color="000000" w:fill="DEEAF6"/>
            <w:vAlign w:val="center"/>
          </w:tcPr>
          <w:p w14:paraId="7BE7EE99" w14:textId="77777777" w:rsidR="00DD2E48" w:rsidRPr="00DA6F68" w:rsidRDefault="00DD2E48" w:rsidP="00DD2E48">
            <w:pPr>
              <w:ind w:firstLine="0"/>
              <w:jc w:val="center"/>
              <w:rPr>
                <w:rFonts w:eastAsia="Times New Roman" w:cs="Times New Roman"/>
                <w:color w:val="000000"/>
                <w:sz w:val="18"/>
                <w:szCs w:val="18"/>
                <w:lang w:eastAsia="lv-LV"/>
              </w:rPr>
            </w:pPr>
            <w:r w:rsidRPr="00DA6F68">
              <w:rPr>
                <w:color w:val="000000"/>
                <w:sz w:val="18"/>
                <w:szCs w:val="18"/>
              </w:rPr>
              <w:t>0,2</w:t>
            </w:r>
          </w:p>
        </w:tc>
        <w:tc>
          <w:tcPr>
            <w:tcW w:w="765" w:type="dxa"/>
            <w:tcBorders>
              <w:top w:val="nil"/>
              <w:left w:val="nil"/>
              <w:bottom w:val="single" w:sz="8" w:space="0" w:color="9CC2E5"/>
              <w:right w:val="single" w:sz="8" w:space="0" w:color="9CC2E5"/>
            </w:tcBorders>
            <w:shd w:val="clear" w:color="000000" w:fill="DEEAF6"/>
            <w:vAlign w:val="center"/>
          </w:tcPr>
          <w:p w14:paraId="0BB962F7" w14:textId="00C7B54F" w:rsidR="00DD2E48" w:rsidRPr="00DA6F68" w:rsidRDefault="00DD2E48" w:rsidP="00DD2E48">
            <w:pPr>
              <w:ind w:firstLine="0"/>
              <w:jc w:val="center"/>
              <w:rPr>
                <w:rFonts w:eastAsia="Times New Roman" w:cs="Times New Roman"/>
                <w:color w:val="000000"/>
                <w:sz w:val="18"/>
                <w:szCs w:val="18"/>
                <w:lang w:eastAsia="lv-LV"/>
              </w:rPr>
            </w:pPr>
            <w:r w:rsidRPr="00DA6F68">
              <w:rPr>
                <w:color w:val="000000"/>
                <w:sz w:val="18"/>
                <w:szCs w:val="18"/>
              </w:rPr>
              <w:t>-0,1</w:t>
            </w:r>
          </w:p>
        </w:tc>
        <w:tc>
          <w:tcPr>
            <w:tcW w:w="766" w:type="dxa"/>
            <w:tcBorders>
              <w:top w:val="nil"/>
              <w:left w:val="nil"/>
              <w:bottom w:val="single" w:sz="8" w:space="0" w:color="9CC2E5"/>
              <w:right w:val="single" w:sz="8" w:space="0" w:color="9CC2E5"/>
            </w:tcBorders>
            <w:shd w:val="clear" w:color="000000" w:fill="DEEAF6"/>
            <w:vAlign w:val="center"/>
          </w:tcPr>
          <w:p w14:paraId="6216491D" w14:textId="307D484C" w:rsidR="00DD2E48" w:rsidRPr="00DA6F68" w:rsidRDefault="00DD2E48" w:rsidP="00DD2E48">
            <w:pPr>
              <w:ind w:firstLine="0"/>
              <w:jc w:val="center"/>
              <w:rPr>
                <w:rFonts w:eastAsia="Times New Roman" w:cs="Times New Roman"/>
                <w:color w:val="000000"/>
                <w:sz w:val="18"/>
                <w:szCs w:val="18"/>
                <w:lang w:eastAsia="lv-LV"/>
              </w:rPr>
            </w:pPr>
            <w:r w:rsidRPr="00DA6F68">
              <w:rPr>
                <w:color w:val="000000"/>
                <w:sz w:val="18"/>
                <w:szCs w:val="18"/>
              </w:rPr>
              <w:t>0,0</w:t>
            </w:r>
          </w:p>
        </w:tc>
        <w:tc>
          <w:tcPr>
            <w:tcW w:w="766" w:type="dxa"/>
            <w:tcBorders>
              <w:top w:val="nil"/>
              <w:left w:val="nil"/>
              <w:bottom w:val="single" w:sz="8" w:space="0" w:color="9CC2E5"/>
              <w:right w:val="single" w:sz="8" w:space="0" w:color="9CC2E5"/>
            </w:tcBorders>
            <w:shd w:val="clear" w:color="000000" w:fill="DEEAF6"/>
            <w:vAlign w:val="center"/>
          </w:tcPr>
          <w:p w14:paraId="0BFFBDE5" w14:textId="52C9622C" w:rsidR="00DD2E48" w:rsidRPr="00DA6F68" w:rsidRDefault="00DD2E48" w:rsidP="00DD2E48">
            <w:pPr>
              <w:ind w:firstLine="0"/>
              <w:jc w:val="center"/>
              <w:rPr>
                <w:rFonts w:eastAsia="Times New Roman" w:cs="Times New Roman"/>
                <w:color w:val="000000"/>
                <w:sz w:val="18"/>
                <w:szCs w:val="18"/>
                <w:lang w:eastAsia="lv-LV"/>
              </w:rPr>
            </w:pPr>
            <w:r w:rsidRPr="00DA6F68">
              <w:rPr>
                <w:color w:val="000000"/>
                <w:sz w:val="18"/>
                <w:szCs w:val="18"/>
              </w:rPr>
              <w:t>-0,7</w:t>
            </w:r>
          </w:p>
        </w:tc>
        <w:tc>
          <w:tcPr>
            <w:tcW w:w="766" w:type="dxa"/>
            <w:tcBorders>
              <w:top w:val="nil"/>
              <w:left w:val="nil"/>
              <w:bottom w:val="single" w:sz="8" w:space="0" w:color="9CC2E5"/>
              <w:right w:val="single" w:sz="8" w:space="0" w:color="9CC2E5"/>
            </w:tcBorders>
            <w:shd w:val="clear" w:color="000000" w:fill="DEEAF6"/>
            <w:vAlign w:val="center"/>
          </w:tcPr>
          <w:p w14:paraId="6D24C44B" w14:textId="1EB9D7FE" w:rsidR="00DD2E48" w:rsidRPr="00DA6F68" w:rsidRDefault="00DD2E48" w:rsidP="00DD2E48">
            <w:pPr>
              <w:ind w:firstLine="0"/>
              <w:jc w:val="center"/>
              <w:rPr>
                <w:color w:val="000000"/>
                <w:sz w:val="18"/>
                <w:szCs w:val="18"/>
              </w:rPr>
            </w:pPr>
            <w:r w:rsidRPr="00DA6F68">
              <w:rPr>
                <w:color w:val="000000"/>
                <w:sz w:val="18"/>
                <w:szCs w:val="18"/>
              </w:rPr>
              <w:t>-1,5</w:t>
            </w:r>
          </w:p>
        </w:tc>
      </w:tr>
      <w:tr w:rsidR="00DD2E48" w:rsidRPr="002A71C2" w14:paraId="0AA2D6D5" w14:textId="77777777" w:rsidTr="00B312F7">
        <w:trPr>
          <w:trHeight w:val="123"/>
        </w:trPr>
        <w:tc>
          <w:tcPr>
            <w:tcW w:w="3676" w:type="dxa"/>
            <w:tcBorders>
              <w:top w:val="nil"/>
              <w:left w:val="single" w:sz="8" w:space="0" w:color="9CC2E5"/>
              <w:bottom w:val="single" w:sz="8" w:space="0" w:color="9CC2E5"/>
              <w:right w:val="single" w:sz="8" w:space="0" w:color="9CC2E5"/>
            </w:tcBorders>
            <w:shd w:val="clear" w:color="auto" w:fill="auto"/>
            <w:vAlign w:val="center"/>
            <w:hideMark/>
          </w:tcPr>
          <w:p w14:paraId="1C7E121E" w14:textId="77777777" w:rsidR="00DD2E48" w:rsidRPr="002A71C2" w:rsidRDefault="00DD2E48" w:rsidP="00DD2E48">
            <w:pPr>
              <w:ind w:firstLine="0"/>
              <w:jc w:val="left"/>
              <w:rPr>
                <w:rFonts w:eastAsia="Times New Roman" w:cs="Times New Roman"/>
                <w:color w:val="000000"/>
                <w:sz w:val="18"/>
                <w:szCs w:val="18"/>
                <w:lang w:eastAsia="lv-LV"/>
              </w:rPr>
            </w:pPr>
            <w:r w:rsidRPr="002A71C2">
              <w:rPr>
                <w:rFonts w:eastAsia="Times New Roman" w:cs="Times New Roman"/>
                <w:color w:val="000000"/>
                <w:sz w:val="18"/>
                <w:szCs w:val="18"/>
                <w:lang w:eastAsia="lv-LV"/>
              </w:rPr>
              <w:t>3. Neto aizdevumi/ aizņemšanās vispārējās valdības sektorā</w:t>
            </w:r>
          </w:p>
        </w:tc>
        <w:tc>
          <w:tcPr>
            <w:tcW w:w="850" w:type="dxa"/>
            <w:tcBorders>
              <w:top w:val="nil"/>
              <w:left w:val="nil"/>
              <w:bottom w:val="single" w:sz="8" w:space="0" w:color="9CC2E5"/>
              <w:right w:val="single" w:sz="8" w:space="0" w:color="9CC2E5"/>
            </w:tcBorders>
            <w:shd w:val="clear" w:color="auto" w:fill="auto"/>
            <w:vAlign w:val="center"/>
            <w:hideMark/>
          </w:tcPr>
          <w:p w14:paraId="2B89D52D" w14:textId="77777777" w:rsidR="00DD2E48" w:rsidRPr="002A71C2" w:rsidRDefault="00DD2E48" w:rsidP="00DD2E48">
            <w:pPr>
              <w:ind w:firstLine="0"/>
              <w:jc w:val="center"/>
              <w:rPr>
                <w:rFonts w:eastAsia="Times New Roman" w:cs="Times New Roman"/>
                <w:color w:val="000000"/>
                <w:sz w:val="18"/>
                <w:szCs w:val="18"/>
                <w:lang w:eastAsia="lv-LV"/>
              </w:rPr>
            </w:pPr>
            <w:r w:rsidRPr="002A71C2">
              <w:rPr>
                <w:rFonts w:eastAsia="Times New Roman" w:cs="Times New Roman"/>
                <w:color w:val="000000"/>
                <w:sz w:val="18"/>
                <w:szCs w:val="18"/>
                <w:lang w:eastAsia="lv-LV"/>
              </w:rPr>
              <w:t>EDP B.9</w:t>
            </w:r>
          </w:p>
        </w:tc>
        <w:tc>
          <w:tcPr>
            <w:tcW w:w="765" w:type="dxa"/>
            <w:tcBorders>
              <w:top w:val="nil"/>
              <w:left w:val="nil"/>
              <w:bottom w:val="single" w:sz="8" w:space="0" w:color="9CC2E5"/>
              <w:right w:val="single" w:sz="8" w:space="0" w:color="9CC2E5"/>
            </w:tcBorders>
            <w:shd w:val="clear" w:color="auto" w:fill="auto"/>
            <w:vAlign w:val="center"/>
          </w:tcPr>
          <w:p w14:paraId="61C3F5BD" w14:textId="77777777" w:rsidR="00DD2E48" w:rsidRPr="002A71C2" w:rsidRDefault="00DD2E48" w:rsidP="00DD2E48">
            <w:pPr>
              <w:ind w:firstLine="0"/>
              <w:jc w:val="center"/>
              <w:rPr>
                <w:rFonts w:eastAsia="Times New Roman" w:cs="Times New Roman"/>
                <w:color w:val="000000"/>
                <w:sz w:val="18"/>
                <w:szCs w:val="18"/>
                <w:lang w:eastAsia="lv-LV"/>
              </w:rPr>
            </w:pPr>
            <w:r w:rsidRPr="002A71C2">
              <w:rPr>
                <w:color w:val="000000"/>
                <w:sz w:val="18"/>
                <w:szCs w:val="18"/>
              </w:rPr>
              <w:t>-2,3</w:t>
            </w:r>
          </w:p>
        </w:tc>
        <w:tc>
          <w:tcPr>
            <w:tcW w:w="766" w:type="dxa"/>
            <w:tcBorders>
              <w:top w:val="nil"/>
              <w:left w:val="nil"/>
              <w:bottom w:val="single" w:sz="8" w:space="0" w:color="9CC2E5"/>
              <w:right w:val="single" w:sz="8" w:space="0" w:color="9CC2E5"/>
            </w:tcBorders>
            <w:shd w:val="clear" w:color="auto" w:fill="auto"/>
            <w:vAlign w:val="center"/>
          </w:tcPr>
          <w:p w14:paraId="35B73E0F" w14:textId="77777777" w:rsidR="00DD2E48" w:rsidRPr="002A71C2" w:rsidRDefault="00DD2E48" w:rsidP="00DD2E48">
            <w:pPr>
              <w:ind w:firstLine="0"/>
              <w:jc w:val="center"/>
              <w:rPr>
                <w:rFonts w:eastAsia="Times New Roman" w:cs="Times New Roman"/>
                <w:color w:val="000000"/>
                <w:sz w:val="18"/>
                <w:szCs w:val="18"/>
                <w:lang w:eastAsia="lv-LV"/>
              </w:rPr>
            </w:pPr>
            <w:r w:rsidRPr="002A71C2">
              <w:rPr>
                <w:color w:val="000000"/>
                <w:sz w:val="18"/>
                <w:szCs w:val="18"/>
              </w:rPr>
              <w:t>-2,9</w:t>
            </w:r>
          </w:p>
        </w:tc>
        <w:tc>
          <w:tcPr>
            <w:tcW w:w="765" w:type="dxa"/>
            <w:tcBorders>
              <w:top w:val="nil"/>
              <w:left w:val="nil"/>
              <w:bottom w:val="single" w:sz="8" w:space="0" w:color="9CC2E5"/>
              <w:right w:val="single" w:sz="8" w:space="0" w:color="9CC2E5"/>
            </w:tcBorders>
            <w:shd w:val="clear" w:color="auto" w:fill="auto"/>
            <w:vAlign w:val="center"/>
          </w:tcPr>
          <w:p w14:paraId="51D49C97" w14:textId="43425123" w:rsidR="00DD2E48" w:rsidRPr="002A71C2" w:rsidRDefault="00DD2E48" w:rsidP="00DD2E48">
            <w:pPr>
              <w:ind w:firstLine="0"/>
              <w:jc w:val="center"/>
              <w:rPr>
                <w:rFonts w:eastAsia="Times New Roman" w:cs="Times New Roman"/>
                <w:color w:val="000000"/>
                <w:sz w:val="18"/>
                <w:szCs w:val="18"/>
                <w:lang w:eastAsia="lv-LV"/>
              </w:rPr>
            </w:pPr>
            <w:r w:rsidRPr="002A71C2">
              <w:rPr>
                <w:color w:val="000000"/>
                <w:sz w:val="18"/>
                <w:szCs w:val="18"/>
              </w:rPr>
              <w:t>-2,2</w:t>
            </w:r>
          </w:p>
        </w:tc>
        <w:tc>
          <w:tcPr>
            <w:tcW w:w="766" w:type="dxa"/>
            <w:tcBorders>
              <w:top w:val="nil"/>
              <w:left w:val="nil"/>
              <w:bottom w:val="single" w:sz="8" w:space="0" w:color="9CC2E5"/>
              <w:right w:val="single" w:sz="8" w:space="0" w:color="9CC2E5"/>
            </w:tcBorders>
            <w:shd w:val="clear" w:color="auto" w:fill="auto"/>
            <w:vAlign w:val="center"/>
          </w:tcPr>
          <w:p w14:paraId="64883035" w14:textId="52E4589D" w:rsidR="00DD2E48" w:rsidRPr="002A71C2" w:rsidRDefault="00DD2E48" w:rsidP="00DD2E48">
            <w:pPr>
              <w:ind w:firstLine="0"/>
              <w:jc w:val="center"/>
              <w:rPr>
                <w:rFonts w:eastAsia="Times New Roman" w:cs="Times New Roman"/>
                <w:color w:val="000000"/>
                <w:sz w:val="18"/>
                <w:szCs w:val="18"/>
                <w:lang w:eastAsia="lv-LV"/>
              </w:rPr>
            </w:pPr>
            <w:r w:rsidRPr="002A71C2">
              <w:rPr>
                <w:color w:val="000000"/>
                <w:sz w:val="18"/>
                <w:szCs w:val="18"/>
              </w:rPr>
              <w:t>-2,2</w:t>
            </w:r>
          </w:p>
        </w:tc>
        <w:tc>
          <w:tcPr>
            <w:tcW w:w="766" w:type="dxa"/>
            <w:tcBorders>
              <w:top w:val="nil"/>
              <w:left w:val="nil"/>
              <w:bottom w:val="single" w:sz="8" w:space="0" w:color="9CC2E5"/>
              <w:right w:val="single" w:sz="8" w:space="0" w:color="9CC2E5"/>
            </w:tcBorders>
            <w:shd w:val="clear" w:color="auto" w:fill="auto"/>
            <w:vAlign w:val="center"/>
          </w:tcPr>
          <w:p w14:paraId="57AE5BE9" w14:textId="2F6500DE" w:rsidR="00DD2E48" w:rsidRPr="002A71C2" w:rsidRDefault="00DD2E48" w:rsidP="00DD2E48">
            <w:pPr>
              <w:ind w:firstLine="0"/>
              <w:jc w:val="center"/>
              <w:rPr>
                <w:rFonts w:eastAsia="Times New Roman" w:cs="Times New Roman"/>
                <w:color w:val="000000"/>
                <w:sz w:val="18"/>
                <w:szCs w:val="18"/>
                <w:lang w:eastAsia="lv-LV"/>
              </w:rPr>
            </w:pPr>
            <w:r w:rsidRPr="002A71C2">
              <w:rPr>
                <w:color w:val="000000"/>
                <w:sz w:val="18"/>
                <w:szCs w:val="18"/>
              </w:rPr>
              <w:t>-2,0</w:t>
            </w:r>
          </w:p>
        </w:tc>
        <w:tc>
          <w:tcPr>
            <w:tcW w:w="766" w:type="dxa"/>
            <w:tcBorders>
              <w:top w:val="nil"/>
              <w:left w:val="nil"/>
              <w:bottom w:val="single" w:sz="8" w:space="0" w:color="9CC2E5"/>
              <w:right w:val="single" w:sz="8" w:space="0" w:color="9CC2E5"/>
            </w:tcBorders>
            <w:vAlign w:val="center"/>
          </w:tcPr>
          <w:p w14:paraId="5708E0BF" w14:textId="199BDEDA" w:rsidR="00DD2E48" w:rsidRPr="002A71C2" w:rsidRDefault="00DD2E48" w:rsidP="00DD2E48">
            <w:pPr>
              <w:ind w:firstLine="0"/>
              <w:jc w:val="center"/>
              <w:rPr>
                <w:color w:val="000000"/>
                <w:sz w:val="18"/>
                <w:szCs w:val="18"/>
              </w:rPr>
            </w:pPr>
            <w:r w:rsidRPr="002A71C2">
              <w:rPr>
                <w:color w:val="000000"/>
                <w:sz w:val="18"/>
                <w:szCs w:val="18"/>
              </w:rPr>
              <w:t>-1,8</w:t>
            </w:r>
          </w:p>
        </w:tc>
      </w:tr>
      <w:tr w:rsidR="00C8305B" w:rsidRPr="002A71C2" w14:paraId="402146DC" w14:textId="77777777" w:rsidTr="00B312F7">
        <w:trPr>
          <w:trHeight w:val="44"/>
        </w:trPr>
        <w:tc>
          <w:tcPr>
            <w:tcW w:w="3676" w:type="dxa"/>
            <w:tcBorders>
              <w:top w:val="nil"/>
              <w:left w:val="single" w:sz="8" w:space="0" w:color="9CC2E5"/>
              <w:bottom w:val="single" w:sz="8" w:space="0" w:color="9CC2E5"/>
              <w:right w:val="single" w:sz="8" w:space="0" w:color="9CC2E5"/>
            </w:tcBorders>
            <w:shd w:val="clear" w:color="000000" w:fill="DEEAF6"/>
            <w:vAlign w:val="center"/>
            <w:hideMark/>
          </w:tcPr>
          <w:p w14:paraId="24185BE2" w14:textId="77777777" w:rsidR="00C8305B" w:rsidRPr="002A71C2" w:rsidRDefault="00C8305B" w:rsidP="00B312F7">
            <w:pPr>
              <w:ind w:firstLine="0"/>
              <w:jc w:val="left"/>
              <w:rPr>
                <w:rFonts w:eastAsia="Times New Roman" w:cs="Times New Roman"/>
                <w:sz w:val="18"/>
                <w:szCs w:val="18"/>
                <w:lang w:eastAsia="lv-LV"/>
              </w:rPr>
            </w:pPr>
            <w:r w:rsidRPr="002A71C2">
              <w:rPr>
                <w:rFonts w:eastAsia="Times New Roman" w:cs="Times New Roman"/>
                <w:sz w:val="18"/>
                <w:szCs w:val="18"/>
                <w:lang w:eastAsia="lv-LV"/>
              </w:rPr>
              <w:t>4. Statistiskā novirze</w:t>
            </w:r>
          </w:p>
        </w:tc>
        <w:tc>
          <w:tcPr>
            <w:tcW w:w="850" w:type="dxa"/>
            <w:tcBorders>
              <w:top w:val="nil"/>
              <w:left w:val="nil"/>
              <w:bottom w:val="single" w:sz="8" w:space="0" w:color="9CC2E5"/>
              <w:right w:val="single" w:sz="8" w:space="0" w:color="9CC2E5"/>
            </w:tcBorders>
            <w:shd w:val="clear" w:color="000000" w:fill="DEEAF6"/>
            <w:vAlign w:val="center"/>
            <w:hideMark/>
          </w:tcPr>
          <w:p w14:paraId="5589B0E9" w14:textId="77777777" w:rsidR="00C8305B" w:rsidRPr="002A71C2" w:rsidRDefault="00C8305B" w:rsidP="00B312F7">
            <w:pPr>
              <w:ind w:firstLine="0"/>
              <w:jc w:val="left"/>
              <w:rPr>
                <w:rFonts w:ascii="Calibri" w:eastAsia="Times New Roman" w:hAnsi="Calibri" w:cs="Calibri"/>
                <w:sz w:val="18"/>
                <w:szCs w:val="18"/>
                <w:lang w:eastAsia="lv-LV"/>
              </w:rPr>
            </w:pPr>
            <w:r w:rsidRPr="002A71C2">
              <w:rPr>
                <w:rFonts w:ascii="Calibri" w:eastAsia="Times New Roman" w:hAnsi="Calibri" w:cs="Calibri"/>
                <w:sz w:val="18"/>
                <w:szCs w:val="18"/>
                <w:lang w:eastAsia="lv-LV"/>
              </w:rPr>
              <w:t> </w:t>
            </w:r>
          </w:p>
        </w:tc>
        <w:tc>
          <w:tcPr>
            <w:tcW w:w="765" w:type="dxa"/>
            <w:tcBorders>
              <w:top w:val="nil"/>
              <w:left w:val="nil"/>
              <w:bottom w:val="single" w:sz="8" w:space="0" w:color="9CC2E5"/>
              <w:right w:val="single" w:sz="8" w:space="0" w:color="9CC2E5"/>
            </w:tcBorders>
            <w:shd w:val="clear" w:color="000000" w:fill="DEEAF6"/>
            <w:vAlign w:val="center"/>
          </w:tcPr>
          <w:p w14:paraId="1E54C33F" w14:textId="77777777" w:rsidR="00C8305B" w:rsidRPr="002A71C2" w:rsidRDefault="00C8305B" w:rsidP="00B312F7">
            <w:pPr>
              <w:ind w:firstLine="0"/>
              <w:jc w:val="center"/>
              <w:rPr>
                <w:rFonts w:eastAsia="Times New Roman" w:cs="Times New Roman"/>
                <w:sz w:val="18"/>
                <w:szCs w:val="18"/>
                <w:lang w:eastAsia="lv-LV"/>
              </w:rPr>
            </w:pPr>
            <w:r w:rsidRPr="002A71C2">
              <w:rPr>
                <w:color w:val="000000"/>
                <w:sz w:val="18"/>
                <w:szCs w:val="18"/>
              </w:rPr>
              <w:t>0,0</w:t>
            </w:r>
          </w:p>
        </w:tc>
        <w:tc>
          <w:tcPr>
            <w:tcW w:w="766" w:type="dxa"/>
            <w:tcBorders>
              <w:top w:val="nil"/>
              <w:left w:val="nil"/>
              <w:bottom w:val="single" w:sz="8" w:space="0" w:color="9CC2E5"/>
              <w:right w:val="single" w:sz="8" w:space="0" w:color="9CC2E5"/>
            </w:tcBorders>
            <w:shd w:val="clear" w:color="000000" w:fill="DEEAF6"/>
            <w:vAlign w:val="center"/>
          </w:tcPr>
          <w:p w14:paraId="34D3113E" w14:textId="77777777" w:rsidR="00C8305B" w:rsidRPr="002A71C2" w:rsidRDefault="00C8305B" w:rsidP="00B312F7">
            <w:pPr>
              <w:ind w:firstLine="0"/>
              <w:jc w:val="center"/>
              <w:rPr>
                <w:rFonts w:eastAsia="Times New Roman" w:cs="Times New Roman"/>
                <w:sz w:val="18"/>
                <w:szCs w:val="18"/>
                <w:lang w:eastAsia="lv-LV"/>
              </w:rPr>
            </w:pPr>
            <w:r w:rsidRPr="002A71C2">
              <w:rPr>
                <w:color w:val="000000"/>
                <w:sz w:val="18"/>
                <w:szCs w:val="18"/>
              </w:rPr>
              <w:t>0,0</w:t>
            </w:r>
          </w:p>
        </w:tc>
        <w:tc>
          <w:tcPr>
            <w:tcW w:w="765" w:type="dxa"/>
            <w:tcBorders>
              <w:top w:val="nil"/>
              <w:left w:val="nil"/>
              <w:bottom w:val="single" w:sz="8" w:space="0" w:color="9CC2E5"/>
              <w:right w:val="single" w:sz="8" w:space="0" w:color="9CC2E5"/>
            </w:tcBorders>
            <w:shd w:val="clear" w:color="000000" w:fill="DEEAF6"/>
            <w:vAlign w:val="center"/>
          </w:tcPr>
          <w:p w14:paraId="20494AB2" w14:textId="77777777" w:rsidR="00C8305B" w:rsidRPr="002A71C2" w:rsidRDefault="00C8305B" w:rsidP="00B312F7">
            <w:pPr>
              <w:ind w:firstLine="0"/>
              <w:jc w:val="center"/>
              <w:rPr>
                <w:rFonts w:eastAsia="Times New Roman" w:cs="Times New Roman"/>
                <w:sz w:val="18"/>
                <w:szCs w:val="18"/>
                <w:lang w:eastAsia="lv-LV"/>
              </w:rPr>
            </w:pPr>
            <w:r w:rsidRPr="002A71C2">
              <w:rPr>
                <w:color w:val="000000"/>
                <w:sz w:val="18"/>
                <w:szCs w:val="18"/>
              </w:rPr>
              <w:t>0,0</w:t>
            </w:r>
          </w:p>
        </w:tc>
        <w:tc>
          <w:tcPr>
            <w:tcW w:w="766" w:type="dxa"/>
            <w:tcBorders>
              <w:top w:val="nil"/>
              <w:left w:val="nil"/>
              <w:bottom w:val="single" w:sz="8" w:space="0" w:color="9CC2E5"/>
              <w:right w:val="single" w:sz="8" w:space="0" w:color="9CC2E5"/>
            </w:tcBorders>
            <w:shd w:val="clear" w:color="000000" w:fill="DEEAF6"/>
            <w:vAlign w:val="center"/>
          </w:tcPr>
          <w:p w14:paraId="36C359F8" w14:textId="77777777" w:rsidR="00C8305B" w:rsidRPr="002A71C2" w:rsidRDefault="00C8305B" w:rsidP="00B312F7">
            <w:pPr>
              <w:ind w:firstLine="0"/>
              <w:jc w:val="center"/>
              <w:rPr>
                <w:rFonts w:eastAsia="Times New Roman" w:cs="Times New Roman"/>
                <w:sz w:val="18"/>
                <w:szCs w:val="18"/>
                <w:lang w:eastAsia="lv-LV"/>
              </w:rPr>
            </w:pPr>
            <w:r w:rsidRPr="002A71C2">
              <w:rPr>
                <w:color w:val="000000"/>
                <w:sz w:val="18"/>
                <w:szCs w:val="18"/>
              </w:rPr>
              <w:t>0,0</w:t>
            </w:r>
          </w:p>
        </w:tc>
        <w:tc>
          <w:tcPr>
            <w:tcW w:w="766" w:type="dxa"/>
            <w:tcBorders>
              <w:top w:val="nil"/>
              <w:left w:val="nil"/>
              <w:bottom w:val="single" w:sz="8" w:space="0" w:color="9CC2E5"/>
              <w:right w:val="single" w:sz="8" w:space="0" w:color="9CC2E5"/>
            </w:tcBorders>
            <w:shd w:val="clear" w:color="000000" w:fill="DEEAF6"/>
            <w:vAlign w:val="center"/>
          </w:tcPr>
          <w:p w14:paraId="7F5F479F" w14:textId="77777777" w:rsidR="00C8305B" w:rsidRPr="002A71C2" w:rsidRDefault="00C8305B" w:rsidP="00B312F7">
            <w:pPr>
              <w:ind w:firstLine="0"/>
              <w:jc w:val="center"/>
              <w:rPr>
                <w:rFonts w:eastAsia="Times New Roman" w:cs="Times New Roman"/>
                <w:sz w:val="18"/>
                <w:szCs w:val="18"/>
                <w:lang w:eastAsia="lv-LV"/>
              </w:rPr>
            </w:pPr>
            <w:r w:rsidRPr="002A71C2">
              <w:rPr>
                <w:color w:val="000000"/>
                <w:sz w:val="18"/>
                <w:szCs w:val="18"/>
              </w:rPr>
              <w:t>0,0</w:t>
            </w:r>
          </w:p>
        </w:tc>
        <w:tc>
          <w:tcPr>
            <w:tcW w:w="766" w:type="dxa"/>
            <w:tcBorders>
              <w:top w:val="nil"/>
              <w:left w:val="nil"/>
              <w:bottom w:val="single" w:sz="8" w:space="0" w:color="9CC2E5"/>
              <w:right w:val="single" w:sz="8" w:space="0" w:color="9CC2E5"/>
            </w:tcBorders>
            <w:shd w:val="clear" w:color="000000" w:fill="DEEAF6"/>
            <w:vAlign w:val="center"/>
          </w:tcPr>
          <w:p w14:paraId="054B9860" w14:textId="77777777" w:rsidR="00C8305B" w:rsidRPr="002A71C2" w:rsidRDefault="00C8305B" w:rsidP="00B312F7">
            <w:pPr>
              <w:ind w:firstLine="0"/>
              <w:jc w:val="center"/>
              <w:rPr>
                <w:color w:val="000000"/>
                <w:sz w:val="18"/>
                <w:szCs w:val="18"/>
              </w:rPr>
            </w:pPr>
            <w:r w:rsidRPr="002A71C2">
              <w:rPr>
                <w:color w:val="000000"/>
                <w:sz w:val="18"/>
                <w:szCs w:val="18"/>
              </w:rPr>
              <w:t>0,0</w:t>
            </w:r>
          </w:p>
        </w:tc>
      </w:tr>
    </w:tbl>
    <w:p w14:paraId="57A8314C" w14:textId="3E5C4572" w:rsidR="00C8305B" w:rsidRDefault="00C8305B" w:rsidP="00C8305B">
      <w:pPr>
        <w:spacing w:after="160" w:line="259" w:lineRule="auto"/>
        <w:ind w:firstLine="0"/>
        <w:jc w:val="left"/>
        <w:rPr>
          <w:rFonts w:eastAsia="Times New Roman" w:cs="Times New Roman"/>
          <w:sz w:val="24"/>
          <w:lang w:eastAsia="lv-LV"/>
        </w:rPr>
      </w:pPr>
      <w:r w:rsidRPr="002A71C2">
        <w:rPr>
          <w:rFonts w:eastAsia="Times New Roman" w:cs="Times New Roman"/>
          <w:color w:val="000000"/>
          <w:sz w:val="18"/>
          <w:szCs w:val="18"/>
          <w:vertAlign w:val="superscript"/>
        </w:rPr>
        <w:t xml:space="preserve">* </w:t>
      </w:r>
      <w:r w:rsidRPr="002A71C2">
        <w:rPr>
          <w:rFonts w:eastAsia="Times New Roman" w:cs="Times New Roman"/>
          <w:color w:val="000000"/>
          <w:sz w:val="18"/>
          <w:szCs w:val="18"/>
        </w:rPr>
        <w:t>Prognozes: 2024. gada februāra scenārijs</w:t>
      </w:r>
    </w:p>
    <w:p w14:paraId="0CC2A8E3" w14:textId="77777777" w:rsidR="00042C12" w:rsidRPr="00874664" w:rsidRDefault="00042C12" w:rsidP="00042C12">
      <w:pPr>
        <w:ind w:firstLine="0"/>
        <w:jc w:val="left"/>
        <w:rPr>
          <w:rFonts w:eastAsia="Times New Roman" w:cs="Times New Roman"/>
          <w:sz w:val="18"/>
          <w:szCs w:val="18"/>
          <w:highlight w:val="lightGray"/>
        </w:rPr>
      </w:pPr>
    </w:p>
    <w:p w14:paraId="4231B8C4" w14:textId="099F9B87" w:rsidR="00DD6632" w:rsidRPr="002A71C2" w:rsidRDefault="00884CF9" w:rsidP="00E54B38">
      <w:pPr>
        <w:spacing w:after="160" w:line="259" w:lineRule="auto"/>
        <w:ind w:firstLine="0"/>
        <w:jc w:val="left"/>
        <w:rPr>
          <w:rFonts w:cs="Times New Roman"/>
          <w:b/>
          <w:sz w:val="24"/>
          <w:szCs w:val="24"/>
        </w:rPr>
      </w:pPr>
      <w:r w:rsidRPr="009A2DF2">
        <w:rPr>
          <w:rFonts w:cs="Times New Roman"/>
          <w:b/>
          <w:sz w:val="24"/>
          <w:szCs w:val="24"/>
        </w:rPr>
        <w:t>2a. tabula. Vispārējās valdības budžeta attīstība</w:t>
      </w:r>
      <w:r w:rsidR="009A2DF2" w:rsidRPr="009A2DF2">
        <w:rPr>
          <w:rFonts w:cs="Times New Roman"/>
          <w:b/>
          <w:sz w:val="24"/>
          <w:szCs w:val="24"/>
        </w:rPr>
        <w:t xml:space="preserve"> (</w:t>
      </w:r>
      <w:r w:rsidR="009A2DF2" w:rsidRPr="002A71C2">
        <w:rPr>
          <w:rFonts w:cs="Times New Roman"/>
          <w:b/>
          <w:sz w:val="24"/>
          <w:szCs w:val="24"/>
        </w:rPr>
        <w:t>pie mainīgas politikas)</w:t>
      </w:r>
    </w:p>
    <w:tbl>
      <w:tblPr>
        <w:tblStyle w:val="GridTable6Colorful-Accent1173"/>
        <w:tblW w:w="9938" w:type="dxa"/>
        <w:jc w:val="center"/>
        <w:tblLayout w:type="fixed"/>
        <w:tblLook w:val="04A0" w:firstRow="1" w:lastRow="0" w:firstColumn="1" w:lastColumn="0" w:noHBand="0" w:noVBand="1"/>
      </w:tblPr>
      <w:tblGrid>
        <w:gridCol w:w="3263"/>
        <w:gridCol w:w="1134"/>
        <w:gridCol w:w="1142"/>
        <w:gridCol w:w="860"/>
        <w:gridCol w:w="707"/>
        <w:gridCol w:w="708"/>
        <w:gridCol w:w="708"/>
        <w:gridCol w:w="708"/>
        <w:gridCol w:w="708"/>
      </w:tblGrid>
      <w:tr w:rsidR="00551502" w:rsidRPr="0091078B" w14:paraId="4C80B883" w14:textId="77777777" w:rsidTr="00551502">
        <w:trPr>
          <w:cnfStyle w:val="100000000000" w:firstRow="1" w:lastRow="0" w:firstColumn="0" w:lastColumn="0" w:oddVBand="0" w:evenVBand="0" w:oddHBand="0" w:evenHBand="0" w:firstRowFirstColumn="0" w:firstRowLastColumn="0" w:lastRowFirstColumn="0" w:lastRowLastColumn="0"/>
          <w:trHeight w:val="60"/>
          <w:tblHeader/>
          <w:jc w:val="center"/>
        </w:trPr>
        <w:tc>
          <w:tcPr>
            <w:cnfStyle w:val="001000000000" w:firstRow="0" w:lastRow="0" w:firstColumn="1" w:lastColumn="0" w:oddVBand="0" w:evenVBand="0" w:oddHBand="0" w:evenHBand="0" w:firstRowFirstColumn="0" w:firstRowLastColumn="0" w:lastRowFirstColumn="0" w:lastRowLastColumn="0"/>
            <w:tcW w:w="3265" w:type="dxa"/>
          </w:tcPr>
          <w:p w14:paraId="650B71EF" w14:textId="5E302CAD" w:rsidR="00551502" w:rsidRPr="00551502" w:rsidRDefault="00551502" w:rsidP="00551502">
            <w:pPr>
              <w:ind w:firstLine="31"/>
              <w:rPr>
                <w:rFonts w:cs="Times New Roman"/>
                <w:sz w:val="18"/>
                <w:szCs w:val="18"/>
                <w:lang w:eastAsia="lv-LV"/>
              </w:rPr>
            </w:pPr>
          </w:p>
        </w:tc>
        <w:tc>
          <w:tcPr>
            <w:tcW w:w="1134" w:type="dxa"/>
          </w:tcPr>
          <w:p w14:paraId="031EC215" w14:textId="03D5A992" w:rsidR="00551502" w:rsidRPr="00551502" w:rsidRDefault="00551502" w:rsidP="00551502">
            <w:pPr>
              <w:ind w:firstLine="31"/>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eastAsia="lv-LV"/>
              </w:rPr>
            </w:pPr>
            <w:r w:rsidRPr="00551502">
              <w:rPr>
                <w:rFonts w:cs="Times New Roman"/>
                <w:color w:val="000000" w:themeColor="text1"/>
                <w:sz w:val="18"/>
                <w:szCs w:val="18"/>
                <w:lang w:eastAsia="lv-LV"/>
              </w:rPr>
              <w:t>EKS kods</w:t>
            </w:r>
          </w:p>
        </w:tc>
        <w:tc>
          <w:tcPr>
            <w:tcW w:w="1134" w:type="dxa"/>
          </w:tcPr>
          <w:p w14:paraId="4E085474" w14:textId="7810D555" w:rsidR="00551502" w:rsidRPr="00551502" w:rsidRDefault="00551502" w:rsidP="00551502">
            <w:pPr>
              <w:ind w:firstLine="31"/>
              <w:jc w:val="center"/>
              <w:cnfStyle w:val="100000000000" w:firstRow="1" w:lastRow="0" w:firstColumn="0" w:lastColumn="0" w:oddVBand="0" w:evenVBand="0" w:oddHBand="0" w:evenHBand="0" w:firstRowFirstColumn="0" w:firstRowLastColumn="0" w:lastRowFirstColumn="0" w:lastRowLastColumn="0"/>
              <w:rPr>
                <w:sz w:val="18"/>
                <w:szCs w:val="18"/>
              </w:rPr>
            </w:pPr>
            <w:r w:rsidRPr="00551502">
              <w:rPr>
                <w:rFonts w:cs="Times New Roman"/>
                <w:color w:val="000000" w:themeColor="text1"/>
                <w:sz w:val="18"/>
                <w:szCs w:val="18"/>
                <w:lang w:eastAsia="lv-LV"/>
              </w:rPr>
              <w:t>2023</w:t>
            </w:r>
          </w:p>
        </w:tc>
        <w:tc>
          <w:tcPr>
            <w:tcW w:w="861" w:type="dxa"/>
          </w:tcPr>
          <w:p w14:paraId="309CC228" w14:textId="38D5031C" w:rsidR="00551502" w:rsidRPr="00551502" w:rsidRDefault="00551502" w:rsidP="00551502">
            <w:pPr>
              <w:ind w:firstLine="31"/>
              <w:jc w:val="center"/>
              <w:cnfStyle w:val="100000000000" w:firstRow="1" w:lastRow="0" w:firstColumn="0" w:lastColumn="0" w:oddVBand="0" w:evenVBand="0" w:oddHBand="0" w:evenHBand="0" w:firstRowFirstColumn="0" w:firstRowLastColumn="0" w:lastRowFirstColumn="0" w:lastRowLastColumn="0"/>
              <w:rPr>
                <w:sz w:val="18"/>
                <w:szCs w:val="18"/>
              </w:rPr>
            </w:pPr>
            <w:r w:rsidRPr="00551502">
              <w:rPr>
                <w:rFonts w:cs="Times New Roman"/>
                <w:color w:val="000000" w:themeColor="text1"/>
                <w:sz w:val="18"/>
                <w:szCs w:val="18"/>
                <w:lang w:eastAsia="lv-LV"/>
              </w:rPr>
              <w:t>2023</w:t>
            </w:r>
          </w:p>
        </w:tc>
        <w:tc>
          <w:tcPr>
            <w:tcW w:w="708" w:type="dxa"/>
          </w:tcPr>
          <w:p w14:paraId="08D1451D" w14:textId="5EE50BEE" w:rsidR="00551502" w:rsidRPr="00551502" w:rsidRDefault="00551502" w:rsidP="00551502">
            <w:pPr>
              <w:ind w:firstLine="31"/>
              <w:jc w:val="center"/>
              <w:cnfStyle w:val="100000000000" w:firstRow="1" w:lastRow="0" w:firstColumn="0" w:lastColumn="0" w:oddVBand="0" w:evenVBand="0" w:oddHBand="0" w:evenHBand="0" w:firstRowFirstColumn="0" w:firstRowLastColumn="0" w:lastRowFirstColumn="0" w:lastRowLastColumn="0"/>
              <w:rPr>
                <w:sz w:val="18"/>
                <w:szCs w:val="18"/>
              </w:rPr>
            </w:pPr>
            <w:r w:rsidRPr="00551502">
              <w:rPr>
                <w:rFonts w:cs="Times New Roman"/>
                <w:color w:val="000000" w:themeColor="text1"/>
                <w:sz w:val="18"/>
                <w:szCs w:val="18"/>
                <w:lang w:eastAsia="lv-LV"/>
              </w:rPr>
              <w:t>2024</w:t>
            </w:r>
          </w:p>
        </w:tc>
        <w:tc>
          <w:tcPr>
            <w:tcW w:w="709" w:type="dxa"/>
          </w:tcPr>
          <w:p w14:paraId="5F550F13" w14:textId="1407A399" w:rsidR="00551502" w:rsidRPr="00551502" w:rsidRDefault="00551502" w:rsidP="00551502">
            <w:pPr>
              <w:ind w:firstLine="31"/>
              <w:jc w:val="center"/>
              <w:cnfStyle w:val="100000000000" w:firstRow="1" w:lastRow="0" w:firstColumn="0" w:lastColumn="0" w:oddVBand="0" w:evenVBand="0" w:oddHBand="0" w:evenHBand="0" w:firstRowFirstColumn="0" w:firstRowLastColumn="0" w:lastRowFirstColumn="0" w:lastRowLastColumn="0"/>
              <w:rPr>
                <w:sz w:val="18"/>
                <w:szCs w:val="18"/>
              </w:rPr>
            </w:pPr>
            <w:r w:rsidRPr="00551502">
              <w:rPr>
                <w:rFonts w:cs="Times New Roman"/>
                <w:color w:val="000000" w:themeColor="text1"/>
                <w:sz w:val="18"/>
                <w:szCs w:val="18"/>
                <w:lang w:eastAsia="lv-LV"/>
              </w:rPr>
              <w:t>2025</w:t>
            </w:r>
          </w:p>
        </w:tc>
        <w:tc>
          <w:tcPr>
            <w:tcW w:w="709" w:type="dxa"/>
          </w:tcPr>
          <w:p w14:paraId="5D3025D1" w14:textId="041BDAE9" w:rsidR="00551502" w:rsidRPr="00551502" w:rsidRDefault="00551502" w:rsidP="00551502">
            <w:pPr>
              <w:ind w:firstLine="31"/>
              <w:jc w:val="center"/>
              <w:cnfStyle w:val="100000000000" w:firstRow="1" w:lastRow="0" w:firstColumn="0" w:lastColumn="0" w:oddVBand="0" w:evenVBand="0" w:oddHBand="0" w:evenHBand="0" w:firstRowFirstColumn="0" w:firstRowLastColumn="0" w:lastRowFirstColumn="0" w:lastRowLastColumn="0"/>
              <w:rPr>
                <w:sz w:val="18"/>
                <w:szCs w:val="18"/>
              </w:rPr>
            </w:pPr>
            <w:r w:rsidRPr="00551502">
              <w:rPr>
                <w:rFonts w:cs="Times New Roman"/>
                <w:color w:val="000000" w:themeColor="text1"/>
                <w:sz w:val="18"/>
                <w:szCs w:val="18"/>
                <w:lang w:eastAsia="lv-LV"/>
              </w:rPr>
              <w:t>2026</w:t>
            </w:r>
          </w:p>
        </w:tc>
        <w:tc>
          <w:tcPr>
            <w:tcW w:w="709" w:type="dxa"/>
          </w:tcPr>
          <w:p w14:paraId="1B279B92" w14:textId="3BA9C435" w:rsidR="00551502" w:rsidRPr="00551502" w:rsidRDefault="00551502" w:rsidP="00551502">
            <w:pPr>
              <w:ind w:firstLine="31"/>
              <w:jc w:val="center"/>
              <w:cnfStyle w:val="100000000000" w:firstRow="1" w:lastRow="0" w:firstColumn="0" w:lastColumn="0" w:oddVBand="0" w:evenVBand="0" w:oddHBand="0" w:evenHBand="0" w:firstRowFirstColumn="0" w:firstRowLastColumn="0" w:lastRowFirstColumn="0" w:lastRowLastColumn="0"/>
              <w:rPr>
                <w:sz w:val="18"/>
                <w:szCs w:val="18"/>
              </w:rPr>
            </w:pPr>
            <w:r w:rsidRPr="00551502">
              <w:rPr>
                <w:rFonts w:cs="Times New Roman"/>
                <w:color w:val="000000" w:themeColor="text1"/>
                <w:sz w:val="18"/>
                <w:szCs w:val="18"/>
                <w:lang w:eastAsia="lv-LV"/>
              </w:rPr>
              <w:t>2027</w:t>
            </w:r>
          </w:p>
        </w:tc>
        <w:tc>
          <w:tcPr>
            <w:tcW w:w="709" w:type="dxa"/>
          </w:tcPr>
          <w:p w14:paraId="5987DEF1" w14:textId="7AD8FB7E" w:rsidR="00551502" w:rsidRPr="00551502" w:rsidRDefault="00551502" w:rsidP="00551502">
            <w:pPr>
              <w:ind w:firstLine="31"/>
              <w:jc w:val="center"/>
              <w:cnfStyle w:val="100000000000" w:firstRow="1" w:lastRow="0" w:firstColumn="0" w:lastColumn="0" w:oddVBand="0" w:evenVBand="0" w:oddHBand="0" w:evenHBand="0" w:firstRowFirstColumn="0" w:firstRowLastColumn="0" w:lastRowFirstColumn="0" w:lastRowLastColumn="0"/>
              <w:rPr>
                <w:sz w:val="18"/>
                <w:szCs w:val="18"/>
              </w:rPr>
            </w:pPr>
            <w:r w:rsidRPr="00551502">
              <w:rPr>
                <w:rFonts w:cs="Times New Roman"/>
                <w:color w:val="000000" w:themeColor="text1"/>
                <w:sz w:val="18"/>
                <w:szCs w:val="18"/>
                <w:lang w:eastAsia="lv-LV"/>
              </w:rPr>
              <w:t>2028</w:t>
            </w:r>
          </w:p>
        </w:tc>
      </w:tr>
      <w:tr w:rsidR="00551502" w:rsidRPr="0091078B" w14:paraId="7DD249FD" w14:textId="77777777" w:rsidTr="00551502">
        <w:trPr>
          <w:cnfStyle w:val="100000000000" w:firstRow="1" w:lastRow="0" w:firstColumn="0" w:lastColumn="0" w:oddVBand="0" w:evenVBand="0" w:oddHBand="0" w:evenHBand="0" w:firstRowFirstColumn="0" w:firstRowLastColumn="0" w:lastRowFirstColumn="0" w:lastRowLastColumn="0"/>
          <w:trHeight w:val="60"/>
          <w:tblHeader/>
          <w:jc w:val="center"/>
        </w:trPr>
        <w:tc>
          <w:tcPr>
            <w:cnfStyle w:val="001000000000" w:firstRow="0" w:lastRow="0" w:firstColumn="1" w:lastColumn="0" w:oddVBand="0" w:evenVBand="0" w:oddHBand="0" w:evenHBand="0" w:firstRowFirstColumn="0" w:firstRowLastColumn="0" w:lastRowFirstColumn="0" w:lastRowLastColumn="0"/>
            <w:tcW w:w="4399" w:type="dxa"/>
            <w:gridSpan w:val="2"/>
          </w:tcPr>
          <w:p w14:paraId="6E2CD2FC" w14:textId="77777777" w:rsidR="00551502" w:rsidRPr="008D10A8" w:rsidRDefault="00551502" w:rsidP="00551502">
            <w:pPr>
              <w:ind w:firstLine="31"/>
              <w:jc w:val="center"/>
              <w:rPr>
                <w:rFonts w:cs="Times New Roman"/>
                <w:sz w:val="18"/>
                <w:szCs w:val="18"/>
                <w:lang w:eastAsia="lv-LV"/>
              </w:rPr>
            </w:pPr>
          </w:p>
        </w:tc>
        <w:tc>
          <w:tcPr>
            <w:tcW w:w="1134" w:type="dxa"/>
          </w:tcPr>
          <w:p w14:paraId="48A6F7A5" w14:textId="652D742D" w:rsidR="00551502" w:rsidRPr="0091078B" w:rsidRDefault="00551502" w:rsidP="00551502">
            <w:pPr>
              <w:ind w:firstLine="31"/>
              <w:jc w:val="center"/>
              <w:cnfStyle w:val="100000000000" w:firstRow="1" w:lastRow="0" w:firstColumn="0" w:lastColumn="0" w:oddVBand="0" w:evenVBand="0" w:oddHBand="0" w:evenHBand="0" w:firstRowFirstColumn="0" w:firstRowLastColumn="0" w:lastRowFirstColumn="0" w:lastRowLastColumn="0"/>
              <w:rPr>
                <w:sz w:val="18"/>
                <w:szCs w:val="18"/>
              </w:rPr>
            </w:pPr>
            <w:r w:rsidRPr="002A71C2">
              <w:rPr>
                <w:rFonts w:cs="Times New Roman"/>
                <w:color w:val="000000" w:themeColor="text1"/>
                <w:sz w:val="18"/>
                <w:szCs w:val="18"/>
                <w:lang w:eastAsia="lv-LV"/>
              </w:rPr>
              <w:t xml:space="preserve">milj. </w:t>
            </w:r>
            <w:proofErr w:type="spellStart"/>
            <w:r w:rsidRPr="002A71C2">
              <w:rPr>
                <w:rFonts w:cs="Times New Roman"/>
                <w:i/>
                <w:color w:val="000000" w:themeColor="text1"/>
                <w:sz w:val="18"/>
                <w:szCs w:val="18"/>
                <w:lang w:eastAsia="lv-LV"/>
              </w:rPr>
              <w:t>euro</w:t>
            </w:r>
            <w:proofErr w:type="spellEnd"/>
          </w:p>
        </w:tc>
        <w:tc>
          <w:tcPr>
            <w:tcW w:w="4405" w:type="dxa"/>
            <w:gridSpan w:val="6"/>
          </w:tcPr>
          <w:p w14:paraId="4F25F26E" w14:textId="1779DE00" w:rsidR="00551502" w:rsidRPr="008D10A8" w:rsidRDefault="00551502" w:rsidP="00551502">
            <w:pPr>
              <w:ind w:firstLine="31"/>
              <w:jc w:val="center"/>
              <w:cnfStyle w:val="100000000000" w:firstRow="1" w:lastRow="0" w:firstColumn="0" w:lastColumn="0" w:oddVBand="0" w:evenVBand="0" w:oddHBand="0" w:evenHBand="0" w:firstRowFirstColumn="0" w:firstRowLastColumn="0" w:lastRowFirstColumn="0" w:lastRowLastColumn="0"/>
              <w:rPr>
                <w:sz w:val="18"/>
                <w:szCs w:val="18"/>
              </w:rPr>
            </w:pPr>
            <w:r w:rsidRPr="002A71C2">
              <w:rPr>
                <w:rFonts w:cs="Times New Roman"/>
                <w:color w:val="000000" w:themeColor="text1"/>
                <w:sz w:val="18"/>
                <w:szCs w:val="18"/>
                <w:lang w:eastAsia="lv-LV"/>
              </w:rPr>
              <w:t>% no IKP</w:t>
            </w:r>
          </w:p>
        </w:tc>
      </w:tr>
      <w:tr w:rsidR="00551502" w:rsidRPr="0091078B" w14:paraId="1C4EB3C0" w14:textId="77777777" w:rsidTr="00551502">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9938" w:type="dxa"/>
            <w:gridSpan w:val="9"/>
          </w:tcPr>
          <w:p w14:paraId="46B15675" w14:textId="76FEDF41" w:rsidR="00551502" w:rsidRPr="008D10A8" w:rsidRDefault="00551502" w:rsidP="00551502">
            <w:pPr>
              <w:ind w:firstLine="31"/>
              <w:jc w:val="center"/>
              <w:rPr>
                <w:sz w:val="18"/>
                <w:szCs w:val="18"/>
              </w:rPr>
            </w:pPr>
            <w:r w:rsidRPr="002A71C2">
              <w:rPr>
                <w:rFonts w:cs="Times New Roman"/>
                <w:color w:val="000000" w:themeColor="text1"/>
                <w:sz w:val="18"/>
                <w:szCs w:val="18"/>
                <w:lang w:eastAsia="lv-LV"/>
              </w:rPr>
              <w:t xml:space="preserve">Neto aizdevumi (+) vai aizņēmumi (–) (B.9) pa </w:t>
            </w:r>
            <w:proofErr w:type="spellStart"/>
            <w:r w:rsidRPr="002A71C2">
              <w:rPr>
                <w:rFonts w:cs="Times New Roman"/>
                <w:color w:val="000000" w:themeColor="text1"/>
                <w:sz w:val="18"/>
                <w:szCs w:val="18"/>
                <w:lang w:eastAsia="lv-LV"/>
              </w:rPr>
              <w:t>apakšsektoriem</w:t>
            </w:r>
            <w:proofErr w:type="spellEnd"/>
          </w:p>
        </w:tc>
      </w:tr>
      <w:tr w:rsidR="00551502" w:rsidRPr="0091078B" w14:paraId="22E5DDB4" w14:textId="77777777" w:rsidTr="00551502">
        <w:trPr>
          <w:trHeight w:val="60"/>
          <w:jc w:val="center"/>
        </w:trPr>
        <w:tc>
          <w:tcPr>
            <w:cnfStyle w:val="001000000000" w:firstRow="0" w:lastRow="0" w:firstColumn="1" w:lastColumn="0" w:oddVBand="0" w:evenVBand="0" w:oddHBand="0" w:evenHBand="0" w:firstRowFirstColumn="0" w:firstRowLastColumn="0" w:lastRowFirstColumn="0" w:lastRowLastColumn="0"/>
            <w:tcW w:w="3265" w:type="dxa"/>
          </w:tcPr>
          <w:p w14:paraId="7CFAC371" w14:textId="792EDD82" w:rsidR="00551502" w:rsidRPr="008D10A8" w:rsidRDefault="00551502" w:rsidP="00551502">
            <w:pPr>
              <w:ind w:firstLine="31"/>
              <w:rPr>
                <w:rFonts w:cs="Times New Roman"/>
                <w:sz w:val="18"/>
                <w:szCs w:val="18"/>
                <w:lang w:eastAsia="lv-LV"/>
              </w:rPr>
            </w:pPr>
            <w:r w:rsidRPr="008D10A8">
              <w:rPr>
                <w:rFonts w:cs="Times New Roman"/>
                <w:color w:val="auto"/>
                <w:sz w:val="18"/>
                <w:szCs w:val="18"/>
                <w:lang w:eastAsia="lv-LV"/>
              </w:rPr>
              <w:t>1. Vispārējā valdība</w:t>
            </w:r>
          </w:p>
        </w:tc>
        <w:tc>
          <w:tcPr>
            <w:tcW w:w="1134" w:type="dxa"/>
          </w:tcPr>
          <w:p w14:paraId="3B28BCD0" w14:textId="7FA82182" w:rsidR="00551502" w:rsidRPr="008D10A8"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eastAsia="lv-LV"/>
              </w:rPr>
            </w:pPr>
            <w:r w:rsidRPr="008D10A8">
              <w:rPr>
                <w:rFonts w:cs="Times New Roman"/>
                <w:color w:val="auto"/>
                <w:sz w:val="18"/>
                <w:szCs w:val="18"/>
                <w:lang w:eastAsia="lv-LV"/>
              </w:rPr>
              <w:t>S.13</w:t>
            </w:r>
          </w:p>
        </w:tc>
        <w:tc>
          <w:tcPr>
            <w:tcW w:w="1134" w:type="dxa"/>
          </w:tcPr>
          <w:p w14:paraId="24E04DA8" w14:textId="676563E0" w:rsidR="00551502" w:rsidRPr="0091078B"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sz w:val="18"/>
                <w:szCs w:val="18"/>
              </w:rPr>
            </w:pPr>
            <w:r w:rsidRPr="0091078B">
              <w:rPr>
                <w:color w:val="auto"/>
                <w:sz w:val="18"/>
                <w:szCs w:val="18"/>
              </w:rPr>
              <w:t>-921,1</w:t>
            </w:r>
          </w:p>
        </w:tc>
        <w:tc>
          <w:tcPr>
            <w:tcW w:w="861" w:type="dxa"/>
          </w:tcPr>
          <w:p w14:paraId="4C0FF48E" w14:textId="37B57313" w:rsidR="00551502" w:rsidRPr="0091078B"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sz w:val="18"/>
                <w:szCs w:val="18"/>
              </w:rPr>
            </w:pPr>
            <w:r w:rsidRPr="0091078B">
              <w:rPr>
                <w:color w:val="auto"/>
                <w:sz w:val="18"/>
                <w:szCs w:val="18"/>
              </w:rPr>
              <w:t>-2,3</w:t>
            </w:r>
          </w:p>
        </w:tc>
        <w:tc>
          <w:tcPr>
            <w:tcW w:w="708" w:type="dxa"/>
          </w:tcPr>
          <w:p w14:paraId="1B25D337" w14:textId="470C6C8E" w:rsidR="00551502" w:rsidRPr="00541E7C"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sz w:val="18"/>
                <w:szCs w:val="18"/>
              </w:rPr>
            </w:pPr>
            <w:r w:rsidRPr="00541E7C">
              <w:rPr>
                <w:color w:val="auto"/>
                <w:sz w:val="18"/>
                <w:szCs w:val="18"/>
              </w:rPr>
              <w:t>-2,9</w:t>
            </w:r>
          </w:p>
        </w:tc>
        <w:tc>
          <w:tcPr>
            <w:tcW w:w="709" w:type="dxa"/>
          </w:tcPr>
          <w:p w14:paraId="1524A07A" w14:textId="42AD5675" w:rsidR="00551502" w:rsidRPr="00541E7C"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sz w:val="18"/>
                <w:szCs w:val="18"/>
              </w:rPr>
            </w:pPr>
            <w:r w:rsidRPr="00541E7C">
              <w:rPr>
                <w:color w:val="auto"/>
                <w:sz w:val="18"/>
                <w:szCs w:val="18"/>
              </w:rPr>
              <w:t>-2,2</w:t>
            </w:r>
          </w:p>
        </w:tc>
        <w:tc>
          <w:tcPr>
            <w:tcW w:w="709" w:type="dxa"/>
          </w:tcPr>
          <w:p w14:paraId="392D2457" w14:textId="0EDA9C4D" w:rsidR="00551502" w:rsidRPr="00541E7C"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sz w:val="18"/>
                <w:szCs w:val="18"/>
              </w:rPr>
            </w:pPr>
            <w:r w:rsidRPr="00541E7C">
              <w:rPr>
                <w:color w:val="auto"/>
                <w:sz w:val="18"/>
                <w:szCs w:val="18"/>
              </w:rPr>
              <w:t>-2,2</w:t>
            </w:r>
          </w:p>
        </w:tc>
        <w:tc>
          <w:tcPr>
            <w:tcW w:w="709" w:type="dxa"/>
          </w:tcPr>
          <w:p w14:paraId="13D7E40B" w14:textId="73AAE89F" w:rsidR="00551502" w:rsidRPr="00541E7C"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sz w:val="18"/>
                <w:szCs w:val="18"/>
              </w:rPr>
            </w:pPr>
            <w:r w:rsidRPr="00541E7C">
              <w:rPr>
                <w:color w:val="auto"/>
                <w:sz w:val="18"/>
                <w:szCs w:val="18"/>
              </w:rPr>
              <w:t>-2,0</w:t>
            </w:r>
          </w:p>
        </w:tc>
        <w:tc>
          <w:tcPr>
            <w:tcW w:w="709" w:type="dxa"/>
          </w:tcPr>
          <w:p w14:paraId="5C542394" w14:textId="7EAB13DE" w:rsidR="00551502" w:rsidRPr="00541E7C"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sz w:val="18"/>
                <w:szCs w:val="18"/>
              </w:rPr>
            </w:pPr>
            <w:r w:rsidRPr="00541E7C">
              <w:rPr>
                <w:color w:val="auto"/>
                <w:sz w:val="18"/>
                <w:szCs w:val="18"/>
              </w:rPr>
              <w:t>-1,8</w:t>
            </w:r>
          </w:p>
        </w:tc>
      </w:tr>
      <w:tr w:rsidR="00D31DED" w:rsidRPr="0091078B" w14:paraId="4B2764DC" w14:textId="06D8DCB5" w:rsidTr="00D31DED">
        <w:trPr>
          <w:cnfStyle w:val="000000100000" w:firstRow="0" w:lastRow="0" w:firstColumn="0" w:lastColumn="0" w:oddVBand="0" w:evenVBand="0" w:oddHBand="1" w:evenHBand="0"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262DD9F2" w14:textId="77777777" w:rsidR="00D31DED" w:rsidRPr="008D10A8" w:rsidRDefault="00D31DED" w:rsidP="00D31DED">
            <w:pPr>
              <w:ind w:firstLine="31"/>
              <w:rPr>
                <w:rFonts w:cs="Times New Roman"/>
                <w:color w:val="auto"/>
                <w:sz w:val="18"/>
                <w:szCs w:val="18"/>
                <w:lang w:eastAsia="lv-LV"/>
              </w:rPr>
            </w:pPr>
            <w:r w:rsidRPr="008D10A8">
              <w:rPr>
                <w:rFonts w:cs="Times New Roman"/>
                <w:color w:val="auto"/>
                <w:sz w:val="18"/>
                <w:szCs w:val="18"/>
                <w:lang w:eastAsia="lv-LV"/>
              </w:rPr>
              <w:t>2. Centrālā valdība</w:t>
            </w:r>
          </w:p>
        </w:tc>
        <w:tc>
          <w:tcPr>
            <w:tcW w:w="1134" w:type="dxa"/>
            <w:hideMark/>
          </w:tcPr>
          <w:p w14:paraId="480EE7AA" w14:textId="77777777" w:rsidR="00D31DED" w:rsidRPr="008D10A8" w:rsidRDefault="00D31DED" w:rsidP="00D31DED">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8D10A8">
              <w:rPr>
                <w:rFonts w:cs="Times New Roman"/>
                <w:bCs/>
                <w:color w:val="auto"/>
                <w:sz w:val="18"/>
                <w:szCs w:val="18"/>
                <w:lang w:eastAsia="lv-LV"/>
              </w:rPr>
              <w:t>S.1311</w:t>
            </w:r>
          </w:p>
        </w:tc>
        <w:tc>
          <w:tcPr>
            <w:tcW w:w="1134" w:type="dxa"/>
          </w:tcPr>
          <w:p w14:paraId="7EDA3AEC" w14:textId="65B31B58" w:rsidR="00D31DED" w:rsidRPr="0091078B" w:rsidRDefault="00D31DED" w:rsidP="00D31DED">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91078B">
              <w:rPr>
                <w:color w:val="auto"/>
                <w:sz w:val="18"/>
                <w:szCs w:val="18"/>
              </w:rPr>
              <w:t>-1 112,9</w:t>
            </w:r>
          </w:p>
        </w:tc>
        <w:tc>
          <w:tcPr>
            <w:tcW w:w="861" w:type="dxa"/>
          </w:tcPr>
          <w:p w14:paraId="15136B98" w14:textId="0E4F034B" w:rsidR="00D31DED" w:rsidRPr="0091078B" w:rsidRDefault="00D31DED" w:rsidP="00D31DED">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91078B">
              <w:rPr>
                <w:color w:val="auto"/>
                <w:sz w:val="18"/>
                <w:szCs w:val="18"/>
              </w:rPr>
              <w:t>-2,8</w:t>
            </w:r>
          </w:p>
        </w:tc>
        <w:tc>
          <w:tcPr>
            <w:tcW w:w="708" w:type="dxa"/>
          </w:tcPr>
          <w:p w14:paraId="25136370" w14:textId="4D81C3FA" w:rsidR="00D31DED" w:rsidRPr="00541E7C" w:rsidRDefault="00D31DED" w:rsidP="00D31DED">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-3,5</w:t>
            </w:r>
          </w:p>
        </w:tc>
        <w:tc>
          <w:tcPr>
            <w:tcW w:w="709" w:type="dxa"/>
          </w:tcPr>
          <w:p w14:paraId="73DA8285" w14:textId="76CCB005" w:rsidR="00D31DED" w:rsidRPr="00541E7C" w:rsidRDefault="00D31DED" w:rsidP="00D31DED">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lv-LV"/>
              </w:rPr>
            </w:pPr>
            <w:r w:rsidRPr="00541E7C">
              <w:rPr>
                <w:color w:val="auto"/>
                <w:sz w:val="20"/>
                <w:szCs w:val="20"/>
              </w:rPr>
              <w:t>-2,8</w:t>
            </w:r>
          </w:p>
        </w:tc>
        <w:tc>
          <w:tcPr>
            <w:tcW w:w="709" w:type="dxa"/>
          </w:tcPr>
          <w:p w14:paraId="20CE296C" w14:textId="2A782C80" w:rsidR="00D31DED" w:rsidRPr="00541E7C" w:rsidRDefault="00D31DED" w:rsidP="00D31DED">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lv-LV"/>
              </w:rPr>
            </w:pPr>
            <w:r w:rsidRPr="00541E7C">
              <w:rPr>
                <w:color w:val="auto"/>
                <w:sz w:val="20"/>
                <w:szCs w:val="20"/>
              </w:rPr>
              <w:t>-2,7</w:t>
            </w:r>
          </w:p>
        </w:tc>
        <w:tc>
          <w:tcPr>
            <w:tcW w:w="709" w:type="dxa"/>
          </w:tcPr>
          <w:p w14:paraId="2017C683" w14:textId="1ACEFA46" w:rsidR="00D31DED" w:rsidRPr="00541E7C" w:rsidRDefault="00D31DED" w:rsidP="00D31DED">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lv-LV"/>
              </w:rPr>
            </w:pPr>
            <w:r w:rsidRPr="00541E7C">
              <w:rPr>
                <w:color w:val="auto"/>
                <w:sz w:val="20"/>
                <w:szCs w:val="20"/>
              </w:rPr>
              <w:t>-2,3</w:t>
            </w:r>
          </w:p>
        </w:tc>
        <w:tc>
          <w:tcPr>
            <w:tcW w:w="709" w:type="dxa"/>
          </w:tcPr>
          <w:p w14:paraId="4897BB42" w14:textId="457FA810" w:rsidR="00D31DED" w:rsidRPr="00541E7C" w:rsidRDefault="00D31DED" w:rsidP="00D31DED">
            <w:pPr>
              <w:ind w:firstLine="31"/>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541E7C">
              <w:rPr>
                <w:color w:val="auto"/>
                <w:sz w:val="20"/>
                <w:szCs w:val="20"/>
              </w:rPr>
              <w:t>-2,2</w:t>
            </w:r>
          </w:p>
        </w:tc>
      </w:tr>
      <w:tr w:rsidR="00551502" w:rsidRPr="0091078B" w14:paraId="22CF49B3" w14:textId="7FF7B2F5" w:rsidTr="00551502">
        <w:trPr>
          <w:trHeight w:val="123"/>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41551A86" w14:textId="77777777" w:rsidR="00551502" w:rsidRPr="008D10A8" w:rsidRDefault="00551502" w:rsidP="00551502">
            <w:pPr>
              <w:ind w:firstLine="31"/>
              <w:rPr>
                <w:rFonts w:cs="Times New Roman"/>
                <w:color w:val="auto"/>
                <w:sz w:val="18"/>
                <w:szCs w:val="18"/>
                <w:lang w:eastAsia="lv-LV"/>
              </w:rPr>
            </w:pPr>
            <w:r w:rsidRPr="008D10A8">
              <w:rPr>
                <w:rFonts w:cs="Times New Roman"/>
                <w:color w:val="auto"/>
                <w:sz w:val="18"/>
                <w:szCs w:val="18"/>
                <w:lang w:eastAsia="lv-LV"/>
              </w:rPr>
              <w:t>3. Pavalsts valdība</w:t>
            </w:r>
          </w:p>
        </w:tc>
        <w:tc>
          <w:tcPr>
            <w:tcW w:w="1134" w:type="dxa"/>
            <w:hideMark/>
          </w:tcPr>
          <w:p w14:paraId="78E74EE8" w14:textId="77777777" w:rsidR="00551502" w:rsidRPr="008D10A8"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lang w:eastAsia="lv-LV"/>
              </w:rPr>
            </w:pPr>
            <w:r w:rsidRPr="008D10A8">
              <w:rPr>
                <w:rFonts w:cs="Times New Roman"/>
                <w:bCs/>
                <w:color w:val="auto"/>
                <w:sz w:val="18"/>
                <w:szCs w:val="18"/>
                <w:lang w:eastAsia="lv-LV"/>
              </w:rPr>
              <w:t>S.1312</w:t>
            </w:r>
          </w:p>
        </w:tc>
        <w:tc>
          <w:tcPr>
            <w:tcW w:w="1134" w:type="dxa"/>
          </w:tcPr>
          <w:p w14:paraId="5CCB1E61" w14:textId="43642B0C" w:rsidR="00551502" w:rsidRPr="0091078B"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91078B">
              <w:rPr>
                <w:color w:val="auto"/>
                <w:sz w:val="18"/>
                <w:szCs w:val="18"/>
              </w:rPr>
              <w:t xml:space="preserve"> </w:t>
            </w:r>
          </w:p>
        </w:tc>
        <w:tc>
          <w:tcPr>
            <w:tcW w:w="861" w:type="dxa"/>
          </w:tcPr>
          <w:p w14:paraId="77595211" w14:textId="0D221634" w:rsidR="00551502" w:rsidRPr="0091078B"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91078B">
              <w:rPr>
                <w:color w:val="auto"/>
                <w:sz w:val="18"/>
                <w:szCs w:val="18"/>
              </w:rPr>
              <w:t xml:space="preserve"> </w:t>
            </w:r>
          </w:p>
        </w:tc>
        <w:tc>
          <w:tcPr>
            <w:tcW w:w="708" w:type="dxa"/>
          </w:tcPr>
          <w:p w14:paraId="38AE466B" w14:textId="62DCD5D1" w:rsidR="00551502" w:rsidRPr="0091078B"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91078B">
              <w:rPr>
                <w:color w:val="auto"/>
                <w:sz w:val="18"/>
                <w:szCs w:val="18"/>
              </w:rPr>
              <w:t xml:space="preserve"> </w:t>
            </w:r>
          </w:p>
        </w:tc>
        <w:tc>
          <w:tcPr>
            <w:tcW w:w="709" w:type="dxa"/>
          </w:tcPr>
          <w:p w14:paraId="10D0549C" w14:textId="6EEB1A2C" w:rsidR="00551502" w:rsidRPr="008D10A8"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p>
        </w:tc>
        <w:tc>
          <w:tcPr>
            <w:tcW w:w="709" w:type="dxa"/>
          </w:tcPr>
          <w:p w14:paraId="234AA111" w14:textId="4C580205" w:rsidR="00551502" w:rsidRPr="008D10A8"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p>
        </w:tc>
        <w:tc>
          <w:tcPr>
            <w:tcW w:w="709" w:type="dxa"/>
          </w:tcPr>
          <w:p w14:paraId="0111CC17" w14:textId="6752535B" w:rsidR="00551502" w:rsidRPr="008D10A8"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p>
        </w:tc>
        <w:tc>
          <w:tcPr>
            <w:tcW w:w="709" w:type="dxa"/>
          </w:tcPr>
          <w:p w14:paraId="5C9954FE" w14:textId="5C54A638" w:rsidR="00551502" w:rsidRPr="008D10A8"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551502" w:rsidRPr="0091078B" w14:paraId="16022766" w14:textId="015E7503" w:rsidTr="00551502">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054B2C7A" w14:textId="77777777" w:rsidR="00551502" w:rsidRPr="008D10A8" w:rsidRDefault="00551502" w:rsidP="00551502">
            <w:pPr>
              <w:ind w:firstLine="31"/>
              <w:rPr>
                <w:rFonts w:cs="Times New Roman"/>
                <w:color w:val="auto"/>
                <w:sz w:val="18"/>
                <w:szCs w:val="18"/>
                <w:lang w:eastAsia="lv-LV"/>
              </w:rPr>
            </w:pPr>
            <w:r w:rsidRPr="008D10A8">
              <w:rPr>
                <w:rFonts w:cs="Times New Roman"/>
                <w:color w:val="auto"/>
                <w:sz w:val="18"/>
                <w:szCs w:val="18"/>
                <w:lang w:eastAsia="lv-LV"/>
              </w:rPr>
              <w:t>4. Vietējā valdība</w:t>
            </w:r>
          </w:p>
        </w:tc>
        <w:tc>
          <w:tcPr>
            <w:tcW w:w="1134" w:type="dxa"/>
            <w:hideMark/>
          </w:tcPr>
          <w:p w14:paraId="2FF5F822" w14:textId="77777777" w:rsidR="00551502" w:rsidRPr="008D10A8" w:rsidRDefault="00551502" w:rsidP="00551502">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8D10A8">
              <w:rPr>
                <w:rFonts w:cs="Times New Roman"/>
                <w:bCs/>
                <w:color w:val="auto"/>
                <w:sz w:val="18"/>
                <w:szCs w:val="18"/>
                <w:lang w:eastAsia="lv-LV"/>
              </w:rPr>
              <w:t>S.1313</w:t>
            </w:r>
          </w:p>
        </w:tc>
        <w:tc>
          <w:tcPr>
            <w:tcW w:w="1134" w:type="dxa"/>
          </w:tcPr>
          <w:p w14:paraId="0A3D0E34" w14:textId="753FFC69" w:rsidR="00551502" w:rsidRPr="0091078B" w:rsidRDefault="00551502" w:rsidP="00551502">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91078B">
              <w:rPr>
                <w:color w:val="auto"/>
                <w:sz w:val="18"/>
                <w:szCs w:val="18"/>
              </w:rPr>
              <w:t>-111,0</w:t>
            </w:r>
          </w:p>
        </w:tc>
        <w:tc>
          <w:tcPr>
            <w:tcW w:w="861" w:type="dxa"/>
          </w:tcPr>
          <w:p w14:paraId="6356948D" w14:textId="054E979A" w:rsidR="00551502" w:rsidRPr="0091078B" w:rsidRDefault="00551502" w:rsidP="00551502">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91078B">
              <w:rPr>
                <w:color w:val="auto"/>
                <w:sz w:val="18"/>
                <w:szCs w:val="18"/>
              </w:rPr>
              <w:t>-0,3</w:t>
            </w:r>
          </w:p>
        </w:tc>
        <w:tc>
          <w:tcPr>
            <w:tcW w:w="708" w:type="dxa"/>
          </w:tcPr>
          <w:p w14:paraId="0B8DDB80" w14:textId="207F7347" w:rsidR="00551502" w:rsidRPr="0091078B" w:rsidRDefault="00551502" w:rsidP="00551502">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91078B">
              <w:rPr>
                <w:color w:val="auto"/>
                <w:sz w:val="18"/>
                <w:szCs w:val="18"/>
              </w:rPr>
              <w:t>-0,1</w:t>
            </w:r>
          </w:p>
        </w:tc>
        <w:tc>
          <w:tcPr>
            <w:tcW w:w="709" w:type="dxa"/>
          </w:tcPr>
          <w:p w14:paraId="5C2A7971" w14:textId="605FB4F2" w:rsidR="00551502" w:rsidRPr="008D10A8" w:rsidRDefault="00551502" w:rsidP="00551502">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8D10A8">
              <w:rPr>
                <w:color w:val="auto"/>
                <w:sz w:val="18"/>
                <w:szCs w:val="18"/>
              </w:rPr>
              <w:t>-0,1</w:t>
            </w:r>
          </w:p>
        </w:tc>
        <w:tc>
          <w:tcPr>
            <w:tcW w:w="709" w:type="dxa"/>
          </w:tcPr>
          <w:p w14:paraId="6481C9E0" w14:textId="682BFA31" w:rsidR="00551502" w:rsidRPr="008D10A8" w:rsidRDefault="00551502" w:rsidP="00551502">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8D10A8">
              <w:rPr>
                <w:color w:val="auto"/>
                <w:sz w:val="18"/>
                <w:szCs w:val="18"/>
              </w:rPr>
              <w:t>0,0</w:t>
            </w:r>
          </w:p>
        </w:tc>
        <w:tc>
          <w:tcPr>
            <w:tcW w:w="709" w:type="dxa"/>
          </w:tcPr>
          <w:p w14:paraId="622A90CE" w14:textId="3E217F78" w:rsidR="00551502" w:rsidRPr="008D10A8" w:rsidRDefault="00551502" w:rsidP="00551502">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8D10A8">
              <w:rPr>
                <w:color w:val="auto"/>
                <w:sz w:val="18"/>
                <w:szCs w:val="18"/>
              </w:rPr>
              <w:t>-0,1</w:t>
            </w:r>
          </w:p>
        </w:tc>
        <w:tc>
          <w:tcPr>
            <w:tcW w:w="709" w:type="dxa"/>
          </w:tcPr>
          <w:p w14:paraId="1FBB9450" w14:textId="4A1EAD1A" w:rsidR="00551502" w:rsidRPr="008D10A8" w:rsidRDefault="00551502" w:rsidP="00551502">
            <w:pPr>
              <w:ind w:firstLine="31"/>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8D10A8">
              <w:rPr>
                <w:color w:val="auto"/>
                <w:sz w:val="18"/>
                <w:szCs w:val="18"/>
              </w:rPr>
              <w:t>0,0</w:t>
            </w:r>
          </w:p>
        </w:tc>
      </w:tr>
      <w:tr w:rsidR="00551502" w:rsidRPr="0091078B" w14:paraId="718F6417" w14:textId="7A357895" w:rsidTr="00551502">
        <w:trPr>
          <w:trHeight w:val="54"/>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6BAE317E" w14:textId="77777777" w:rsidR="00551502" w:rsidRPr="008D10A8" w:rsidRDefault="00551502" w:rsidP="00551502">
            <w:pPr>
              <w:ind w:firstLine="31"/>
              <w:rPr>
                <w:rFonts w:cs="Times New Roman"/>
                <w:color w:val="auto"/>
                <w:sz w:val="18"/>
                <w:szCs w:val="18"/>
                <w:lang w:eastAsia="lv-LV"/>
              </w:rPr>
            </w:pPr>
            <w:r w:rsidRPr="008D10A8">
              <w:rPr>
                <w:rFonts w:cs="Times New Roman"/>
                <w:color w:val="auto"/>
                <w:sz w:val="18"/>
                <w:szCs w:val="18"/>
                <w:lang w:eastAsia="lv-LV"/>
              </w:rPr>
              <w:t>5. Sociālās nodrošināšanas fondi</w:t>
            </w:r>
          </w:p>
        </w:tc>
        <w:tc>
          <w:tcPr>
            <w:tcW w:w="1134" w:type="dxa"/>
            <w:hideMark/>
          </w:tcPr>
          <w:p w14:paraId="14ADACE1" w14:textId="77777777" w:rsidR="00551502" w:rsidRPr="008D10A8"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lang w:eastAsia="lv-LV"/>
              </w:rPr>
            </w:pPr>
            <w:r w:rsidRPr="008D10A8">
              <w:rPr>
                <w:rFonts w:cs="Times New Roman"/>
                <w:bCs/>
                <w:color w:val="auto"/>
                <w:sz w:val="18"/>
                <w:szCs w:val="18"/>
                <w:lang w:eastAsia="lv-LV"/>
              </w:rPr>
              <w:t>S.1314</w:t>
            </w:r>
          </w:p>
        </w:tc>
        <w:tc>
          <w:tcPr>
            <w:tcW w:w="1134" w:type="dxa"/>
          </w:tcPr>
          <w:p w14:paraId="65CE0230" w14:textId="47B1F07F" w:rsidR="00551502" w:rsidRPr="0091078B"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91078B">
              <w:rPr>
                <w:color w:val="auto"/>
                <w:sz w:val="18"/>
                <w:szCs w:val="18"/>
              </w:rPr>
              <w:t>302,8</w:t>
            </w:r>
          </w:p>
        </w:tc>
        <w:tc>
          <w:tcPr>
            <w:tcW w:w="861" w:type="dxa"/>
          </w:tcPr>
          <w:p w14:paraId="2B36CC19" w14:textId="6993FB2E" w:rsidR="00551502" w:rsidRPr="0091078B"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91078B">
              <w:rPr>
                <w:color w:val="auto"/>
                <w:sz w:val="18"/>
                <w:szCs w:val="18"/>
              </w:rPr>
              <w:t>0,8</w:t>
            </w:r>
          </w:p>
        </w:tc>
        <w:tc>
          <w:tcPr>
            <w:tcW w:w="708" w:type="dxa"/>
          </w:tcPr>
          <w:p w14:paraId="70409AB2" w14:textId="4E1D1C90" w:rsidR="00551502" w:rsidRPr="0091078B"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91078B">
              <w:rPr>
                <w:color w:val="auto"/>
                <w:sz w:val="18"/>
                <w:szCs w:val="18"/>
              </w:rPr>
              <w:t>0,7</w:t>
            </w:r>
          </w:p>
        </w:tc>
        <w:tc>
          <w:tcPr>
            <w:tcW w:w="709" w:type="dxa"/>
          </w:tcPr>
          <w:p w14:paraId="797B80AB" w14:textId="5DCDA680" w:rsidR="00551502" w:rsidRPr="008D10A8"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8D10A8">
              <w:rPr>
                <w:color w:val="auto"/>
                <w:sz w:val="18"/>
                <w:szCs w:val="18"/>
              </w:rPr>
              <w:t>0,</w:t>
            </w:r>
            <w:r w:rsidR="00D31DED">
              <w:rPr>
                <w:color w:val="auto"/>
                <w:sz w:val="18"/>
                <w:szCs w:val="18"/>
              </w:rPr>
              <w:t>7</w:t>
            </w:r>
          </w:p>
        </w:tc>
        <w:tc>
          <w:tcPr>
            <w:tcW w:w="709" w:type="dxa"/>
          </w:tcPr>
          <w:p w14:paraId="12041071" w14:textId="0B22F715" w:rsidR="00551502" w:rsidRPr="008D10A8"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8D10A8">
              <w:rPr>
                <w:color w:val="auto"/>
                <w:sz w:val="18"/>
                <w:szCs w:val="18"/>
              </w:rPr>
              <w:t>0,</w:t>
            </w:r>
            <w:r w:rsidR="00D31DED">
              <w:rPr>
                <w:color w:val="auto"/>
                <w:sz w:val="18"/>
                <w:szCs w:val="18"/>
              </w:rPr>
              <w:t>6</w:t>
            </w:r>
          </w:p>
        </w:tc>
        <w:tc>
          <w:tcPr>
            <w:tcW w:w="709" w:type="dxa"/>
          </w:tcPr>
          <w:p w14:paraId="40F77D51" w14:textId="0360E333" w:rsidR="00551502" w:rsidRPr="008D10A8"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8D10A8">
              <w:rPr>
                <w:color w:val="auto"/>
                <w:sz w:val="18"/>
                <w:szCs w:val="18"/>
              </w:rPr>
              <w:t>0,4</w:t>
            </w:r>
          </w:p>
        </w:tc>
        <w:tc>
          <w:tcPr>
            <w:tcW w:w="709" w:type="dxa"/>
          </w:tcPr>
          <w:p w14:paraId="705FE852" w14:textId="22C636C0" w:rsidR="00551502" w:rsidRPr="008D10A8" w:rsidRDefault="00551502" w:rsidP="00551502">
            <w:pPr>
              <w:ind w:firstLine="31"/>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8D10A8">
              <w:rPr>
                <w:color w:val="auto"/>
                <w:sz w:val="18"/>
                <w:szCs w:val="18"/>
              </w:rPr>
              <w:t>0,</w:t>
            </w:r>
            <w:r w:rsidR="00D31DED">
              <w:rPr>
                <w:color w:val="auto"/>
                <w:sz w:val="18"/>
                <w:szCs w:val="18"/>
              </w:rPr>
              <w:t>4</w:t>
            </w:r>
          </w:p>
        </w:tc>
      </w:tr>
      <w:tr w:rsidR="00551502" w:rsidRPr="0091078B" w14:paraId="2FD4184E" w14:textId="17216DFB" w:rsidTr="00551502">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9938" w:type="dxa"/>
            <w:gridSpan w:val="9"/>
            <w:hideMark/>
          </w:tcPr>
          <w:p w14:paraId="7884F126" w14:textId="17EF9C37" w:rsidR="00551502" w:rsidRPr="0091078B" w:rsidRDefault="00551502" w:rsidP="00551502">
            <w:pPr>
              <w:ind w:firstLine="0"/>
              <w:jc w:val="center"/>
              <w:rPr>
                <w:b w:val="0"/>
                <w:bCs w:val="0"/>
                <w:color w:val="auto"/>
                <w:sz w:val="18"/>
                <w:szCs w:val="18"/>
              </w:rPr>
            </w:pPr>
            <w:r w:rsidRPr="008D10A8">
              <w:rPr>
                <w:rFonts w:cs="Times New Roman"/>
                <w:color w:val="auto"/>
                <w:sz w:val="18"/>
                <w:szCs w:val="18"/>
                <w:lang w:eastAsia="lv-LV"/>
              </w:rPr>
              <w:t>Vispārējā valdība (S.13)</w:t>
            </w:r>
          </w:p>
        </w:tc>
      </w:tr>
      <w:tr w:rsidR="00551502" w:rsidRPr="0091078B" w14:paraId="6D700DB5" w14:textId="77777777" w:rsidTr="00551502">
        <w:trPr>
          <w:trHeight w:val="54"/>
          <w:jc w:val="center"/>
        </w:trPr>
        <w:tc>
          <w:tcPr>
            <w:cnfStyle w:val="001000000000" w:firstRow="0" w:lastRow="0" w:firstColumn="1" w:lastColumn="0" w:oddVBand="0" w:evenVBand="0" w:oddHBand="0" w:evenHBand="0" w:firstRowFirstColumn="0" w:firstRowLastColumn="0" w:lastRowFirstColumn="0" w:lastRowLastColumn="0"/>
            <w:tcW w:w="3265" w:type="dxa"/>
          </w:tcPr>
          <w:p w14:paraId="3001D04E" w14:textId="44431936" w:rsidR="00551502" w:rsidRPr="008D10A8" w:rsidRDefault="00551502" w:rsidP="00551502">
            <w:pPr>
              <w:ind w:firstLine="0"/>
              <w:rPr>
                <w:rFonts w:cs="Times New Roman"/>
                <w:sz w:val="18"/>
                <w:szCs w:val="18"/>
                <w:lang w:eastAsia="lv-LV"/>
              </w:rPr>
            </w:pPr>
            <w:r w:rsidRPr="008D10A8">
              <w:rPr>
                <w:rFonts w:cs="Times New Roman"/>
                <w:color w:val="auto"/>
                <w:sz w:val="18"/>
                <w:szCs w:val="18"/>
                <w:lang w:eastAsia="lv-LV"/>
              </w:rPr>
              <w:t>6. Kopējie ieņēmumi</w:t>
            </w:r>
          </w:p>
        </w:tc>
        <w:tc>
          <w:tcPr>
            <w:tcW w:w="1134" w:type="dxa"/>
          </w:tcPr>
          <w:p w14:paraId="50A11C0C" w14:textId="41ECDA04" w:rsidR="00551502" w:rsidRPr="008D10A8"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eastAsia="lv-LV"/>
              </w:rPr>
            </w:pPr>
            <w:r w:rsidRPr="008D10A8">
              <w:rPr>
                <w:rFonts w:cs="Times New Roman"/>
                <w:color w:val="auto"/>
                <w:sz w:val="18"/>
                <w:szCs w:val="18"/>
                <w:lang w:eastAsia="lv-LV"/>
              </w:rPr>
              <w:t>TR</w:t>
            </w:r>
          </w:p>
        </w:tc>
        <w:tc>
          <w:tcPr>
            <w:tcW w:w="1134" w:type="dxa"/>
          </w:tcPr>
          <w:p w14:paraId="4FBDDEC9" w14:textId="3F6A4C65" w:rsidR="00551502" w:rsidRPr="0091078B"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91078B">
              <w:rPr>
                <w:color w:val="auto"/>
                <w:sz w:val="18"/>
                <w:szCs w:val="18"/>
              </w:rPr>
              <w:t>15 941,0</w:t>
            </w:r>
          </w:p>
        </w:tc>
        <w:tc>
          <w:tcPr>
            <w:tcW w:w="861" w:type="dxa"/>
          </w:tcPr>
          <w:p w14:paraId="4218AA79" w14:textId="0DD5D9E2" w:rsidR="00551502" w:rsidRPr="0091078B"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91078B">
              <w:rPr>
                <w:color w:val="auto"/>
                <w:sz w:val="18"/>
                <w:szCs w:val="18"/>
              </w:rPr>
              <w:t>39,5</w:t>
            </w:r>
          </w:p>
        </w:tc>
        <w:tc>
          <w:tcPr>
            <w:tcW w:w="708" w:type="dxa"/>
          </w:tcPr>
          <w:p w14:paraId="4750BB8C" w14:textId="43181006" w:rsidR="00551502" w:rsidRPr="0091078B"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91078B">
              <w:rPr>
                <w:color w:val="auto"/>
                <w:sz w:val="18"/>
                <w:szCs w:val="18"/>
              </w:rPr>
              <w:t>41,3</w:t>
            </w:r>
          </w:p>
        </w:tc>
        <w:tc>
          <w:tcPr>
            <w:tcW w:w="709" w:type="dxa"/>
          </w:tcPr>
          <w:p w14:paraId="7F37D0A8" w14:textId="356C0DB6" w:rsidR="00551502" w:rsidRPr="0091078B"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91078B">
              <w:rPr>
                <w:color w:val="auto"/>
                <w:sz w:val="18"/>
                <w:szCs w:val="18"/>
              </w:rPr>
              <w:t>40,3</w:t>
            </w:r>
          </w:p>
        </w:tc>
        <w:tc>
          <w:tcPr>
            <w:tcW w:w="709" w:type="dxa"/>
          </w:tcPr>
          <w:p w14:paraId="1B4CC554" w14:textId="65C399F3" w:rsidR="00551502" w:rsidRPr="0091078B"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91078B">
              <w:rPr>
                <w:color w:val="auto"/>
                <w:sz w:val="18"/>
                <w:szCs w:val="18"/>
              </w:rPr>
              <w:t>39,8</w:t>
            </w:r>
          </w:p>
        </w:tc>
        <w:tc>
          <w:tcPr>
            <w:tcW w:w="709" w:type="dxa"/>
          </w:tcPr>
          <w:p w14:paraId="6B3AEA93" w14:textId="00A729FF" w:rsidR="00551502" w:rsidRPr="0091078B"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91078B">
              <w:rPr>
                <w:color w:val="auto"/>
                <w:sz w:val="18"/>
                <w:szCs w:val="18"/>
              </w:rPr>
              <w:t>38,9</w:t>
            </w:r>
          </w:p>
        </w:tc>
        <w:tc>
          <w:tcPr>
            <w:tcW w:w="709" w:type="dxa"/>
          </w:tcPr>
          <w:p w14:paraId="4E45F90C" w14:textId="4951442B" w:rsidR="00551502" w:rsidRPr="0091078B"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91078B">
              <w:rPr>
                <w:color w:val="auto"/>
                <w:sz w:val="18"/>
                <w:szCs w:val="18"/>
              </w:rPr>
              <w:t>38,2</w:t>
            </w:r>
          </w:p>
        </w:tc>
      </w:tr>
      <w:tr w:rsidR="00551502" w:rsidRPr="0091078B" w14:paraId="41B8FE3D" w14:textId="1F243D23" w:rsidTr="00551502">
        <w:trPr>
          <w:cnfStyle w:val="000000100000" w:firstRow="0" w:lastRow="0" w:firstColumn="0" w:lastColumn="0" w:oddVBand="0" w:evenVBand="0" w:oddHBand="1" w:evenHBand="0" w:firstRowFirstColumn="0" w:firstRowLastColumn="0" w:lastRowFirstColumn="0" w:lastRowLastColumn="0"/>
          <w:trHeight w:val="128"/>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76B535CF" w14:textId="77777777" w:rsidR="00551502" w:rsidRPr="008D10A8" w:rsidRDefault="00551502" w:rsidP="00551502">
            <w:pPr>
              <w:ind w:firstLine="0"/>
              <w:rPr>
                <w:rFonts w:cs="Times New Roman"/>
                <w:color w:val="auto"/>
                <w:sz w:val="18"/>
                <w:szCs w:val="18"/>
                <w:lang w:eastAsia="lv-LV"/>
              </w:rPr>
            </w:pPr>
            <w:r w:rsidRPr="008D10A8">
              <w:rPr>
                <w:rFonts w:cs="Times New Roman"/>
                <w:color w:val="auto"/>
                <w:sz w:val="18"/>
                <w:szCs w:val="18"/>
                <w:lang w:eastAsia="lv-LV"/>
              </w:rPr>
              <w:t>7. Kopējie izdevumi</w:t>
            </w:r>
          </w:p>
        </w:tc>
        <w:tc>
          <w:tcPr>
            <w:tcW w:w="1134" w:type="dxa"/>
            <w:hideMark/>
          </w:tcPr>
          <w:p w14:paraId="20DE3F5C"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TE</w:t>
            </w:r>
          </w:p>
        </w:tc>
        <w:tc>
          <w:tcPr>
            <w:tcW w:w="1134" w:type="dxa"/>
          </w:tcPr>
          <w:p w14:paraId="09317B53" w14:textId="099BD589"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16 862,1</w:t>
            </w:r>
          </w:p>
        </w:tc>
        <w:tc>
          <w:tcPr>
            <w:tcW w:w="861" w:type="dxa"/>
          </w:tcPr>
          <w:p w14:paraId="4A54DCE5" w14:textId="68D63F6D"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41,8</w:t>
            </w:r>
          </w:p>
        </w:tc>
        <w:tc>
          <w:tcPr>
            <w:tcW w:w="708" w:type="dxa"/>
          </w:tcPr>
          <w:p w14:paraId="34AB0A72" w14:textId="49D6288E"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44,2</w:t>
            </w:r>
          </w:p>
        </w:tc>
        <w:tc>
          <w:tcPr>
            <w:tcW w:w="709" w:type="dxa"/>
          </w:tcPr>
          <w:p w14:paraId="20BC754F" w14:textId="47664CA9"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42,5</w:t>
            </w:r>
          </w:p>
        </w:tc>
        <w:tc>
          <w:tcPr>
            <w:tcW w:w="709" w:type="dxa"/>
          </w:tcPr>
          <w:p w14:paraId="78ED0C85" w14:textId="6B4C5D43"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42,0</w:t>
            </w:r>
          </w:p>
        </w:tc>
        <w:tc>
          <w:tcPr>
            <w:tcW w:w="709" w:type="dxa"/>
          </w:tcPr>
          <w:p w14:paraId="39064CB1" w14:textId="5C89BC0F"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40,9</w:t>
            </w:r>
          </w:p>
        </w:tc>
        <w:tc>
          <w:tcPr>
            <w:tcW w:w="709" w:type="dxa"/>
          </w:tcPr>
          <w:p w14:paraId="4C4A24C8" w14:textId="4990D5AD"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541E7C">
              <w:rPr>
                <w:color w:val="auto"/>
                <w:sz w:val="18"/>
                <w:szCs w:val="18"/>
              </w:rPr>
              <w:t>40,0</w:t>
            </w:r>
          </w:p>
        </w:tc>
      </w:tr>
      <w:tr w:rsidR="00551502" w:rsidRPr="0091078B" w14:paraId="599C87DC" w14:textId="5371E7EB" w:rsidTr="00551502">
        <w:trPr>
          <w:trHeight w:val="173"/>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70FE3F20" w14:textId="77777777" w:rsidR="00551502" w:rsidRPr="008D10A8" w:rsidRDefault="00551502" w:rsidP="00551502">
            <w:pPr>
              <w:ind w:firstLine="0"/>
              <w:rPr>
                <w:rFonts w:cs="Times New Roman"/>
                <w:color w:val="auto"/>
                <w:sz w:val="18"/>
                <w:szCs w:val="18"/>
                <w:lang w:eastAsia="lv-LV"/>
              </w:rPr>
            </w:pPr>
            <w:r w:rsidRPr="008D10A8">
              <w:rPr>
                <w:rFonts w:cs="Times New Roman"/>
                <w:color w:val="auto"/>
                <w:sz w:val="18"/>
                <w:szCs w:val="18"/>
                <w:lang w:eastAsia="lv-LV"/>
              </w:rPr>
              <w:t>8. Budžeta bilance</w:t>
            </w:r>
          </w:p>
        </w:tc>
        <w:tc>
          <w:tcPr>
            <w:tcW w:w="1134" w:type="dxa"/>
            <w:hideMark/>
          </w:tcPr>
          <w:p w14:paraId="64C8AE13"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B.9</w:t>
            </w:r>
          </w:p>
        </w:tc>
        <w:tc>
          <w:tcPr>
            <w:tcW w:w="1134" w:type="dxa"/>
          </w:tcPr>
          <w:p w14:paraId="01CB0E0F" w14:textId="3552B448"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-921,1</w:t>
            </w:r>
          </w:p>
        </w:tc>
        <w:tc>
          <w:tcPr>
            <w:tcW w:w="861" w:type="dxa"/>
          </w:tcPr>
          <w:p w14:paraId="65E7124A" w14:textId="2ACF15D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-2,3</w:t>
            </w:r>
          </w:p>
        </w:tc>
        <w:tc>
          <w:tcPr>
            <w:tcW w:w="708" w:type="dxa"/>
          </w:tcPr>
          <w:p w14:paraId="6CB58D9B" w14:textId="5348F571"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-2,9</w:t>
            </w:r>
          </w:p>
        </w:tc>
        <w:tc>
          <w:tcPr>
            <w:tcW w:w="709" w:type="dxa"/>
          </w:tcPr>
          <w:p w14:paraId="0C06534C" w14:textId="53406C21"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-2,2</w:t>
            </w:r>
          </w:p>
        </w:tc>
        <w:tc>
          <w:tcPr>
            <w:tcW w:w="709" w:type="dxa"/>
          </w:tcPr>
          <w:p w14:paraId="69B631F2" w14:textId="1563E9B5"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-2,2</w:t>
            </w:r>
          </w:p>
        </w:tc>
        <w:tc>
          <w:tcPr>
            <w:tcW w:w="709" w:type="dxa"/>
          </w:tcPr>
          <w:p w14:paraId="0DA6F89E" w14:textId="4B10962B"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-2,0</w:t>
            </w:r>
          </w:p>
        </w:tc>
        <w:tc>
          <w:tcPr>
            <w:tcW w:w="709" w:type="dxa"/>
          </w:tcPr>
          <w:p w14:paraId="53DB055A" w14:textId="68E3B012"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541E7C">
              <w:rPr>
                <w:color w:val="auto"/>
                <w:sz w:val="18"/>
                <w:szCs w:val="18"/>
              </w:rPr>
              <w:t>-1,8</w:t>
            </w:r>
          </w:p>
        </w:tc>
      </w:tr>
      <w:tr w:rsidR="00551502" w:rsidRPr="0091078B" w14:paraId="1B3AD08B" w14:textId="14692584" w:rsidTr="00551502">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6514E12E" w14:textId="77777777" w:rsidR="00551502" w:rsidRPr="008D10A8" w:rsidRDefault="00551502" w:rsidP="00551502">
            <w:pPr>
              <w:ind w:firstLine="0"/>
              <w:rPr>
                <w:rFonts w:cs="Times New Roman"/>
                <w:color w:val="auto"/>
                <w:sz w:val="18"/>
                <w:szCs w:val="18"/>
                <w:lang w:eastAsia="lv-LV"/>
              </w:rPr>
            </w:pPr>
            <w:r w:rsidRPr="008D10A8">
              <w:rPr>
                <w:rFonts w:cs="Times New Roman"/>
                <w:color w:val="auto"/>
                <w:sz w:val="18"/>
                <w:szCs w:val="18"/>
                <w:lang w:eastAsia="lv-LV"/>
              </w:rPr>
              <w:t>9. Procentu izdevumi</w:t>
            </w:r>
          </w:p>
        </w:tc>
        <w:tc>
          <w:tcPr>
            <w:tcW w:w="1134" w:type="dxa"/>
            <w:hideMark/>
          </w:tcPr>
          <w:p w14:paraId="6D0F8EE1"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D.41</w:t>
            </w:r>
          </w:p>
        </w:tc>
        <w:tc>
          <w:tcPr>
            <w:tcW w:w="1134" w:type="dxa"/>
          </w:tcPr>
          <w:p w14:paraId="08E94088" w14:textId="5D8FE12F"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340,1</w:t>
            </w:r>
          </w:p>
        </w:tc>
        <w:tc>
          <w:tcPr>
            <w:tcW w:w="861" w:type="dxa"/>
          </w:tcPr>
          <w:p w14:paraId="775D5F5E" w14:textId="73C0BAE4"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0,8</w:t>
            </w:r>
          </w:p>
        </w:tc>
        <w:tc>
          <w:tcPr>
            <w:tcW w:w="708" w:type="dxa"/>
          </w:tcPr>
          <w:p w14:paraId="5420A1AB" w14:textId="6D4DAC9E"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1,0</w:t>
            </w:r>
          </w:p>
        </w:tc>
        <w:tc>
          <w:tcPr>
            <w:tcW w:w="709" w:type="dxa"/>
          </w:tcPr>
          <w:p w14:paraId="02E6F52A" w14:textId="6326186B"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1,2</w:t>
            </w:r>
          </w:p>
        </w:tc>
        <w:tc>
          <w:tcPr>
            <w:tcW w:w="709" w:type="dxa"/>
          </w:tcPr>
          <w:p w14:paraId="71581024" w14:textId="206297D1"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1,3</w:t>
            </w:r>
          </w:p>
        </w:tc>
        <w:tc>
          <w:tcPr>
            <w:tcW w:w="709" w:type="dxa"/>
          </w:tcPr>
          <w:p w14:paraId="5A7024A6" w14:textId="630EFD56"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1,4</w:t>
            </w:r>
          </w:p>
        </w:tc>
        <w:tc>
          <w:tcPr>
            <w:tcW w:w="709" w:type="dxa"/>
          </w:tcPr>
          <w:p w14:paraId="20D0E7EF" w14:textId="5119C793"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541E7C">
              <w:rPr>
                <w:color w:val="auto"/>
                <w:sz w:val="18"/>
                <w:szCs w:val="18"/>
              </w:rPr>
              <w:t>1,4</w:t>
            </w:r>
          </w:p>
        </w:tc>
      </w:tr>
      <w:tr w:rsidR="00551502" w:rsidRPr="0091078B" w14:paraId="140B83F5" w14:textId="095E9165" w:rsidTr="00551502">
        <w:trPr>
          <w:trHeight w:val="251"/>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3A5F2EFA" w14:textId="77777777" w:rsidR="00551502" w:rsidRPr="008D10A8" w:rsidRDefault="00551502" w:rsidP="00551502">
            <w:pPr>
              <w:ind w:firstLine="0"/>
              <w:rPr>
                <w:rFonts w:cs="Times New Roman"/>
                <w:color w:val="auto"/>
                <w:sz w:val="18"/>
                <w:szCs w:val="18"/>
                <w:lang w:eastAsia="lv-LV"/>
              </w:rPr>
            </w:pPr>
            <w:r w:rsidRPr="008D10A8">
              <w:rPr>
                <w:rFonts w:cs="Times New Roman"/>
                <w:color w:val="auto"/>
                <w:sz w:val="18"/>
                <w:szCs w:val="18"/>
                <w:lang w:eastAsia="lv-LV"/>
              </w:rPr>
              <w:t>10. Primārā bilance</w:t>
            </w:r>
          </w:p>
        </w:tc>
        <w:tc>
          <w:tcPr>
            <w:tcW w:w="1134" w:type="dxa"/>
            <w:hideMark/>
          </w:tcPr>
          <w:p w14:paraId="7099F56C"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lang w:eastAsia="lv-LV"/>
              </w:rPr>
            </w:pPr>
          </w:p>
        </w:tc>
        <w:tc>
          <w:tcPr>
            <w:tcW w:w="1134" w:type="dxa"/>
          </w:tcPr>
          <w:p w14:paraId="5D6930CF" w14:textId="53EB25B3"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-581,0</w:t>
            </w:r>
          </w:p>
        </w:tc>
        <w:tc>
          <w:tcPr>
            <w:tcW w:w="861" w:type="dxa"/>
          </w:tcPr>
          <w:p w14:paraId="278269B7" w14:textId="78AB55CE"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-1,4</w:t>
            </w:r>
          </w:p>
        </w:tc>
        <w:tc>
          <w:tcPr>
            <w:tcW w:w="708" w:type="dxa"/>
          </w:tcPr>
          <w:p w14:paraId="511E5644" w14:textId="218AB1F9"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-1,8</w:t>
            </w:r>
          </w:p>
        </w:tc>
        <w:tc>
          <w:tcPr>
            <w:tcW w:w="709" w:type="dxa"/>
          </w:tcPr>
          <w:p w14:paraId="13E03ECE" w14:textId="319A7914"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-1,0</w:t>
            </w:r>
          </w:p>
        </w:tc>
        <w:tc>
          <w:tcPr>
            <w:tcW w:w="709" w:type="dxa"/>
          </w:tcPr>
          <w:p w14:paraId="1CD61EFC" w14:textId="0E53573C"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-0,9</w:t>
            </w:r>
          </w:p>
        </w:tc>
        <w:tc>
          <w:tcPr>
            <w:tcW w:w="709" w:type="dxa"/>
          </w:tcPr>
          <w:p w14:paraId="5D6F5B39" w14:textId="5A81443F"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-0,6</w:t>
            </w:r>
          </w:p>
        </w:tc>
        <w:tc>
          <w:tcPr>
            <w:tcW w:w="709" w:type="dxa"/>
          </w:tcPr>
          <w:p w14:paraId="0BFC93CE" w14:textId="7DA203B6"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541E7C">
              <w:rPr>
                <w:color w:val="auto"/>
                <w:sz w:val="18"/>
                <w:szCs w:val="18"/>
              </w:rPr>
              <w:t>-0,4</w:t>
            </w:r>
          </w:p>
        </w:tc>
      </w:tr>
      <w:tr w:rsidR="00551502" w:rsidRPr="0091078B" w14:paraId="3D5CCC4D" w14:textId="73BEFD94" w:rsidTr="00551502">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18D21736" w14:textId="427D6D41" w:rsidR="00551502" w:rsidRPr="008D10A8" w:rsidRDefault="00551502" w:rsidP="00551502">
            <w:pPr>
              <w:ind w:firstLine="0"/>
              <w:jc w:val="left"/>
              <w:rPr>
                <w:rFonts w:cs="Times New Roman"/>
                <w:color w:val="auto"/>
                <w:sz w:val="18"/>
                <w:szCs w:val="18"/>
                <w:lang w:eastAsia="lv-LV"/>
              </w:rPr>
            </w:pPr>
            <w:r w:rsidRPr="008D10A8">
              <w:rPr>
                <w:rFonts w:cs="Times New Roman"/>
                <w:color w:val="auto"/>
                <w:sz w:val="18"/>
                <w:szCs w:val="18"/>
                <w:lang w:eastAsia="lv-LV"/>
              </w:rPr>
              <w:t>11.</w:t>
            </w:r>
            <w:r>
              <w:rPr>
                <w:rFonts w:cs="Times New Roman"/>
                <w:color w:val="auto"/>
                <w:sz w:val="18"/>
                <w:szCs w:val="18"/>
                <w:lang w:eastAsia="lv-LV"/>
              </w:rPr>
              <w:t xml:space="preserve"> </w:t>
            </w:r>
            <w:r w:rsidRPr="008D10A8">
              <w:rPr>
                <w:rFonts w:cs="Times New Roman"/>
                <w:color w:val="auto"/>
                <w:sz w:val="18"/>
                <w:szCs w:val="18"/>
                <w:lang w:eastAsia="lv-LV"/>
              </w:rPr>
              <w:t>Vienreizēji un citi īslaicīgi pasākumi</w:t>
            </w:r>
            <w:r w:rsidRPr="008D10A8">
              <w:rPr>
                <w:rStyle w:val="FootnoteReference"/>
                <w:rFonts w:cs="Times New Roman"/>
                <w:b w:val="0"/>
                <w:bCs w:val="0"/>
                <w:color w:val="auto"/>
                <w:sz w:val="18"/>
                <w:szCs w:val="18"/>
                <w:lang w:eastAsia="lv-LV"/>
              </w:rPr>
              <w:footnoteReference w:id="27"/>
            </w:r>
          </w:p>
        </w:tc>
        <w:tc>
          <w:tcPr>
            <w:tcW w:w="1134" w:type="dxa"/>
            <w:hideMark/>
          </w:tcPr>
          <w:p w14:paraId="4ED137DA"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p>
        </w:tc>
        <w:tc>
          <w:tcPr>
            <w:tcW w:w="1134" w:type="dxa"/>
          </w:tcPr>
          <w:p w14:paraId="4B5879BD" w14:textId="545ABBDD"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-820,8</w:t>
            </w:r>
          </w:p>
        </w:tc>
        <w:tc>
          <w:tcPr>
            <w:tcW w:w="861" w:type="dxa"/>
          </w:tcPr>
          <w:p w14:paraId="1C4335CF" w14:textId="0D9ADD5D"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-2,0</w:t>
            </w:r>
          </w:p>
        </w:tc>
        <w:tc>
          <w:tcPr>
            <w:tcW w:w="708" w:type="dxa"/>
          </w:tcPr>
          <w:p w14:paraId="5973FA20" w14:textId="5093C28B"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-1,7</w:t>
            </w:r>
          </w:p>
        </w:tc>
        <w:tc>
          <w:tcPr>
            <w:tcW w:w="709" w:type="dxa"/>
          </w:tcPr>
          <w:p w14:paraId="514F72BE" w14:textId="0F4D3292"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-1,6</w:t>
            </w:r>
          </w:p>
        </w:tc>
        <w:tc>
          <w:tcPr>
            <w:tcW w:w="709" w:type="dxa"/>
          </w:tcPr>
          <w:p w14:paraId="6FF1CA0C" w14:textId="6A734580"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-1,6</w:t>
            </w:r>
          </w:p>
        </w:tc>
        <w:tc>
          <w:tcPr>
            <w:tcW w:w="709" w:type="dxa"/>
          </w:tcPr>
          <w:p w14:paraId="29E12533" w14:textId="62085D23"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-1,5</w:t>
            </w:r>
          </w:p>
        </w:tc>
        <w:tc>
          <w:tcPr>
            <w:tcW w:w="709" w:type="dxa"/>
          </w:tcPr>
          <w:p w14:paraId="01131C5E" w14:textId="75E9E4FF"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541E7C">
              <w:rPr>
                <w:color w:val="auto"/>
                <w:sz w:val="18"/>
                <w:szCs w:val="18"/>
              </w:rPr>
              <w:t>-1,3</w:t>
            </w:r>
          </w:p>
        </w:tc>
      </w:tr>
      <w:tr w:rsidR="00551502" w:rsidRPr="006856C6" w14:paraId="130B9D34" w14:textId="61AA500C" w:rsidTr="00551502">
        <w:trPr>
          <w:trHeight w:val="149"/>
          <w:jc w:val="center"/>
        </w:trPr>
        <w:tc>
          <w:tcPr>
            <w:cnfStyle w:val="001000000000" w:firstRow="0" w:lastRow="0" w:firstColumn="1" w:lastColumn="0" w:oddVBand="0" w:evenVBand="0" w:oddHBand="0" w:evenHBand="0" w:firstRowFirstColumn="0" w:firstRowLastColumn="0" w:lastRowFirstColumn="0" w:lastRowLastColumn="0"/>
            <w:tcW w:w="9938" w:type="dxa"/>
            <w:gridSpan w:val="9"/>
            <w:hideMark/>
          </w:tcPr>
          <w:p w14:paraId="5DCDD96A" w14:textId="122AB988" w:rsidR="00551502" w:rsidRPr="00541E7C" w:rsidRDefault="00551502" w:rsidP="00551502">
            <w:pPr>
              <w:ind w:firstLine="0"/>
              <w:jc w:val="center"/>
              <w:rPr>
                <w:rFonts w:cs="Times New Roman"/>
                <w:b w:val="0"/>
                <w:bCs w:val="0"/>
                <w:color w:val="auto"/>
                <w:sz w:val="18"/>
                <w:szCs w:val="18"/>
              </w:rPr>
            </w:pPr>
            <w:r w:rsidRPr="00541E7C">
              <w:rPr>
                <w:rFonts w:cs="Times New Roman"/>
                <w:color w:val="000000" w:themeColor="text1"/>
                <w:sz w:val="18"/>
                <w:szCs w:val="18"/>
                <w:lang w:eastAsia="lv-LV"/>
              </w:rPr>
              <w:t>Ieņēmumu sadaļas</w:t>
            </w:r>
          </w:p>
        </w:tc>
      </w:tr>
      <w:tr w:rsidR="00551502" w:rsidRPr="006856C6" w14:paraId="3D1C0EBA" w14:textId="77777777" w:rsidTr="00551502">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3265" w:type="dxa"/>
          </w:tcPr>
          <w:p w14:paraId="71F68301" w14:textId="1D3BEA4F" w:rsidR="00551502" w:rsidRPr="006856C6" w:rsidRDefault="00551502" w:rsidP="00551502">
            <w:pPr>
              <w:ind w:firstLine="0"/>
              <w:rPr>
                <w:rFonts w:cs="Times New Roman"/>
                <w:color w:val="000000" w:themeColor="text1"/>
                <w:sz w:val="18"/>
                <w:szCs w:val="18"/>
                <w:lang w:eastAsia="lv-LV"/>
              </w:rPr>
            </w:pPr>
            <w:r w:rsidRPr="006856C6">
              <w:rPr>
                <w:rFonts w:cs="Times New Roman"/>
                <w:color w:val="000000" w:themeColor="text1"/>
                <w:sz w:val="18"/>
                <w:szCs w:val="18"/>
                <w:lang w:eastAsia="lv-LV"/>
              </w:rPr>
              <w:t>12. Nodokļi kopā (12=12a+12b+12c)</w:t>
            </w:r>
          </w:p>
        </w:tc>
        <w:tc>
          <w:tcPr>
            <w:tcW w:w="1125" w:type="dxa"/>
          </w:tcPr>
          <w:p w14:paraId="190CA272"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18"/>
                <w:lang w:eastAsia="lv-LV"/>
              </w:rPr>
            </w:pPr>
          </w:p>
        </w:tc>
        <w:tc>
          <w:tcPr>
            <w:tcW w:w="1143" w:type="dxa"/>
          </w:tcPr>
          <w:p w14:paraId="14C0A43E" w14:textId="4BE02C42"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541E7C">
              <w:rPr>
                <w:rFonts w:cs="Times New Roman"/>
                <w:color w:val="auto"/>
                <w:sz w:val="18"/>
                <w:szCs w:val="18"/>
              </w:rPr>
              <w:t>8 740,3</w:t>
            </w:r>
          </w:p>
        </w:tc>
        <w:tc>
          <w:tcPr>
            <w:tcW w:w="861" w:type="dxa"/>
          </w:tcPr>
          <w:p w14:paraId="3D69942C" w14:textId="2B9E78F4"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541E7C">
              <w:rPr>
                <w:rFonts w:cs="Times New Roman"/>
                <w:color w:val="auto"/>
                <w:sz w:val="18"/>
                <w:szCs w:val="18"/>
              </w:rPr>
              <w:t>21,7</w:t>
            </w:r>
          </w:p>
        </w:tc>
        <w:tc>
          <w:tcPr>
            <w:tcW w:w="708" w:type="dxa"/>
          </w:tcPr>
          <w:p w14:paraId="166637ED" w14:textId="60ED6451"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541E7C">
              <w:rPr>
                <w:rFonts w:cs="Times New Roman"/>
                <w:color w:val="auto"/>
                <w:sz w:val="18"/>
                <w:szCs w:val="18"/>
              </w:rPr>
              <w:t>22,5</w:t>
            </w:r>
          </w:p>
        </w:tc>
        <w:tc>
          <w:tcPr>
            <w:tcW w:w="709" w:type="dxa"/>
          </w:tcPr>
          <w:p w14:paraId="6A7C2DB3" w14:textId="124E34F5"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541E7C">
              <w:rPr>
                <w:rFonts w:cs="Times New Roman"/>
                <w:color w:val="auto"/>
                <w:sz w:val="18"/>
                <w:szCs w:val="18"/>
              </w:rPr>
              <w:t>22,2</w:t>
            </w:r>
          </w:p>
        </w:tc>
        <w:tc>
          <w:tcPr>
            <w:tcW w:w="709" w:type="dxa"/>
          </w:tcPr>
          <w:p w14:paraId="38F22B7B" w14:textId="25AC268C"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541E7C">
              <w:rPr>
                <w:rFonts w:cs="Times New Roman"/>
                <w:color w:val="auto"/>
                <w:sz w:val="18"/>
                <w:szCs w:val="18"/>
              </w:rPr>
              <w:t>22,1</w:t>
            </w:r>
          </w:p>
        </w:tc>
        <w:tc>
          <w:tcPr>
            <w:tcW w:w="709" w:type="dxa"/>
          </w:tcPr>
          <w:p w14:paraId="3D7AE666" w14:textId="3C5FF7C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541E7C">
              <w:rPr>
                <w:rFonts w:cs="Times New Roman"/>
                <w:color w:val="auto"/>
                <w:sz w:val="18"/>
                <w:szCs w:val="18"/>
              </w:rPr>
              <w:t>22,0</w:t>
            </w:r>
          </w:p>
        </w:tc>
        <w:tc>
          <w:tcPr>
            <w:tcW w:w="709" w:type="dxa"/>
          </w:tcPr>
          <w:p w14:paraId="2EE5B34B" w14:textId="4BE70102"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541E7C">
              <w:rPr>
                <w:rFonts w:cs="Times New Roman"/>
                <w:color w:val="auto"/>
                <w:sz w:val="18"/>
                <w:szCs w:val="18"/>
              </w:rPr>
              <w:t>21,8</w:t>
            </w:r>
          </w:p>
        </w:tc>
      </w:tr>
      <w:tr w:rsidR="00551502" w:rsidRPr="006856C6" w14:paraId="61CF1229" w14:textId="3D1A976B" w:rsidTr="00551502">
        <w:trPr>
          <w:trHeight w:val="48"/>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3F9A8259" w14:textId="77777777" w:rsidR="00551502" w:rsidRPr="006856C6" w:rsidRDefault="00551502" w:rsidP="00551502">
            <w:pPr>
              <w:ind w:firstLine="0"/>
              <w:rPr>
                <w:rFonts w:cs="Times New Roman"/>
                <w:color w:val="000000" w:themeColor="text1"/>
                <w:sz w:val="18"/>
                <w:szCs w:val="18"/>
                <w:lang w:eastAsia="lv-LV"/>
              </w:rPr>
            </w:pPr>
            <w:r w:rsidRPr="006856C6">
              <w:rPr>
                <w:rFonts w:cs="Times New Roman"/>
                <w:color w:val="000000" w:themeColor="text1"/>
                <w:sz w:val="18"/>
                <w:szCs w:val="18"/>
                <w:lang w:eastAsia="lv-LV"/>
              </w:rPr>
              <w:t>12a. Ražošanas un importa nodokļi</w:t>
            </w:r>
          </w:p>
        </w:tc>
        <w:tc>
          <w:tcPr>
            <w:tcW w:w="1125" w:type="dxa"/>
            <w:hideMark/>
          </w:tcPr>
          <w:p w14:paraId="25875B7D"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41E7C">
              <w:rPr>
                <w:rFonts w:cs="Times New Roman"/>
                <w:bCs/>
                <w:color w:val="000000" w:themeColor="text1"/>
                <w:sz w:val="18"/>
                <w:szCs w:val="18"/>
                <w:lang w:eastAsia="lv-LV"/>
              </w:rPr>
              <w:t>D.2</w:t>
            </w:r>
          </w:p>
        </w:tc>
        <w:tc>
          <w:tcPr>
            <w:tcW w:w="1143" w:type="dxa"/>
          </w:tcPr>
          <w:p w14:paraId="54CD8501" w14:textId="526CBFFD"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5 580,7</w:t>
            </w:r>
          </w:p>
        </w:tc>
        <w:tc>
          <w:tcPr>
            <w:tcW w:w="861" w:type="dxa"/>
          </w:tcPr>
          <w:p w14:paraId="6B7452D9" w14:textId="08A651C5"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13,8</w:t>
            </w:r>
          </w:p>
        </w:tc>
        <w:tc>
          <w:tcPr>
            <w:tcW w:w="708" w:type="dxa"/>
          </w:tcPr>
          <w:p w14:paraId="689B46B7" w14:textId="3F499C2C"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14,1</w:t>
            </w:r>
          </w:p>
        </w:tc>
        <w:tc>
          <w:tcPr>
            <w:tcW w:w="709" w:type="dxa"/>
          </w:tcPr>
          <w:p w14:paraId="27F4CC4C" w14:textId="3F228E89"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13,9</w:t>
            </w:r>
          </w:p>
        </w:tc>
        <w:tc>
          <w:tcPr>
            <w:tcW w:w="709" w:type="dxa"/>
          </w:tcPr>
          <w:p w14:paraId="754E5613" w14:textId="6F5D4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13,8</w:t>
            </w:r>
          </w:p>
        </w:tc>
        <w:tc>
          <w:tcPr>
            <w:tcW w:w="709" w:type="dxa"/>
          </w:tcPr>
          <w:p w14:paraId="59490845" w14:textId="4DCAA8C3"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13,7</w:t>
            </w:r>
          </w:p>
        </w:tc>
        <w:tc>
          <w:tcPr>
            <w:tcW w:w="709" w:type="dxa"/>
          </w:tcPr>
          <w:p w14:paraId="402FAA87" w14:textId="72B92863"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41E7C">
              <w:rPr>
                <w:rFonts w:cs="Times New Roman"/>
                <w:color w:val="auto"/>
                <w:sz w:val="18"/>
                <w:szCs w:val="18"/>
              </w:rPr>
              <w:t>13,5</w:t>
            </w:r>
          </w:p>
        </w:tc>
      </w:tr>
      <w:tr w:rsidR="00551502" w:rsidRPr="006856C6" w14:paraId="33B95B2C" w14:textId="7FADE1E5" w:rsidTr="00551502">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5FF89997" w14:textId="77777777" w:rsidR="00551502" w:rsidRPr="006856C6" w:rsidRDefault="00551502" w:rsidP="00551502">
            <w:pPr>
              <w:ind w:firstLine="0"/>
              <w:rPr>
                <w:rFonts w:cs="Times New Roman"/>
                <w:color w:val="000000" w:themeColor="text1"/>
                <w:sz w:val="18"/>
                <w:szCs w:val="18"/>
                <w:lang w:eastAsia="lv-LV"/>
              </w:rPr>
            </w:pPr>
            <w:r w:rsidRPr="006856C6">
              <w:rPr>
                <w:rFonts w:cs="Times New Roman"/>
                <w:color w:val="000000" w:themeColor="text1"/>
                <w:sz w:val="18"/>
                <w:szCs w:val="18"/>
                <w:lang w:eastAsia="lv-LV"/>
              </w:rPr>
              <w:t>12b. Ienākuma un mantas kārtējie nodokļi</w:t>
            </w:r>
          </w:p>
        </w:tc>
        <w:tc>
          <w:tcPr>
            <w:tcW w:w="1125" w:type="dxa"/>
            <w:hideMark/>
          </w:tcPr>
          <w:p w14:paraId="5F2928DE" w14:textId="77777777"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41E7C">
              <w:rPr>
                <w:rFonts w:cs="Times New Roman"/>
                <w:bCs/>
                <w:color w:val="000000" w:themeColor="text1"/>
                <w:sz w:val="18"/>
                <w:szCs w:val="18"/>
                <w:lang w:eastAsia="lv-LV"/>
              </w:rPr>
              <w:t>D.5</w:t>
            </w:r>
          </w:p>
        </w:tc>
        <w:tc>
          <w:tcPr>
            <w:tcW w:w="1143" w:type="dxa"/>
          </w:tcPr>
          <w:p w14:paraId="4911C5E2" w14:textId="3404A78F"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3 141,3</w:t>
            </w:r>
          </w:p>
        </w:tc>
        <w:tc>
          <w:tcPr>
            <w:tcW w:w="861" w:type="dxa"/>
          </w:tcPr>
          <w:p w14:paraId="49E144E5" w14:textId="6B2F772B"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7,8</w:t>
            </w:r>
          </w:p>
        </w:tc>
        <w:tc>
          <w:tcPr>
            <w:tcW w:w="708" w:type="dxa"/>
          </w:tcPr>
          <w:p w14:paraId="621CDE34" w14:textId="4C703706"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8,4</w:t>
            </w:r>
          </w:p>
        </w:tc>
        <w:tc>
          <w:tcPr>
            <w:tcW w:w="709" w:type="dxa"/>
          </w:tcPr>
          <w:p w14:paraId="08856901" w14:textId="5D7F34CA"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8,3</w:t>
            </w:r>
          </w:p>
        </w:tc>
        <w:tc>
          <w:tcPr>
            <w:tcW w:w="709" w:type="dxa"/>
          </w:tcPr>
          <w:p w14:paraId="011A055D" w14:textId="03859ADE"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8,3</w:t>
            </w:r>
          </w:p>
        </w:tc>
        <w:tc>
          <w:tcPr>
            <w:tcW w:w="709" w:type="dxa"/>
          </w:tcPr>
          <w:p w14:paraId="5E4C6486" w14:textId="1A719C32"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8,3</w:t>
            </w:r>
          </w:p>
        </w:tc>
        <w:tc>
          <w:tcPr>
            <w:tcW w:w="709" w:type="dxa"/>
          </w:tcPr>
          <w:p w14:paraId="4CBFFAC3" w14:textId="1381ED61"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41E7C">
              <w:rPr>
                <w:rFonts w:cs="Times New Roman"/>
                <w:color w:val="auto"/>
                <w:sz w:val="18"/>
                <w:szCs w:val="18"/>
              </w:rPr>
              <w:t>8,2</w:t>
            </w:r>
          </w:p>
        </w:tc>
      </w:tr>
      <w:tr w:rsidR="00551502" w:rsidRPr="006856C6" w14:paraId="7088E718" w14:textId="7C03EC51" w:rsidTr="00551502">
        <w:trPr>
          <w:trHeight w:val="54"/>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68EB7AE7" w14:textId="77777777" w:rsidR="00551502" w:rsidRPr="006856C6" w:rsidRDefault="00551502" w:rsidP="00551502">
            <w:pPr>
              <w:ind w:firstLine="0"/>
              <w:rPr>
                <w:rFonts w:cs="Times New Roman"/>
                <w:color w:val="000000" w:themeColor="text1"/>
                <w:sz w:val="18"/>
                <w:szCs w:val="18"/>
                <w:lang w:eastAsia="lv-LV"/>
              </w:rPr>
            </w:pPr>
            <w:r w:rsidRPr="006856C6">
              <w:rPr>
                <w:rFonts w:cs="Times New Roman"/>
                <w:color w:val="000000" w:themeColor="text1"/>
                <w:sz w:val="18"/>
                <w:szCs w:val="18"/>
                <w:lang w:eastAsia="lv-LV"/>
              </w:rPr>
              <w:t>12c. Kapitāla nodokļi</w:t>
            </w:r>
          </w:p>
        </w:tc>
        <w:tc>
          <w:tcPr>
            <w:tcW w:w="1125" w:type="dxa"/>
            <w:hideMark/>
          </w:tcPr>
          <w:p w14:paraId="2CD6DA8B"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41E7C">
              <w:rPr>
                <w:rFonts w:cs="Times New Roman"/>
                <w:bCs/>
                <w:color w:val="000000" w:themeColor="text1"/>
                <w:sz w:val="18"/>
                <w:szCs w:val="18"/>
                <w:lang w:eastAsia="lv-LV"/>
              </w:rPr>
              <w:t>D.91</w:t>
            </w:r>
          </w:p>
        </w:tc>
        <w:tc>
          <w:tcPr>
            <w:tcW w:w="1143" w:type="dxa"/>
          </w:tcPr>
          <w:p w14:paraId="498ACC2E" w14:textId="0E8C83AF"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18,3</w:t>
            </w:r>
          </w:p>
        </w:tc>
        <w:tc>
          <w:tcPr>
            <w:tcW w:w="861" w:type="dxa"/>
          </w:tcPr>
          <w:p w14:paraId="6CC7D7B3" w14:textId="23FAC8F3"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0,0</w:t>
            </w:r>
          </w:p>
        </w:tc>
        <w:tc>
          <w:tcPr>
            <w:tcW w:w="708" w:type="dxa"/>
          </w:tcPr>
          <w:p w14:paraId="49AAE9CF" w14:textId="681CDDE6"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0,0</w:t>
            </w:r>
          </w:p>
        </w:tc>
        <w:tc>
          <w:tcPr>
            <w:tcW w:w="709" w:type="dxa"/>
          </w:tcPr>
          <w:p w14:paraId="3CD886BC" w14:textId="74584D03"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0,0</w:t>
            </w:r>
          </w:p>
        </w:tc>
        <w:tc>
          <w:tcPr>
            <w:tcW w:w="709" w:type="dxa"/>
          </w:tcPr>
          <w:p w14:paraId="59B5C0A6" w14:textId="6AD88F63"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0,0</w:t>
            </w:r>
          </w:p>
        </w:tc>
        <w:tc>
          <w:tcPr>
            <w:tcW w:w="709" w:type="dxa"/>
          </w:tcPr>
          <w:p w14:paraId="2CAC7ECA" w14:textId="0B8C9403"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0,0</w:t>
            </w:r>
          </w:p>
        </w:tc>
        <w:tc>
          <w:tcPr>
            <w:tcW w:w="709" w:type="dxa"/>
          </w:tcPr>
          <w:p w14:paraId="3D8DEBB1" w14:textId="2B16E459"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41E7C">
              <w:rPr>
                <w:rFonts w:cs="Times New Roman"/>
                <w:color w:val="auto"/>
                <w:sz w:val="18"/>
                <w:szCs w:val="18"/>
              </w:rPr>
              <w:t>0,0</w:t>
            </w:r>
          </w:p>
        </w:tc>
      </w:tr>
      <w:tr w:rsidR="00551502" w:rsidRPr="006856C6" w14:paraId="18130815" w14:textId="0897C058" w:rsidTr="00551502">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4F166A25" w14:textId="77777777" w:rsidR="00551502" w:rsidRPr="006856C6" w:rsidRDefault="00551502" w:rsidP="00551502">
            <w:pPr>
              <w:ind w:firstLine="0"/>
              <w:rPr>
                <w:rFonts w:cs="Times New Roman"/>
                <w:color w:val="000000" w:themeColor="text1"/>
                <w:sz w:val="18"/>
                <w:szCs w:val="18"/>
                <w:lang w:eastAsia="lv-LV"/>
              </w:rPr>
            </w:pPr>
            <w:r w:rsidRPr="006856C6">
              <w:rPr>
                <w:rFonts w:cs="Times New Roman"/>
                <w:color w:val="000000" w:themeColor="text1"/>
                <w:sz w:val="18"/>
                <w:szCs w:val="18"/>
                <w:lang w:eastAsia="lv-LV"/>
              </w:rPr>
              <w:t>13. Sociālās iemaksas</w:t>
            </w:r>
          </w:p>
        </w:tc>
        <w:tc>
          <w:tcPr>
            <w:tcW w:w="1125" w:type="dxa"/>
            <w:hideMark/>
          </w:tcPr>
          <w:p w14:paraId="29F2F2F9"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41E7C">
              <w:rPr>
                <w:rFonts w:cs="Times New Roman"/>
                <w:bCs/>
                <w:color w:val="000000" w:themeColor="text1"/>
                <w:sz w:val="18"/>
                <w:szCs w:val="18"/>
                <w:lang w:eastAsia="lv-LV"/>
              </w:rPr>
              <w:t>D.61</w:t>
            </w:r>
          </w:p>
        </w:tc>
        <w:tc>
          <w:tcPr>
            <w:tcW w:w="1143" w:type="dxa"/>
          </w:tcPr>
          <w:p w14:paraId="685FF2A7" w14:textId="2C5A70CC"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4 245,9</w:t>
            </w:r>
          </w:p>
        </w:tc>
        <w:tc>
          <w:tcPr>
            <w:tcW w:w="861" w:type="dxa"/>
          </w:tcPr>
          <w:p w14:paraId="43ECD359" w14:textId="12E45274"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10,5</w:t>
            </w:r>
          </w:p>
        </w:tc>
        <w:tc>
          <w:tcPr>
            <w:tcW w:w="708" w:type="dxa"/>
          </w:tcPr>
          <w:p w14:paraId="6F74DFA3" w14:textId="0140739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11,0</w:t>
            </w:r>
          </w:p>
        </w:tc>
        <w:tc>
          <w:tcPr>
            <w:tcW w:w="709" w:type="dxa"/>
          </w:tcPr>
          <w:p w14:paraId="71B4560A" w14:textId="12A92066"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11,1</w:t>
            </w:r>
          </w:p>
        </w:tc>
        <w:tc>
          <w:tcPr>
            <w:tcW w:w="709" w:type="dxa"/>
          </w:tcPr>
          <w:p w14:paraId="2E55B824" w14:textId="02DC83F4"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11,2</w:t>
            </w:r>
          </w:p>
        </w:tc>
        <w:tc>
          <w:tcPr>
            <w:tcW w:w="709" w:type="dxa"/>
          </w:tcPr>
          <w:p w14:paraId="29861652" w14:textId="12FA75D2"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11,1</w:t>
            </w:r>
          </w:p>
        </w:tc>
        <w:tc>
          <w:tcPr>
            <w:tcW w:w="709" w:type="dxa"/>
          </w:tcPr>
          <w:p w14:paraId="40BA97AE" w14:textId="2D86AF3D"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41E7C">
              <w:rPr>
                <w:rFonts w:cs="Times New Roman"/>
                <w:color w:val="auto"/>
                <w:sz w:val="18"/>
                <w:szCs w:val="18"/>
              </w:rPr>
              <w:t>11,1</w:t>
            </w:r>
          </w:p>
        </w:tc>
      </w:tr>
      <w:tr w:rsidR="00551502" w:rsidRPr="006856C6" w14:paraId="0B50FA2D" w14:textId="5159D264" w:rsidTr="00551502">
        <w:trPr>
          <w:trHeight w:val="181"/>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2D29BB43" w14:textId="77777777" w:rsidR="00551502" w:rsidRPr="006856C6" w:rsidRDefault="00551502" w:rsidP="00551502">
            <w:pPr>
              <w:ind w:firstLine="0"/>
              <w:rPr>
                <w:rFonts w:cs="Times New Roman"/>
                <w:color w:val="000000" w:themeColor="text1"/>
                <w:sz w:val="18"/>
                <w:szCs w:val="18"/>
                <w:lang w:eastAsia="lv-LV"/>
              </w:rPr>
            </w:pPr>
            <w:r w:rsidRPr="006856C6">
              <w:rPr>
                <w:rFonts w:cs="Times New Roman"/>
                <w:color w:val="000000" w:themeColor="text1"/>
                <w:sz w:val="18"/>
                <w:szCs w:val="18"/>
                <w:lang w:eastAsia="lv-LV"/>
              </w:rPr>
              <w:lastRenderedPageBreak/>
              <w:t>14. Īpašuma ienākumi</w:t>
            </w:r>
          </w:p>
        </w:tc>
        <w:tc>
          <w:tcPr>
            <w:tcW w:w="1125" w:type="dxa"/>
            <w:hideMark/>
          </w:tcPr>
          <w:p w14:paraId="3501C492"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41E7C">
              <w:rPr>
                <w:rFonts w:cs="Times New Roman"/>
                <w:bCs/>
                <w:color w:val="000000" w:themeColor="text1"/>
                <w:sz w:val="18"/>
                <w:szCs w:val="18"/>
                <w:lang w:eastAsia="lv-LV"/>
              </w:rPr>
              <w:t>D.4</w:t>
            </w:r>
          </w:p>
        </w:tc>
        <w:tc>
          <w:tcPr>
            <w:tcW w:w="1143" w:type="dxa"/>
          </w:tcPr>
          <w:p w14:paraId="1FDED69B" w14:textId="736E8D2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557,9</w:t>
            </w:r>
          </w:p>
        </w:tc>
        <w:tc>
          <w:tcPr>
            <w:tcW w:w="861" w:type="dxa"/>
          </w:tcPr>
          <w:p w14:paraId="42DBA950" w14:textId="3005F9F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1,4</w:t>
            </w:r>
          </w:p>
        </w:tc>
        <w:tc>
          <w:tcPr>
            <w:tcW w:w="708" w:type="dxa"/>
          </w:tcPr>
          <w:p w14:paraId="7FFB33F5" w14:textId="4823363F"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1,3</w:t>
            </w:r>
          </w:p>
        </w:tc>
        <w:tc>
          <w:tcPr>
            <w:tcW w:w="709" w:type="dxa"/>
          </w:tcPr>
          <w:p w14:paraId="63052C4C" w14:textId="2B8D929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0,7</w:t>
            </w:r>
          </w:p>
        </w:tc>
        <w:tc>
          <w:tcPr>
            <w:tcW w:w="709" w:type="dxa"/>
          </w:tcPr>
          <w:p w14:paraId="588147D5" w14:textId="6057AF7D"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0,7</w:t>
            </w:r>
          </w:p>
        </w:tc>
        <w:tc>
          <w:tcPr>
            <w:tcW w:w="709" w:type="dxa"/>
          </w:tcPr>
          <w:p w14:paraId="72ADA99E" w14:textId="1B50C78A"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0,6</w:t>
            </w:r>
          </w:p>
        </w:tc>
        <w:tc>
          <w:tcPr>
            <w:tcW w:w="709" w:type="dxa"/>
          </w:tcPr>
          <w:p w14:paraId="7DE91A8B" w14:textId="0503C424"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41E7C">
              <w:rPr>
                <w:rFonts w:cs="Times New Roman"/>
                <w:color w:val="auto"/>
                <w:sz w:val="18"/>
                <w:szCs w:val="18"/>
              </w:rPr>
              <w:t>0,6</w:t>
            </w:r>
          </w:p>
        </w:tc>
      </w:tr>
      <w:tr w:rsidR="00551502" w:rsidRPr="006856C6" w14:paraId="50545CAF" w14:textId="72AC4CFD" w:rsidTr="0055150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3C9A59DA" w14:textId="77777777" w:rsidR="00551502" w:rsidRPr="006856C6" w:rsidRDefault="00551502" w:rsidP="00551502">
            <w:pPr>
              <w:ind w:firstLine="0"/>
              <w:rPr>
                <w:rFonts w:cs="Times New Roman"/>
                <w:color w:val="000000" w:themeColor="text1"/>
                <w:sz w:val="18"/>
                <w:szCs w:val="18"/>
                <w:lang w:eastAsia="lv-LV"/>
              </w:rPr>
            </w:pPr>
            <w:r w:rsidRPr="006856C6">
              <w:rPr>
                <w:rFonts w:cs="Times New Roman"/>
                <w:color w:val="000000" w:themeColor="text1"/>
                <w:sz w:val="18"/>
                <w:szCs w:val="18"/>
                <w:lang w:eastAsia="lv-LV"/>
              </w:rPr>
              <w:t>15. Pārējie ieņēmumi</w:t>
            </w:r>
          </w:p>
        </w:tc>
        <w:tc>
          <w:tcPr>
            <w:tcW w:w="1125" w:type="dxa"/>
            <w:hideMark/>
          </w:tcPr>
          <w:p w14:paraId="0875E14E"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p>
        </w:tc>
        <w:tc>
          <w:tcPr>
            <w:tcW w:w="1143" w:type="dxa"/>
          </w:tcPr>
          <w:p w14:paraId="2D513066" w14:textId="12E82108"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2 396,9</w:t>
            </w:r>
          </w:p>
        </w:tc>
        <w:tc>
          <w:tcPr>
            <w:tcW w:w="861" w:type="dxa"/>
          </w:tcPr>
          <w:p w14:paraId="1EBA8256" w14:textId="559207CB"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5,9</w:t>
            </w:r>
          </w:p>
        </w:tc>
        <w:tc>
          <w:tcPr>
            <w:tcW w:w="708" w:type="dxa"/>
          </w:tcPr>
          <w:p w14:paraId="7426E971" w14:textId="1D3F63ED"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6,4</w:t>
            </w:r>
          </w:p>
        </w:tc>
        <w:tc>
          <w:tcPr>
            <w:tcW w:w="709" w:type="dxa"/>
          </w:tcPr>
          <w:p w14:paraId="13D689D7" w14:textId="462AB25D"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6,3</w:t>
            </w:r>
          </w:p>
        </w:tc>
        <w:tc>
          <w:tcPr>
            <w:tcW w:w="709" w:type="dxa"/>
          </w:tcPr>
          <w:p w14:paraId="2872C543" w14:textId="5974897C"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5,9</w:t>
            </w:r>
          </w:p>
        </w:tc>
        <w:tc>
          <w:tcPr>
            <w:tcW w:w="709" w:type="dxa"/>
          </w:tcPr>
          <w:p w14:paraId="5606721B" w14:textId="1E0DCC11"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5,2</w:t>
            </w:r>
          </w:p>
        </w:tc>
        <w:tc>
          <w:tcPr>
            <w:tcW w:w="709" w:type="dxa"/>
          </w:tcPr>
          <w:p w14:paraId="571287E9" w14:textId="125A7AAD"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41E7C">
              <w:rPr>
                <w:rFonts w:cs="Times New Roman"/>
                <w:color w:val="auto"/>
                <w:sz w:val="18"/>
                <w:szCs w:val="18"/>
              </w:rPr>
              <w:t>4,7</w:t>
            </w:r>
          </w:p>
        </w:tc>
      </w:tr>
      <w:tr w:rsidR="00551502" w:rsidRPr="006856C6" w14:paraId="7E87EB05" w14:textId="7CF4D52D" w:rsidTr="00551502">
        <w:trPr>
          <w:trHeight w:val="273"/>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4F748E79" w14:textId="77777777" w:rsidR="00551502" w:rsidRPr="006856C6" w:rsidRDefault="00551502" w:rsidP="00551502">
            <w:pPr>
              <w:ind w:firstLine="0"/>
              <w:rPr>
                <w:rFonts w:cs="Times New Roman"/>
                <w:color w:val="000000" w:themeColor="text1"/>
                <w:sz w:val="18"/>
                <w:szCs w:val="18"/>
                <w:lang w:eastAsia="lv-LV"/>
              </w:rPr>
            </w:pPr>
            <w:r w:rsidRPr="006856C6">
              <w:rPr>
                <w:rFonts w:cs="Times New Roman"/>
                <w:color w:val="000000" w:themeColor="text1"/>
                <w:sz w:val="18"/>
                <w:szCs w:val="18"/>
                <w:lang w:eastAsia="lv-LV"/>
              </w:rPr>
              <w:t>16. Kopējie ieņēmumi</w:t>
            </w:r>
          </w:p>
        </w:tc>
        <w:tc>
          <w:tcPr>
            <w:tcW w:w="1125" w:type="dxa"/>
            <w:hideMark/>
          </w:tcPr>
          <w:p w14:paraId="458A9D2F"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41E7C">
              <w:rPr>
                <w:rFonts w:cs="Times New Roman"/>
                <w:bCs/>
                <w:color w:val="000000" w:themeColor="text1"/>
                <w:sz w:val="18"/>
                <w:szCs w:val="18"/>
                <w:lang w:eastAsia="lv-LV"/>
              </w:rPr>
              <w:t>TR</w:t>
            </w:r>
          </w:p>
        </w:tc>
        <w:tc>
          <w:tcPr>
            <w:tcW w:w="1143" w:type="dxa"/>
          </w:tcPr>
          <w:p w14:paraId="71BCFD1F" w14:textId="6EE90CBA"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15 941,0</w:t>
            </w:r>
          </w:p>
        </w:tc>
        <w:tc>
          <w:tcPr>
            <w:tcW w:w="861" w:type="dxa"/>
          </w:tcPr>
          <w:p w14:paraId="7A47816C" w14:textId="1F759DF4"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39,5</w:t>
            </w:r>
          </w:p>
        </w:tc>
        <w:tc>
          <w:tcPr>
            <w:tcW w:w="708" w:type="dxa"/>
          </w:tcPr>
          <w:p w14:paraId="243D137B" w14:textId="7AFF1F26"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41,3</w:t>
            </w:r>
          </w:p>
        </w:tc>
        <w:tc>
          <w:tcPr>
            <w:tcW w:w="709" w:type="dxa"/>
          </w:tcPr>
          <w:p w14:paraId="56212A47" w14:textId="4311AF83"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40,3</w:t>
            </w:r>
          </w:p>
        </w:tc>
        <w:tc>
          <w:tcPr>
            <w:tcW w:w="709" w:type="dxa"/>
          </w:tcPr>
          <w:p w14:paraId="515FC267" w14:textId="0D532564"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39,8</w:t>
            </w:r>
          </w:p>
        </w:tc>
        <w:tc>
          <w:tcPr>
            <w:tcW w:w="709" w:type="dxa"/>
          </w:tcPr>
          <w:p w14:paraId="61B1D6BD" w14:textId="03F2AED5"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38,9</w:t>
            </w:r>
          </w:p>
        </w:tc>
        <w:tc>
          <w:tcPr>
            <w:tcW w:w="709" w:type="dxa"/>
          </w:tcPr>
          <w:p w14:paraId="57A30FE4" w14:textId="1029C533"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41E7C">
              <w:rPr>
                <w:rFonts w:cs="Times New Roman"/>
                <w:color w:val="auto"/>
                <w:sz w:val="18"/>
                <w:szCs w:val="18"/>
              </w:rPr>
              <w:t>38,2</w:t>
            </w:r>
          </w:p>
        </w:tc>
      </w:tr>
      <w:tr w:rsidR="00551502" w:rsidRPr="006856C6" w14:paraId="19A33696" w14:textId="25A57113" w:rsidTr="00551502">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3F502144" w14:textId="77777777" w:rsidR="00551502" w:rsidRPr="006856C6" w:rsidRDefault="00551502" w:rsidP="00551502">
            <w:pPr>
              <w:ind w:firstLine="0"/>
              <w:rPr>
                <w:rFonts w:cs="Times New Roman"/>
                <w:color w:val="000000" w:themeColor="text1"/>
                <w:sz w:val="18"/>
                <w:szCs w:val="18"/>
                <w:lang w:eastAsia="lv-LV"/>
              </w:rPr>
            </w:pPr>
            <w:r w:rsidRPr="006856C6">
              <w:rPr>
                <w:rFonts w:cs="Times New Roman"/>
                <w:color w:val="000000" w:themeColor="text1"/>
                <w:sz w:val="18"/>
                <w:szCs w:val="18"/>
                <w:lang w:eastAsia="lv-LV"/>
              </w:rPr>
              <w:t>Nodokļu slogs (D.2</w:t>
            </w:r>
            <w:r w:rsidRPr="006856C6">
              <w:rPr>
                <w:rFonts w:cs="Times New Roman"/>
                <w:b w:val="0"/>
                <w:bCs w:val="0"/>
                <w:color w:val="000000" w:themeColor="text1"/>
                <w:sz w:val="18"/>
                <w:szCs w:val="18"/>
                <w:vertAlign w:val="superscript"/>
                <w:lang w:eastAsia="lv-LV"/>
              </w:rPr>
              <w:footnoteReference w:id="28"/>
            </w:r>
            <w:r w:rsidRPr="006856C6">
              <w:rPr>
                <w:rFonts w:cs="Times New Roman"/>
                <w:color w:val="000000" w:themeColor="text1"/>
                <w:sz w:val="18"/>
                <w:szCs w:val="18"/>
                <w:lang w:eastAsia="lv-LV"/>
              </w:rPr>
              <w:t>+D.5+D.61+D.91-D.995)</w:t>
            </w:r>
          </w:p>
        </w:tc>
        <w:tc>
          <w:tcPr>
            <w:tcW w:w="1125" w:type="dxa"/>
            <w:hideMark/>
          </w:tcPr>
          <w:p w14:paraId="001910B0"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p>
        </w:tc>
        <w:tc>
          <w:tcPr>
            <w:tcW w:w="1143" w:type="dxa"/>
          </w:tcPr>
          <w:p w14:paraId="5CA1E164" w14:textId="77BAE8AC"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13 052,0</w:t>
            </w:r>
          </w:p>
        </w:tc>
        <w:tc>
          <w:tcPr>
            <w:tcW w:w="861" w:type="dxa"/>
          </w:tcPr>
          <w:p w14:paraId="49508EAC" w14:textId="4EAF5E72"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32,3</w:t>
            </w:r>
          </w:p>
        </w:tc>
        <w:tc>
          <w:tcPr>
            <w:tcW w:w="708" w:type="dxa"/>
          </w:tcPr>
          <w:p w14:paraId="327E3FB1" w14:textId="48F74B3E"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33,7</w:t>
            </w:r>
          </w:p>
        </w:tc>
        <w:tc>
          <w:tcPr>
            <w:tcW w:w="709" w:type="dxa"/>
          </w:tcPr>
          <w:p w14:paraId="305E2FA9" w14:textId="0BDEA5C8"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33,4</w:t>
            </w:r>
          </w:p>
        </w:tc>
        <w:tc>
          <w:tcPr>
            <w:tcW w:w="709" w:type="dxa"/>
          </w:tcPr>
          <w:p w14:paraId="28572F60" w14:textId="1C088F89"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33,4</w:t>
            </w:r>
          </w:p>
        </w:tc>
        <w:tc>
          <w:tcPr>
            <w:tcW w:w="709" w:type="dxa"/>
          </w:tcPr>
          <w:p w14:paraId="33C14C91" w14:textId="6ABA329B"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33,2</w:t>
            </w:r>
          </w:p>
        </w:tc>
        <w:tc>
          <w:tcPr>
            <w:tcW w:w="709" w:type="dxa"/>
          </w:tcPr>
          <w:p w14:paraId="56EFB82C" w14:textId="04346650"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41E7C">
              <w:rPr>
                <w:rFonts w:cs="Times New Roman"/>
                <w:color w:val="auto"/>
                <w:sz w:val="18"/>
                <w:szCs w:val="18"/>
              </w:rPr>
              <w:t>33,0</w:t>
            </w:r>
          </w:p>
        </w:tc>
      </w:tr>
      <w:tr w:rsidR="00551502" w:rsidRPr="0091078B" w14:paraId="34AE0D4D" w14:textId="5F22DAD2" w:rsidTr="00551502">
        <w:trPr>
          <w:trHeight w:val="319"/>
          <w:jc w:val="center"/>
        </w:trPr>
        <w:tc>
          <w:tcPr>
            <w:cnfStyle w:val="001000000000" w:firstRow="0" w:lastRow="0" w:firstColumn="1" w:lastColumn="0" w:oddVBand="0" w:evenVBand="0" w:oddHBand="0" w:evenHBand="0" w:firstRowFirstColumn="0" w:firstRowLastColumn="0" w:lastRowFirstColumn="0" w:lastRowLastColumn="0"/>
            <w:tcW w:w="9938" w:type="dxa"/>
            <w:gridSpan w:val="9"/>
            <w:hideMark/>
          </w:tcPr>
          <w:p w14:paraId="57319583" w14:textId="7796D193" w:rsidR="00551502" w:rsidRPr="00541E7C" w:rsidRDefault="00551502" w:rsidP="00551502">
            <w:pPr>
              <w:ind w:firstLine="0"/>
              <w:jc w:val="center"/>
              <w:rPr>
                <w:rFonts w:cs="Times New Roman"/>
                <w:b w:val="0"/>
                <w:bCs w:val="0"/>
                <w:color w:val="auto"/>
                <w:sz w:val="18"/>
                <w:szCs w:val="18"/>
              </w:rPr>
            </w:pPr>
            <w:r w:rsidRPr="00541E7C">
              <w:rPr>
                <w:rFonts w:cs="Times New Roman"/>
                <w:color w:val="000000" w:themeColor="text1"/>
                <w:sz w:val="18"/>
                <w:szCs w:val="18"/>
                <w:lang w:eastAsia="lv-LV"/>
              </w:rPr>
              <w:t>Izdevumu sadaļas</w:t>
            </w:r>
          </w:p>
        </w:tc>
      </w:tr>
      <w:tr w:rsidR="00D31DED" w:rsidRPr="0091078B" w14:paraId="5BEEB66C" w14:textId="77777777" w:rsidTr="00D31DED">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3265" w:type="dxa"/>
          </w:tcPr>
          <w:p w14:paraId="13CACB47" w14:textId="07006B0D" w:rsidR="00D31DED" w:rsidRPr="008D10A8" w:rsidRDefault="00D31DED" w:rsidP="00D31DED">
            <w:pPr>
              <w:ind w:firstLine="0"/>
              <w:jc w:val="left"/>
              <w:rPr>
                <w:rFonts w:cs="Times New Roman"/>
                <w:sz w:val="18"/>
                <w:szCs w:val="18"/>
                <w:lang w:eastAsia="lv-LV"/>
              </w:rPr>
            </w:pPr>
            <w:r w:rsidRPr="008D10A8">
              <w:rPr>
                <w:rFonts w:cs="Times New Roman"/>
                <w:color w:val="auto"/>
                <w:sz w:val="18"/>
                <w:szCs w:val="18"/>
                <w:lang w:eastAsia="lv-LV"/>
              </w:rPr>
              <w:t>17.</w:t>
            </w:r>
            <w:r>
              <w:rPr>
                <w:rFonts w:cs="Times New Roman"/>
                <w:color w:val="auto"/>
                <w:sz w:val="18"/>
                <w:szCs w:val="18"/>
                <w:lang w:eastAsia="lv-LV"/>
              </w:rPr>
              <w:t xml:space="preserve"> </w:t>
            </w:r>
            <w:r w:rsidRPr="008D10A8">
              <w:rPr>
                <w:rFonts w:cs="Times New Roman"/>
                <w:color w:val="auto"/>
                <w:sz w:val="18"/>
                <w:szCs w:val="18"/>
                <w:lang w:eastAsia="lv-LV"/>
              </w:rPr>
              <w:t>Atlīdzība nodarbinātajiem un starppatēriņš</w:t>
            </w:r>
          </w:p>
        </w:tc>
        <w:tc>
          <w:tcPr>
            <w:tcW w:w="1125" w:type="dxa"/>
          </w:tcPr>
          <w:p w14:paraId="65E52F25" w14:textId="0140FECD" w:rsidR="00D31DED" w:rsidRPr="00541E7C" w:rsidRDefault="00D31DED" w:rsidP="00D31DED">
            <w:pPr>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eastAsia="lv-LV"/>
              </w:rPr>
            </w:pPr>
            <w:r w:rsidRPr="00541E7C">
              <w:rPr>
                <w:rFonts w:cs="Times New Roman"/>
                <w:color w:val="auto"/>
                <w:sz w:val="18"/>
                <w:szCs w:val="18"/>
                <w:lang w:eastAsia="lv-LV"/>
              </w:rPr>
              <w:t>D.1+P.2</w:t>
            </w:r>
          </w:p>
        </w:tc>
        <w:tc>
          <w:tcPr>
            <w:tcW w:w="1143" w:type="dxa"/>
          </w:tcPr>
          <w:p w14:paraId="244E7BCE" w14:textId="71FF9800" w:rsidR="00D31DED" w:rsidRPr="00541E7C" w:rsidRDefault="00D31DED" w:rsidP="00D31DED">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541E7C">
              <w:rPr>
                <w:rFonts w:cs="Times New Roman"/>
                <w:color w:val="auto"/>
                <w:sz w:val="18"/>
                <w:szCs w:val="18"/>
              </w:rPr>
              <w:t>7 266,4</w:t>
            </w:r>
          </w:p>
        </w:tc>
        <w:tc>
          <w:tcPr>
            <w:tcW w:w="861" w:type="dxa"/>
          </w:tcPr>
          <w:p w14:paraId="71F04DBF" w14:textId="6B995C2F" w:rsidR="00D31DED" w:rsidRPr="00541E7C" w:rsidRDefault="00D31DED" w:rsidP="00D31DED">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541E7C">
              <w:rPr>
                <w:rFonts w:cs="Times New Roman"/>
                <w:color w:val="auto"/>
                <w:sz w:val="18"/>
                <w:szCs w:val="18"/>
              </w:rPr>
              <w:t>18,0</w:t>
            </w:r>
          </w:p>
        </w:tc>
        <w:tc>
          <w:tcPr>
            <w:tcW w:w="708" w:type="dxa"/>
          </w:tcPr>
          <w:p w14:paraId="2AE39645" w14:textId="0E950BD8" w:rsidR="00D31DED" w:rsidRPr="00541E7C" w:rsidRDefault="00D31DED" w:rsidP="00D31DED">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541E7C">
              <w:rPr>
                <w:rFonts w:cs="Times New Roman"/>
                <w:color w:val="auto"/>
                <w:sz w:val="18"/>
                <w:szCs w:val="18"/>
              </w:rPr>
              <w:t>19,1</w:t>
            </w:r>
          </w:p>
        </w:tc>
        <w:tc>
          <w:tcPr>
            <w:tcW w:w="709" w:type="dxa"/>
            <w:vAlign w:val="center"/>
          </w:tcPr>
          <w:p w14:paraId="78088E89" w14:textId="3DCB9840" w:rsidR="00D31DED" w:rsidRPr="00541E7C" w:rsidRDefault="00D31DED" w:rsidP="00D31DED">
            <w:pPr>
              <w:spacing w:before="120" w:after="120"/>
              <w:ind w:firstLine="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541E7C">
              <w:rPr>
                <w:color w:val="auto"/>
                <w:sz w:val="20"/>
                <w:szCs w:val="20"/>
              </w:rPr>
              <w:t>18,3</w:t>
            </w:r>
          </w:p>
        </w:tc>
        <w:tc>
          <w:tcPr>
            <w:tcW w:w="709" w:type="dxa"/>
            <w:vAlign w:val="center"/>
          </w:tcPr>
          <w:p w14:paraId="7B5103D2" w14:textId="04A4F6CC" w:rsidR="00D31DED" w:rsidRPr="00541E7C" w:rsidRDefault="00D31DED" w:rsidP="00D31DED">
            <w:pPr>
              <w:spacing w:before="120" w:after="120"/>
              <w:ind w:firstLine="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541E7C">
              <w:rPr>
                <w:color w:val="auto"/>
                <w:sz w:val="20"/>
                <w:szCs w:val="20"/>
              </w:rPr>
              <w:t>18,0</w:t>
            </w:r>
          </w:p>
        </w:tc>
        <w:tc>
          <w:tcPr>
            <w:tcW w:w="709" w:type="dxa"/>
            <w:vAlign w:val="center"/>
          </w:tcPr>
          <w:p w14:paraId="6E0C7869" w14:textId="5E53ADA3" w:rsidR="00D31DED" w:rsidRPr="00541E7C" w:rsidRDefault="00D31DED" w:rsidP="00D31DED">
            <w:pPr>
              <w:spacing w:before="120" w:after="120"/>
              <w:ind w:firstLine="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541E7C">
              <w:rPr>
                <w:color w:val="auto"/>
                <w:sz w:val="20"/>
                <w:szCs w:val="20"/>
              </w:rPr>
              <w:t>17,6</w:t>
            </w:r>
          </w:p>
        </w:tc>
        <w:tc>
          <w:tcPr>
            <w:tcW w:w="709" w:type="dxa"/>
            <w:vAlign w:val="center"/>
          </w:tcPr>
          <w:p w14:paraId="6F744E5A" w14:textId="6D863D1A" w:rsidR="00D31DED" w:rsidRPr="00541E7C" w:rsidRDefault="00D31DED" w:rsidP="00D31DED">
            <w:pPr>
              <w:spacing w:before="120" w:after="120"/>
              <w:ind w:firstLine="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541E7C">
              <w:rPr>
                <w:color w:val="auto"/>
                <w:sz w:val="20"/>
                <w:szCs w:val="20"/>
              </w:rPr>
              <w:t>17,1</w:t>
            </w:r>
          </w:p>
        </w:tc>
      </w:tr>
      <w:tr w:rsidR="00D31DED" w:rsidRPr="0091078B" w14:paraId="7C6E914B" w14:textId="244199A9" w:rsidTr="00D31DED">
        <w:trPr>
          <w:trHeight w:val="121"/>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144113E6" w14:textId="77777777" w:rsidR="00D31DED" w:rsidRPr="008D10A8" w:rsidRDefault="00D31DED" w:rsidP="00D31DED">
            <w:pPr>
              <w:ind w:firstLine="0"/>
              <w:rPr>
                <w:rFonts w:cs="Times New Roman"/>
                <w:color w:val="auto"/>
                <w:sz w:val="18"/>
                <w:szCs w:val="18"/>
                <w:lang w:eastAsia="lv-LV"/>
              </w:rPr>
            </w:pPr>
            <w:r w:rsidRPr="008D10A8">
              <w:rPr>
                <w:rFonts w:cs="Times New Roman"/>
                <w:color w:val="auto"/>
                <w:sz w:val="18"/>
                <w:szCs w:val="18"/>
                <w:lang w:eastAsia="lv-LV"/>
              </w:rPr>
              <w:t>17a. Atlīdzība nodarbinātajiem</w:t>
            </w:r>
          </w:p>
        </w:tc>
        <w:tc>
          <w:tcPr>
            <w:tcW w:w="1125" w:type="dxa"/>
            <w:hideMark/>
          </w:tcPr>
          <w:p w14:paraId="1FA518A0" w14:textId="77777777"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D.1</w:t>
            </w:r>
          </w:p>
        </w:tc>
        <w:tc>
          <w:tcPr>
            <w:tcW w:w="1143" w:type="dxa"/>
          </w:tcPr>
          <w:p w14:paraId="1BAE8333" w14:textId="06CAD2B8"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4 603,0</w:t>
            </w:r>
          </w:p>
        </w:tc>
        <w:tc>
          <w:tcPr>
            <w:tcW w:w="861" w:type="dxa"/>
          </w:tcPr>
          <w:p w14:paraId="10EC0389" w14:textId="345EA057"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11,4</w:t>
            </w:r>
          </w:p>
        </w:tc>
        <w:tc>
          <w:tcPr>
            <w:tcW w:w="708" w:type="dxa"/>
          </w:tcPr>
          <w:p w14:paraId="49506799" w14:textId="24330EA4"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12,5</w:t>
            </w:r>
          </w:p>
        </w:tc>
        <w:tc>
          <w:tcPr>
            <w:tcW w:w="709" w:type="dxa"/>
            <w:vAlign w:val="center"/>
          </w:tcPr>
          <w:p w14:paraId="2CA347B4" w14:textId="0F1A639A"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lv-LV"/>
              </w:rPr>
            </w:pPr>
            <w:r w:rsidRPr="00541E7C">
              <w:rPr>
                <w:color w:val="auto"/>
                <w:sz w:val="20"/>
                <w:szCs w:val="20"/>
              </w:rPr>
              <w:t>12,0</w:t>
            </w:r>
          </w:p>
        </w:tc>
        <w:tc>
          <w:tcPr>
            <w:tcW w:w="709" w:type="dxa"/>
            <w:vAlign w:val="center"/>
          </w:tcPr>
          <w:p w14:paraId="0F02862E" w14:textId="7DDBFFB8"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lv-LV"/>
              </w:rPr>
            </w:pPr>
            <w:r w:rsidRPr="00541E7C">
              <w:rPr>
                <w:color w:val="auto"/>
                <w:sz w:val="20"/>
                <w:szCs w:val="20"/>
              </w:rPr>
              <w:t>11,8</w:t>
            </w:r>
          </w:p>
        </w:tc>
        <w:tc>
          <w:tcPr>
            <w:tcW w:w="709" w:type="dxa"/>
            <w:vAlign w:val="center"/>
          </w:tcPr>
          <w:p w14:paraId="6EE2589E" w14:textId="79635839"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lv-LV"/>
              </w:rPr>
            </w:pPr>
            <w:r w:rsidRPr="00541E7C">
              <w:rPr>
                <w:color w:val="auto"/>
                <w:sz w:val="20"/>
                <w:szCs w:val="20"/>
              </w:rPr>
              <w:t>11,3</w:t>
            </w:r>
          </w:p>
        </w:tc>
        <w:tc>
          <w:tcPr>
            <w:tcW w:w="709" w:type="dxa"/>
            <w:vAlign w:val="center"/>
          </w:tcPr>
          <w:p w14:paraId="03B09E6C" w14:textId="721E05E8"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41E7C">
              <w:rPr>
                <w:color w:val="auto"/>
                <w:sz w:val="20"/>
                <w:szCs w:val="20"/>
              </w:rPr>
              <w:t>11,1</w:t>
            </w:r>
          </w:p>
        </w:tc>
      </w:tr>
      <w:tr w:rsidR="00D31DED" w:rsidRPr="0091078B" w14:paraId="1999B07B" w14:textId="29BA474A" w:rsidTr="00D31DED">
        <w:trPr>
          <w:cnfStyle w:val="000000100000" w:firstRow="0" w:lastRow="0" w:firstColumn="0" w:lastColumn="0" w:oddVBand="0" w:evenVBand="0" w:oddHBand="1"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38C8D9AA" w14:textId="77777777" w:rsidR="00D31DED" w:rsidRPr="008D10A8" w:rsidRDefault="00D31DED" w:rsidP="00D31DED">
            <w:pPr>
              <w:ind w:firstLine="0"/>
              <w:rPr>
                <w:rFonts w:cs="Times New Roman"/>
                <w:color w:val="auto"/>
                <w:sz w:val="18"/>
                <w:szCs w:val="18"/>
                <w:lang w:eastAsia="lv-LV"/>
              </w:rPr>
            </w:pPr>
            <w:r w:rsidRPr="008D10A8">
              <w:rPr>
                <w:rFonts w:cs="Times New Roman"/>
                <w:color w:val="auto"/>
                <w:sz w:val="18"/>
                <w:szCs w:val="18"/>
                <w:lang w:eastAsia="lv-LV"/>
              </w:rPr>
              <w:t>17b. Starppatēriņš</w:t>
            </w:r>
          </w:p>
        </w:tc>
        <w:tc>
          <w:tcPr>
            <w:tcW w:w="1125" w:type="dxa"/>
            <w:hideMark/>
          </w:tcPr>
          <w:p w14:paraId="0C532C7F" w14:textId="77777777" w:rsidR="00D31DED" w:rsidRPr="00541E7C" w:rsidRDefault="00D31DED" w:rsidP="00D31DED">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P.2</w:t>
            </w:r>
          </w:p>
        </w:tc>
        <w:tc>
          <w:tcPr>
            <w:tcW w:w="1143" w:type="dxa"/>
          </w:tcPr>
          <w:p w14:paraId="6DDEC087" w14:textId="7B4568BF" w:rsidR="00D31DED" w:rsidRPr="00541E7C" w:rsidRDefault="00D31DED" w:rsidP="00D31DED">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2 663,4</w:t>
            </w:r>
          </w:p>
        </w:tc>
        <w:tc>
          <w:tcPr>
            <w:tcW w:w="861" w:type="dxa"/>
          </w:tcPr>
          <w:p w14:paraId="158CE452" w14:textId="4653BB54" w:rsidR="00D31DED" w:rsidRPr="00541E7C" w:rsidRDefault="00D31DED" w:rsidP="00D31DED">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6,6</w:t>
            </w:r>
          </w:p>
        </w:tc>
        <w:tc>
          <w:tcPr>
            <w:tcW w:w="708" w:type="dxa"/>
          </w:tcPr>
          <w:p w14:paraId="591FD935" w14:textId="48B38CFF" w:rsidR="00D31DED" w:rsidRPr="00541E7C" w:rsidRDefault="00D31DED" w:rsidP="00D31DED">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6,5</w:t>
            </w:r>
          </w:p>
        </w:tc>
        <w:tc>
          <w:tcPr>
            <w:tcW w:w="709" w:type="dxa"/>
            <w:vAlign w:val="center"/>
          </w:tcPr>
          <w:p w14:paraId="35DCA1AB" w14:textId="113083A9" w:rsidR="00D31DED" w:rsidRPr="00541E7C" w:rsidRDefault="00D31DED" w:rsidP="00D31DED">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lv-LV"/>
              </w:rPr>
            </w:pPr>
            <w:r w:rsidRPr="00541E7C">
              <w:rPr>
                <w:color w:val="auto"/>
                <w:sz w:val="20"/>
                <w:szCs w:val="20"/>
              </w:rPr>
              <w:t>6,3</w:t>
            </w:r>
          </w:p>
        </w:tc>
        <w:tc>
          <w:tcPr>
            <w:tcW w:w="709" w:type="dxa"/>
            <w:vAlign w:val="center"/>
          </w:tcPr>
          <w:p w14:paraId="6C32E7AC" w14:textId="28267767" w:rsidR="00D31DED" w:rsidRPr="00541E7C" w:rsidRDefault="00D31DED" w:rsidP="00D31DED">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lv-LV"/>
              </w:rPr>
            </w:pPr>
            <w:r w:rsidRPr="00541E7C">
              <w:rPr>
                <w:color w:val="auto"/>
                <w:sz w:val="20"/>
                <w:szCs w:val="20"/>
              </w:rPr>
              <w:t>6,3</w:t>
            </w:r>
          </w:p>
        </w:tc>
        <w:tc>
          <w:tcPr>
            <w:tcW w:w="709" w:type="dxa"/>
            <w:vAlign w:val="center"/>
          </w:tcPr>
          <w:p w14:paraId="77EEA76B" w14:textId="5A8F9D2D" w:rsidR="00D31DED" w:rsidRPr="00541E7C" w:rsidRDefault="00D31DED" w:rsidP="00D31DED">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lv-LV"/>
              </w:rPr>
            </w:pPr>
            <w:r w:rsidRPr="00541E7C">
              <w:rPr>
                <w:color w:val="auto"/>
                <w:sz w:val="20"/>
                <w:szCs w:val="20"/>
              </w:rPr>
              <w:t>6,3</w:t>
            </w:r>
          </w:p>
        </w:tc>
        <w:tc>
          <w:tcPr>
            <w:tcW w:w="709" w:type="dxa"/>
            <w:vAlign w:val="center"/>
          </w:tcPr>
          <w:p w14:paraId="6A4DA23E" w14:textId="1FA11246" w:rsidR="00D31DED" w:rsidRPr="00541E7C" w:rsidRDefault="00D31DED" w:rsidP="00D31DED">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szCs w:val="20"/>
              </w:rPr>
            </w:pPr>
            <w:r w:rsidRPr="00541E7C">
              <w:rPr>
                <w:color w:val="auto"/>
                <w:sz w:val="20"/>
                <w:szCs w:val="20"/>
              </w:rPr>
              <w:t>6,0</w:t>
            </w:r>
          </w:p>
        </w:tc>
      </w:tr>
      <w:tr w:rsidR="00D31DED" w:rsidRPr="0091078B" w14:paraId="1EB45BD7" w14:textId="3F5625DA" w:rsidTr="00D31DED">
        <w:trPr>
          <w:trHeight w:val="231"/>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381414DC" w14:textId="77777777" w:rsidR="00D31DED" w:rsidRPr="008D10A8" w:rsidRDefault="00D31DED" w:rsidP="00D31DED">
            <w:pPr>
              <w:ind w:firstLine="0"/>
              <w:rPr>
                <w:rFonts w:cs="Times New Roman"/>
                <w:color w:val="auto"/>
                <w:sz w:val="18"/>
                <w:szCs w:val="18"/>
                <w:lang w:eastAsia="lv-LV"/>
              </w:rPr>
            </w:pPr>
            <w:r w:rsidRPr="008D10A8">
              <w:rPr>
                <w:rFonts w:cs="Times New Roman"/>
                <w:color w:val="auto"/>
                <w:sz w:val="18"/>
                <w:szCs w:val="18"/>
                <w:lang w:eastAsia="lv-LV"/>
              </w:rPr>
              <w:t>18. Sociālie maksājumi (18=18a+18b)</w:t>
            </w:r>
          </w:p>
        </w:tc>
        <w:tc>
          <w:tcPr>
            <w:tcW w:w="1125" w:type="dxa"/>
            <w:hideMark/>
          </w:tcPr>
          <w:p w14:paraId="7570FBE8" w14:textId="77777777"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lang w:eastAsia="lv-LV"/>
              </w:rPr>
            </w:pPr>
          </w:p>
        </w:tc>
        <w:tc>
          <w:tcPr>
            <w:tcW w:w="1143" w:type="dxa"/>
          </w:tcPr>
          <w:p w14:paraId="0A7CF822" w14:textId="43B1A3AC"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5 384,5</w:t>
            </w:r>
          </w:p>
        </w:tc>
        <w:tc>
          <w:tcPr>
            <w:tcW w:w="861" w:type="dxa"/>
          </w:tcPr>
          <w:p w14:paraId="7747E5C6" w14:textId="1AABF41B"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13,3</w:t>
            </w:r>
          </w:p>
        </w:tc>
        <w:tc>
          <w:tcPr>
            <w:tcW w:w="708" w:type="dxa"/>
          </w:tcPr>
          <w:p w14:paraId="1C46CA54" w14:textId="5E8AE3B9"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13,6</w:t>
            </w:r>
          </w:p>
        </w:tc>
        <w:tc>
          <w:tcPr>
            <w:tcW w:w="709" w:type="dxa"/>
            <w:vAlign w:val="center"/>
          </w:tcPr>
          <w:p w14:paraId="62CCB37B" w14:textId="1454673D"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lv-LV"/>
              </w:rPr>
            </w:pPr>
            <w:r w:rsidRPr="00541E7C">
              <w:rPr>
                <w:color w:val="auto"/>
                <w:sz w:val="20"/>
                <w:szCs w:val="20"/>
              </w:rPr>
              <w:t>13,1</w:t>
            </w:r>
          </w:p>
        </w:tc>
        <w:tc>
          <w:tcPr>
            <w:tcW w:w="709" w:type="dxa"/>
            <w:vAlign w:val="center"/>
          </w:tcPr>
          <w:p w14:paraId="620E7403" w14:textId="4E3770EF"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lv-LV"/>
              </w:rPr>
            </w:pPr>
            <w:r w:rsidRPr="00541E7C">
              <w:rPr>
                <w:color w:val="auto"/>
                <w:sz w:val="20"/>
                <w:szCs w:val="20"/>
              </w:rPr>
              <w:t>13,5</w:t>
            </w:r>
          </w:p>
        </w:tc>
        <w:tc>
          <w:tcPr>
            <w:tcW w:w="709" w:type="dxa"/>
            <w:vAlign w:val="center"/>
          </w:tcPr>
          <w:p w14:paraId="5F857A5E" w14:textId="1B11FB4C"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eastAsia="lv-LV"/>
              </w:rPr>
            </w:pPr>
            <w:r w:rsidRPr="00541E7C">
              <w:rPr>
                <w:color w:val="auto"/>
                <w:sz w:val="20"/>
                <w:szCs w:val="20"/>
              </w:rPr>
              <w:t>13,5</w:t>
            </w:r>
          </w:p>
        </w:tc>
        <w:tc>
          <w:tcPr>
            <w:tcW w:w="709" w:type="dxa"/>
            <w:vAlign w:val="center"/>
          </w:tcPr>
          <w:p w14:paraId="66F6E34D" w14:textId="5536EE2D" w:rsidR="00D31DED"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szCs w:val="20"/>
              </w:rPr>
            </w:pPr>
            <w:r w:rsidRPr="00541E7C">
              <w:rPr>
                <w:color w:val="auto"/>
                <w:sz w:val="20"/>
                <w:szCs w:val="20"/>
              </w:rPr>
              <w:t>13,5</w:t>
            </w:r>
          </w:p>
        </w:tc>
      </w:tr>
      <w:tr w:rsidR="00551502" w:rsidRPr="0091078B" w14:paraId="2F26553B" w14:textId="287AE946" w:rsidTr="00551502">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08340BF8" w14:textId="77777777" w:rsidR="00551502" w:rsidRPr="008D10A8" w:rsidRDefault="00551502" w:rsidP="00551502">
            <w:pPr>
              <w:ind w:firstLine="0"/>
              <w:jc w:val="center"/>
              <w:rPr>
                <w:rFonts w:cs="Times New Roman"/>
                <w:color w:val="auto"/>
                <w:sz w:val="18"/>
                <w:szCs w:val="18"/>
                <w:lang w:eastAsia="lv-LV"/>
              </w:rPr>
            </w:pPr>
            <w:r w:rsidRPr="008D10A8">
              <w:rPr>
                <w:rFonts w:cs="Times New Roman"/>
                <w:color w:val="auto"/>
                <w:sz w:val="18"/>
                <w:szCs w:val="18"/>
                <w:lang w:eastAsia="lv-LV"/>
              </w:rPr>
              <w:t>tai skaitā bezdarbnieku pabalsti</w:t>
            </w:r>
          </w:p>
        </w:tc>
        <w:tc>
          <w:tcPr>
            <w:tcW w:w="1125" w:type="dxa"/>
            <w:hideMark/>
          </w:tcPr>
          <w:p w14:paraId="4FBBD9CC"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p>
        </w:tc>
        <w:tc>
          <w:tcPr>
            <w:tcW w:w="1143" w:type="dxa"/>
          </w:tcPr>
          <w:p w14:paraId="749F437E" w14:textId="1070E5AC"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159,2</w:t>
            </w:r>
          </w:p>
        </w:tc>
        <w:tc>
          <w:tcPr>
            <w:tcW w:w="861" w:type="dxa"/>
          </w:tcPr>
          <w:p w14:paraId="1CED378E" w14:textId="4B0FEE74"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0,4</w:t>
            </w:r>
          </w:p>
        </w:tc>
        <w:tc>
          <w:tcPr>
            <w:tcW w:w="708" w:type="dxa"/>
          </w:tcPr>
          <w:p w14:paraId="537902F3" w14:textId="353C0676"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0,4</w:t>
            </w:r>
          </w:p>
        </w:tc>
        <w:tc>
          <w:tcPr>
            <w:tcW w:w="709" w:type="dxa"/>
          </w:tcPr>
          <w:p w14:paraId="6472FF3D" w14:textId="12D31CE1"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0,4</w:t>
            </w:r>
          </w:p>
        </w:tc>
        <w:tc>
          <w:tcPr>
            <w:tcW w:w="709" w:type="dxa"/>
          </w:tcPr>
          <w:p w14:paraId="2AB6B4A2" w14:textId="672CA00C"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0,4</w:t>
            </w:r>
          </w:p>
        </w:tc>
        <w:tc>
          <w:tcPr>
            <w:tcW w:w="709" w:type="dxa"/>
          </w:tcPr>
          <w:p w14:paraId="3E3C6CCA" w14:textId="713CD84C"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0,4</w:t>
            </w:r>
          </w:p>
        </w:tc>
        <w:tc>
          <w:tcPr>
            <w:tcW w:w="709" w:type="dxa"/>
          </w:tcPr>
          <w:p w14:paraId="0E53F647" w14:textId="4642DFDC"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41E7C">
              <w:rPr>
                <w:rFonts w:cs="Times New Roman"/>
                <w:color w:val="auto"/>
                <w:sz w:val="18"/>
                <w:szCs w:val="18"/>
              </w:rPr>
              <w:t>0,4</w:t>
            </w:r>
          </w:p>
        </w:tc>
      </w:tr>
      <w:tr w:rsidR="00551502" w:rsidRPr="0091078B" w14:paraId="2427656A" w14:textId="461BBF16" w:rsidTr="00551502">
        <w:trPr>
          <w:trHeight w:val="441"/>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6CA075B9" w14:textId="77777777" w:rsidR="00551502" w:rsidRPr="008D10A8" w:rsidRDefault="00551502" w:rsidP="00551502">
            <w:pPr>
              <w:spacing w:before="120" w:after="120"/>
              <w:ind w:firstLine="170"/>
              <w:rPr>
                <w:rFonts w:cs="Times New Roman"/>
                <w:color w:val="auto"/>
                <w:sz w:val="18"/>
                <w:szCs w:val="18"/>
                <w:lang w:eastAsia="lv-LV"/>
              </w:rPr>
            </w:pPr>
            <w:r w:rsidRPr="008D10A8">
              <w:rPr>
                <w:rFonts w:cs="Times New Roman"/>
                <w:color w:val="auto"/>
                <w:sz w:val="18"/>
                <w:szCs w:val="18"/>
                <w:lang w:eastAsia="lv-LV"/>
              </w:rPr>
              <w:t>18a. Sociālie pārvedumi piegādāti caur tirgus ražotājiem</w:t>
            </w:r>
          </w:p>
        </w:tc>
        <w:tc>
          <w:tcPr>
            <w:tcW w:w="1125" w:type="dxa"/>
            <w:hideMark/>
          </w:tcPr>
          <w:p w14:paraId="62D12A5F"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D.6311, D.63121, D.63131</w:t>
            </w:r>
          </w:p>
        </w:tc>
        <w:tc>
          <w:tcPr>
            <w:tcW w:w="1143" w:type="dxa"/>
          </w:tcPr>
          <w:p w14:paraId="774D620A"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p>
          <w:p w14:paraId="0D537B92" w14:textId="1DCA5C8D"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551,9</w:t>
            </w:r>
          </w:p>
        </w:tc>
        <w:tc>
          <w:tcPr>
            <w:tcW w:w="861" w:type="dxa"/>
          </w:tcPr>
          <w:p w14:paraId="56B84995" w14:textId="69C38A29" w:rsidR="00551502" w:rsidRPr="00541E7C" w:rsidRDefault="00551502" w:rsidP="00551502">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1,4</w:t>
            </w:r>
          </w:p>
        </w:tc>
        <w:tc>
          <w:tcPr>
            <w:tcW w:w="708" w:type="dxa"/>
          </w:tcPr>
          <w:p w14:paraId="76EBC626" w14:textId="7FB40135" w:rsidR="00551502" w:rsidRPr="00541E7C" w:rsidRDefault="00551502" w:rsidP="00551502">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0,9</w:t>
            </w:r>
          </w:p>
        </w:tc>
        <w:tc>
          <w:tcPr>
            <w:tcW w:w="709" w:type="dxa"/>
          </w:tcPr>
          <w:p w14:paraId="4E1D84A8" w14:textId="231ECC58" w:rsidR="00551502" w:rsidRPr="00541E7C" w:rsidRDefault="00551502" w:rsidP="00551502">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0,9</w:t>
            </w:r>
          </w:p>
        </w:tc>
        <w:tc>
          <w:tcPr>
            <w:tcW w:w="709" w:type="dxa"/>
          </w:tcPr>
          <w:p w14:paraId="5D770DC0" w14:textId="54820AB7" w:rsidR="00551502" w:rsidRPr="00541E7C" w:rsidRDefault="00551502" w:rsidP="00551502">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0,8</w:t>
            </w:r>
          </w:p>
        </w:tc>
        <w:tc>
          <w:tcPr>
            <w:tcW w:w="709" w:type="dxa"/>
          </w:tcPr>
          <w:p w14:paraId="3B576E18" w14:textId="469FCC2F" w:rsidR="00551502" w:rsidRPr="00541E7C" w:rsidRDefault="00551502" w:rsidP="00551502">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0,8</w:t>
            </w:r>
          </w:p>
        </w:tc>
        <w:tc>
          <w:tcPr>
            <w:tcW w:w="709" w:type="dxa"/>
          </w:tcPr>
          <w:p w14:paraId="317E78CC" w14:textId="045539B4" w:rsidR="00551502" w:rsidRPr="00541E7C" w:rsidRDefault="00551502" w:rsidP="00551502">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41E7C">
              <w:rPr>
                <w:color w:val="auto"/>
                <w:sz w:val="18"/>
                <w:szCs w:val="18"/>
              </w:rPr>
              <w:t>0,8</w:t>
            </w:r>
          </w:p>
        </w:tc>
      </w:tr>
      <w:tr w:rsidR="00551502" w:rsidRPr="0091078B" w14:paraId="19C6BE89" w14:textId="5BED00BA" w:rsidTr="00551502">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166A4D0E" w14:textId="77777777" w:rsidR="00551502" w:rsidRPr="008D10A8" w:rsidRDefault="00551502" w:rsidP="00551502">
            <w:pPr>
              <w:ind w:firstLine="170"/>
              <w:rPr>
                <w:rFonts w:cs="Times New Roman"/>
                <w:color w:val="auto"/>
                <w:sz w:val="18"/>
                <w:szCs w:val="18"/>
                <w:lang w:eastAsia="lv-LV"/>
              </w:rPr>
            </w:pPr>
            <w:r w:rsidRPr="008D10A8">
              <w:rPr>
                <w:rFonts w:cs="Times New Roman"/>
                <w:color w:val="auto"/>
                <w:sz w:val="18"/>
                <w:szCs w:val="18"/>
                <w:lang w:eastAsia="lv-LV"/>
              </w:rPr>
              <w:t>18b. Sociālie pārvedumi, kas nav sociālie pārvedumi natūrā</w:t>
            </w:r>
          </w:p>
        </w:tc>
        <w:tc>
          <w:tcPr>
            <w:tcW w:w="1125" w:type="dxa"/>
            <w:hideMark/>
          </w:tcPr>
          <w:p w14:paraId="071AD8BF"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D.62</w:t>
            </w:r>
          </w:p>
        </w:tc>
        <w:tc>
          <w:tcPr>
            <w:tcW w:w="1143" w:type="dxa"/>
          </w:tcPr>
          <w:p w14:paraId="2BF9D5E1" w14:textId="725B568C"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4 832,6</w:t>
            </w:r>
          </w:p>
        </w:tc>
        <w:tc>
          <w:tcPr>
            <w:tcW w:w="861" w:type="dxa"/>
          </w:tcPr>
          <w:p w14:paraId="2A8EDEF3" w14:textId="10E0AB0B"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12,0</w:t>
            </w:r>
          </w:p>
        </w:tc>
        <w:tc>
          <w:tcPr>
            <w:tcW w:w="708" w:type="dxa"/>
          </w:tcPr>
          <w:p w14:paraId="460BCB52" w14:textId="20FD7014"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12,6</w:t>
            </w:r>
          </w:p>
        </w:tc>
        <w:tc>
          <w:tcPr>
            <w:tcW w:w="709" w:type="dxa"/>
          </w:tcPr>
          <w:p w14:paraId="4D83E7B9" w14:textId="1D9B1B18"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12,</w:t>
            </w:r>
            <w:r w:rsidR="00D31DED" w:rsidRPr="00541E7C">
              <w:rPr>
                <w:color w:val="auto"/>
                <w:sz w:val="18"/>
                <w:szCs w:val="18"/>
              </w:rPr>
              <w:t>2</w:t>
            </w:r>
          </w:p>
        </w:tc>
        <w:tc>
          <w:tcPr>
            <w:tcW w:w="709" w:type="dxa"/>
          </w:tcPr>
          <w:p w14:paraId="585D835D" w14:textId="3B5B54F9" w:rsidR="00551502" w:rsidRPr="00541E7C" w:rsidRDefault="00D31DED"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12,6</w:t>
            </w:r>
          </w:p>
        </w:tc>
        <w:tc>
          <w:tcPr>
            <w:tcW w:w="709" w:type="dxa"/>
          </w:tcPr>
          <w:p w14:paraId="16857ADA" w14:textId="6B40F5A9" w:rsidR="00551502" w:rsidRPr="00541E7C" w:rsidRDefault="00D31DED"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12,7</w:t>
            </w:r>
          </w:p>
        </w:tc>
        <w:tc>
          <w:tcPr>
            <w:tcW w:w="709" w:type="dxa"/>
          </w:tcPr>
          <w:p w14:paraId="2E41B883" w14:textId="1E04062D" w:rsidR="00551502" w:rsidRPr="00541E7C" w:rsidRDefault="00551502" w:rsidP="00551502">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41E7C">
              <w:rPr>
                <w:color w:val="auto"/>
                <w:sz w:val="18"/>
                <w:szCs w:val="18"/>
              </w:rPr>
              <w:t>12,</w:t>
            </w:r>
            <w:r w:rsidR="00D31DED" w:rsidRPr="00541E7C">
              <w:rPr>
                <w:color w:val="auto"/>
                <w:sz w:val="18"/>
                <w:szCs w:val="18"/>
              </w:rPr>
              <w:t>7</w:t>
            </w:r>
          </w:p>
        </w:tc>
      </w:tr>
      <w:tr w:rsidR="00551502" w:rsidRPr="0091078B" w14:paraId="04B94D34" w14:textId="2A50445F" w:rsidTr="00551502">
        <w:trPr>
          <w:trHeight w:val="141"/>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7888503A" w14:textId="77777777" w:rsidR="00551502" w:rsidRPr="008D10A8" w:rsidRDefault="00551502" w:rsidP="00551502">
            <w:pPr>
              <w:ind w:firstLine="0"/>
              <w:rPr>
                <w:rFonts w:cs="Times New Roman"/>
                <w:color w:val="auto"/>
                <w:sz w:val="18"/>
                <w:szCs w:val="18"/>
                <w:lang w:eastAsia="lv-LV"/>
              </w:rPr>
            </w:pPr>
            <w:r w:rsidRPr="008D10A8">
              <w:rPr>
                <w:rFonts w:cs="Times New Roman"/>
                <w:color w:val="auto"/>
                <w:sz w:val="18"/>
                <w:szCs w:val="18"/>
                <w:lang w:eastAsia="lv-LV"/>
              </w:rPr>
              <w:t>19.=9. Procentu izdevumi</w:t>
            </w:r>
          </w:p>
        </w:tc>
        <w:tc>
          <w:tcPr>
            <w:tcW w:w="1125" w:type="dxa"/>
            <w:hideMark/>
          </w:tcPr>
          <w:p w14:paraId="207AC5B2"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D.41</w:t>
            </w:r>
          </w:p>
        </w:tc>
        <w:tc>
          <w:tcPr>
            <w:tcW w:w="1143" w:type="dxa"/>
          </w:tcPr>
          <w:p w14:paraId="20FF04A0" w14:textId="67D02A02"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340,1</w:t>
            </w:r>
          </w:p>
        </w:tc>
        <w:tc>
          <w:tcPr>
            <w:tcW w:w="861" w:type="dxa"/>
          </w:tcPr>
          <w:p w14:paraId="7261221F" w14:textId="6D532E11"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0,8</w:t>
            </w:r>
          </w:p>
        </w:tc>
        <w:tc>
          <w:tcPr>
            <w:tcW w:w="708" w:type="dxa"/>
          </w:tcPr>
          <w:p w14:paraId="136701B7" w14:textId="4B284A8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1,0</w:t>
            </w:r>
          </w:p>
        </w:tc>
        <w:tc>
          <w:tcPr>
            <w:tcW w:w="709" w:type="dxa"/>
          </w:tcPr>
          <w:p w14:paraId="71B98618" w14:textId="54610570"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1,2</w:t>
            </w:r>
          </w:p>
        </w:tc>
        <w:tc>
          <w:tcPr>
            <w:tcW w:w="709" w:type="dxa"/>
          </w:tcPr>
          <w:p w14:paraId="755A44E5" w14:textId="7A8648E8"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1,3</w:t>
            </w:r>
          </w:p>
        </w:tc>
        <w:tc>
          <w:tcPr>
            <w:tcW w:w="709" w:type="dxa"/>
          </w:tcPr>
          <w:p w14:paraId="231200E6" w14:textId="1DE3A85B"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1,4</w:t>
            </w:r>
          </w:p>
        </w:tc>
        <w:tc>
          <w:tcPr>
            <w:tcW w:w="709" w:type="dxa"/>
          </w:tcPr>
          <w:p w14:paraId="645BAEA0" w14:textId="41BE680D"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41E7C">
              <w:rPr>
                <w:rFonts w:cs="Times New Roman"/>
                <w:color w:val="auto"/>
                <w:sz w:val="18"/>
                <w:szCs w:val="18"/>
              </w:rPr>
              <w:t>1,4</w:t>
            </w:r>
          </w:p>
        </w:tc>
      </w:tr>
      <w:tr w:rsidR="00551502" w:rsidRPr="0091078B" w14:paraId="29D05AAB" w14:textId="2C472038" w:rsidTr="00551502">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53D3689B" w14:textId="77777777" w:rsidR="00551502" w:rsidRPr="008D10A8" w:rsidRDefault="00551502" w:rsidP="00551502">
            <w:pPr>
              <w:ind w:firstLine="0"/>
              <w:rPr>
                <w:rFonts w:cs="Times New Roman"/>
                <w:color w:val="auto"/>
                <w:sz w:val="18"/>
                <w:szCs w:val="18"/>
                <w:lang w:eastAsia="lv-LV"/>
              </w:rPr>
            </w:pPr>
            <w:r w:rsidRPr="008D10A8">
              <w:rPr>
                <w:rFonts w:cs="Times New Roman"/>
                <w:color w:val="auto"/>
                <w:sz w:val="18"/>
                <w:szCs w:val="18"/>
                <w:lang w:eastAsia="lv-LV"/>
              </w:rPr>
              <w:t>20. Subsīdijas</w:t>
            </w:r>
          </w:p>
        </w:tc>
        <w:tc>
          <w:tcPr>
            <w:tcW w:w="1125" w:type="dxa"/>
            <w:hideMark/>
          </w:tcPr>
          <w:p w14:paraId="7060DC4B"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D.3</w:t>
            </w:r>
          </w:p>
        </w:tc>
        <w:tc>
          <w:tcPr>
            <w:tcW w:w="1143" w:type="dxa"/>
          </w:tcPr>
          <w:p w14:paraId="4EF02F38" w14:textId="6A3D738D"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525,7</w:t>
            </w:r>
          </w:p>
        </w:tc>
        <w:tc>
          <w:tcPr>
            <w:tcW w:w="861" w:type="dxa"/>
          </w:tcPr>
          <w:p w14:paraId="6F50487D" w14:textId="1C337369"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1,3</w:t>
            </w:r>
          </w:p>
        </w:tc>
        <w:tc>
          <w:tcPr>
            <w:tcW w:w="708" w:type="dxa"/>
          </w:tcPr>
          <w:p w14:paraId="75F9D8BF" w14:textId="1CB1E73E"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0,8</w:t>
            </w:r>
          </w:p>
        </w:tc>
        <w:tc>
          <w:tcPr>
            <w:tcW w:w="709" w:type="dxa"/>
          </w:tcPr>
          <w:p w14:paraId="0CFD029D" w14:textId="56457F1F"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0,8</w:t>
            </w:r>
          </w:p>
        </w:tc>
        <w:tc>
          <w:tcPr>
            <w:tcW w:w="709" w:type="dxa"/>
          </w:tcPr>
          <w:p w14:paraId="6159F1D0" w14:textId="56D2E305"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0,7</w:t>
            </w:r>
          </w:p>
        </w:tc>
        <w:tc>
          <w:tcPr>
            <w:tcW w:w="709" w:type="dxa"/>
          </w:tcPr>
          <w:p w14:paraId="529E9BEB" w14:textId="2F92DC36"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0,7</w:t>
            </w:r>
          </w:p>
        </w:tc>
        <w:tc>
          <w:tcPr>
            <w:tcW w:w="709" w:type="dxa"/>
          </w:tcPr>
          <w:p w14:paraId="3FABD3FE" w14:textId="76187BBF"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41E7C">
              <w:rPr>
                <w:color w:val="auto"/>
                <w:sz w:val="18"/>
                <w:szCs w:val="18"/>
              </w:rPr>
              <w:t>0,7</w:t>
            </w:r>
          </w:p>
        </w:tc>
      </w:tr>
      <w:tr w:rsidR="00551502" w:rsidRPr="0091078B" w14:paraId="5612C9AD" w14:textId="3DF09456" w:rsidTr="00D31DED">
        <w:trPr>
          <w:trHeight w:val="193"/>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393312DC" w14:textId="7DC512E0" w:rsidR="00551502" w:rsidRPr="008D10A8" w:rsidRDefault="00551502" w:rsidP="00551502">
            <w:pPr>
              <w:ind w:firstLine="0"/>
              <w:jc w:val="left"/>
              <w:rPr>
                <w:rFonts w:cs="Times New Roman"/>
                <w:color w:val="auto"/>
                <w:sz w:val="18"/>
                <w:szCs w:val="18"/>
                <w:lang w:eastAsia="lv-LV"/>
              </w:rPr>
            </w:pPr>
            <w:r w:rsidRPr="008D10A8">
              <w:rPr>
                <w:rFonts w:cs="Times New Roman"/>
                <w:color w:val="auto"/>
                <w:sz w:val="18"/>
                <w:szCs w:val="18"/>
                <w:lang w:eastAsia="lv-LV"/>
              </w:rPr>
              <w:t>21.</w:t>
            </w:r>
            <w:r>
              <w:rPr>
                <w:rFonts w:cs="Times New Roman"/>
                <w:color w:val="auto"/>
                <w:sz w:val="18"/>
                <w:szCs w:val="18"/>
                <w:lang w:eastAsia="lv-LV"/>
              </w:rPr>
              <w:t xml:space="preserve"> </w:t>
            </w:r>
            <w:r w:rsidRPr="008D10A8">
              <w:rPr>
                <w:rFonts w:cs="Times New Roman"/>
                <w:color w:val="auto"/>
                <w:sz w:val="18"/>
                <w:szCs w:val="18"/>
                <w:lang w:eastAsia="lv-LV"/>
              </w:rPr>
              <w:t>Bruto kopējā pamatkapitāla veidošana</w:t>
            </w:r>
          </w:p>
        </w:tc>
        <w:tc>
          <w:tcPr>
            <w:tcW w:w="1125" w:type="dxa"/>
            <w:hideMark/>
          </w:tcPr>
          <w:p w14:paraId="7767595C"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P.51</w:t>
            </w:r>
          </w:p>
        </w:tc>
        <w:tc>
          <w:tcPr>
            <w:tcW w:w="1143" w:type="dxa"/>
          </w:tcPr>
          <w:p w14:paraId="52DC1DA6" w14:textId="1B019780" w:rsidR="00551502" w:rsidRPr="00541E7C" w:rsidRDefault="00551502" w:rsidP="00551502">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1 643,4</w:t>
            </w:r>
          </w:p>
        </w:tc>
        <w:tc>
          <w:tcPr>
            <w:tcW w:w="861" w:type="dxa"/>
          </w:tcPr>
          <w:p w14:paraId="616A53A0" w14:textId="3B29B185" w:rsidR="00551502" w:rsidRPr="00541E7C" w:rsidRDefault="00551502" w:rsidP="00551502">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4,1</w:t>
            </w:r>
          </w:p>
        </w:tc>
        <w:tc>
          <w:tcPr>
            <w:tcW w:w="708" w:type="dxa"/>
          </w:tcPr>
          <w:p w14:paraId="471717A9" w14:textId="1B4E7126" w:rsidR="00551502" w:rsidRPr="00541E7C" w:rsidRDefault="00551502" w:rsidP="00551502">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5,3</w:t>
            </w:r>
          </w:p>
        </w:tc>
        <w:tc>
          <w:tcPr>
            <w:tcW w:w="709" w:type="dxa"/>
            <w:vAlign w:val="center"/>
          </w:tcPr>
          <w:p w14:paraId="5BF395DE" w14:textId="5AA9F004" w:rsidR="00551502" w:rsidRPr="00541E7C" w:rsidRDefault="00551502"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5,</w:t>
            </w:r>
            <w:r w:rsidR="00D31DED" w:rsidRPr="00541E7C">
              <w:rPr>
                <w:color w:val="auto"/>
                <w:sz w:val="18"/>
                <w:szCs w:val="18"/>
              </w:rPr>
              <w:t>6</w:t>
            </w:r>
          </w:p>
        </w:tc>
        <w:tc>
          <w:tcPr>
            <w:tcW w:w="709" w:type="dxa"/>
            <w:vAlign w:val="center"/>
          </w:tcPr>
          <w:p w14:paraId="2AC95FEF" w14:textId="2CAF38CE" w:rsidR="00551502"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5,3</w:t>
            </w:r>
          </w:p>
        </w:tc>
        <w:tc>
          <w:tcPr>
            <w:tcW w:w="709" w:type="dxa"/>
            <w:vAlign w:val="center"/>
          </w:tcPr>
          <w:p w14:paraId="0A721816" w14:textId="2E77CEB9" w:rsidR="00551502" w:rsidRPr="00541E7C" w:rsidRDefault="00551502"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4,</w:t>
            </w:r>
            <w:r w:rsidR="00D31DED" w:rsidRPr="00541E7C">
              <w:rPr>
                <w:color w:val="auto"/>
                <w:sz w:val="18"/>
                <w:szCs w:val="18"/>
              </w:rPr>
              <w:t>6</w:t>
            </w:r>
          </w:p>
        </w:tc>
        <w:tc>
          <w:tcPr>
            <w:tcW w:w="709" w:type="dxa"/>
            <w:vAlign w:val="center"/>
          </w:tcPr>
          <w:p w14:paraId="517771A5" w14:textId="7A305D75" w:rsidR="00551502" w:rsidRPr="00541E7C" w:rsidRDefault="00D31DED" w:rsidP="00D31DED">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41E7C">
              <w:rPr>
                <w:color w:val="auto"/>
                <w:sz w:val="18"/>
                <w:szCs w:val="18"/>
              </w:rPr>
              <w:t>4,6</w:t>
            </w:r>
          </w:p>
        </w:tc>
      </w:tr>
      <w:tr w:rsidR="00551502" w:rsidRPr="0091078B" w14:paraId="0FFC41CC" w14:textId="6E4FAEF0" w:rsidTr="00551502">
        <w:trPr>
          <w:cnfStyle w:val="000000100000" w:firstRow="0" w:lastRow="0" w:firstColumn="0" w:lastColumn="0" w:oddVBand="0" w:evenVBand="0" w:oddHBand="1" w:evenHBand="0" w:firstRowFirstColumn="0" w:firstRowLastColumn="0" w:lastRowFirstColumn="0" w:lastRowLastColumn="0"/>
          <w:trHeight w:val="123"/>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29CFC8D7" w14:textId="77777777" w:rsidR="00551502" w:rsidRPr="008D10A8" w:rsidRDefault="00551502" w:rsidP="00551502">
            <w:pPr>
              <w:ind w:firstLine="0"/>
              <w:rPr>
                <w:rFonts w:cs="Times New Roman"/>
                <w:color w:val="auto"/>
                <w:sz w:val="18"/>
                <w:szCs w:val="18"/>
                <w:lang w:eastAsia="lv-LV"/>
              </w:rPr>
            </w:pPr>
            <w:r w:rsidRPr="008D10A8">
              <w:rPr>
                <w:rFonts w:cs="Times New Roman"/>
                <w:color w:val="auto"/>
                <w:sz w:val="18"/>
                <w:szCs w:val="18"/>
                <w:lang w:eastAsia="lv-LV"/>
              </w:rPr>
              <w:t xml:space="preserve">22. Kapitālo izdevumu </w:t>
            </w:r>
            <w:proofErr w:type="spellStart"/>
            <w:r w:rsidRPr="008D10A8">
              <w:rPr>
                <w:rFonts w:cs="Times New Roman"/>
                <w:color w:val="auto"/>
                <w:sz w:val="18"/>
                <w:szCs w:val="18"/>
                <w:lang w:eastAsia="lv-LV"/>
              </w:rPr>
              <w:t>transferti</w:t>
            </w:r>
            <w:proofErr w:type="spellEnd"/>
          </w:p>
        </w:tc>
        <w:tc>
          <w:tcPr>
            <w:tcW w:w="1125" w:type="dxa"/>
            <w:hideMark/>
          </w:tcPr>
          <w:p w14:paraId="2358B587"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D.9</w:t>
            </w:r>
          </w:p>
        </w:tc>
        <w:tc>
          <w:tcPr>
            <w:tcW w:w="1143" w:type="dxa"/>
          </w:tcPr>
          <w:p w14:paraId="1D38B238" w14:textId="12D30C2A"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228,8</w:t>
            </w:r>
          </w:p>
        </w:tc>
        <w:tc>
          <w:tcPr>
            <w:tcW w:w="861" w:type="dxa"/>
          </w:tcPr>
          <w:p w14:paraId="2319CE56" w14:textId="4D2B9D4A"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0,6</w:t>
            </w:r>
          </w:p>
        </w:tc>
        <w:tc>
          <w:tcPr>
            <w:tcW w:w="708" w:type="dxa"/>
          </w:tcPr>
          <w:p w14:paraId="300D715D" w14:textId="6DEF9C62"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0,3</w:t>
            </w:r>
          </w:p>
        </w:tc>
        <w:tc>
          <w:tcPr>
            <w:tcW w:w="709" w:type="dxa"/>
          </w:tcPr>
          <w:p w14:paraId="0EC2D880" w14:textId="7CA63FC6"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0,3</w:t>
            </w:r>
          </w:p>
        </w:tc>
        <w:tc>
          <w:tcPr>
            <w:tcW w:w="709" w:type="dxa"/>
          </w:tcPr>
          <w:p w14:paraId="63F86690" w14:textId="6BA0779C"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0,3</w:t>
            </w:r>
          </w:p>
        </w:tc>
        <w:tc>
          <w:tcPr>
            <w:tcW w:w="709" w:type="dxa"/>
          </w:tcPr>
          <w:p w14:paraId="4B8387C4" w14:textId="0536BCC0"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0,</w:t>
            </w:r>
            <w:r w:rsidR="00D31DED" w:rsidRPr="00541E7C">
              <w:rPr>
                <w:color w:val="auto"/>
                <w:sz w:val="18"/>
                <w:szCs w:val="18"/>
              </w:rPr>
              <w:t>3</w:t>
            </w:r>
          </w:p>
        </w:tc>
        <w:tc>
          <w:tcPr>
            <w:tcW w:w="709" w:type="dxa"/>
          </w:tcPr>
          <w:p w14:paraId="01F731E4" w14:textId="63894EC5"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41E7C">
              <w:rPr>
                <w:color w:val="auto"/>
                <w:sz w:val="18"/>
                <w:szCs w:val="18"/>
              </w:rPr>
              <w:t>0,</w:t>
            </w:r>
            <w:r w:rsidR="00D31DED" w:rsidRPr="00541E7C">
              <w:rPr>
                <w:color w:val="auto"/>
                <w:sz w:val="18"/>
                <w:szCs w:val="18"/>
              </w:rPr>
              <w:t>0</w:t>
            </w:r>
          </w:p>
        </w:tc>
      </w:tr>
      <w:tr w:rsidR="00551502" w:rsidRPr="0091078B" w14:paraId="70DCB13F" w14:textId="03419F52" w:rsidTr="00551502">
        <w:trPr>
          <w:trHeight w:val="169"/>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5B74EF8C" w14:textId="77777777" w:rsidR="00551502" w:rsidRPr="008D10A8" w:rsidRDefault="00551502" w:rsidP="00551502">
            <w:pPr>
              <w:ind w:firstLine="0"/>
              <w:rPr>
                <w:rFonts w:cs="Times New Roman"/>
                <w:color w:val="auto"/>
                <w:sz w:val="18"/>
                <w:szCs w:val="18"/>
                <w:lang w:eastAsia="lv-LV"/>
              </w:rPr>
            </w:pPr>
            <w:r w:rsidRPr="008D10A8">
              <w:rPr>
                <w:rFonts w:cs="Times New Roman"/>
                <w:color w:val="auto"/>
                <w:sz w:val="18"/>
                <w:szCs w:val="18"/>
                <w:lang w:eastAsia="lv-LV"/>
              </w:rPr>
              <w:t>23. Pārējie izdevumi</w:t>
            </w:r>
          </w:p>
        </w:tc>
        <w:tc>
          <w:tcPr>
            <w:tcW w:w="1125" w:type="dxa"/>
            <w:hideMark/>
          </w:tcPr>
          <w:p w14:paraId="3016AFCB"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lang w:eastAsia="lv-LV"/>
              </w:rPr>
            </w:pPr>
          </w:p>
        </w:tc>
        <w:tc>
          <w:tcPr>
            <w:tcW w:w="1143" w:type="dxa"/>
          </w:tcPr>
          <w:p w14:paraId="7162C1BB" w14:textId="565BB5E1"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1 473,2</w:t>
            </w:r>
          </w:p>
        </w:tc>
        <w:tc>
          <w:tcPr>
            <w:tcW w:w="861" w:type="dxa"/>
          </w:tcPr>
          <w:p w14:paraId="74AF0B9B" w14:textId="75AB219A"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3,7</w:t>
            </w:r>
          </w:p>
        </w:tc>
        <w:tc>
          <w:tcPr>
            <w:tcW w:w="708" w:type="dxa"/>
          </w:tcPr>
          <w:p w14:paraId="7A5D3011" w14:textId="2B4FF705"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4,0</w:t>
            </w:r>
          </w:p>
        </w:tc>
        <w:tc>
          <w:tcPr>
            <w:tcW w:w="709" w:type="dxa"/>
          </w:tcPr>
          <w:p w14:paraId="6409F8A1" w14:textId="22CF8468" w:rsidR="00551502" w:rsidRPr="00541E7C" w:rsidRDefault="00D31DED"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3,2</w:t>
            </w:r>
          </w:p>
        </w:tc>
        <w:tc>
          <w:tcPr>
            <w:tcW w:w="709" w:type="dxa"/>
          </w:tcPr>
          <w:p w14:paraId="6D942D73" w14:textId="5BEA0CC6"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2,9</w:t>
            </w:r>
          </w:p>
        </w:tc>
        <w:tc>
          <w:tcPr>
            <w:tcW w:w="709" w:type="dxa"/>
          </w:tcPr>
          <w:p w14:paraId="68A0835F" w14:textId="2E8CE805"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color w:val="auto"/>
                <w:sz w:val="18"/>
                <w:szCs w:val="18"/>
              </w:rPr>
              <w:t>2,</w:t>
            </w:r>
            <w:r w:rsidR="00D31DED" w:rsidRPr="00541E7C">
              <w:rPr>
                <w:color w:val="auto"/>
                <w:sz w:val="18"/>
                <w:szCs w:val="18"/>
              </w:rPr>
              <w:t>8</w:t>
            </w:r>
          </w:p>
        </w:tc>
        <w:tc>
          <w:tcPr>
            <w:tcW w:w="709" w:type="dxa"/>
          </w:tcPr>
          <w:p w14:paraId="0789B5B5" w14:textId="78D79702"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41E7C">
              <w:rPr>
                <w:color w:val="auto"/>
                <w:sz w:val="18"/>
                <w:szCs w:val="18"/>
              </w:rPr>
              <w:t>2,7</w:t>
            </w:r>
          </w:p>
        </w:tc>
      </w:tr>
      <w:tr w:rsidR="00551502" w:rsidRPr="0091078B" w14:paraId="2FEF4C31" w14:textId="490C8B9C" w:rsidTr="00551502">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5D88A0A4" w14:textId="77777777" w:rsidR="00551502" w:rsidRPr="008D10A8" w:rsidRDefault="00551502" w:rsidP="00551502">
            <w:pPr>
              <w:ind w:firstLine="0"/>
              <w:rPr>
                <w:rFonts w:cs="Times New Roman"/>
                <w:color w:val="auto"/>
                <w:sz w:val="18"/>
                <w:szCs w:val="18"/>
                <w:lang w:eastAsia="lv-LV"/>
              </w:rPr>
            </w:pPr>
            <w:r w:rsidRPr="008D10A8">
              <w:rPr>
                <w:rFonts w:cs="Times New Roman"/>
                <w:color w:val="auto"/>
                <w:sz w:val="18"/>
                <w:szCs w:val="18"/>
                <w:lang w:eastAsia="lv-LV"/>
              </w:rPr>
              <w:t>24.=7. Kopējie izdevumi</w:t>
            </w:r>
          </w:p>
        </w:tc>
        <w:tc>
          <w:tcPr>
            <w:tcW w:w="1125" w:type="dxa"/>
            <w:hideMark/>
          </w:tcPr>
          <w:p w14:paraId="5D879D00" w14:textId="7777777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TE</w:t>
            </w:r>
          </w:p>
        </w:tc>
        <w:tc>
          <w:tcPr>
            <w:tcW w:w="1143" w:type="dxa"/>
          </w:tcPr>
          <w:p w14:paraId="369EF8A5" w14:textId="4F12CF97"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16 862,1</w:t>
            </w:r>
          </w:p>
        </w:tc>
        <w:tc>
          <w:tcPr>
            <w:tcW w:w="861" w:type="dxa"/>
          </w:tcPr>
          <w:p w14:paraId="0BB59E26" w14:textId="2622C74D"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41,8</w:t>
            </w:r>
          </w:p>
        </w:tc>
        <w:tc>
          <w:tcPr>
            <w:tcW w:w="708" w:type="dxa"/>
          </w:tcPr>
          <w:p w14:paraId="5180C0DD" w14:textId="270A8939"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44,2</w:t>
            </w:r>
          </w:p>
        </w:tc>
        <w:tc>
          <w:tcPr>
            <w:tcW w:w="709" w:type="dxa"/>
          </w:tcPr>
          <w:p w14:paraId="5373CCCE" w14:textId="1ACBE148"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42,5</w:t>
            </w:r>
          </w:p>
        </w:tc>
        <w:tc>
          <w:tcPr>
            <w:tcW w:w="709" w:type="dxa"/>
          </w:tcPr>
          <w:p w14:paraId="1C84D19B" w14:textId="5D18E546"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42,0</w:t>
            </w:r>
          </w:p>
        </w:tc>
        <w:tc>
          <w:tcPr>
            <w:tcW w:w="709" w:type="dxa"/>
          </w:tcPr>
          <w:p w14:paraId="2E69E7D3" w14:textId="4314D751"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541E7C">
              <w:rPr>
                <w:color w:val="auto"/>
                <w:sz w:val="18"/>
                <w:szCs w:val="18"/>
              </w:rPr>
              <w:t>40,9</w:t>
            </w:r>
          </w:p>
        </w:tc>
        <w:tc>
          <w:tcPr>
            <w:tcW w:w="709" w:type="dxa"/>
          </w:tcPr>
          <w:p w14:paraId="0154ADFF" w14:textId="217FE6FA" w:rsidR="00551502" w:rsidRPr="00541E7C" w:rsidRDefault="00551502" w:rsidP="00551502">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41E7C">
              <w:rPr>
                <w:color w:val="auto"/>
                <w:sz w:val="18"/>
                <w:szCs w:val="18"/>
              </w:rPr>
              <w:t>40,0</w:t>
            </w:r>
          </w:p>
        </w:tc>
      </w:tr>
      <w:tr w:rsidR="00551502" w:rsidRPr="0091078B" w14:paraId="645F9440" w14:textId="28A3B421" w:rsidTr="00551502">
        <w:trPr>
          <w:trHeight w:val="119"/>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0A4AB2AB" w14:textId="77777777" w:rsidR="00551502" w:rsidRPr="008D10A8" w:rsidRDefault="00551502" w:rsidP="00551502">
            <w:pPr>
              <w:ind w:firstLine="0"/>
              <w:rPr>
                <w:rFonts w:cs="Times New Roman"/>
                <w:color w:val="auto"/>
                <w:sz w:val="18"/>
                <w:szCs w:val="18"/>
                <w:lang w:eastAsia="lv-LV"/>
              </w:rPr>
            </w:pPr>
            <w:r w:rsidRPr="008D10A8">
              <w:rPr>
                <w:rFonts w:cs="Times New Roman"/>
                <w:color w:val="auto"/>
                <w:sz w:val="18"/>
                <w:szCs w:val="18"/>
                <w:lang w:eastAsia="lv-LV"/>
              </w:rPr>
              <w:t>Valdības patēriņš</w:t>
            </w:r>
          </w:p>
        </w:tc>
        <w:tc>
          <w:tcPr>
            <w:tcW w:w="1125" w:type="dxa"/>
            <w:hideMark/>
          </w:tcPr>
          <w:p w14:paraId="6EB50CCE" w14:textId="77777777"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lang w:eastAsia="lv-LV"/>
              </w:rPr>
            </w:pPr>
            <w:r w:rsidRPr="00541E7C">
              <w:rPr>
                <w:rFonts w:cs="Times New Roman"/>
                <w:bCs/>
                <w:color w:val="auto"/>
                <w:sz w:val="18"/>
                <w:szCs w:val="18"/>
                <w:lang w:eastAsia="lv-LV"/>
              </w:rPr>
              <w:t>P.3</w:t>
            </w:r>
          </w:p>
        </w:tc>
        <w:tc>
          <w:tcPr>
            <w:tcW w:w="1143" w:type="dxa"/>
          </w:tcPr>
          <w:p w14:paraId="32B92E00" w14:textId="552832FA"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7 710,5</w:t>
            </w:r>
          </w:p>
        </w:tc>
        <w:tc>
          <w:tcPr>
            <w:tcW w:w="861" w:type="dxa"/>
          </w:tcPr>
          <w:p w14:paraId="052696E3" w14:textId="4A62071A"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19,1</w:t>
            </w:r>
          </w:p>
        </w:tc>
        <w:tc>
          <w:tcPr>
            <w:tcW w:w="708" w:type="dxa"/>
          </w:tcPr>
          <w:p w14:paraId="3477309F" w14:textId="6D6FE6C2"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20,5</w:t>
            </w:r>
          </w:p>
        </w:tc>
        <w:tc>
          <w:tcPr>
            <w:tcW w:w="709" w:type="dxa"/>
          </w:tcPr>
          <w:p w14:paraId="5B911967" w14:textId="5A8033A5"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20,5</w:t>
            </w:r>
          </w:p>
        </w:tc>
        <w:tc>
          <w:tcPr>
            <w:tcW w:w="709" w:type="dxa"/>
          </w:tcPr>
          <w:p w14:paraId="688875DB" w14:textId="4FC69BBD"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19,8</w:t>
            </w:r>
          </w:p>
        </w:tc>
        <w:tc>
          <w:tcPr>
            <w:tcW w:w="709" w:type="dxa"/>
          </w:tcPr>
          <w:p w14:paraId="561E52E9" w14:textId="7D830B9A"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541E7C">
              <w:rPr>
                <w:rFonts w:cs="Times New Roman"/>
                <w:color w:val="auto"/>
                <w:sz w:val="18"/>
                <w:szCs w:val="18"/>
              </w:rPr>
              <w:t>18,9</w:t>
            </w:r>
          </w:p>
        </w:tc>
        <w:tc>
          <w:tcPr>
            <w:tcW w:w="709" w:type="dxa"/>
          </w:tcPr>
          <w:p w14:paraId="2B421B13" w14:textId="27611D44" w:rsidR="00551502" w:rsidRPr="00541E7C" w:rsidRDefault="00551502" w:rsidP="00551502">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41E7C">
              <w:rPr>
                <w:rFonts w:cs="Times New Roman"/>
                <w:color w:val="auto"/>
                <w:sz w:val="18"/>
                <w:szCs w:val="18"/>
              </w:rPr>
              <w:t>18,4</w:t>
            </w:r>
          </w:p>
        </w:tc>
      </w:tr>
    </w:tbl>
    <w:p w14:paraId="1E3840FC" w14:textId="77777777" w:rsidR="00575E47" w:rsidRPr="008D10A8" w:rsidRDefault="00575E47" w:rsidP="00C20142">
      <w:pPr>
        <w:keepNext/>
        <w:ind w:firstLine="0"/>
        <w:rPr>
          <w:rFonts w:eastAsia="Times New Roman" w:cs="Times New Roman"/>
          <w:b/>
          <w:sz w:val="24"/>
          <w:szCs w:val="24"/>
        </w:rPr>
      </w:pPr>
    </w:p>
    <w:p w14:paraId="0321AF82" w14:textId="77777777" w:rsidR="00551502" w:rsidRDefault="00551502" w:rsidP="000F4627">
      <w:pPr>
        <w:keepNext/>
        <w:spacing w:after="120"/>
        <w:ind w:firstLine="0"/>
        <w:rPr>
          <w:rFonts w:eastAsia="Times New Roman" w:cs="Times New Roman"/>
          <w:b/>
          <w:sz w:val="24"/>
          <w:szCs w:val="24"/>
        </w:rPr>
      </w:pPr>
    </w:p>
    <w:p w14:paraId="2FFFB268" w14:textId="1CA50E48" w:rsidR="00884CF9" w:rsidRPr="008D10A8" w:rsidRDefault="00884CF9" w:rsidP="000F4627">
      <w:pPr>
        <w:keepNext/>
        <w:spacing w:after="120"/>
        <w:ind w:firstLine="0"/>
        <w:rPr>
          <w:rFonts w:eastAsia="Times New Roman" w:cs="Times New Roman"/>
          <w:b/>
          <w:sz w:val="24"/>
          <w:szCs w:val="24"/>
        </w:rPr>
      </w:pPr>
      <w:r w:rsidRPr="008D10A8">
        <w:rPr>
          <w:rFonts w:eastAsia="Times New Roman" w:cs="Times New Roman"/>
          <w:b/>
          <w:sz w:val="24"/>
          <w:szCs w:val="24"/>
        </w:rPr>
        <w:t>2b.</w:t>
      </w:r>
      <w:r w:rsidR="0087383B" w:rsidRPr="008D10A8">
        <w:rPr>
          <w:rFonts w:eastAsia="Times New Roman" w:cs="Times New Roman"/>
          <w:b/>
          <w:sz w:val="24"/>
          <w:szCs w:val="24"/>
        </w:rPr>
        <w:t xml:space="preserve"> </w:t>
      </w:r>
      <w:r w:rsidRPr="008D10A8">
        <w:rPr>
          <w:rFonts w:eastAsia="Times New Roman" w:cs="Times New Roman"/>
          <w:b/>
          <w:sz w:val="24"/>
          <w:szCs w:val="24"/>
        </w:rPr>
        <w:t xml:space="preserve">tabula. Prognozes pie </w:t>
      </w:r>
      <w:r w:rsidR="00CE2961" w:rsidRPr="008D10A8">
        <w:rPr>
          <w:rFonts w:eastAsia="Times New Roman" w:cs="Times New Roman"/>
          <w:b/>
          <w:sz w:val="24"/>
          <w:szCs w:val="24"/>
        </w:rPr>
        <w:t>ne</w:t>
      </w:r>
      <w:r w:rsidRPr="008D10A8">
        <w:rPr>
          <w:rFonts w:eastAsia="Times New Roman" w:cs="Times New Roman"/>
          <w:b/>
          <w:sz w:val="24"/>
          <w:szCs w:val="24"/>
        </w:rPr>
        <w:t>mainīgas politikas</w:t>
      </w:r>
    </w:p>
    <w:tbl>
      <w:tblPr>
        <w:tblStyle w:val="GridTable6Colorful-Accent117"/>
        <w:tblW w:w="10524" w:type="dxa"/>
        <w:jc w:val="center"/>
        <w:tblLook w:val="04A0" w:firstRow="1" w:lastRow="0" w:firstColumn="1" w:lastColumn="0" w:noHBand="0" w:noVBand="1"/>
      </w:tblPr>
      <w:tblGrid>
        <w:gridCol w:w="4087"/>
        <w:gridCol w:w="1169"/>
        <w:gridCol w:w="878"/>
        <w:gridCol w:w="878"/>
        <w:gridCol w:w="878"/>
        <w:gridCol w:w="878"/>
        <w:gridCol w:w="878"/>
        <w:gridCol w:w="878"/>
      </w:tblGrid>
      <w:tr w:rsidR="001E7F1D" w:rsidRPr="001E7F1D" w14:paraId="59844600" w14:textId="7033AD8E" w:rsidTr="001E7F1D">
        <w:trPr>
          <w:cnfStyle w:val="100000000000" w:firstRow="1" w:lastRow="0" w:firstColumn="0" w:lastColumn="0" w:oddVBand="0" w:evenVBand="0" w:oddHBand="0" w:evenHBand="0" w:firstRowFirstColumn="0" w:firstRowLastColumn="0" w:lastRowFirstColumn="0" w:lastRowLastColumn="0"/>
          <w:trHeight w:val="92"/>
          <w:jc w:val="center"/>
        </w:trPr>
        <w:tc>
          <w:tcPr>
            <w:cnfStyle w:val="001000000000" w:firstRow="0" w:lastRow="0" w:firstColumn="1" w:lastColumn="0" w:oddVBand="0" w:evenVBand="0" w:oddHBand="0" w:evenHBand="0" w:firstRowFirstColumn="0" w:firstRowLastColumn="0" w:lastRowFirstColumn="0" w:lastRowLastColumn="0"/>
            <w:tcW w:w="4087" w:type="dxa"/>
            <w:shd w:val="clear" w:color="auto" w:fill="DEEAF6"/>
            <w:noWrap/>
            <w:vAlign w:val="center"/>
            <w:hideMark/>
          </w:tcPr>
          <w:p w14:paraId="7F6C0FCD" w14:textId="77777777" w:rsidR="001E7F1D" w:rsidRPr="001E7F1D" w:rsidRDefault="001E7F1D" w:rsidP="00884CF9">
            <w:pPr>
              <w:ind w:firstLine="0"/>
              <w:jc w:val="center"/>
              <w:rPr>
                <w:rFonts w:cs="Times New Roman"/>
                <w:color w:val="000000"/>
                <w:sz w:val="18"/>
                <w:szCs w:val="18"/>
              </w:rPr>
            </w:pPr>
          </w:p>
        </w:tc>
        <w:tc>
          <w:tcPr>
            <w:tcW w:w="1169" w:type="dxa"/>
            <w:shd w:val="clear" w:color="auto" w:fill="DEEAF6"/>
            <w:vAlign w:val="center"/>
            <w:hideMark/>
          </w:tcPr>
          <w:p w14:paraId="6FA72B5F" w14:textId="55E79215" w:rsidR="001E7F1D" w:rsidRPr="001E7F1D" w:rsidRDefault="001E7F1D"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8"/>
                <w:szCs w:val="18"/>
              </w:rPr>
            </w:pPr>
            <w:r w:rsidRPr="001E7F1D">
              <w:rPr>
                <w:rFonts w:cs="Times New Roman"/>
                <w:color w:val="000000"/>
                <w:sz w:val="18"/>
                <w:szCs w:val="18"/>
              </w:rPr>
              <w:t>2023</w:t>
            </w:r>
          </w:p>
        </w:tc>
        <w:tc>
          <w:tcPr>
            <w:tcW w:w="878" w:type="dxa"/>
            <w:shd w:val="clear" w:color="auto" w:fill="DEEAF6"/>
            <w:noWrap/>
            <w:vAlign w:val="center"/>
            <w:hideMark/>
          </w:tcPr>
          <w:p w14:paraId="7B37DE1C" w14:textId="43BAAC3C" w:rsidR="001E7F1D" w:rsidRPr="001E7F1D" w:rsidRDefault="001E7F1D"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1E7F1D">
              <w:rPr>
                <w:rFonts w:cs="Times New Roman"/>
                <w:color w:val="000000"/>
                <w:sz w:val="18"/>
                <w:szCs w:val="18"/>
              </w:rPr>
              <w:t>2023</w:t>
            </w:r>
          </w:p>
        </w:tc>
        <w:tc>
          <w:tcPr>
            <w:tcW w:w="878" w:type="dxa"/>
            <w:shd w:val="clear" w:color="auto" w:fill="DEEAF6"/>
            <w:noWrap/>
            <w:vAlign w:val="center"/>
            <w:hideMark/>
          </w:tcPr>
          <w:p w14:paraId="2950C917" w14:textId="6D2BEB8E" w:rsidR="001E7F1D" w:rsidRPr="001E7F1D" w:rsidRDefault="001E7F1D"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1E7F1D">
              <w:rPr>
                <w:rFonts w:cs="Times New Roman"/>
                <w:color w:val="000000"/>
                <w:sz w:val="18"/>
                <w:szCs w:val="18"/>
              </w:rPr>
              <w:t>2024</w:t>
            </w:r>
          </w:p>
        </w:tc>
        <w:tc>
          <w:tcPr>
            <w:tcW w:w="878" w:type="dxa"/>
            <w:shd w:val="clear" w:color="auto" w:fill="DEEAF6"/>
            <w:noWrap/>
            <w:vAlign w:val="center"/>
            <w:hideMark/>
          </w:tcPr>
          <w:p w14:paraId="1B3F4702" w14:textId="5982A453" w:rsidR="001E7F1D" w:rsidRPr="001E7F1D" w:rsidRDefault="001E7F1D"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1E7F1D">
              <w:rPr>
                <w:rFonts w:cs="Times New Roman"/>
                <w:color w:val="000000"/>
                <w:sz w:val="18"/>
                <w:szCs w:val="18"/>
              </w:rPr>
              <w:t>2025</w:t>
            </w:r>
          </w:p>
        </w:tc>
        <w:tc>
          <w:tcPr>
            <w:tcW w:w="878" w:type="dxa"/>
            <w:shd w:val="clear" w:color="auto" w:fill="DEEAF6"/>
            <w:noWrap/>
            <w:vAlign w:val="center"/>
            <w:hideMark/>
          </w:tcPr>
          <w:p w14:paraId="6593CE6C" w14:textId="47532740" w:rsidR="001E7F1D" w:rsidRPr="001E7F1D" w:rsidRDefault="001E7F1D"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1E7F1D">
              <w:rPr>
                <w:rFonts w:cs="Times New Roman"/>
                <w:color w:val="000000"/>
                <w:sz w:val="18"/>
                <w:szCs w:val="18"/>
              </w:rPr>
              <w:t>2026</w:t>
            </w:r>
          </w:p>
        </w:tc>
        <w:tc>
          <w:tcPr>
            <w:tcW w:w="878" w:type="dxa"/>
            <w:shd w:val="clear" w:color="auto" w:fill="DEEAF6"/>
            <w:noWrap/>
            <w:vAlign w:val="center"/>
            <w:hideMark/>
          </w:tcPr>
          <w:p w14:paraId="7262F600" w14:textId="4CD62A6E" w:rsidR="001E7F1D" w:rsidRPr="001E7F1D" w:rsidRDefault="001E7F1D"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1E7F1D">
              <w:rPr>
                <w:rFonts w:cs="Times New Roman"/>
                <w:color w:val="000000"/>
                <w:sz w:val="18"/>
                <w:szCs w:val="18"/>
              </w:rPr>
              <w:t>2027</w:t>
            </w:r>
          </w:p>
        </w:tc>
        <w:tc>
          <w:tcPr>
            <w:tcW w:w="878" w:type="dxa"/>
            <w:shd w:val="clear" w:color="auto" w:fill="DEEAF6"/>
          </w:tcPr>
          <w:p w14:paraId="0996188D" w14:textId="15CF9338" w:rsidR="001E7F1D" w:rsidRPr="001E7F1D" w:rsidRDefault="001E7F1D" w:rsidP="001E7F1D">
            <w:pPr>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8"/>
                <w:szCs w:val="18"/>
              </w:rPr>
            </w:pPr>
            <w:r w:rsidRPr="001E7F1D">
              <w:rPr>
                <w:rFonts w:cs="Times New Roman"/>
                <w:color w:val="000000"/>
                <w:sz w:val="18"/>
                <w:szCs w:val="18"/>
              </w:rPr>
              <w:t>2028</w:t>
            </w:r>
          </w:p>
        </w:tc>
      </w:tr>
    </w:tbl>
    <w:tbl>
      <w:tblPr>
        <w:tblStyle w:val="GridTable6Colorful-Accent118"/>
        <w:tblW w:w="10498" w:type="dxa"/>
        <w:jc w:val="center"/>
        <w:tblLook w:val="04A0" w:firstRow="1" w:lastRow="0" w:firstColumn="1" w:lastColumn="0" w:noHBand="0" w:noVBand="1"/>
      </w:tblPr>
      <w:tblGrid>
        <w:gridCol w:w="4087"/>
        <w:gridCol w:w="1169"/>
        <w:gridCol w:w="835"/>
        <w:gridCol w:w="992"/>
        <w:gridCol w:w="850"/>
        <w:gridCol w:w="851"/>
        <w:gridCol w:w="857"/>
        <w:gridCol w:w="857"/>
      </w:tblGrid>
      <w:tr w:rsidR="001E7F1D" w:rsidRPr="001E7F1D" w14:paraId="5ADC66F7" w14:textId="239474EF" w:rsidTr="00A5691C">
        <w:trPr>
          <w:cnfStyle w:val="100000000000" w:firstRow="1" w:lastRow="0" w:firstColumn="0" w:lastColumn="0" w:oddVBand="0" w:evenVBand="0" w:oddHBand="0"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4087" w:type="dxa"/>
            <w:noWrap/>
            <w:vAlign w:val="bottom"/>
          </w:tcPr>
          <w:p w14:paraId="427E4C56" w14:textId="77777777" w:rsidR="001E7F1D" w:rsidRPr="001E7F1D" w:rsidRDefault="001E7F1D" w:rsidP="00884CF9">
            <w:pPr>
              <w:ind w:firstLine="31"/>
              <w:rPr>
                <w:rFonts w:cs="Times New Roman"/>
                <w:b w:val="0"/>
                <w:color w:val="000000"/>
                <w:sz w:val="18"/>
                <w:szCs w:val="18"/>
              </w:rPr>
            </w:pPr>
          </w:p>
        </w:tc>
        <w:tc>
          <w:tcPr>
            <w:tcW w:w="1169" w:type="dxa"/>
            <w:noWrap/>
            <w:vAlign w:val="center"/>
          </w:tcPr>
          <w:p w14:paraId="02434D06" w14:textId="77777777" w:rsidR="001E7F1D" w:rsidRPr="001E7F1D" w:rsidRDefault="001E7F1D" w:rsidP="00884CF9">
            <w:pPr>
              <w:ind w:firstLine="31"/>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themeColor="text1"/>
                <w:sz w:val="18"/>
                <w:szCs w:val="18"/>
                <w:lang w:eastAsia="lv-LV"/>
              </w:rPr>
            </w:pPr>
            <w:r w:rsidRPr="001E7F1D">
              <w:rPr>
                <w:rFonts w:cs="Times New Roman"/>
                <w:color w:val="000000" w:themeColor="text1"/>
                <w:sz w:val="18"/>
                <w:szCs w:val="18"/>
                <w:lang w:eastAsia="lv-LV"/>
              </w:rPr>
              <w:t xml:space="preserve">milj. </w:t>
            </w:r>
            <w:proofErr w:type="spellStart"/>
            <w:r w:rsidRPr="001E7F1D">
              <w:rPr>
                <w:rFonts w:cs="Times New Roman"/>
                <w:i/>
                <w:iCs/>
                <w:color w:val="000000" w:themeColor="text1"/>
                <w:sz w:val="18"/>
                <w:szCs w:val="18"/>
                <w:lang w:eastAsia="lv-LV"/>
              </w:rPr>
              <w:t>euro</w:t>
            </w:r>
            <w:proofErr w:type="spellEnd"/>
          </w:p>
        </w:tc>
        <w:tc>
          <w:tcPr>
            <w:tcW w:w="5242" w:type="dxa"/>
            <w:gridSpan w:val="6"/>
            <w:noWrap/>
          </w:tcPr>
          <w:p w14:paraId="1156BC16" w14:textId="2E1617C9" w:rsidR="001E7F1D" w:rsidRPr="001E7F1D" w:rsidRDefault="001E7F1D" w:rsidP="00884CF9">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1E7F1D">
              <w:rPr>
                <w:rFonts w:cs="Times New Roman"/>
                <w:color w:val="000000" w:themeColor="text1"/>
                <w:sz w:val="18"/>
                <w:szCs w:val="18"/>
                <w:lang w:eastAsia="lv-LV"/>
              </w:rPr>
              <w:t>% no IKP</w:t>
            </w:r>
          </w:p>
        </w:tc>
      </w:tr>
      <w:tr w:rsidR="001E7F1D" w:rsidRPr="001E7F1D" w14:paraId="46E09598" w14:textId="477A4181" w:rsidTr="001E7F1D">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087" w:type="dxa"/>
            <w:noWrap/>
            <w:vAlign w:val="bottom"/>
          </w:tcPr>
          <w:p w14:paraId="54670771" w14:textId="77777777" w:rsidR="001E7F1D" w:rsidRPr="001E7F1D" w:rsidRDefault="001E7F1D" w:rsidP="001E7F1D">
            <w:pPr>
              <w:ind w:firstLine="31"/>
              <w:rPr>
                <w:rFonts w:cs="Times New Roman"/>
                <w:bCs w:val="0"/>
                <w:color w:val="auto"/>
                <w:sz w:val="18"/>
                <w:szCs w:val="18"/>
              </w:rPr>
            </w:pPr>
            <w:r w:rsidRPr="001E7F1D">
              <w:rPr>
                <w:rFonts w:cs="Times New Roman"/>
                <w:color w:val="auto"/>
                <w:sz w:val="18"/>
                <w:szCs w:val="18"/>
              </w:rPr>
              <w:t>1. Kopējie ieņēmumi pie nemainīgas politikas</w:t>
            </w:r>
          </w:p>
        </w:tc>
        <w:tc>
          <w:tcPr>
            <w:tcW w:w="1169" w:type="dxa"/>
            <w:noWrap/>
          </w:tcPr>
          <w:p w14:paraId="0F95619B" w14:textId="59B52836" w:rsidR="001E7F1D" w:rsidRPr="001E7F1D" w:rsidRDefault="001E7F1D" w:rsidP="001E7F1D">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4"/>
              </w:rPr>
            </w:pPr>
            <w:r w:rsidRPr="001E7F1D">
              <w:rPr>
                <w:color w:val="auto"/>
                <w:sz w:val="18"/>
                <w:szCs w:val="14"/>
              </w:rPr>
              <w:t>15 941,0</w:t>
            </w:r>
          </w:p>
        </w:tc>
        <w:tc>
          <w:tcPr>
            <w:tcW w:w="835" w:type="dxa"/>
            <w:noWrap/>
          </w:tcPr>
          <w:p w14:paraId="70CE2BD5" w14:textId="17DEDA28" w:rsidR="001E7F1D" w:rsidRPr="001E7F1D" w:rsidRDefault="001E7F1D" w:rsidP="001E7F1D">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4"/>
              </w:rPr>
            </w:pPr>
            <w:r w:rsidRPr="001E7F1D">
              <w:rPr>
                <w:color w:val="auto"/>
                <w:sz w:val="18"/>
                <w:szCs w:val="14"/>
              </w:rPr>
              <w:t>39,5</w:t>
            </w:r>
          </w:p>
        </w:tc>
        <w:tc>
          <w:tcPr>
            <w:tcW w:w="992" w:type="dxa"/>
            <w:noWrap/>
          </w:tcPr>
          <w:p w14:paraId="307470E2" w14:textId="21DE7606" w:rsidR="001E7F1D" w:rsidRPr="001E7F1D" w:rsidRDefault="001E7F1D" w:rsidP="001E7F1D">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4"/>
              </w:rPr>
            </w:pPr>
            <w:r w:rsidRPr="001E7F1D">
              <w:rPr>
                <w:color w:val="auto"/>
                <w:sz w:val="18"/>
                <w:szCs w:val="14"/>
              </w:rPr>
              <w:t>41,3</w:t>
            </w:r>
          </w:p>
        </w:tc>
        <w:tc>
          <w:tcPr>
            <w:tcW w:w="850" w:type="dxa"/>
            <w:noWrap/>
          </w:tcPr>
          <w:p w14:paraId="7E1B5428" w14:textId="528F79F6" w:rsidR="001E7F1D" w:rsidRPr="001E7F1D" w:rsidRDefault="001E7F1D" w:rsidP="001E7F1D">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4"/>
              </w:rPr>
            </w:pPr>
            <w:r w:rsidRPr="001E7F1D">
              <w:rPr>
                <w:color w:val="auto"/>
                <w:sz w:val="18"/>
                <w:szCs w:val="14"/>
              </w:rPr>
              <w:t>40,3</w:t>
            </w:r>
          </w:p>
        </w:tc>
        <w:tc>
          <w:tcPr>
            <w:tcW w:w="851" w:type="dxa"/>
            <w:noWrap/>
          </w:tcPr>
          <w:p w14:paraId="79787C5D" w14:textId="64743179" w:rsidR="001E7F1D" w:rsidRPr="001E7F1D" w:rsidRDefault="001E7F1D" w:rsidP="001E7F1D">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4"/>
              </w:rPr>
            </w:pPr>
            <w:r w:rsidRPr="001E7F1D">
              <w:rPr>
                <w:color w:val="auto"/>
                <w:sz w:val="18"/>
                <w:szCs w:val="14"/>
              </w:rPr>
              <w:t>39,8</w:t>
            </w:r>
          </w:p>
        </w:tc>
        <w:tc>
          <w:tcPr>
            <w:tcW w:w="857" w:type="dxa"/>
            <w:noWrap/>
          </w:tcPr>
          <w:p w14:paraId="1E47E31D" w14:textId="49C795B9" w:rsidR="001E7F1D" w:rsidRPr="001E7F1D" w:rsidRDefault="001E7F1D" w:rsidP="001E7F1D">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4"/>
              </w:rPr>
            </w:pPr>
            <w:r w:rsidRPr="001E7F1D">
              <w:rPr>
                <w:color w:val="auto"/>
                <w:sz w:val="18"/>
                <w:szCs w:val="14"/>
              </w:rPr>
              <w:t>38,9</w:t>
            </w:r>
          </w:p>
        </w:tc>
        <w:tc>
          <w:tcPr>
            <w:tcW w:w="857" w:type="dxa"/>
          </w:tcPr>
          <w:p w14:paraId="382FBD77" w14:textId="08C7B759" w:rsidR="001E7F1D" w:rsidRPr="001E7F1D" w:rsidRDefault="001E7F1D" w:rsidP="001E7F1D">
            <w:pPr>
              <w:ind w:firstLine="31"/>
              <w:jc w:val="center"/>
              <w:cnfStyle w:val="000000100000" w:firstRow="0" w:lastRow="0" w:firstColumn="0" w:lastColumn="0" w:oddVBand="0" w:evenVBand="0" w:oddHBand="1" w:evenHBand="0" w:firstRowFirstColumn="0" w:firstRowLastColumn="0" w:lastRowFirstColumn="0" w:lastRowLastColumn="0"/>
              <w:rPr>
                <w:color w:val="auto"/>
                <w:sz w:val="18"/>
                <w:szCs w:val="14"/>
              </w:rPr>
            </w:pPr>
            <w:r w:rsidRPr="001E7F1D">
              <w:rPr>
                <w:color w:val="auto"/>
                <w:sz w:val="18"/>
                <w:szCs w:val="14"/>
              </w:rPr>
              <w:t>38,2</w:t>
            </w:r>
          </w:p>
        </w:tc>
      </w:tr>
      <w:tr w:rsidR="001E7F1D" w:rsidRPr="00874664" w14:paraId="761D9F5F" w14:textId="1A8462A3" w:rsidTr="001E7F1D">
        <w:trPr>
          <w:trHeight w:val="63"/>
          <w:jc w:val="center"/>
        </w:trPr>
        <w:tc>
          <w:tcPr>
            <w:cnfStyle w:val="001000000000" w:firstRow="0" w:lastRow="0" w:firstColumn="1" w:lastColumn="0" w:oddVBand="0" w:evenVBand="0" w:oddHBand="0" w:evenHBand="0" w:firstRowFirstColumn="0" w:firstRowLastColumn="0" w:lastRowFirstColumn="0" w:lastRowLastColumn="0"/>
            <w:tcW w:w="4087" w:type="dxa"/>
            <w:noWrap/>
            <w:vAlign w:val="bottom"/>
          </w:tcPr>
          <w:p w14:paraId="30D7BBB1" w14:textId="77777777" w:rsidR="001E7F1D" w:rsidRPr="001E7F1D" w:rsidRDefault="001E7F1D" w:rsidP="001E7F1D">
            <w:pPr>
              <w:ind w:firstLine="31"/>
              <w:rPr>
                <w:rFonts w:cs="Times New Roman"/>
                <w:bCs w:val="0"/>
                <w:color w:val="auto"/>
                <w:sz w:val="18"/>
                <w:szCs w:val="18"/>
              </w:rPr>
            </w:pPr>
            <w:r w:rsidRPr="001E7F1D">
              <w:rPr>
                <w:rFonts w:cs="Times New Roman"/>
                <w:color w:val="auto"/>
                <w:sz w:val="18"/>
                <w:szCs w:val="18"/>
              </w:rPr>
              <w:t>2. Kopējie izdevumi pie nemainīgas politikas</w:t>
            </w:r>
          </w:p>
        </w:tc>
        <w:tc>
          <w:tcPr>
            <w:tcW w:w="1169" w:type="dxa"/>
            <w:noWrap/>
          </w:tcPr>
          <w:p w14:paraId="5F48361D" w14:textId="2F9BF97C" w:rsidR="001E7F1D" w:rsidRPr="001E7F1D" w:rsidRDefault="001E7F1D" w:rsidP="001E7F1D">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4"/>
              </w:rPr>
            </w:pPr>
            <w:r w:rsidRPr="001E7F1D">
              <w:rPr>
                <w:color w:val="auto"/>
                <w:sz w:val="18"/>
                <w:szCs w:val="14"/>
              </w:rPr>
              <w:t>16 862,1</w:t>
            </w:r>
          </w:p>
        </w:tc>
        <w:tc>
          <w:tcPr>
            <w:tcW w:w="835" w:type="dxa"/>
            <w:noWrap/>
          </w:tcPr>
          <w:p w14:paraId="7050D4F1" w14:textId="6FF70499" w:rsidR="001E7F1D" w:rsidRPr="001E7F1D" w:rsidRDefault="001E7F1D" w:rsidP="001E7F1D">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4"/>
              </w:rPr>
            </w:pPr>
            <w:r w:rsidRPr="001E7F1D">
              <w:rPr>
                <w:color w:val="auto"/>
                <w:sz w:val="18"/>
                <w:szCs w:val="14"/>
              </w:rPr>
              <w:t>41,8</w:t>
            </w:r>
          </w:p>
        </w:tc>
        <w:tc>
          <w:tcPr>
            <w:tcW w:w="992" w:type="dxa"/>
            <w:noWrap/>
          </w:tcPr>
          <w:p w14:paraId="68061CA8" w14:textId="0EB6B47F" w:rsidR="001E7F1D" w:rsidRPr="001E7F1D" w:rsidRDefault="001E7F1D" w:rsidP="001E7F1D">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4"/>
              </w:rPr>
            </w:pPr>
            <w:r w:rsidRPr="001E7F1D">
              <w:rPr>
                <w:color w:val="auto"/>
                <w:sz w:val="18"/>
                <w:szCs w:val="14"/>
              </w:rPr>
              <w:t>44,2</w:t>
            </w:r>
          </w:p>
        </w:tc>
        <w:tc>
          <w:tcPr>
            <w:tcW w:w="850" w:type="dxa"/>
            <w:noWrap/>
          </w:tcPr>
          <w:p w14:paraId="4D8643A7" w14:textId="66602BBE" w:rsidR="001E7F1D" w:rsidRPr="001E7F1D" w:rsidRDefault="001E7F1D" w:rsidP="001E7F1D">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4"/>
              </w:rPr>
            </w:pPr>
            <w:r w:rsidRPr="001E7F1D">
              <w:rPr>
                <w:color w:val="auto"/>
                <w:sz w:val="18"/>
                <w:szCs w:val="14"/>
              </w:rPr>
              <w:t>43,0</w:t>
            </w:r>
          </w:p>
        </w:tc>
        <w:tc>
          <w:tcPr>
            <w:tcW w:w="851" w:type="dxa"/>
            <w:noWrap/>
          </w:tcPr>
          <w:p w14:paraId="32DE49B7" w14:textId="1363A887" w:rsidR="001E7F1D" w:rsidRPr="001E7F1D" w:rsidRDefault="001E7F1D" w:rsidP="001E7F1D">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4"/>
              </w:rPr>
            </w:pPr>
            <w:r w:rsidRPr="001E7F1D">
              <w:rPr>
                <w:color w:val="auto"/>
                <w:sz w:val="18"/>
                <w:szCs w:val="14"/>
              </w:rPr>
              <w:t>42,0</w:t>
            </w:r>
          </w:p>
        </w:tc>
        <w:tc>
          <w:tcPr>
            <w:tcW w:w="857" w:type="dxa"/>
            <w:noWrap/>
          </w:tcPr>
          <w:p w14:paraId="14BEC87A" w14:textId="7DC91CF3" w:rsidR="001E7F1D" w:rsidRPr="001E7F1D" w:rsidRDefault="001E7F1D" w:rsidP="001E7F1D">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4"/>
              </w:rPr>
            </w:pPr>
            <w:r w:rsidRPr="001E7F1D">
              <w:rPr>
                <w:color w:val="auto"/>
                <w:sz w:val="18"/>
                <w:szCs w:val="14"/>
              </w:rPr>
              <w:t>40,9</w:t>
            </w:r>
          </w:p>
        </w:tc>
        <w:tc>
          <w:tcPr>
            <w:tcW w:w="857" w:type="dxa"/>
          </w:tcPr>
          <w:p w14:paraId="63C8C9F9" w14:textId="27689B94" w:rsidR="001E7F1D" w:rsidRPr="001E7F1D" w:rsidRDefault="001E7F1D" w:rsidP="001E7F1D">
            <w:pPr>
              <w:ind w:firstLine="31"/>
              <w:jc w:val="center"/>
              <w:cnfStyle w:val="000000000000" w:firstRow="0" w:lastRow="0" w:firstColumn="0" w:lastColumn="0" w:oddVBand="0" w:evenVBand="0" w:oddHBand="0" w:evenHBand="0" w:firstRowFirstColumn="0" w:firstRowLastColumn="0" w:lastRowFirstColumn="0" w:lastRowLastColumn="0"/>
              <w:rPr>
                <w:color w:val="auto"/>
                <w:sz w:val="18"/>
                <w:szCs w:val="14"/>
              </w:rPr>
            </w:pPr>
            <w:r w:rsidRPr="001E7F1D">
              <w:rPr>
                <w:color w:val="auto"/>
                <w:sz w:val="18"/>
                <w:szCs w:val="14"/>
              </w:rPr>
              <w:t>39,9</w:t>
            </w:r>
          </w:p>
        </w:tc>
      </w:tr>
    </w:tbl>
    <w:p w14:paraId="2E000487" w14:textId="77777777" w:rsidR="00CE2961" w:rsidRPr="00874664" w:rsidRDefault="00CE2961" w:rsidP="00884CF9">
      <w:pPr>
        <w:keepNext/>
        <w:ind w:firstLine="0"/>
        <w:rPr>
          <w:rFonts w:eastAsia="Times New Roman" w:cs="Times New Roman"/>
          <w:b/>
          <w:color w:val="000000"/>
          <w:sz w:val="24"/>
          <w:szCs w:val="24"/>
          <w:highlight w:val="lightGray"/>
        </w:rPr>
      </w:pPr>
    </w:p>
    <w:p w14:paraId="642C9034" w14:textId="77777777" w:rsidR="00551502" w:rsidRDefault="00551502" w:rsidP="00551502">
      <w:pPr>
        <w:spacing w:after="120"/>
        <w:ind w:firstLine="0"/>
        <w:rPr>
          <w:rFonts w:cs="Times New Roman"/>
          <w:b/>
          <w:sz w:val="24"/>
          <w:szCs w:val="24"/>
          <w:highlight w:val="lightGray"/>
        </w:rPr>
      </w:pPr>
    </w:p>
    <w:p w14:paraId="738F5CE3" w14:textId="1A3E5416" w:rsidR="00F57B5A" w:rsidRPr="00786AC7" w:rsidRDefault="00F57B5A" w:rsidP="008D5244">
      <w:pPr>
        <w:ind w:firstLine="0"/>
        <w:rPr>
          <w:rFonts w:cs="Times New Roman"/>
          <w:b/>
          <w:sz w:val="24"/>
          <w:szCs w:val="24"/>
        </w:rPr>
      </w:pPr>
      <w:r w:rsidRPr="00786AC7">
        <w:rPr>
          <w:rFonts w:cs="Times New Roman"/>
          <w:b/>
          <w:sz w:val="24"/>
          <w:szCs w:val="24"/>
        </w:rPr>
        <w:t>2c.</w:t>
      </w:r>
      <w:r w:rsidR="008D5244" w:rsidRPr="00786AC7">
        <w:rPr>
          <w:rFonts w:cs="Times New Roman"/>
          <w:b/>
          <w:sz w:val="24"/>
          <w:szCs w:val="24"/>
        </w:rPr>
        <w:t xml:space="preserve"> </w:t>
      </w:r>
      <w:r w:rsidRPr="00786AC7">
        <w:rPr>
          <w:rFonts w:cs="Times New Roman"/>
          <w:b/>
          <w:sz w:val="24"/>
          <w:szCs w:val="24"/>
        </w:rPr>
        <w:t>tabula. Izdevumi, kas tiek izslēgti no izdevumu kritērija</w:t>
      </w:r>
    </w:p>
    <w:p w14:paraId="7572090D" w14:textId="77777777" w:rsidR="00C54B78" w:rsidRPr="00874664" w:rsidRDefault="00C54B78" w:rsidP="008D5244">
      <w:pPr>
        <w:ind w:firstLine="0"/>
        <w:rPr>
          <w:rFonts w:cs="Times New Roman"/>
          <w:b/>
          <w:sz w:val="24"/>
          <w:szCs w:val="24"/>
          <w:highlight w:val="lightGray"/>
        </w:rPr>
      </w:pPr>
    </w:p>
    <w:tbl>
      <w:tblPr>
        <w:tblStyle w:val="GridTable6Colorful-Accent118"/>
        <w:tblW w:w="10518" w:type="dxa"/>
        <w:jc w:val="center"/>
        <w:tblLook w:val="04A0" w:firstRow="1" w:lastRow="0" w:firstColumn="1" w:lastColumn="0" w:noHBand="0" w:noVBand="1"/>
      </w:tblPr>
      <w:tblGrid>
        <w:gridCol w:w="4087"/>
        <w:gridCol w:w="1169"/>
        <w:gridCol w:w="877"/>
        <w:gridCol w:w="877"/>
        <w:gridCol w:w="877"/>
        <w:gridCol w:w="877"/>
        <w:gridCol w:w="877"/>
        <w:gridCol w:w="877"/>
      </w:tblGrid>
      <w:tr w:rsidR="00C54B78" w:rsidRPr="00874664" w14:paraId="161BA571" w14:textId="77777777" w:rsidTr="00C54B78">
        <w:trPr>
          <w:cnfStyle w:val="100000000000" w:firstRow="1" w:lastRow="0" w:firstColumn="0" w:lastColumn="0" w:oddVBand="0" w:evenVBand="0" w:oddHBand="0"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4087" w:type="dxa"/>
            <w:noWrap/>
            <w:vAlign w:val="bottom"/>
          </w:tcPr>
          <w:p w14:paraId="268E2CF2" w14:textId="77777777" w:rsidR="00C54B78" w:rsidRPr="00874664" w:rsidRDefault="00C54B78" w:rsidP="00C54B78">
            <w:pPr>
              <w:ind w:firstLine="31"/>
              <w:rPr>
                <w:rFonts w:cs="Times New Roman"/>
                <w:b w:val="0"/>
                <w:color w:val="000000"/>
                <w:sz w:val="18"/>
                <w:szCs w:val="18"/>
                <w:highlight w:val="lightGray"/>
              </w:rPr>
            </w:pPr>
          </w:p>
        </w:tc>
        <w:tc>
          <w:tcPr>
            <w:tcW w:w="1169" w:type="dxa"/>
            <w:noWrap/>
            <w:vAlign w:val="center"/>
          </w:tcPr>
          <w:p w14:paraId="375EF56A" w14:textId="439410F3" w:rsidR="00C54B78" w:rsidRPr="00786AC7" w:rsidRDefault="00C54B78" w:rsidP="00C54B78">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786AC7">
              <w:rPr>
                <w:rFonts w:cs="Times New Roman"/>
                <w:color w:val="000000"/>
                <w:sz w:val="18"/>
                <w:szCs w:val="18"/>
              </w:rPr>
              <w:t>2023</w:t>
            </w:r>
          </w:p>
        </w:tc>
        <w:tc>
          <w:tcPr>
            <w:tcW w:w="877" w:type="dxa"/>
            <w:noWrap/>
          </w:tcPr>
          <w:p w14:paraId="5CEDBA0F" w14:textId="64CE268E" w:rsidR="00C54B78" w:rsidRPr="00786AC7" w:rsidRDefault="00C54B78" w:rsidP="00C54B78">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786AC7">
              <w:rPr>
                <w:rFonts w:cs="Times New Roman"/>
                <w:bCs w:val="0"/>
                <w:color w:val="000000"/>
                <w:sz w:val="18"/>
                <w:szCs w:val="18"/>
              </w:rPr>
              <w:t>2023</w:t>
            </w:r>
          </w:p>
        </w:tc>
        <w:tc>
          <w:tcPr>
            <w:tcW w:w="877" w:type="dxa"/>
            <w:vAlign w:val="center"/>
          </w:tcPr>
          <w:p w14:paraId="2707C8BD" w14:textId="0B5BCF13" w:rsidR="00C54B78" w:rsidRPr="00786AC7" w:rsidRDefault="00C54B78" w:rsidP="00C54B78">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786AC7">
              <w:rPr>
                <w:rFonts w:cs="Times New Roman"/>
                <w:bCs w:val="0"/>
                <w:color w:val="000000"/>
                <w:sz w:val="18"/>
                <w:szCs w:val="18"/>
              </w:rPr>
              <w:t>2024</w:t>
            </w:r>
          </w:p>
        </w:tc>
        <w:tc>
          <w:tcPr>
            <w:tcW w:w="877" w:type="dxa"/>
            <w:vAlign w:val="center"/>
          </w:tcPr>
          <w:p w14:paraId="70ACB4BA" w14:textId="5C23B26A" w:rsidR="00C54B78" w:rsidRPr="00786AC7" w:rsidRDefault="00C54B78" w:rsidP="00C54B78">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786AC7">
              <w:rPr>
                <w:rFonts w:cs="Times New Roman"/>
                <w:bCs w:val="0"/>
                <w:color w:val="000000"/>
                <w:sz w:val="18"/>
                <w:szCs w:val="18"/>
              </w:rPr>
              <w:t>2025</w:t>
            </w:r>
          </w:p>
        </w:tc>
        <w:tc>
          <w:tcPr>
            <w:tcW w:w="877" w:type="dxa"/>
            <w:vAlign w:val="center"/>
          </w:tcPr>
          <w:p w14:paraId="2C9E3B02" w14:textId="60807448" w:rsidR="00C54B78" w:rsidRPr="00786AC7" w:rsidRDefault="00C54B78" w:rsidP="00C54B78">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786AC7">
              <w:rPr>
                <w:rFonts w:cs="Times New Roman"/>
                <w:bCs w:val="0"/>
                <w:color w:val="000000"/>
                <w:sz w:val="18"/>
                <w:szCs w:val="18"/>
              </w:rPr>
              <w:t>2026</w:t>
            </w:r>
          </w:p>
        </w:tc>
        <w:tc>
          <w:tcPr>
            <w:tcW w:w="877" w:type="dxa"/>
          </w:tcPr>
          <w:p w14:paraId="74396E46" w14:textId="32C19599" w:rsidR="00C54B78" w:rsidRPr="00786AC7" w:rsidRDefault="00C54B78" w:rsidP="00C54B78">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8"/>
                <w:szCs w:val="18"/>
              </w:rPr>
            </w:pPr>
            <w:r w:rsidRPr="00786AC7">
              <w:rPr>
                <w:rFonts w:cs="Times New Roman"/>
                <w:bCs w:val="0"/>
                <w:color w:val="000000"/>
                <w:sz w:val="18"/>
                <w:szCs w:val="18"/>
              </w:rPr>
              <w:t>2027</w:t>
            </w:r>
          </w:p>
        </w:tc>
        <w:tc>
          <w:tcPr>
            <w:tcW w:w="877" w:type="dxa"/>
            <w:vAlign w:val="center"/>
          </w:tcPr>
          <w:p w14:paraId="50F9B182" w14:textId="7544A1AB" w:rsidR="00C54B78" w:rsidRPr="00786AC7" w:rsidRDefault="00C54B78" w:rsidP="00C54B78">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786AC7">
              <w:rPr>
                <w:rFonts w:cs="Times New Roman"/>
                <w:color w:val="000000" w:themeColor="text1"/>
                <w:sz w:val="18"/>
                <w:szCs w:val="18"/>
                <w:lang w:eastAsia="lv-LV"/>
              </w:rPr>
              <w:t>2028</w:t>
            </w:r>
          </w:p>
        </w:tc>
      </w:tr>
      <w:tr w:rsidR="00C54B78" w:rsidRPr="00874664" w14:paraId="4EF0F546" w14:textId="77777777" w:rsidTr="00C54B78">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4087" w:type="dxa"/>
            <w:noWrap/>
            <w:vAlign w:val="bottom"/>
          </w:tcPr>
          <w:p w14:paraId="651EF6B7" w14:textId="77777777" w:rsidR="00C54B78" w:rsidRPr="00786AC7" w:rsidRDefault="00C54B78" w:rsidP="00C54B78">
            <w:pPr>
              <w:ind w:firstLine="31"/>
              <w:rPr>
                <w:rFonts w:cs="Times New Roman"/>
                <w:b w:val="0"/>
                <w:color w:val="000000"/>
                <w:sz w:val="18"/>
                <w:szCs w:val="18"/>
              </w:rPr>
            </w:pPr>
          </w:p>
        </w:tc>
        <w:tc>
          <w:tcPr>
            <w:tcW w:w="1169" w:type="dxa"/>
            <w:noWrap/>
            <w:vAlign w:val="center"/>
          </w:tcPr>
          <w:p w14:paraId="6FEBBF2E" w14:textId="5B9ADC5C" w:rsidR="00C54B78" w:rsidRPr="00786AC7" w:rsidRDefault="00C54B78" w:rsidP="00C54B78">
            <w:pPr>
              <w:ind w:firstLine="31"/>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themeColor="text1"/>
                <w:sz w:val="18"/>
                <w:szCs w:val="18"/>
                <w:lang w:eastAsia="lv-LV"/>
              </w:rPr>
            </w:pPr>
            <w:r w:rsidRPr="00786AC7">
              <w:rPr>
                <w:rFonts w:cs="Times New Roman"/>
                <w:b/>
                <w:bCs/>
                <w:color w:val="000000" w:themeColor="text1"/>
                <w:sz w:val="18"/>
                <w:szCs w:val="18"/>
                <w:lang w:eastAsia="lv-LV"/>
              </w:rPr>
              <w:t xml:space="preserve">milj. </w:t>
            </w:r>
            <w:proofErr w:type="spellStart"/>
            <w:r w:rsidRPr="00786AC7">
              <w:rPr>
                <w:rFonts w:cs="Times New Roman"/>
                <w:b/>
                <w:bCs/>
                <w:i/>
                <w:iCs/>
                <w:color w:val="000000" w:themeColor="text1"/>
                <w:sz w:val="18"/>
                <w:szCs w:val="18"/>
                <w:lang w:eastAsia="lv-LV"/>
              </w:rPr>
              <w:t>euro</w:t>
            </w:r>
            <w:proofErr w:type="spellEnd"/>
          </w:p>
        </w:tc>
        <w:tc>
          <w:tcPr>
            <w:tcW w:w="5262" w:type="dxa"/>
            <w:gridSpan w:val="6"/>
            <w:noWrap/>
          </w:tcPr>
          <w:p w14:paraId="4212310F" w14:textId="3661C033" w:rsidR="00C54B78" w:rsidRPr="00786AC7" w:rsidRDefault="00C54B78" w:rsidP="00C54B78">
            <w:pPr>
              <w:ind w:firstLine="31"/>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themeColor="text1"/>
                <w:sz w:val="18"/>
                <w:szCs w:val="18"/>
                <w:lang w:eastAsia="lv-LV"/>
              </w:rPr>
            </w:pPr>
            <w:r w:rsidRPr="00786AC7">
              <w:rPr>
                <w:rFonts w:cs="Times New Roman"/>
                <w:b/>
                <w:bCs/>
                <w:color w:val="000000" w:themeColor="text1"/>
                <w:sz w:val="18"/>
                <w:szCs w:val="18"/>
                <w:lang w:eastAsia="lv-LV"/>
              </w:rPr>
              <w:t>% no IKP</w:t>
            </w:r>
          </w:p>
        </w:tc>
      </w:tr>
      <w:tr w:rsidR="00786AC7" w:rsidRPr="00786AC7" w14:paraId="1E2EEEA6" w14:textId="77777777" w:rsidTr="00CB3264">
        <w:trPr>
          <w:trHeight w:val="63"/>
          <w:jc w:val="center"/>
        </w:trPr>
        <w:tc>
          <w:tcPr>
            <w:cnfStyle w:val="001000000000" w:firstRow="0" w:lastRow="0" w:firstColumn="1" w:lastColumn="0" w:oddVBand="0" w:evenVBand="0" w:oddHBand="0" w:evenHBand="0" w:firstRowFirstColumn="0" w:firstRowLastColumn="0" w:lastRowFirstColumn="0" w:lastRowLastColumn="0"/>
            <w:tcW w:w="4087" w:type="dxa"/>
            <w:noWrap/>
            <w:vAlign w:val="center"/>
          </w:tcPr>
          <w:p w14:paraId="5E87F632" w14:textId="11BA45FC" w:rsidR="00786AC7" w:rsidRPr="00786AC7" w:rsidRDefault="00786AC7" w:rsidP="00786AC7">
            <w:pPr>
              <w:ind w:firstLine="0"/>
              <w:rPr>
                <w:rFonts w:cs="Times New Roman"/>
                <w:b w:val="0"/>
                <w:color w:val="auto"/>
                <w:sz w:val="18"/>
                <w:szCs w:val="18"/>
              </w:rPr>
            </w:pPr>
            <w:r w:rsidRPr="00786AC7">
              <w:rPr>
                <w:rFonts w:eastAsia="Times New Roman" w:cs="Times New Roman"/>
                <w:b w:val="0"/>
                <w:color w:val="auto"/>
                <w:sz w:val="18"/>
                <w:szCs w:val="18"/>
                <w:lang w:eastAsia="lv-LV"/>
              </w:rPr>
              <w:t>1. Izdevumi ārvalstu finanšu palīdzības projektiem, kas atbilst saņemtajiem ārvalstu finanšu palīdzības ieņēmumiem</w:t>
            </w:r>
          </w:p>
        </w:tc>
        <w:tc>
          <w:tcPr>
            <w:tcW w:w="1169" w:type="dxa"/>
            <w:noWrap/>
          </w:tcPr>
          <w:p w14:paraId="2B6FDF3D" w14:textId="77777777" w:rsidR="00786AC7" w:rsidRPr="00786AC7" w:rsidRDefault="00786AC7" w:rsidP="00786AC7">
            <w:pPr>
              <w:spacing w:before="120" w:after="120"/>
              <w:ind w:firstLine="31"/>
              <w:contextualSpacing/>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p w14:paraId="1DE9E77B" w14:textId="377555F8" w:rsidR="00786AC7" w:rsidRPr="00786AC7" w:rsidRDefault="00786AC7" w:rsidP="00786AC7">
            <w:pPr>
              <w:spacing w:before="120" w:after="120"/>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463</w:t>
            </w:r>
          </w:p>
        </w:tc>
        <w:tc>
          <w:tcPr>
            <w:tcW w:w="877" w:type="dxa"/>
            <w:noWrap/>
          </w:tcPr>
          <w:p w14:paraId="1B7A55C7" w14:textId="77777777" w:rsid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p w14:paraId="1B715A9E" w14:textId="3335368C" w:rsidR="00786AC7" w:rsidRP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1,1</w:t>
            </w:r>
          </w:p>
        </w:tc>
        <w:tc>
          <w:tcPr>
            <w:tcW w:w="877" w:type="dxa"/>
            <w:noWrap/>
          </w:tcPr>
          <w:p w14:paraId="1C0818A0" w14:textId="77777777" w:rsid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p w14:paraId="42754640" w14:textId="3F39809F" w:rsidR="00786AC7" w:rsidRP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1,6</w:t>
            </w:r>
          </w:p>
        </w:tc>
        <w:tc>
          <w:tcPr>
            <w:tcW w:w="877" w:type="dxa"/>
            <w:noWrap/>
          </w:tcPr>
          <w:p w14:paraId="4CCD3B67" w14:textId="77777777" w:rsid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p w14:paraId="426096CE" w14:textId="7DA562D3" w:rsidR="00786AC7" w:rsidRP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1,9</w:t>
            </w:r>
          </w:p>
        </w:tc>
        <w:tc>
          <w:tcPr>
            <w:tcW w:w="877" w:type="dxa"/>
            <w:noWrap/>
          </w:tcPr>
          <w:p w14:paraId="7DB1CFF9" w14:textId="77777777" w:rsid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p w14:paraId="4E765650" w14:textId="786CB6E8" w:rsidR="00786AC7" w:rsidRP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2,1</w:t>
            </w:r>
          </w:p>
        </w:tc>
        <w:tc>
          <w:tcPr>
            <w:tcW w:w="877" w:type="dxa"/>
          </w:tcPr>
          <w:p w14:paraId="5B48C150" w14:textId="77777777" w:rsid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p w14:paraId="125A0C68" w14:textId="298480AA" w:rsidR="00786AC7" w:rsidRP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highlight w:val="lightGray"/>
              </w:rPr>
            </w:pPr>
            <w:r w:rsidRPr="00786AC7">
              <w:rPr>
                <w:color w:val="auto"/>
                <w:sz w:val="18"/>
                <w:szCs w:val="18"/>
              </w:rPr>
              <w:t>1,8</w:t>
            </w:r>
          </w:p>
        </w:tc>
        <w:tc>
          <w:tcPr>
            <w:tcW w:w="877" w:type="dxa"/>
            <w:noWrap/>
          </w:tcPr>
          <w:p w14:paraId="0744B7AF" w14:textId="77777777" w:rsid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p w14:paraId="44697EB6" w14:textId="112D05D0" w:rsidR="00786AC7" w:rsidRPr="00786AC7" w:rsidRDefault="00786AC7" w:rsidP="00786AC7">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1,2</w:t>
            </w:r>
          </w:p>
        </w:tc>
      </w:tr>
      <w:tr w:rsidR="00786AC7" w:rsidRPr="00786AC7" w14:paraId="2D160260" w14:textId="77777777" w:rsidTr="00CB3264">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087" w:type="dxa"/>
            <w:noWrap/>
            <w:vAlign w:val="center"/>
          </w:tcPr>
          <w:p w14:paraId="09862AAD" w14:textId="77777777" w:rsidR="00786AC7" w:rsidRPr="00541E7C" w:rsidRDefault="00786AC7" w:rsidP="00786AC7">
            <w:pPr>
              <w:ind w:firstLine="0"/>
              <w:contextualSpacing/>
              <w:rPr>
                <w:rFonts w:cs="Times New Roman"/>
                <w:b w:val="0"/>
                <w:color w:val="auto"/>
                <w:sz w:val="18"/>
                <w:szCs w:val="18"/>
              </w:rPr>
            </w:pPr>
            <w:r w:rsidRPr="00541E7C">
              <w:rPr>
                <w:rFonts w:eastAsia="Times New Roman" w:cs="Times New Roman"/>
                <w:b w:val="0"/>
                <w:color w:val="auto"/>
                <w:sz w:val="18"/>
                <w:szCs w:val="18"/>
                <w:lang w:eastAsia="lv-LV"/>
              </w:rPr>
              <w:t>1.a no kuriem kapitālie izdevumi (bruto pamatkapitāla veidošana), kas atbilst saņemtajiem ārvalstu finanšu palīdzības ieņēmumiem</w:t>
            </w:r>
          </w:p>
        </w:tc>
        <w:tc>
          <w:tcPr>
            <w:tcW w:w="1169" w:type="dxa"/>
            <w:noWrap/>
          </w:tcPr>
          <w:p w14:paraId="713C7585" w14:textId="77777777" w:rsidR="00786AC7" w:rsidRPr="00541E7C" w:rsidRDefault="00786AC7" w:rsidP="00786AC7">
            <w:pPr>
              <w:spacing w:before="120" w:after="120"/>
              <w:ind w:firstLine="31"/>
              <w:contextualSpacing/>
              <w:jc w:val="center"/>
              <w:cnfStyle w:val="000000100000" w:firstRow="0" w:lastRow="0" w:firstColumn="0" w:lastColumn="0" w:oddVBand="0" w:evenVBand="0" w:oddHBand="1" w:evenHBand="0" w:firstRowFirstColumn="0" w:firstRowLastColumn="0" w:lastRowFirstColumn="0" w:lastRowLastColumn="0"/>
              <w:rPr>
                <w:color w:val="auto"/>
                <w:sz w:val="18"/>
                <w:szCs w:val="18"/>
              </w:rPr>
            </w:pPr>
          </w:p>
          <w:p w14:paraId="144278E9" w14:textId="48C2B8E8" w:rsidR="00786AC7" w:rsidRPr="00541E7C" w:rsidRDefault="00786AC7" w:rsidP="00786AC7">
            <w:pPr>
              <w:spacing w:before="120" w:after="120"/>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541E7C">
              <w:rPr>
                <w:color w:val="auto"/>
                <w:sz w:val="18"/>
                <w:szCs w:val="18"/>
              </w:rPr>
              <w:t>228</w:t>
            </w:r>
          </w:p>
        </w:tc>
        <w:tc>
          <w:tcPr>
            <w:tcW w:w="877" w:type="dxa"/>
            <w:noWrap/>
          </w:tcPr>
          <w:p w14:paraId="3A3E5793" w14:textId="77777777" w:rsidR="00786AC7" w:rsidRPr="00541E7C"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color w:val="auto"/>
                <w:sz w:val="18"/>
                <w:szCs w:val="18"/>
              </w:rPr>
            </w:pPr>
          </w:p>
          <w:p w14:paraId="0F8315F9" w14:textId="7247741C" w:rsidR="00786AC7" w:rsidRPr="00541E7C"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541E7C">
              <w:rPr>
                <w:color w:val="auto"/>
                <w:sz w:val="18"/>
                <w:szCs w:val="18"/>
              </w:rPr>
              <w:t>0,6</w:t>
            </w:r>
          </w:p>
        </w:tc>
        <w:tc>
          <w:tcPr>
            <w:tcW w:w="877" w:type="dxa"/>
            <w:noWrap/>
          </w:tcPr>
          <w:p w14:paraId="4C94BC5F" w14:textId="77777777" w:rsid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color w:val="auto"/>
                <w:sz w:val="18"/>
                <w:szCs w:val="18"/>
              </w:rPr>
            </w:pPr>
          </w:p>
          <w:p w14:paraId="075A0096" w14:textId="04B2708E" w:rsidR="00786AC7" w:rsidRP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0,9</w:t>
            </w:r>
          </w:p>
        </w:tc>
        <w:tc>
          <w:tcPr>
            <w:tcW w:w="877" w:type="dxa"/>
            <w:noWrap/>
          </w:tcPr>
          <w:p w14:paraId="2B53392E" w14:textId="77777777" w:rsid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color w:val="auto"/>
                <w:sz w:val="18"/>
                <w:szCs w:val="18"/>
              </w:rPr>
            </w:pPr>
          </w:p>
          <w:p w14:paraId="696DBC73" w14:textId="010B589D" w:rsidR="00786AC7" w:rsidRP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1,2</w:t>
            </w:r>
          </w:p>
        </w:tc>
        <w:tc>
          <w:tcPr>
            <w:tcW w:w="877" w:type="dxa"/>
            <w:noWrap/>
          </w:tcPr>
          <w:p w14:paraId="5BA9C880" w14:textId="77777777" w:rsid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color w:val="auto"/>
                <w:sz w:val="18"/>
                <w:szCs w:val="18"/>
              </w:rPr>
            </w:pPr>
          </w:p>
          <w:p w14:paraId="7FB3C78F" w14:textId="32C571C1" w:rsidR="00786AC7" w:rsidRP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1,1</w:t>
            </w:r>
          </w:p>
        </w:tc>
        <w:tc>
          <w:tcPr>
            <w:tcW w:w="877" w:type="dxa"/>
          </w:tcPr>
          <w:p w14:paraId="3F969EBE" w14:textId="77777777" w:rsid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color w:val="auto"/>
                <w:sz w:val="18"/>
                <w:szCs w:val="18"/>
              </w:rPr>
            </w:pPr>
          </w:p>
          <w:p w14:paraId="7E80899F" w14:textId="1B7DAE5B" w:rsidR="00786AC7" w:rsidRP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highlight w:val="lightGray"/>
              </w:rPr>
            </w:pPr>
            <w:r w:rsidRPr="00786AC7">
              <w:rPr>
                <w:color w:val="auto"/>
                <w:sz w:val="18"/>
                <w:szCs w:val="18"/>
              </w:rPr>
              <w:t>0,8</w:t>
            </w:r>
          </w:p>
        </w:tc>
        <w:tc>
          <w:tcPr>
            <w:tcW w:w="877" w:type="dxa"/>
            <w:noWrap/>
          </w:tcPr>
          <w:p w14:paraId="1CD78CE0" w14:textId="77777777" w:rsid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color w:val="auto"/>
                <w:sz w:val="18"/>
                <w:szCs w:val="18"/>
              </w:rPr>
            </w:pPr>
          </w:p>
          <w:p w14:paraId="0C22C616" w14:textId="1054B605" w:rsidR="00786AC7" w:rsidRP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0,6</w:t>
            </w:r>
          </w:p>
        </w:tc>
      </w:tr>
      <w:tr w:rsidR="00786AC7" w:rsidRPr="00786AC7" w14:paraId="6D28CE7C" w14:textId="77777777" w:rsidTr="00CB3264">
        <w:trPr>
          <w:trHeight w:val="440"/>
          <w:jc w:val="center"/>
        </w:trPr>
        <w:tc>
          <w:tcPr>
            <w:cnfStyle w:val="001000000000" w:firstRow="0" w:lastRow="0" w:firstColumn="1" w:lastColumn="0" w:oddVBand="0" w:evenVBand="0" w:oddHBand="0" w:evenHBand="0" w:firstRowFirstColumn="0" w:firstRowLastColumn="0" w:lastRowFirstColumn="0" w:lastRowLastColumn="0"/>
            <w:tcW w:w="4087" w:type="dxa"/>
            <w:noWrap/>
            <w:vAlign w:val="center"/>
          </w:tcPr>
          <w:p w14:paraId="4065E22F" w14:textId="6CE2674E" w:rsidR="00786AC7" w:rsidRPr="00541E7C" w:rsidRDefault="00786AC7" w:rsidP="00786AC7">
            <w:pPr>
              <w:ind w:firstLine="31"/>
              <w:rPr>
                <w:rFonts w:eastAsia="Times New Roman" w:cs="Times New Roman"/>
                <w:b w:val="0"/>
                <w:color w:val="auto"/>
                <w:sz w:val="18"/>
                <w:szCs w:val="18"/>
                <w:lang w:eastAsia="lv-LV"/>
              </w:rPr>
            </w:pPr>
            <w:r w:rsidRPr="00541E7C">
              <w:rPr>
                <w:rFonts w:eastAsia="Times New Roman" w:cs="Times New Roman"/>
                <w:b w:val="0"/>
                <w:color w:val="auto"/>
                <w:sz w:val="18"/>
                <w:szCs w:val="18"/>
                <w:lang w:eastAsia="lv-LV"/>
              </w:rPr>
              <w:t>2. Cikliskie izdevumi bezdarbnieku pabalstiem</w:t>
            </w:r>
          </w:p>
        </w:tc>
        <w:tc>
          <w:tcPr>
            <w:tcW w:w="1169" w:type="dxa"/>
            <w:noWrap/>
          </w:tcPr>
          <w:p w14:paraId="1FA2FF97" w14:textId="7DD40052" w:rsidR="00786AC7" w:rsidRPr="00541E7C" w:rsidRDefault="00786AC7" w:rsidP="00786AC7">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541E7C">
              <w:rPr>
                <w:color w:val="auto"/>
                <w:sz w:val="18"/>
                <w:szCs w:val="18"/>
              </w:rPr>
              <w:t>4,0</w:t>
            </w:r>
          </w:p>
        </w:tc>
        <w:tc>
          <w:tcPr>
            <w:tcW w:w="877" w:type="dxa"/>
            <w:noWrap/>
          </w:tcPr>
          <w:p w14:paraId="4B340784" w14:textId="4EF21C0E" w:rsidR="00786AC7" w:rsidRPr="00541E7C" w:rsidRDefault="00786AC7" w:rsidP="00786AC7">
            <w:pPr>
              <w:spacing w:before="120" w:after="120"/>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541E7C">
              <w:rPr>
                <w:color w:val="auto"/>
                <w:sz w:val="18"/>
                <w:szCs w:val="18"/>
              </w:rPr>
              <w:t>0,0</w:t>
            </w:r>
          </w:p>
        </w:tc>
        <w:tc>
          <w:tcPr>
            <w:tcW w:w="877" w:type="dxa"/>
            <w:noWrap/>
          </w:tcPr>
          <w:p w14:paraId="26112D9E" w14:textId="48E91DC4" w:rsidR="00786AC7" w:rsidRPr="00786AC7" w:rsidRDefault="00786AC7" w:rsidP="00786AC7">
            <w:pPr>
              <w:spacing w:before="120" w:after="120"/>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0,0</w:t>
            </w:r>
          </w:p>
        </w:tc>
        <w:tc>
          <w:tcPr>
            <w:tcW w:w="877" w:type="dxa"/>
            <w:noWrap/>
          </w:tcPr>
          <w:p w14:paraId="7C0FD7FE" w14:textId="3AADAD46" w:rsidR="00786AC7" w:rsidRPr="00786AC7" w:rsidRDefault="00786AC7" w:rsidP="00786AC7">
            <w:pPr>
              <w:spacing w:before="120" w:after="120"/>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0,0</w:t>
            </w:r>
          </w:p>
        </w:tc>
        <w:tc>
          <w:tcPr>
            <w:tcW w:w="877" w:type="dxa"/>
            <w:noWrap/>
          </w:tcPr>
          <w:p w14:paraId="06DE2410" w14:textId="43C044B6" w:rsidR="00786AC7" w:rsidRPr="00786AC7" w:rsidRDefault="00786AC7" w:rsidP="00786AC7">
            <w:pPr>
              <w:spacing w:before="120" w:after="120"/>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0,0</w:t>
            </w:r>
          </w:p>
        </w:tc>
        <w:tc>
          <w:tcPr>
            <w:tcW w:w="877" w:type="dxa"/>
          </w:tcPr>
          <w:p w14:paraId="5AD8D160" w14:textId="4218C139" w:rsidR="00786AC7" w:rsidRPr="00786AC7" w:rsidRDefault="00786AC7" w:rsidP="00786AC7">
            <w:pPr>
              <w:spacing w:before="120" w:after="120"/>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highlight w:val="lightGray"/>
              </w:rPr>
            </w:pPr>
            <w:r w:rsidRPr="00786AC7">
              <w:rPr>
                <w:color w:val="auto"/>
                <w:sz w:val="18"/>
                <w:szCs w:val="18"/>
              </w:rPr>
              <w:t>0,0</w:t>
            </w:r>
          </w:p>
        </w:tc>
        <w:tc>
          <w:tcPr>
            <w:tcW w:w="877" w:type="dxa"/>
            <w:noWrap/>
          </w:tcPr>
          <w:p w14:paraId="131A25CC" w14:textId="4BD67092" w:rsidR="00786AC7" w:rsidRPr="00786AC7" w:rsidRDefault="00786AC7" w:rsidP="00786AC7">
            <w:pPr>
              <w:spacing w:before="120" w:after="120"/>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0,0</w:t>
            </w:r>
          </w:p>
        </w:tc>
      </w:tr>
      <w:tr w:rsidR="00786AC7" w:rsidRPr="00786AC7" w14:paraId="463E1634" w14:textId="77777777" w:rsidTr="00CB3264">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087" w:type="dxa"/>
            <w:noWrap/>
            <w:vAlign w:val="center"/>
          </w:tcPr>
          <w:p w14:paraId="518660E9" w14:textId="49D8DFE8" w:rsidR="00786AC7" w:rsidRPr="00541E7C" w:rsidRDefault="00786AC7" w:rsidP="00786AC7">
            <w:pPr>
              <w:ind w:firstLine="31"/>
              <w:contextualSpacing/>
              <w:rPr>
                <w:rFonts w:eastAsia="Times New Roman" w:cs="Times New Roman"/>
                <w:b w:val="0"/>
                <w:color w:val="auto"/>
                <w:sz w:val="18"/>
                <w:szCs w:val="18"/>
                <w:lang w:eastAsia="lv-LV"/>
              </w:rPr>
            </w:pPr>
            <w:r w:rsidRPr="00541E7C">
              <w:rPr>
                <w:rFonts w:eastAsia="Times New Roman" w:cs="Times New Roman"/>
                <w:b w:val="0"/>
                <w:color w:val="auto"/>
                <w:sz w:val="18"/>
                <w:szCs w:val="18"/>
                <w:lang w:eastAsia="lv-LV"/>
              </w:rPr>
              <w:t xml:space="preserve">3. </w:t>
            </w:r>
            <w:proofErr w:type="spellStart"/>
            <w:r w:rsidRPr="00541E7C">
              <w:rPr>
                <w:rFonts w:eastAsia="Times New Roman" w:cs="Times New Roman"/>
                <w:b w:val="0"/>
                <w:color w:val="auto"/>
                <w:sz w:val="18"/>
                <w:szCs w:val="18"/>
                <w:lang w:eastAsia="lv-LV"/>
              </w:rPr>
              <w:t>Diskrecionāri</w:t>
            </w:r>
            <w:proofErr w:type="spellEnd"/>
            <w:r w:rsidRPr="00541E7C">
              <w:rPr>
                <w:rFonts w:eastAsia="Times New Roman" w:cs="Times New Roman"/>
                <w:b w:val="0"/>
                <w:color w:val="auto"/>
                <w:sz w:val="18"/>
                <w:szCs w:val="18"/>
                <w:lang w:eastAsia="lv-LV"/>
              </w:rPr>
              <w:t xml:space="preserve"> ieņēmumu pasākumi</w:t>
            </w:r>
          </w:p>
        </w:tc>
        <w:tc>
          <w:tcPr>
            <w:tcW w:w="1169" w:type="dxa"/>
            <w:noWrap/>
          </w:tcPr>
          <w:p w14:paraId="2B4099D8" w14:textId="5CA2BF9A" w:rsidR="00786AC7" w:rsidRPr="00541E7C" w:rsidRDefault="00786AC7" w:rsidP="00786AC7">
            <w:pPr>
              <w:spacing w:before="120" w:after="120"/>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541E7C">
              <w:rPr>
                <w:color w:val="auto"/>
                <w:sz w:val="18"/>
                <w:szCs w:val="18"/>
              </w:rPr>
              <w:t>165,</w:t>
            </w:r>
            <w:r w:rsidR="00D31DED" w:rsidRPr="00541E7C">
              <w:rPr>
                <w:color w:val="auto"/>
                <w:sz w:val="18"/>
                <w:szCs w:val="18"/>
              </w:rPr>
              <w:t>4</w:t>
            </w:r>
          </w:p>
        </w:tc>
        <w:tc>
          <w:tcPr>
            <w:tcW w:w="877" w:type="dxa"/>
            <w:noWrap/>
          </w:tcPr>
          <w:p w14:paraId="685ACD15" w14:textId="0BEE9A79" w:rsidR="00786AC7" w:rsidRPr="00541E7C"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541E7C">
              <w:rPr>
                <w:color w:val="auto"/>
                <w:sz w:val="18"/>
                <w:szCs w:val="18"/>
              </w:rPr>
              <w:t>0,4</w:t>
            </w:r>
          </w:p>
        </w:tc>
        <w:tc>
          <w:tcPr>
            <w:tcW w:w="877" w:type="dxa"/>
            <w:noWrap/>
          </w:tcPr>
          <w:p w14:paraId="7E7A81C1" w14:textId="747F046D" w:rsidR="00786AC7" w:rsidRP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1,0</w:t>
            </w:r>
          </w:p>
        </w:tc>
        <w:tc>
          <w:tcPr>
            <w:tcW w:w="877" w:type="dxa"/>
            <w:noWrap/>
          </w:tcPr>
          <w:p w14:paraId="3CD0D53B" w14:textId="063FB055" w:rsidR="00786AC7" w:rsidRP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-0,7</w:t>
            </w:r>
          </w:p>
        </w:tc>
        <w:tc>
          <w:tcPr>
            <w:tcW w:w="877" w:type="dxa"/>
            <w:noWrap/>
          </w:tcPr>
          <w:p w14:paraId="329105B0" w14:textId="75038A95" w:rsidR="00786AC7" w:rsidRP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0,2</w:t>
            </w:r>
          </w:p>
        </w:tc>
        <w:tc>
          <w:tcPr>
            <w:tcW w:w="877" w:type="dxa"/>
          </w:tcPr>
          <w:p w14:paraId="551C3C0A" w14:textId="23E87BCE" w:rsidR="00786AC7" w:rsidRP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highlight w:val="lightGray"/>
              </w:rPr>
            </w:pPr>
            <w:r w:rsidRPr="00786AC7">
              <w:rPr>
                <w:color w:val="auto"/>
                <w:sz w:val="18"/>
                <w:szCs w:val="18"/>
              </w:rPr>
              <w:t>0,0</w:t>
            </w:r>
          </w:p>
        </w:tc>
        <w:tc>
          <w:tcPr>
            <w:tcW w:w="877" w:type="dxa"/>
            <w:noWrap/>
          </w:tcPr>
          <w:p w14:paraId="0093EED5" w14:textId="0B3568A2" w:rsidR="00786AC7" w:rsidRPr="00786AC7" w:rsidRDefault="00786AC7" w:rsidP="00786AC7">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highlight w:val="lightGray"/>
              </w:rPr>
            </w:pPr>
            <w:r w:rsidRPr="00786AC7">
              <w:rPr>
                <w:color w:val="auto"/>
                <w:sz w:val="18"/>
                <w:szCs w:val="18"/>
              </w:rPr>
              <w:t>0,0</w:t>
            </w:r>
          </w:p>
        </w:tc>
      </w:tr>
      <w:tr w:rsidR="00786AC7" w:rsidRPr="00786AC7" w14:paraId="07C0AA3A" w14:textId="5B20AAA0" w:rsidTr="00CB3264">
        <w:trPr>
          <w:trHeight w:val="439"/>
          <w:jc w:val="center"/>
        </w:trPr>
        <w:tc>
          <w:tcPr>
            <w:cnfStyle w:val="001000000000" w:firstRow="0" w:lastRow="0" w:firstColumn="1" w:lastColumn="0" w:oddVBand="0" w:evenVBand="0" w:oddHBand="0" w:evenHBand="0" w:firstRowFirstColumn="0" w:firstRowLastColumn="0" w:lastRowFirstColumn="0" w:lastRowLastColumn="0"/>
            <w:tcW w:w="4087" w:type="dxa"/>
            <w:noWrap/>
            <w:vAlign w:val="center"/>
          </w:tcPr>
          <w:p w14:paraId="56E6A4E7" w14:textId="792EA025" w:rsidR="00786AC7" w:rsidRPr="00786AC7" w:rsidRDefault="00786AC7" w:rsidP="00786AC7">
            <w:pPr>
              <w:ind w:firstLine="31"/>
              <w:jc w:val="left"/>
              <w:rPr>
                <w:rFonts w:eastAsia="Times New Roman" w:cs="Times New Roman"/>
                <w:b w:val="0"/>
                <w:color w:val="auto"/>
                <w:sz w:val="18"/>
                <w:szCs w:val="18"/>
                <w:lang w:eastAsia="lv-LV"/>
              </w:rPr>
            </w:pPr>
            <w:r w:rsidRPr="00786AC7">
              <w:rPr>
                <w:rFonts w:eastAsia="Times New Roman" w:cs="Times New Roman"/>
                <w:b w:val="0"/>
                <w:color w:val="auto"/>
                <w:sz w:val="18"/>
                <w:szCs w:val="18"/>
                <w:lang w:eastAsia="lv-LV"/>
              </w:rPr>
              <w:t>4. Ieņēmumu palielinājums, kas apstiprināts ar likumu</w:t>
            </w:r>
          </w:p>
        </w:tc>
        <w:tc>
          <w:tcPr>
            <w:tcW w:w="1169" w:type="dxa"/>
            <w:noWrap/>
          </w:tcPr>
          <w:p w14:paraId="69511951" w14:textId="1444238D" w:rsidR="00786AC7" w:rsidRPr="00786AC7" w:rsidRDefault="00786AC7" w:rsidP="00786AC7">
            <w:pPr>
              <w:spacing w:before="120" w:after="120"/>
              <w:ind w:left="57" w:firstLine="0"/>
              <w:jc w:val="center"/>
              <w:outlineLvl w:val="0"/>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bookmarkStart w:id="89" w:name="_Toc164679848"/>
            <w:r w:rsidRPr="00786AC7">
              <w:rPr>
                <w:color w:val="auto"/>
                <w:sz w:val="18"/>
                <w:szCs w:val="18"/>
              </w:rPr>
              <w:t>0</w:t>
            </w:r>
            <w:bookmarkEnd w:id="89"/>
          </w:p>
        </w:tc>
        <w:tc>
          <w:tcPr>
            <w:tcW w:w="877" w:type="dxa"/>
            <w:noWrap/>
          </w:tcPr>
          <w:p w14:paraId="67452BBD" w14:textId="49B68707" w:rsidR="00786AC7" w:rsidRPr="00786AC7" w:rsidRDefault="00786AC7" w:rsidP="00786AC7">
            <w:pPr>
              <w:spacing w:before="120" w:after="120"/>
              <w:ind w:left="57" w:firstLine="31"/>
              <w:jc w:val="center"/>
              <w:outlineLvl w:val="0"/>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bookmarkStart w:id="90" w:name="_Toc164679849"/>
            <w:r w:rsidRPr="00786AC7">
              <w:rPr>
                <w:color w:val="auto"/>
                <w:sz w:val="18"/>
                <w:szCs w:val="18"/>
              </w:rPr>
              <w:t>0</w:t>
            </w:r>
            <w:bookmarkEnd w:id="90"/>
          </w:p>
        </w:tc>
        <w:tc>
          <w:tcPr>
            <w:tcW w:w="877" w:type="dxa"/>
            <w:noWrap/>
          </w:tcPr>
          <w:p w14:paraId="63ABE067" w14:textId="5CBF71D2" w:rsidR="00786AC7" w:rsidRPr="00786AC7" w:rsidRDefault="00786AC7" w:rsidP="00786AC7">
            <w:pPr>
              <w:spacing w:before="120" w:after="120"/>
              <w:ind w:left="57" w:firstLine="31"/>
              <w:jc w:val="center"/>
              <w:outlineLvl w:val="0"/>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bookmarkStart w:id="91" w:name="_Toc164679850"/>
            <w:r w:rsidRPr="00786AC7">
              <w:rPr>
                <w:color w:val="auto"/>
                <w:sz w:val="18"/>
                <w:szCs w:val="18"/>
              </w:rPr>
              <w:t>0</w:t>
            </w:r>
            <w:bookmarkEnd w:id="91"/>
          </w:p>
        </w:tc>
        <w:tc>
          <w:tcPr>
            <w:tcW w:w="877" w:type="dxa"/>
            <w:noWrap/>
          </w:tcPr>
          <w:p w14:paraId="53CCBB17" w14:textId="08252EDE" w:rsidR="00786AC7" w:rsidRPr="00786AC7" w:rsidRDefault="00786AC7" w:rsidP="00786AC7">
            <w:pPr>
              <w:spacing w:before="120" w:after="120"/>
              <w:ind w:left="57" w:firstLine="31"/>
              <w:jc w:val="center"/>
              <w:outlineLvl w:val="0"/>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bookmarkStart w:id="92" w:name="_Toc164679851"/>
            <w:r w:rsidRPr="00786AC7">
              <w:rPr>
                <w:color w:val="auto"/>
                <w:sz w:val="18"/>
                <w:szCs w:val="18"/>
              </w:rPr>
              <w:t>0</w:t>
            </w:r>
            <w:bookmarkEnd w:id="92"/>
          </w:p>
        </w:tc>
        <w:tc>
          <w:tcPr>
            <w:tcW w:w="877" w:type="dxa"/>
            <w:noWrap/>
          </w:tcPr>
          <w:p w14:paraId="70323BDE" w14:textId="7903848D" w:rsidR="00786AC7" w:rsidRPr="00786AC7" w:rsidRDefault="00786AC7" w:rsidP="00786AC7">
            <w:pPr>
              <w:spacing w:before="120" w:after="120"/>
              <w:ind w:left="57" w:firstLine="31"/>
              <w:jc w:val="center"/>
              <w:outlineLvl w:val="0"/>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bookmarkStart w:id="93" w:name="_Toc164679852"/>
            <w:r w:rsidRPr="00786AC7">
              <w:rPr>
                <w:color w:val="auto"/>
                <w:sz w:val="18"/>
                <w:szCs w:val="18"/>
              </w:rPr>
              <w:t>0</w:t>
            </w:r>
            <w:bookmarkEnd w:id="93"/>
          </w:p>
        </w:tc>
        <w:tc>
          <w:tcPr>
            <w:tcW w:w="877" w:type="dxa"/>
          </w:tcPr>
          <w:p w14:paraId="00783F55" w14:textId="17010B8A" w:rsidR="00786AC7" w:rsidRPr="00786AC7" w:rsidRDefault="00786AC7" w:rsidP="00786AC7">
            <w:pPr>
              <w:spacing w:before="120" w:after="120"/>
              <w:ind w:left="57" w:firstLine="31"/>
              <w:jc w:val="center"/>
              <w:outlineLvl w:val="0"/>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bookmarkStart w:id="94" w:name="_Toc164679853"/>
            <w:r w:rsidRPr="00786AC7">
              <w:rPr>
                <w:color w:val="auto"/>
                <w:sz w:val="18"/>
                <w:szCs w:val="18"/>
              </w:rPr>
              <w:t>0</w:t>
            </w:r>
            <w:bookmarkEnd w:id="94"/>
          </w:p>
        </w:tc>
        <w:tc>
          <w:tcPr>
            <w:tcW w:w="877" w:type="dxa"/>
            <w:noWrap/>
          </w:tcPr>
          <w:p w14:paraId="522F9DAC" w14:textId="73871EC2" w:rsidR="00786AC7" w:rsidRPr="00786AC7" w:rsidRDefault="00786AC7" w:rsidP="00786AC7">
            <w:pPr>
              <w:spacing w:before="120" w:after="120"/>
              <w:ind w:left="57" w:firstLine="31"/>
              <w:jc w:val="center"/>
              <w:outlineLvl w:val="0"/>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highlight w:val="lightGray"/>
              </w:rPr>
            </w:pPr>
            <w:bookmarkStart w:id="95" w:name="_Toc164679854"/>
            <w:r w:rsidRPr="00786AC7">
              <w:rPr>
                <w:color w:val="auto"/>
                <w:sz w:val="18"/>
                <w:szCs w:val="18"/>
              </w:rPr>
              <w:t>0</w:t>
            </w:r>
            <w:bookmarkEnd w:id="95"/>
          </w:p>
        </w:tc>
      </w:tr>
    </w:tbl>
    <w:p w14:paraId="03634B9B" w14:textId="3EE45831" w:rsidR="00551502" w:rsidRPr="00786AC7" w:rsidRDefault="00551502" w:rsidP="000F4627">
      <w:pPr>
        <w:keepNext/>
        <w:spacing w:after="120"/>
        <w:ind w:firstLine="0"/>
        <w:rPr>
          <w:rFonts w:eastAsia="Times New Roman" w:cs="Times New Roman"/>
          <w:b/>
          <w:sz w:val="18"/>
          <w:szCs w:val="18"/>
          <w:highlight w:val="lightGray"/>
        </w:rPr>
      </w:pPr>
    </w:p>
    <w:p w14:paraId="3916E88E" w14:textId="0F10A99B" w:rsidR="00551502" w:rsidRPr="00551502" w:rsidRDefault="00551502" w:rsidP="00551502">
      <w:pPr>
        <w:spacing w:after="160" w:line="259" w:lineRule="auto"/>
        <w:ind w:firstLine="0"/>
        <w:jc w:val="left"/>
        <w:rPr>
          <w:rFonts w:eastAsia="Times New Roman" w:cs="Times New Roman"/>
          <w:b/>
          <w:color w:val="000000" w:themeColor="text1"/>
          <w:sz w:val="24"/>
          <w:szCs w:val="24"/>
          <w:highlight w:val="lightGray"/>
        </w:rPr>
      </w:pPr>
      <w:r>
        <w:rPr>
          <w:rFonts w:eastAsia="Times New Roman" w:cs="Times New Roman"/>
          <w:b/>
          <w:color w:val="000000" w:themeColor="text1"/>
          <w:sz w:val="24"/>
          <w:szCs w:val="24"/>
          <w:highlight w:val="lightGray"/>
        </w:rPr>
        <w:br w:type="page"/>
      </w:r>
    </w:p>
    <w:p w14:paraId="1B49327F" w14:textId="0E6CEA40" w:rsidR="00884CF9" w:rsidRPr="00545734" w:rsidRDefault="00884CF9" w:rsidP="000F4627">
      <w:pPr>
        <w:keepNext/>
        <w:spacing w:after="120"/>
        <w:ind w:firstLine="0"/>
        <w:rPr>
          <w:rFonts w:eastAsia="Times New Roman" w:cs="Times New Roman"/>
          <w:b/>
          <w:sz w:val="24"/>
          <w:szCs w:val="24"/>
        </w:rPr>
      </w:pPr>
      <w:r w:rsidRPr="00DA6F68">
        <w:rPr>
          <w:rFonts w:eastAsia="Times New Roman" w:cs="Times New Roman"/>
          <w:b/>
          <w:sz w:val="24"/>
          <w:szCs w:val="24"/>
        </w:rPr>
        <w:lastRenderedPageBreak/>
        <w:t>3. tabula. Vispārējās</w:t>
      </w:r>
      <w:r w:rsidRPr="002A71C2">
        <w:rPr>
          <w:rFonts w:eastAsia="Times New Roman" w:cs="Times New Roman"/>
          <w:b/>
          <w:sz w:val="24"/>
          <w:szCs w:val="24"/>
        </w:rPr>
        <w:t xml:space="preserve"> valdības izdevumi funkciju sadalījumā </w:t>
      </w:r>
      <w:r w:rsidR="00A72128" w:rsidRPr="002A71C2">
        <w:rPr>
          <w:rFonts w:eastAsia="Times New Roman" w:cs="Times New Roman"/>
          <w:b/>
          <w:sz w:val="24"/>
          <w:szCs w:val="24"/>
        </w:rPr>
        <w:t>(</w:t>
      </w:r>
      <w:r w:rsidRPr="002A71C2">
        <w:rPr>
          <w:rFonts w:eastAsia="Times New Roman" w:cs="Times New Roman"/>
          <w:b/>
          <w:sz w:val="24"/>
          <w:szCs w:val="24"/>
        </w:rPr>
        <w:t>pie mainīgas politikas</w:t>
      </w:r>
      <w:r w:rsidR="00A72128" w:rsidRPr="002A71C2">
        <w:rPr>
          <w:rFonts w:eastAsia="Times New Roman" w:cs="Times New Roman"/>
          <w:b/>
          <w:sz w:val="24"/>
          <w:szCs w:val="24"/>
        </w:rPr>
        <w:t>)</w:t>
      </w:r>
    </w:p>
    <w:tbl>
      <w:tblPr>
        <w:tblStyle w:val="GridTable6Colorful-Accent117"/>
        <w:tblW w:w="6947" w:type="dxa"/>
        <w:jc w:val="center"/>
        <w:tblLook w:val="04A0" w:firstRow="1" w:lastRow="0" w:firstColumn="1" w:lastColumn="0" w:noHBand="0" w:noVBand="1"/>
      </w:tblPr>
      <w:tblGrid>
        <w:gridCol w:w="4112"/>
        <w:gridCol w:w="1130"/>
        <w:gridCol w:w="846"/>
        <w:gridCol w:w="859"/>
      </w:tblGrid>
      <w:tr w:rsidR="003336F1" w:rsidRPr="006856C6" w14:paraId="3C7D91AD" w14:textId="77777777" w:rsidTr="00551502">
        <w:trPr>
          <w:cnfStyle w:val="100000000000" w:firstRow="1" w:lastRow="0" w:firstColumn="0" w:lastColumn="0" w:oddVBand="0" w:evenVBand="0" w:oddHBand="0" w:evenHBand="0" w:firstRowFirstColumn="0" w:firstRowLastColumn="0" w:lastRowFirstColumn="0" w:lastRowLastColumn="0"/>
          <w:trHeight w:val="529"/>
          <w:tblHeader/>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DEEAF6"/>
            <w:noWrap/>
            <w:vAlign w:val="center"/>
          </w:tcPr>
          <w:p w14:paraId="6222E35D" w14:textId="77777777" w:rsidR="00884CF9" w:rsidRPr="006856C6" w:rsidRDefault="00884CF9" w:rsidP="008D5244">
            <w:pPr>
              <w:ind w:firstLine="0"/>
              <w:jc w:val="left"/>
              <w:rPr>
                <w:rFonts w:cs="Times New Roman"/>
                <w:color w:val="auto"/>
                <w:sz w:val="18"/>
                <w:szCs w:val="18"/>
              </w:rPr>
            </w:pPr>
            <w:r w:rsidRPr="006856C6">
              <w:rPr>
                <w:rFonts w:cs="Times New Roman"/>
                <w:color w:val="auto"/>
                <w:sz w:val="18"/>
                <w:szCs w:val="18"/>
              </w:rPr>
              <w:t>% no IKP</w:t>
            </w:r>
          </w:p>
        </w:tc>
        <w:tc>
          <w:tcPr>
            <w:tcW w:w="1130" w:type="dxa"/>
            <w:shd w:val="clear" w:color="auto" w:fill="DEEAF6"/>
            <w:vAlign w:val="center"/>
          </w:tcPr>
          <w:p w14:paraId="6F794D96" w14:textId="77777777" w:rsidR="00884CF9" w:rsidRPr="006856C6" w:rsidRDefault="00884CF9" w:rsidP="008D5244">
            <w:pPr>
              <w:ind w:firstLine="0"/>
              <w:jc w:val="left"/>
              <w:cnfStyle w:val="100000000000" w:firstRow="1" w:lastRow="0" w:firstColumn="0" w:lastColumn="0" w:oddVBand="0" w:evenVBand="0" w:oddHBand="0" w:evenHBand="0" w:firstRowFirstColumn="0" w:firstRowLastColumn="0" w:lastRowFirstColumn="0" w:lastRowLastColumn="0"/>
              <w:rPr>
                <w:rFonts w:cs="Times New Roman"/>
                <w:color w:val="auto"/>
                <w:sz w:val="18"/>
                <w:szCs w:val="18"/>
              </w:rPr>
            </w:pPr>
            <w:r w:rsidRPr="006856C6">
              <w:rPr>
                <w:rFonts w:cs="Times New Roman"/>
                <w:color w:val="auto"/>
                <w:sz w:val="18"/>
                <w:szCs w:val="18"/>
              </w:rPr>
              <w:t>COFOG kods</w:t>
            </w:r>
          </w:p>
        </w:tc>
        <w:tc>
          <w:tcPr>
            <w:tcW w:w="846" w:type="dxa"/>
            <w:shd w:val="clear" w:color="auto" w:fill="DEEAF6"/>
            <w:vAlign w:val="center"/>
          </w:tcPr>
          <w:p w14:paraId="1BA2556D" w14:textId="74A077A4" w:rsidR="00884CF9" w:rsidRPr="006856C6" w:rsidRDefault="00884CF9" w:rsidP="008D5244">
            <w:pPr>
              <w:ind w:firstLine="0"/>
              <w:jc w:val="left"/>
              <w:cnfStyle w:val="100000000000" w:firstRow="1" w:lastRow="0" w:firstColumn="0" w:lastColumn="0" w:oddVBand="0" w:evenVBand="0" w:oddHBand="0" w:evenHBand="0" w:firstRowFirstColumn="0" w:firstRowLastColumn="0" w:lastRowFirstColumn="0" w:lastRowLastColumn="0"/>
              <w:rPr>
                <w:rFonts w:cs="Times New Roman"/>
                <w:bCs w:val="0"/>
                <w:color w:val="auto"/>
                <w:sz w:val="18"/>
                <w:szCs w:val="18"/>
              </w:rPr>
            </w:pPr>
            <w:r w:rsidRPr="006856C6">
              <w:rPr>
                <w:rFonts w:cs="Times New Roman"/>
                <w:color w:val="auto"/>
                <w:sz w:val="18"/>
                <w:szCs w:val="18"/>
              </w:rPr>
              <w:t>202</w:t>
            </w:r>
            <w:r w:rsidR="00A72128" w:rsidRPr="006856C6">
              <w:rPr>
                <w:rFonts w:cs="Times New Roman"/>
                <w:color w:val="auto"/>
                <w:sz w:val="18"/>
                <w:szCs w:val="18"/>
              </w:rPr>
              <w:t>2</w:t>
            </w:r>
            <w:r w:rsidR="00545734" w:rsidRPr="006856C6">
              <w:rPr>
                <w:rFonts w:cs="Times New Roman"/>
                <w:color w:val="auto"/>
                <w:sz w:val="18"/>
                <w:szCs w:val="18"/>
              </w:rPr>
              <w:t>*</w:t>
            </w:r>
          </w:p>
        </w:tc>
        <w:tc>
          <w:tcPr>
            <w:tcW w:w="859" w:type="dxa"/>
            <w:shd w:val="clear" w:color="auto" w:fill="DEEAF6"/>
            <w:noWrap/>
            <w:vAlign w:val="center"/>
          </w:tcPr>
          <w:p w14:paraId="3DB3F9A9" w14:textId="4DD5D2B6" w:rsidR="00884CF9" w:rsidRPr="006856C6" w:rsidRDefault="00884CF9" w:rsidP="008D5244">
            <w:pPr>
              <w:ind w:firstLine="0"/>
              <w:jc w:val="left"/>
              <w:cnfStyle w:val="100000000000" w:firstRow="1" w:lastRow="0" w:firstColumn="0" w:lastColumn="0" w:oddVBand="0" w:evenVBand="0" w:oddHBand="0" w:evenHBand="0" w:firstRowFirstColumn="0" w:firstRowLastColumn="0" w:lastRowFirstColumn="0" w:lastRowLastColumn="0"/>
              <w:rPr>
                <w:rFonts w:cs="Times New Roman"/>
                <w:bCs w:val="0"/>
                <w:color w:val="auto"/>
                <w:sz w:val="18"/>
                <w:szCs w:val="18"/>
              </w:rPr>
            </w:pPr>
            <w:r w:rsidRPr="006856C6">
              <w:rPr>
                <w:rFonts w:cs="Times New Roman"/>
                <w:color w:val="auto"/>
                <w:sz w:val="18"/>
                <w:szCs w:val="18"/>
              </w:rPr>
              <w:t>202</w:t>
            </w:r>
            <w:r w:rsidR="00545734" w:rsidRPr="006856C6">
              <w:rPr>
                <w:rFonts w:cs="Times New Roman"/>
                <w:color w:val="auto"/>
                <w:sz w:val="18"/>
                <w:szCs w:val="18"/>
              </w:rPr>
              <w:t>8</w:t>
            </w:r>
          </w:p>
        </w:tc>
      </w:tr>
    </w:tbl>
    <w:tbl>
      <w:tblPr>
        <w:tblStyle w:val="GridTable6Colorful-Accent118"/>
        <w:tblW w:w="6947" w:type="dxa"/>
        <w:jc w:val="center"/>
        <w:tblLook w:val="04A0" w:firstRow="1" w:lastRow="0" w:firstColumn="1" w:lastColumn="0" w:noHBand="0" w:noVBand="1"/>
      </w:tblPr>
      <w:tblGrid>
        <w:gridCol w:w="4112"/>
        <w:gridCol w:w="1134"/>
        <w:gridCol w:w="850"/>
        <w:gridCol w:w="851"/>
      </w:tblGrid>
      <w:tr w:rsidR="00DD2E48" w:rsidRPr="006856C6" w14:paraId="214F743B" w14:textId="77777777" w:rsidTr="00DD2E48">
        <w:trPr>
          <w:cnfStyle w:val="100000000000" w:firstRow="1" w:lastRow="0" w:firstColumn="0" w:lastColumn="0" w:oddVBand="0" w:evenVBand="0" w:oddHBand="0"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384A660D" w14:textId="318C3DBC" w:rsidR="00DD2E48" w:rsidRPr="006856C6" w:rsidRDefault="00DD2E48" w:rsidP="00DD2E48">
            <w:pPr>
              <w:ind w:firstLine="0"/>
              <w:jc w:val="left"/>
              <w:rPr>
                <w:rFonts w:cs="Times New Roman"/>
                <w:bCs w:val="0"/>
                <w:color w:val="auto"/>
                <w:sz w:val="18"/>
                <w:szCs w:val="18"/>
              </w:rPr>
            </w:pPr>
            <w:r w:rsidRPr="006856C6">
              <w:rPr>
                <w:rFonts w:cs="Times New Roman"/>
                <w:color w:val="auto"/>
                <w:sz w:val="18"/>
                <w:szCs w:val="18"/>
              </w:rPr>
              <w:t>1. Vispārējie valdības dienesti</w:t>
            </w:r>
          </w:p>
        </w:tc>
        <w:tc>
          <w:tcPr>
            <w:tcW w:w="1134" w:type="dxa"/>
          </w:tcPr>
          <w:p w14:paraId="1939D026" w14:textId="034DE1FA" w:rsidR="00DD2E48" w:rsidRPr="006856C6" w:rsidRDefault="00DD2E48" w:rsidP="00DD2E48">
            <w:pPr>
              <w:ind w:firstLine="0"/>
              <w:jc w:val="left"/>
              <w:cnfStyle w:val="100000000000" w:firstRow="1" w:lastRow="0" w:firstColumn="0" w:lastColumn="0" w:oddVBand="0" w:evenVBand="0" w:oddHBand="0" w:evenHBand="0" w:firstRowFirstColumn="0" w:firstRowLastColumn="0" w:lastRowFirstColumn="0" w:lastRowLastColumn="0"/>
              <w:rPr>
                <w:rFonts w:cs="Times New Roman"/>
                <w:b w:val="0"/>
                <w:bCs w:val="0"/>
                <w:color w:val="auto"/>
                <w:sz w:val="18"/>
                <w:szCs w:val="18"/>
              </w:rPr>
            </w:pPr>
            <w:r w:rsidRPr="006856C6">
              <w:rPr>
                <w:rFonts w:cs="Times New Roman"/>
                <w:b w:val="0"/>
                <w:bCs w:val="0"/>
                <w:color w:val="auto"/>
                <w:sz w:val="18"/>
                <w:szCs w:val="18"/>
              </w:rPr>
              <w:t>1</w:t>
            </w:r>
          </w:p>
        </w:tc>
        <w:tc>
          <w:tcPr>
            <w:tcW w:w="850" w:type="dxa"/>
            <w:noWrap/>
          </w:tcPr>
          <w:p w14:paraId="59F309F6" w14:textId="3114A5BC" w:rsidR="00DD2E48" w:rsidRPr="006856C6" w:rsidRDefault="00DD2E48" w:rsidP="00DD2E48">
            <w:pPr>
              <w:ind w:firstLine="0"/>
              <w:jc w:val="left"/>
              <w:cnfStyle w:val="100000000000" w:firstRow="1" w:lastRow="0" w:firstColumn="0" w:lastColumn="0" w:oddVBand="0" w:evenVBand="0" w:oddHBand="0" w:evenHBand="0" w:firstRowFirstColumn="0" w:firstRowLastColumn="0" w:lastRowFirstColumn="0" w:lastRowLastColumn="0"/>
              <w:rPr>
                <w:rFonts w:cs="Times New Roman"/>
                <w:b w:val="0"/>
                <w:bCs w:val="0"/>
                <w:color w:val="auto"/>
                <w:sz w:val="18"/>
                <w:szCs w:val="18"/>
              </w:rPr>
            </w:pPr>
            <w:r w:rsidRPr="006856C6">
              <w:rPr>
                <w:b w:val="0"/>
                <w:bCs w:val="0"/>
                <w:color w:val="auto"/>
                <w:sz w:val="18"/>
                <w:szCs w:val="18"/>
              </w:rPr>
              <w:t>4,4</w:t>
            </w:r>
          </w:p>
        </w:tc>
        <w:tc>
          <w:tcPr>
            <w:tcW w:w="851" w:type="dxa"/>
            <w:noWrap/>
          </w:tcPr>
          <w:p w14:paraId="5BD1F922" w14:textId="769F25A8" w:rsidR="00DD2E48" w:rsidRPr="001E0D58" w:rsidRDefault="00DD2E48" w:rsidP="00DD2E48">
            <w:pPr>
              <w:ind w:firstLine="0"/>
              <w:jc w:val="left"/>
              <w:cnfStyle w:val="100000000000" w:firstRow="1" w:lastRow="0" w:firstColumn="0" w:lastColumn="0" w:oddVBand="0" w:evenVBand="0" w:oddHBand="0" w:evenHBand="0" w:firstRowFirstColumn="0" w:firstRowLastColumn="0" w:lastRowFirstColumn="0" w:lastRowLastColumn="0"/>
              <w:rPr>
                <w:rFonts w:cs="Times New Roman"/>
                <w:b w:val="0"/>
                <w:bCs w:val="0"/>
                <w:color w:val="auto"/>
                <w:sz w:val="18"/>
                <w:szCs w:val="18"/>
              </w:rPr>
            </w:pPr>
            <w:r w:rsidRPr="001E0D58">
              <w:rPr>
                <w:b w:val="0"/>
                <w:bCs w:val="0"/>
                <w:color w:val="auto"/>
                <w:sz w:val="18"/>
                <w:szCs w:val="18"/>
              </w:rPr>
              <w:t>3,9</w:t>
            </w:r>
          </w:p>
        </w:tc>
      </w:tr>
      <w:tr w:rsidR="00DD2E48" w:rsidRPr="006856C6" w14:paraId="4F9D6748" w14:textId="77777777" w:rsidTr="00DD2E48">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002ABDF9" w14:textId="77777777" w:rsidR="00DD2E48" w:rsidRPr="006856C6" w:rsidRDefault="00DD2E48" w:rsidP="00DD2E48">
            <w:pPr>
              <w:ind w:firstLine="0"/>
              <w:jc w:val="left"/>
              <w:rPr>
                <w:rFonts w:cs="Times New Roman"/>
                <w:bCs w:val="0"/>
                <w:color w:val="auto"/>
                <w:sz w:val="18"/>
                <w:szCs w:val="18"/>
              </w:rPr>
            </w:pPr>
            <w:r w:rsidRPr="006856C6">
              <w:rPr>
                <w:rFonts w:cs="Times New Roman"/>
                <w:color w:val="auto"/>
                <w:sz w:val="18"/>
                <w:szCs w:val="18"/>
              </w:rPr>
              <w:t>2. Aizsardzība</w:t>
            </w:r>
          </w:p>
        </w:tc>
        <w:tc>
          <w:tcPr>
            <w:tcW w:w="1134" w:type="dxa"/>
          </w:tcPr>
          <w:p w14:paraId="02C6B853" w14:textId="3EDA846D" w:rsidR="00DD2E48" w:rsidRPr="006856C6"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rFonts w:cs="Times New Roman"/>
                <w:color w:val="auto"/>
                <w:sz w:val="18"/>
                <w:szCs w:val="18"/>
              </w:rPr>
              <w:t>2</w:t>
            </w:r>
          </w:p>
        </w:tc>
        <w:tc>
          <w:tcPr>
            <w:tcW w:w="850" w:type="dxa"/>
            <w:noWrap/>
          </w:tcPr>
          <w:p w14:paraId="1C9A0AD8" w14:textId="26AC2F21" w:rsidR="00DD2E48" w:rsidRPr="006856C6"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color w:val="auto"/>
                <w:sz w:val="18"/>
                <w:szCs w:val="18"/>
              </w:rPr>
              <w:t>2,2</w:t>
            </w:r>
          </w:p>
        </w:tc>
        <w:tc>
          <w:tcPr>
            <w:tcW w:w="851" w:type="dxa"/>
            <w:noWrap/>
          </w:tcPr>
          <w:p w14:paraId="5C9EB548" w14:textId="5EDBB60F" w:rsidR="00DD2E48" w:rsidRPr="004016DD"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4016DD">
              <w:rPr>
                <w:color w:val="auto"/>
                <w:sz w:val="18"/>
                <w:szCs w:val="18"/>
              </w:rPr>
              <w:t>3,7</w:t>
            </w:r>
          </w:p>
        </w:tc>
      </w:tr>
      <w:tr w:rsidR="00DD2E48" w:rsidRPr="006856C6" w14:paraId="296E461E" w14:textId="77777777" w:rsidTr="00DD2E48">
        <w:trPr>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64900853" w14:textId="77777777" w:rsidR="00DD2E48" w:rsidRPr="006856C6" w:rsidRDefault="00DD2E48" w:rsidP="00DD2E48">
            <w:pPr>
              <w:ind w:firstLine="0"/>
              <w:jc w:val="left"/>
              <w:rPr>
                <w:rFonts w:cs="Times New Roman"/>
                <w:bCs w:val="0"/>
                <w:color w:val="auto"/>
                <w:sz w:val="18"/>
                <w:szCs w:val="18"/>
              </w:rPr>
            </w:pPr>
            <w:r w:rsidRPr="006856C6">
              <w:rPr>
                <w:rFonts w:cs="Times New Roman"/>
                <w:color w:val="auto"/>
                <w:sz w:val="18"/>
                <w:szCs w:val="18"/>
              </w:rPr>
              <w:t>3. Sabiedriskā kārtība un drošība</w:t>
            </w:r>
          </w:p>
        </w:tc>
        <w:tc>
          <w:tcPr>
            <w:tcW w:w="1134" w:type="dxa"/>
          </w:tcPr>
          <w:p w14:paraId="049C49D3" w14:textId="36D2B760" w:rsidR="00DD2E48" w:rsidRPr="006856C6"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rFonts w:cs="Times New Roman"/>
                <w:color w:val="auto"/>
                <w:sz w:val="18"/>
                <w:szCs w:val="18"/>
              </w:rPr>
              <w:t>3</w:t>
            </w:r>
          </w:p>
        </w:tc>
        <w:tc>
          <w:tcPr>
            <w:tcW w:w="850" w:type="dxa"/>
            <w:noWrap/>
          </w:tcPr>
          <w:p w14:paraId="7AC8C5D1" w14:textId="2C5B6303" w:rsidR="00DD2E48" w:rsidRPr="006856C6"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color w:val="auto"/>
                <w:sz w:val="18"/>
                <w:szCs w:val="18"/>
              </w:rPr>
              <w:t>2,0</w:t>
            </w:r>
          </w:p>
        </w:tc>
        <w:tc>
          <w:tcPr>
            <w:tcW w:w="851" w:type="dxa"/>
            <w:noWrap/>
          </w:tcPr>
          <w:p w14:paraId="0359DC8A" w14:textId="2A9C5BDA" w:rsidR="00DD2E48" w:rsidRPr="004016DD"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4016DD">
              <w:rPr>
                <w:color w:val="auto"/>
                <w:sz w:val="18"/>
                <w:szCs w:val="18"/>
              </w:rPr>
              <w:t>1,8</w:t>
            </w:r>
          </w:p>
        </w:tc>
      </w:tr>
      <w:tr w:rsidR="00DD2E48" w:rsidRPr="006856C6" w14:paraId="4D8E3BC8" w14:textId="77777777" w:rsidTr="00DD2E48">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0684B848" w14:textId="77777777" w:rsidR="00DD2E48" w:rsidRPr="006856C6" w:rsidRDefault="00DD2E48" w:rsidP="00DD2E48">
            <w:pPr>
              <w:ind w:firstLine="0"/>
              <w:jc w:val="left"/>
              <w:rPr>
                <w:rFonts w:cs="Times New Roman"/>
                <w:bCs w:val="0"/>
                <w:color w:val="auto"/>
                <w:sz w:val="18"/>
                <w:szCs w:val="18"/>
              </w:rPr>
            </w:pPr>
            <w:r w:rsidRPr="006856C6">
              <w:rPr>
                <w:rFonts w:cs="Times New Roman"/>
                <w:color w:val="auto"/>
                <w:sz w:val="18"/>
                <w:szCs w:val="18"/>
              </w:rPr>
              <w:t>4. Ekonomiskā darbība</w:t>
            </w:r>
          </w:p>
        </w:tc>
        <w:tc>
          <w:tcPr>
            <w:tcW w:w="1134" w:type="dxa"/>
          </w:tcPr>
          <w:p w14:paraId="2C9E4B4B" w14:textId="66CD7935" w:rsidR="00DD2E48" w:rsidRPr="006856C6"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rFonts w:cs="Times New Roman"/>
                <w:color w:val="auto"/>
                <w:sz w:val="18"/>
                <w:szCs w:val="18"/>
              </w:rPr>
              <w:t>4</w:t>
            </w:r>
          </w:p>
        </w:tc>
        <w:tc>
          <w:tcPr>
            <w:tcW w:w="850" w:type="dxa"/>
            <w:noWrap/>
          </w:tcPr>
          <w:p w14:paraId="4FBB4B5F" w14:textId="3E42482C" w:rsidR="00DD2E48" w:rsidRPr="006856C6"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color w:val="auto"/>
                <w:sz w:val="18"/>
                <w:szCs w:val="18"/>
              </w:rPr>
              <w:t>5,7</w:t>
            </w:r>
          </w:p>
        </w:tc>
        <w:tc>
          <w:tcPr>
            <w:tcW w:w="851" w:type="dxa"/>
            <w:noWrap/>
          </w:tcPr>
          <w:p w14:paraId="5F474E28" w14:textId="05564E4C" w:rsidR="00DD2E48" w:rsidRPr="004016DD"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4016DD">
              <w:rPr>
                <w:color w:val="auto"/>
                <w:sz w:val="18"/>
                <w:szCs w:val="18"/>
              </w:rPr>
              <w:t>5,2</w:t>
            </w:r>
          </w:p>
        </w:tc>
      </w:tr>
      <w:tr w:rsidR="00DD2E48" w:rsidRPr="006856C6" w14:paraId="571D6F35" w14:textId="77777777" w:rsidTr="00DD2E48">
        <w:trPr>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64984D08" w14:textId="54B9FEC2" w:rsidR="00551502" w:rsidRPr="001E0D58" w:rsidRDefault="00DD2E48" w:rsidP="00DD2E48">
            <w:pPr>
              <w:ind w:firstLine="0"/>
              <w:jc w:val="left"/>
              <w:rPr>
                <w:rFonts w:cs="Times New Roman"/>
                <w:b w:val="0"/>
                <w:bCs w:val="0"/>
                <w:color w:val="auto"/>
                <w:sz w:val="18"/>
                <w:szCs w:val="18"/>
              </w:rPr>
            </w:pPr>
            <w:r w:rsidRPr="006856C6">
              <w:rPr>
                <w:rFonts w:cs="Times New Roman"/>
                <w:color w:val="auto"/>
                <w:sz w:val="18"/>
                <w:szCs w:val="18"/>
              </w:rPr>
              <w:t>5. Vides aizsardzība</w:t>
            </w:r>
          </w:p>
        </w:tc>
        <w:tc>
          <w:tcPr>
            <w:tcW w:w="1134" w:type="dxa"/>
          </w:tcPr>
          <w:p w14:paraId="41D022E5" w14:textId="6E486808" w:rsidR="00DD2E48" w:rsidRPr="006856C6"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rFonts w:cs="Times New Roman"/>
                <w:color w:val="auto"/>
                <w:sz w:val="18"/>
                <w:szCs w:val="18"/>
              </w:rPr>
              <w:t>5</w:t>
            </w:r>
          </w:p>
        </w:tc>
        <w:tc>
          <w:tcPr>
            <w:tcW w:w="850" w:type="dxa"/>
            <w:noWrap/>
          </w:tcPr>
          <w:p w14:paraId="68D76FC0" w14:textId="1477EA8C" w:rsidR="00DD2E48" w:rsidRPr="006856C6"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color w:val="auto"/>
                <w:sz w:val="18"/>
                <w:szCs w:val="18"/>
              </w:rPr>
              <w:t>0,5</w:t>
            </w:r>
          </w:p>
        </w:tc>
        <w:tc>
          <w:tcPr>
            <w:tcW w:w="851" w:type="dxa"/>
            <w:noWrap/>
          </w:tcPr>
          <w:p w14:paraId="2BE6FA4F" w14:textId="232BB8CB" w:rsidR="00DD2E48" w:rsidRPr="004016DD"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4016DD">
              <w:rPr>
                <w:color w:val="auto"/>
                <w:sz w:val="18"/>
                <w:szCs w:val="18"/>
              </w:rPr>
              <w:t>0,4</w:t>
            </w:r>
          </w:p>
        </w:tc>
      </w:tr>
      <w:tr w:rsidR="00DD2E48" w:rsidRPr="006856C6" w14:paraId="7C4D78A4" w14:textId="77777777" w:rsidTr="00DD2E48">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1F401B2C" w14:textId="180221E9" w:rsidR="00DD2E48" w:rsidRPr="006856C6" w:rsidRDefault="00DD2E48" w:rsidP="00DD2E48">
            <w:pPr>
              <w:ind w:firstLine="0"/>
              <w:jc w:val="left"/>
              <w:rPr>
                <w:rFonts w:cs="Times New Roman"/>
                <w:bCs w:val="0"/>
                <w:color w:val="auto"/>
                <w:sz w:val="18"/>
                <w:szCs w:val="18"/>
              </w:rPr>
            </w:pPr>
            <w:r w:rsidRPr="006856C6">
              <w:rPr>
                <w:rFonts w:cs="Times New Roman"/>
                <w:color w:val="auto"/>
                <w:sz w:val="18"/>
                <w:szCs w:val="18"/>
              </w:rPr>
              <w:t>6. Teritoriju un mājokļu apsaimniekošana</w:t>
            </w:r>
          </w:p>
        </w:tc>
        <w:tc>
          <w:tcPr>
            <w:tcW w:w="1134" w:type="dxa"/>
          </w:tcPr>
          <w:p w14:paraId="795F356E" w14:textId="7B3CBDE1" w:rsidR="00DD2E48" w:rsidRPr="006856C6"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rFonts w:cs="Times New Roman"/>
                <w:color w:val="auto"/>
                <w:sz w:val="18"/>
                <w:szCs w:val="18"/>
              </w:rPr>
              <w:t>6</w:t>
            </w:r>
          </w:p>
        </w:tc>
        <w:tc>
          <w:tcPr>
            <w:tcW w:w="850" w:type="dxa"/>
            <w:noWrap/>
          </w:tcPr>
          <w:p w14:paraId="5491C3FB" w14:textId="66DB68B5" w:rsidR="00DD2E48" w:rsidRPr="006856C6"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color w:val="auto"/>
                <w:sz w:val="18"/>
                <w:szCs w:val="18"/>
              </w:rPr>
              <w:t>0,8</w:t>
            </w:r>
          </w:p>
        </w:tc>
        <w:tc>
          <w:tcPr>
            <w:tcW w:w="851" w:type="dxa"/>
            <w:noWrap/>
          </w:tcPr>
          <w:p w14:paraId="77185A4F" w14:textId="0D84EBDF" w:rsidR="00DD2E48" w:rsidRPr="004016DD"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4016DD">
              <w:rPr>
                <w:color w:val="auto"/>
                <w:sz w:val="18"/>
                <w:szCs w:val="18"/>
              </w:rPr>
              <w:t>0,8</w:t>
            </w:r>
          </w:p>
        </w:tc>
      </w:tr>
      <w:tr w:rsidR="00DD2E48" w:rsidRPr="006856C6" w14:paraId="478E9F1A" w14:textId="77777777" w:rsidTr="00DD2E48">
        <w:trPr>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431A13CE" w14:textId="77777777" w:rsidR="00DD2E48" w:rsidRPr="006856C6" w:rsidRDefault="00DD2E48" w:rsidP="00DD2E48">
            <w:pPr>
              <w:ind w:firstLine="0"/>
              <w:jc w:val="left"/>
              <w:rPr>
                <w:rFonts w:cs="Times New Roman"/>
                <w:bCs w:val="0"/>
                <w:color w:val="auto"/>
                <w:sz w:val="18"/>
                <w:szCs w:val="18"/>
              </w:rPr>
            </w:pPr>
            <w:r w:rsidRPr="006856C6">
              <w:rPr>
                <w:rFonts w:cs="Times New Roman"/>
                <w:color w:val="auto"/>
                <w:sz w:val="18"/>
                <w:szCs w:val="18"/>
              </w:rPr>
              <w:t>7. Veselība</w:t>
            </w:r>
          </w:p>
        </w:tc>
        <w:tc>
          <w:tcPr>
            <w:tcW w:w="1134" w:type="dxa"/>
          </w:tcPr>
          <w:p w14:paraId="5A7692C9" w14:textId="189C4563" w:rsidR="00DD2E48" w:rsidRPr="006856C6"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rFonts w:cs="Times New Roman"/>
                <w:color w:val="auto"/>
                <w:sz w:val="18"/>
                <w:szCs w:val="18"/>
              </w:rPr>
              <w:t>7</w:t>
            </w:r>
          </w:p>
        </w:tc>
        <w:tc>
          <w:tcPr>
            <w:tcW w:w="850" w:type="dxa"/>
            <w:noWrap/>
          </w:tcPr>
          <w:p w14:paraId="11EA17C4" w14:textId="632175DA" w:rsidR="00DD2E48" w:rsidRPr="006856C6"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color w:val="auto"/>
                <w:sz w:val="18"/>
                <w:szCs w:val="18"/>
              </w:rPr>
              <w:t>5,1</w:t>
            </w:r>
          </w:p>
        </w:tc>
        <w:tc>
          <w:tcPr>
            <w:tcW w:w="851" w:type="dxa"/>
            <w:noWrap/>
          </w:tcPr>
          <w:p w14:paraId="5C9E7F83" w14:textId="69A579C2" w:rsidR="00DD2E48" w:rsidRPr="004016DD"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4016DD">
              <w:rPr>
                <w:color w:val="auto"/>
                <w:sz w:val="18"/>
                <w:szCs w:val="18"/>
              </w:rPr>
              <w:t>4,1</w:t>
            </w:r>
          </w:p>
        </w:tc>
      </w:tr>
      <w:tr w:rsidR="00DD2E48" w:rsidRPr="006856C6" w14:paraId="0119C301" w14:textId="77777777" w:rsidTr="00DD2E48">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457A9278" w14:textId="77777777" w:rsidR="00DD2E48" w:rsidRPr="006856C6" w:rsidRDefault="00DD2E48" w:rsidP="00DD2E48">
            <w:pPr>
              <w:ind w:firstLine="0"/>
              <w:jc w:val="left"/>
              <w:rPr>
                <w:rFonts w:cs="Times New Roman"/>
                <w:bCs w:val="0"/>
                <w:color w:val="auto"/>
                <w:sz w:val="18"/>
                <w:szCs w:val="18"/>
              </w:rPr>
            </w:pPr>
            <w:r w:rsidRPr="006856C6">
              <w:rPr>
                <w:rFonts w:cs="Times New Roman"/>
                <w:color w:val="auto"/>
                <w:sz w:val="18"/>
                <w:szCs w:val="18"/>
              </w:rPr>
              <w:t>8. Atpūta, kultūra un reliģija</w:t>
            </w:r>
          </w:p>
        </w:tc>
        <w:tc>
          <w:tcPr>
            <w:tcW w:w="1134" w:type="dxa"/>
          </w:tcPr>
          <w:p w14:paraId="0A51E043" w14:textId="44401053" w:rsidR="00DD2E48" w:rsidRPr="006856C6"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rFonts w:cs="Times New Roman"/>
                <w:color w:val="auto"/>
                <w:sz w:val="18"/>
                <w:szCs w:val="18"/>
              </w:rPr>
              <w:t>8</w:t>
            </w:r>
          </w:p>
        </w:tc>
        <w:tc>
          <w:tcPr>
            <w:tcW w:w="850" w:type="dxa"/>
            <w:noWrap/>
          </w:tcPr>
          <w:p w14:paraId="02151594" w14:textId="3D297BCE" w:rsidR="00DD2E48" w:rsidRPr="006856C6"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color w:val="auto"/>
                <w:sz w:val="18"/>
                <w:szCs w:val="18"/>
              </w:rPr>
              <w:t>1,3</w:t>
            </w:r>
          </w:p>
        </w:tc>
        <w:tc>
          <w:tcPr>
            <w:tcW w:w="851" w:type="dxa"/>
            <w:noWrap/>
          </w:tcPr>
          <w:p w14:paraId="7DE97AD2" w14:textId="1945F373" w:rsidR="00DD2E48" w:rsidRPr="004016DD"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4016DD">
              <w:rPr>
                <w:color w:val="auto"/>
                <w:sz w:val="18"/>
                <w:szCs w:val="18"/>
              </w:rPr>
              <w:t>1,1</w:t>
            </w:r>
          </w:p>
        </w:tc>
      </w:tr>
      <w:tr w:rsidR="00DD2E48" w:rsidRPr="006856C6" w14:paraId="059A6091" w14:textId="77777777" w:rsidTr="00DD2E48">
        <w:trPr>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545AB961" w14:textId="77777777" w:rsidR="00DD2E48" w:rsidRPr="006856C6" w:rsidRDefault="00DD2E48" w:rsidP="00DD2E48">
            <w:pPr>
              <w:ind w:firstLine="0"/>
              <w:jc w:val="left"/>
              <w:rPr>
                <w:rFonts w:cs="Times New Roman"/>
                <w:bCs w:val="0"/>
                <w:color w:val="auto"/>
                <w:sz w:val="18"/>
                <w:szCs w:val="18"/>
              </w:rPr>
            </w:pPr>
            <w:r w:rsidRPr="006856C6">
              <w:rPr>
                <w:rFonts w:cs="Times New Roman"/>
                <w:color w:val="auto"/>
                <w:sz w:val="18"/>
                <w:szCs w:val="18"/>
              </w:rPr>
              <w:t>9. Izglītība</w:t>
            </w:r>
          </w:p>
        </w:tc>
        <w:tc>
          <w:tcPr>
            <w:tcW w:w="1134" w:type="dxa"/>
          </w:tcPr>
          <w:p w14:paraId="3786AB09" w14:textId="4B97F0D9" w:rsidR="00DD2E48" w:rsidRPr="006856C6"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rFonts w:cs="Times New Roman"/>
                <w:color w:val="auto"/>
                <w:sz w:val="18"/>
                <w:szCs w:val="18"/>
              </w:rPr>
              <w:t>9</w:t>
            </w:r>
          </w:p>
        </w:tc>
        <w:tc>
          <w:tcPr>
            <w:tcW w:w="850" w:type="dxa"/>
            <w:noWrap/>
          </w:tcPr>
          <w:p w14:paraId="445C53AF" w14:textId="05321CBF" w:rsidR="00DD2E48" w:rsidRPr="006856C6"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color w:val="auto"/>
                <w:sz w:val="18"/>
                <w:szCs w:val="18"/>
              </w:rPr>
              <w:t>5,3</w:t>
            </w:r>
          </w:p>
        </w:tc>
        <w:tc>
          <w:tcPr>
            <w:tcW w:w="851" w:type="dxa"/>
            <w:noWrap/>
          </w:tcPr>
          <w:p w14:paraId="25032B21" w14:textId="32CE2A3D" w:rsidR="00DD2E48" w:rsidRPr="004016DD"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4016DD">
              <w:rPr>
                <w:color w:val="auto"/>
                <w:sz w:val="18"/>
                <w:szCs w:val="18"/>
              </w:rPr>
              <w:t>5,3</w:t>
            </w:r>
          </w:p>
        </w:tc>
      </w:tr>
      <w:tr w:rsidR="00DD2E48" w:rsidRPr="006856C6" w14:paraId="2522BD17" w14:textId="77777777" w:rsidTr="00DD2E48">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112" w:type="dxa"/>
          </w:tcPr>
          <w:p w14:paraId="0E774A69" w14:textId="77777777" w:rsidR="00DD2E48" w:rsidRPr="006856C6" w:rsidRDefault="00DD2E48" w:rsidP="00DD2E48">
            <w:pPr>
              <w:ind w:firstLine="0"/>
              <w:jc w:val="left"/>
              <w:rPr>
                <w:rFonts w:cs="Times New Roman"/>
                <w:bCs w:val="0"/>
                <w:color w:val="auto"/>
                <w:sz w:val="18"/>
                <w:szCs w:val="18"/>
              </w:rPr>
            </w:pPr>
            <w:r w:rsidRPr="006856C6">
              <w:rPr>
                <w:rFonts w:cs="Times New Roman"/>
                <w:color w:val="auto"/>
                <w:sz w:val="18"/>
                <w:szCs w:val="18"/>
              </w:rPr>
              <w:t>10. Sociālā aizsardzība</w:t>
            </w:r>
          </w:p>
        </w:tc>
        <w:tc>
          <w:tcPr>
            <w:tcW w:w="1134" w:type="dxa"/>
          </w:tcPr>
          <w:p w14:paraId="116E464F" w14:textId="5271849C" w:rsidR="00DD2E48" w:rsidRPr="006856C6"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rFonts w:cs="Times New Roman"/>
                <w:color w:val="auto"/>
                <w:sz w:val="18"/>
                <w:szCs w:val="18"/>
              </w:rPr>
              <w:t>10</w:t>
            </w:r>
          </w:p>
        </w:tc>
        <w:tc>
          <w:tcPr>
            <w:tcW w:w="850" w:type="dxa"/>
            <w:noWrap/>
          </w:tcPr>
          <w:p w14:paraId="4E8C05F6" w14:textId="24C35C55" w:rsidR="00DD2E48" w:rsidRPr="006856C6"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color w:val="auto"/>
                <w:sz w:val="18"/>
                <w:szCs w:val="18"/>
              </w:rPr>
              <w:t>13,2</w:t>
            </w:r>
          </w:p>
        </w:tc>
        <w:tc>
          <w:tcPr>
            <w:tcW w:w="851" w:type="dxa"/>
            <w:noWrap/>
          </w:tcPr>
          <w:p w14:paraId="6CCD9039" w14:textId="23E9F9D2" w:rsidR="00DD2E48" w:rsidRPr="004016DD" w:rsidRDefault="00DD2E48" w:rsidP="00DD2E48">
            <w:pPr>
              <w:ind w:firstLine="0"/>
              <w:jc w:val="left"/>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4016DD">
              <w:rPr>
                <w:color w:val="auto"/>
                <w:sz w:val="18"/>
                <w:szCs w:val="18"/>
              </w:rPr>
              <w:t>13,8</w:t>
            </w:r>
          </w:p>
        </w:tc>
      </w:tr>
      <w:tr w:rsidR="00DD2E48" w:rsidRPr="006856C6" w14:paraId="42668D78" w14:textId="77777777" w:rsidTr="00DD2E48">
        <w:trPr>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40BCE1DD" w14:textId="77777777" w:rsidR="00DD2E48" w:rsidRPr="006856C6" w:rsidRDefault="00DD2E48" w:rsidP="00DD2E48">
            <w:pPr>
              <w:ind w:firstLine="0"/>
              <w:jc w:val="left"/>
              <w:rPr>
                <w:rFonts w:cs="Times New Roman"/>
                <w:bCs w:val="0"/>
                <w:color w:val="auto"/>
                <w:sz w:val="18"/>
                <w:szCs w:val="18"/>
              </w:rPr>
            </w:pPr>
            <w:r w:rsidRPr="006856C6">
              <w:rPr>
                <w:rFonts w:cs="Times New Roman"/>
                <w:color w:val="auto"/>
                <w:sz w:val="18"/>
                <w:szCs w:val="18"/>
              </w:rPr>
              <w:t>11. Kopējie izdevumi</w:t>
            </w:r>
          </w:p>
        </w:tc>
        <w:tc>
          <w:tcPr>
            <w:tcW w:w="1134" w:type="dxa"/>
          </w:tcPr>
          <w:p w14:paraId="2931B234" w14:textId="466C7D1E" w:rsidR="00DD2E48" w:rsidRPr="006856C6"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rFonts w:cs="Times New Roman"/>
                <w:color w:val="auto"/>
                <w:sz w:val="18"/>
                <w:szCs w:val="18"/>
              </w:rPr>
              <w:t>TE</w:t>
            </w:r>
          </w:p>
        </w:tc>
        <w:tc>
          <w:tcPr>
            <w:tcW w:w="850" w:type="dxa"/>
            <w:noWrap/>
          </w:tcPr>
          <w:p w14:paraId="728E4356" w14:textId="6BB91B13" w:rsidR="00DD2E48" w:rsidRPr="006856C6"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color w:val="auto"/>
                <w:sz w:val="18"/>
                <w:szCs w:val="18"/>
              </w:rPr>
              <w:t>40,4</w:t>
            </w:r>
          </w:p>
        </w:tc>
        <w:tc>
          <w:tcPr>
            <w:tcW w:w="851" w:type="dxa"/>
            <w:noWrap/>
          </w:tcPr>
          <w:p w14:paraId="56BA4143" w14:textId="4379BED3" w:rsidR="00DD2E48" w:rsidRPr="004016DD" w:rsidRDefault="00DD2E48" w:rsidP="00DD2E48">
            <w:pPr>
              <w:ind w:firstLine="0"/>
              <w:jc w:val="left"/>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4016DD">
              <w:rPr>
                <w:color w:val="auto"/>
                <w:sz w:val="18"/>
                <w:szCs w:val="18"/>
              </w:rPr>
              <w:t>40,0</w:t>
            </w:r>
          </w:p>
        </w:tc>
      </w:tr>
    </w:tbl>
    <w:p w14:paraId="77B55BA0" w14:textId="51FDE30C" w:rsidR="00862FCD" w:rsidRPr="00545734" w:rsidRDefault="00545734" w:rsidP="00551502">
      <w:pPr>
        <w:spacing w:before="120" w:after="120"/>
        <w:ind w:firstLine="0"/>
        <w:rPr>
          <w:sz w:val="24"/>
          <w:szCs w:val="20"/>
          <w:highlight w:val="lightGray"/>
          <w:lang w:eastAsia="lv-LV"/>
        </w:rPr>
      </w:pPr>
      <w:r w:rsidRPr="00545734">
        <w:rPr>
          <w:sz w:val="18"/>
          <w:szCs w:val="14"/>
          <w:lang w:eastAsia="lv-LV"/>
        </w:rPr>
        <w:t>*2023.</w:t>
      </w:r>
      <w:r>
        <w:rPr>
          <w:sz w:val="18"/>
          <w:szCs w:val="14"/>
          <w:lang w:eastAsia="lv-LV"/>
        </w:rPr>
        <w:t xml:space="preserve"> </w:t>
      </w:r>
      <w:r w:rsidRPr="00545734">
        <w:rPr>
          <w:sz w:val="18"/>
          <w:szCs w:val="14"/>
          <w:lang w:eastAsia="lv-LV"/>
        </w:rPr>
        <w:t>gada oktobra Vispārējās valdības budžeta un parāda notifikācija</w:t>
      </w:r>
    </w:p>
    <w:p w14:paraId="18149B24" w14:textId="77777777" w:rsidR="00C1707D" w:rsidRPr="00874664" w:rsidRDefault="00C1707D" w:rsidP="00786AC7">
      <w:pPr>
        <w:ind w:firstLine="0"/>
        <w:rPr>
          <w:b/>
          <w:bCs/>
          <w:sz w:val="24"/>
          <w:szCs w:val="20"/>
          <w:highlight w:val="lightGray"/>
          <w:lang w:eastAsia="lv-LV"/>
        </w:rPr>
      </w:pPr>
    </w:p>
    <w:p w14:paraId="5FB757D3" w14:textId="62FF0A6C" w:rsidR="00BF4753" w:rsidRPr="008C2C03" w:rsidRDefault="008D5244" w:rsidP="008D5244">
      <w:pPr>
        <w:spacing w:after="120"/>
        <w:ind w:firstLine="0"/>
        <w:rPr>
          <w:b/>
          <w:bCs/>
          <w:sz w:val="24"/>
          <w:szCs w:val="20"/>
          <w:lang w:eastAsia="lv-LV"/>
        </w:rPr>
      </w:pPr>
      <w:r w:rsidRPr="008C2C03">
        <w:rPr>
          <w:b/>
          <w:bCs/>
          <w:sz w:val="24"/>
          <w:szCs w:val="20"/>
          <w:lang w:eastAsia="lv-LV"/>
        </w:rPr>
        <w:t xml:space="preserve">4. </w:t>
      </w:r>
      <w:r w:rsidR="003D5553" w:rsidRPr="008C2C03">
        <w:rPr>
          <w:b/>
          <w:bCs/>
          <w:sz w:val="24"/>
          <w:szCs w:val="20"/>
          <w:lang w:eastAsia="lv-LV"/>
        </w:rPr>
        <w:t>tabula. Vispārējās valdības parāda attīstība un parāda izmaiņas ietekmējošie faktori 202</w:t>
      </w:r>
      <w:r w:rsidR="008C2C03">
        <w:rPr>
          <w:b/>
          <w:bCs/>
          <w:sz w:val="24"/>
          <w:szCs w:val="20"/>
          <w:lang w:eastAsia="lv-LV"/>
        </w:rPr>
        <w:t>3</w:t>
      </w:r>
      <w:r w:rsidR="003D5553" w:rsidRPr="008C2C03">
        <w:rPr>
          <w:b/>
          <w:bCs/>
          <w:sz w:val="24"/>
          <w:szCs w:val="20"/>
          <w:lang w:eastAsia="lv-LV"/>
        </w:rPr>
        <w:t>.</w:t>
      </w:r>
      <w:r w:rsidR="008C2C03">
        <w:rPr>
          <w:b/>
          <w:bCs/>
          <w:sz w:val="24"/>
          <w:szCs w:val="20"/>
          <w:lang w:eastAsia="lv-LV"/>
        </w:rPr>
        <w:t xml:space="preserve"> – </w:t>
      </w:r>
      <w:r w:rsidR="003D5553" w:rsidRPr="008C2C03">
        <w:rPr>
          <w:b/>
          <w:bCs/>
          <w:sz w:val="24"/>
          <w:szCs w:val="20"/>
          <w:lang w:eastAsia="lv-LV"/>
        </w:rPr>
        <w:t>202</w:t>
      </w:r>
      <w:r w:rsidR="008C2C03">
        <w:rPr>
          <w:b/>
          <w:bCs/>
          <w:sz w:val="24"/>
          <w:szCs w:val="20"/>
          <w:lang w:eastAsia="lv-LV"/>
        </w:rPr>
        <w:t>8</w:t>
      </w:r>
      <w:r w:rsidR="003D5553" w:rsidRPr="008C2C03">
        <w:rPr>
          <w:b/>
          <w:bCs/>
          <w:sz w:val="24"/>
          <w:szCs w:val="20"/>
          <w:lang w:eastAsia="lv-LV"/>
        </w:rPr>
        <w:t>. gadā</w:t>
      </w:r>
    </w:p>
    <w:tbl>
      <w:tblPr>
        <w:tblStyle w:val="GridTable6Colorful-Accent1173"/>
        <w:tblW w:w="9922" w:type="dxa"/>
        <w:jc w:val="center"/>
        <w:tblLook w:val="04A0" w:firstRow="1" w:lastRow="0" w:firstColumn="1" w:lastColumn="0" w:noHBand="0" w:noVBand="1"/>
      </w:tblPr>
      <w:tblGrid>
        <w:gridCol w:w="3686"/>
        <w:gridCol w:w="1134"/>
        <w:gridCol w:w="850"/>
        <w:gridCol w:w="851"/>
        <w:gridCol w:w="850"/>
        <w:gridCol w:w="851"/>
        <w:gridCol w:w="850"/>
        <w:gridCol w:w="850"/>
      </w:tblGrid>
      <w:tr w:rsidR="008C2C03" w:rsidRPr="008C2C03" w14:paraId="06986072" w14:textId="2B37F91B" w:rsidTr="00551502">
        <w:trPr>
          <w:cnfStyle w:val="100000000000" w:firstRow="1" w:lastRow="0" w:firstColumn="0" w:lastColumn="0" w:oddVBand="0" w:evenVBand="0" w:oddHBand="0"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C9F32E9"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 no IKP</w:t>
            </w:r>
          </w:p>
        </w:tc>
        <w:tc>
          <w:tcPr>
            <w:tcW w:w="1134" w:type="dxa"/>
            <w:hideMark/>
          </w:tcPr>
          <w:p w14:paraId="7270E21E" w14:textId="2106DB6B" w:rsidR="008C2C03" w:rsidRPr="00B158F8" w:rsidRDefault="008C2C03" w:rsidP="008C2C03">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EKS kods</w:t>
            </w:r>
          </w:p>
        </w:tc>
        <w:tc>
          <w:tcPr>
            <w:tcW w:w="850" w:type="dxa"/>
            <w:noWrap/>
            <w:hideMark/>
          </w:tcPr>
          <w:p w14:paraId="6F9F920E" w14:textId="1FA81749" w:rsidR="008C2C03" w:rsidRPr="00B158F8" w:rsidRDefault="008C2C03" w:rsidP="008C2C03">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lv-LV"/>
              </w:rPr>
            </w:pPr>
            <w:r w:rsidRPr="00B158F8">
              <w:rPr>
                <w:color w:val="auto"/>
                <w:sz w:val="18"/>
                <w:szCs w:val="18"/>
              </w:rPr>
              <w:t>2023</w:t>
            </w:r>
          </w:p>
        </w:tc>
        <w:tc>
          <w:tcPr>
            <w:tcW w:w="851" w:type="dxa"/>
            <w:noWrap/>
            <w:hideMark/>
          </w:tcPr>
          <w:p w14:paraId="57B31859" w14:textId="13F2D72A" w:rsidR="008C2C03" w:rsidRPr="00B158F8" w:rsidRDefault="008C2C03" w:rsidP="008C2C03">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lv-LV"/>
              </w:rPr>
            </w:pPr>
            <w:r w:rsidRPr="00B158F8">
              <w:rPr>
                <w:color w:val="auto"/>
                <w:sz w:val="18"/>
                <w:szCs w:val="18"/>
              </w:rPr>
              <w:t>2024</w:t>
            </w:r>
          </w:p>
        </w:tc>
        <w:tc>
          <w:tcPr>
            <w:tcW w:w="850" w:type="dxa"/>
            <w:noWrap/>
            <w:hideMark/>
          </w:tcPr>
          <w:p w14:paraId="0CB9F284" w14:textId="1CC782E1" w:rsidR="008C2C03" w:rsidRPr="00B158F8" w:rsidRDefault="008C2C03" w:rsidP="008C2C03">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lv-LV"/>
              </w:rPr>
            </w:pPr>
            <w:r w:rsidRPr="00B158F8">
              <w:rPr>
                <w:color w:val="auto"/>
                <w:sz w:val="18"/>
                <w:szCs w:val="18"/>
              </w:rPr>
              <w:t>2025</w:t>
            </w:r>
          </w:p>
        </w:tc>
        <w:tc>
          <w:tcPr>
            <w:tcW w:w="851" w:type="dxa"/>
            <w:noWrap/>
            <w:hideMark/>
          </w:tcPr>
          <w:p w14:paraId="54995FCF" w14:textId="419B1355" w:rsidR="008C2C03" w:rsidRPr="00B158F8" w:rsidRDefault="008C2C03" w:rsidP="008C2C03">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lv-LV"/>
              </w:rPr>
            </w:pPr>
            <w:r w:rsidRPr="00B158F8">
              <w:rPr>
                <w:color w:val="auto"/>
                <w:sz w:val="18"/>
                <w:szCs w:val="18"/>
              </w:rPr>
              <w:t>2026</w:t>
            </w:r>
          </w:p>
        </w:tc>
        <w:tc>
          <w:tcPr>
            <w:tcW w:w="850" w:type="dxa"/>
            <w:noWrap/>
            <w:hideMark/>
          </w:tcPr>
          <w:p w14:paraId="1AFD6856" w14:textId="6C10B28F" w:rsidR="008C2C03" w:rsidRPr="00B158F8" w:rsidRDefault="008C2C03" w:rsidP="008C2C03">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lv-LV"/>
              </w:rPr>
            </w:pPr>
            <w:r w:rsidRPr="00B158F8">
              <w:rPr>
                <w:color w:val="auto"/>
                <w:sz w:val="18"/>
                <w:szCs w:val="18"/>
              </w:rPr>
              <w:t>2027</w:t>
            </w:r>
          </w:p>
        </w:tc>
        <w:tc>
          <w:tcPr>
            <w:tcW w:w="850" w:type="dxa"/>
          </w:tcPr>
          <w:p w14:paraId="1D5C5328" w14:textId="579EF8AE" w:rsidR="008C2C03" w:rsidRPr="00B158F8" w:rsidRDefault="008C2C03" w:rsidP="008C2C03">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lv-LV"/>
              </w:rPr>
            </w:pPr>
            <w:r w:rsidRPr="00B158F8">
              <w:rPr>
                <w:color w:val="auto"/>
                <w:sz w:val="18"/>
                <w:szCs w:val="18"/>
              </w:rPr>
              <w:t>2028</w:t>
            </w:r>
          </w:p>
        </w:tc>
      </w:tr>
      <w:tr w:rsidR="008C2C03" w:rsidRPr="008C2C03" w14:paraId="10B89BA5" w14:textId="79EEF0E8" w:rsidTr="0055150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EB8A78B"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1. Bruto parāds</w:t>
            </w:r>
          </w:p>
        </w:tc>
        <w:tc>
          <w:tcPr>
            <w:tcW w:w="1134" w:type="dxa"/>
            <w:noWrap/>
            <w:hideMark/>
          </w:tcPr>
          <w:p w14:paraId="2D0046D4" w14:textId="73297449" w:rsidR="008C2C03" w:rsidRPr="00B158F8" w:rsidRDefault="008C2C03" w:rsidP="008C2C03">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lang w:eastAsia="lv-LV"/>
              </w:rPr>
            </w:pPr>
            <w:r w:rsidRPr="00B158F8">
              <w:rPr>
                <w:b/>
                <w:bCs/>
                <w:color w:val="auto"/>
                <w:sz w:val="18"/>
                <w:szCs w:val="18"/>
              </w:rPr>
              <w:t> </w:t>
            </w:r>
          </w:p>
        </w:tc>
        <w:tc>
          <w:tcPr>
            <w:tcW w:w="850" w:type="dxa"/>
            <w:noWrap/>
            <w:hideMark/>
          </w:tcPr>
          <w:p w14:paraId="7EAA09DB" w14:textId="0FB9B0D7"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43,4%</w:t>
            </w:r>
          </w:p>
        </w:tc>
        <w:tc>
          <w:tcPr>
            <w:tcW w:w="851" w:type="dxa"/>
            <w:noWrap/>
            <w:hideMark/>
          </w:tcPr>
          <w:p w14:paraId="5C490467" w14:textId="66E07FFA"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45,2%</w:t>
            </w:r>
          </w:p>
        </w:tc>
        <w:tc>
          <w:tcPr>
            <w:tcW w:w="850" w:type="dxa"/>
            <w:noWrap/>
            <w:hideMark/>
          </w:tcPr>
          <w:p w14:paraId="783AC858" w14:textId="3D505E28"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46,3%</w:t>
            </w:r>
          </w:p>
        </w:tc>
        <w:tc>
          <w:tcPr>
            <w:tcW w:w="851" w:type="dxa"/>
            <w:noWrap/>
            <w:hideMark/>
          </w:tcPr>
          <w:p w14:paraId="0224CB83" w14:textId="57ABBDE2"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46,2%</w:t>
            </w:r>
          </w:p>
        </w:tc>
        <w:tc>
          <w:tcPr>
            <w:tcW w:w="850" w:type="dxa"/>
            <w:noWrap/>
            <w:hideMark/>
          </w:tcPr>
          <w:p w14:paraId="58A017A9" w14:textId="0DF5EC40"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48,8%</w:t>
            </w:r>
          </w:p>
        </w:tc>
        <w:tc>
          <w:tcPr>
            <w:tcW w:w="850" w:type="dxa"/>
          </w:tcPr>
          <w:p w14:paraId="5E9CEA24" w14:textId="2E751AA8"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B158F8">
              <w:rPr>
                <w:color w:val="auto"/>
                <w:sz w:val="18"/>
                <w:szCs w:val="18"/>
              </w:rPr>
              <w:t>48,2%</w:t>
            </w:r>
          </w:p>
        </w:tc>
      </w:tr>
      <w:tr w:rsidR="008C2C03" w:rsidRPr="008C2C03" w14:paraId="1C675584" w14:textId="44CF5CA4" w:rsidTr="00551502">
        <w:trPr>
          <w:trHeight w:val="50"/>
          <w:jc w:val="center"/>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537CCFB"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2. Bruto parāda izmaiņas</w:t>
            </w:r>
          </w:p>
        </w:tc>
        <w:tc>
          <w:tcPr>
            <w:tcW w:w="1134" w:type="dxa"/>
            <w:noWrap/>
            <w:hideMark/>
          </w:tcPr>
          <w:p w14:paraId="18BF69F7" w14:textId="719E2DD4" w:rsidR="008C2C03" w:rsidRPr="00B158F8" w:rsidRDefault="008C2C03" w:rsidP="008C2C0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8"/>
                <w:szCs w:val="18"/>
                <w:lang w:eastAsia="lv-LV"/>
              </w:rPr>
            </w:pPr>
            <w:r w:rsidRPr="00B158F8">
              <w:rPr>
                <w:b/>
                <w:bCs/>
                <w:color w:val="auto"/>
                <w:sz w:val="18"/>
                <w:szCs w:val="18"/>
              </w:rPr>
              <w:t> </w:t>
            </w:r>
          </w:p>
        </w:tc>
        <w:tc>
          <w:tcPr>
            <w:tcW w:w="850" w:type="dxa"/>
            <w:noWrap/>
            <w:hideMark/>
          </w:tcPr>
          <w:p w14:paraId="0250E5BA" w14:textId="2AF36ADB"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1,8%</w:t>
            </w:r>
          </w:p>
        </w:tc>
        <w:tc>
          <w:tcPr>
            <w:tcW w:w="851" w:type="dxa"/>
            <w:noWrap/>
            <w:hideMark/>
          </w:tcPr>
          <w:p w14:paraId="7489BE80" w14:textId="41764D47"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1,8%</w:t>
            </w:r>
          </w:p>
        </w:tc>
        <w:tc>
          <w:tcPr>
            <w:tcW w:w="850" w:type="dxa"/>
            <w:noWrap/>
            <w:hideMark/>
          </w:tcPr>
          <w:p w14:paraId="635E1B9A" w14:textId="1DC3645D"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1,2%</w:t>
            </w:r>
          </w:p>
        </w:tc>
        <w:tc>
          <w:tcPr>
            <w:tcW w:w="851" w:type="dxa"/>
            <w:noWrap/>
            <w:hideMark/>
          </w:tcPr>
          <w:p w14:paraId="2C55D177" w14:textId="25FC76F1"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-0,1%</w:t>
            </w:r>
          </w:p>
        </w:tc>
        <w:tc>
          <w:tcPr>
            <w:tcW w:w="850" w:type="dxa"/>
            <w:noWrap/>
            <w:hideMark/>
          </w:tcPr>
          <w:p w14:paraId="735198FF" w14:textId="7D2BD9EF"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2,5%</w:t>
            </w:r>
          </w:p>
        </w:tc>
        <w:tc>
          <w:tcPr>
            <w:tcW w:w="850" w:type="dxa"/>
          </w:tcPr>
          <w:p w14:paraId="6221D931" w14:textId="165498B1"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B158F8">
              <w:rPr>
                <w:color w:val="auto"/>
                <w:sz w:val="18"/>
                <w:szCs w:val="18"/>
              </w:rPr>
              <w:t>-0,6%</w:t>
            </w:r>
          </w:p>
        </w:tc>
      </w:tr>
      <w:tr w:rsidR="008C2C03" w:rsidRPr="008C2C03" w14:paraId="4C535F82" w14:textId="47960FEE" w:rsidTr="00551502">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9072" w:type="dxa"/>
            <w:gridSpan w:val="7"/>
            <w:hideMark/>
          </w:tcPr>
          <w:p w14:paraId="43486B91" w14:textId="77777777" w:rsidR="008C2C03" w:rsidRPr="00B158F8" w:rsidRDefault="008C2C03" w:rsidP="006419B6">
            <w:pPr>
              <w:spacing w:line="276" w:lineRule="auto"/>
              <w:ind w:firstLine="0"/>
              <w:jc w:val="center"/>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Kopējā parāda izmaiņas ietekmējošie faktori</w:t>
            </w:r>
          </w:p>
        </w:tc>
        <w:tc>
          <w:tcPr>
            <w:tcW w:w="850" w:type="dxa"/>
          </w:tcPr>
          <w:p w14:paraId="62EE0336" w14:textId="77777777" w:rsidR="008C2C03" w:rsidRPr="00B158F8" w:rsidRDefault="008C2C03" w:rsidP="006419B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lang w:eastAsia="lv-LV"/>
              </w:rPr>
            </w:pPr>
          </w:p>
        </w:tc>
      </w:tr>
      <w:tr w:rsidR="008C2C03" w:rsidRPr="008C2C03" w14:paraId="13FE1E6C" w14:textId="5FFE2214" w:rsidTr="00551502">
        <w:trPr>
          <w:trHeight w:val="50"/>
          <w:jc w:val="center"/>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583E328"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3. Primārā bilance</w:t>
            </w:r>
          </w:p>
        </w:tc>
        <w:tc>
          <w:tcPr>
            <w:tcW w:w="1134" w:type="dxa"/>
            <w:noWrap/>
            <w:hideMark/>
          </w:tcPr>
          <w:p w14:paraId="1FAE42B6" w14:textId="58E2B391" w:rsidR="008C2C03" w:rsidRPr="00B158F8" w:rsidRDefault="008C2C03" w:rsidP="008C2C0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 </w:t>
            </w:r>
          </w:p>
        </w:tc>
        <w:tc>
          <w:tcPr>
            <w:tcW w:w="850" w:type="dxa"/>
            <w:noWrap/>
            <w:hideMark/>
          </w:tcPr>
          <w:p w14:paraId="7B41F709" w14:textId="4E29E47C"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-1,4%</w:t>
            </w:r>
          </w:p>
        </w:tc>
        <w:tc>
          <w:tcPr>
            <w:tcW w:w="851" w:type="dxa"/>
            <w:noWrap/>
            <w:hideMark/>
          </w:tcPr>
          <w:p w14:paraId="2CAF19F1" w14:textId="0B506BAC"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-1,8%</w:t>
            </w:r>
          </w:p>
        </w:tc>
        <w:tc>
          <w:tcPr>
            <w:tcW w:w="850" w:type="dxa"/>
            <w:noWrap/>
            <w:hideMark/>
          </w:tcPr>
          <w:p w14:paraId="54830E30" w14:textId="42843B37"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-1,5%</w:t>
            </w:r>
          </w:p>
        </w:tc>
        <w:tc>
          <w:tcPr>
            <w:tcW w:w="851" w:type="dxa"/>
            <w:noWrap/>
            <w:hideMark/>
          </w:tcPr>
          <w:p w14:paraId="42C426E5" w14:textId="702B48C5"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-0,9%</w:t>
            </w:r>
          </w:p>
        </w:tc>
        <w:tc>
          <w:tcPr>
            <w:tcW w:w="850" w:type="dxa"/>
            <w:noWrap/>
            <w:hideMark/>
          </w:tcPr>
          <w:p w14:paraId="7A1508C3" w14:textId="0739336C"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-0,7%</w:t>
            </w:r>
          </w:p>
        </w:tc>
        <w:tc>
          <w:tcPr>
            <w:tcW w:w="850" w:type="dxa"/>
          </w:tcPr>
          <w:p w14:paraId="336E55F3" w14:textId="3876600C"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B158F8">
              <w:rPr>
                <w:color w:val="auto"/>
                <w:sz w:val="18"/>
                <w:szCs w:val="18"/>
              </w:rPr>
              <w:t>-0,3%</w:t>
            </w:r>
          </w:p>
        </w:tc>
      </w:tr>
      <w:tr w:rsidR="008C2C03" w:rsidRPr="008C2C03" w14:paraId="707F40C9" w14:textId="2AE40858" w:rsidTr="0055150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6E1D932"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4. Procentu maksājumi</w:t>
            </w:r>
          </w:p>
        </w:tc>
        <w:tc>
          <w:tcPr>
            <w:tcW w:w="1134" w:type="dxa"/>
            <w:hideMark/>
          </w:tcPr>
          <w:p w14:paraId="71562356" w14:textId="72278EE0" w:rsidR="008C2C03" w:rsidRPr="00B158F8" w:rsidRDefault="008C2C03" w:rsidP="008C2C03">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EDP D.41</w:t>
            </w:r>
          </w:p>
        </w:tc>
        <w:tc>
          <w:tcPr>
            <w:tcW w:w="850" w:type="dxa"/>
            <w:noWrap/>
            <w:hideMark/>
          </w:tcPr>
          <w:p w14:paraId="109681B9" w14:textId="283C4FC3"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0,8%</w:t>
            </w:r>
          </w:p>
        </w:tc>
        <w:tc>
          <w:tcPr>
            <w:tcW w:w="851" w:type="dxa"/>
            <w:noWrap/>
            <w:hideMark/>
          </w:tcPr>
          <w:p w14:paraId="78FB43D6" w14:textId="41A9B0DB"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1,0%</w:t>
            </w:r>
          </w:p>
        </w:tc>
        <w:tc>
          <w:tcPr>
            <w:tcW w:w="850" w:type="dxa"/>
            <w:noWrap/>
            <w:hideMark/>
          </w:tcPr>
          <w:p w14:paraId="5A665A55" w14:textId="67182B89"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1,2%</w:t>
            </w:r>
          </w:p>
        </w:tc>
        <w:tc>
          <w:tcPr>
            <w:tcW w:w="851" w:type="dxa"/>
            <w:noWrap/>
            <w:hideMark/>
          </w:tcPr>
          <w:p w14:paraId="23A456CE" w14:textId="4C3791C1"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1,3%</w:t>
            </w:r>
          </w:p>
        </w:tc>
        <w:tc>
          <w:tcPr>
            <w:tcW w:w="850" w:type="dxa"/>
            <w:noWrap/>
            <w:hideMark/>
          </w:tcPr>
          <w:p w14:paraId="72A2F433" w14:textId="38D111BF"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1,4%</w:t>
            </w:r>
          </w:p>
        </w:tc>
        <w:tc>
          <w:tcPr>
            <w:tcW w:w="850" w:type="dxa"/>
          </w:tcPr>
          <w:p w14:paraId="0920F33C" w14:textId="47A2930B"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B158F8">
              <w:rPr>
                <w:color w:val="auto"/>
                <w:sz w:val="18"/>
                <w:szCs w:val="18"/>
              </w:rPr>
              <w:t>1,4%</w:t>
            </w:r>
          </w:p>
        </w:tc>
      </w:tr>
      <w:tr w:rsidR="008C2C03" w:rsidRPr="008C2C03" w14:paraId="31287069" w14:textId="5020016A" w:rsidTr="00551502">
        <w:trPr>
          <w:trHeight w:val="58"/>
          <w:jc w:val="center"/>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CE54D63"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5. Krājumu izmaiņas</w:t>
            </w:r>
          </w:p>
        </w:tc>
        <w:tc>
          <w:tcPr>
            <w:tcW w:w="1134" w:type="dxa"/>
            <w:hideMark/>
          </w:tcPr>
          <w:p w14:paraId="63D6BE3B" w14:textId="0A1DFE68" w:rsidR="008C2C03" w:rsidRPr="00B158F8" w:rsidRDefault="008C2C03" w:rsidP="008C2C0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 </w:t>
            </w:r>
          </w:p>
        </w:tc>
        <w:tc>
          <w:tcPr>
            <w:tcW w:w="850" w:type="dxa"/>
            <w:noWrap/>
            <w:hideMark/>
          </w:tcPr>
          <w:p w14:paraId="404CD385" w14:textId="4067FB96"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1,6%</w:t>
            </w:r>
          </w:p>
        </w:tc>
        <w:tc>
          <w:tcPr>
            <w:tcW w:w="851" w:type="dxa"/>
            <w:noWrap/>
            <w:hideMark/>
          </w:tcPr>
          <w:p w14:paraId="5E5B7958" w14:textId="51263C5E"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0,6%</w:t>
            </w:r>
          </w:p>
        </w:tc>
        <w:tc>
          <w:tcPr>
            <w:tcW w:w="850" w:type="dxa"/>
            <w:noWrap/>
            <w:hideMark/>
          </w:tcPr>
          <w:p w14:paraId="764B119D" w14:textId="2ADD5287"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1,0%</w:t>
            </w:r>
          </w:p>
        </w:tc>
        <w:tc>
          <w:tcPr>
            <w:tcW w:w="851" w:type="dxa"/>
            <w:noWrap/>
            <w:hideMark/>
          </w:tcPr>
          <w:p w14:paraId="38EF9C69" w14:textId="1A85D542"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0,0%</w:t>
            </w:r>
          </w:p>
        </w:tc>
        <w:tc>
          <w:tcPr>
            <w:tcW w:w="850" w:type="dxa"/>
            <w:noWrap/>
            <w:hideMark/>
          </w:tcPr>
          <w:p w14:paraId="5B504308" w14:textId="5C4866D3"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2,7%</w:t>
            </w:r>
          </w:p>
        </w:tc>
        <w:tc>
          <w:tcPr>
            <w:tcW w:w="850" w:type="dxa"/>
          </w:tcPr>
          <w:p w14:paraId="76E31752" w14:textId="609D90AE"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B158F8">
              <w:rPr>
                <w:color w:val="auto"/>
                <w:sz w:val="18"/>
                <w:szCs w:val="18"/>
              </w:rPr>
              <w:t>0,1%</w:t>
            </w:r>
          </w:p>
        </w:tc>
      </w:tr>
      <w:tr w:rsidR="008C2C03" w:rsidRPr="008C2C03" w14:paraId="6121E131" w14:textId="0102A080" w:rsidTr="0055150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686" w:type="dxa"/>
            <w:hideMark/>
          </w:tcPr>
          <w:p w14:paraId="776D3233"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Valsts parāda netiešā procentu likme</w:t>
            </w:r>
          </w:p>
        </w:tc>
        <w:tc>
          <w:tcPr>
            <w:tcW w:w="1134" w:type="dxa"/>
            <w:noWrap/>
            <w:hideMark/>
          </w:tcPr>
          <w:p w14:paraId="332BC85D" w14:textId="61386CEF" w:rsidR="008C2C03" w:rsidRPr="00B158F8" w:rsidRDefault="008C2C03" w:rsidP="008C2C03">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 </w:t>
            </w:r>
          </w:p>
        </w:tc>
        <w:tc>
          <w:tcPr>
            <w:tcW w:w="850" w:type="dxa"/>
            <w:noWrap/>
            <w:hideMark/>
          </w:tcPr>
          <w:p w14:paraId="31B258C0" w14:textId="463E37C0"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2,1%</w:t>
            </w:r>
          </w:p>
        </w:tc>
        <w:tc>
          <w:tcPr>
            <w:tcW w:w="851" w:type="dxa"/>
            <w:noWrap/>
            <w:hideMark/>
          </w:tcPr>
          <w:p w14:paraId="220383BC" w14:textId="42F79F8E"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2,5%</w:t>
            </w:r>
          </w:p>
        </w:tc>
        <w:tc>
          <w:tcPr>
            <w:tcW w:w="850" w:type="dxa"/>
            <w:noWrap/>
            <w:hideMark/>
          </w:tcPr>
          <w:p w14:paraId="7BE18FCC" w14:textId="0FBEBE2D"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2,8%</w:t>
            </w:r>
          </w:p>
        </w:tc>
        <w:tc>
          <w:tcPr>
            <w:tcW w:w="851" w:type="dxa"/>
            <w:noWrap/>
            <w:hideMark/>
          </w:tcPr>
          <w:p w14:paraId="17567069" w14:textId="4400575A"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2,9%</w:t>
            </w:r>
          </w:p>
        </w:tc>
        <w:tc>
          <w:tcPr>
            <w:tcW w:w="850" w:type="dxa"/>
            <w:noWrap/>
            <w:hideMark/>
          </w:tcPr>
          <w:p w14:paraId="6A2323D0" w14:textId="69D647DD"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B158F8">
              <w:rPr>
                <w:color w:val="auto"/>
                <w:sz w:val="18"/>
                <w:szCs w:val="18"/>
              </w:rPr>
              <w:t>3,1%</w:t>
            </w:r>
          </w:p>
        </w:tc>
        <w:tc>
          <w:tcPr>
            <w:tcW w:w="850" w:type="dxa"/>
          </w:tcPr>
          <w:p w14:paraId="5CD3FDC7" w14:textId="5C8FC9A4"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B158F8">
              <w:rPr>
                <w:color w:val="auto"/>
                <w:sz w:val="18"/>
                <w:szCs w:val="18"/>
              </w:rPr>
              <w:t>3,1%</w:t>
            </w:r>
          </w:p>
        </w:tc>
      </w:tr>
      <w:tr w:rsidR="008C2C03" w:rsidRPr="00874664" w14:paraId="164F9D10" w14:textId="4BBBACBC" w:rsidTr="00551502">
        <w:trPr>
          <w:trHeight w:val="409"/>
          <w:jc w:val="center"/>
        </w:trPr>
        <w:tc>
          <w:tcPr>
            <w:cnfStyle w:val="001000000000" w:firstRow="0" w:lastRow="0" w:firstColumn="1" w:lastColumn="0" w:oddVBand="0" w:evenVBand="0" w:oddHBand="0" w:evenHBand="0" w:firstRowFirstColumn="0" w:firstRowLastColumn="0" w:lastRowFirstColumn="0" w:lastRowLastColumn="0"/>
            <w:tcW w:w="9072" w:type="dxa"/>
            <w:gridSpan w:val="7"/>
            <w:hideMark/>
          </w:tcPr>
          <w:p w14:paraId="6BC8ED97" w14:textId="77777777" w:rsidR="008C2C03" w:rsidRPr="00B158F8" w:rsidRDefault="008C2C03" w:rsidP="006419B6">
            <w:pPr>
              <w:spacing w:line="276" w:lineRule="auto"/>
              <w:ind w:firstLine="0"/>
              <w:jc w:val="center"/>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Citi mainīgie</w:t>
            </w:r>
          </w:p>
        </w:tc>
        <w:tc>
          <w:tcPr>
            <w:tcW w:w="850" w:type="dxa"/>
          </w:tcPr>
          <w:p w14:paraId="79DE8DBF" w14:textId="77777777" w:rsidR="008C2C03" w:rsidRPr="00B158F8" w:rsidRDefault="008C2C03" w:rsidP="006419B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8"/>
                <w:szCs w:val="18"/>
                <w:lang w:eastAsia="lv-LV"/>
              </w:rPr>
            </w:pPr>
          </w:p>
        </w:tc>
      </w:tr>
      <w:tr w:rsidR="008C2C03" w:rsidRPr="00874664" w14:paraId="66F30C19" w14:textId="69F0D657" w:rsidTr="0055150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749352D"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6. Likvīdi finanšu aktīvi</w:t>
            </w:r>
          </w:p>
        </w:tc>
        <w:tc>
          <w:tcPr>
            <w:tcW w:w="1134" w:type="dxa"/>
            <w:noWrap/>
            <w:hideMark/>
          </w:tcPr>
          <w:p w14:paraId="1E89A1F8" w14:textId="1EF054AA" w:rsidR="008C2C03" w:rsidRPr="00B158F8" w:rsidRDefault="008C2C03" w:rsidP="008C2C03">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noWrap/>
            <w:hideMark/>
          </w:tcPr>
          <w:p w14:paraId="2117576D" w14:textId="0912C88E"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9,2%</w:t>
            </w:r>
          </w:p>
        </w:tc>
        <w:tc>
          <w:tcPr>
            <w:tcW w:w="851" w:type="dxa"/>
            <w:noWrap/>
            <w:hideMark/>
          </w:tcPr>
          <w:p w14:paraId="1781AA25" w14:textId="30A4B426" w:rsidR="008C2C03" w:rsidRPr="00B158F8" w:rsidRDefault="008C2C03" w:rsidP="008C2C03">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noWrap/>
            <w:hideMark/>
          </w:tcPr>
          <w:p w14:paraId="64691419" w14:textId="399FD100" w:rsidR="008C2C03" w:rsidRPr="00B158F8" w:rsidRDefault="008C2C03" w:rsidP="008C2C03">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1" w:type="dxa"/>
            <w:noWrap/>
            <w:hideMark/>
          </w:tcPr>
          <w:p w14:paraId="2E34E7F0" w14:textId="4321B382" w:rsidR="008C2C03" w:rsidRPr="00B158F8" w:rsidRDefault="008C2C03" w:rsidP="008C2C03">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noWrap/>
            <w:hideMark/>
          </w:tcPr>
          <w:p w14:paraId="3EB2A865" w14:textId="7EF05924" w:rsidR="008C2C03" w:rsidRPr="00B158F8" w:rsidRDefault="008C2C03" w:rsidP="008C2C03">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tcPr>
          <w:p w14:paraId="575BAE7B" w14:textId="6598AEE4" w:rsidR="008C2C03" w:rsidRPr="00B158F8" w:rsidRDefault="008C2C03" w:rsidP="008C2C03">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r>
      <w:tr w:rsidR="008C2C03" w:rsidRPr="00874664" w14:paraId="60A2079C" w14:textId="73418D95" w:rsidTr="00551502">
        <w:trPr>
          <w:trHeight w:val="50"/>
          <w:jc w:val="center"/>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523FA05"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7. Neto finansiālais parāds (7=1-6)</w:t>
            </w:r>
          </w:p>
        </w:tc>
        <w:tc>
          <w:tcPr>
            <w:tcW w:w="1134" w:type="dxa"/>
            <w:noWrap/>
            <w:hideMark/>
          </w:tcPr>
          <w:p w14:paraId="203B4A9D" w14:textId="4631F7E5" w:rsidR="008C2C03" w:rsidRPr="00B158F8" w:rsidRDefault="008C2C03" w:rsidP="008C2C0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noWrap/>
            <w:hideMark/>
          </w:tcPr>
          <w:p w14:paraId="1DAA36BD" w14:textId="45C3CB98"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34,2%</w:t>
            </w:r>
          </w:p>
        </w:tc>
        <w:tc>
          <w:tcPr>
            <w:tcW w:w="851" w:type="dxa"/>
            <w:noWrap/>
            <w:hideMark/>
          </w:tcPr>
          <w:p w14:paraId="2602B200" w14:textId="03666741" w:rsidR="008C2C03" w:rsidRPr="00B158F8" w:rsidRDefault="008C2C03" w:rsidP="008C2C0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noWrap/>
            <w:hideMark/>
          </w:tcPr>
          <w:p w14:paraId="50736C76" w14:textId="0A93E4B6" w:rsidR="008C2C03" w:rsidRPr="00B158F8" w:rsidRDefault="008C2C03" w:rsidP="008C2C0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1" w:type="dxa"/>
            <w:noWrap/>
            <w:hideMark/>
          </w:tcPr>
          <w:p w14:paraId="7714C920" w14:textId="66B9C127" w:rsidR="008C2C03" w:rsidRPr="00B158F8" w:rsidRDefault="008C2C03" w:rsidP="008C2C0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noWrap/>
            <w:hideMark/>
          </w:tcPr>
          <w:p w14:paraId="7374BDCB" w14:textId="7F33E75B" w:rsidR="008C2C03" w:rsidRPr="00B158F8" w:rsidRDefault="008C2C03" w:rsidP="008C2C0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tcPr>
          <w:p w14:paraId="34E1725C" w14:textId="053F875F" w:rsidR="008C2C03" w:rsidRPr="00B158F8" w:rsidRDefault="008C2C03" w:rsidP="008C2C0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r>
      <w:tr w:rsidR="008C2C03" w:rsidRPr="00874664" w14:paraId="090F3654" w14:textId="47ECF62F" w:rsidTr="0055150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686" w:type="dxa"/>
            <w:hideMark/>
          </w:tcPr>
          <w:p w14:paraId="430AD70B"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8. Parāda amortizācija</w:t>
            </w:r>
          </w:p>
        </w:tc>
        <w:tc>
          <w:tcPr>
            <w:tcW w:w="1134" w:type="dxa"/>
            <w:noWrap/>
            <w:hideMark/>
          </w:tcPr>
          <w:p w14:paraId="11E8A601" w14:textId="32748869"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noWrap/>
            <w:hideMark/>
          </w:tcPr>
          <w:p w14:paraId="25352225" w14:textId="4ED91265"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3,8%</w:t>
            </w:r>
          </w:p>
        </w:tc>
        <w:tc>
          <w:tcPr>
            <w:tcW w:w="851" w:type="dxa"/>
            <w:noWrap/>
            <w:hideMark/>
          </w:tcPr>
          <w:p w14:paraId="026BBE9C" w14:textId="32F731E4"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3,1%</w:t>
            </w:r>
          </w:p>
        </w:tc>
        <w:tc>
          <w:tcPr>
            <w:tcW w:w="850" w:type="dxa"/>
            <w:noWrap/>
            <w:hideMark/>
          </w:tcPr>
          <w:p w14:paraId="7A7C1FFD" w14:textId="07D061E7"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3,4%</w:t>
            </w:r>
          </w:p>
        </w:tc>
        <w:tc>
          <w:tcPr>
            <w:tcW w:w="851" w:type="dxa"/>
            <w:noWrap/>
            <w:hideMark/>
          </w:tcPr>
          <w:p w14:paraId="06E42B65" w14:textId="580D6713"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4,3%</w:t>
            </w:r>
          </w:p>
        </w:tc>
        <w:tc>
          <w:tcPr>
            <w:tcW w:w="850" w:type="dxa"/>
            <w:noWrap/>
            <w:hideMark/>
          </w:tcPr>
          <w:p w14:paraId="7A617D42" w14:textId="23E85E90"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2,4%</w:t>
            </w:r>
          </w:p>
        </w:tc>
        <w:tc>
          <w:tcPr>
            <w:tcW w:w="850" w:type="dxa"/>
          </w:tcPr>
          <w:p w14:paraId="68AD3CD8" w14:textId="24806E3D"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color w:val="auto"/>
                <w:sz w:val="18"/>
                <w:szCs w:val="18"/>
                <w:highlight w:val="lightGray"/>
              </w:rPr>
            </w:pPr>
            <w:r w:rsidRPr="00B158F8">
              <w:rPr>
                <w:color w:val="auto"/>
                <w:sz w:val="18"/>
                <w:szCs w:val="18"/>
              </w:rPr>
              <w:t>3,8%</w:t>
            </w:r>
          </w:p>
        </w:tc>
      </w:tr>
      <w:tr w:rsidR="008C2C03" w:rsidRPr="00874664" w14:paraId="003E6F9C" w14:textId="59040727" w:rsidTr="00551502">
        <w:trPr>
          <w:trHeight w:val="50"/>
          <w:jc w:val="center"/>
        </w:trPr>
        <w:tc>
          <w:tcPr>
            <w:cnfStyle w:val="001000000000" w:firstRow="0" w:lastRow="0" w:firstColumn="1" w:lastColumn="0" w:oddVBand="0" w:evenVBand="0" w:oddHBand="0" w:evenHBand="0" w:firstRowFirstColumn="0" w:firstRowLastColumn="0" w:lastRowFirstColumn="0" w:lastRowLastColumn="0"/>
            <w:tcW w:w="3686" w:type="dxa"/>
            <w:hideMark/>
          </w:tcPr>
          <w:p w14:paraId="27A3F6FB"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 xml:space="preserve">9. Ārvalstu valūtā </w:t>
            </w:r>
            <w:proofErr w:type="spellStart"/>
            <w:r w:rsidRPr="00B158F8">
              <w:rPr>
                <w:rFonts w:eastAsia="Times New Roman" w:cs="Times New Roman"/>
                <w:color w:val="auto"/>
                <w:sz w:val="18"/>
                <w:szCs w:val="18"/>
                <w:lang w:eastAsia="lv-LV"/>
              </w:rPr>
              <w:t>denominētā</w:t>
            </w:r>
            <w:proofErr w:type="spellEnd"/>
            <w:r w:rsidRPr="00B158F8">
              <w:rPr>
                <w:rFonts w:eastAsia="Times New Roman" w:cs="Times New Roman"/>
                <w:color w:val="auto"/>
                <w:sz w:val="18"/>
                <w:szCs w:val="18"/>
                <w:lang w:eastAsia="lv-LV"/>
              </w:rPr>
              <w:t xml:space="preserve"> parāda īpatsvars</w:t>
            </w:r>
          </w:p>
        </w:tc>
        <w:tc>
          <w:tcPr>
            <w:tcW w:w="1134" w:type="dxa"/>
            <w:noWrap/>
            <w:hideMark/>
          </w:tcPr>
          <w:p w14:paraId="5846B314" w14:textId="41155DD2" w:rsidR="008C2C03" w:rsidRPr="00B158F8" w:rsidRDefault="008C2C03" w:rsidP="008C2C0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noWrap/>
            <w:hideMark/>
          </w:tcPr>
          <w:p w14:paraId="2B50F370" w14:textId="4F6222B2"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0,0%</w:t>
            </w:r>
          </w:p>
        </w:tc>
        <w:tc>
          <w:tcPr>
            <w:tcW w:w="851" w:type="dxa"/>
            <w:noWrap/>
            <w:hideMark/>
          </w:tcPr>
          <w:p w14:paraId="5B97DC1D" w14:textId="7D5271D7"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0,0%</w:t>
            </w:r>
          </w:p>
        </w:tc>
        <w:tc>
          <w:tcPr>
            <w:tcW w:w="850" w:type="dxa"/>
            <w:noWrap/>
            <w:hideMark/>
          </w:tcPr>
          <w:p w14:paraId="6BE428DD" w14:textId="41D89D91"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0,0%</w:t>
            </w:r>
          </w:p>
        </w:tc>
        <w:tc>
          <w:tcPr>
            <w:tcW w:w="851" w:type="dxa"/>
            <w:noWrap/>
            <w:hideMark/>
          </w:tcPr>
          <w:p w14:paraId="2B008871" w14:textId="58F855E5"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0,0%</w:t>
            </w:r>
          </w:p>
        </w:tc>
        <w:tc>
          <w:tcPr>
            <w:tcW w:w="850" w:type="dxa"/>
            <w:noWrap/>
            <w:hideMark/>
          </w:tcPr>
          <w:p w14:paraId="4E7F2F17" w14:textId="1845C0F8"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0,0%</w:t>
            </w:r>
          </w:p>
        </w:tc>
        <w:tc>
          <w:tcPr>
            <w:tcW w:w="850" w:type="dxa"/>
          </w:tcPr>
          <w:p w14:paraId="0A935776" w14:textId="4708A97C" w:rsidR="008C2C03" w:rsidRPr="00B158F8" w:rsidRDefault="008C2C03" w:rsidP="008C2C03">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color w:val="auto"/>
                <w:sz w:val="18"/>
                <w:szCs w:val="18"/>
                <w:highlight w:val="lightGray"/>
              </w:rPr>
            </w:pPr>
            <w:r w:rsidRPr="00B158F8">
              <w:rPr>
                <w:color w:val="auto"/>
                <w:sz w:val="18"/>
                <w:szCs w:val="18"/>
              </w:rPr>
              <w:t>0,0%</w:t>
            </w:r>
          </w:p>
        </w:tc>
      </w:tr>
      <w:tr w:rsidR="008C2C03" w:rsidRPr="00874664" w14:paraId="002396B6" w14:textId="518EF9BF" w:rsidTr="0055150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64C5683" w14:textId="77777777" w:rsidR="008C2C03" w:rsidRPr="00B158F8" w:rsidRDefault="008C2C03" w:rsidP="008C2C03">
            <w:pPr>
              <w:spacing w:line="276" w:lineRule="auto"/>
              <w:ind w:firstLine="0"/>
              <w:jc w:val="left"/>
              <w:rPr>
                <w:rFonts w:eastAsia="Times New Roman" w:cs="Times New Roman"/>
                <w:b w:val="0"/>
                <w:bCs w:val="0"/>
                <w:color w:val="auto"/>
                <w:sz w:val="18"/>
                <w:szCs w:val="18"/>
                <w:lang w:eastAsia="lv-LV"/>
              </w:rPr>
            </w:pPr>
            <w:r w:rsidRPr="00B158F8">
              <w:rPr>
                <w:rFonts w:eastAsia="Times New Roman" w:cs="Times New Roman"/>
                <w:color w:val="auto"/>
                <w:sz w:val="18"/>
                <w:szCs w:val="18"/>
                <w:lang w:eastAsia="lv-LV"/>
              </w:rPr>
              <w:t xml:space="preserve">10. Vidējā dzēšana </w:t>
            </w:r>
          </w:p>
        </w:tc>
        <w:tc>
          <w:tcPr>
            <w:tcW w:w="1134" w:type="dxa"/>
            <w:noWrap/>
            <w:hideMark/>
          </w:tcPr>
          <w:p w14:paraId="699FCB30" w14:textId="5F96D31F" w:rsidR="008C2C03" w:rsidRPr="00B158F8" w:rsidRDefault="008C2C03" w:rsidP="008C2C03">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noWrap/>
            <w:hideMark/>
          </w:tcPr>
          <w:p w14:paraId="3242D25F" w14:textId="5EE87490" w:rsidR="008C2C03" w:rsidRPr="00B158F8" w:rsidRDefault="008C2C03" w:rsidP="008C2C03">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6.79 gadi</w:t>
            </w:r>
          </w:p>
        </w:tc>
        <w:tc>
          <w:tcPr>
            <w:tcW w:w="851" w:type="dxa"/>
            <w:noWrap/>
            <w:hideMark/>
          </w:tcPr>
          <w:p w14:paraId="488D497F" w14:textId="16CC9B4C" w:rsidR="008C2C03" w:rsidRPr="00B158F8" w:rsidRDefault="008C2C03" w:rsidP="008C2C03">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noWrap/>
            <w:hideMark/>
          </w:tcPr>
          <w:p w14:paraId="6F4975CF" w14:textId="426E6410" w:rsidR="008C2C03" w:rsidRPr="00B158F8" w:rsidRDefault="008C2C03" w:rsidP="008C2C03">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1" w:type="dxa"/>
            <w:noWrap/>
            <w:hideMark/>
          </w:tcPr>
          <w:p w14:paraId="70397CE2" w14:textId="20018F28" w:rsidR="008C2C03" w:rsidRPr="00B158F8" w:rsidRDefault="008C2C03" w:rsidP="008C2C03">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noWrap/>
            <w:hideMark/>
          </w:tcPr>
          <w:p w14:paraId="6878DF83" w14:textId="76DDC719" w:rsidR="008C2C03" w:rsidRPr="00B158F8" w:rsidRDefault="008C2C03" w:rsidP="008C2C03">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c>
          <w:tcPr>
            <w:tcW w:w="850" w:type="dxa"/>
          </w:tcPr>
          <w:p w14:paraId="750FF0D8" w14:textId="352BF48E" w:rsidR="008C2C03" w:rsidRPr="00B158F8" w:rsidRDefault="008C2C03" w:rsidP="008C2C03">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highlight w:val="lightGray"/>
                <w:lang w:eastAsia="lv-LV"/>
              </w:rPr>
            </w:pPr>
            <w:r w:rsidRPr="00B158F8">
              <w:rPr>
                <w:color w:val="auto"/>
                <w:sz w:val="18"/>
                <w:szCs w:val="18"/>
              </w:rPr>
              <w:t> </w:t>
            </w:r>
          </w:p>
        </w:tc>
      </w:tr>
    </w:tbl>
    <w:p w14:paraId="508318C5" w14:textId="77777777" w:rsidR="008D5244" w:rsidRPr="00874664" w:rsidRDefault="008D5244" w:rsidP="00786AC7">
      <w:pPr>
        <w:keepNext/>
        <w:ind w:firstLine="0"/>
        <w:jc w:val="left"/>
        <w:rPr>
          <w:rFonts w:cs="Times New Roman"/>
          <w:b/>
          <w:color w:val="000000"/>
          <w:sz w:val="24"/>
          <w:szCs w:val="24"/>
          <w:highlight w:val="lightGray"/>
        </w:rPr>
      </w:pPr>
    </w:p>
    <w:p w14:paraId="65534B19" w14:textId="03F342B1" w:rsidR="00A50770" w:rsidRPr="00FB4F73" w:rsidRDefault="008D5244" w:rsidP="008D5244">
      <w:pPr>
        <w:keepNext/>
        <w:spacing w:after="120"/>
        <w:ind w:firstLine="0"/>
        <w:jc w:val="left"/>
        <w:rPr>
          <w:rFonts w:eastAsia="Times New Roman" w:cs="Times New Roman"/>
          <w:b/>
          <w:color w:val="000000"/>
          <w:sz w:val="24"/>
          <w:szCs w:val="24"/>
        </w:rPr>
      </w:pPr>
      <w:r w:rsidRPr="00FB4F73">
        <w:rPr>
          <w:rFonts w:cs="Times New Roman"/>
          <w:b/>
          <w:color w:val="000000"/>
          <w:sz w:val="24"/>
          <w:szCs w:val="24"/>
        </w:rPr>
        <w:t xml:space="preserve">5. </w:t>
      </w:r>
      <w:r w:rsidR="000F4627" w:rsidRPr="00FB4F73">
        <w:rPr>
          <w:rFonts w:eastAsia="Times New Roman" w:cs="Times New Roman"/>
          <w:b/>
          <w:color w:val="000000"/>
          <w:sz w:val="24"/>
          <w:szCs w:val="24"/>
        </w:rPr>
        <w:t>tabula. Cikliskā attīstība</w:t>
      </w:r>
      <w:r w:rsidR="00B10361">
        <w:rPr>
          <w:rFonts w:eastAsia="Times New Roman" w:cs="Times New Roman"/>
          <w:b/>
          <w:color w:val="000000"/>
          <w:sz w:val="24"/>
          <w:szCs w:val="24"/>
        </w:rPr>
        <w:t xml:space="preserve"> (pie mainīgas politikas)</w:t>
      </w:r>
    </w:p>
    <w:tbl>
      <w:tblPr>
        <w:tblStyle w:val="GridTable6Colorful-Accent1184"/>
        <w:tblW w:w="10648" w:type="dxa"/>
        <w:jc w:val="center"/>
        <w:tblLook w:val="04A0" w:firstRow="1" w:lastRow="0" w:firstColumn="1" w:lastColumn="0" w:noHBand="0" w:noVBand="1"/>
      </w:tblPr>
      <w:tblGrid>
        <w:gridCol w:w="3681"/>
        <w:gridCol w:w="1129"/>
        <w:gridCol w:w="803"/>
        <w:gridCol w:w="1007"/>
        <w:gridCol w:w="1007"/>
        <w:gridCol w:w="1007"/>
        <w:gridCol w:w="1007"/>
        <w:gridCol w:w="1007"/>
      </w:tblGrid>
      <w:tr w:rsidR="00786AC7" w:rsidRPr="002A71C2" w14:paraId="219C0298" w14:textId="04D6C778" w:rsidTr="00786AC7">
        <w:trPr>
          <w:cnfStyle w:val="100000000000" w:firstRow="1" w:lastRow="0" w:firstColumn="0" w:lastColumn="0" w:oddVBand="0" w:evenVBand="0" w:oddHBand="0" w:evenHBand="0" w:firstRowFirstColumn="0" w:firstRowLastColumn="0" w:lastRowFirstColumn="0" w:lastRowLastColumn="0"/>
          <w:trHeight w:val="54"/>
          <w:tblHeader/>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tcPr>
          <w:p w14:paraId="186FF092" w14:textId="4C5BA4CC" w:rsidR="00786AC7" w:rsidRPr="002A71C2" w:rsidRDefault="00786AC7" w:rsidP="00786AC7">
            <w:pPr>
              <w:spacing w:line="276" w:lineRule="auto"/>
              <w:ind w:firstLine="0"/>
              <w:jc w:val="left"/>
              <w:rPr>
                <w:rFonts w:eastAsia="Times New Roman" w:cs="Times New Roman"/>
                <w:color w:val="auto"/>
                <w:sz w:val="18"/>
                <w:szCs w:val="18"/>
              </w:rPr>
            </w:pPr>
            <w:bookmarkStart w:id="96" w:name="_Hlk67664640"/>
            <w:r w:rsidRPr="002A71C2">
              <w:rPr>
                <w:rFonts w:eastAsia="Times New Roman" w:cs="Times New Roman"/>
                <w:color w:val="auto"/>
                <w:sz w:val="18"/>
                <w:szCs w:val="18"/>
              </w:rPr>
              <w:t>% no IKP</w:t>
            </w:r>
          </w:p>
        </w:tc>
        <w:tc>
          <w:tcPr>
            <w:tcW w:w="1129" w:type="dxa"/>
            <w:noWrap/>
            <w:hideMark/>
          </w:tcPr>
          <w:p w14:paraId="196CC15F" w14:textId="69E35662" w:rsidR="00786AC7" w:rsidRPr="002A71C2" w:rsidRDefault="00786AC7" w:rsidP="00786AC7">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rPr>
            </w:pPr>
            <w:r w:rsidRPr="002A71C2">
              <w:rPr>
                <w:rFonts w:eastAsia="Times New Roman" w:cs="Times New Roman"/>
                <w:color w:val="auto"/>
                <w:sz w:val="18"/>
                <w:szCs w:val="18"/>
              </w:rPr>
              <w:t>EKS kods</w:t>
            </w:r>
          </w:p>
        </w:tc>
        <w:tc>
          <w:tcPr>
            <w:tcW w:w="803" w:type="dxa"/>
            <w:noWrap/>
            <w:vAlign w:val="center"/>
          </w:tcPr>
          <w:p w14:paraId="7C43130E" w14:textId="3C6C501B" w:rsidR="00786AC7" w:rsidRPr="006856C6" w:rsidRDefault="00786AC7" w:rsidP="00786AC7">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lv-LV"/>
              </w:rPr>
            </w:pPr>
            <w:r w:rsidRPr="002A71C2">
              <w:rPr>
                <w:rFonts w:eastAsia="Times New Roman" w:cs="Times New Roman"/>
                <w:color w:val="auto"/>
                <w:sz w:val="18"/>
                <w:szCs w:val="18"/>
              </w:rPr>
              <w:t>2023</w:t>
            </w:r>
          </w:p>
        </w:tc>
        <w:tc>
          <w:tcPr>
            <w:tcW w:w="1007" w:type="dxa"/>
            <w:noWrap/>
            <w:vAlign w:val="center"/>
          </w:tcPr>
          <w:p w14:paraId="343EED1C" w14:textId="2249FB58" w:rsidR="00786AC7" w:rsidRPr="006856C6" w:rsidRDefault="00786AC7" w:rsidP="00786AC7">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lv-LV"/>
              </w:rPr>
            </w:pPr>
            <w:r w:rsidRPr="002A71C2">
              <w:rPr>
                <w:rFonts w:eastAsia="Times New Roman" w:cs="Times New Roman"/>
                <w:color w:val="auto"/>
                <w:sz w:val="18"/>
                <w:szCs w:val="18"/>
              </w:rPr>
              <w:t>2024</w:t>
            </w:r>
          </w:p>
        </w:tc>
        <w:tc>
          <w:tcPr>
            <w:tcW w:w="1007" w:type="dxa"/>
            <w:noWrap/>
            <w:vAlign w:val="center"/>
          </w:tcPr>
          <w:p w14:paraId="6D1B09BC" w14:textId="0B3C2927" w:rsidR="00786AC7" w:rsidRPr="006856C6" w:rsidRDefault="00786AC7" w:rsidP="00786AC7">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lv-LV"/>
              </w:rPr>
            </w:pPr>
            <w:r w:rsidRPr="002A71C2">
              <w:rPr>
                <w:rFonts w:eastAsia="Times New Roman" w:cs="Times New Roman"/>
                <w:color w:val="auto"/>
                <w:sz w:val="18"/>
                <w:szCs w:val="18"/>
              </w:rPr>
              <w:t>2025</w:t>
            </w:r>
          </w:p>
        </w:tc>
        <w:tc>
          <w:tcPr>
            <w:tcW w:w="1007" w:type="dxa"/>
            <w:noWrap/>
            <w:vAlign w:val="center"/>
          </w:tcPr>
          <w:p w14:paraId="415164D6" w14:textId="1E0369E7" w:rsidR="00786AC7" w:rsidRPr="006856C6" w:rsidRDefault="00786AC7" w:rsidP="00786AC7">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lv-LV"/>
              </w:rPr>
            </w:pPr>
            <w:r w:rsidRPr="002A71C2">
              <w:rPr>
                <w:rFonts w:eastAsia="Times New Roman" w:cs="Times New Roman"/>
                <w:color w:val="auto"/>
                <w:sz w:val="18"/>
                <w:szCs w:val="18"/>
              </w:rPr>
              <w:t>2026</w:t>
            </w:r>
          </w:p>
        </w:tc>
        <w:tc>
          <w:tcPr>
            <w:tcW w:w="1007" w:type="dxa"/>
            <w:noWrap/>
            <w:vAlign w:val="center"/>
          </w:tcPr>
          <w:p w14:paraId="6A96432D" w14:textId="04028742" w:rsidR="00786AC7" w:rsidRPr="006856C6" w:rsidRDefault="00786AC7" w:rsidP="00786AC7">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lv-LV"/>
              </w:rPr>
            </w:pPr>
            <w:r w:rsidRPr="002A71C2">
              <w:rPr>
                <w:rFonts w:eastAsia="Times New Roman" w:cs="Times New Roman"/>
                <w:color w:val="auto"/>
                <w:sz w:val="18"/>
                <w:szCs w:val="18"/>
              </w:rPr>
              <w:t>2027</w:t>
            </w:r>
          </w:p>
        </w:tc>
        <w:tc>
          <w:tcPr>
            <w:tcW w:w="1007" w:type="dxa"/>
          </w:tcPr>
          <w:p w14:paraId="3EAF022A" w14:textId="700B9543" w:rsidR="00786AC7" w:rsidRPr="006856C6" w:rsidRDefault="00786AC7" w:rsidP="00786AC7">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auto"/>
                <w:sz w:val="18"/>
                <w:szCs w:val="18"/>
              </w:rPr>
            </w:pPr>
            <w:r w:rsidRPr="002A71C2">
              <w:rPr>
                <w:rFonts w:eastAsia="Times New Roman" w:cs="Times New Roman"/>
                <w:color w:val="auto"/>
                <w:sz w:val="18"/>
                <w:szCs w:val="18"/>
              </w:rPr>
              <w:t>2028</w:t>
            </w:r>
          </w:p>
        </w:tc>
      </w:tr>
      <w:tr w:rsidR="00786AC7" w:rsidRPr="002A71C2" w14:paraId="1EFDE041" w14:textId="77777777" w:rsidTr="00FB4F73">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tcPr>
          <w:p w14:paraId="2E42A2F5" w14:textId="6888C968" w:rsidR="00786AC7" w:rsidRPr="002A71C2" w:rsidRDefault="00786AC7" w:rsidP="00786AC7">
            <w:pPr>
              <w:spacing w:line="276" w:lineRule="auto"/>
              <w:ind w:firstLine="0"/>
              <w:jc w:val="left"/>
              <w:rPr>
                <w:rFonts w:eastAsia="Times New Roman" w:cs="Times New Roman"/>
                <w:sz w:val="18"/>
                <w:szCs w:val="18"/>
              </w:rPr>
            </w:pPr>
            <w:r w:rsidRPr="002A71C2">
              <w:rPr>
                <w:rFonts w:eastAsia="Times New Roman" w:cs="Times New Roman"/>
                <w:color w:val="auto"/>
                <w:sz w:val="18"/>
                <w:szCs w:val="18"/>
              </w:rPr>
              <w:t>1. IKP pieaugums salīdzināmās cenās (%)</w:t>
            </w:r>
          </w:p>
        </w:tc>
        <w:tc>
          <w:tcPr>
            <w:tcW w:w="1129" w:type="dxa"/>
            <w:noWrap/>
          </w:tcPr>
          <w:p w14:paraId="4D726F57" w14:textId="532F01ED" w:rsidR="00786AC7" w:rsidRPr="002A71C2"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18"/>
              </w:rPr>
            </w:pPr>
            <w:r w:rsidRPr="002A71C2">
              <w:rPr>
                <w:rFonts w:cs="Times New Roman"/>
                <w:color w:val="000000" w:themeColor="text1"/>
                <w:sz w:val="18"/>
                <w:szCs w:val="18"/>
              </w:rPr>
              <w:t>B1g</w:t>
            </w:r>
          </w:p>
        </w:tc>
        <w:tc>
          <w:tcPr>
            <w:tcW w:w="803" w:type="dxa"/>
            <w:noWrap/>
          </w:tcPr>
          <w:p w14:paraId="3A262A62" w14:textId="036B5C8B"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856C6">
              <w:rPr>
                <w:rFonts w:cs="Times New Roman"/>
                <w:color w:val="auto"/>
                <w:sz w:val="18"/>
                <w:szCs w:val="18"/>
              </w:rPr>
              <w:t>-0,3</w:t>
            </w:r>
          </w:p>
        </w:tc>
        <w:tc>
          <w:tcPr>
            <w:tcW w:w="1007" w:type="dxa"/>
            <w:noWrap/>
          </w:tcPr>
          <w:p w14:paraId="6534B9E8" w14:textId="48C9E4D6"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856C6">
              <w:rPr>
                <w:rFonts w:cs="Times New Roman"/>
                <w:color w:val="auto"/>
                <w:sz w:val="18"/>
                <w:szCs w:val="18"/>
              </w:rPr>
              <w:t>1,4</w:t>
            </w:r>
          </w:p>
        </w:tc>
        <w:tc>
          <w:tcPr>
            <w:tcW w:w="1007" w:type="dxa"/>
            <w:noWrap/>
          </w:tcPr>
          <w:p w14:paraId="32CCDDFC" w14:textId="045CC342"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856C6">
              <w:rPr>
                <w:rFonts w:cs="Times New Roman"/>
                <w:color w:val="auto"/>
                <w:sz w:val="18"/>
                <w:szCs w:val="18"/>
              </w:rPr>
              <w:t>2,9</w:t>
            </w:r>
          </w:p>
        </w:tc>
        <w:tc>
          <w:tcPr>
            <w:tcW w:w="1007" w:type="dxa"/>
            <w:noWrap/>
          </w:tcPr>
          <w:p w14:paraId="786CEB2E" w14:textId="75BB6276"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856C6">
              <w:rPr>
                <w:rFonts w:cs="Times New Roman"/>
                <w:color w:val="auto"/>
                <w:sz w:val="18"/>
                <w:szCs w:val="18"/>
              </w:rPr>
              <w:t>2,5</w:t>
            </w:r>
          </w:p>
        </w:tc>
        <w:tc>
          <w:tcPr>
            <w:tcW w:w="1007" w:type="dxa"/>
            <w:noWrap/>
          </w:tcPr>
          <w:p w14:paraId="05872D5D" w14:textId="30BD3E82"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856C6">
              <w:rPr>
                <w:rFonts w:cs="Times New Roman"/>
                <w:color w:val="auto"/>
                <w:sz w:val="18"/>
                <w:szCs w:val="18"/>
              </w:rPr>
              <w:t>2,3</w:t>
            </w:r>
          </w:p>
        </w:tc>
        <w:tc>
          <w:tcPr>
            <w:tcW w:w="1007" w:type="dxa"/>
          </w:tcPr>
          <w:p w14:paraId="2DE400C2" w14:textId="6713BB98"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856C6">
              <w:rPr>
                <w:rFonts w:cs="Times New Roman"/>
                <w:color w:val="auto"/>
                <w:sz w:val="18"/>
                <w:szCs w:val="18"/>
              </w:rPr>
              <w:t>2,3</w:t>
            </w:r>
          </w:p>
        </w:tc>
      </w:tr>
      <w:tr w:rsidR="00786AC7" w:rsidRPr="002A71C2" w14:paraId="42525465" w14:textId="5AF2C83E" w:rsidTr="00BF6C08">
        <w:trPr>
          <w:trHeight w:val="34"/>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791C549C" w14:textId="02692ADE" w:rsidR="00786AC7" w:rsidRPr="002A71C2" w:rsidRDefault="00786AC7" w:rsidP="00786AC7">
            <w:pPr>
              <w:spacing w:line="276" w:lineRule="auto"/>
              <w:ind w:firstLine="0"/>
              <w:jc w:val="left"/>
              <w:rPr>
                <w:rFonts w:eastAsia="Times New Roman" w:cs="Times New Roman"/>
                <w:color w:val="auto"/>
                <w:sz w:val="18"/>
                <w:szCs w:val="18"/>
              </w:rPr>
            </w:pPr>
            <w:r w:rsidRPr="002A71C2">
              <w:rPr>
                <w:rFonts w:eastAsia="Times New Roman" w:cs="Times New Roman"/>
                <w:color w:val="auto"/>
                <w:sz w:val="18"/>
                <w:szCs w:val="18"/>
              </w:rPr>
              <w:t>2. Vispārējās valdības neto aizdevumi</w:t>
            </w:r>
          </w:p>
        </w:tc>
        <w:tc>
          <w:tcPr>
            <w:tcW w:w="1129" w:type="dxa"/>
            <w:noWrap/>
            <w:hideMark/>
          </w:tcPr>
          <w:p w14:paraId="4EE6EB3E" w14:textId="6475F77B" w:rsidR="00786AC7" w:rsidRPr="002A71C2"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2A71C2">
              <w:rPr>
                <w:rFonts w:cs="Times New Roman"/>
                <w:color w:val="auto"/>
                <w:sz w:val="18"/>
                <w:szCs w:val="18"/>
              </w:rPr>
              <w:t>B.9</w:t>
            </w:r>
          </w:p>
        </w:tc>
        <w:tc>
          <w:tcPr>
            <w:tcW w:w="803" w:type="dxa"/>
            <w:noWrap/>
          </w:tcPr>
          <w:p w14:paraId="0BDB8C0F" w14:textId="233975A0"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-2,3</w:t>
            </w:r>
          </w:p>
        </w:tc>
        <w:tc>
          <w:tcPr>
            <w:tcW w:w="1007" w:type="dxa"/>
            <w:noWrap/>
          </w:tcPr>
          <w:p w14:paraId="0098C976" w14:textId="4B1DB387"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-2,9</w:t>
            </w:r>
          </w:p>
        </w:tc>
        <w:tc>
          <w:tcPr>
            <w:tcW w:w="1007" w:type="dxa"/>
            <w:noWrap/>
            <w:vAlign w:val="bottom"/>
          </w:tcPr>
          <w:p w14:paraId="00755537" w14:textId="6C9761D1"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-2,2</w:t>
            </w:r>
          </w:p>
        </w:tc>
        <w:tc>
          <w:tcPr>
            <w:tcW w:w="1007" w:type="dxa"/>
            <w:noWrap/>
            <w:vAlign w:val="bottom"/>
          </w:tcPr>
          <w:p w14:paraId="3052CBF1" w14:textId="6ED34491"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-2,2</w:t>
            </w:r>
          </w:p>
        </w:tc>
        <w:tc>
          <w:tcPr>
            <w:tcW w:w="1007" w:type="dxa"/>
            <w:noWrap/>
            <w:vAlign w:val="bottom"/>
          </w:tcPr>
          <w:p w14:paraId="73669AEC" w14:textId="58319769"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-2,0</w:t>
            </w:r>
          </w:p>
        </w:tc>
        <w:tc>
          <w:tcPr>
            <w:tcW w:w="1007" w:type="dxa"/>
            <w:vAlign w:val="bottom"/>
          </w:tcPr>
          <w:p w14:paraId="2EF8DB33" w14:textId="3A78BE8D"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4016DD">
              <w:rPr>
                <w:rFonts w:cs="Times New Roman"/>
                <w:color w:val="auto"/>
                <w:sz w:val="18"/>
                <w:szCs w:val="18"/>
              </w:rPr>
              <w:t>-1,8</w:t>
            </w:r>
          </w:p>
        </w:tc>
      </w:tr>
      <w:tr w:rsidR="00786AC7" w:rsidRPr="002A71C2" w14:paraId="4BE076B8" w14:textId="1BFE03DA" w:rsidTr="00FB4F73">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6B7C8446" w14:textId="77777777" w:rsidR="00786AC7" w:rsidRPr="002A71C2" w:rsidRDefault="00786AC7" w:rsidP="00786AC7">
            <w:pPr>
              <w:spacing w:line="276" w:lineRule="auto"/>
              <w:ind w:firstLine="0"/>
              <w:jc w:val="left"/>
              <w:rPr>
                <w:rFonts w:eastAsia="Times New Roman" w:cs="Times New Roman"/>
                <w:color w:val="auto"/>
                <w:sz w:val="18"/>
                <w:szCs w:val="18"/>
              </w:rPr>
            </w:pPr>
            <w:r w:rsidRPr="002A71C2">
              <w:rPr>
                <w:rFonts w:eastAsia="Times New Roman" w:cs="Times New Roman"/>
                <w:color w:val="auto"/>
                <w:sz w:val="18"/>
                <w:szCs w:val="18"/>
              </w:rPr>
              <w:t>3. Procentu izdevumi</w:t>
            </w:r>
          </w:p>
        </w:tc>
        <w:tc>
          <w:tcPr>
            <w:tcW w:w="1129" w:type="dxa"/>
            <w:noWrap/>
            <w:hideMark/>
          </w:tcPr>
          <w:p w14:paraId="22EB6C9D" w14:textId="75D6DEF3" w:rsidR="00786AC7" w:rsidRPr="002A71C2"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2A71C2">
              <w:rPr>
                <w:rFonts w:cs="Times New Roman"/>
                <w:color w:val="auto"/>
                <w:sz w:val="18"/>
                <w:szCs w:val="18"/>
              </w:rPr>
              <w:t>D.41</w:t>
            </w:r>
          </w:p>
        </w:tc>
        <w:tc>
          <w:tcPr>
            <w:tcW w:w="803" w:type="dxa"/>
            <w:noWrap/>
          </w:tcPr>
          <w:p w14:paraId="3CB28E30" w14:textId="0EC25DE8"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0,8</w:t>
            </w:r>
          </w:p>
        </w:tc>
        <w:tc>
          <w:tcPr>
            <w:tcW w:w="1007" w:type="dxa"/>
            <w:noWrap/>
          </w:tcPr>
          <w:p w14:paraId="2905A865" w14:textId="02839F8E"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1,0</w:t>
            </w:r>
          </w:p>
        </w:tc>
        <w:tc>
          <w:tcPr>
            <w:tcW w:w="1007" w:type="dxa"/>
            <w:noWrap/>
          </w:tcPr>
          <w:p w14:paraId="591A062D" w14:textId="4605B8C6"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1,2</w:t>
            </w:r>
          </w:p>
        </w:tc>
        <w:tc>
          <w:tcPr>
            <w:tcW w:w="1007" w:type="dxa"/>
            <w:noWrap/>
          </w:tcPr>
          <w:p w14:paraId="566BE43B" w14:textId="4625CF6D"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1,3</w:t>
            </w:r>
          </w:p>
        </w:tc>
        <w:tc>
          <w:tcPr>
            <w:tcW w:w="1007" w:type="dxa"/>
            <w:noWrap/>
          </w:tcPr>
          <w:p w14:paraId="041F9D41" w14:textId="3856B2CF"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1,4</w:t>
            </w:r>
          </w:p>
        </w:tc>
        <w:tc>
          <w:tcPr>
            <w:tcW w:w="1007" w:type="dxa"/>
          </w:tcPr>
          <w:p w14:paraId="7AE6913E" w14:textId="71167D7F"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rFonts w:cs="Times New Roman"/>
                <w:color w:val="auto"/>
                <w:sz w:val="18"/>
                <w:szCs w:val="18"/>
              </w:rPr>
              <w:t>1,4</w:t>
            </w:r>
          </w:p>
        </w:tc>
      </w:tr>
      <w:tr w:rsidR="00786AC7" w:rsidRPr="002A71C2" w14:paraId="7FE58FFC" w14:textId="7A5EE990" w:rsidTr="00FB4F73">
        <w:trPr>
          <w:trHeight w:val="63"/>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7D373BD8" w14:textId="77777777" w:rsidR="00786AC7" w:rsidRPr="002A71C2" w:rsidRDefault="00786AC7" w:rsidP="00786AC7">
            <w:pPr>
              <w:spacing w:line="276" w:lineRule="auto"/>
              <w:ind w:firstLine="0"/>
              <w:jc w:val="left"/>
              <w:rPr>
                <w:rFonts w:eastAsia="Times New Roman" w:cs="Times New Roman"/>
                <w:color w:val="auto"/>
                <w:sz w:val="18"/>
                <w:szCs w:val="18"/>
                <w:vertAlign w:val="superscript"/>
              </w:rPr>
            </w:pPr>
            <w:r w:rsidRPr="002A71C2">
              <w:rPr>
                <w:rFonts w:eastAsia="Times New Roman" w:cs="Times New Roman"/>
                <w:color w:val="auto"/>
                <w:sz w:val="18"/>
                <w:szCs w:val="18"/>
              </w:rPr>
              <w:t>4. Vienreizēji un citi īslaicīgi pasākumi</w:t>
            </w:r>
            <w:r w:rsidRPr="002A71C2">
              <w:rPr>
                <w:rFonts w:ascii="Garamond" w:eastAsia="Times New Roman" w:hAnsi="Garamond" w:cs="Times New Roman"/>
                <w:color w:val="auto"/>
                <w:sz w:val="18"/>
                <w:szCs w:val="18"/>
                <w:vertAlign w:val="superscript"/>
              </w:rPr>
              <w:footnoteReference w:id="29"/>
            </w:r>
          </w:p>
        </w:tc>
        <w:tc>
          <w:tcPr>
            <w:tcW w:w="1129" w:type="dxa"/>
            <w:noWrap/>
            <w:hideMark/>
          </w:tcPr>
          <w:p w14:paraId="4AFFC6DA" w14:textId="77777777" w:rsidR="00786AC7" w:rsidRPr="002A71C2"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803" w:type="dxa"/>
            <w:noWrap/>
          </w:tcPr>
          <w:p w14:paraId="517C7CED" w14:textId="5DCCD490"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-2,0</w:t>
            </w:r>
          </w:p>
        </w:tc>
        <w:tc>
          <w:tcPr>
            <w:tcW w:w="1007" w:type="dxa"/>
            <w:noWrap/>
          </w:tcPr>
          <w:p w14:paraId="2FD160DF" w14:textId="1E5BA70A"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-1,7</w:t>
            </w:r>
          </w:p>
        </w:tc>
        <w:tc>
          <w:tcPr>
            <w:tcW w:w="1007" w:type="dxa"/>
            <w:noWrap/>
          </w:tcPr>
          <w:p w14:paraId="0E7E1D83" w14:textId="2614F270"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-1,6</w:t>
            </w:r>
          </w:p>
        </w:tc>
        <w:tc>
          <w:tcPr>
            <w:tcW w:w="1007" w:type="dxa"/>
            <w:noWrap/>
          </w:tcPr>
          <w:p w14:paraId="173EDD8B" w14:textId="436F26D9"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-1,6</w:t>
            </w:r>
          </w:p>
        </w:tc>
        <w:tc>
          <w:tcPr>
            <w:tcW w:w="1007" w:type="dxa"/>
            <w:noWrap/>
          </w:tcPr>
          <w:p w14:paraId="61C5E4C0" w14:textId="120272FF"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-1,5</w:t>
            </w:r>
          </w:p>
        </w:tc>
        <w:tc>
          <w:tcPr>
            <w:tcW w:w="1007" w:type="dxa"/>
          </w:tcPr>
          <w:p w14:paraId="263324D6" w14:textId="030254F1"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rFonts w:cs="Times New Roman"/>
                <w:color w:val="auto"/>
                <w:sz w:val="18"/>
                <w:szCs w:val="18"/>
              </w:rPr>
              <w:t>-1,3</w:t>
            </w:r>
          </w:p>
        </w:tc>
      </w:tr>
      <w:tr w:rsidR="00786AC7" w:rsidRPr="002A71C2" w14:paraId="7DB3A021" w14:textId="1318F266" w:rsidTr="00FB4F73">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24D1A884" w14:textId="77777777" w:rsidR="00786AC7" w:rsidRPr="002A71C2" w:rsidRDefault="00786AC7" w:rsidP="00786AC7">
            <w:pPr>
              <w:spacing w:line="276" w:lineRule="auto"/>
              <w:ind w:firstLine="0"/>
              <w:jc w:val="left"/>
              <w:rPr>
                <w:rFonts w:eastAsia="Times New Roman" w:cs="Times New Roman"/>
                <w:color w:val="auto"/>
                <w:sz w:val="18"/>
                <w:szCs w:val="18"/>
              </w:rPr>
            </w:pPr>
            <w:r w:rsidRPr="002A71C2">
              <w:rPr>
                <w:rFonts w:eastAsia="Times New Roman" w:cs="Times New Roman"/>
                <w:color w:val="auto"/>
                <w:sz w:val="18"/>
                <w:szCs w:val="18"/>
              </w:rPr>
              <w:t>5. Potenciālā IKP pieaugums (%)</w:t>
            </w:r>
          </w:p>
        </w:tc>
        <w:tc>
          <w:tcPr>
            <w:tcW w:w="1129" w:type="dxa"/>
            <w:noWrap/>
            <w:hideMark/>
          </w:tcPr>
          <w:p w14:paraId="1A3A8E12" w14:textId="77777777" w:rsidR="00786AC7" w:rsidRPr="002A71C2"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p>
        </w:tc>
        <w:tc>
          <w:tcPr>
            <w:tcW w:w="803" w:type="dxa"/>
            <w:noWrap/>
          </w:tcPr>
          <w:p w14:paraId="53691245" w14:textId="7A6B8D71"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2,4</w:t>
            </w:r>
          </w:p>
        </w:tc>
        <w:tc>
          <w:tcPr>
            <w:tcW w:w="1007" w:type="dxa"/>
            <w:noWrap/>
          </w:tcPr>
          <w:p w14:paraId="00EEB0B8" w14:textId="1B8E02DF"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2,1</w:t>
            </w:r>
          </w:p>
        </w:tc>
        <w:tc>
          <w:tcPr>
            <w:tcW w:w="1007" w:type="dxa"/>
            <w:noWrap/>
          </w:tcPr>
          <w:p w14:paraId="5FFE398A" w14:textId="4BA72113"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2,2</w:t>
            </w:r>
          </w:p>
        </w:tc>
        <w:tc>
          <w:tcPr>
            <w:tcW w:w="1007" w:type="dxa"/>
            <w:noWrap/>
          </w:tcPr>
          <w:p w14:paraId="36F253E7" w14:textId="2AE7D454"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2,2</w:t>
            </w:r>
          </w:p>
        </w:tc>
        <w:tc>
          <w:tcPr>
            <w:tcW w:w="1007" w:type="dxa"/>
            <w:noWrap/>
          </w:tcPr>
          <w:p w14:paraId="09899206" w14:textId="3C4846D4"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2,3</w:t>
            </w:r>
          </w:p>
        </w:tc>
        <w:tc>
          <w:tcPr>
            <w:tcW w:w="1007" w:type="dxa"/>
          </w:tcPr>
          <w:p w14:paraId="3F17DF90" w14:textId="3BD2013E"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rFonts w:cs="Times New Roman"/>
                <w:color w:val="auto"/>
                <w:sz w:val="18"/>
                <w:szCs w:val="18"/>
              </w:rPr>
              <w:t>2,3</w:t>
            </w:r>
          </w:p>
        </w:tc>
      </w:tr>
      <w:tr w:rsidR="00786AC7" w:rsidRPr="002A71C2" w14:paraId="15EF43A5" w14:textId="11E86D1C" w:rsidTr="00FB4F73">
        <w:trPr>
          <w:trHeight w:val="63"/>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6F131BC7" w14:textId="77777777" w:rsidR="00786AC7" w:rsidRPr="002A71C2" w:rsidRDefault="00786AC7" w:rsidP="00786AC7">
            <w:pPr>
              <w:spacing w:line="276" w:lineRule="auto"/>
              <w:ind w:firstLineChars="100" w:firstLine="181"/>
              <w:jc w:val="left"/>
              <w:rPr>
                <w:rFonts w:eastAsia="Times New Roman" w:cs="Times New Roman"/>
                <w:color w:val="auto"/>
                <w:sz w:val="18"/>
                <w:szCs w:val="18"/>
              </w:rPr>
            </w:pPr>
            <w:r w:rsidRPr="002A71C2">
              <w:rPr>
                <w:rFonts w:eastAsia="Times New Roman" w:cs="Times New Roman"/>
                <w:color w:val="auto"/>
                <w:sz w:val="18"/>
                <w:szCs w:val="18"/>
              </w:rPr>
              <w:t>ieguldījums:</w:t>
            </w:r>
          </w:p>
        </w:tc>
        <w:tc>
          <w:tcPr>
            <w:tcW w:w="1129" w:type="dxa"/>
            <w:noWrap/>
            <w:hideMark/>
          </w:tcPr>
          <w:p w14:paraId="4B1DA2FE" w14:textId="77777777" w:rsidR="00786AC7" w:rsidRPr="002A71C2"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803" w:type="dxa"/>
            <w:noWrap/>
          </w:tcPr>
          <w:p w14:paraId="4B02D44C" w14:textId="77777777"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p>
        </w:tc>
        <w:tc>
          <w:tcPr>
            <w:tcW w:w="1007" w:type="dxa"/>
            <w:noWrap/>
          </w:tcPr>
          <w:p w14:paraId="46974246" w14:textId="77777777"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p>
        </w:tc>
        <w:tc>
          <w:tcPr>
            <w:tcW w:w="1007" w:type="dxa"/>
            <w:noWrap/>
          </w:tcPr>
          <w:p w14:paraId="33D64907" w14:textId="77777777"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p>
        </w:tc>
        <w:tc>
          <w:tcPr>
            <w:tcW w:w="1007" w:type="dxa"/>
            <w:noWrap/>
          </w:tcPr>
          <w:p w14:paraId="3EBC63F7" w14:textId="77777777"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p>
        </w:tc>
        <w:tc>
          <w:tcPr>
            <w:tcW w:w="1007" w:type="dxa"/>
            <w:noWrap/>
          </w:tcPr>
          <w:p w14:paraId="5C53CD13" w14:textId="77777777"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p>
        </w:tc>
        <w:tc>
          <w:tcPr>
            <w:tcW w:w="1007" w:type="dxa"/>
          </w:tcPr>
          <w:p w14:paraId="1CAE7DD3" w14:textId="77777777"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p>
        </w:tc>
      </w:tr>
      <w:tr w:rsidR="00786AC7" w:rsidRPr="002A71C2" w14:paraId="192DFBEE" w14:textId="6D1DD966" w:rsidTr="00FB4F73">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1702E071" w14:textId="77777777" w:rsidR="00786AC7" w:rsidRPr="002A71C2" w:rsidRDefault="00786AC7" w:rsidP="00786AC7">
            <w:pPr>
              <w:spacing w:line="276" w:lineRule="auto"/>
              <w:ind w:firstLineChars="200" w:firstLine="361"/>
              <w:jc w:val="left"/>
              <w:rPr>
                <w:rFonts w:eastAsia="Times New Roman" w:cs="Times New Roman"/>
                <w:color w:val="auto"/>
                <w:sz w:val="18"/>
                <w:szCs w:val="18"/>
              </w:rPr>
            </w:pPr>
            <w:r w:rsidRPr="002A71C2">
              <w:rPr>
                <w:rFonts w:eastAsia="Times New Roman" w:cs="Times New Roman"/>
                <w:color w:val="auto"/>
                <w:sz w:val="18"/>
                <w:szCs w:val="18"/>
              </w:rPr>
              <w:t xml:space="preserve"> - nodarbinātības</w:t>
            </w:r>
          </w:p>
        </w:tc>
        <w:tc>
          <w:tcPr>
            <w:tcW w:w="1129" w:type="dxa"/>
            <w:noWrap/>
            <w:hideMark/>
          </w:tcPr>
          <w:p w14:paraId="64691E2C" w14:textId="77777777" w:rsidR="00786AC7" w:rsidRPr="002A71C2"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p>
        </w:tc>
        <w:tc>
          <w:tcPr>
            <w:tcW w:w="803" w:type="dxa"/>
            <w:noWrap/>
          </w:tcPr>
          <w:p w14:paraId="2FB776FF" w14:textId="7B0136C4"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-0,1</w:t>
            </w:r>
          </w:p>
        </w:tc>
        <w:tc>
          <w:tcPr>
            <w:tcW w:w="1007" w:type="dxa"/>
            <w:noWrap/>
          </w:tcPr>
          <w:p w14:paraId="2C5CD587" w14:textId="077A9B4E"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-0,1</w:t>
            </w:r>
          </w:p>
        </w:tc>
        <w:tc>
          <w:tcPr>
            <w:tcW w:w="1007" w:type="dxa"/>
            <w:noWrap/>
          </w:tcPr>
          <w:p w14:paraId="00785B10" w14:textId="1872BE00"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-0,1</w:t>
            </w:r>
          </w:p>
        </w:tc>
        <w:tc>
          <w:tcPr>
            <w:tcW w:w="1007" w:type="dxa"/>
            <w:noWrap/>
          </w:tcPr>
          <w:p w14:paraId="244A1F13" w14:textId="7B1015F9"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-0,1</w:t>
            </w:r>
          </w:p>
        </w:tc>
        <w:tc>
          <w:tcPr>
            <w:tcW w:w="1007" w:type="dxa"/>
            <w:noWrap/>
          </w:tcPr>
          <w:p w14:paraId="4A96E076" w14:textId="1D38401C"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-0,1</w:t>
            </w:r>
          </w:p>
        </w:tc>
        <w:tc>
          <w:tcPr>
            <w:tcW w:w="1007" w:type="dxa"/>
          </w:tcPr>
          <w:p w14:paraId="2D29FE6A" w14:textId="1200433F"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rFonts w:cs="Times New Roman"/>
                <w:color w:val="auto"/>
                <w:sz w:val="18"/>
                <w:szCs w:val="18"/>
              </w:rPr>
              <w:t>-0,1</w:t>
            </w:r>
          </w:p>
        </w:tc>
      </w:tr>
      <w:tr w:rsidR="00786AC7" w:rsidRPr="002A71C2" w14:paraId="55BC3EF0" w14:textId="3F11F2C3" w:rsidTr="00FB4F73">
        <w:trPr>
          <w:trHeight w:val="63"/>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14268838" w14:textId="77777777" w:rsidR="00786AC7" w:rsidRPr="002A71C2" w:rsidRDefault="00786AC7" w:rsidP="00786AC7">
            <w:pPr>
              <w:spacing w:line="276" w:lineRule="auto"/>
              <w:ind w:firstLineChars="200" w:firstLine="361"/>
              <w:jc w:val="left"/>
              <w:rPr>
                <w:rFonts w:eastAsia="Times New Roman" w:cs="Times New Roman"/>
                <w:color w:val="auto"/>
                <w:sz w:val="18"/>
                <w:szCs w:val="18"/>
              </w:rPr>
            </w:pPr>
            <w:r w:rsidRPr="002A71C2">
              <w:rPr>
                <w:rFonts w:eastAsia="Times New Roman" w:cs="Times New Roman"/>
                <w:color w:val="auto"/>
                <w:sz w:val="18"/>
                <w:szCs w:val="18"/>
              </w:rPr>
              <w:t xml:space="preserve"> - kapitāla</w:t>
            </w:r>
          </w:p>
        </w:tc>
        <w:tc>
          <w:tcPr>
            <w:tcW w:w="1129" w:type="dxa"/>
            <w:noWrap/>
            <w:hideMark/>
          </w:tcPr>
          <w:p w14:paraId="25448D02" w14:textId="77777777" w:rsidR="00786AC7" w:rsidRPr="002A71C2"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803" w:type="dxa"/>
            <w:noWrap/>
          </w:tcPr>
          <w:p w14:paraId="51E25633" w14:textId="0F3D0D06"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0,8</w:t>
            </w:r>
          </w:p>
        </w:tc>
        <w:tc>
          <w:tcPr>
            <w:tcW w:w="1007" w:type="dxa"/>
            <w:noWrap/>
          </w:tcPr>
          <w:p w14:paraId="7311BF83" w14:textId="338523FA"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0,8</w:t>
            </w:r>
          </w:p>
        </w:tc>
        <w:tc>
          <w:tcPr>
            <w:tcW w:w="1007" w:type="dxa"/>
            <w:noWrap/>
          </w:tcPr>
          <w:p w14:paraId="0AECEE64" w14:textId="4CB01277"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0,9</w:t>
            </w:r>
          </w:p>
        </w:tc>
        <w:tc>
          <w:tcPr>
            <w:tcW w:w="1007" w:type="dxa"/>
            <w:noWrap/>
          </w:tcPr>
          <w:p w14:paraId="3E823816" w14:textId="27F313F8"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0,9</w:t>
            </w:r>
          </w:p>
        </w:tc>
        <w:tc>
          <w:tcPr>
            <w:tcW w:w="1007" w:type="dxa"/>
            <w:noWrap/>
          </w:tcPr>
          <w:p w14:paraId="24AE81F4" w14:textId="6339A359"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0,9</w:t>
            </w:r>
          </w:p>
        </w:tc>
        <w:tc>
          <w:tcPr>
            <w:tcW w:w="1007" w:type="dxa"/>
          </w:tcPr>
          <w:p w14:paraId="2E9AFCE8" w14:textId="353C6EAA"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rFonts w:cs="Times New Roman"/>
                <w:color w:val="auto"/>
                <w:sz w:val="18"/>
                <w:szCs w:val="18"/>
              </w:rPr>
              <w:t>0,9</w:t>
            </w:r>
          </w:p>
        </w:tc>
      </w:tr>
      <w:tr w:rsidR="00786AC7" w:rsidRPr="002A71C2" w14:paraId="1B282BD4" w14:textId="0AE51080" w:rsidTr="00FB4F73">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31C75A1A" w14:textId="77777777" w:rsidR="00786AC7" w:rsidRPr="002A71C2" w:rsidRDefault="00786AC7" w:rsidP="00786AC7">
            <w:pPr>
              <w:spacing w:line="276" w:lineRule="auto"/>
              <w:ind w:firstLineChars="200" w:firstLine="361"/>
              <w:jc w:val="left"/>
              <w:rPr>
                <w:rFonts w:eastAsia="Times New Roman" w:cs="Times New Roman"/>
                <w:color w:val="auto"/>
                <w:sz w:val="18"/>
                <w:szCs w:val="18"/>
              </w:rPr>
            </w:pPr>
            <w:r w:rsidRPr="002A71C2">
              <w:rPr>
                <w:rFonts w:eastAsia="Times New Roman" w:cs="Times New Roman"/>
                <w:color w:val="auto"/>
                <w:sz w:val="18"/>
                <w:szCs w:val="18"/>
              </w:rPr>
              <w:t xml:space="preserve"> - kopējās ražošanas faktoru produktivitātes</w:t>
            </w:r>
          </w:p>
        </w:tc>
        <w:tc>
          <w:tcPr>
            <w:tcW w:w="1129" w:type="dxa"/>
            <w:noWrap/>
            <w:hideMark/>
          </w:tcPr>
          <w:p w14:paraId="47D853EA" w14:textId="77777777" w:rsidR="00786AC7" w:rsidRPr="002A71C2"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p>
        </w:tc>
        <w:tc>
          <w:tcPr>
            <w:tcW w:w="803" w:type="dxa"/>
            <w:noWrap/>
          </w:tcPr>
          <w:p w14:paraId="511801E3" w14:textId="23C2677D"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1,7</w:t>
            </w:r>
          </w:p>
        </w:tc>
        <w:tc>
          <w:tcPr>
            <w:tcW w:w="1007" w:type="dxa"/>
            <w:noWrap/>
          </w:tcPr>
          <w:p w14:paraId="210D3F0D" w14:textId="167B5E86"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1,3</w:t>
            </w:r>
          </w:p>
        </w:tc>
        <w:tc>
          <w:tcPr>
            <w:tcW w:w="1007" w:type="dxa"/>
            <w:noWrap/>
          </w:tcPr>
          <w:p w14:paraId="1438AA8B" w14:textId="3086CADC"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1,4</w:t>
            </w:r>
          </w:p>
        </w:tc>
        <w:tc>
          <w:tcPr>
            <w:tcW w:w="1007" w:type="dxa"/>
            <w:noWrap/>
          </w:tcPr>
          <w:p w14:paraId="5CF361A6" w14:textId="19F6DB16"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1,4</w:t>
            </w:r>
          </w:p>
        </w:tc>
        <w:tc>
          <w:tcPr>
            <w:tcW w:w="1007" w:type="dxa"/>
            <w:noWrap/>
          </w:tcPr>
          <w:p w14:paraId="7FF5FE42" w14:textId="56ED6767"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1,4</w:t>
            </w:r>
          </w:p>
        </w:tc>
        <w:tc>
          <w:tcPr>
            <w:tcW w:w="1007" w:type="dxa"/>
          </w:tcPr>
          <w:p w14:paraId="10B6A52B" w14:textId="6CA4C497"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6856C6">
              <w:rPr>
                <w:rFonts w:cs="Times New Roman"/>
                <w:color w:val="auto"/>
                <w:sz w:val="18"/>
                <w:szCs w:val="18"/>
              </w:rPr>
              <w:t>1,5</w:t>
            </w:r>
          </w:p>
        </w:tc>
      </w:tr>
      <w:tr w:rsidR="00786AC7" w:rsidRPr="002A71C2" w14:paraId="04ED87D5" w14:textId="49EB0B9B" w:rsidTr="00FB4F73">
        <w:trPr>
          <w:trHeight w:val="63"/>
          <w:jc w:val="center"/>
        </w:trPr>
        <w:tc>
          <w:tcPr>
            <w:cnfStyle w:val="001000000000" w:firstRow="0" w:lastRow="0" w:firstColumn="1" w:lastColumn="0" w:oddVBand="0" w:evenVBand="0" w:oddHBand="0" w:evenHBand="0" w:firstRowFirstColumn="0" w:firstRowLastColumn="0" w:lastRowFirstColumn="0" w:lastRowLastColumn="0"/>
            <w:tcW w:w="3681" w:type="dxa"/>
            <w:vAlign w:val="bottom"/>
            <w:hideMark/>
          </w:tcPr>
          <w:p w14:paraId="6F26359C" w14:textId="77777777" w:rsidR="00786AC7" w:rsidRPr="002A71C2" w:rsidRDefault="00786AC7" w:rsidP="00786AC7">
            <w:pPr>
              <w:spacing w:line="276" w:lineRule="auto"/>
              <w:ind w:firstLine="0"/>
              <w:jc w:val="left"/>
              <w:rPr>
                <w:rFonts w:eastAsia="Times New Roman" w:cs="Times New Roman"/>
                <w:color w:val="auto"/>
                <w:sz w:val="18"/>
                <w:szCs w:val="18"/>
              </w:rPr>
            </w:pPr>
            <w:r w:rsidRPr="002A71C2">
              <w:rPr>
                <w:rFonts w:eastAsia="Times New Roman" w:cs="Times New Roman"/>
                <w:color w:val="auto"/>
                <w:sz w:val="18"/>
                <w:szCs w:val="18"/>
              </w:rPr>
              <w:t xml:space="preserve">6. Starpība starp faktisko un potenciālo IKP </w:t>
            </w:r>
            <w:r w:rsidRPr="002A71C2">
              <w:rPr>
                <w:rFonts w:eastAsia="Times New Roman" w:cs="Times New Roman"/>
                <w:color w:val="auto"/>
                <w:sz w:val="18"/>
                <w:szCs w:val="18"/>
              </w:rPr>
              <w:br/>
              <w:t>(% no potenciālā IKP)</w:t>
            </w:r>
          </w:p>
        </w:tc>
        <w:tc>
          <w:tcPr>
            <w:tcW w:w="1129" w:type="dxa"/>
            <w:noWrap/>
            <w:hideMark/>
          </w:tcPr>
          <w:p w14:paraId="27E39A75" w14:textId="77777777" w:rsidR="00786AC7" w:rsidRPr="002A71C2"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803" w:type="dxa"/>
            <w:noWrap/>
          </w:tcPr>
          <w:p w14:paraId="61A94CD9" w14:textId="6B6EFADB"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-0,4</w:t>
            </w:r>
          </w:p>
        </w:tc>
        <w:tc>
          <w:tcPr>
            <w:tcW w:w="1007" w:type="dxa"/>
            <w:noWrap/>
          </w:tcPr>
          <w:p w14:paraId="36F61293" w14:textId="15896D2D"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-1,1</w:t>
            </w:r>
          </w:p>
        </w:tc>
        <w:tc>
          <w:tcPr>
            <w:tcW w:w="1007" w:type="dxa"/>
            <w:noWrap/>
          </w:tcPr>
          <w:p w14:paraId="193360E7" w14:textId="04E0B826"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-0,3</w:t>
            </w:r>
          </w:p>
        </w:tc>
        <w:tc>
          <w:tcPr>
            <w:tcW w:w="1007" w:type="dxa"/>
            <w:noWrap/>
          </w:tcPr>
          <w:p w14:paraId="63194D0A" w14:textId="2F073099"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0,0</w:t>
            </w:r>
          </w:p>
        </w:tc>
        <w:tc>
          <w:tcPr>
            <w:tcW w:w="1007" w:type="dxa"/>
            <w:noWrap/>
          </w:tcPr>
          <w:p w14:paraId="5CAD71A4" w14:textId="505F2B8E"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0,0</w:t>
            </w:r>
          </w:p>
        </w:tc>
        <w:tc>
          <w:tcPr>
            <w:tcW w:w="1007" w:type="dxa"/>
          </w:tcPr>
          <w:p w14:paraId="592920DC" w14:textId="6E16BFE6"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6856C6">
              <w:rPr>
                <w:rFonts w:cs="Times New Roman"/>
                <w:color w:val="auto"/>
                <w:sz w:val="18"/>
                <w:szCs w:val="18"/>
              </w:rPr>
              <w:t>0,0</w:t>
            </w:r>
          </w:p>
        </w:tc>
      </w:tr>
      <w:tr w:rsidR="00786AC7" w:rsidRPr="002A71C2" w14:paraId="73D6B787" w14:textId="19DE72D0" w:rsidTr="00FB4F73">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2780B565" w14:textId="77777777" w:rsidR="00786AC7" w:rsidRPr="002A71C2" w:rsidRDefault="00786AC7" w:rsidP="00786AC7">
            <w:pPr>
              <w:spacing w:line="276" w:lineRule="auto"/>
              <w:ind w:firstLine="0"/>
              <w:jc w:val="left"/>
              <w:rPr>
                <w:rFonts w:eastAsia="Times New Roman" w:cs="Times New Roman"/>
                <w:color w:val="auto"/>
                <w:sz w:val="18"/>
                <w:szCs w:val="18"/>
              </w:rPr>
            </w:pPr>
            <w:r w:rsidRPr="002A71C2">
              <w:rPr>
                <w:rFonts w:eastAsia="Times New Roman" w:cs="Times New Roman"/>
                <w:color w:val="auto"/>
                <w:sz w:val="18"/>
                <w:szCs w:val="18"/>
              </w:rPr>
              <w:t>7. Budžeta bilances cikliskā komponente</w:t>
            </w:r>
          </w:p>
        </w:tc>
        <w:tc>
          <w:tcPr>
            <w:tcW w:w="1129" w:type="dxa"/>
            <w:noWrap/>
            <w:hideMark/>
          </w:tcPr>
          <w:p w14:paraId="0FBBB451" w14:textId="77777777" w:rsidR="00786AC7" w:rsidRPr="002A71C2"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p>
        </w:tc>
        <w:tc>
          <w:tcPr>
            <w:tcW w:w="803" w:type="dxa"/>
            <w:noWrap/>
          </w:tcPr>
          <w:p w14:paraId="2F014BFD" w14:textId="4028364C"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-0,1</w:t>
            </w:r>
          </w:p>
        </w:tc>
        <w:tc>
          <w:tcPr>
            <w:tcW w:w="1007" w:type="dxa"/>
            <w:noWrap/>
          </w:tcPr>
          <w:p w14:paraId="5FCCE41A" w14:textId="6456A8DD"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-0,4</w:t>
            </w:r>
          </w:p>
        </w:tc>
        <w:tc>
          <w:tcPr>
            <w:tcW w:w="1007" w:type="dxa"/>
            <w:noWrap/>
          </w:tcPr>
          <w:p w14:paraId="5257A651" w14:textId="69614961" w:rsidR="00786AC7" w:rsidRPr="0091078B"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91078B">
              <w:rPr>
                <w:rFonts w:cs="Times New Roman"/>
                <w:color w:val="auto"/>
                <w:sz w:val="18"/>
                <w:szCs w:val="18"/>
              </w:rPr>
              <w:t>-0,1</w:t>
            </w:r>
          </w:p>
        </w:tc>
        <w:tc>
          <w:tcPr>
            <w:tcW w:w="1007" w:type="dxa"/>
            <w:noWrap/>
          </w:tcPr>
          <w:p w14:paraId="07944859" w14:textId="0E8B7B74" w:rsidR="00786AC7" w:rsidRPr="0091078B"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91078B">
              <w:rPr>
                <w:rFonts w:cs="Times New Roman"/>
                <w:color w:val="auto"/>
                <w:sz w:val="18"/>
                <w:szCs w:val="18"/>
              </w:rPr>
              <w:t>0,0</w:t>
            </w:r>
          </w:p>
        </w:tc>
        <w:tc>
          <w:tcPr>
            <w:tcW w:w="1007" w:type="dxa"/>
            <w:noWrap/>
          </w:tcPr>
          <w:p w14:paraId="5EA8266B" w14:textId="195CD239" w:rsidR="00786AC7" w:rsidRPr="0091078B"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91078B">
              <w:rPr>
                <w:rFonts w:cs="Times New Roman"/>
                <w:color w:val="auto"/>
                <w:sz w:val="18"/>
                <w:szCs w:val="18"/>
              </w:rPr>
              <w:t>0,0</w:t>
            </w:r>
          </w:p>
        </w:tc>
        <w:tc>
          <w:tcPr>
            <w:tcW w:w="1007" w:type="dxa"/>
          </w:tcPr>
          <w:p w14:paraId="05E755B4" w14:textId="18F9A329" w:rsidR="00786AC7" w:rsidRPr="0091078B"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91078B">
              <w:rPr>
                <w:rFonts w:cs="Times New Roman"/>
                <w:color w:val="auto"/>
                <w:sz w:val="18"/>
                <w:szCs w:val="18"/>
              </w:rPr>
              <w:t>0,0</w:t>
            </w:r>
          </w:p>
        </w:tc>
      </w:tr>
      <w:tr w:rsidR="00786AC7" w:rsidRPr="002A71C2" w14:paraId="0A89E6A5" w14:textId="16CFA074" w:rsidTr="00D6269C">
        <w:trPr>
          <w:trHeight w:val="63"/>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0F4B9C06" w14:textId="77777777" w:rsidR="00786AC7" w:rsidRPr="002A71C2" w:rsidRDefault="00786AC7" w:rsidP="00786AC7">
            <w:pPr>
              <w:spacing w:line="276" w:lineRule="auto"/>
              <w:ind w:firstLine="0"/>
              <w:jc w:val="left"/>
              <w:rPr>
                <w:rFonts w:eastAsia="Times New Roman" w:cs="Times New Roman"/>
                <w:color w:val="auto"/>
                <w:sz w:val="18"/>
                <w:szCs w:val="18"/>
              </w:rPr>
            </w:pPr>
            <w:r w:rsidRPr="002A71C2">
              <w:rPr>
                <w:rFonts w:eastAsia="Times New Roman" w:cs="Times New Roman"/>
                <w:color w:val="auto"/>
                <w:sz w:val="18"/>
                <w:szCs w:val="18"/>
              </w:rPr>
              <w:t>8. Cikliski koriģētā bilance (2–7)</w:t>
            </w:r>
          </w:p>
        </w:tc>
        <w:tc>
          <w:tcPr>
            <w:tcW w:w="1129" w:type="dxa"/>
            <w:noWrap/>
            <w:hideMark/>
          </w:tcPr>
          <w:p w14:paraId="62AD4DE5" w14:textId="77777777" w:rsidR="00786AC7" w:rsidRPr="002A71C2"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803" w:type="dxa"/>
            <w:noWrap/>
          </w:tcPr>
          <w:p w14:paraId="2D92417B" w14:textId="4461156A"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-2,1</w:t>
            </w:r>
          </w:p>
        </w:tc>
        <w:tc>
          <w:tcPr>
            <w:tcW w:w="1007" w:type="dxa"/>
            <w:noWrap/>
          </w:tcPr>
          <w:p w14:paraId="5EE6C5C0" w14:textId="416642E8"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-2,5</w:t>
            </w:r>
          </w:p>
        </w:tc>
        <w:tc>
          <w:tcPr>
            <w:tcW w:w="1007" w:type="dxa"/>
            <w:noWrap/>
            <w:vAlign w:val="bottom"/>
          </w:tcPr>
          <w:p w14:paraId="563D4E2F" w14:textId="5A3223AF"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-2,1</w:t>
            </w:r>
          </w:p>
        </w:tc>
        <w:tc>
          <w:tcPr>
            <w:tcW w:w="1007" w:type="dxa"/>
            <w:noWrap/>
            <w:vAlign w:val="bottom"/>
          </w:tcPr>
          <w:p w14:paraId="08ED4F73" w14:textId="39EA386F"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-2,1</w:t>
            </w:r>
          </w:p>
        </w:tc>
        <w:tc>
          <w:tcPr>
            <w:tcW w:w="1007" w:type="dxa"/>
            <w:noWrap/>
            <w:vAlign w:val="bottom"/>
          </w:tcPr>
          <w:p w14:paraId="130D913F" w14:textId="030D0E50"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-2,0</w:t>
            </w:r>
          </w:p>
        </w:tc>
        <w:tc>
          <w:tcPr>
            <w:tcW w:w="1007" w:type="dxa"/>
            <w:vAlign w:val="bottom"/>
          </w:tcPr>
          <w:p w14:paraId="364B2F40" w14:textId="150C4DA0"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4016DD">
              <w:rPr>
                <w:rFonts w:cs="Times New Roman"/>
                <w:color w:val="auto"/>
                <w:sz w:val="18"/>
                <w:szCs w:val="18"/>
              </w:rPr>
              <w:t>-1,8</w:t>
            </w:r>
          </w:p>
        </w:tc>
      </w:tr>
      <w:tr w:rsidR="00786AC7" w:rsidRPr="002A71C2" w14:paraId="6AC1D67E" w14:textId="7D606B0F" w:rsidTr="00D6269C">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676209BA" w14:textId="77777777" w:rsidR="00786AC7" w:rsidRPr="002A71C2" w:rsidRDefault="00786AC7" w:rsidP="00786AC7">
            <w:pPr>
              <w:spacing w:line="276" w:lineRule="auto"/>
              <w:ind w:firstLine="0"/>
              <w:jc w:val="left"/>
              <w:rPr>
                <w:rFonts w:eastAsia="Times New Roman" w:cs="Times New Roman"/>
                <w:color w:val="auto"/>
                <w:sz w:val="18"/>
                <w:szCs w:val="18"/>
              </w:rPr>
            </w:pPr>
            <w:r w:rsidRPr="002A71C2">
              <w:rPr>
                <w:rFonts w:eastAsia="Times New Roman" w:cs="Times New Roman"/>
                <w:color w:val="auto"/>
                <w:sz w:val="18"/>
                <w:szCs w:val="18"/>
              </w:rPr>
              <w:t>9. Cikliski koriģētā primārā bilance (8+3)</w:t>
            </w:r>
          </w:p>
        </w:tc>
        <w:tc>
          <w:tcPr>
            <w:tcW w:w="1129" w:type="dxa"/>
            <w:noWrap/>
            <w:hideMark/>
          </w:tcPr>
          <w:p w14:paraId="371C10D8" w14:textId="77777777" w:rsidR="00786AC7" w:rsidRPr="002A71C2"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p>
        </w:tc>
        <w:tc>
          <w:tcPr>
            <w:tcW w:w="803" w:type="dxa"/>
            <w:noWrap/>
          </w:tcPr>
          <w:p w14:paraId="4ABEF400" w14:textId="0CC9956B"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-1,3</w:t>
            </w:r>
          </w:p>
        </w:tc>
        <w:tc>
          <w:tcPr>
            <w:tcW w:w="1007" w:type="dxa"/>
            <w:noWrap/>
          </w:tcPr>
          <w:p w14:paraId="1AA3936C" w14:textId="42B35A3E" w:rsidR="00786AC7" w:rsidRPr="006856C6"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-1,4</w:t>
            </w:r>
          </w:p>
        </w:tc>
        <w:tc>
          <w:tcPr>
            <w:tcW w:w="1007" w:type="dxa"/>
            <w:noWrap/>
            <w:vAlign w:val="bottom"/>
          </w:tcPr>
          <w:p w14:paraId="105B4D89" w14:textId="77BA52B5" w:rsidR="00786AC7" w:rsidRPr="004016DD"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-0,9</w:t>
            </w:r>
          </w:p>
        </w:tc>
        <w:tc>
          <w:tcPr>
            <w:tcW w:w="1007" w:type="dxa"/>
            <w:noWrap/>
            <w:vAlign w:val="bottom"/>
          </w:tcPr>
          <w:p w14:paraId="19BA3632" w14:textId="2C8EFE07" w:rsidR="00786AC7" w:rsidRPr="004016DD"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-0,9</w:t>
            </w:r>
          </w:p>
        </w:tc>
        <w:tc>
          <w:tcPr>
            <w:tcW w:w="1007" w:type="dxa"/>
            <w:noWrap/>
            <w:vAlign w:val="bottom"/>
          </w:tcPr>
          <w:p w14:paraId="17BDE333" w14:textId="0F091DEC" w:rsidR="00786AC7" w:rsidRPr="004016DD"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-0,6</w:t>
            </w:r>
          </w:p>
        </w:tc>
        <w:tc>
          <w:tcPr>
            <w:tcW w:w="1007" w:type="dxa"/>
            <w:vAlign w:val="bottom"/>
          </w:tcPr>
          <w:p w14:paraId="76F82338" w14:textId="4CA71880" w:rsidR="00786AC7" w:rsidRPr="004016DD" w:rsidRDefault="00786AC7" w:rsidP="00786AC7">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4016DD">
              <w:rPr>
                <w:rFonts w:cs="Times New Roman"/>
                <w:color w:val="auto"/>
                <w:sz w:val="18"/>
                <w:szCs w:val="18"/>
              </w:rPr>
              <w:t>-0,4</w:t>
            </w:r>
          </w:p>
        </w:tc>
      </w:tr>
      <w:tr w:rsidR="00786AC7" w:rsidRPr="00874664" w14:paraId="33398FD6" w14:textId="286C1674" w:rsidTr="00D6269C">
        <w:trPr>
          <w:trHeight w:val="63"/>
          <w:jc w:val="center"/>
        </w:trPr>
        <w:tc>
          <w:tcPr>
            <w:cnfStyle w:val="001000000000" w:firstRow="0" w:lastRow="0" w:firstColumn="1" w:lastColumn="0" w:oddVBand="0" w:evenVBand="0" w:oddHBand="0" w:evenHBand="0" w:firstRowFirstColumn="0" w:firstRowLastColumn="0" w:lastRowFirstColumn="0" w:lastRowLastColumn="0"/>
            <w:tcW w:w="3681" w:type="dxa"/>
            <w:noWrap/>
            <w:vAlign w:val="bottom"/>
            <w:hideMark/>
          </w:tcPr>
          <w:p w14:paraId="294E9E1B" w14:textId="77777777" w:rsidR="00786AC7" w:rsidRPr="002A71C2" w:rsidRDefault="00786AC7" w:rsidP="00786AC7">
            <w:pPr>
              <w:spacing w:line="276" w:lineRule="auto"/>
              <w:ind w:firstLine="0"/>
              <w:jc w:val="left"/>
              <w:rPr>
                <w:rFonts w:eastAsia="Times New Roman" w:cs="Times New Roman"/>
                <w:color w:val="auto"/>
                <w:sz w:val="18"/>
                <w:szCs w:val="18"/>
              </w:rPr>
            </w:pPr>
            <w:r w:rsidRPr="002A71C2">
              <w:rPr>
                <w:rFonts w:eastAsia="Times New Roman" w:cs="Times New Roman"/>
                <w:color w:val="auto"/>
                <w:sz w:val="18"/>
                <w:szCs w:val="18"/>
              </w:rPr>
              <w:lastRenderedPageBreak/>
              <w:t>10. Strukturālā bilance (8–4)</w:t>
            </w:r>
          </w:p>
        </w:tc>
        <w:tc>
          <w:tcPr>
            <w:tcW w:w="1129" w:type="dxa"/>
            <w:noWrap/>
            <w:hideMark/>
          </w:tcPr>
          <w:p w14:paraId="48142EBA" w14:textId="77777777" w:rsidR="00786AC7" w:rsidRPr="002A71C2"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803" w:type="dxa"/>
            <w:noWrap/>
          </w:tcPr>
          <w:p w14:paraId="495162E5" w14:textId="793BC06B"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-0,1</w:t>
            </w:r>
          </w:p>
        </w:tc>
        <w:tc>
          <w:tcPr>
            <w:tcW w:w="1007" w:type="dxa"/>
            <w:noWrap/>
          </w:tcPr>
          <w:p w14:paraId="524BD66A" w14:textId="4FDB183D" w:rsidR="00786AC7" w:rsidRPr="006856C6"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6856C6">
              <w:rPr>
                <w:rFonts w:cs="Times New Roman"/>
                <w:color w:val="auto"/>
                <w:sz w:val="18"/>
                <w:szCs w:val="18"/>
              </w:rPr>
              <w:t>-0,8</w:t>
            </w:r>
          </w:p>
        </w:tc>
        <w:tc>
          <w:tcPr>
            <w:tcW w:w="1007" w:type="dxa"/>
            <w:noWrap/>
            <w:vAlign w:val="bottom"/>
          </w:tcPr>
          <w:p w14:paraId="426D7793" w14:textId="2B609512"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-0,5</w:t>
            </w:r>
          </w:p>
        </w:tc>
        <w:tc>
          <w:tcPr>
            <w:tcW w:w="1007" w:type="dxa"/>
            <w:noWrap/>
            <w:vAlign w:val="bottom"/>
          </w:tcPr>
          <w:p w14:paraId="7C911EC9" w14:textId="4567FF08"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-0,5</w:t>
            </w:r>
          </w:p>
        </w:tc>
        <w:tc>
          <w:tcPr>
            <w:tcW w:w="1007" w:type="dxa"/>
            <w:noWrap/>
            <w:vAlign w:val="bottom"/>
          </w:tcPr>
          <w:p w14:paraId="665703CC" w14:textId="0D43750F"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16DD">
              <w:rPr>
                <w:rFonts w:cs="Times New Roman"/>
                <w:color w:val="auto"/>
                <w:sz w:val="18"/>
                <w:szCs w:val="18"/>
              </w:rPr>
              <w:t>-0,5</w:t>
            </w:r>
          </w:p>
        </w:tc>
        <w:tc>
          <w:tcPr>
            <w:tcW w:w="1007" w:type="dxa"/>
            <w:vAlign w:val="bottom"/>
          </w:tcPr>
          <w:p w14:paraId="55A62466" w14:textId="2CEA39DA" w:rsidR="00786AC7" w:rsidRPr="004016DD" w:rsidRDefault="00786AC7" w:rsidP="00786AC7">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4016DD">
              <w:rPr>
                <w:rFonts w:cs="Times New Roman"/>
                <w:color w:val="auto"/>
                <w:sz w:val="18"/>
                <w:szCs w:val="18"/>
              </w:rPr>
              <w:t>-0,5</w:t>
            </w:r>
          </w:p>
        </w:tc>
      </w:tr>
      <w:bookmarkEnd w:id="96"/>
    </w:tbl>
    <w:p w14:paraId="0AAAAF4B" w14:textId="77777777" w:rsidR="002A71C2" w:rsidRDefault="002A71C2" w:rsidP="00786AC7">
      <w:pPr>
        <w:spacing w:line="259" w:lineRule="auto"/>
        <w:ind w:firstLine="0"/>
        <w:jc w:val="left"/>
        <w:rPr>
          <w:rFonts w:eastAsia="Times New Roman" w:cs="Times New Roman"/>
          <w:b/>
          <w:sz w:val="24"/>
          <w:szCs w:val="20"/>
        </w:rPr>
      </w:pPr>
    </w:p>
    <w:p w14:paraId="3572D265" w14:textId="5E876140" w:rsidR="000F4627" w:rsidRPr="00800C51" w:rsidRDefault="000F4627" w:rsidP="00042C12">
      <w:pPr>
        <w:spacing w:after="120" w:line="259" w:lineRule="auto"/>
        <w:ind w:firstLine="0"/>
        <w:jc w:val="left"/>
        <w:rPr>
          <w:rFonts w:eastAsia="Times New Roman" w:cs="Times New Roman"/>
          <w:bCs/>
          <w:sz w:val="20"/>
          <w:szCs w:val="20"/>
        </w:rPr>
      </w:pPr>
      <w:r w:rsidRPr="00800C51">
        <w:rPr>
          <w:rFonts w:eastAsia="Times New Roman" w:cs="Times New Roman"/>
          <w:b/>
          <w:sz w:val="24"/>
          <w:szCs w:val="20"/>
        </w:rPr>
        <w:t xml:space="preserve">6. tabula. </w:t>
      </w:r>
      <w:r w:rsidR="008D5244" w:rsidRPr="00800C51">
        <w:rPr>
          <w:rFonts w:eastAsia="Times New Roman" w:cs="Times New Roman"/>
          <w:b/>
          <w:sz w:val="24"/>
          <w:szCs w:val="20"/>
        </w:rPr>
        <w:t>Salīdzinājums ar Stabilitātes programmas 202</w:t>
      </w:r>
      <w:r w:rsidR="000D61BB">
        <w:rPr>
          <w:rFonts w:eastAsia="Times New Roman" w:cs="Times New Roman"/>
          <w:b/>
          <w:sz w:val="24"/>
          <w:szCs w:val="20"/>
        </w:rPr>
        <w:t>3</w:t>
      </w:r>
      <w:r w:rsidR="008D5244" w:rsidRPr="00800C51">
        <w:rPr>
          <w:rFonts w:eastAsia="Times New Roman" w:cs="Times New Roman"/>
          <w:b/>
          <w:sz w:val="24"/>
          <w:szCs w:val="20"/>
        </w:rPr>
        <w:t>.-202</w:t>
      </w:r>
      <w:r w:rsidR="000D61BB">
        <w:rPr>
          <w:rFonts w:eastAsia="Times New Roman" w:cs="Times New Roman"/>
          <w:b/>
          <w:sz w:val="24"/>
          <w:szCs w:val="20"/>
        </w:rPr>
        <w:t>6</w:t>
      </w:r>
      <w:r w:rsidR="008D5244" w:rsidRPr="00800C51">
        <w:rPr>
          <w:rFonts w:eastAsia="Times New Roman" w:cs="Times New Roman"/>
          <w:b/>
          <w:sz w:val="24"/>
          <w:szCs w:val="20"/>
        </w:rPr>
        <w:t>. gadam prognozēm</w:t>
      </w:r>
      <w:r w:rsidR="002643CB">
        <w:rPr>
          <w:rFonts w:eastAsia="Times New Roman" w:cs="Times New Roman"/>
          <w:b/>
          <w:sz w:val="24"/>
          <w:szCs w:val="20"/>
        </w:rPr>
        <w:t xml:space="preserve"> (pie mainīgas politikas)</w:t>
      </w:r>
    </w:p>
    <w:tbl>
      <w:tblPr>
        <w:tblW w:w="10331"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3964"/>
        <w:gridCol w:w="1289"/>
        <w:gridCol w:w="850"/>
        <w:gridCol w:w="851"/>
        <w:gridCol w:w="850"/>
        <w:gridCol w:w="851"/>
        <w:gridCol w:w="838"/>
        <w:gridCol w:w="838"/>
      </w:tblGrid>
      <w:tr w:rsidR="00800C51" w:rsidRPr="00800C51" w14:paraId="1AC00CCF" w14:textId="208F1D98" w:rsidTr="00800C51">
        <w:trPr>
          <w:tblHeader/>
          <w:jc w:val="center"/>
        </w:trPr>
        <w:tc>
          <w:tcPr>
            <w:tcW w:w="3964" w:type="dxa"/>
            <w:shd w:val="clear" w:color="auto" w:fill="BDD6EE"/>
          </w:tcPr>
          <w:p w14:paraId="10FE3500" w14:textId="77777777" w:rsidR="00800C51" w:rsidRPr="00800C51" w:rsidRDefault="00800C51" w:rsidP="000F4627">
            <w:pPr>
              <w:ind w:firstLine="0"/>
              <w:jc w:val="left"/>
              <w:rPr>
                <w:rFonts w:eastAsia="Times New Roman" w:cs="Times New Roman"/>
                <w:b/>
                <w:bCs/>
                <w:sz w:val="18"/>
                <w:szCs w:val="18"/>
              </w:rPr>
            </w:pPr>
          </w:p>
        </w:tc>
        <w:tc>
          <w:tcPr>
            <w:tcW w:w="1289" w:type="dxa"/>
            <w:shd w:val="clear" w:color="auto" w:fill="BDD6EE"/>
            <w:vAlign w:val="center"/>
          </w:tcPr>
          <w:p w14:paraId="0343FF58" w14:textId="77777777" w:rsidR="00800C51" w:rsidRPr="00800C51" w:rsidRDefault="00800C51" w:rsidP="000F4627">
            <w:pPr>
              <w:ind w:firstLine="0"/>
              <w:jc w:val="center"/>
              <w:rPr>
                <w:rFonts w:eastAsia="Times New Roman" w:cs="Times New Roman"/>
                <w:b/>
                <w:bCs/>
                <w:sz w:val="18"/>
                <w:szCs w:val="18"/>
              </w:rPr>
            </w:pPr>
            <w:r w:rsidRPr="00800C51">
              <w:rPr>
                <w:rFonts w:eastAsia="Times New Roman" w:cs="Times New Roman"/>
                <w:b/>
                <w:bCs/>
                <w:sz w:val="18"/>
                <w:szCs w:val="18"/>
              </w:rPr>
              <w:t>EKS kods</w:t>
            </w:r>
          </w:p>
        </w:tc>
        <w:tc>
          <w:tcPr>
            <w:tcW w:w="850" w:type="dxa"/>
            <w:shd w:val="clear" w:color="auto" w:fill="BDD6EE"/>
            <w:vAlign w:val="center"/>
          </w:tcPr>
          <w:p w14:paraId="62A78B3D" w14:textId="47B9917C" w:rsidR="00800C51" w:rsidRPr="00800C51" w:rsidRDefault="00800C51" w:rsidP="000F4627">
            <w:pPr>
              <w:ind w:firstLine="0"/>
              <w:jc w:val="center"/>
              <w:rPr>
                <w:rFonts w:eastAsia="Times New Roman" w:cs="Times New Roman"/>
                <w:b/>
                <w:bCs/>
                <w:sz w:val="18"/>
                <w:szCs w:val="18"/>
              </w:rPr>
            </w:pPr>
            <w:r w:rsidRPr="00800C51">
              <w:rPr>
                <w:rFonts w:eastAsia="Times New Roman" w:cs="Times New Roman"/>
                <w:b/>
                <w:bCs/>
                <w:sz w:val="18"/>
                <w:szCs w:val="18"/>
              </w:rPr>
              <w:t>2023</w:t>
            </w:r>
          </w:p>
        </w:tc>
        <w:tc>
          <w:tcPr>
            <w:tcW w:w="851" w:type="dxa"/>
            <w:shd w:val="clear" w:color="auto" w:fill="BDD6EE"/>
            <w:vAlign w:val="center"/>
          </w:tcPr>
          <w:p w14:paraId="50958CD0" w14:textId="39E44AE9" w:rsidR="00800C51" w:rsidRPr="00800C51" w:rsidRDefault="00800C51" w:rsidP="000F4627">
            <w:pPr>
              <w:ind w:firstLine="0"/>
              <w:jc w:val="center"/>
              <w:rPr>
                <w:rFonts w:eastAsia="Times New Roman" w:cs="Times New Roman"/>
                <w:b/>
                <w:bCs/>
                <w:sz w:val="18"/>
                <w:szCs w:val="18"/>
              </w:rPr>
            </w:pPr>
            <w:r w:rsidRPr="00800C51">
              <w:rPr>
                <w:rFonts w:eastAsia="Times New Roman" w:cs="Times New Roman"/>
                <w:b/>
                <w:bCs/>
                <w:sz w:val="18"/>
                <w:szCs w:val="18"/>
              </w:rPr>
              <w:t>2024</w:t>
            </w:r>
          </w:p>
        </w:tc>
        <w:tc>
          <w:tcPr>
            <w:tcW w:w="850" w:type="dxa"/>
            <w:shd w:val="clear" w:color="auto" w:fill="BDD6EE"/>
            <w:vAlign w:val="center"/>
          </w:tcPr>
          <w:p w14:paraId="1447D664" w14:textId="408A9563" w:rsidR="00800C51" w:rsidRPr="00800C51" w:rsidRDefault="00800C51" w:rsidP="000F4627">
            <w:pPr>
              <w:ind w:firstLine="0"/>
              <w:jc w:val="center"/>
              <w:rPr>
                <w:rFonts w:eastAsia="Times New Roman" w:cs="Times New Roman"/>
                <w:b/>
                <w:bCs/>
                <w:sz w:val="18"/>
                <w:szCs w:val="18"/>
              </w:rPr>
            </w:pPr>
            <w:r w:rsidRPr="00800C51">
              <w:rPr>
                <w:rFonts w:eastAsia="Times New Roman" w:cs="Times New Roman"/>
                <w:b/>
                <w:bCs/>
                <w:sz w:val="18"/>
                <w:szCs w:val="18"/>
              </w:rPr>
              <w:t>2025</w:t>
            </w:r>
          </w:p>
        </w:tc>
        <w:tc>
          <w:tcPr>
            <w:tcW w:w="851" w:type="dxa"/>
            <w:shd w:val="clear" w:color="auto" w:fill="BDD6EE"/>
            <w:vAlign w:val="center"/>
          </w:tcPr>
          <w:p w14:paraId="22F8711A" w14:textId="7C3EC7B3" w:rsidR="00800C51" w:rsidRPr="00800C51" w:rsidRDefault="00800C51" w:rsidP="000F4627">
            <w:pPr>
              <w:ind w:firstLine="0"/>
              <w:jc w:val="center"/>
              <w:rPr>
                <w:rFonts w:eastAsia="Times New Roman" w:cs="Times New Roman"/>
                <w:b/>
                <w:bCs/>
                <w:sz w:val="18"/>
                <w:szCs w:val="18"/>
              </w:rPr>
            </w:pPr>
            <w:r w:rsidRPr="00800C51">
              <w:rPr>
                <w:rFonts w:eastAsia="Times New Roman" w:cs="Times New Roman"/>
                <w:b/>
                <w:bCs/>
                <w:sz w:val="18"/>
                <w:szCs w:val="18"/>
              </w:rPr>
              <w:t>2026</w:t>
            </w:r>
          </w:p>
        </w:tc>
        <w:tc>
          <w:tcPr>
            <w:tcW w:w="838" w:type="dxa"/>
            <w:shd w:val="clear" w:color="auto" w:fill="BDD6EE"/>
            <w:vAlign w:val="center"/>
          </w:tcPr>
          <w:p w14:paraId="3017C3D2" w14:textId="5CCE43B2" w:rsidR="00800C51" w:rsidRPr="00800C51" w:rsidRDefault="00800C51" w:rsidP="000F4627">
            <w:pPr>
              <w:ind w:firstLine="0"/>
              <w:jc w:val="center"/>
              <w:rPr>
                <w:rFonts w:eastAsia="Times New Roman" w:cs="Times New Roman"/>
                <w:b/>
                <w:bCs/>
                <w:sz w:val="18"/>
                <w:szCs w:val="18"/>
              </w:rPr>
            </w:pPr>
            <w:r w:rsidRPr="00800C51">
              <w:rPr>
                <w:rFonts w:eastAsia="Times New Roman" w:cs="Times New Roman"/>
                <w:b/>
                <w:bCs/>
                <w:sz w:val="18"/>
                <w:szCs w:val="18"/>
              </w:rPr>
              <w:t>2027</w:t>
            </w:r>
          </w:p>
        </w:tc>
        <w:tc>
          <w:tcPr>
            <w:tcW w:w="838" w:type="dxa"/>
            <w:shd w:val="clear" w:color="auto" w:fill="BDD6EE"/>
          </w:tcPr>
          <w:p w14:paraId="2D6F0A24" w14:textId="3B2ABF2D" w:rsidR="00800C51" w:rsidRPr="00800C51" w:rsidRDefault="00800C51" w:rsidP="000F4627">
            <w:pPr>
              <w:ind w:firstLine="0"/>
              <w:jc w:val="center"/>
              <w:rPr>
                <w:rFonts w:eastAsia="Times New Roman" w:cs="Times New Roman"/>
                <w:b/>
                <w:bCs/>
                <w:sz w:val="18"/>
                <w:szCs w:val="18"/>
              </w:rPr>
            </w:pPr>
            <w:r w:rsidRPr="00800C51">
              <w:rPr>
                <w:rFonts w:eastAsia="Times New Roman" w:cs="Times New Roman"/>
                <w:b/>
                <w:bCs/>
                <w:sz w:val="18"/>
                <w:szCs w:val="18"/>
              </w:rPr>
              <w:t>2028</w:t>
            </w:r>
          </w:p>
        </w:tc>
      </w:tr>
      <w:tr w:rsidR="00800C51" w:rsidRPr="00800C51" w14:paraId="35E62A9A" w14:textId="17E4CA37" w:rsidTr="00800C51">
        <w:trPr>
          <w:jc w:val="center"/>
        </w:trPr>
        <w:tc>
          <w:tcPr>
            <w:tcW w:w="3964" w:type="dxa"/>
            <w:shd w:val="clear" w:color="auto" w:fill="auto"/>
          </w:tcPr>
          <w:p w14:paraId="54B8198B" w14:textId="77777777" w:rsidR="00800C51" w:rsidRPr="00800C51" w:rsidRDefault="00800C51" w:rsidP="008D5244">
            <w:pPr>
              <w:ind w:firstLine="0"/>
              <w:jc w:val="right"/>
              <w:rPr>
                <w:rFonts w:eastAsia="Times New Roman" w:cs="Times New Roman"/>
                <w:b/>
                <w:snapToGrid w:val="0"/>
                <w:sz w:val="18"/>
                <w:szCs w:val="18"/>
              </w:rPr>
            </w:pPr>
            <w:r w:rsidRPr="00800C51">
              <w:rPr>
                <w:rFonts w:eastAsia="Times New Roman" w:cs="Times New Roman"/>
                <w:b/>
                <w:sz w:val="18"/>
                <w:szCs w:val="18"/>
              </w:rPr>
              <w:t>IKP pieaugums (%)</w:t>
            </w:r>
          </w:p>
        </w:tc>
        <w:tc>
          <w:tcPr>
            <w:tcW w:w="1289" w:type="dxa"/>
            <w:shd w:val="clear" w:color="auto" w:fill="auto"/>
          </w:tcPr>
          <w:p w14:paraId="35B8DA1D" w14:textId="60405B4E" w:rsidR="00800C51" w:rsidRPr="006856C6" w:rsidRDefault="00800C51" w:rsidP="008D5244">
            <w:pPr>
              <w:ind w:firstLine="0"/>
              <w:jc w:val="center"/>
              <w:rPr>
                <w:rFonts w:eastAsia="Times New Roman" w:cs="Times New Roman"/>
                <w:sz w:val="18"/>
                <w:szCs w:val="18"/>
              </w:rPr>
            </w:pPr>
            <w:r w:rsidRPr="006856C6">
              <w:rPr>
                <w:rFonts w:cs="Times New Roman"/>
                <w:sz w:val="18"/>
                <w:szCs w:val="18"/>
              </w:rPr>
              <w:t>B1g</w:t>
            </w:r>
          </w:p>
        </w:tc>
        <w:tc>
          <w:tcPr>
            <w:tcW w:w="850" w:type="dxa"/>
            <w:shd w:val="clear" w:color="auto" w:fill="auto"/>
          </w:tcPr>
          <w:p w14:paraId="0F94649A" w14:textId="77777777" w:rsidR="00800C51" w:rsidRPr="006856C6" w:rsidRDefault="00800C51" w:rsidP="008D5244">
            <w:pPr>
              <w:ind w:firstLine="0"/>
              <w:jc w:val="left"/>
              <w:rPr>
                <w:rFonts w:eastAsia="Times New Roman" w:cs="Times New Roman"/>
                <w:sz w:val="18"/>
                <w:szCs w:val="18"/>
              </w:rPr>
            </w:pPr>
          </w:p>
        </w:tc>
        <w:tc>
          <w:tcPr>
            <w:tcW w:w="851" w:type="dxa"/>
            <w:shd w:val="clear" w:color="auto" w:fill="auto"/>
          </w:tcPr>
          <w:p w14:paraId="4AE42829" w14:textId="77777777" w:rsidR="00800C51" w:rsidRPr="006856C6" w:rsidRDefault="00800C51" w:rsidP="008D5244">
            <w:pPr>
              <w:ind w:firstLine="0"/>
              <w:jc w:val="left"/>
              <w:rPr>
                <w:rFonts w:eastAsia="Times New Roman" w:cs="Times New Roman"/>
                <w:sz w:val="18"/>
                <w:szCs w:val="18"/>
              </w:rPr>
            </w:pPr>
          </w:p>
        </w:tc>
        <w:tc>
          <w:tcPr>
            <w:tcW w:w="850" w:type="dxa"/>
            <w:shd w:val="clear" w:color="auto" w:fill="auto"/>
          </w:tcPr>
          <w:p w14:paraId="2DE579EC" w14:textId="77777777" w:rsidR="00800C51" w:rsidRPr="006856C6" w:rsidRDefault="00800C51" w:rsidP="008D5244">
            <w:pPr>
              <w:ind w:firstLine="0"/>
              <w:jc w:val="left"/>
              <w:rPr>
                <w:rFonts w:eastAsia="Arial Unicode MS" w:cs="Times New Roman"/>
                <w:sz w:val="18"/>
                <w:szCs w:val="18"/>
              </w:rPr>
            </w:pPr>
          </w:p>
        </w:tc>
        <w:tc>
          <w:tcPr>
            <w:tcW w:w="851" w:type="dxa"/>
            <w:shd w:val="clear" w:color="auto" w:fill="auto"/>
          </w:tcPr>
          <w:p w14:paraId="57832215" w14:textId="77777777" w:rsidR="00800C51" w:rsidRPr="006856C6" w:rsidRDefault="00800C51" w:rsidP="008D5244">
            <w:pPr>
              <w:ind w:firstLine="0"/>
              <w:jc w:val="left"/>
              <w:rPr>
                <w:rFonts w:eastAsia="Times New Roman" w:cs="Times New Roman"/>
                <w:sz w:val="18"/>
                <w:szCs w:val="18"/>
              </w:rPr>
            </w:pPr>
          </w:p>
        </w:tc>
        <w:tc>
          <w:tcPr>
            <w:tcW w:w="838" w:type="dxa"/>
            <w:shd w:val="clear" w:color="auto" w:fill="auto"/>
          </w:tcPr>
          <w:p w14:paraId="5CBF672E" w14:textId="77777777" w:rsidR="00800C51" w:rsidRPr="006856C6" w:rsidRDefault="00800C51" w:rsidP="008D5244">
            <w:pPr>
              <w:ind w:firstLine="0"/>
              <w:jc w:val="left"/>
              <w:rPr>
                <w:rFonts w:eastAsia="Times New Roman" w:cs="Times New Roman"/>
                <w:sz w:val="18"/>
                <w:szCs w:val="18"/>
              </w:rPr>
            </w:pPr>
          </w:p>
        </w:tc>
        <w:tc>
          <w:tcPr>
            <w:tcW w:w="838" w:type="dxa"/>
          </w:tcPr>
          <w:p w14:paraId="3F2E703B" w14:textId="77777777" w:rsidR="00800C51" w:rsidRPr="006856C6" w:rsidRDefault="00800C51" w:rsidP="008D5244">
            <w:pPr>
              <w:ind w:firstLine="0"/>
              <w:jc w:val="left"/>
              <w:rPr>
                <w:rFonts w:eastAsia="Times New Roman" w:cs="Times New Roman"/>
                <w:sz w:val="18"/>
                <w:szCs w:val="18"/>
              </w:rPr>
            </w:pPr>
          </w:p>
        </w:tc>
      </w:tr>
      <w:tr w:rsidR="00800C51" w:rsidRPr="00800C51" w14:paraId="60F36F45" w14:textId="73944F83" w:rsidTr="00800C51">
        <w:trPr>
          <w:jc w:val="center"/>
        </w:trPr>
        <w:tc>
          <w:tcPr>
            <w:tcW w:w="3964" w:type="dxa"/>
            <w:shd w:val="clear" w:color="auto" w:fill="DEEAF6"/>
          </w:tcPr>
          <w:p w14:paraId="59FD1615" w14:textId="216B3118" w:rsidR="00800C51" w:rsidRPr="00800C51" w:rsidRDefault="00800C51" w:rsidP="00800C51">
            <w:pPr>
              <w:ind w:firstLine="0"/>
              <w:jc w:val="right"/>
              <w:rPr>
                <w:rFonts w:eastAsia="Times New Roman" w:cs="Times New Roman"/>
                <w:bCs/>
                <w:sz w:val="18"/>
                <w:szCs w:val="18"/>
              </w:rPr>
            </w:pPr>
            <w:r w:rsidRPr="00800C51">
              <w:rPr>
                <w:rFonts w:eastAsia="Times New Roman" w:cs="Times New Roman"/>
                <w:bCs/>
                <w:sz w:val="18"/>
                <w:szCs w:val="18"/>
              </w:rPr>
              <w:t>2023.gads</w:t>
            </w:r>
          </w:p>
        </w:tc>
        <w:tc>
          <w:tcPr>
            <w:tcW w:w="1289" w:type="dxa"/>
            <w:shd w:val="clear" w:color="auto" w:fill="DEEAF6"/>
          </w:tcPr>
          <w:p w14:paraId="5D45100C" w14:textId="77777777" w:rsidR="00800C51" w:rsidRPr="006856C6" w:rsidRDefault="00800C51" w:rsidP="00800C51">
            <w:pPr>
              <w:ind w:firstLine="0"/>
              <w:jc w:val="center"/>
              <w:rPr>
                <w:rFonts w:eastAsia="Times New Roman" w:cs="Times New Roman"/>
                <w:sz w:val="18"/>
                <w:szCs w:val="18"/>
              </w:rPr>
            </w:pPr>
          </w:p>
        </w:tc>
        <w:tc>
          <w:tcPr>
            <w:tcW w:w="850" w:type="dxa"/>
            <w:shd w:val="clear" w:color="auto" w:fill="DEEAF6"/>
          </w:tcPr>
          <w:p w14:paraId="3D859631" w14:textId="2B95ADED" w:rsidR="00800C51" w:rsidRPr="006856C6" w:rsidRDefault="00800C51" w:rsidP="00800C51">
            <w:pPr>
              <w:ind w:firstLine="0"/>
              <w:jc w:val="center"/>
              <w:rPr>
                <w:rFonts w:eastAsia="Times New Roman" w:cs="Times New Roman"/>
                <w:sz w:val="18"/>
                <w:szCs w:val="18"/>
              </w:rPr>
            </w:pPr>
            <w:r w:rsidRPr="006856C6">
              <w:rPr>
                <w:rFonts w:cs="Times New Roman"/>
                <w:sz w:val="18"/>
                <w:szCs w:val="18"/>
              </w:rPr>
              <w:t>0,0</w:t>
            </w:r>
          </w:p>
        </w:tc>
        <w:tc>
          <w:tcPr>
            <w:tcW w:w="851" w:type="dxa"/>
            <w:shd w:val="clear" w:color="auto" w:fill="DEEAF6"/>
          </w:tcPr>
          <w:p w14:paraId="48DFBCFA" w14:textId="73A0BFF2" w:rsidR="00800C51" w:rsidRPr="006856C6" w:rsidRDefault="00800C51" w:rsidP="00800C51">
            <w:pPr>
              <w:ind w:firstLine="0"/>
              <w:jc w:val="center"/>
              <w:rPr>
                <w:rFonts w:eastAsia="Times New Roman" w:cs="Times New Roman"/>
                <w:sz w:val="18"/>
                <w:szCs w:val="18"/>
              </w:rPr>
            </w:pPr>
            <w:r w:rsidRPr="006856C6">
              <w:rPr>
                <w:rFonts w:cs="Times New Roman"/>
                <w:sz w:val="18"/>
                <w:szCs w:val="18"/>
              </w:rPr>
              <w:t>2,0</w:t>
            </w:r>
          </w:p>
        </w:tc>
        <w:tc>
          <w:tcPr>
            <w:tcW w:w="850" w:type="dxa"/>
            <w:shd w:val="clear" w:color="auto" w:fill="DEEAF6"/>
          </w:tcPr>
          <w:p w14:paraId="4A61A13B" w14:textId="424B0707" w:rsidR="00800C51" w:rsidRPr="006856C6" w:rsidRDefault="00800C51" w:rsidP="00800C51">
            <w:pPr>
              <w:ind w:firstLine="0"/>
              <w:jc w:val="center"/>
              <w:rPr>
                <w:rFonts w:eastAsia="Arial Unicode MS" w:cs="Times New Roman"/>
                <w:sz w:val="18"/>
                <w:szCs w:val="18"/>
              </w:rPr>
            </w:pPr>
            <w:r w:rsidRPr="006856C6">
              <w:rPr>
                <w:rFonts w:cs="Times New Roman"/>
                <w:sz w:val="18"/>
                <w:szCs w:val="18"/>
              </w:rPr>
              <w:t>2,9</w:t>
            </w:r>
          </w:p>
        </w:tc>
        <w:tc>
          <w:tcPr>
            <w:tcW w:w="851" w:type="dxa"/>
            <w:shd w:val="clear" w:color="auto" w:fill="DEEAF6"/>
          </w:tcPr>
          <w:p w14:paraId="1E73292E" w14:textId="2737A71B" w:rsidR="00800C51" w:rsidRPr="006856C6" w:rsidRDefault="00800C51" w:rsidP="00800C51">
            <w:pPr>
              <w:ind w:firstLine="0"/>
              <w:jc w:val="center"/>
              <w:rPr>
                <w:rFonts w:eastAsia="Times New Roman" w:cs="Times New Roman"/>
                <w:sz w:val="18"/>
                <w:szCs w:val="18"/>
              </w:rPr>
            </w:pPr>
            <w:r w:rsidRPr="006856C6">
              <w:rPr>
                <w:rFonts w:cs="Times New Roman"/>
                <w:sz w:val="18"/>
                <w:szCs w:val="18"/>
              </w:rPr>
              <w:t>2,8</w:t>
            </w:r>
          </w:p>
        </w:tc>
        <w:tc>
          <w:tcPr>
            <w:tcW w:w="838" w:type="dxa"/>
            <w:shd w:val="clear" w:color="auto" w:fill="DEEAF6"/>
          </w:tcPr>
          <w:p w14:paraId="42FF8DE5" w14:textId="6A0ADB95" w:rsidR="00800C51" w:rsidRPr="006856C6" w:rsidRDefault="00800C51" w:rsidP="00800C51">
            <w:pPr>
              <w:ind w:firstLine="0"/>
              <w:jc w:val="center"/>
              <w:rPr>
                <w:rFonts w:eastAsia="Times New Roman" w:cs="Times New Roman"/>
                <w:sz w:val="18"/>
                <w:szCs w:val="18"/>
              </w:rPr>
            </w:pPr>
            <w:r w:rsidRPr="006856C6">
              <w:rPr>
                <w:rFonts w:cs="Times New Roman"/>
                <w:sz w:val="18"/>
                <w:szCs w:val="18"/>
              </w:rPr>
              <w:t>-</w:t>
            </w:r>
          </w:p>
        </w:tc>
        <w:tc>
          <w:tcPr>
            <w:tcW w:w="838" w:type="dxa"/>
            <w:shd w:val="clear" w:color="auto" w:fill="DEEAF6"/>
          </w:tcPr>
          <w:p w14:paraId="1BBB4AC1" w14:textId="3D96C6DC" w:rsidR="00800C51" w:rsidRPr="006856C6" w:rsidRDefault="00800C51" w:rsidP="00800C51">
            <w:pPr>
              <w:ind w:firstLine="0"/>
              <w:jc w:val="center"/>
              <w:rPr>
                <w:rFonts w:cs="Times New Roman"/>
                <w:sz w:val="18"/>
                <w:szCs w:val="18"/>
              </w:rPr>
            </w:pPr>
            <w:r w:rsidRPr="006856C6">
              <w:rPr>
                <w:rFonts w:cs="Times New Roman"/>
                <w:sz w:val="18"/>
                <w:szCs w:val="18"/>
              </w:rPr>
              <w:t>-</w:t>
            </w:r>
          </w:p>
        </w:tc>
      </w:tr>
      <w:tr w:rsidR="00800C51" w:rsidRPr="00800C51" w14:paraId="1120560A" w14:textId="7B2F92D2" w:rsidTr="00800C51">
        <w:trPr>
          <w:jc w:val="center"/>
        </w:trPr>
        <w:tc>
          <w:tcPr>
            <w:tcW w:w="3964" w:type="dxa"/>
            <w:shd w:val="clear" w:color="auto" w:fill="auto"/>
          </w:tcPr>
          <w:p w14:paraId="7600852D" w14:textId="4C8FAE76" w:rsidR="00800C51" w:rsidRPr="00800C51" w:rsidRDefault="00800C51" w:rsidP="00800C51">
            <w:pPr>
              <w:ind w:firstLine="0"/>
              <w:jc w:val="right"/>
              <w:rPr>
                <w:rFonts w:eastAsia="Times New Roman" w:cs="Times New Roman"/>
                <w:bCs/>
                <w:sz w:val="18"/>
                <w:szCs w:val="18"/>
              </w:rPr>
            </w:pPr>
            <w:r w:rsidRPr="00800C51">
              <w:rPr>
                <w:rFonts w:eastAsia="Times New Roman" w:cs="Times New Roman"/>
                <w:bCs/>
                <w:sz w:val="18"/>
                <w:szCs w:val="18"/>
              </w:rPr>
              <w:t xml:space="preserve">2024.gads </w:t>
            </w:r>
          </w:p>
        </w:tc>
        <w:tc>
          <w:tcPr>
            <w:tcW w:w="1289" w:type="dxa"/>
            <w:shd w:val="clear" w:color="auto" w:fill="auto"/>
          </w:tcPr>
          <w:p w14:paraId="0D020AC2" w14:textId="77777777" w:rsidR="00800C51" w:rsidRPr="006856C6" w:rsidRDefault="00800C51" w:rsidP="00800C51">
            <w:pPr>
              <w:ind w:firstLine="0"/>
              <w:jc w:val="center"/>
              <w:rPr>
                <w:rFonts w:eastAsia="Times New Roman" w:cs="Times New Roman"/>
                <w:sz w:val="18"/>
                <w:szCs w:val="18"/>
              </w:rPr>
            </w:pPr>
          </w:p>
        </w:tc>
        <w:tc>
          <w:tcPr>
            <w:tcW w:w="850" w:type="dxa"/>
            <w:shd w:val="clear" w:color="auto" w:fill="auto"/>
          </w:tcPr>
          <w:p w14:paraId="22636E40" w14:textId="2C089D29" w:rsidR="00800C51" w:rsidRPr="006856C6" w:rsidRDefault="00800C51" w:rsidP="00800C51">
            <w:pPr>
              <w:ind w:firstLine="0"/>
              <w:jc w:val="center"/>
              <w:rPr>
                <w:rFonts w:eastAsia="Calibri" w:cs="Times New Roman"/>
                <w:sz w:val="18"/>
                <w:szCs w:val="18"/>
              </w:rPr>
            </w:pPr>
            <w:r w:rsidRPr="006856C6">
              <w:rPr>
                <w:rFonts w:cs="Times New Roman"/>
                <w:sz w:val="18"/>
                <w:szCs w:val="18"/>
              </w:rPr>
              <w:t>-0,3</w:t>
            </w:r>
          </w:p>
        </w:tc>
        <w:tc>
          <w:tcPr>
            <w:tcW w:w="851" w:type="dxa"/>
            <w:shd w:val="clear" w:color="auto" w:fill="auto"/>
          </w:tcPr>
          <w:p w14:paraId="5B894273" w14:textId="545B69E0" w:rsidR="00800C51" w:rsidRPr="006856C6" w:rsidRDefault="00800C51" w:rsidP="00800C51">
            <w:pPr>
              <w:ind w:firstLine="0"/>
              <w:jc w:val="center"/>
              <w:rPr>
                <w:rFonts w:eastAsia="Calibri" w:cs="Times New Roman"/>
                <w:sz w:val="18"/>
                <w:szCs w:val="18"/>
              </w:rPr>
            </w:pPr>
            <w:r w:rsidRPr="006856C6">
              <w:rPr>
                <w:rFonts w:cs="Times New Roman"/>
                <w:sz w:val="18"/>
                <w:szCs w:val="18"/>
              </w:rPr>
              <w:t>1,4</w:t>
            </w:r>
          </w:p>
        </w:tc>
        <w:tc>
          <w:tcPr>
            <w:tcW w:w="850" w:type="dxa"/>
            <w:shd w:val="clear" w:color="auto" w:fill="auto"/>
          </w:tcPr>
          <w:p w14:paraId="3BC70E45" w14:textId="6CA010DA" w:rsidR="00800C51" w:rsidRPr="006856C6" w:rsidRDefault="00800C51" w:rsidP="00800C51">
            <w:pPr>
              <w:ind w:firstLine="0"/>
              <w:jc w:val="center"/>
              <w:rPr>
                <w:rFonts w:eastAsia="Calibri" w:cs="Times New Roman"/>
                <w:sz w:val="18"/>
                <w:szCs w:val="18"/>
              </w:rPr>
            </w:pPr>
            <w:r w:rsidRPr="006856C6">
              <w:rPr>
                <w:rFonts w:cs="Times New Roman"/>
                <w:sz w:val="18"/>
                <w:szCs w:val="18"/>
              </w:rPr>
              <w:t>2,9</w:t>
            </w:r>
          </w:p>
        </w:tc>
        <w:tc>
          <w:tcPr>
            <w:tcW w:w="851" w:type="dxa"/>
            <w:shd w:val="clear" w:color="auto" w:fill="auto"/>
          </w:tcPr>
          <w:p w14:paraId="5E7B3466" w14:textId="236759B5" w:rsidR="00800C51" w:rsidRPr="006856C6" w:rsidRDefault="00800C51" w:rsidP="00800C51">
            <w:pPr>
              <w:ind w:firstLine="0"/>
              <w:jc w:val="center"/>
              <w:rPr>
                <w:rFonts w:eastAsia="Calibri" w:cs="Times New Roman"/>
                <w:sz w:val="18"/>
                <w:szCs w:val="18"/>
              </w:rPr>
            </w:pPr>
            <w:r w:rsidRPr="006856C6">
              <w:rPr>
                <w:rFonts w:cs="Times New Roman"/>
                <w:sz w:val="18"/>
                <w:szCs w:val="18"/>
              </w:rPr>
              <w:t>2,5</w:t>
            </w:r>
          </w:p>
        </w:tc>
        <w:tc>
          <w:tcPr>
            <w:tcW w:w="838" w:type="dxa"/>
            <w:shd w:val="clear" w:color="auto" w:fill="auto"/>
          </w:tcPr>
          <w:p w14:paraId="379603E6" w14:textId="6690195D" w:rsidR="00800C51" w:rsidRPr="006856C6" w:rsidRDefault="00800C51" w:rsidP="00800C51">
            <w:pPr>
              <w:ind w:firstLine="0"/>
              <w:jc w:val="center"/>
              <w:rPr>
                <w:rFonts w:eastAsia="Calibri" w:cs="Times New Roman"/>
                <w:sz w:val="18"/>
                <w:szCs w:val="18"/>
              </w:rPr>
            </w:pPr>
            <w:r w:rsidRPr="006856C6">
              <w:rPr>
                <w:rFonts w:cs="Times New Roman"/>
                <w:sz w:val="18"/>
                <w:szCs w:val="18"/>
              </w:rPr>
              <w:t>2,3</w:t>
            </w:r>
          </w:p>
        </w:tc>
        <w:tc>
          <w:tcPr>
            <w:tcW w:w="838" w:type="dxa"/>
          </w:tcPr>
          <w:p w14:paraId="6B2071C8" w14:textId="4129F913" w:rsidR="00800C51" w:rsidRPr="006856C6" w:rsidRDefault="00800C51" w:rsidP="00800C51">
            <w:pPr>
              <w:ind w:firstLine="0"/>
              <w:jc w:val="center"/>
              <w:rPr>
                <w:rFonts w:cs="Times New Roman"/>
                <w:sz w:val="18"/>
                <w:szCs w:val="18"/>
              </w:rPr>
            </w:pPr>
            <w:r w:rsidRPr="006856C6">
              <w:rPr>
                <w:rFonts w:cs="Times New Roman"/>
                <w:sz w:val="18"/>
                <w:szCs w:val="18"/>
              </w:rPr>
              <w:t>2,3</w:t>
            </w:r>
          </w:p>
        </w:tc>
      </w:tr>
      <w:tr w:rsidR="00800C51" w:rsidRPr="00800C51" w14:paraId="40B6B77A" w14:textId="56B9EA49" w:rsidTr="00800C51">
        <w:trPr>
          <w:jc w:val="center"/>
        </w:trPr>
        <w:tc>
          <w:tcPr>
            <w:tcW w:w="3964" w:type="dxa"/>
            <w:shd w:val="clear" w:color="auto" w:fill="DEEAF6"/>
          </w:tcPr>
          <w:p w14:paraId="20917C0D" w14:textId="77777777" w:rsidR="00800C51" w:rsidRPr="00800C51" w:rsidRDefault="00800C51" w:rsidP="00800C51">
            <w:pPr>
              <w:ind w:firstLine="0"/>
              <w:jc w:val="right"/>
              <w:rPr>
                <w:rFonts w:eastAsia="Times New Roman" w:cs="Times New Roman"/>
                <w:b/>
                <w:sz w:val="18"/>
                <w:szCs w:val="18"/>
              </w:rPr>
            </w:pPr>
            <w:r w:rsidRPr="00800C51">
              <w:rPr>
                <w:rFonts w:eastAsia="Times New Roman" w:cs="Times New Roman"/>
                <w:b/>
                <w:snapToGrid w:val="0"/>
                <w:sz w:val="18"/>
                <w:szCs w:val="18"/>
              </w:rPr>
              <w:t>Izmaiņas</w:t>
            </w:r>
          </w:p>
        </w:tc>
        <w:tc>
          <w:tcPr>
            <w:tcW w:w="1289" w:type="dxa"/>
            <w:shd w:val="clear" w:color="auto" w:fill="DEEAF6"/>
          </w:tcPr>
          <w:p w14:paraId="0850BDF7" w14:textId="77777777" w:rsidR="00800C51" w:rsidRPr="006856C6" w:rsidRDefault="00800C51" w:rsidP="00800C51">
            <w:pPr>
              <w:ind w:firstLine="0"/>
              <w:jc w:val="center"/>
              <w:rPr>
                <w:rFonts w:eastAsia="Times New Roman" w:cs="Times New Roman"/>
                <w:sz w:val="18"/>
                <w:szCs w:val="18"/>
              </w:rPr>
            </w:pPr>
          </w:p>
        </w:tc>
        <w:tc>
          <w:tcPr>
            <w:tcW w:w="850" w:type="dxa"/>
            <w:shd w:val="clear" w:color="auto" w:fill="DEEAF6"/>
          </w:tcPr>
          <w:p w14:paraId="1C946BE6" w14:textId="31887BE7" w:rsidR="00800C51" w:rsidRPr="006856C6" w:rsidRDefault="00800C51" w:rsidP="00800C51">
            <w:pPr>
              <w:ind w:firstLine="0"/>
              <w:jc w:val="center"/>
              <w:rPr>
                <w:rFonts w:eastAsia="Calibri" w:cs="Times New Roman"/>
                <w:sz w:val="18"/>
                <w:szCs w:val="18"/>
              </w:rPr>
            </w:pPr>
            <w:r w:rsidRPr="006856C6">
              <w:rPr>
                <w:rFonts w:cs="Times New Roman"/>
                <w:sz w:val="18"/>
                <w:szCs w:val="18"/>
              </w:rPr>
              <w:t>-0,3</w:t>
            </w:r>
          </w:p>
        </w:tc>
        <w:tc>
          <w:tcPr>
            <w:tcW w:w="851" w:type="dxa"/>
            <w:shd w:val="clear" w:color="auto" w:fill="DEEAF6"/>
          </w:tcPr>
          <w:p w14:paraId="04FC0EC1" w14:textId="73DE7F94" w:rsidR="00800C51" w:rsidRPr="006856C6" w:rsidRDefault="00800C51" w:rsidP="00800C51">
            <w:pPr>
              <w:ind w:firstLine="0"/>
              <w:jc w:val="center"/>
              <w:rPr>
                <w:rFonts w:eastAsia="Calibri" w:cs="Times New Roman"/>
                <w:sz w:val="18"/>
                <w:szCs w:val="18"/>
              </w:rPr>
            </w:pPr>
            <w:r w:rsidRPr="006856C6">
              <w:rPr>
                <w:rFonts w:cs="Times New Roman"/>
                <w:sz w:val="18"/>
                <w:szCs w:val="18"/>
              </w:rPr>
              <w:t>-0,6</w:t>
            </w:r>
          </w:p>
        </w:tc>
        <w:tc>
          <w:tcPr>
            <w:tcW w:w="850" w:type="dxa"/>
            <w:shd w:val="clear" w:color="auto" w:fill="DEEAF6"/>
          </w:tcPr>
          <w:p w14:paraId="54CEBE6E" w14:textId="2CF9B8FB" w:rsidR="00800C51" w:rsidRPr="006856C6" w:rsidRDefault="00800C51" w:rsidP="00800C51">
            <w:pPr>
              <w:ind w:firstLine="0"/>
              <w:jc w:val="center"/>
              <w:rPr>
                <w:rFonts w:eastAsia="Calibri" w:cs="Times New Roman"/>
                <w:sz w:val="18"/>
                <w:szCs w:val="18"/>
              </w:rPr>
            </w:pPr>
            <w:r w:rsidRPr="006856C6">
              <w:rPr>
                <w:rFonts w:cs="Times New Roman"/>
                <w:sz w:val="18"/>
                <w:szCs w:val="18"/>
              </w:rPr>
              <w:t>0,0</w:t>
            </w:r>
          </w:p>
        </w:tc>
        <w:tc>
          <w:tcPr>
            <w:tcW w:w="851" w:type="dxa"/>
            <w:shd w:val="clear" w:color="auto" w:fill="DEEAF6"/>
          </w:tcPr>
          <w:p w14:paraId="1A6C6445" w14:textId="6A5EBFBE" w:rsidR="00800C51" w:rsidRPr="006856C6" w:rsidRDefault="00800C51" w:rsidP="00800C51">
            <w:pPr>
              <w:ind w:firstLine="0"/>
              <w:jc w:val="center"/>
              <w:rPr>
                <w:rFonts w:eastAsia="Calibri" w:cs="Times New Roman"/>
                <w:sz w:val="18"/>
                <w:szCs w:val="18"/>
              </w:rPr>
            </w:pPr>
            <w:r w:rsidRPr="006856C6">
              <w:rPr>
                <w:rFonts w:cs="Times New Roman"/>
                <w:sz w:val="18"/>
                <w:szCs w:val="18"/>
              </w:rPr>
              <w:t>-0,3</w:t>
            </w:r>
          </w:p>
        </w:tc>
        <w:tc>
          <w:tcPr>
            <w:tcW w:w="838" w:type="dxa"/>
            <w:shd w:val="clear" w:color="auto" w:fill="DEEAF6"/>
          </w:tcPr>
          <w:p w14:paraId="4B4F6A88" w14:textId="19136ACB" w:rsidR="00800C51" w:rsidRPr="006856C6" w:rsidRDefault="00800C51" w:rsidP="00800C51">
            <w:pPr>
              <w:ind w:firstLine="0"/>
              <w:jc w:val="center"/>
              <w:rPr>
                <w:rFonts w:eastAsia="Calibri" w:cs="Times New Roman"/>
                <w:sz w:val="18"/>
                <w:szCs w:val="18"/>
              </w:rPr>
            </w:pPr>
            <w:r w:rsidRPr="006856C6">
              <w:rPr>
                <w:rFonts w:cs="Times New Roman"/>
                <w:sz w:val="18"/>
                <w:szCs w:val="18"/>
              </w:rPr>
              <w:t>-</w:t>
            </w:r>
          </w:p>
        </w:tc>
        <w:tc>
          <w:tcPr>
            <w:tcW w:w="838" w:type="dxa"/>
            <w:shd w:val="clear" w:color="auto" w:fill="DEEAF6"/>
          </w:tcPr>
          <w:p w14:paraId="355DCA43" w14:textId="18F49EFA" w:rsidR="00800C51" w:rsidRPr="006856C6" w:rsidRDefault="00800C51" w:rsidP="00800C51">
            <w:pPr>
              <w:ind w:firstLine="0"/>
              <w:jc w:val="center"/>
              <w:rPr>
                <w:rFonts w:cs="Times New Roman"/>
                <w:sz w:val="18"/>
                <w:szCs w:val="18"/>
              </w:rPr>
            </w:pPr>
            <w:r w:rsidRPr="006856C6">
              <w:rPr>
                <w:rFonts w:cs="Times New Roman"/>
                <w:sz w:val="18"/>
                <w:szCs w:val="18"/>
              </w:rPr>
              <w:t>-</w:t>
            </w:r>
          </w:p>
        </w:tc>
      </w:tr>
      <w:tr w:rsidR="00800C51" w:rsidRPr="00800C51" w14:paraId="169183B4" w14:textId="6A253AB6" w:rsidTr="00800C51">
        <w:trPr>
          <w:jc w:val="center"/>
        </w:trPr>
        <w:tc>
          <w:tcPr>
            <w:tcW w:w="3964" w:type="dxa"/>
            <w:shd w:val="clear" w:color="auto" w:fill="auto"/>
          </w:tcPr>
          <w:p w14:paraId="3CA99584" w14:textId="77777777" w:rsidR="00800C51" w:rsidRPr="00800C51" w:rsidRDefault="00800C51" w:rsidP="00800C51">
            <w:pPr>
              <w:ind w:firstLine="0"/>
              <w:jc w:val="right"/>
              <w:rPr>
                <w:rFonts w:eastAsia="Times New Roman" w:cs="Times New Roman"/>
                <w:b/>
                <w:sz w:val="18"/>
                <w:szCs w:val="18"/>
              </w:rPr>
            </w:pPr>
            <w:r w:rsidRPr="00800C51">
              <w:rPr>
                <w:rFonts w:eastAsia="Times New Roman" w:cs="Times New Roman"/>
                <w:b/>
                <w:sz w:val="18"/>
                <w:szCs w:val="18"/>
              </w:rPr>
              <w:t>Faktiskā budžeta bilance</w:t>
            </w:r>
          </w:p>
          <w:p w14:paraId="50D9CCC2" w14:textId="77777777" w:rsidR="00800C51" w:rsidRPr="00800C51" w:rsidRDefault="00800C51" w:rsidP="00800C51">
            <w:pPr>
              <w:ind w:firstLine="0"/>
              <w:jc w:val="right"/>
              <w:rPr>
                <w:rFonts w:eastAsia="Times New Roman" w:cs="Times New Roman"/>
                <w:b/>
                <w:snapToGrid w:val="0"/>
                <w:sz w:val="18"/>
                <w:szCs w:val="18"/>
              </w:rPr>
            </w:pPr>
            <w:r w:rsidRPr="00800C51">
              <w:rPr>
                <w:rFonts w:eastAsia="Times New Roman" w:cs="Times New Roman"/>
                <w:b/>
                <w:sz w:val="18"/>
                <w:szCs w:val="18"/>
              </w:rPr>
              <w:t>(% no IKP)</w:t>
            </w:r>
          </w:p>
        </w:tc>
        <w:tc>
          <w:tcPr>
            <w:tcW w:w="1289" w:type="dxa"/>
            <w:shd w:val="clear" w:color="auto" w:fill="auto"/>
          </w:tcPr>
          <w:p w14:paraId="4E910638" w14:textId="0DDF5DC1" w:rsidR="00800C51" w:rsidRPr="006856C6" w:rsidRDefault="00800C51" w:rsidP="00800C51">
            <w:pPr>
              <w:ind w:firstLine="0"/>
              <w:jc w:val="center"/>
              <w:rPr>
                <w:rFonts w:eastAsia="Times New Roman" w:cs="Times New Roman"/>
                <w:sz w:val="18"/>
                <w:szCs w:val="18"/>
              </w:rPr>
            </w:pPr>
            <w:r w:rsidRPr="006856C6">
              <w:rPr>
                <w:rFonts w:cs="Times New Roman"/>
                <w:sz w:val="18"/>
                <w:szCs w:val="18"/>
              </w:rPr>
              <w:t>B.9</w:t>
            </w:r>
          </w:p>
        </w:tc>
        <w:tc>
          <w:tcPr>
            <w:tcW w:w="850" w:type="dxa"/>
            <w:shd w:val="clear" w:color="auto" w:fill="auto"/>
          </w:tcPr>
          <w:p w14:paraId="2CA860B8" w14:textId="77777777" w:rsidR="00800C51" w:rsidRPr="006856C6" w:rsidRDefault="00800C51" w:rsidP="00800C51">
            <w:pPr>
              <w:ind w:firstLine="0"/>
              <w:jc w:val="center"/>
              <w:rPr>
                <w:rFonts w:eastAsia="Calibri" w:cs="Times New Roman"/>
                <w:sz w:val="18"/>
                <w:szCs w:val="18"/>
              </w:rPr>
            </w:pPr>
          </w:p>
        </w:tc>
        <w:tc>
          <w:tcPr>
            <w:tcW w:w="851" w:type="dxa"/>
            <w:shd w:val="clear" w:color="auto" w:fill="auto"/>
          </w:tcPr>
          <w:p w14:paraId="52934C88" w14:textId="77777777" w:rsidR="00800C51" w:rsidRPr="006856C6" w:rsidRDefault="00800C51" w:rsidP="00800C51">
            <w:pPr>
              <w:ind w:firstLine="0"/>
              <w:jc w:val="center"/>
              <w:rPr>
                <w:rFonts w:eastAsia="Calibri" w:cs="Times New Roman"/>
                <w:sz w:val="18"/>
                <w:szCs w:val="18"/>
              </w:rPr>
            </w:pPr>
          </w:p>
        </w:tc>
        <w:tc>
          <w:tcPr>
            <w:tcW w:w="850" w:type="dxa"/>
            <w:shd w:val="clear" w:color="auto" w:fill="auto"/>
          </w:tcPr>
          <w:p w14:paraId="77EBE780" w14:textId="77777777" w:rsidR="00800C51" w:rsidRPr="006856C6" w:rsidRDefault="00800C51" w:rsidP="00800C51">
            <w:pPr>
              <w:ind w:firstLine="0"/>
              <w:jc w:val="center"/>
              <w:rPr>
                <w:rFonts w:eastAsia="Calibri" w:cs="Times New Roman"/>
                <w:sz w:val="18"/>
                <w:szCs w:val="18"/>
              </w:rPr>
            </w:pPr>
          </w:p>
        </w:tc>
        <w:tc>
          <w:tcPr>
            <w:tcW w:w="851" w:type="dxa"/>
            <w:shd w:val="clear" w:color="auto" w:fill="auto"/>
          </w:tcPr>
          <w:p w14:paraId="301D217F" w14:textId="77777777" w:rsidR="00800C51" w:rsidRPr="006856C6" w:rsidRDefault="00800C51" w:rsidP="00800C51">
            <w:pPr>
              <w:ind w:firstLine="0"/>
              <w:jc w:val="center"/>
              <w:rPr>
                <w:rFonts w:eastAsia="Calibri" w:cs="Times New Roman"/>
                <w:sz w:val="18"/>
                <w:szCs w:val="18"/>
              </w:rPr>
            </w:pPr>
          </w:p>
        </w:tc>
        <w:tc>
          <w:tcPr>
            <w:tcW w:w="838" w:type="dxa"/>
            <w:shd w:val="clear" w:color="auto" w:fill="auto"/>
          </w:tcPr>
          <w:p w14:paraId="689AD2AF" w14:textId="77777777" w:rsidR="00800C51" w:rsidRPr="006856C6" w:rsidRDefault="00800C51" w:rsidP="00800C51">
            <w:pPr>
              <w:ind w:firstLine="0"/>
              <w:jc w:val="center"/>
              <w:rPr>
                <w:rFonts w:eastAsia="Calibri" w:cs="Times New Roman"/>
                <w:sz w:val="18"/>
                <w:szCs w:val="18"/>
              </w:rPr>
            </w:pPr>
          </w:p>
        </w:tc>
        <w:tc>
          <w:tcPr>
            <w:tcW w:w="838" w:type="dxa"/>
          </w:tcPr>
          <w:p w14:paraId="314A582C" w14:textId="77777777" w:rsidR="00800C51" w:rsidRPr="006856C6" w:rsidRDefault="00800C51" w:rsidP="00800C51">
            <w:pPr>
              <w:ind w:firstLine="0"/>
              <w:jc w:val="center"/>
              <w:rPr>
                <w:rFonts w:eastAsia="Calibri" w:cs="Times New Roman"/>
                <w:sz w:val="18"/>
                <w:szCs w:val="18"/>
              </w:rPr>
            </w:pPr>
          </w:p>
        </w:tc>
      </w:tr>
      <w:tr w:rsidR="00800C51" w:rsidRPr="00800C51" w14:paraId="3790A6C8" w14:textId="0C2553B9" w:rsidTr="00800C51">
        <w:trPr>
          <w:jc w:val="center"/>
        </w:trPr>
        <w:tc>
          <w:tcPr>
            <w:tcW w:w="3964" w:type="dxa"/>
            <w:shd w:val="clear" w:color="auto" w:fill="DEEAF6"/>
          </w:tcPr>
          <w:p w14:paraId="67765B18" w14:textId="0207FCA9" w:rsidR="00800C51" w:rsidRPr="00800C51" w:rsidRDefault="00800C51" w:rsidP="00800C51">
            <w:pPr>
              <w:ind w:firstLine="0"/>
              <w:jc w:val="right"/>
              <w:rPr>
                <w:rFonts w:eastAsia="Times New Roman" w:cs="Times New Roman"/>
                <w:bCs/>
                <w:snapToGrid w:val="0"/>
                <w:sz w:val="18"/>
                <w:szCs w:val="18"/>
              </w:rPr>
            </w:pPr>
            <w:r w:rsidRPr="00800C51">
              <w:rPr>
                <w:rFonts w:eastAsia="Times New Roman" w:cs="Times New Roman"/>
                <w:bCs/>
                <w:sz w:val="18"/>
                <w:szCs w:val="18"/>
              </w:rPr>
              <w:t>2023.gads</w:t>
            </w:r>
          </w:p>
        </w:tc>
        <w:tc>
          <w:tcPr>
            <w:tcW w:w="1289" w:type="dxa"/>
            <w:shd w:val="clear" w:color="auto" w:fill="DEEAF6"/>
          </w:tcPr>
          <w:p w14:paraId="4291853B" w14:textId="77777777" w:rsidR="00800C51" w:rsidRPr="006856C6" w:rsidRDefault="00800C51" w:rsidP="00800C51">
            <w:pPr>
              <w:ind w:firstLine="0"/>
              <w:jc w:val="center"/>
              <w:rPr>
                <w:rFonts w:eastAsia="Times New Roman" w:cs="Times New Roman"/>
                <w:sz w:val="18"/>
                <w:szCs w:val="18"/>
              </w:rPr>
            </w:pPr>
          </w:p>
        </w:tc>
        <w:tc>
          <w:tcPr>
            <w:tcW w:w="850" w:type="dxa"/>
            <w:shd w:val="clear" w:color="auto" w:fill="DEEAF6"/>
          </w:tcPr>
          <w:p w14:paraId="63B0F648" w14:textId="0334CEE9" w:rsidR="00800C51" w:rsidRPr="006856C6" w:rsidRDefault="00800C51" w:rsidP="00800C51">
            <w:pPr>
              <w:tabs>
                <w:tab w:val="decimal" w:pos="330"/>
              </w:tabs>
              <w:ind w:firstLine="0"/>
              <w:rPr>
                <w:rFonts w:eastAsia="Times New Roman" w:cs="Times New Roman"/>
                <w:sz w:val="18"/>
                <w:szCs w:val="18"/>
              </w:rPr>
            </w:pPr>
            <w:r w:rsidRPr="006856C6">
              <w:rPr>
                <w:rFonts w:cs="Times New Roman"/>
                <w:sz w:val="18"/>
                <w:szCs w:val="18"/>
              </w:rPr>
              <w:t>-4,0</w:t>
            </w:r>
          </w:p>
        </w:tc>
        <w:tc>
          <w:tcPr>
            <w:tcW w:w="851" w:type="dxa"/>
            <w:shd w:val="clear" w:color="auto" w:fill="DEEAF6"/>
          </w:tcPr>
          <w:p w14:paraId="16E51DCC" w14:textId="41B38009" w:rsidR="00800C51" w:rsidRPr="006856C6" w:rsidRDefault="00800C51" w:rsidP="00800C51">
            <w:pPr>
              <w:tabs>
                <w:tab w:val="decimal" w:pos="330"/>
              </w:tabs>
              <w:ind w:firstLine="0"/>
              <w:rPr>
                <w:rFonts w:eastAsia="Times New Roman" w:cs="Times New Roman"/>
                <w:sz w:val="18"/>
                <w:szCs w:val="18"/>
              </w:rPr>
            </w:pPr>
            <w:r w:rsidRPr="006856C6">
              <w:rPr>
                <w:rFonts w:cs="Times New Roman"/>
                <w:sz w:val="18"/>
                <w:szCs w:val="18"/>
              </w:rPr>
              <w:t>-2,5</w:t>
            </w:r>
          </w:p>
        </w:tc>
        <w:tc>
          <w:tcPr>
            <w:tcW w:w="850" w:type="dxa"/>
            <w:shd w:val="clear" w:color="auto" w:fill="DEEAF6"/>
          </w:tcPr>
          <w:p w14:paraId="6EB4D553" w14:textId="27A25AAE" w:rsidR="00800C51" w:rsidRPr="006856C6" w:rsidRDefault="00800C51" w:rsidP="00800C51">
            <w:pPr>
              <w:tabs>
                <w:tab w:val="decimal" w:pos="330"/>
              </w:tabs>
              <w:ind w:firstLine="0"/>
              <w:rPr>
                <w:rFonts w:eastAsia="Times New Roman" w:cs="Times New Roman"/>
                <w:sz w:val="18"/>
                <w:szCs w:val="18"/>
              </w:rPr>
            </w:pPr>
            <w:r w:rsidRPr="006856C6">
              <w:rPr>
                <w:rFonts w:cs="Times New Roman"/>
                <w:sz w:val="18"/>
                <w:szCs w:val="18"/>
              </w:rPr>
              <w:t>-2,2</w:t>
            </w:r>
          </w:p>
        </w:tc>
        <w:tc>
          <w:tcPr>
            <w:tcW w:w="851" w:type="dxa"/>
            <w:shd w:val="clear" w:color="auto" w:fill="DEEAF6"/>
          </w:tcPr>
          <w:p w14:paraId="2A68D687" w14:textId="5DC4C47E" w:rsidR="00800C51" w:rsidRPr="006856C6" w:rsidRDefault="00800C51" w:rsidP="00800C51">
            <w:pPr>
              <w:tabs>
                <w:tab w:val="decimal" w:pos="330"/>
              </w:tabs>
              <w:ind w:firstLine="0"/>
              <w:rPr>
                <w:rFonts w:eastAsia="Arial Unicode MS" w:cs="Times New Roman"/>
                <w:sz w:val="18"/>
                <w:szCs w:val="18"/>
              </w:rPr>
            </w:pPr>
            <w:r w:rsidRPr="006856C6">
              <w:rPr>
                <w:rFonts w:cs="Times New Roman"/>
                <w:sz w:val="18"/>
                <w:szCs w:val="18"/>
              </w:rPr>
              <w:t>-0,7</w:t>
            </w:r>
          </w:p>
        </w:tc>
        <w:tc>
          <w:tcPr>
            <w:tcW w:w="838" w:type="dxa"/>
            <w:shd w:val="clear" w:color="auto" w:fill="DEEAF6"/>
          </w:tcPr>
          <w:p w14:paraId="12FAB8CF" w14:textId="4C88013B" w:rsidR="00800C51" w:rsidRPr="006856C6" w:rsidRDefault="00800C51" w:rsidP="00800C51">
            <w:pPr>
              <w:tabs>
                <w:tab w:val="decimal" w:pos="330"/>
              </w:tabs>
              <w:ind w:firstLine="0"/>
              <w:rPr>
                <w:rFonts w:eastAsia="Times New Roman" w:cs="Times New Roman"/>
                <w:sz w:val="18"/>
                <w:szCs w:val="18"/>
              </w:rPr>
            </w:pPr>
            <w:r w:rsidRPr="006856C6">
              <w:rPr>
                <w:rFonts w:cs="Times New Roman"/>
                <w:sz w:val="18"/>
                <w:szCs w:val="18"/>
              </w:rPr>
              <w:t xml:space="preserve"> -</w:t>
            </w:r>
          </w:p>
        </w:tc>
        <w:tc>
          <w:tcPr>
            <w:tcW w:w="838" w:type="dxa"/>
            <w:shd w:val="clear" w:color="auto" w:fill="DEEAF6"/>
          </w:tcPr>
          <w:p w14:paraId="0F099B7B" w14:textId="18A4194A" w:rsidR="00800C51" w:rsidRPr="006856C6" w:rsidRDefault="00800C51" w:rsidP="00800C51">
            <w:pPr>
              <w:tabs>
                <w:tab w:val="decimal" w:pos="330"/>
              </w:tabs>
              <w:ind w:firstLine="0"/>
              <w:rPr>
                <w:rFonts w:cs="Times New Roman"/>
                <w:sz w:val="18"/>
                <w:szCs w:val="18"/>
              </w:rPr>
            </w:pPr>
            <w:r w:rsidRPr="006856C6">
              <w:rPr>
                <w:rFonts w:cs="Times New Roman"/>
                <w:sz w:val="18"/>
                <w:szCs w:val="18"/>
              </w:rPr>
              <w:t xml:space="preserve"> -</w:t>
            </w:r>
          </w:p>
        </w:tc>
      </w:tr>
      <w:tr w:rsidR="00DD2E48" w:rsidRPr="00800C51" w14:paraId="1A7FF17A" w14:textId="7E9E64CB" w:rsidTr="00B205EF">
        <w:trPr>
          <w:jc w:val="center"/>
        </w:trPr>
        <w:tc>
          <w:tcPr>
            <w:tcW w:w="3964" w:type="dxa"/>
            <w:shd w:val="clear" w:color="auto" w:fill="auto"/>
          </w:tcPr>
          <w:p w14:paraId="435B085E" w14:textId="1CC6371D" w:rsidR="00DD2E48" w:rsidRPr="00800C51" w:rsidRDefault="00DD2E48" w:rsidP="00DD2E48">
            <w:pPr>
              <w:ind w:firstLine="0"/>
              <w:jc w:val="right"/>
              <w:rPr>
                <w:rFonts w:eastAsia="Times New Roman" w:cs="Times New Roman"/>
                <w:bCs/>
                <w:sz w:val="18"/>
                <w:szCs w:val="18"/>
              </w:rPr>
            </w:pPr>
            <w:r w:rsidRPr="00800C51">
              <w:rPr>
                <w:rFonts w:eastAsia="Times New Roman" w:cs="Times New Roman"/>
                <w:bCs/>
                <w:sz w:val="18"/>
                <w:szCs w:val="18"/>
              </w:rPr>
              <w:t xml:space="preserve">2024.gads </w:t>
            </w:r>
          </w:p>
        </w:tc>
        <w:tc>
          <w:tcPr>
            <w:tcW w:w="1289" w:type="dxa"/>
            <w:shd w:val="clear" w:color="auto" w:fill="auto"/>
          </w:tcPr>
          <w:p w14:paraId="165CE374" w14:textId="77777777" w:rsidR="00DD2E48" w:rsidRPr="006856C6" w:rsidRDefault="00DD2E48" w:rsidP="00DD2E48">
            <w:pPr>
              <w:ind w:firstLine="0"/>
              <w:jc w:val="center"/>
              <w:rPr>
                <w:rFonts w:eastAsia="Times New Roman" w:cs="Times New Roman"/>
                <w:sz w:val="18"/>
                <w:szCs w:val="18"/>
              </w:rPr>
            </w:pPr>
          </w:p>
        </w:tc>
        <w:tc>
          <w:tcPr>
            <w:tcW w:w="850" w:type="dxa"/>
            <w:shd w:val="clear" w:color="auto" w:fill="auto"/>
          </w:tcPr>
          <w:p w14:paraId="048EA2CD" w14:textId="23D63DC4" w:rsidR="00DD2E48" w:rsidRPr="006856C6" w:rsidRDefault="00DD2E48" w:rsidP="00DD2E48">
            <w:pPr>
              <w:tabs>
                <w:tab w:val="decimal" w:pos="330"/>
              </w:tabs>
              <w:ind w:firstLine="0"/>
              <w:rPr>
                <w:rFonts w:eastAsia="Times New Roman" w:cs="Times New Roman"/>
                <w:sz w:val="18"/>
                <w:szCs w:val="18"/>
              </w:rPr>
            </w:pPr>
            <w:r w:rsidRPr="006856C6">
              <w:rPr>
                <w:rFonts w:cs="Times New Roman"/>
                <w:sz w:val="18"/>
                <w:szCs w:val="18"/>
              </w:rPr>
              <w:t>-2,3</w:t>
            </w:r>
          </w:p>
        </w:tc>
        <w:tc>
          <w:tcPr>
            <w:tcW w:w="851" w:type="dxa"/>
            <w:shd w:val="clear" w:color="auto" w:fill="auto"/>
          </w:tcPr>
          <w:p w14:paraId="6F0834CA" w14:textId="0A1DCB18" w:rsidR="00DD2E48" w:rsidRPr="006856C6" w:rsidRDefault="00DD2E48" w:rsidP="00DD2E48">
            <w:pPr>
              <w:tabs>
                <w:tab w:val="decimal" w:pos="330"/>
              </w:tabs>
              <w:ind w:firstLine="0"/>
              <w:rPr>
                <w:rFonts w:eastAsia="Times New Roman" w:cs="Times New Roman"/>
                <w:sz w:val="18"/>
                <w:szCs w:val="18"/>
              </w:rPr>
            </w:pPr>
            <w:r w:rsidRPr="006856C6">
              <w:rPr>
                <w:rFonts w:cs="Times New Roman"/>
                <w:sz w:val="18"/>
                <w:szCs w:val="18"/>
              </w:rPr>
              <w:t>-2,9</w:t>
            </w:r>
          </w:p>
        </w:tc>
        <w:tc>
          <w:tcPr>
            <w:tcW w:w="850" w:type="dxa"/>
            <w:shd w:val="clear" w:color="auto" w:fill="auto"/>
            <w:vAlign w:val="bottom"/>
          </w:tcPr>
          <w:p w14:paraId="28DE0A91" w14:textId="1A7A613C" w:rsidR="00DD2E48" w:rsidRPr="004016DD" w:rsidRDefault="00DD2E48" w:rsidP="00DD2E48">
            <w:pPr>
              <w:tabs>
                <w:tab w:val="decimal" w:pos="330"/>
              </w:tabs>
              <w:ind w:firstLine="0"/>
              <w:rPr>
                <w:rFonts w:eastAsia="Times New Roman" w:cs="Times New Roman"/>
                <w:sz w:val="18"/>
                <w:szCs w:val="18"/>
              </w:rPr>
            </w:pPr>
            <w:r w:rsidRPr="004016DD">
              <w:rPr>
                <w:rFonts w:cs="Times New Roman"/>
                <w:sz w:val="18"/>
                <w:szCs w:val="18"/>
              </w:rPr>
              <w:t>-2,2</w:t>
            </w:r>
          </w:p>
        </w:tc>
        <w:tc>
          <w:tcPr>
            <w:tcW w:w="851" w:type="dxa"/>
            <w:shd w:val="clear" w:color="auto" w:fill="auto"/>
            <w:vAlign w:val="bottom"/>
          </w:tcPr>
          <w:p w14:paraId="694826C7" w14:textId="30E87773" w:rsidR="00DD2E48" w:rsidRPr="004016DD" w:rsidRDefault="00DD2E48" w:rsidP="00DD2E48">
            <w:pPr>
              <w:tabs>
                <w:tab w:val="decimal" w:pos="330"/>
              </w:tabs>
              <w:ind w:firstLine="0"/>
              <w:rPr>
                <w:rFonts w:eastAsia="Arial Unicode MS" w:cs="Times New Roman"/>
                <w:sz w:val="18"/>
                <w:szCs w:val="18"/>
              </w:rPr>
            </w:pPr>
            <w:r w:rsidRPr="004016DD">
              <w:rPr>
                <w:rFonts w:cs="Times New Roman"/>
                <w:sz w:val="18"/>
                <w:szCs w:val="18"/>
              </w:rPr>
              <w:t>-2,2</w:t>
            </w:r>
          </w:p>
        </w:tc>
        <w:tc>
          <w:tcPr>
            <w:tcW w:w="838" w:type="dxa"/>
            <w:shd w:val="clear" w:color="auto" w:fill="auto"/>
            <w:vAlign w:val="bottom"/>
          </w:tcPr>
          <w:p w14:paraId="100492C9" w14:textId="3BF52A8B" w:rsidR="00DD2E48" w:rsidRPr="004016DD" w:rsidRDefault="00DD2E48" w:rsidP="00DD2E48">
            <w:pPr>
              <w:tabs>
                <w:tab w:val="decimal" w:pos="330"/>
              </w:tabs>
              <w:ind w:firstLine="0"/>
              <w:rPr>
                <w:rFonts w:eastAsia="Times New Roman" w:cs="Times New Roman"/>
                <w:sz w:val="18"/>
                <w:szCs w:val="18"/>
              </w:rPr>
            </w:pPr>
            <w:r w:rsidRPr="004016DD">
              <w:rPr>
                <w:rFonts w:cs="Times New Roman"/>
                <w:sz w:val="18"/>
                <w:szCs w:val="18"/>
              </w:rPr>
              <w:t>-2,0</w:t>
            </w:r>
          </w:p>
        </w:tc>
        <w:tc>
          <w:tcPr>
            <w:tcW w:w="838" w:type="dxa"/>
            <w:vAlign w:val="bottom"/>
          </w:tcPr>
          <w:p w14:paraId="1D8DB8E8" w14:textId="60FA35C8" w:rsidR="00DD2E48" w:rsidRPr="004016DD" w:rsidRDefault="00DD2E48" w:rsidP="00DD2E48">
            <w:pPr>
              <w:tabs>
                <w:tab w:val="decimal" w:pos="330"/>
              </w:tabs>
              <w:ind w:firstLine="0"/>
              <w:rPr>
                <w:rFonts w:cs="Times New Roman"/>
                <w:sz w:val="18"/>
                <w:szCs w:val="18"/>
              </w:rPr>
            </w:pPr>
            <w:r w:rsidRPr="004016DD">
              <w:rPr>
                <w:rFonts w:cs="Times New Roman"/>
                <w:sz w:val="18"/>
                <w:szCs w:val="18"/>
              </w:rPr>
              <w:t>-1,8</w:t>
            </w:r>
          </w:p>
        </w:tc>
      </w:tr>
      <w:tr w:rsidR="00DD2E48" w:rsidRPr="00800C51" w14:paraId="2941EFB0" w14:textId="60FB6B2E" w:rsidTr="0069743E">
        <w:trPr>
          <w:jc w:val="center"/>
        </w:trPr>
        <w:tc>
          <w:tcPr>
            <w:tcW w:w="3964" w:type="dxa"/>
            <w:shd w:val="clear" w:color="auto" w:fill="DEEAF6"/>
          </w:tcPr>
          <w:p w14:paraId="395FA199" w14:textId="77777777" w:rsidR="00DD2E48" w:rsidRPr="00800C51" w:rsidRDefault="00DD2E48" w:rsidP="00DD2E48">
            <w:pPr>
              <w:ind w:firstLine="0"/>
              <w:jc w:val="right"/>
              <w:rPr>
                <w:rFonts w:eastAsia="Times New Roman" w:cs="Times New Roman"/>
                <w:b/>
                <w:sz w:val="18"/>
                <w:szCs w:val="18"/>
              </w:rPr>
            </w:pPr>
            <w:r w:rsidRPr="00800C51">
              <w:rPr>
                <w:rFonts w:eastAsia="Times New Roman" w:cs="Times New Roman"/>
                <w:b/>
                <w:snapToGrid w:val="0"/>
                <w:sz w:val="18"/>
                <w:szCs w:val="18"/>
              </w:rPr>
              <w:t>Izmaiņas</w:t>
            </w:r>
          </w:p>
        </w:tc>
        <w:tc>
          <w:tcPr>
            <w:tcW w:w="1289" w:type="dxa"/>
            <w:shd w:val="clear" w:color="auto" w:fill="DEEAF6"/>
          </w:tcPr>
          <w:p w14:paraId="24C740FA" w14:textId="77777777" w:rsidR="00DD2E48" w:rsidRPr="006856C6" w:rsidRDefault="00DD2E48" w:rsidP="00DD2E48">
            <w:pPr>
              <w:ind w:firstLine="0"/>
              <w:jc w:val="center"/>
              <w:rPr>
                <w:rFonts w:eastAsia="Times New Roman" w:cs="Times New Roman"/>
                <w:sz w:val="18"/>
                <w:szCs w:val="18"/>
              </w:rPr>
            </w:pPr>
          </w:p>
        </w:tc>
        <w:tc>
          <w:tcPr>
            <w:tcW w:w="850" w:type="dxa"/>
            <w:shd w:val="clear" w:color="auto" w:fill="DEEAF6"/>
          </w:tcPr>
          <w:p w14:paraId="0B147ADC" w14:textId="1EFB5F38" w:rsidR="00DD2E48" w:rsidRPr="006856C6" w:rsidRDefault="00DD2E48" w:rsidP="00DD2E48">
            <w:pPr>
              <w:ind w:firstLine="0"/>
              <w:jc w:val="center"/>
              <w:rPr>
                <w:rFonts w:eastAsia="Calibri" w:cs="Times New Roman"/>
                <w:sz w:val="18"/>
                <w:szCs w:val="18"/>
              </w:rPr>
            </w:pPr>
            <w:r w:rsidRPr="006856C6">
              <w:rPr>
                <w:rFonts w:cs="Times New Roman"/>
                <w:sz w:val="18"/>
                <w:szCs w:val="18"/>
              </w:rPr>
              <w:t>1,7</w:t>
            </w:r>
          </w:p>
        </w:tc>
        <w:tc>
          <w:tcPr>
            <w:tcW w:w="851" w:type="dxa"/>
            <w:shd w:val="clear" w:color="auto" w:fill="DEEAF6"/>
          </w:tcPr>
          <w:p w14:paraId="2BB9FAB4" w14:textId="5FEDB75C" w:rsidR="00DD2E48" w:rsidRPr="006856C6" w:rsidRDefault="00DD2E48" w:rsidP="00DD2E48">
            <w:pPr>
              <w:ind w:firstLine="0"/>
              <w:jc w:val="center"/>
              <w:rPr>
                <w:rFonts w:eastAsia="Calibri" w:cs="Times New Roman"/>
                <w:sz w:val="18"/>
                <w:szCs w:val="18"/>
              </w:rPr>
            </w:pPr>
            <w:r w:rsidRPr="006856C6">
              <w:rPr>
                <w:rFonts w:cs="Times New Roman"/>
                <w:sz w:val="18"/>
                <w:szCs w:val="18"/>
              </w:rPr>
              <w:t>-0,4</w:t>
            </w:r>
          </w:p>
        </w:tc>
        <w:tc>
          <w:tcPr>
            <w:tcW w:w="850" w:type="dxa"/>
            <w:shd w:val="clear" w:color="auto" w:fill="DEEAF6"/>
            <w:vAlign w:val="bottom"/>
          </w:tcPr>
          <w:p w14:paraId="18D38863" w14:textId="4F9669D8" w:rsidR="00DD2E48" w:rsidRPr="004016DD" w:rsidRDefault="00DD2E48" w:rsidP="00DD2E48">
            <w:pPr>
              <w:ind w:firstLine="0"/>
              <w:jc w:val="center"/>
              <w:rPr>
                <w:rFonts w:eastAsia="Calibri" w:cs="Times New Roman"/>
                <w:sz w:val="18"/>
                <w:szCs w:val="18"/>
              </w:rPr>
            </w:pPr>
            <w:r w:rsidRPr="004016DD">
              <w:rPr>
                <w:rFonts w:cs="Times New Roman"/>
                <w:sz w:val="18"/>
                <w:szCs w:val="18"/>
              </w:rPr>
              <w:t>0,0</w:t>
            </w:r>
          </w:p>
        </w:tc>
        <w:tc>
          <w:tcPr>
            <w:tcW w:w="851" w:type="dxa"/>
            <w:shd w:val="clear" w:color="auto" w:fill="DEEAF6"/>
            <w:vAlign w:val="bottom"/>
          </w:tcPr>
          <w:p w14:paraId="0623EBE6" w14:textId="10D80CD9" w:rsidR="00DD2E48" w:rsidRPr="004016DD" w:rsidRDefault="00DD2E48" w:rsidP="00DD2E48">
            <w:pPr>
              <w:ind w:firstLine="0"/>
              <w:jc w:val="center"/>
              <w:rPr>
                <w:rFonts w:eastAsia="Calibri" w:cs="Times New Roman"/>
                <w:sz w:val="18"/>
                <w:szCs w:val="18"/>
              </w:rPr>
            </w:pPr>
            <w:r w:rsidRPr="004016DD">
              <w:rPr>
                <w:rFonts w:cs="Times New Roman"/>
                <w:sz w:val="18"/>
                <w:szCs w:val="18"/>
              </w:rPr>
              <w:t>-1,5</w:t>
            </w:r>
          </w:p>
        </w:tc>
        <w:tc>
          <w:tcPr>
            <w:tcW w:w="838" w:type="dxa"/>
            <w:shd w:val="clear" w:color="auto" w:fill="DEEAF6"/>
          </w:tcPr>
          <w:p w14:paraId="2B1D974B" w14:textId="359AB7BE" w:rsidR="00DD2E48" w:rsidRPr="006856C6" w:rsidRDefault="00DD2E48" w:rsidP="00DD2E48">
            <w:pPr>
              <w:ind w:firstLine="0"/>
              <w:jc w:val="center"/>
              <w:rPr>
                <w:rFonts w:eastAsia="Calibri" w:cs="Times New Roman"/>
                <w:sz w:val="18"/>
                <w:szCs w:val="18"/>
              </w:rPr>
            </w:pPr>
            <w:r w:rsidRPr="006856C6">
              <w:rPr>
                <w:rFonts w:cs="Times New Roman"/>
                <w:sz w:val="18"/>
                <w:szCs w:val="18"/>
              </w:rPr>
              <w:t xml:space="preserve"> -</w:t>
            </w:r>
          </w:p>
        </w:tc>
        <w:tc>
          <w:tcPr>
            <w:tcW w:w="838" w:type="dxa"/>
            <w:shd w:val="clear" w:color="auto" w:fill="DEEAF6"/>
          </w:tcPr>
          <w:p w14:paraId="284BA7D1" w14:textId="0B87C52D" w:rsidR="00DD2E48" w:rsidRPr="006856C6" w:rsidRDefault="00DD2E48" w:rsidP="00DD2E48">
            <w:pPr>
              <w:ind w:firstLine="0"/>
              <w:jc w:val="center"/>
              <w:rPr>
                <w:rFonts w:cs="Times New Roman"/>
                <w:sz w:val="18"/>
                <w:szCs w:val="18"/>
              </w:rPr>
            </w:pPr>
            <w:r w:rsidRPr="006856C6">
              <w:rPr>
                <w:rFonts w:cs="Times New Roman"/>
                <w:sz w:val="18"/>
                <w:szCs w:val="18"/>
              </w:rPr>
              <w:t xml:space="preserve"> -</w:t>
            </w:r>
          </w:p>
        </w:tc>
      </w:tr>
      <w:tr w:rsidR="00800C51" w:rsidRPr="00800C51" w14:paraId="5D070A34" w14:textId="7971CA2C" w:rsidTr="00800C51">
        <w:trPr>
          <w:jc w:val="center"/>
        </w:trPr>
        <w:tc>
          <w:tcPr>
            <w:tcW w:w="3964" w:type="dxa"/>
            <w:shd w:val="clear" w:color="auto" w:fill="auto"/>
          </w:tcPr>
          <w:p w14:paraId="61950BCD" w14:textId="77777777" w:rsidR="00800C51" w:rsidRPr="00800C51" w:rsidRDefault="00800C51" w:rsidP="00800C51">
            <w:pPr>
              <w:ind w:firstLine="0"/>
              <w:jc w:val="right"/>
              <w:rPr>
                <w:rFonts w:eastAsia="Times New Roman" w:cs="Times New Roman"/>
                <w:b/>
                <w:sz w:val="18"/>
                <w:szCs w:val="18"/>
              </w:rPr>
            </w:pPr>
            <w:r w:rsidRPr="00800C51">
              <w:rPr>
                <w:rFonts w:eastAsia="Times New Roman" w:cs="Times New Roman"/>
                <w:b/>
                <w:sz w:val="18"/>
                <w:szCs w:val="18"/>
              </w:rPr>
              <w:t xml:space="preserve">Vispārējās valdības kopējais parāds </w:t>
            </w:r>
          </w:p>
          <w:p w14:paraId="2DF2A1A6" w14:textId="77777777" w:rsidR="00800C51" w:rsidRPr="00800C51" w:rsidRDefault="00800C51" w:rsidP="00800C51">
            <w:pPr>
              <w:ind w:firstLine="0"/>
              <w:jc w:val="right"/>
              <w:rPr>
                <w:rFonts w:eastAsia="Times New Roman" w:cs="Times New Roman"/>
                <w:b/>
                <w:sz w:val="18"/>
                <w:szCs w:val="18"/>
              </w:rPr>
            </w:pPr>
            <w:r w:rsidRPr="00800C51">
              <w:rPr>
                <w:rFonts w:eastAsia="Times New Roman" w:cs="Times New Roman"/>
                <w:b/>
                <w:sz w:val="18"/>
                <w:szCs w:val="18"/>
              </w:rPr>
              <w:t>(% no IKP)</w:t>
            </w:r>
          </w:p>
        </w:tc>
        <w:tc>
          <w:tcPr>
            <w:tcW w:w="1289" w:type="dxa"/>
            <w:shd w:val="clear" w:color="auto" w:fill="auto"/>
          </w:tcPr>
          <w:p w14:paraId="50301F8A" w14:textId="77777777" w:rsidR="00800C51" w:rsidRPr="006856C6" w:rsidRDefault="00800C51" w:rsidP="00800C51">
            <w:pPr>
              <w:ind w:firstLine="0"/>
              <w:jc w:val="center"/>
              <w:rPr>
                <w:rFonts w:eastAsia="Times New Roman" w:cs="Times New Roman"/>
                <w:sz w:val="18"/>
                <w:szCs w:val="18"/>
              </w:rPr>
            </w:pPr>
          </w:p>
        </w:tc>
        <w:tc>
          <w:tcPr>
            <w:tcW w:w="850" w:type="dxa"/>
            <w:shd w:val="clear" w:color="auto" w:fill="auto"/>
          </w:tcPr>
          <w:p w14:paraId="6136E0D9" w14:textId="77777777" w:rsidR="00800C51" w:rsidRPr="006856C6" w:rsidRDefault="00800C51" w:rsidP="00800C51">
            <w:pPr>
              <w:ind w:firstLine="0"/>
              <w:jc w:val="center"/>
              <w:rPr>
                <w:rFonts w:eastAsia="Calibri" w:cs="Times New Roman"/>
                <w:sz w:val="18"/>
                <w:szCs w:val="18"/>
              </w:rPr>
            </w:pPr>
          </w:p>
        </w:tc>
        <w:tc>
          <w:tcPr>
            <w:tcW w:w="851" w:type="dxa"/>
            <w:shd w:val="clear" w:color="auto" w:fill="auto"/>
          </w:tcPr>
          <w:p w14:paraId="115CDE5E" w14:textId="77777777" w:rsidR="00800C51" w:rsidRPr="006856C6" w:rsidRDefault="00800C51" w:rsidP="00800C51">
            <w:pPr>
              <w:ind w:firstLine="0"/>
              <w:jc w:val="center"/>
              <w:rPr>
                <w:rFonts w:eastAsia="Calibri" w:cs="Times New Roman"/>
                <w:sz w:val="18"/>
                <w:szCs w:val="18"/>
              </w:rPr>
            </w:pPr>
          </w:p>
        </w:tc>
        <w:tc>
          <w:tcPr>
            <w:tcW w:w="850" w:type="dxa"/>
            <w:shd w:val="clear" w:color="auto" w:fill="auto"/>
          </w:tcPr>
          <w:p w14:paraId="32CB8774" w14:textId="77777777" w:rsidR="00800C51" w:rsidRPr="006856C6" w:rsidRDefault="00800C51" w:rsidP="00800C51">
            <w:pPr>
              <w:ind w:firstLine="0"/>
              <w:jc w:val="center"/>
              <w:rPr>
                <w:rFonts w:eastAsia="Calibri" w:cs="Times New Roman"/>
                <w:sz w:val="18"/>
                <w:szCs w:val="18"/>
              </w:rPr>
            </w:pPr>
          </w:p>
        </w:tc>
        <w:tc>
          <w:tcPr>
            <w:tcW w:w="851" w:type="dxa"/>
            <w:shd w:val="clear" w:color="auto" w:fill="auto"/>
          </w:tcPr>
          <w:p w14:paraId="451835AC" w14:textId="77777777" w:rsidR="00800C51" w:rsidRPr="006856C6" w:rsidRDefault="00800C51" w:rsidP="00800C51">
            <w:pPr>
              <w:ind w:firstLine="0"/>
              <w:jc w:val="center"/>
              <w:rPr>
                <w:rFonts w:eastAsia="Calibri" w:cs="Times New Roman"/>
                <w:sz w:val="18"/>
                <w:szCs w:val="18"/>
              </w:rPr>
            </w:pPr>
          </w:p>
        </w:tc>
        <w:tc>
          <w:tcPr>
            <w:tcW w:w="838" w:type="dxa"/>
            <w:shd w:val="clear" w:color="auto" w:fill="auto"/>
          </w:tcPr>
          <w:p w14:paraId="4CCFDABB" w14:textId="77777777" w:rsidR="00800C51" w:rsidRPr="006856C6" w:rsidRDefault="00800C51" w:rsidP="00800C51">
            <w:pPr>
              <w:ind w:firstLine="0"/>
              <w:jc w:val="center"/>
              <w:rPr>
                <w:rFonts w:eastAsia="Calibri" w:cs="Times New Roman"/>
                <w:sz w:val="18"/>
                <w:szCs w:val="18"/>
              </w:rPr>
            </w:pPr>
          </w:p>
        </w:tc>
        <w:tc>
          <w:tcPr>
            <w:tcW w:w="838" w:type="dxa"/>
          </w:tcPr>
          <w:p w14:paraId="1D66049B" w14:textId="77777777" w:rsidR="00800C51" w:rsidRPr="006856C6" w:rsidRDefault="00800C51" w:rsidP="00800C51">
            <w:pPr>
              <w:ind w:firstLine="0"/>
              <w:jc w:val="center"/>
              <w:rPr>
                <w:rFonts w:eastAsia="Calibri" w:cs="Times New Roman"/>
                <w:sz w:val="18"/>
                <w:szCs w:val="18"/>
              </w:rPr>
            </w:pPr>
          </w:p>
        </w:tc>
      </w:tr>
      <w:tr w:rsidR="00800C51" w:rsidRPr="00800C51" w14:paraId="5FF4A234" w14:textId="6DCB6348" w:rsidTr="00800C51">
        <w:trPr>
          <w:jc w:val="center"/>
        </w:trPr>
        <w:tc>
          <w:tcPr>
            <w:tcW w:w="3964" w:type="dxa"/>
            <w:shd w:val="clear" w:color="auto" w:fill="DEEAF6"/>
          </w:tcPr>
          <w:p w14:paraId="721F57A9" w14:textId="7095A486" w:rsidR="00800C51" w:rsidRPr="00800C51" w:rsidRDefault="00800C51" w:rsidP="00800C51">
            <w:pPr>
              <w:ind w:firstLine="0"/>
              <w:jc w:val="right"/>
              <w:rPr>
                <w:rFonts w:eastAsia="Times New Roman" w:cs="Times New Roman"/>
                <w:bCs/>
                <w:snapToGrid w:val="0"/>
                <w:sz w:val="18"/>
                <w:szCs w:val="18"/>
              </w:rPr>
            </w:pPr>
            <w:r w:rsidRPr="00800C51">
              <w:rPr>
                <w:rFonts w:eastAsia="Times New Roman" w:cs="Times New Roman"/>
                <w:bCs/>
                <w:sz w:val="18"/>
                <w:szCs w:val="18"/>
              </w:rPr>
              <w:t>2023.gads</w:t>
            </w:r>
          </w:p>
        </w:tc>
        <w:tc>
          <w:tcPr>
            <w:tcW w:w="1289" w:type="dxa"/>
            <w:shd w:val="clear" w:color="auto" w:fill="DEEAF6"/>
          </w:tcPr>
          <w:p w14:paraId="3772E861" w14:textId="77777777" w:rsidR="00800C51" w:rsidRPr="006856C6" w:rsidRDefault="00800C51" w:rsidP="00800C51">
            <w:pPr>
              <w:ind w:firstLine="0"/>
              <w:jc w:val="center"/>
              <w:rPr>
                <w:rFonts w:eastAsia="Times New Roman" w:cs="Times New Roman"/>
                <w:sz w:val="18"/>
                <w:szCs w:val="18"/>
              </w:rPr>
            </w:pPr>
          </w:p>
        </w:tc>
        <w:tc>
          <w:tcPr>
            <w:tcW w:w="850" w:type="dxa"/>
            <w:shd w:val="clear" w:color="auto" w:fill="DEEAF6"/>
          </w:tcPr>
          <w:p w14:paraId="4E499FFD" w14:textId="176C5D14" w:rsidR="00800C51" w:rsidRPr="006856C6" w:rsidRDefault="00800C51" w:rsidP="00800C51">
            <w:pPr>
              <w:ind w:firstLine="0"/>
              <w:jc w:val="center"/>
              <w:rPr>
                <w:rFonts w:eastAsia="Calibri" w:cs="Times New Roman"/>
                <w:sz w:val="18"/>
                <w:szCs w:val="18"/>
              </w:rPr>
            </w:pPr>
            <w:r w:rsidRPr="006856C6">
              <w:rPr>
                <w:rFonts w:cs="Times New Roman"/>
                <w:sz w:val="18"/>
                <w:szCs w:val="18"/>
              </w:rPr>
              <w:t>39,6</w:t>
            </w:r>
          </w:p>
        </w:tc>
        <w:tc>
          <w:tcPr>
            <w:tcW w:w="851" w:type="dxa"/>
            <w:shd w:val="clear" w:color="auto" w:fill="DEEAF6"/>
          </w:tcPr>
          <w:p w14:paraId="798B8313" w14:textId="0F489432" w:rsidR="00800C51" w:rsidRPr="006856C6" w:rsidRDefault="00800C51" w:rsidP="00800C51">
            <w:pPr>
              <w:ind w:firstLine="0"/>
              <w:jc w:val="center"/>
              <w:rPr>
                <w:rFonts w:eastAsia="Calibri" w:cs="Times New Roman"/>
                <w:sz w:val="18"/>
                <w:szCs w:val="18"/>
              </w:rPr>
            </w:pPr>
            <w:r w:rsidRPr="006856C6">
              <w:rPr>
                <w:rFonts w:cs="Times New Roman"/>
                <w:sz w:val="18"/>
                <w:szCs w:val="18"/>
              </w:rPr>
              <w:t>39,7</w:t>
            </w:r>
          </w:p>
        </w:tc>
        <w:tc>
          <w:tcPr>
            <w:tcW w:w="850" w:type="dxa"/>
            <w:shd w:val="clear" w:color="auto" w:fill="DEEAF6"/>
          </w:tcPr>
          <w:p w14:paraId="78306BC1" w14:textId="710FF11C" w:rsidR="00800C51" w:rsidRPr="006856C6" w:rsidRDefault="00800C51" w:rsidP="00800C51">
            <w:pPr>
              <w:ind w:firstLine="0"/>
              <w:jc w:val="center"/>
              <w:rPr>
                <w:rFonts w:eastAsia="Calibri" w:cs="Times New Roman"/>
                <w:sz w:val="18"/>
                <w:szCs w:val="18"/>
              </w:rPr>
            </w:pPr>
            <w:r w:rsidRPr="006856C6">
              <w:rPr>
                <w:rFonts w:cs="Times New Roman"/>
                <w:sz w:val="18"/>
                <w:szCs w:val="18"/>
              </w:rPr>
              <w:t>39,8</w:t>
            </w:r>
          </w:p>
        </w:tc>
        <w:tc>
          <w:tcPr>
            <w:tcW w:w="851" w:type="dxa"/>
            <w:shd w:val="clear" w:color="auto" w:fill="DEEAF6"/>
          </w:tcPr>
          <w:p w14:paraId="74A2D50E" w14:textId="574E9696" w:rsidR="00800C51" w:rsidRPr="006856C6" w:rsidRDefault="00800C51" w:rsidP="00800C51">
            <w:pPr>
              <w:ind w:firstLine="0"/>
              <w:jc w:val="center"/>
              <w:rPr>
                <w:rFonts w:eastAsia="Calibri" w:cs="Times New Roman"/>
                <w:sz w:val="18"/>
                <w:szCs w:val="18"/>
              </w:rPr>
            </w:pPr>
            <w:r w:rsidRPr="006856C6">
              <w:rPr>
                <w:rFonts w:cs="Times New Roman"/>
                <w:sz w:val="18"/>
                <w:szCs w:val="18"/>
              </w:rPr>
              <w:t>38,9</w:t>
            </w:r>
          </w:p>
        </w:tc>
        <w:tc>
          <w:tcPr>
            <w:tcW w:w="838" w:type="dxa"/>
            <w:shd w:val="clear" w:color="auto" w:fill="DEEAF6"/>
          </w:tcPr>
          <w:p w14:paraId="25D4635D" w14:textId="32A1E3FD" w:rsidR="00800C51" w:rsidRPr="006856C6" w:rsidRDefault="00800C51" w:rsidP="00800C51">
            <w:pPr>
              <w:ind w:firstLine="0"/>
              <w:jc w:val="center"/>
              <w:rPr>
                <w:rFonts w:eastAsia="Calibri" w:cs="Times New Roman"/>
                <w:sz w:val="18"/>
                <w:szCs w:val="18"/>
              </w:rPr>
            </w:pPr>
            <w:r w:rsidRPr="006856C6">
              <w:rPr>
                <w:rFonts w:cs="Times New Roman"/>
                <w:sz w:val="18"/>
                <w:szCs w:val="18"/>
              </w:rPr>
              <w:t>-</w:t>
            </w:r>
          </w:p>
        </w:tc>
        <w:tc>
          <w:tcPr>
            <w:tcW w:w="838" w:type="dxa"/>
            <w:shd w:val="clear" w:color="auto" w:fill="DEEAF6"/>
          </w:tcPr>
          <w:p w14:paraId="2EACAB1B" w14:textId="07B4374E" w:rsidR="00800C51" w:rsidRPr="006856C6" w:rsidRDefault="00800C51" w:rsidP="00800C51">
            <w:pPr>
              <w:ind w:firstLine="0"/>
              <w:jc w:val="center"/>
              <w:rPr>
                <w:rFonts w:cs="Times New Roman"/>
                <w:sz w:val="18"/>
                <w:szCs w:val="18"/>
              </w:rPr>
            </w:pPr>
            <w:r w:rsidRPr="006856C6">
              <w:rPr>
                <w:rFonts w:cs="Times New Roman"/>
                <w:sz w:val="18"/>
                <w:szCs w:val="18"/>
              </w:rPr>
              <w:t>-</w:t>
            </w:r>
          </w:p>
        </w:tc>
      </w:tr>
      <w:tr w:rsidR="00800C51" w:rsidRPr="00800C51" w14:paraId="0116C756" w14:textId="312CFEA8" w:rsidTr="00800C51">
        <w:trPr>
          <w:jc w:val="center"/>
        </w:trPr>
        <w:tc>
          <w:tcPr>
            <w:tcW w:w="3964" w:type="dxa"/>
            <w:shd w:val="clear" w:color="auto" w:fill="auto"/>
          </w:tcPr>
          <w:p w14:paraId="46FF804E" w14:textId="19E241AE" w:rsidR="00800C51" w:rsidRPr="00800C51" w:rsidRDefault="00800C51" w:rsidP="00800C51">
            <w:pPr>
              <w:ind w:firstLine="0"/>
              <w:jc w:val="right"/>
              <w:rPr>
                <w:rFonts w:eastAsia="Times New Roman" w:cs="Times New Roman"/>
                <w:bCs/>
                <w:snapToGrid w:val="0"/>
                <w:sz w:val="18"/>
                <w:szCs w:val="18"/>
              </w:rPr>
            </w:pPr>
            <w:r w:rsidRPr="00800C51">
              <w:rPr>
                <w:rFonts w:eastAsia="Times New Roman" w:cs="Times New Roman"/>
                <w:bCs/>
                <w:sz w:val="18"/>
                <w:szCs w:val="18"/>
              </w:rPr>
              <w:t>2024.gads</w:t>
            </w:r>
          </w:p>
        </w:tc>
        <w:tc>
          <w:tcPr>
            <w:tcW w:w="1289" w:type="dxa"/>
            <w:shd w:val="clear" w:color="auto" w:fill="auto"/>
          </w:tcPr>
          <w:p w14:paraId="52E9FAE4" w14:textId="77777777" w:rsidR="00800C51" w:rsidRPr="006856C6" w:rsidRDefault="00800C51" w:rsidP="00800C51">
            <w:pPr>
              <w:ind w:firstLine="0"/>
              <w:jc w:val="center"/>
              <w:rPr>
                <w:rFonts w:eastAsia="Times New Roman" w:cs="Times New Roman"/>
                <w:sz w:val="18"/>
                <w:szCs w:val="18"/>
              </w:rPr>
            </w:pPr>
          </w:p>
        </w:tc>
        <w:tc>
          <w:tcPr>
            <w:tcW w:w="850" w:type="dxa"/>
            <w:shd w:val="clear" w:color="auto" w:fill="auto"/>
          </w:tcPr>
          <w:p w14:paraId="754ACC66" w14:textId="364F66A7" w:rsidR="00800C51" w:rsidRPr="006856C6" w:rsidRDefault="00800C51" w:rsidP="00800C51">
            <w:pPr>
              <w:tabs>
                <w:tab w:val="decimal" w:pos="330"/>
              </w:tabs>
              <w:ind w:firstLine="0"/>
              <w:rPr>
                <w:rFonts w:eastAsia="Times New Roman" w:cs="Times New Roman"/>
                <w:sz w:val="18"/>
                <w:szCs w:val="18"/>
              </w:rPr>
            </w:pPr>
            <w:r w:rsidRPr="006856C6">
              <w:rPr>
                <w:rFonts w:cs="Times New Roman"/>
                <w:sz w:val="18"/>
                <w:szCs w:val="18"/>
              </w:rPr>
              <w:t>43,4</w:t>
            </w:r>
          </w:p>
        </w:tc>
        <w:tc>
          <w:tcPr>
            <w:tcW w:w="851" w:type="dxa"/>
            <w:shd w:val="clear" w:color="auto" w:fill="auto"/>
          </w:tcPr>
          <w:p w14:paraId="51906183" w14:textId="7534D279" w:rsidR="00800C51" w:rsidRPr="006856C6" w:rsidRDefault="00800C51" w:rsidP="00800C51">
            <w:pPr>
              <w:tabs>
                <w:tab w:val="decimal" w:pos="330"/>
              </w:tabs>
              <w:ind w:firstLine="0"/>
              <w:rPr>
                <w:rFonts w:eastAsia="Times New Roman" w:cs="Times New Roman"/>
                <w:sz w:val="18"/>
                <w:szCs w:val="18"/>
              </w:rPr>
            </w:pPr>
            <w:r w:rsidRPr="006856C6">
              <w:rPr>
                <w:rFonts w:cs="Times New Roman"/>
                <w:sz w:val="18"/>
                <w:szCs w:val="18"/>
              </w:rPr>
              <w:t>45,2</w:t>
            </w:r>
          </w:p>
        </w:tc>
        <w:tc>
          <w:tcPr>
            <w:tcW w:w="850" w:type="dxa"/>
            <w:shd w:val="clear" w:color="auto" w:fill="auto"/>
          </w:tcPr>
          <w:p w14:paraId="2AF9AD31" w14:textId="442E3DE4" w:rsidR="00800C51" w:rsidRPr="006856C6" w:rsidRDefault="00800C51" w:rsidP="00800C51">
            <w:pPr>
              <w:tabs>
                <w:tab w:val="decimal" w:pos="330"/>
              </w:tabs>
              <w:ind w:firstLine="0"/>
              <w:rPr>
                <w:rFonts w:eastAsia="Times New Roman" w:cs="Times New Roman"/>
                <w:sz w:val="18"/>
                <w:szCs w:val="18"/>
              </w:rPr>
            </w:pPr>
            <w:r w:rsidRPr="006856C6">
              <w:rPr>
                <w:rFonts w:cs="Times New Roman"/>
                <w:sz w:val="18"/>
                <w:szCs w:val="18"/>
              </w:rPr>
              <w:t>46,3</w:t>
            </w:r>
          </w:p>
        </w:tc>
        <w:tc>
          <w:tcPr>
            <w:tcW w:w="851" w:type="dxa"/>
            <w:shd w:val="clear" w:color="auto" w:fill="auto"/>
          </w:tcPr>
          <w:p w14:paraId="4775F908" w14:textId="24046C7A" w:rsidR="00800C51" w:rsidRPr="006856C6" w:rsidRDefault="00800C51" w:rsidP="00800C51">
            <w:pPr>
              <w:tabs>
                <w:tab w:val="decimal" w:pos="330"/>
              </w:tabs>
              <w:ind w:firstLine="0"/>
              <w:rPr>
                <w:rFonts w:eastAsia="Arial Unicode MS" w:cs="Times New Roman"/>
                <w:sz w:val="18"/>
                <w:szCs w:val="18"/>
              </w:rPr>
            </w:pPr>
            <w:r w:rsidRPr="006856C6">
              <w:rPr>
                <w:rFonts w:cs="Times New Roman"/>
                <w:sz w:val="18"/>
                <w:szCs w:val="18"/>
              </w:rPr>
              <w:t>46,2</w:t>
            </w:r>
          </w:p>
        </w:tc>
        <w:tc>
          <w:tcPr>
            <w:tcW w:w="838" w:type="dxa"/>
            <w:shd w:val="clear" w:color="auto" w:fill="auto"/>
          </w:tcPr>
          <w:p w14:paraId="13DF85A5" w14:textId="3019A54E" w:rsidR="00800C51" w:rsidRPr="006856C6" w:rsidRDefault="00800C51" w:rsidP="00800C51">
            <w:pPr>
              <w:ind w:firstLine="0"/>
              <w:jc w:val="center"/>
              <w:rPr>
                <w:rFonts w:eastAsia="Times New Roman" w:cs="Times New Roman"/>
                <w:sz w:val="18"/>
                <w:szCs w:val="18"/>
              </w:rPr>
            </w:pPr>
            <w:r w:rsidRPr="006856C6">
              <w:rPr>
                <w:rFonts w:cs="Times New Roman"/>
                <w:sz w:val="18"/>
                <w:szCs w:val="18"/>
              </w:rPr>
              <w:t>48,8</w:t>
            </w:r>
          </w:p>
        </w:tc>
        <w:tc>
          <w:tcPr>
            <w:tcW w:w="838" w:type="dxa"/>
          </w:tcPr>
          <w:p w14:paraId="26323053" w14:textId="62E77481" w:rsidR="00800C51" w:rsidRPr="006856C6" w:rsidRDefault="00800C51" w:rsidP="00800C51">
            <w:pPr>
              <w:ind w:firstLine="0"/>
              <w:jc w:val="center"/>
              <w:rPr>
                <w:rFonts w:cs="Times New Roman"/>
                <w:sz w:val="18"/>
                <w:szCs w:val="18"/>
              </w:rPr>
            </w:pPr>
            <w:r w:rsidRPr="006856C6">
              <w:rPr>
                <w:rFonts w:cs="Times New Roman"/>
                <w:sz w:val="18"/>
                <w:szCs w:val="18"/>
              </w:rPr>
              <w:t>48,2</w:t>
            </w:r>
          </w:p>
        </w:tc>
      </w:tr>
      <w:tr w:rsidR="00800C51" w:rsidRPr="00874664" w14:paraId="0E829C59" w14:textId="6E74A9F4" w:rsidTr="00800C51">
        <w:trPr>
          <w:jc w:val="center"/>
        </w:trPr>
        <w:tc>
          <w:tcPr>
            <w:tcW w:w="3964" w:type="dxa"/>
            <w:shd w:val="clear" w:color="auto" w:fill="DEEAF6"/>
          </w:tcPr>
          <w:p w14:paraId="61E9F127" w14:textId="77777777" w:rsidR="00800C51" w:rsidRPr="00800C51" w:rsidRDefault="00800C51" w:rsidP="00800C51">
            <w:pPr>
              <w:ind w:firstLine="0"/>
              <w:jc w:val="right"/>
              <w:rPr>
                <w:rFonts w:eastAsia="Times New Roman" w:cs="Times New Roman"/>
                <w:b/>
                <w:sz w:val="18"/>
                <w:szCs w:val="18"/>
              </w:rPr>
            </w:pPr>
            <w:r w:rsidRPr="00800C51">
              <w:rPr>
                <w:rFonts w:eastAsia="Times New Roman" w:cs="Times New Roman"/>
                <w:b/>
                <w:snapToGrid w:val="0"/>
                <w:sz w:val="18"/>
                <w:szCs w:val="18"/>
              </w:rPr>
              <w:t>Izmaiņas</w:t>
            </w:r>
          </w:p>
        </w:tc>
        <w:tc>
          <w:tcPr>
            <w:tcW w:w="1289" w:type="dxa"/>
            <w:shd w:val="clear" w:color="auto" w:fill="DEEAF6"/>
          </w:tcPr>
          <w:p w14:paraId="66D546E0" w14:textId="77777777" w:rsidR="00800C51" w:rsidRPr="006856C6" w:rsidRDefault="00800C51" w:rsidP="00800C51">
            <w:pPr>
              <w:ind w:firstLine="0"/>
              <w:jc w:val="center"/>
              <w:rPr>
                <w:rFonts w:eastAsia="Times New Roman" w:cs="Times New Roman"/>
                <w:sz w:val="18"/>
                <w:szCs w:val="18"/>
              </w:rPr>
            </w:pPr>
          </w:p>
        </w:tc>
        <w:tc>
          <w:tcPr>
            <w:tcW w:w="850" w:type="dxa"/>
            <w:shd w:val="clear" w:color="auto" w:fill="DEEAF6"/>
          </w:tcPr>
          <w:p w14:paraId="1F0CDF49" w14:textId="549CABF0" w:rsidR="00800C51" w:rsidRPr="006856C6" w:rsidRDefault="00800C51" w:rsidP="00800C51">
            <w:pPr>
              <w:ind w:firstLine="0"/>
              <w:jc w:val="center"/>
              <w:rPr>
                <w:rFonts w:eastAsia="Times New Roman" w:cs="Times New Roman"/>
                <w:sz w:val="18"/>
                <w:szCs w:val="18"/>
              </w:rPr>
            </w:pPr>
            <w:r w:rsidRPr="006856C6">
              <w:rPr>
                <w:rFonts w:cs="Times New Roman"/>
                <w:sz w:val="18"/>
                <w:szCs w:val="18"/>
              </w:rPr>
              <w:t>3,8</w:t>
            </w:r>
          </w:p>
        </w:tc>
        <w:tc>
          <w:tcPr>
            <w:tcW w:w="851" w:type="dxa"/>
            <w:shd w:val="clear" w:color="auto" w:fill="DEEAF6"/>
          </w:tcPr>
          <w:p w14:paraId="4BDEBA2D" w14:textId="68141998" w:rsidR="00800C51" w:rsidRPr="006856C6" w:rsidRDefault="00800C51" w:rsidP="00800C51">
            <w:pPr>
              <w:ind w:firstLine="0"/>
              <w:jc w:val="center"/>
              <w:rPr>
                <w:rFonts w:eastAsia="Times New Roman" w:cs="Times New Roman"/>
                <w:sz w:val="18"/>
                <w:szCs w:val="18"/>
              </w:rPr>
            </w:pPr>
            <w:r w:rsidRPr="006856C6">
              <w:rPr>
                <w:rFonts w:cs="Times New Roman"/>
                <w:sz w:val="18"/>
                <w:szCs w:val="18"/>
              </w:rPr>
              <w:t>5,5</w:t>
            </w:r>
          </w:p>
        </w:tc>
        <w:tc>
          <w:tcPr>
            <w:tcW w:w="850" w:type="dxa"/>
            <w:shd w:val="clear" w:color="auto" w:fill="DEEAF6"/>
          </w:tcPr>
          <w:p w14:paraId="3A993534" w14:textId="78ACD1E4" w:rsidR="00800C51" w:rsidRPr="006856C6" w:rsidRDefault="00800C51" w:rsidP="00800C51">
            <w:pPr>
              <w:ind w:firstLine="0"/>
              <w:jc w:val="center"/>
              <w:rPr>
                <w:rFonts w:eastAsia="Times New Roman" w:cs="Times New Roman"/>
                <w:sz w:val="18"/>
                <w:szCs w:val="18"/>
              </w:rPr>
            </w:pPr>
            <w:r w:rsidRPr="006856C6">
              <w:rPr>
                <w:rFonts w:cs="Times New Roman"/>
                <w:sz w:val="18"/>
                <w:szCs w:val="18"/>
              </w:rPr>
              <w:t>6,5</w:t>
            </w:r>
          </w:p>
        </w:tc>
        <w:tc>
          <w:tcPr>
            <w:tcW w:w="851" w:type="dxa"/>
            <w:shd w:val="clear" w:color="auto" w:fill="DEEAF6"/>
          </w:tcPr>
          <w:p w14:paraId="229AD21A" w14:textId="3EE64FCB" w:rsidR="00800C51" w:rsidRPr="006856C6" w:rsidRDefault="00800C51" w:rsidP="00800C51">
            <w:pPr>
              <w:ind w:firstLine="0"/>
              <w:jc w:val="center"/>
              <w:rPr>
                <w:rFonts w:eastAsia="Times New Roman" w:cs="Times New Roman"/>
                <w:sz w:val="18"/>
                <w:szCs w:val="18"/>
              </w:rPr>
            </w:pPr>
            <w:r w:rsidRPr="006856C6">
              <w:rPr>
                <w:rFonts w:cs="Times New Roman"/>
                <w:sz w:val="18"/>
                <w:szCs w:val="18"/>
              </w:rPr>
              <w:t>7,3</w:t>
            </w:r>
          </w:p>
        </w:tc>
        <w:tc>
          <w:tcPr>
            <w:tcW w:w="838" w:type="dxa"/>
            <w:shd w:val="clear" w:color="auto" w:fill="DEEAF6"/>
          </w:tcPr>
          <w:p w14:paraId="287AEA7E" w14:textId="42A4FFA3" w:rsidR="00800C51" w:rsidRPr="006856C6" w:rsidRDefault="00800C51" w:rsidP="00800C51">
            <w:pPr>
              <w:tabs>
                <w:tab w:val="decimal" w:pos="330"/>
              </w:tabs>
              <w:ind w:firstLine="0"/>
              <w:rPr>
                <w:rFonts w:eastAsia="Times New Roman" w:cs="Times New Roman"/>
                <w:sz w:val="18"/>
                <w:szCs w:val="18"/>
              </w:rPr>
            </w:pPr>
            <w:r w:rsidRPr="006856C6">
              <w:rPr>
                <w:rFonts w:cs="Times New Roman"/>
                <w:sz w:val="18"/>
                <w:szCs w:val="18"/>
              </w:rPr>
              <w:t>-</w:t>
            </w:r>
          </w:p>
        </w:tc>
        <w:tc>
          <w:tcPr>
            <w:tcW w:w="838" w:type="dxa"/>
            <w:shd w:val="clear" w:color="auto" w:fill="DEEAF6"/>
          </w:tcPr>
          <w:p w14:paraId="0CA8F2A0" w14:textId="4EEFF2D2" w:rsidR="00800C51" w:rsidRPr="006856C6" w:rsidRDefault="00800C51" w:rsidP="00800C51">
            <w:pPr>
              <w:tabs>
                <w:tab w:val="decimal" w:pos="330"/>
              </w:tabs>
              <w:ind w:firstLine="0"/>
              <w:rPr>
                <w:rFonts w:cs="Times New Roman"/>
                <w:sz w:val="18"/>
                <w:szCs w:val="18"/>
              </w:rPr>
            </w:pPr>
            <w:r w:rsidRPr="006856C6">
              <w:rPr>
                <w:rFonts w:cs="Times New Roman"/>
                <w:sz w:val="18"/>
                <w:szCs w:val="18"/>
              </w:rPr>
              <w:t>-</w:t>
            </w:r>
          </w:p>
        </w:tc>
      </w:tr>
    </w:tbl>
    <w:p w14:paraId="6368C9B0" w14:textId="77777777" w:rsidR="00C1707D" w:rsidRPr="000D61BB" w:rsidRDefault="00C1707D" w:rsidP="00C1707D">
      <w:pPr>
        <w:ind w:firstLine="0"/>
        <w:jc w:val="left"/>
        <w:rPr>
          <w:rFonts w:eastAsia="Times New Roman" w:cs="Times New Roman"/>
          <w:b/>
          <w:sz w:val="24"/>
          <w:szCs w:val="24"/>
        </w:rPr>
      </w:pPr>
    </w:p>
    <w:p w14:paraId="2EE97DA4" w14:textId="69906468" w:rsidR="000F4627" w:rsidRPr="000D61BB" w:rsidRDefault="000F4627" w:rsidP="00C1707D">
      <w:pPr>
        <w:spacing w:after="120" w:line="259" w:lineRule="auto"/>
        <w:ind w:firstLine="0"/>
        <w:jc w:val="left"/>
        <w:rPr>
          <w:rFonts w:eastAsia="Times New Roman" w:cs="Times New Roman"/>
          <w:b/>
          <w:sz w:val="24"/>
          <w:szCs w:val="24"/>
        </w:rPr>
      </w:pPr>
      <w:r w:rsidRPr="000D61BB">
        <w:rPr>
          <w:rFonts w:eastAsia="Times New Roman" w:cs="Times New Roman"/>
          <w:b/>
          <w:sz w:val="24"/>
          <w:szCs w:val="24"/>
        </w:rPr>
        <w:t>7. tabula. Publisko finanšu ilgtspēja</w:t>
      </w:r>
      <w:r w:rsidRPr="004016DD">
        <w:rPr>
          <w:rFonts w:eastAsia="Times New Roman"/>
          <w:bCs/>
          <w:sz w:val="24"/>
          <w:szCs w:val="20"/>
          <w:vertAlign w:val="superscript"/>
        </w:rPr>
        <w:footnoteReference w:id="30"/>
      </w:r>
    </w:p>
    <w:tbl>
      <w:tblPr>
        <w:tblStyle w:val="GridTable6Colorful-Accent11831"/>
        <w:tblW w:w="9640" w:type="dxa"/>
        <w:tblInd w:w="0" w:type="dxa"/>
        <w:tblLook w:val="04A0" w:firstRow="1" w:lastRow="0" w:firstColumn="1" w:lastColumn="0" w:noHBand="0" w:noVBand="1"/>
      </w:tblPr>
      <w:tblGrid>
        <w:gridCol w:w="5014"/>
        <w:gridCol w:w="771"/>
        <w:gridCol w:w="771"/>
        <w:gridCol w:w="771"/>
        <w:gridCol w:w="771"/>
        <w:gridCol w:w="771"/>
        <w:gridCol w:w="771"/>
      </w:tblGrid>
      <w:tr w:rsidR="000F4627" w:rsidRPr="000D61BB" w14:paraId="7F6830D1" w14:textId="77777777" w:rsidTr="0071579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14" w:type="dxa"/>
            <w:hideMark/>
          </w:tcPr>
          <w:p w14:paraId="4E85BF0A" w14:textId="77777777" w:rsidR="000F4627" w:rsidRPr="000D61BB" w:rsidRDefault="000F4627" w:rsidP="000F4627">
            <w:pPr>
              <w:ind w:firstLine="0"/>
              <w:jc w:val="left"/>
              <w:rPr>
                <w:rFonts w:eastAsia="Times New Roman" w:cs="Times New Roman"/>
                <w:color w:val="000000"/>
                <w:sz w:val="18"/>
                <w:szCs w:val="18"/>
                <w:lang w:eastAsia="lv-LV"/>
              </w:rPr>
            </w:pPr>
            <w:r w:rsidRPr="000D61BB">
              <w:rPr>
                <w:rFonts w:eastAsia="Times New Roman" w:cs="Times New Roman"/>
                <w:color w:val="000000"/>
                <w:sz w:val="18"/>
                <w:szCs w:val="18"/>
                <w:lang w:eastAsia="lv-LV"/>
              </w:rPr>
              <w:t>% no IKP</w:t>
            </w:r>
          </w:p>
        </w:tc>
        <w:tc>
          <w:tcPr>
            <w:tcW w:w="771" w:type="dxa"/>
            <w:noWrap/>
            <w:hideMark/>
          </w:tcPr>
          <w:p w14:paraId="7BFEC0E4" w14:textId="7A52CFE6" w:rsidR="000F4627" w:rsidRPr="000D61BB" w:rsidRDefault="000F4627"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D61BB">
              <w:rPr>
                <w:rFonts w:eastAsia="Times New Roman" w:cs="Times New Roman"/>
                <w:color w:val="000000"/>
                <w:sz w:val="18"/>
                <w:szCs w:val="18"/>
                <w:lang w:eastAsia="lv-LV"/>
              </w:rPr>
              <w:t>20</w:t>
            </w:r>
            <w:r w:rsidR="000D61BB" w:rsidRPr="000D61BB">
              <w:rPr>
                <w:rFonts w:eastAsia="Times New Roman" w:cs="Times New Roman"/>
                <w:color w:val="000000"/>
                <w:sz w:val="18"/>
                <w:szCs w:val="18"/>
                <w:lang w:eastAsia="lv-LV"/>
              </w:rPr>
              <w:t>22</w:t>
            </w:r>
          </w:p>
        </w:tc>
        <w:tc>
          <w:tcPr>
            <w:tcW w:w="771" w:type="dxa"/>
            <w:noWrap/>
            <w:hideMark/>
          </w:tcPr>
          <w:p w14:paraId="773AD7FF" w14:textId="3A75C286" w:rsidR="000F4627" w:rsidRPr="000D61BB" w:rsidRDefault="000D61BB"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D61BB">
              <w:rPr>
                <w:rFonts w:eastAsia="Times New Roman" w:cs="Times New Roman"/>
                <w:color w:val="000000"/>
                <w:sz w:val="18"/>
                <w:szCs w:val="18"/>
                <w:lang w:eastAsia="lv-LV"/>
              </w:rPr>
              <w:t>2030</w:t>
            </w:r>
          </w:p>
        </w:tc>
        <w:tc>
          <w:tcPr>
            <w:tcW w:w="771" w:type="dxa"/>
            <w:noWrap/>
          </w:tcPr>
          <w:p w14:paraId="277D4481" w14:textId="77777777" w:rsidR="000F4627" w:rsidRPr="000D61BB" w:rsidRDefault="000F4627"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D61BB">
              <w:rPr>
                <w:rFonts w:eastAsia="Times New Roman" w:cs="Times New Roman"/>
                <w:color w:val="000000"/>
                <w:sz w:val="18"/>
                <w:szCs w:val="18"/>
                <w:lang w:eastAsia="lv-LV"/>
              </w:rPr>
              <w:t>2040</w:t>
            </w:r>
          </w:p>
        </w:tc>
        <w:tc>
          <w:tcPr>
            <w:tcW w:w="771" w:type="dxa"/>
            <w:noWrap/>
          </w:tcPr>
          <w:p w14:paraId="0BB9CDE0" w14:textId="77777777" w:rsidR="000F4627" w:rsidRPr="000D61BB" w:rsidRDefault="000F4627"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D61BB">
              <w:rPr>
                <w:rFonts w:eastAsia="Times New Roman" w:cs="Times New Roman"/>
                <w:color w:val="000000"/>
                <w:sz w:val="18"/>
                <w:szCs w:val="18"/>
                <w:lang w:eastAsia="lv-LV"/>
              </w:rPr>
              <w:t>2050</w:t>
            </w:r>
          </w:p>
        </w:tc>
        <w:tc>
          <w:tcPr>
            <w:tcW w:w="771" w:type="dxa"/>
            <w:noWrap/>
          </w:tcPr>
          <w:p w14:paraId="721BC903" w14:textId="77777777" w:rsidR="000F4627" w:rsidRPr="000D61BB" w:rsidRDefault="000F4627"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D61BB">
              <w:rPr>
                <w:rFonts w:eastAsia="Times New Roman" w:cs="Times New Roman"/>
                <w:color w:val="000000"/>
                <w:sz w:val="18"/>
                <w:szCs w:val="18"/>
                <w:lang w:eastAsia="lv-LV"/>
              </w:rPr>
              <w:t>2060</w:t>
            </w:r>
          </w:p>
        </w:tc>
        <w:tc>
          <w:tcPr>
            <w:tcW w:w="771" w:type="dxa"/>
            <w:noWrap/>
          </w:tcPr>
          <w:p w14:paraId="2EFB7299" w14:textId="77777777" w:rsidR="000F4627" w:rsidRPr="000D61BB" w:rsidRDefault="000F4627"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D61BB">
              <w:rPr>
                <w:rFonts w:eastAsia="Times New Roman" w:cs="Times New Roman"/>
                <w:color w:val="000000"/>
                <w:sz w:val="18"/>
                <w:szCs w:val="18"/>
                <w:lang w:eastAsia="lv-LV"/>
              </w:rPr>
              <w:t>2070</w:t>
            </w:r>
          </w:p>
        </w:tc>
      </w:tr>
      <w:tr w:rsidR="000D61BB" w:rsidRPr="000D61BB" w14:paraId="715F9B79" w14:textId="77777777" w:rsidTr="0071579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5014" w:type="dxa"/>
            <w:hideMark/>
          </w:tcPr>
          <w:p w14:paraId="5B25CEF1" w14:textId="77777777" w:rsidR="000D61BB" w:rsidRPr="000D61BB" w:rsidRDefault="000D61BB" w:rsidP="000D61BB">
            <w:pPr>
              <w:ind w:firstLine="0"/>
              <w:jc w:val="left"/>
              <w:rPr>
                <w:rFonts w:eastAsia="Times New Roman" w:cs="Times New Roman"/>
                <w:color w:val="000000"/>
                <w:sz w:val="18"/>
                <w:szCs w:val="18"/>
                <w:lang w:eastAsia="lv-LV"/>
              </w:rPr>
            </w:pPr>
            <w:r w:rsidRPr="000D61BB">
              <w:rPr>
                <w:rFonts w:eastAsia="Times New Roman" w:cs="Times New Roman"/>
                <w:color w:val="000000"/>
                <w:sz w:val="18"/>
                <w:szCs w:val="18"/>
                <w:lang w:eastAsia="lv-LV"/>
              </w:rPr>
              <w:t>Ar vecumu saistītie vispārējās valdības budžeta izdevumi</w:t>
            </w:r>
          </w:p>
        </w:tc>
        <w:tc>
          <w:tcPr>
            <w:tcW w:w="771" w:type="dxa"/>
            <w:noWrap/>
            <w:hideMark/>
          </w:tcPr>
          <w:p w14:paraId="5480C7B2" w14:textId="0FE1431C"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D61BB">
              <w:rPr>
                <w:rFonts w:cs="Times New Roman"/>
                <w:color w:val="auto"/>
                <w:sz w:val="18"/>
                <w:szCs w:val="18"/>
              </w:rPr>
              <w:t>17,3</w:t>
            </w:r>
          </w:p>
        </w:tc>
        <w:tc>
          <w:tcPr>
            <w:tcW w:w="771" w:type="dxa"/>
            <w:noWrap/>
            <w:hideMark/>
          </w:tcPr>
          <w:p w14:paraId="6B79D0D4" w14:textId="3578FF88"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D61BB">
              <w:rPr>
                <w:rFonts w:cs="Times New Roman"/>
                <w:color w:val="auto"/>
                <w:sz w:val="18"/>
                <w:szCs w:val="18"/>
              </w:rPr>
              <w:t>16,4</w:t>
            </w:r>
          </w:p>
        </w:tc>
        <w:tc>
          <w:tcPr>
            <w:tcW w:w="771" w:type="dxa"/>
            <w:noWrap/>
            <w:hideMark/>
          </w:tcPr>
          <w:p w14:paraId="3B4D34B3" w14:textId="72065868"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D61BB">
              <w:rPr>
                <w:rFonts w:cs="Times New Roman"/>
                <w:color w:val="auto"/>
                <w:sz w:val="18"/>
                <w:szCs w:val="18"/>
              </w:rPr>
              <w:t>16,0</w:t>
            </w:r>
          </w:p>
        </w:tc>
        <w:tc>
          <w:tcPr>
            <w:tcW w:w="771" w:type="dxa"/>
            <w:noWrap/>
            <w:hideMark/>
          </w:tcPr>
          <w:p w14:paraId="1BEB8F38" w14:textId="0F1EDFE3"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D61BB">
              <w:rPr>
                <w:rFonts w:cs="Times New Roman"/>
                <w:color w:val="auto"/>
                <w:sz w:val="18"/>
                <w:szCs w:val="18"/>
              </w:rPr>
              <w:t>16,1</w:t>
            </w:r>
          </w:p>
        </w:tc>
        <w:tc>
          <w:tcPr>
            <w:tcW w:w="771" w:type="dxa"/>
            <w:noWrap/>
            <w:hideMark/>
          </w:tcPr>
          <w:p w14:paraId="36E2292B" w14:textId="73F18FB4"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D61BB">
              <w:rPr>
                <w:rFonts w:cs="Times New Roman"/>
                <w:color w:val="auto"/>
                <w:sz w:val="18"/>
                <w:szCs w:val="18"/>
              </w:rPr>
              <w:t>16,4</w:t>
            </w:r>
          </w:p>
        </w:tc>
        <w:tc>
          <w:tcPr>
            <w:tcW w:w="771" w:type="dxa"/>
            <w:noWrap/>
            <w:hideMark/>
          </w:tcPr>
          <w:p w14:paraId="1D521796" w14:textId="77F813AB"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D61BB">
              <w:rPr>
                <w:rFonts w:cs="Times New Roman"/>
                <w:color w:val="auto"/>
                <w:sz w:val="18"/>
                <w:szCs w:val="18"/>
              </w:rPr>
              <w:t>15,4</w:t>
            </w:r>
          </w:p>
        </w:tc>
      </w:tr>
      <w:tr w:rsidR="000D61BB" w:rsidRPr="000D61BB" w14:paraId="4205E398" w14:textId="77777777" w:rsidTr="0071579E">
        <w:trPr>
          <w:trHeight w:val="218"/>
        </w:trPr>
        <w:tc>
          <w:tcPr>
            <w:cnfStyle w:val="001000000000" w:firstRow="0" w:lastRow="0" w:firstColumn="1" w:lastColumn="0" w:oddVBand="0" w:evenVBand="0" w:oddHBand="0" w:evenHBand="0" w:firstRowFirstColumn="0" w:firstRowLastColumn="0" w:lastRowFirstColumn="0" w:lastRowLastColumn="0"/>
            <w:tcW w:w="5014" w:type="dxa"/>
            <w:hideMark/>
          </w:tcPr>
          <w:p w14:paraId="7BDC63D2"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Pensiju izdevumi (valsts pensijām)</w:t>
            </w:r>
          </w:p>
        </w:tc>
        <w:tc>
          <w:tcPr>
            <w:tcW w:w="771" w:type="dxa"/>
            <w:noWrap/>
            <w:hideMark/>
          </w:tcPr>
          <w:p w14:paraId="50EE5AA9" w14:textId="393C267D"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7,2</w:t>
            </w:r>
          </w:p>
        </w:tc>
        <w:tc>
          <w:tcPr>
            <w:tcW w:w="771" w:type="dxa"/>
            <w:noWrap/>
            <w:hideMark/>
          </w:tcPr>
          <w:p w14:paraId="6318EA79" w14:textId="56602929"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6,9</w:t>
            </w:r>
          </w:p>
        </w:tc>
        <w:tc>
          <w:tcPr>
            <w:tcW w:w="771" w:type="dxa"/>
            <w:noWrap/>
            <w:hideMark/>
          </w:tcPr>
          <w:p w14:paraId="4DE7FF12" w14:textId="28F2FBB2"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6,5</w:t>
            </w:r>
          </w:p>
        </w:tc>
        <w:tc>
          <w:tcPr>
            <w:tcW w:w="771" w:type="dxa"/>
            <w:noWrap/>
            <w:hideMark/>
          </w:tcPr>
          <w:p w14:paraId="58312A95" w14:textId="230343BB"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6,3</w:t>
            </w:r>
          </w:p>
        </w:tc>
        <w:tc>
          <w:tcPr>
            <w:tcW w:w="771" w:type="dxa"/>
            <w:noWrap/>
            <w:hideMark/>
          </w:tcPr>
          <w:p w14:paraId="713B762F" w14:textId="69BA42EA"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6,1</w:t>
            </w:r>
          </w:p>
        </w:tc>
        <w:tc>
          <w:tcPr>
            <w:tcW w:w="771" w:type="dxa"/>
            <w:noWrap/>
            <w:hideMark/>
          </w:tcPr>
          <w:p w14:paraId="1131E409" w14:textId="5FFDBFD3"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5,4</w:t>
            </w:r>
          </w:p>
        </w:tc>
      </w:tr>
      <w:tr w:rsidR="000D61BB" w:rsidRPr="000D61BB" w14:paraId="12F5A3C6" w14:textId="77777777" w:rsidTr="0071579E">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5014" w:type="dxa"/>
            <w:hideMark/>
          </w:tcPr>
          <w:p w14:paraId="76F90C24"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 xml:space="preserve">       Vecuma un priekšlaicīgās pensijas - uz iemaksām balstītās</w:t>
            </w:r>
          </w:p>
        </w:tc>
        <w:tc>
          <w:tcPr>
            <w:tcW w:w="771" w:type="dxa"/>
            <w:noWrap/>
            <w:hideMark/>
          </w:tcPr>
          <w:p w14:paraId="4B53BDAF" w14:textId="4C6E9EC0"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6,3</w:t>
            </w:r>
          </w:p>
        </w:tc>
        <w:tc>
          <w:tcPr>
            <w:tcW w:w="771" w:type="dxa"/>
            <w:noWrap/>
            <w:hideMark/>
          </w:tcPr>
          <w:p w14:paraId="66A0BF1C" w14:textId="38506D07"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6,2</w:t>
            </w:r>
          </w:p>
        </w:tc>
        <w:tc>
          <w:tcPr>
            <w:tcW w:w="771" w:type="dxa"/>
            <w:noWrap/>
            <w:hideMark/>
          </w:tcPr>
          <w:p w14:paraId="3FD07B86" w14:textId="65DFD2D4"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5,8</w:t>
            </w:r>
          </w:p>
        </w:tc>
        <w:tc>
          <w:tcPr>
            <w:tcW w:w="771" w:type="dxa"/>
            <w:noWrap/>
            <w:hideMark/>
          </w:tcPr>
          <w:p w14:paraId="3C1FA22A" w14:textId="06688AFC"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5,6</w:t>
            </w:r>
          </w:p>
        </w:tc>
        <w:tc>
          <w:tcPr>
            <w:tcW w:w="771" w:type="dxa"/>
            <w:noWrap/>
            <w:hideMark/>
          </w:tcPr>
          <w:p w14:paraId="249D00F9" w14:textId="28B80DB0"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5,5</w:t>
            </w:r>
          </w:p>
        </w:tc>
        <w:tc>
          <w:tcPr>
            <w:tcW w:w="771" w:type="dxa"/>
            <w:noWrap/>
            <w:hideMark/>
          </w:tcPr>
          <w:p w14:paraId="363B1086" w14:textId="52D14974"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4,7</w:t>
            </w:r>
          </w:p>
        </w:tc>
      </w:tr>
      <w:tr w:rsidR="000D61BB" w:rsidRPr="000D61BB" w14:paraId="1108583F" w14:textId="77777777" w:rsidTr="0071579E">
        <w:trPr>
          <w:trHeight w:val="397"/>
        </w:trPr>
        <w:tc>
          <w:tcPr>
            <w:cnfStyle w:val="001000000000" w:firstRow="0" w:lastRow="0" w:firstColumn="1" w:lastColumn="0" w:oddVBand="0" w:evenVBand="0" w:oddHBand="0" w:evenHBand="0" w:firstRowFirstColumn="0" w:firstRowLastColumn="0" w:lastRowFirstColumn="0" w:lastRowLastColumn="0"/>
            <w:tcW w:w="5014" w:type="dxa"/>
            <w:hideMark/>
          </w:tcPr>
          <w:p w14:paraId="74989428"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 xml:space="preserve">       Citas pensijas</w:t>
            </w:r>
            <w:r w:rsidRPr="000D61BB">
              <w:rPr>
                <w:rFonts w:eastAsia="Times New Roman" w:cs="Times New Roman"/>
                <w:b w:val="0"/>
                <w:bCs w:val="0"/>
                <w:color w:val="000000"/>
                <w:sz w:val="18"/>
                <w:szCs w:val="18"/>
                <w:lang w:eastAsia="lv-LV"/>
              </w:rPr>
              <w:br/>
              <w:t xml:space="preserve">       (t.sk. invaliditātes, apgādnieka zaudējuma gadījumā)</w:t>
            </w:r>
          </w:p>
        </w:tc>
        <w:tc>
          <w:tcPr>
            <w:tcW w:w="771" w:type="dxa"/>
            <w:noWrap/>
            <w:hideMark/>
          </w:tcPr>
          <w:p w14:paraId="1C78A956" w14:textId="74775436"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0,9</w:t>
            </w:r>
          </w:p>
        </w:tc>
        <w:tc>
          <w:tcPr>
            <w:tcW w:w="771" w:type="dxa"/>
            <w:noWrap/>
            <w:hideMark/>
          </w:tcPr>
          <w:p w14:paraId="5C0503CF" w14:textId="4925A259"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0,7</w:t>
            </w:r>
          </w:p>
        </w:tc>
        <w:tc>
          <w:tcPr>
            <w:tcW w:w="771" w:type="dxa"/>
            <w:noWrap/>
            <w:hideMark/>
          </w:tcPr>
          <w:p w14:paraId="4770058C" w14:textId="6B5031FE"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0,7</w:t>
            </w:r>
          </w:p>
        </w:tc>
        <w:tc>
          <w:tcPr>
            <w:tcW w:w="771" w:type="dxa"/>
            <w:noWrap/>
            <w:hideMark/>
          </w:tcPr>
          <w:p w14:paraId="2F91B489" w14:textId="11E27487"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0,7</w:t>
            </w:r>
          </w:p>
        </w:tc>
        <w:tc>
          <w:tcPr>
            <w:tcW w:w="771" w:type="dxa"/>
            <w:noWrap/>
            <w:hideMark/>
          </w:tcPr>
          <w:p w14:paraId="03C7BC19" w14:textId="209FC132"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0,6</w:t>
            </w:r>
          </w:p>
        </w:tc>
        <w:tc>
          <w:tcPr>
            <w:tcW w:w="771" w:type="dxa"/>
            <w:noWrap/>
            <w:hideMark/>
          </w:tcPr>
          <w:p w14:paraId="2087B3C5" w14:textId="029ACDFD"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0,7</w:t>
            </w:r>
          </w:p>
        </w:tc>
      </w:tr>
      <w:tr w:rsidR="000D61BB" w:rsidRPr="000D61BB" w14:paraId="76EE1B68" w14:textId="77777777" w:rsidTr="0071579E">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014" w:type="dxa"/>
            <w:hideMark/>
          </w:tcPr>
          <w:p w14:paraId="082E2DE6"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Ne-sociālās apdrošināšanas pensijas</w:t>
            </w:r>
            <w:r w:rsidRPr="000D61BB">
              <w:rPr>
                <w:rFonts w:eastAsia="Times New Roman" w:cs="Times New Roman"/>
                <w:b w:val="0"/>
                <w:bCs w:val="0"/>
                <w:color w:val="000000"/>
                <w:sz w:val="18"/>
                <w:szCs w:val="18"/>
                <w:lang w:eastAsia="lv-LV"/>
              </w:rPr>
              <w:br/>
              <w:t>(iesk. minimālās pensijas un minimālā ienākuma nodrošināšanu)</w:t>
            </w:r>
          </w:p>
        </w:tc>
        <w:tc>
          <w:tcPr>
            <w:tcW w:w="771" w:type="dxa"/>
            <w:noWrap/>
            <w:hideMark/>
          </w:tcPr>
          <w:p w14:paraId="6EA38F31" w14:textId="49EF8BC6"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0,01</w:t>
            </w:r>
          </w:p>
        </w:tc>
        <w:tc>
          <w:tcPr>
            <w:tcW w:w="771" w:type="dxa"/>
            <w:noWrap/>
            <w:hideMark/>
          </w:tcPr>
          <w:p w14:paraId="13B94550" w14:textId="65A5C85F"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0,01</w:t>
            </w:r>
          </w:p>
        </w:tc>
        <w:tc>
          <w:tcPr>
            <w:tcW w:w="771" w:type="dxa"/>
            <w:noWrap/>
            <w:hideMark/>
          </w:tcPr>
          <w:p w14:paraId="45A4C0F0" w14:textId="6668E475"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0,01</w:t>
            </w:r>
          </w:p>
        </w:tc>
        <w:tc>
          <w:tcPr>
            <w:tcW w:w="771" w:type="dxa"/>
            <w:noWrap/>
            <w:hideMark/>
          </w:tcPr>
          <w:p w14:paraId="5C8A9DD6" w14:textId="70D3CC4C"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0,02</w:t>
            </w:r>
          </w:p>
        </w:tc>
        <w:tc>
          <w:tcPr>
            <w:tcW w:w="771" w:type="dxa"/>
            <w:noWrap/>
            <w:hideMark/>
          </w:tcPr>
          <w:p w14:paraId="4CD6151A" w14:textId="35D86BF8"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0,02</w:t>
            </w:r>
          </w:p>
        </w:tc>
        <w:tc>
          <w:tcPr>
            <w:tcW w:w="771" w:type="dxa"/>
            <w:noWrap/>
            <w:hideMark/>
          </w:tcPr>
          <w:p w14:paraId="4BF451AC" w14:textId="49267A1D"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0,02</w:t>
            </w:r>
          </w:p>
        </w:tc>
      </w:tr>
      <w:tr w:rsidR="000D61BB" w:rsidRPr="000D61BB" w14:paraId="12C09E2D" w14:textId="77777777" w:rsidTr="0071579E">
        <w:trPr>
          <w:trHeight w:val="225"/>
        </w:trPr>
        <w:tc>
          <w:tcPr>
            <w:cnfStyle w:val="001000000000" w:firstRow="0" w:lastRow="0" w:firstColumn="1" w:lastColumn="0" w:oddVBand="0" w:evenVBand="0" w:oddHBand="0" w:evenHBand="0" w:firstRowFirstColumn="0" w:firstRowLastColumn="0" w:lastRowFirstColumn="0" w:lastRowLastColumn="0"/>
            <w:tcW w:w="5014" w:type="dxa"/>
            <w:hideMark/>
          </w:tcPr>
          <w:p w14:paraId="279E6283"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Veselības aprūpes izdevumi</w:t>
            </w:r>
          </w:p>
        </w:tc>
        <w:tc>
          <w:tcPr>
            <w:tcW w:w="771" w:type="dxa"/>
            <w:noWrap/>
            <w:hideMark/>
          </w:tcPr>
          <w:p w14:paraId="02360DA4" w14:textId="58AFA3D5"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6,0</w:t>
            </w:r>
          </w:p>
        </w:tc>
        <w:tc>
          <w:tcPr>
            <w:tcW w:w="771" w:type="dxa"/>
            <w:noWrap/>
            <w:hideMark/>
          </w:tcPr>
          <w:p w14:paraId="6EB5FC15" w14:textId="0D97B6B2"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5,4</w:t>
            </w:r>
          </w:p>
        </w:tc>
        <w:tc>
          <w:tcPr>
            <w:tcW w:w="771" w:type="dxa"/>
            <w:noWrap/>
            <w:hideMark/>
          </w:tcPr>
          <w:p w14:paraId="5694919D" w14:textId="481EDC9F"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5,6</w:t>
            </w:r>
          </w:p>
        </w:tc>
        <w:tc>
          <w:tcPr>
            <w:tcW w:w="771" w:type="dxa"/>
            <w:noWrap/>
            <w:hideMark/>
          </w:tcPr>
          <w:p w14:paraId="1CA318AB" w14:textId="751C2281"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5,8</w:t>
            </w:r>
          </w:p>
        </w:tc>
        <w:tc>
          <w:tcPr>
            <w:tcW w:w="771" w:type="dxa"/>
            <w:noWrap/>
            <w:hideMark/>
          </w:tcPr>
          <w:p w14:paraId="37F6096D" w14:textId="55F96F3D"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5,9</w:t>
            </w:r>
          </w:p>
        </w:tc>
        <w:tc>
          <w:tcPr>
            <w:tcW w:w="771" w:type="dxa"/>
            <w:noWrap/>
            <w:hideMark/>
          </w:tcPr>
          <w:p w14:paraId="74D46200" w14:textId="2FDF4F49"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5,8</w:t>
            </w:r>
          </w:p>
        </w:tc>
      </w:tr>
      <w:tr w:rsidR="000D61BB" w:rsidRPr="000D61BB" w14:paraId="217978B2" w14:textId="77777777" w:rsidTr="0071579E">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014" w:type="dxa"/>
            <w:hideMark/>
          </w:tcPr>
          <w:p w14:paraId="0280E7B6"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Ilglaicīgās aprūpes izdevumi</w:t>
            </w:r>
          </w:p>
        </w:tc>
        <w:tc>
          <w:tcPr>
            <w:tcW w:w="771" w:type="dxa"/>
            <w:noWrap/>
            <w:hideMark/>
          </w:tcPr>
          <w:p w14:paraId="2645EFE9" w14:textId="5AD118BA"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0,5</w:t>
            </w:r>
          </w:p>
        </w:tc>
        <w:tc>
          <w:tcPr>
            <w:tcW w:w="771" w:type="dxa"/>
            <w:noWrap/>
            <w:hideMark/>
          </w:tcPr>
          <w:p w14:paraId="6411795D" w14:textId="1D550BE0"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0,5</w:t>
            </w:r>
          </w:p>
        </w:tc>
        <w:tc>
          <w:tcPr>
            <w:tcW w:w="771" w:type="dxa"/>
            <w:noWrap/>
            <w:hideMark/>
          </w:tcPr>
          <w:p w14:paraId="0D69CCB7" w14:textId="5EF03441"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0,6</w:t>
            </w:r>
          </w:p>
        </w:tc>
        <w:tc>
          <w:tcPr>
            <w:tcW w:w="771" w:type="dxa"/>
            <w:noWrap/>
            <w:hideMark/>
          </w:tcPr>
          <w:p w14:paraId="2EDF397C" w14:textId="7B82EE3F"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0,7</w:t>
            </w:r>
          </w:p>
        </w:tc>
        <w:tc>
          <w:tcPr>
            <w:tcW w:w="771" w:type="dxa"/>
            <w:noWrap/>
            <w:hideMark/>
          </w:tcPr>
          <w:p w14:paraId="44AD1BF2" w14:textId="7BF9151A"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0,8</w:t>
            </w:r>
          </w:p>
        </w:tc>
        <w:tc>
          <w:tcPr>
            <w:tcW w:w="771" w:type="dxa"/>
            <w:noWrap/>
            <w:hideMark/>
          </w:tcPr>
          <w:p w14:paraId="4015DAD8" w14:textId="588FFDAB"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0,8</w:t>
            </w:r>
          </w:p>
        </w:tc>
      </w:tr>
      <w:tr w:rsidR="000D61BB" w:rsidRPr="000D61BB" w14:paraId="393CA14B" w14:textId="77777777" w:rsidTr="0071579E">
        <w:trPr>
          <w:trHeight w:val="175"/>
        </w:trPr>
        <w:tc>
          <w:tcPr>
            <w:cnfStyle w:val="001000000000" w:firstRow="0" w:lastRow="0" w:firstColumn="1" w:lastColumn="0" w:oddVBand="0" w:evenVBand="0" w:oddHBand="0" w:evenHBand="0" w:firstRowFirstColumn="0" w:firstRowLastColumn="0" w:lastRowFirstColumn="0" w:lastRowLastColumn="0"/>
            <w:tcW w:w="5014" w:type="dxa"/>
            <w:hideMark/>
          </w:tcPr>
          <w:p w14:paraId="4C18118A"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Izglītības izdevumi</w:t>
            </w:r>
          </w:p>
        </w:tc>
        <w:tc>
          <w:tcPr>
            <w:tcW w:w="771" w:type="dxa"/>
            <w:noWrap/>
            <w:hideMark/>
          </w:tcPr>
          <w:p w14:paraId="5265C2E8" w14:textId="49C1547A"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3,6</w:t>
            </w:r>
          </w:p>
        </w:tc>
        <w:tc>
          <w:tcPr>
            <w:tcW w:w="771" w:type="dxa"/>
            <w:noWrap/>
            <w:hideMark/>
          </w:tcPr>
          <w:p w14:paraId="24F32E14" w14:textId="63B62AA5"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3,6</w:t>
            </w:r>
          </w:p>
        </w:tc>
        <w:tc>
          <w:tcPr>
            <w:tcW w:w="771" w:type="dxa"/>
            <w:noWrap/>
            <w:hideMark/>
          </w:tcPr>
          <w:p w14:paraId="203B690B" w14:textId="28E2C8DF"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3,3</w:t>
            </w:r>
          </w:p>
        </w:tc>
        <w:tc>
          <w:tcPr>
            <w:tcW w:w="771" w:type="dxa"/>
            <w:noWrap/>
            <w:hideMark/>
          </w:tcPr>
          <w:p w14:paraId="2239922E" w14:textId="187D9C5D"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3,3</w:t>
            </w:r>
          </w:p>
        </w:tc>
        <w:tc>
          <w:tcPr>
            <w:tcW w:w="771" w:type="dxa"/>
            <w:noWrap/>
            <w:hideMark/>
          </w:tcPr>
          <w:p w14:paraId="15A9B79E" w14:textId="421DB662"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3,6</w:t>
            </w:r>
          </w:p>
        </w:tc>
        <w:tc>
          <w:tcPr>
            <w:tcW w:w="771" w:type="dxa"/>
            <w:noWrap/>
            <w:hideMark/>
          </w:tcPr>
          <w:p w14:paraId="2AF5F820" w14:textId="2DCA445A"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3,4</w:t>
            </w:r>
          </w:p>
        </w:tc>
      </w:tr>
      <w:tr w:rsidR="000D61BB" w:rsidRPr="000D61BB" w14:paraId="2C07D048" w14:textId="77777777" w:rsidTr="0071579E">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5014" w:type="dxa"/>
          </w:tcPr>
          <w:p w14:paraId="66048087"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Sociālās apdrošināšanas iemaksas valsts pensiju speciālajā budžetā</w:t>
            </w:r>
          </w:p>
        </w:tc>
        <w:tc>
          <w:tcPr>
            <w:tcW w:w="771" w:type="dxa"/>
            <w:noWrap/>
            <w:hideMark/>
          </w:tcPr>
          <w:p w14:paraId="55C3A36B" w14:textId="5FB3A45D"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7,9</w:t>
            </w:r>
          </w:p>
        </w:tc>
        <w:tc>
          <w:tcPr>
            <w:tcW w:w="771" w:type="dxa"/>
            <w:noWrap/>
            <w:hideMark/>
          </w:tcPr>
          <w:p w14:paraId="4D611AAF" w14:textId="1022DA4A"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7,3</w:t>
            </w:r>
          </w:p>
        </w:tc>
        <w:tc>
          <w:tcPr>
            <w:tcW w:w="771" w:type="dxa"/>
            <w:noWrap/>
            <w:hideMark/>
          </w:tcPr>
          <w:p w14:paraId="21498B1C" w14:textId="06D9494C"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7,2</w:t>
            </w:r>
          </w:p>
        </w:tc>
        <w:tc>
          <w:tcPr>
            <w:tcW w:w="771" w:type="dxa"/>
            <w:noWrap/>
            <w:hideMark/>
          </w:tcPr>
          <w:p w14:paraId="1D6A7B5A" w14:textId="47A8B5F3"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7,2</w:t>
            </w:r>
          </w:p>
        </w:tc>
        <w:tc>
          <w:tcPr>
            <w:tcW w:w="771" w:type="dxa"/>
            <w:noWrap/>
            <w:hideMark/>
          </w:tcPr>
          <w:p w14:paraId="190AFECB" w14:textId="2942B4C5"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7,2</w:t>
            </w:r>
          </w:p>
        </w:tc>
        <w:tc>
          <w:tcPr>
            <w:tcW w:w="771" w:type="dxa"/>
            <w:noWrap/>
            <w:hideMark/>
          </w:tcPr>
          <w:p w14:paraId="55DD7614" w14:textId="3026C943"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rFonts w:cs="Times New Roman"/>
                <w:color w:val="auto"/>
                <w:sz w:val="18"/>
                <w:szCs w:val="18"/>
              </w:rPr>
              <w:t>7,1</w:t>
            </w:r>
          </w:p>
        </w:tc>
      </w:tr>
      <w:tr w:rsidR="009A4CC3" w:rsidRPr="000D61BB" w14:paraId="79205D08" w14:textId="77777777" w:rsidTr="0071579E">
        <w:trPr>
          <w:trHeight w:val="270"/>
        </w:trPr>
        <w:tc>
          <w:tcPr>
            <w:cnfStyle w:val="001000000000" w:firstRow="0" w:lastRow="0" w:firstColumn="1" w:lastColumn="0" w:oddVBand="0" w:evenVBand="0" w:oddHBand="0" w:evenHBand="0" w:firstRowFirstColumn="0" w:firstRowLastColumn="0" w:lastRowFirstColumn="0" w:lastRowLastColumn="0"/>
            <w:tcW w:w="9640" w:type="dxa"/>
            <w:gridSpan w:val="7"/>
          </w:tcPr>
          <w:p w14:paraId="794F7AA1" w14:textId="1E587BC6" w:rsidR="009A4CC3" w:rsidRPr="000D61BB" w:rsidRDefault="009A4CC3" w:rsidP="0071579E">
            <w:pPr>
              <w:tabs>
                <w:tab w:val="decimal" w:pos="330"/>
              </w:tabs>
              <w:ind w:firstLine="0"/>
              <w:jc w:val="left"/>
              <w:rPr>
                <w:rFonts w:cs="Times New Roman"/>
                <w:sz w:val="18"/>
                <w:szCs w:val="18"/>
              </w:rPr>
            </w:pPr>
            <w:r w:rsidRPr="000D61BB">
              <w:rPr>
                <w:rFonts w:eastAsia="Times New Roman" w:cs="Times New Roman"/>
                <w:color w:val="000000"/>
                <w:sz w:val="18"/>
                <w:szCs w:val="18"/>
                <w:lang w:eastAsia="lv-LV"/>
              </w:rPr>
              <w:t>Sistēmiskas pensiju reformas</w:t>
            </w:r>
          </w:p>
        </w:tc>
      </w:tr>
      <w:tr w:rsidR="0071579E" w:rsidRPr="000D61BB" w14:paraId="3708D7FA" w14:textId="77777777" w:rsidTr="0071579E">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014" w:type="dxa"/>
            <w:hideMark/>
          </w:tcPr>
          <w:p w14:paraId="3CCB2B42"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 xml:space="preserve">Sociālās apdrošināšanas iemaksas valsts </w:t>
            </w:r>
            <w:proofErr w:type="spellStart"/>
            <w:r w:rsidRPr="000D61BB">
              <w:rPr>
                <w:rFonts w:eastAsia="Times New Roman" w:cs="Times New Roman"/>
                <w:b w:val="0"/>
                <w:bCs w:val="0"/>
                <w:color w:val="000000"/>
                <w:sz w:val="18"/>
                <w:szCs w:val="18"/>
                <w:lang w:eastAsia="lv-LV"/>
              </w:rPr>
              <w:t>fondēto</w:t>
            </w:r>
            <w:proofErr w:type="spellEnd"/>
            <w:r w:rsidRPr="000D61BB">
              <w:rPr>
                <w:rFonts w:eastAsia="Times New Roman" w:cs="Times New Roman"/>
                <w:b w:val="0"/>
                <w:bCs w:val="0"/>
                <w:color w:val="000000"/>
                <w:sz w:val="18"/>
                <w:szCs w:val="18"/>
                <w:lang w:eastAsia="lv-LV"/>
              </w:rPr>
              <w:t xml:space="preserve"> pensiju shēmā</w:t>
            </w:r>
          </w:p>
        </w:tc>
        <w:tc>
          <w:tcPr>
            <w:tcW w:w="771" w:type="dxa"/>
            <w:noWrap/>
            <w:hideMark/>
          </w:tcPr>
          <w:p w14:paraId="594754B9" w14:textId="792A993C"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1,8</w:t>
            </w:r>
          </w:p>
        </w:tc>
        <w:tc>
          <w:tcPr>
            <w:tcW w:w="771" w:type="dxa"/>
            <w:noWrap/>
            <w:hideMark/>
          </w:tcPr>
          <w:p w14:paraId="208A1D91" w14:textId="71BDBD66"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1,9</w:t>
            </w:r>
          </w:p>
        </w:tc>
        <w:tc>
          <w:tcPr>
            <w:tcW w:w="771" w:type="dxa"/>
            <w:noWrap/>
            <w:hideMark/>
          </w:tcPr>
          <w:p w14:paraId="6D9D0DC7" w14:textId="0CEF1D24"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1,9</w:t>
            </w:r>
          </w:p>
        </w:tc>
        <w:tc>
          <w:tcPr>
            <w:tcW w:w="771" w:type="dxa"/>
            <w:noWrap/>
            <w:hideMark/>
          </w:tcPr>
          <w:p w14:paraId="3D267DC9" w14:textId="738B34D5"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1,9</w:t>
            </w:r>
          </w:p>
        </w:tc>
        <w:tc>
          <w:tcPr>
            <w:tcW w:w="771" w:type="dxa"/>
            <w:noWrap/>
            <w:hideMark/>
          </w:tcPr>
          <w:p w14:paraId="08B4507B" w14:textId="6DE9C59A"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1,9</w:t>
            </w:r>
          </w:p>
        </w:tc>
        <w:tc>
          <w:tcPr>
            <w:tcW w:w="771" w:type="dxa"/>
            <w:noWrap/>
            <w:hideMark/>
          </w:tcPr>
          <w:p w14:paraId="0880249A" w14:textId="2DF7AD96"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1,9</w:t>
            </w:r>
          </w:p>
        </w:tc>
      </w:tr>
      <w:tr w:rsidR="000D61BB" w:rsidRPr="000D61BB" w14:paraId="7F9A98A4" w14:textId="77777777" w:rsidTr="0071579E">
        <w:trPr>
          <w:trHeight w:val="225"/>
        </w:trPr>
        <w:tc>
          <w:tcPr>
            <w:cnfStyle w:val="001000000000" w:firstRow="0" w:lastRow="0" w:firstColumn="1" w:lastColumn="0" w:oddVBand="0" w:evenVBand="0" w:oddHBand="0" w:evenHBand="0" w:firstRowFirstColumn="0" w:firstRowLastColumn="0" w:lastRowFirstColumn="0" w:lastRowLastColumn="0"/>
            <w:tcW w:w="5014" w:type="dxa"/>
            <w:hideMark/>
          </w:tcPr>
          <w:p w14:paraId="695255DA"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 xml:space="preserve">Pensiju izdevumi no valsts </w:t>
            </w:r>
            <w:proofErr w:type="spellStart"/>
            <w:r w:rsidRPr="000D61BB">
              <w:rPr>
                <w:rFonts w:eastAsia="Times New Roman" w:cs="Times New Roman"/>
                <w:b w:val="0"/>
                <w:bCs w:val="0"/>
                <w:color w:val="000000"/>
                <w:sz w:val="18"/>
                <w:szCs w:val="18"/>
                <w:lang w:eastAsia="lv-LV"/>
              </w:rPr>
              <w:t>fondēto</w:t>
            </w:r>
            <w:proofErr w:type="spellEnd"/>
            <w:r w:rsidRPr="000D61BB">
              <w:rPr>
                <w:rFonts w:eastAsia="Times New Roman" w:cs="Times New Roman"/>
                <w:b w:val="0"/>
                <w:bCs w:val="0"/>
                <w:color w:val="000000"/>
                <w:sz w:val="18"/>
                <w:szCs w:val="18"/>
                <w:lang w:eastAsia="lv-LV"/>
              </w:rPr>
              <w:t xml:space="preserve"> pensiju shēmas</w:t>
            </w:r>
          </w:p>
        </w:tc>
        <w:tc>
          <w:tcPr>
            <w:tcW w:w="771" w:type="dxa"/>
            <w:noWrap/>
            <w:hideMark/>
          </w:tcPr>
          <w:p w14:paraId="16B489B4" w14:textId="3B1281FE"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0,1</w:t>
            </w:r>
          </w:p>
        </w:tc>
        <w:tc>
          <w:tcPr>
            <w:tcW w:w="771" w:type="dxa"/>
            <w:noWrap/>
            <w:hideMark/>
          </w:tcPr>
          <w:p w14:paraId="27137B62" w14:textId="516FFEFA"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0,2</w:t>
            </w:r>
          </w:p>
        </w:tc>
        <w:tc>
          <w:tcPr>
            <w:tcW w:w="771" w:type="dxa"/>
            <w:noWrap/>
            <w:hideMark/>
          </w:tcPr>
          <w:p w14:paraId="317132E6" w14:textId="19B295AD"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0,5</w:t>
            </w:r>
          </w:p>
        </w:tc>
        <w:tc>
          <w:tcPr>
            <w:tcW w:w="771" w:type="dxa"/>
            <w:noWrap/>
            <w:hideMark/>
          </w:tcPr>
          <w:p w14:paraId="5EBA624B" w14:textId="65BA2C12"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1,2</w:t>
            </w:r>
          </w:p>
        </w:tc>
        <w:tc>
          <w:tcPr>
            <w:tcW w:w="771" w:type="dxa"/>
            <w:noWrap/>
            <w:hideMark/>
          </w:tcPr>
          <w:p w14:paraId="2F59AEB0" w14:textId="6693277E"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1,9</w:t>
            </w:r>
          </w:p>
        </w:tc>
        <w:tc>
          <w:tcPr>
            <w:tcW w:w="771" w:type="dxa"/>
            <w:noWrap/>
            <w:hideMark/>
          </w:tcPr>
          <w:p w14:paraId="1E8F6ECE" w14:textId="72FE187A"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2,2</w:t>
            </w:r>
          </w:p>
        </w:tc>
      </w:tr>
      <w:tr w:rsidR="009A4CC3" w:rsidRPr="000D61BB" w14:paraId="79EEF272" w14:textId="77777777" w:rsidTr="0071579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9640" w:type="dxa"/>
            <w:gridSpan w:val="7"/>
          </w:tcPr>
          <w:p w14:paraId="493E667F" w14:textId="435DC7C4" w:rsidR="009A4CC3" w:rsidRPr="000D61BB" w:rsidRDefault="009A4CC3" w:rsidP="0071579E">
            <w:pPr>
              <w:tabs>
                <w:tab w:val="decimal" w:pos="330"/>
              </w:tabs>
              <w:ind w:firstLine="0"/>
              <w:jc w:val="left"/>
              <w:rPr>
                <w:sz w:val="18"/>
                <w:szCs w:val="18"/>
              </w:rPr>
            </w:pPr>
            <w:r w:rsidRPr="000D61BB">
              <w:rPr>
                <w:rFonts w:eastAsia="Times New Roman" w:cs="Times New Roman"/>
                <w:color w:val="000000"/>
                <w:sz w:val="18"/>
                <w:szCs w:val="18"/>
                <w:lang w:eastAsia="lv-LV"/>
              </w:rPr>
              <w:t>Pieņēmumi</w:t>
            </w:r>
          </w:p>
        </w:tc>
      </w:tr>
      <w:tr w:rsidR="001531CE" w:rsidRPr="000D61BB" w14:paraId="2C0931E5" w14:textId="77777777" w:rsidTr="0071579E">
        <w:trPr>
          <w:trHeight w:val="261"/>
        </w:trPr>
        <w:tc>
          <w:tcPr>
            <w:cnfStyle w:val="001000000000" w:firstRow="0" w:lastRow="0" w:firstColumn="1" w:lastColumn="0" w:oddVBand="0" w:evenVBand="0" w:oddHBand="0" w:evenHBand="0" w:firstRowFirstColumn="0" w:firstRowLastColumn="0" w:lastRowFirstColumn="0" w:lastRowLastColumn="0"/>
            <w:tcW w:w="5014" w:type="dxa"/>
            <w:hideMark/>
          </w:tcPr>
          <w:p w14:paraId="779CB15D"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Darba produktivitātes (stundā) pieaugums, %</w:t>
            </w:r>
          </w:p>
        </w:tc>
        <w:tc>
          <w:tcPr>
            <w:tcW w:w="771" w:type="dxa"/>
            <w:noWrap/>
            <w:hideMark/>
          </w:tcPr>
          <w:p w14:paraId="514D2E73" w14:textId="43DE0231"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1,9</w:t>
            </w:r>
          </w:p>
        </w:tc>
        <w:tc>
          <w:tcPr>
            <w:tcW w:w="771" w:type="dxa"/>
            <w:noWrap/>
            <w:hideMark/>
          </w:tcPr>
          <w:p w14:paraId="18FBE0C0" w14:textId="1FEC7FDB"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3,1</w:t>
            </w:r>
          </w:p>
        </w:tc>
        <w:tc>
          <w:tcPr>
            <w:tcW w:w="771" w:type="dxa"/>
            <w:noWrap/>
            <w:hideMark/>
          </w:tcPr>
          <w:p w14:paraId="11E9D99B" w14:textId="29B69CB3"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2,2</w:t>
            </w:r>
          </w:p>
        </w:tc>
        <w:tc>
          <w:tcPr>
            <w:tcW w:w="771" w:type="dxa"/>
            <w:noWrap/>
            <w:hideMark/>
          </w:tcPr>
          <w:p w14:paraId="534DB718" w14:textId="4EDD6EA7"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2,0</w:t>
            </w:r>
          </w:p>
        </w:tc>
        <w:tc>
          <w:tcPr>
            <w:tcW w:w="771" w:type="dxa"/>
            <w:noWrap/>
            <w:hideMark/>
          </w:tcPr>
          <w:p w14:paraId="6775FEDD" w14:textId="0E4E153F"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1,6</w:t>
            </w:r>
          </w:p>
        </w:tc>
        <w:tc>
          <w:tcPr>
            <w:tcW w:w="771" w:type="dxa"/>
            <w:noWrap/>
            <w:hideMark/>
          </w:tcPr>
          <w:p w14:paraId="34BF5ABF" w14:textId="4AA5EBEB"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1,2</w:t>
            </w:r>
          </w:p>
        </w:tc>
      </w:tr>
      <w:tr w:rsidR="001531CE" w:rsidRPr="000D61BB" w14:paraId="728A592F" w14:textId="77777777" w:rsidTr="0071579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014" w:type="dxa"/>
            <w:hideMark/>
          </w:tcPr>
          <w:p w14:paraId="77CBF63B"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Potenciālā IKP pieaugums, % salīdzināmās cenās</w:t>
            </w:r>
          </w:p>
        </w:tc>
        <w:tc>
          <w:tcPr>
            <w:tcW w:w="771" w:type="dxa"/>
            <w:noWrap/>
            <w:hideMark/>
          </w:tcPr>
          <w:p w14:paraId="66B21FAE" w14:textId="0DB31AD8"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1,7</w:t>
            </w:r>
          </w:p>
        </w:tc>
        <w:tc>
          <w:tcPr>
            <w:tcW w:w="771" w:type="dxa"/>
            <w:noWrap/>
            <w:hideMark/>
          </w:tcPr>
          <w:p w14:paraId="5A7645ED" w14:textId="0E7FDA3A"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1,4</w:t>
            </w:r>
          </w:p>
        </w:tc>
        <w:tc>
          <w:tcPr>
            <w:tcW w:w="771" w:type="dxa"/>
            <w:noWrap/>
            <w:hideMark/>
          </w:tcPr>
          <w:p w14:paraId="06658EA3" w14:textId="098C5C20"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1,2</w:t>
            </w:r>
          </w:p>
        </w:tc>
        <w:tc>
          <w:tcPr>
            <w:tcW w:w="771" w:type="dxa"/>
            <w:noWrap/>
            <w:hideMark/>
          </w:tcPr>
          <w:p w14:paraId="011DA829" w14:textId="4A15F0C2"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0,4</w:t>
            </w:r>
          </w:p>
        </w:tc>
        <w:tc>
          <w:tcPr>
            <w:tcW w:w="771" w:type="dxa"/>
            <w:noWrap/>
            <w:hideMark/>
          </w:tcPr>
          <w:p w14:paraId="69C8CF0F" w14:textId="20719957"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0,9</w:t>
            </w:r>
          </w:p>
        </w:tc>
        <w:tc>
          <w:tcPr>
            <w:tcW w:w="771" w:type="dxa"/>
            <w:noWrap/>
            <w:hideMark/>
          </w:tcPr>
          <w:p w14:paraId="57BC6C0F" w14:textId="46BCDD59"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0,9</w:t>
            </w:r>
          </w:p>
        </w:tc>
      </w:tr>
      <w:tr w:rsidR="001531CE" w:rsidRPr="000D61BB" w14:paraId="34C5E5A2" w14:textId="77777777" w:rsidTr="0071579E">
        <w:trPr>
          <w:trHeight w:val="213"/>
        </w:trPr>
        <w:tc>
          <w:tcPr>
            <w:cnfStyle w:val="001000000000" w:firstRow="0" w:lastRow="0" w:firstColumn="1" w:lastColumn="0" w:oddVBand="0" w:evenVBand="0" w:oddHBand="0" w:evenHBand="0" w:firstRowFirstColumn="0" w:firstRowLastColumn="0" w:lastRowFirstColumn="0" w:lastRowLastColumn="0"/>
            <w:tcW w:w="5014" w:type="dxa"/>
            <w:hideMark/>
          </w:tcPr>
          <w:p w14:paraId="408C42D4"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Līdzdalības līmenis, vīrieši (vecuma grupa 20-64)</w:t>
            </w:r>
          </w:p>
        </w:tc>
        <w:tc>
          <w:tcPr>
            <w:tcW w:w="771" w:type="dxa"/>
            <w:noWrap/>
            <w:hideMark/>
          </w:tcPr>
          <w:p w14:paraId="5FECA870" w14:textId="33E15661"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85,6</w:t>
            </w:r>
          </w:p>
        </w:tc>
        <w:tc>
          <w:tcPr>
            <w:tcW w:w="771" w:type="dxa"/>
            <w:noWrap/>
            <w:hideMark/>
          </w:tcPr>
          <w:p w14:paraId="1506C055" w14:textId="47C60670"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86,0</w:t>
            </w:r>
          </w:p>
        </w:tc>
        <w:tc>
          <w:tcPr>
            <w:tcW w:w="771" w:type="dxa"/>
            <w:noWrap/>
            <w:hideMark/>
          </w:tcPr>
          <w:p w14:paraId="3F0D4915" w14:textId="60752CC0"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86,2</w:t>
            </w:r>
          </w:p>
        </w:tc>
        <w:tc>
          <w:tcPr>
            <w:tcW w:w="771" w:type="dxa"/>
            <w:noWrap/>
            <w:hideMark/>
          </w:tcPr>
          <w:p w14:paraId="7BB97A0D" w14:textId="3A1DED18"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86,0</w:t>
            </w:r>
          </w:p>
        </w:tc>
        <w:tc>
          <w:tcPr>
            <w:tcW w:w="771" w:type="dxa"/>
            <w:noWrap/>
            <w:hideMark/>
          </w:tcPr>
          <w:p w14:paraId="158C333F" w14:textId="6D96BD96"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87,1</w:t>
            </w:r>
          </w:p>
        </w:tc>
        <w:tc>
          <w:tcPr>
            <w:tcW w:w="771" w:type="dxa"/>
            <w:noWrap/>
            <w:hideMark/>
          </w:tcPr>
          <w:p w14:paraId="3E96A85E" w14:textId="0E082F18"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86,3</w:t>
            </w:r>
          </w:p>
        </w:tc>
      </w:tr>
      <w:tr w:rsidR="001531CE" w:rsidRPr="000D61BB" w14:paraId="30D64612" w14:textId="77777777" w:rsidTr="0071579E">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5014" w:type="dxa"/>
            <w:hideMark/>
          </w:tcPr>
          <w:p w14:paraId="27073645"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Līdzdalības līmenis, sievietes (vecuma grupa 20-64)</w:t>
            </w:r>
          </w:p>
        </w:tc>
        <w:tc>
          <w:tcPr>
            <w:tcW w:w="771" w:type="dxa"/>
            <w:noWrap/>
            <w:hideMark/>
          </w:tcPr>
          <w:p w14:paraId="5AB9B44E" w14:textId="7BDDAD88"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79,9</w:t>
            </w:r>
          </w:p>
        </w:tc>
        <w:tc>
          <w:tcPr>
            <w:tcW w:w="771" w:type="dxa"/>
            <w:noWrap/>
            <w:hideMark/>
          </w:tcPr>
          <w:p w14:paraId="2146F9DE" w14:textId="650EDFD5"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79,4</w:t>
            </w:r>
          </w:p>
        </w:tc>
        <w:tc>
          <w:tcPr>
            <w:tcW w:w="771" w:type="dxa"/>
            <w:noWrap/>
            <w:hideMark/>
          </w:tcPr>
          <w:p w14:paraId="3AEC71D8" w14:textId="5953568E"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79,0</w:t>
            </w:r>
          </w:p>
        </w:tc>
        <w:tc>
          <w:tcPr>
            <w:tcW w:w="771" w:type="dxa"/>
            <w:noWrap/>
            <w:hideMark/>
          </w:tcPr>
          <w:p w14:paraId="1BD84E27" w14:textId="59923310"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79,4</w:t>
            </w:r>
          </w:p>
        </w:tc>
        <w:tc>
          <w:tcPr>
            <w:tcW w:w="771" w:type="dxa"/>
            <w:noWrap/>
            <w:hideMark/>
          </w:tcPr>
          <w:p w14:paraId="543AEA1C" w14:textId="052FB2B0"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80,8</w:t>
            </w:r>
          </w:p>
        </w:tc>
        <w:tc>
          <w:tcPr>
            <w:tcW w:w="771" w:type="dxa"/>
            <w:noWrap/>
            <w:hideMark/>
          </w:tcPr>
          <w:p w14:paraId="733419FF" w14:textId="5A0933AE"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80,0</w:t>
            </w:r>
          </w:p>
        </w:tc>
      </w:tr>
      <w:tr w:rsidR="001531CE" w:rsidRPr="000D61BB" w14:paraId="0F206620" w14:textId="77777777" w:rsidTr="0071579E">
        <w:trPr>
          <w:trHeight w:val="293"/>
        </w:trPr>
        <w:tc>
          <w:tcPr>
            <w:cnfStyle w:val="001000000000" w:firstRow="0" w:lastRow="0" w:firstColumn="1" w:lastColumn="0" w:oddVBand="0" w:evenVBand="0" w:oddHBand="0" w:evenHBand="0" w:firstRowFirstColumn="0" w:firstRowLastColumn="0" w:lastRowFirstColumn="0" w:lastRowLastColumn="0"/>
            <w:tcW w:w="5014" w:type="dxa"/>
            <w:hideMark/>
          </w:tcPr>
          <w:p w14:paraId="274AF2E3"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Līdzdalības līmenis, kopā (vecuma grupa 20-64)</w:t>
            </w:r>
          </w:p>
        </w:tc>
        <w:tc>
          <w:tcPr>
            <w:tcW w:w="771" w:type="dxa"/>
            <w:noWrap/>
            <w:hideMark/>
          </w:tcPr>
          <w:p w14:paraId="0154B9D9" w14:textId="4C293B64"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82,7</w:t>
            </w:r>
          </w:p>
        </w:tc>
        <w:tc>
          <w:tcPr>
            <w:tcW w:w="771" w:type="dxa"/>
            <w:noWrap/>
            <w:hideMark/>
          </w:tcPr>
          <w:p w14:paraId="2A6A62F8" w14:textId="559DAE6A"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82,7</w:t>
            </w:r>
          </w:p>
        </w:tc>
        <w:tc>
          <w:tcPr>
            <w:tcW w:w="771" w:type="dxa"/>
            <w:noWrap/>
            <w:hideMark/>
          </w:tcPr>
          <w:p w14:paraId="4E639338" w14:textId="30A9E47C"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82,7</w:t>
            </w:r>
          </w:p>
        </w:tc>
        <w:tc>
          <w:tcPr>
            <w:tcW w:w="771" w:type="dxa"/>
            <w:noWrap/>
            <w:hideMark/>
          </w:tcPr>
          <w:p w14:paraId="5D13A97D" w14:textId="59E8C6B6"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82,8</w:t>
            </w:r>
          </w:p>
        </w:tc>
        <w:tc>
          <w:tcPr>
            <w:tcW w:w="771" w:type="dxa"/>
            <w:noWrap/>
            <w:hideMark/>
          </w:tcPr>
          <w:p w14:paraId="565A1659" w14:textId="1B27B7EF"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84,1</w:t>
            </w:r>
          </w:p>
        </w:tc>
        <w:tc>
          <w:tcPr>
            <w:tcW w:w="771" w:type="dxa"/>
            <w:noWrap/>
            <w:hideMark/>
          </w:tcPr>
          <w:p w14:paraId="59182A6C" w14:textId="5D8893E9"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83,3</w:t>
            </w:r>
          </w:p>
        </w:tc>
      </w:tr>
      <w:tr w:rsidR="001531CE" w:rsidRPr="000D61BB" w14:paraId="78EDE7C1" w14:textId="77777777" w:rsidTr="0071579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014" w:type="dxa"/>
            <w:hideMark/>
          </w:tcPr>
          <w:p w14:paraId="68FA9AE3"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Bezdarba līmenis (vecuma grupa 20-64)</w:t>
            </w:r>
          </w:p>
        </w:tc>
        <w:tc>
          <w:tcPr>
            <w:tcW w:w="771" w:type="dxa"/>
            <w:noWrap/>
            <w:hideMark/>
          </w:tcPr>
          <w:p w14:paraId="7114D852" w14:textId="04BE60F0"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6,9</w:t>
            </w:r>
          </w:p>
        </w:tc>
        <w:tc>
          <w:tcPr>
            <w:tcW w:w="771" w:type="dxa"/>
            <w:noWrap/>
            <w:hideMark/>
          </w:tcPr>
          <w:p w14:paraId="47BBA42B" w14:textId="1B7D8C87"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6,8</w:t>
            </w:r>
          </w:p>
        </w:tc>
        <w:tc>
          <w:tcPr>
            <w:tcW w:w="771" w:type="dxa"/>
            <w:noWrap/>
            <w:hideMark/>
          </w:tcPr>
          <w:p w14:paraId="0495F27F" w14:textId="14B5F258"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6,9</w:t>
            </w:r>
          </w:p>
        </w:tc>
        <w:tc>
          <w:tcPr>
            <w:tcW w:w="771" w:type="dxa"/>
            <w:noWrap/>
            <w:hideMark/>
          </w:tcPr>
          <w:p w14:paraId="0784A2B2" w14:textId="6FAE00BB"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6,5</w:t>
            </w:r>
          </w:p>
        </w:tc>
        <w:tc>
          <w:tcPr>
            <w:tcW w:w="771" w:type="dxa"/>
            <w:noWrap/>
            <w:hideMark/>
          </w:tcPr>
          <w:p w14:paraId="06622EC1" w14:textId="32C0BDD0"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6,4</w:t>
            </w:r>
          </w:p>
        </w:tc>
        <w:tc>
          <w:tcPr>
            <w:tcW w:w="771" w:type="dxa"/>
            <w:noWrap/>
            <w:hideMark/>
          </w:tcPr>
          <w:p w14:paraId="7FA85C67" w14:textId="2B3C9C84" w:rsidR="000D61BB" w:rsidRPr="000D61BB" w:rsidRDefault="000D61BB" w:rsidP="0071579E">
            <w:pPr>
              <w:tabs>
                <w:tab w:val="decimal" w:pos="330"/>
              </w:tabs>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D61BB">
              <w:rPr>
                <w:color w:val="auto"/>
                <w:sz w:val="18"/>
                <w:szCs w:val="18"/>
              </w:rPr>
              <w:t>6,5</w:t>
            </w:r>
          </w:p>
        </w:tc>
      </w:tr>
      <w:tr w:rsidR="001531CE" w:rsidRPr="00874664" w14:paraId="3795E02E" w14:textId="77777777" w:rsidTr="0071579E">
        <w:trPr>
          <w:trHeight w:val="245"/>
        </w:trPr>
        <w:tc>
          <w:tcPr>
            <w:cnfStyle w:val="001000000000" w:firstRow="0" w:lastRow="0" w:firstColumn="1" w:lastColumn="0" w:oddVBand="0" w:evenVBand="0" w:oddHBand="0" w:evenHBand="0" w:firstRowFirstColumn="0" w:firstRowLastColumn="0" w:lastRowFirstColumn="0" w:lastRowLastColumn="0"/>
            <w:tcW w:w="5014" w:type="dxa"/>
            <w:hideMark/>
          </w:tcPr>
          <w:p w14:paraId="59E0DF8E" w14:textId="77777777" w:rsidR="000D61BB" w:rsidRPr="000D61BB" w:rsidRDefault="000D61BB" w:rsidP="000D61BB">
            <w:pPr>
              <w:ind w:firstLine="0"/>
              <w:jc w:val="left"/>
              <w:rPr>
                <w:rFonts w:eastAsia="Times New Roman" w:cs="Times New Roman"/>
                <w:b w:val="0"/>
                <w:bCs w:val="0"/>
                <w:color w:val="000000"/>
                <w:sz w:val="18"/>
                <w:szCs w:val="18"/>
                <w:lang w:eastAsia="lv-LV"/>
              </w:rPr>
            </w:pPr>
            <w:r w:rsidRPr="000D61BB">
              <w:rPr>
                <w:rFonts w:eastAsia="Times New Roman" w:cs="Times New Roman"/>
                <w:b w:val="0"/>
                <w:bCs w:val="0"/>
                <w:color w:val="000000"/>
                <w:sz w:val="18"/>
                <w:szCs w:val="18"/>
                <w:lang w:eastAsia="lv-LV"/>
              </w:rPr>
              <w:t>Iedzīvotāji (vecuma grupa 65+), % no kopējā iedzīvotāju skaita</w:t>
            </w:r>
          </w:p>
        </w:tc>
        <w:tc>
          <w:tcPr>
            <w:tcW w:w="771" w:type="dxa"/>
            <w:noWrap/>
            <w:hideMark/>
          </w:tcPr>
          <w:p w14:paraId="22ED41F3" w14:textId="5FC7535B"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22,8</w:t>
            </w:r>
          </w:p>
        </w:tc>
        <w:tc>
          <w:tcPr>
            <w:tcW w:w="771" w:type="dxa"/>
            <w:noWrap/>
            <w:hideMark/>
          </w:tcPr>
          <w:p w14:paraId="0307C852" w14:textId="2FB1EA0A"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10,8</w:t>
            </w:r>
          </w:p>
        </w:tc>
        <w:tc>
          <w:tcPr>
            <w:tcW w:w="771" w:type="dxa"/>
            <w:noWrap/>
            <w:hideMark/>
          </w:tcPr>
          <w:p w14:paraId="5C9C9860" w14:textId="72E143EB"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11,0</w:t>
            </w:r>
          </w:p>
        </w:tc>
        <w:tc>
          <w:tcPr>
            <w:tcW w:w="771" w:type="dxa"/>
            <w:noWrap/>
            <w:hideMark/>
          </w:tcPr>
          <w:p w14:paraId="7E8E899E" w14:textId="22816B03"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11,1</w:t>
            </w:r>
          </w:p>
        </w:tc>
        <w:tc>
          <w:tcPr>
            <w:tcW w:w="771" w:type="dxa"/>
            <w:noWrap/>
            <w:hideMark/>
          </w:tcPr>
          <w:p w14:paraId="3D427513" w14:textId="5F5F4CD9"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9,8</w:t>
            </w:r>
          </w:p>
        </w:tc>
        <w:tc>
          <w:tcPr>
            <w:tcW w:w="771" w:type="dxa"/>
            <w:noWrap/>
            <w:hideMark/>
          </w:tcPr>
          <w:p w14:paraId="39922B5A" w14:textId="2B921B79" w:rsidR="000D61BB" w:rsidRPr="000D61BB" w:rsidRDefault="000D61BB" w:rsidP="0071579E">
            <w:pPr>
              <w:tabs>
                <w:tab w:val="decimal" w:pos="330"/>
              </w:tabs>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D61BB">
              <w:rPr>
                <w:color w:val="auto"/>
                <w:sz w:val="18"/>
                <w:szCs w:val="18"/>
              </w:rPr>
              <w:t>11,1</w:t>
            </w:r>
          </w:p>
        </w:tc>
      </w:tr>
    </w:tbl>
    <w:p w14:paraId="0BC61F4E" w14:textId="36FA0D9F" w:rsidR="000F4627" w:rsidRPr="00874664" w:rsidRDefault="000F4627" w:rsidP="000F4627">
      <w:pPr>
        <w:ind w:firstLine="0"/>
        <w:rPr>
          <w:rFonts w:eastAsia="Times New Roman" w:cs="Times New Roman"/>
          <w:b/>
          <w:bCs/>
          <w:color w:val="000000"/>
          <w:sz w:val="24"/>
          <w:szCs w:val="24"/>
          <w:highlight w:val="lightGray"/>
          <w:lang w:eastAsia="lv-LV"/>
        </w:rPr>
      </w:pPr>
    </w:p>
    <w:p w14:paraId="2111FD98" w14:textId="18400E4F" w:rsidR="00B33505" w:rsidRPr="00A74BF0" w:rsidRDefault="00B33505" w:rsidP="005346E4">
      <w:pPr>
        <w:spacing w:after="120"/>
        <w:ind w:firstLine="0"/>
        <w:rPr>
          <w:lang w:eastAsia="lv-LV"/>
        </w:rPr>
      </w:pPr>
      <w:r w:rsidRPr="00A74BF0">
        <w:rPr>
          <w:b/>
          <w:bCs/>
          <w:sz w:val="24"/>
          <w:szCs w:val="20"/>
          <w:lang w:eastAsia="lv-LV"/>
        </w:rPr>
        <w:t>7</w:t>
      </w:r>
      <w:r w:rsidR="00ED46FF" w:rsidRPr="00A74BF0">
        <w:rPr>
          <w:b/>
          <w:bCs/>
          <w:sz w:val="24"/>
          <w:szCs w:val="20"/>
          <w:lang w:eastAsia="lv-LV"/>
        </w:rPr>
        <w:t>.</w:t>
      </w:r>
      <w:r w:rsidRPr="00A74BF0">
        <w:rPr>
          <w:b/>
          <w:bCs/>
          <w:sz w:val="24"/>
          <w:szCs w:val="20"/>
          <w:lang w:eastAsia="lv-LV"/>
        </w:rPr>
        <w:t>a. Netiešās saistības</w:t>
      </w:r>
    </w:p>
    <w:tbl>
      <w:tblPr>
        <w:tblW w:w="0" w:type="auto"/>
        <w:tblInd w:w="-4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000" w:firstRow="0" w:lastRow="0" w:firstColumn="0" w:lastColumn="0" w:noHBand="0" w:noVBand="0"/>
      </w:tblPr>
      <w:tblGrid>
        <w:gridCol w:w="3583"/>
        <w:gridCol w:w="1123"/>
      </w:tblGrid>
      <w:tr w:rsidR="00B33505" w:rsidRPr="00A74BF0" w14:paraId="490E9875" w14:textId="77777777" w:rsidTr="007C75DF">
        <w:trPr>
          <w:trHeight w:val="295"/>
        </w:trPr>
        <w:tc>
          <w:tcPr>
            <w:tcW w:w="3583" w:type="dxa"/>
            <w:shd w:val="clear" w:color="auto" w:fill="DEEAF6" w:themeFill="accent1" w:themeFillTint="33"/>
          </w:tcPr>
          <w:p w14:paraId="30BE97D6" w14:textId="77777777" w:rsidR="00B33505" w:rsidRPr="00A74BF0" w:rsidRDefault="00B33505" w:rsidP="00B33505">
            <w:pPr>
              <w:autoSpaceDE w:val="0"/>
              <w:autoSpaceDN w:val="0"/>
              <w:adjustRightInd w:val="0"/>
              <w:ind w:firstLine="0"/>
              <w:jc w:val="left"/>
              <w:rPr>
                <w:rFonts w:eastAsiaTheme="minorHAnsi" w:cs="Times New Roman"/>
                <w:color w:val="000000"/>
                <w:sz w:val="18"/>
                <w:szCs w:val="18"/>
              </w:rPr>
            </w:pPr>
            <w:r w:rsidRPr="00A74BF0">
              <w:rPr>
                <w:rFonts w:eastAsiaTheme="minorHAnsi" w:cs="Times New Roman"/>
                <w:color w:val="000000"/>
                <w:sz w:val="18"/>
                <w:szCs w:val="18"/>
              </w:rPr>
              <w:t>% no IKP</w:t>
            </w:r>
          </w:p>
        </w:tc>
        <w:tc>
          <w:tcPr>
            <w:tcW w:w="1123" w:type="dxa"/>
            <w:shd w:val="clear" w:color="auto" w:fill="DEEAF6" w:themeFill="accent1" w:themeFillTint="33"/>
          </w:tcPr>
          <w:p w14:paraId="1AD3C3E3" w14:textId="67DCFCB0" w:rsidR="00B33505" w:rsidRPr="00A74BF0" w:rsidRDefault="00B33505" w:rsidP="00B33505">
            <w:pPr>
              <w:autoSpaceDE w:val="0"/>
              <w:autoSpaceDN w:val="0"/>
              <w:adjustRightInd w:val="0"/>
              <w:ind w:firstLine="0"/>
              <w:jc w:val="center"/>
              <w:rPr>
                <w:rFonts w:eastAsiaTheme="minorHAnsi" w:cs="Times New Roman"/>
                <w:b/>
                <w:bCs/>
                <w:color w:val="000000"/>
                <w:sz w:val="18"/>
                <w:szCs w:val="18"/>
              </w:rPr>
            </w:pPr>
            <w:r w:rsidRPr="00A74BF0">
              <w:rPr>
                <w:rFonts w:eastAsiaTheme="minorHAnsi" w:cs="Times New Roman"/>
                <w:b/>
                <w:bCs/>
                <w:color w:val="000000"/>
                <w:sz w:val="18"/>
                <w:szCs w:val="18"/>
              </w:rPr>
              <w:t>202</w:t>
            </w:r>
            <w:r w:rsidR="00A74BF0" w:rsidRPr="00A74BF0">
              <w:rPr>
                <w:rFonts w:eastAsiaTheme="minorHAnsi" w:cs="Times New Roman"/>
                <w:b/>
                <w:bCs/>
                <w:color w:val="000000"/>
                <w:sz w:val="18"/>
                <w:szCs w:val="18"/>
              </w:rPr>
              <w:t>3</w:t>
            </w:r>
          </w:p>
        </w:tc>
      </w:tr>
      <w:tr w:rsidR="00B33505" w:rsidRPr="00874664" w14:paraId="029AED9D" w14:textId="77777777" w:rsidTr="007C75DF">
        <w:trPr>
          <w:trHeight w:val="314"/>
        </w:trPr>
        <w:tc>
          <w:tcPr>
            <w:tcW w:w="3583" w:type="dxa"/>
          </w:tcPr>
          <w:p w14:paraId="5924D050" w14:textId="77777777" w:rsidR="00B33505" w:rsidRPr="00A74BF0" w:rsidRDefault="00B33505" w:rsidP="00B33505">
            <w:pPr>
              <w:autoSpaceDE w:val="0"/>
              <w:autoSpaceDN w:val="0"/>
              <w:adjustRightInd w:val="0"/>
              <w:ind w:firstLine="0"/>
              <w:jc w:val="left"/>
              <w:rPr>
                <w:rFonts w:eastAsiaTheme="minorHAnsi" w:cs="Times New Roman"/>
                <w:b/>
                <w:bCs/>
                <w:color w:val="000000"/>
                <w:sz w:val="18"/>
                <w:szCs w:val="18"/>
              </w:rPr>
            </w:pPr>
            <w:r w:rsidRPr="00A74BF0">
              <w:rPr>
                <w:rFonts w:eastAsiaTheme="minorHAnsi" w:cs="Times New Roman"/>
                <w:b/>
                <w:bCs/>
                <w:color w:val="000000"/>
                <w:sz w:val="18"/>
                <w:szCs w:val="18"/>
              </w:rPr>
              <w:t>Valsts un pašvaldību garantijas</w:t>
            </w:r>
          </w:p>
        </w:tc>
        <w:tc>
          <w:tcPr>
            <w:tcW w:w="1123" w:type="dxa"/>
          </w:tcPr>
          <w:p w14:paraId="745882B2" w14:textId="5D041F95" w:rsidR="00B33505" w:rsidRPr="00A74BF0" w:rsidRDefault="00BA0D91" w:rsidP="00B33505">
            <w:pPr>
              <w:autoSpaceDE w:val="0"/>
              <w:autoSpaceDN w:val="0"/>
              <w:adjustRightInd w:val="0"/>
              <w:ind w:firstLine="0"/>
              <w:jc w:val="center"/>
              <w:rPr>
                <w:rFonts w:eastAsiaTheme="minorHAnsi" w:cs="Times New Roman"/>
                <w:b/>
                <w:bCs/>
                <w:color w:val="000000"/>
                <w:sz w:val="18"/>
                <w:szCs w:val="18"/>
              </w:rPr>
            </w:pPr>
            <w:r w:rsidRPr="00A74BF0">
              <w:rPr>
                <w:rFonts w:eastAsiaTheme="minorHAnsi" w:cs="Times New Roman"/>
                <w:b/>
                <w:bCs/>
                <w:color w:val="000000"/>
                <w:sz w:val="18"/>
                <w:szCs w:val="18"/>
              </w:rPr>
              <w:t>1,</w:t>
            </w:r>
            <w:r w:rsidR="00A74BF0" w:rsidRPr="00A74BF0">
              <w:rPr>
                <w:rFonts w:eastAsiaTheme="minorHAnsi" w:cs="Times New Roman"/>
                <w:b/>
                <w:bCs/>
                <w:color w:val="000000"/>
                <w:sz w:val="18"/>
                <w:szCs w:val="18"/>
              </w:rPr>
              <w:t>4</w:t>
            </w:r>
          </w:p>
        </w:tc>
      </w:tr>
    </w:tbl>
    <w:p w14:paraId="10B897D2" w14:textId="77777777" w:rsidR="008C58EA" w:rsidRDefault="008C58EA" w:rsidP="00BF4753">
      <w:pPr>
        <w:rPr>
          <w:highlight w:val="lightGray"/>
          <w:lang w:eastAsia="lv-LV"/>
        </w:rPr>
      </w:pPr>
    </w:p>
    <w:p w14:paraId="675DCA3A" w14:textId="77777777" w:rsidR="00786AC7" w:rsidRPr="00874664" w:rsidRDefault="00786AC7" w:rsidP="00BF4753">
      <w:pPr>
        <w:rPr>
          <w:highlight w:val="lightGray"/>
          <w:lang w:eastAsia="lv-LV"/>
        </w:rPr>
      </w:pPr>
    </w:p>
    <w:p w14:paraId="573CAE95" w14:textId="77777777" w:rsidR="00C8305B" w:rsidRDefault="00C8305B" w:rsidP="00EC23E4">
      <w:pPr>
        <w:pStyle w:val="T"/>
        <w:ind w:left="0" w:firstLine="0"/>
        <w:rPr>
          <w:rFonts w:ascii="Times New Roman" w:eastAsiaTheme="minorHAnsi" w:hAnsi="Times New Roman"/>
          <w:color w:val="000000"/>
        </w:rPr>
      </w:pPr>
      <w:r>
        <w:rPr>
          <w:rFonts w:ascii="Times New Roman" w:hAnsi="Times New Roman"/>
          <w:color w:val="000000"/>
        </w:rPr>
        <w:lastRenderedPageBreak/>
        <w:t>8.tabula. Ārējās vides pamata pieņēmumi</w:t>
      </w:r>
      <w:r>
        <w:rPr>
          <w:rFonts w:ascii="Times New Roman" w:hAnsi="Times New Roman"/>
          <w:color w:val="000000"/>
          <w:sz w:val="20"/>
          <w:vertAlign w:val="superscript"/>
        </w:rPr>
        <w:t>*</w:t>
      </w:r>
    </w:p>
    <w:tbl>
      <w:tblPr>
        <w:tblW w:w="9093" w:type="dxa"/>
        <w:tblLayout w:type="fixed"/>
        <w:tblCellMar>
          <w:left w:w="0" w:type="dxa"/>
          <w:right w:w="0" w:type="dxa"/>
        </w:tblCellMar>
        <w:tblLook w:val="04A0" w:firstRow="1" w:lastRow="0" w:firstColumn="1" w:lastColumn="0" w:noHBand="0" w:noVBand="1"/>
      </w:tblPr>
      <w:tblGrid>
        <w:gridCol w:w="4668"/>
        <w:gridCol w:w="737"/>
        <w:gridCol w:w="737"/>
        <w:gridCol w:w="738"/>
        <w:gridCol w:w="737"/>
        <w:gridCol w:w="738"/>
        <w:gridCol w:w="738"/>
      </w:tblGrid>
      <w:tr w:rsidR="00C8305B" w14:paraId="2440329A" w14:textId="77777777" w:rsidTr="00B312F7">
        <w:trPr>
          <w:trHeight w:val="315"/>
        </w:trPr>
        <w:tc>
          <w:tcPr>
            <w:tcW w:w="4668" w:type="dxa"/>
            <w:tcBorders>
              <w:top w:val="single" w:sz="8" w:space="0" w:color="9CC2E5"/>
              <w:left w:val="single" w:sz="8" w:space="0" w:color="9CC2E5"/>
              <w:bottom w:val="single" w:sz="8" w:space="0" w:color="9CC2E5"/>
              <w:right w:val="single" w:sz="8" w:space="0" w:color="9CC2E5"/>
            </w:tcBorders>
            <w:tcMar>
              <w:top w:w="0" w:type="dxa"/>
              <w:left w:w="108" w:type="dxa"/>
              <w:bottom w:w="0" w:type="dxa"/>
              <w:right w:w="108" w:type="dxa"/>
            </w:tcMar>
            <w:vAlign w:val="center"/>
            <w:hideMark/>
          </w:tcPr>
          <w:p w14:paraId="4E0271C1" w14:textId="77777777" w:rsidR="00C8305B" w:rsidRDefault="00C8305B" w:rsidP="00B312F7">
            <w:pPr>
              <w:rPr>
                <w:rFonts w:cs="Times New Roman"/>
                <w:b/>
                <w:bCs/>
                <w:sz w:val="20"/>
                <w:szCs w:val="20"/>
                <w:lang w:eastAsia="lv-LV"/>
              </w:rPr>
            </w:pPr>
            <w:r>
              <w:rPr>
                <w:rFonts w:cs="Times New Roman"/>
                <w:b/>
                <w:bCs/>
                <w:sz w:val="20"/>
                <w:szCs w:val="20"/>
                <w:lang w:eastAsia="lv-LV"/>
              </w:rPr>
              <w:t> </w:t>
            </w:r>
          </w:p>
        </w:tc>
        <w:tc>
          <w:tcPr>
            <w:tcW w:w="737" w:type="dxa"/>
            <w:tcBorders>
              <w:top w:val="single" w:sz="8" w:space="0" w:color="9CC2E5"/>
              <w:left w:val="nil"/>
              <w:bottom w:val="single" w:sz="12" w:space="0" w:color="9CC2E5"/>
              <w:right w:val="single" w:sz="8" w:space="0" w:color="9CC2E5"/>
            </w:tcBorders>
            <w:tcMar>
              <w:top w:w="0" w:type="dxa"/>
              <w:left w:w="108" w:type="dxa"/>
              <w:bottom w:w="0" w:type="dxa"/>
              <w:right w:w="108" w:type="dxa"/>
            </w:tcMar>
            <w:vAlign w:val="center"/>
            <w:hideMark/>
          </w:tcPr>
          <w:p w14:paraId="4ED2DAF8" w14:textId="77777777" w:rsidR="00C8305B" w:rsidRDefault="00C8305B" w:rsidP="00B312F7">
            <w:pPr>
              <w:ind w:firstLine="0"/>
              <w:jc w:val="center"/>
              <w:rPr>
                <w:rFonts w:cs="Times New Roman"/>
                <w:b/>
                <w:bCs/>
                <w:sz w:val="20"/>
                <w:szCs w:val="20"/>
                <w:lang w:eastAsia="lv-LV"/>
              </w:rPr>
            </w:pPr>
            <w:r>
              <w:rPr>
                <w:b/>
                <w:bCs/>
                <w:color w:val="000000"/>
                <w:sz w:val="18"/>
                <w:szCs w:val="18"/>
              </w:rPr>
              <w:t>2023</w:t>
            </w:r>
          </w:p>
        </w:tc>
        <w:tc>
          <w:tcPr>
            <w:tcW w:w="737" w:type="dxa"/>
            <w:tcBorders>
              <w:top w:val="single" w:sz="8" w:space="0" w:color="9CC2E5"/>
              <w:left w:val="nil"/>
              <w:bottom w:val="single" w:sz="12" w:space="0" w:color="9CC2E5"/>
              <w:right w:val="single" w:sz="8" w:space="0" w:color="9CC2E5"/>
            </w:tcBorders>
            <w:tcMar>
              <w:top w:w="0" w:type="dxa"/>
              <w:left w:w="108" w:type="dxa"/>
              <w:bottom w:w="0" w:type="dxa"/>
              <w:right w:w="108" w:type="dxa"/>
            </w:tcMar>
            <w:vAlign w:val="center"/>
            <w:hideMark/>
          </w:tcPr>
          <w:p w14:paraId="0A273E7A" w14:textId="77777777" w:rsidR="00C8305B" w:rsidRDefault="00C8305B" w:rsidP="00B312F7">
            <w:pPr>
              <w:ind w:firstLine="0"/>
              <w:jc w:val="center"/>
              <w:rPr>
                <w:rFonts w:cs="Times New Roman"/>
                <w:b/>
                <w:bCs/>
                <w:sz w:val="20"/>
                <w:szCs w:val="20"/>
                <w:lang w:eastAsia="lv-LV"/>
              </w:rPr>
            </w:pPr>
            <w:r>
              <w:rPr>
                <w:b/>
                <w:bCs/>
                <w:color w:val="000000"/>
                <w:sz w:val="18"/>
                <w:szCs w:val="18"/>
              </w:rPr>
              <w:t>2024</w:t>
            </w:r>
          </w:p>
        </w:tc>
        <w:tc>
          <w:tcPr>
            <w:tcW w:w="738" w:type="dxa"/>
            <w:tcBorders>
              <w:top w:val="single" w:sz="8" w:space="0" w:color="9CC2E5"/>
              <w:left w:val="nil"/>
              <w:bottom w:val="single" w:sz="12" w:space="0" w:color="9CC2E5"/>
              <w:right w:val="single" w:sz="8" w:space="0" w:color="9CC2E5"/>
            </w:tcBorders>
            <w:tcMar>
              <w:top w:w="0" w:type="dxa"/>
              <w:left w:w="108" w:type="dxa"/>
              <w:bottom w:w="0" w:type="dxa"/>
              <w:right w:w="108" w:type="dxa"/>
            </w:tcMar>
            <w:vAlign w:val="center"/>
            <w:hideMark/>
          </w:tcPr>
          <w:p w14:paraId="1E9494C1" w14:textId="77777777" w:rsidR="00C8305B" w:rsidRDefault="00C8305B" w:rsidP="00B312F7">
            <w:pPr>
              <w:ind w:firstLine="0"/>
              <w:jc w:val="center"/>
              <w:rPr>
                <w:rFonts w:cs="Times New Roman"/>
                <w:b/>
                <w:bCs/>
                <w:sz w:val="20"/>
                <w:szCs w:val="20"/>
                <w:lang w:eastAsia="lv-LV"/>
              </w:rPr>
            </w:pPr>
            <w:r>
              <w:rPr>
                <w:b/>
                <w:bCs/>
                <w:color w:val="000000"/>
                <w:sz w:val="18"/>
                <w:szCs w:val="18"/>
              </w:rPr>
              <w:t>2025</w:t>
            </w:r>
          </w:p>
        </w:tc>
        <w:tc>
          <w:tcPr>
            <w:tcW w:w="737" w:type="dxa"/>
            <w:tcBorders>
              <w:top w:val="single" w:sz="8" w:space="0" w:color="9CC2E5"/>
              <w:left w:val="nil"/>
              <w:bottom w:val="single" w:sz="12" w:space="0" w:color="9CC2E5"/>
              <w:right w:val="single" w:sz="8" w:space="0" w:color="9CC2E5"/>
            </w:tcBorders>
            <w:tcMar>
              <w:top w:w="0" w:type="dxa"/>
              <w:left w:w="108" w:type="dxa"/>
              <w:bottom w:w="0" w:type="dxa"/>
              <w:right w:w="108" w:type="dxa"/>
            </w:tcMar>
            <w:vAlign w:val="center"/>
            <w:hideMark/>
          </w:tcPr>
          <w:p w14:paraId="451B8010" w14:textId="77777777" w:rsidR="00C8305B" w:rsidRDefault="00C8305B" w:rsidP="00B312F7">
            <w:pPr>
              <w:ind w:firstLine="0"/>
              <w:jc w:val="center"/>
              <w:rPr>
                <w:rFonts w:cs="Times New Roman"/>
                <w:b/>
                <w:bCs/>
                <w:sz w:val="20"/>
                <w:szCs w:val="20"/>
                <w:lang w:eastAsia="lv-LV"/>
              </w:rPr>
            </w:pPr>
            <w:r>
              <w:rPr>
                <w:b/>
                <w:bCs/>
                <w:color w:val="000000"/>
                <w:sz w:val="18"/>
                <w:szCs w:val="18"/>
              </w:rPr>
              <w:t>2026</w:t>
            </w:r>
          </w:p>
        </w:tc>
        <w:tc>
          <w:tcPr>
            <w:tcW w:w="738" w:type="dxa"/>
            <w:tcBorders>
              <w:top w:val="single" w:sz="8" w:space="0" w:color="9CC2E5"/>
              <w:left w:val="nil"/>
              <w:bottom w:val="single" w:sz="12" w:space="0" w:color="9CC2E5"/>
              <w:right w:val="single" w:sz="8" w:space="0" w:color="9CC2E5"/>
            </w:tcBorders>
            <w:tcMar>
              <w:top w:w="0" w:type="dxa"/>
              <w:left w:w="108" w:type="dxa"/>
              <w:bottom w:w="0" w:type="dxa"/>
              <w:right w:w="108" w:type="dxa"/>
            </w:tcMar>
            <w:vAlign w:val="center"/>
            <w:hideMark/>
          </w:tcPr>
          <w:p w14:paraId="4B0CB862" w14:textId="77777777" w:rsidR="00C8305B" w:rsidRDefault="00C8305B" w:rsidP="00B312F7">
            <w:pPr>
              <w:ind w:firstLine="0"/>
              <w:jc w:val="center"/>
              <w:rPr>
                <w:rFonts w:cs="Times New Roman"/>
                <w:b/>
                <w:bCs/>
                <w:sz w:val="20"/>
                <w:szCs w:val="20"/>
                <w:lang w:eastAsia="lv-LV"/>
              </w:rPr>
            </w:pPr>
            <w:r>
              <w:rPr>
                <w:b/>
                <w:bCs/>
                <w:color w:val="000000"/>
                <w:sz w:val="18"/>
                <w:szCs w:val="18"/>
              </w:rPr>
              <w:t>2027</w:t>
            </w:r>
          </w:p>
        </w:tc>
        <w:tc>
          <w:tcPr>
            <w:tcW w:w="738" w:type="dxa"/>
            <w:tcBorders>
              <w:top w:val="single" w:sz="8" w:space="0" w:color="9CC2E5"/>
              <w:left w:val="nil"/>
              <w:bottom w:val="single" w:sz="12" w:space="0" w:color="9CC2E5"/>
              <w:right w:val="single" w:sz="8" w:space="0" w:color="9CC2E5"/>
            </w:tcBorders>
            <w:vAlign w:val="center"/>
          </w:tcPr>
          <w:p w14:paraId="420A67E2" w14:textId="77777777" w:rsidR="00C8305B" w:rsidRDefault="00C8305B" w:rsidP="00B312F7">
            <w:pPr>
              <w:ind w:firstLine="0"/>
              <w:jc w:val="center"/>
              <w:rPr>
                <w:b/>
                <w:bCs/>
                <w:color w:val="000000"/>
                <w:sz w:val="18"/>
                <w:szCs w:val="18"/>
              </w:rPr>
            </w:pPr>
            <w:r>
              <w:rPr>
                <w:b/>
                <w:bCs/>
                <w:color w:val="000000"/>
                <w:sz w:val="18"/>
                <w:szCs w:val="18"/>
              </w:rPr>
              <w:t>2028</w:t>
            </w:r>
          </w:p>
        </w:tc>
      </w:tr>
      <w:tr w:rsidR="00C8305B" w:rsidRPr="001407D8" w14:paraId="1A69D963" w14:textId="77777777" w:rsidTr="00B312F7">
        <w:trPr>
          <w:trHeight w:val="315"/>
        </w:trPr>
        <w:tc>
          <w:tcPr>
            <w:tcW w:w="4668"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4DE20E31" w14:textId="77777777" w:rsidR="00C8305B" w:rsidRPr="001407D8" w:rsidRDefault="00C8305B" w:rsidP="00B312F7">
            <w:pPr>
              <w:ind w:firstLine="0"/>
              <w:jc w:val="left"/>
              <w:rPr>
                <w:rFonts w:eastAsia="Times New Roman" w:cs="Times New Roman"/>
                <w:sz w:val="18"/>
                <w:szCs w:val="18"/>
                <w:lang w:eastAsia="lv-LV"/>
              </w:rPr>
            </w:pPr>
            <w:r w:rsidRPr="001407D8">
              <w:rPr>
                <w:rFonts w:eastAsia="Times New Roman" w:cs="Times New Roman"/>
                <w:sz w:val="18"/>
                <w:szCs w:val="18"/>
                <w:lang w:eastAsia="lv-LV"/>
              </w:rPr>
              <w:t xml:space="preserve">Īstermiņa procentu likme </w:t>
            </w:r>
            <w:proofErr w:type="spellStart"/>
            <w:r w:rsidRPr="00C8305B">
              <w:rPr>
                <w:rFonts w:eastAsia="Times New Roman" w:cs="Times New Roman"/>
                <w:i/>
                <w:iCs/>
                <w:sz w:val="18"/>
                <w:szCs w:val="18"/>
                <w:lang w:eastAsia="lv-LV"/>
              </w:rPr>
              <w:t>euro</w:t>
            </w:r>
            <w:proofErr w:type="spellEnd"/>
            <w:r w:rsidRPr="001407D8">
              <w:rPr>
                <w:rFonts w:eastAsia="Times New Roman" w:cs="Times New Roman"/>
                <w:sz w:val="18"/>
                <w:szCs w:val="18"/>
                <w:lang w:eastAsia="lv-LV"/>
              </w:rPr>
              <w:t xml:space="preserve"> zonā (gada vidējā)</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74475C3E"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3,4</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70AAACAF"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3,2</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EAFA0A5"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2,2</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12B2C983"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2,2</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6FE96BD2"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2,2</w:t>
            </w:r>
          </w:p>
        </w:tc>
        <w:tc>
          <w:tcPr>
            <w:tcW w:w="738" w:type="dxa"/>
            <w:tcBorders>
              <w:top w:val="nil"/>
              <w:left w:val="nil"/>
              <w:bottom w:val="single" w:sz="8" w:space="0" w:color="9CC2E5"/>
              <w:right w:val="single" w:sz="8" w:space="0" w:color="9CC2E5"/>
            </w:tcBorders>
            <w:shd w:val="clear" w:color="auto" w:fill="DEEAF6"/>
            <w:vAlign w:val="center"/>
          </w:tcPr>
          <w:p w14:paraId="68DA5132" w14:textId="77777777" w:rsidR="00C8305B" w:rsidRDefault="00C8305B" w:rsidP="00B312F7">
            <w:pPr>
              <w:ind w:firstLine="0"/>
              <w:jc w:val="center"/>
              <w:rPr>
                <w:color w:val="000000"/>
                <w:sz w:val="18"/>
                <w:szCs w:val="18"/>
              </w:rPr>
            </w:pPr>
            <w:r>
              <w:rPr>
                <w:color w:val="000000"/>
                <w:sz w:val="18"/>
                <w:szCs w:val="18"/>
              </w:rPr>
              <w:t>2,2</w:t>
            </w:r>
          </w:p>
        </w:tc>
      </w:tr>
      <w:tr w:rsidR="00C8305B" w:rsidRPr="001407D8" w14:paraId="4B48235C" w14:textId="77777777" w:rsidTr="00B312F7">
        <w:trPr>
          <w:trHeight w:val="315"/>
        </w:trPr>
        <w:tc>
          <w:tcPr>
            <w:tcW w:w="4668" w:type="dxa"/>
            <w:tcBorders>
              <w:top w:val="nil"/>
              <w:left w:val="single" w:sz="8" w:space="0" w:color="9CC2E5"/>
              <w:bottom w:val="single" w:sz="8" w:space="0" w:color="9CC2E5"/>
              <w:right w:val="single" w:sz="8" w:space="0" w:color="9CC2E5"/>
            </w:tcBorders>
            <w:tcMar>
              <w:top w:w="0" w:type="dxa"/>
              <w:left w:w="108" w:type="dxa"/>
              <w:bottom w:w="0" w:type="dxa"/>
              <w:right w:w="108" w:type="dxa"/>
            </w:tcMar>
            <w:vAlign w:val="center"/>
            <w:hideMark/>
          </w:tcPr>
          <w:p w14:paraId="69C565DB" w14:textId="77777777" w:rsidR="00C8305B" w:rsidRPr="001407D8" w:rsidRDefault="00C8305B" w:rsidP="00B312F7">
            <w:pPr>
              <w:ind w:firstLine="0"/>
              <w:jc w:val="left"/>
              <w:rPr>
                <w:rFonts w:eastAsia="Times New Roman" w:cs="Times New Roman"/>
                <w:sz w:val="18"/>
                <w:szCs w:val="18"/>
                <w:lang w:eastAsia="lv-LV"/>
              </w:rPr>
            </w:pPr>
            <w:r w:rsidRPr="001407D8">
              <w:rPr>
                <w:rFonts w:eastAsia="Times New Roman" w:cs="Times New Roman"/>
                <w:sz w:val="18"/>
                <w:szCs w:val="18"/>
                <w:lang w:eastAsia="lv-LV"/>
              </w:rPr>
              <w:t xml:space="preserve">Ilgtermiņa procentu likme </w:t>
            </w:r>
            <w:proofErr w:type="spellStart"/>
            <w:r w:rsidRPr="00C8305B">
              <w:rPr>
                <w:rFonts w:eastAsia="Times New Roman" w:cs="Times New Roman"/>
                <w:i/>
                <w:iCs/>
                <w:sz w:val="18"/>
                <w:szCs w:val="18"/>
                <w:lang w:eastAsia="lv-LV"/>
              </w:rPr>
              <w:t>euro</w:t>
            </w:r>
            <w:proofErr w:type="spellEnd"/>
            <w:r w:rsidRPr="001407D8">
              <w:rPr>
                <w:rFonts w:eastAsia="Times New Roman" w:cs="Times New Roman"/>
                <w:sz w:val="18"/>
                <w:szCs w:val="18"/>
                <w:lang w:eastAsia="lv-LV"/>
              </w:rPr>
              <w:t xml:space="preserve"> zonā (gada vidējā)</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54E179EB"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2,4</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690F13C5"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2,3</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02765FE3"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2,3</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1249297C"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2,3</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1BC93F5C"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2,3</w:t>
            </w:r>
          </w:p>
        </w:tc>
        <w:tc>
          <w:tcPr>
            <w:tcW w:w="738" w:type="dxa"/>
            <w:tcBorders>
              <w:top w:val="nil"/>
              <w:left w:val="nil"/>
              <w:bottom w:val="single" w:sz="8" w:space="0" w:color="9CC2E5"/>
              <w:right w:val="single" w:sz="8" w:space="0" w:color="9CC2E5"/>
            </w:tcBorders>
            <w:vAlign w:val="center"/>
          </w:tcPr>
          <w:p w14:paraId="12907794" w14:textId="77777777" w:rsidR="00C8305B" w:rsidRDefault="00C8305B" w:rsidP="00B312F7">
            <w:pPr>
              <w:ind w:firstLine="0"/>
              <w:jc w:val="center"/>
              <w:rPr>
                <w:color w:val="000000"/>
                <w:sz w:val="18"/>
                <w:szCs w:val="18"/>
              </w:rPr>
            </w:pPr>
            <w:r>
              <w:rPr>
                <w:color w:val="000000"/>
                <w:sz w:val="18"/>
                <w:szCs w:val="18"/>
              </w:rPr>
              <w:t>2,3</w:t>
            </w:r>
          </w:p>
        </w:tc>
      </w:tr>
      <w:tr w:rsidR="00C8305B" w:rsidRPr="001407D8" w14:paraId="7C401E35" w14:textId="77777777" w:rsidTr="00B312F7">
        <w:trPr>
          <w:trHeight w:val="315"/>
        </w:trPr>
        <w:tc>
          <w:tcPr>
            <w:tcW w:w="4668"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29815BE9" w14:textId="77777777" w:rsidR="00C8305B" w:rsidRPr="001407D8" w:rsidRDefault="00C8305B" w:rsidP="00B312F7">
            <w:pPr>
              <w:ind w:firstLine="0"/>
              <w:jc w:val="left"/>
              <w:rPr>
                <w:rFonts w:eastAsia="Times New Roman" w:cs="Times New Roman"/>
                <w:sz w:val="18"/>
                <w:szCs w:val="18"/>
                <w:lang w:eastAsia="lv-LV"/>
              </w:rPr>
            </w:pPr>
            <w:r w:rsidRPr="001407D8">
              <w:rPr>
                <w:rFonts w:eastAsia="Times New Roman" w:cs="Times New Roman"/>
                <w:sz w:val="18"/>
                <w:szCs w:val="18"/>
                <w:lang w:eastAsia="lv-LV"/>
              </w:rPr>
              <w:t>EUR/USD kurss (gada vidējais)</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62AFCB2A"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1,08</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0D11FC14"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1,09</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06003B60"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1,09</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1F27684"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1,09</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DB978F9"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1,09</w:t>
            </w:r>
          </w:p>
        </w:tc>
        <w:tc>
          <w:tcPr>
            <w:tcW w:w="738" w:type="dxa"/>
            <w:tcBorders>
              <w:top w:val="nil"/>
              <w:left w:val="nil"/>
              <w:bottom w:val="single" w:sz="8" w:space="0" w:color="9CC2E5"/>
              <w:right w:val="single" w:sz="8" w:space="0" w:color="9CC2E5"/>
            </w:tcBorders>
            <w:shd w:val="clear" w:color="auto" w:fill="DEEAF6"/>
            <w:vAlign w:val="center"/>
          </w:tcPr>
          <w:p w14:paraId="2F62CC30" w14:textId="77777777" w:rsidR="00C8305B" w:rsidRDefault="00C8305B" w:rsidP="00B312F7">
            <w:pPr>
              <w:ind w:firstLine="0"/>
              <w:jc w:val="center"/>
              <w:rPr>
                <w:color w:val="000000"/>
                <w:sz w:val="18"/>
                <w:szCs w:val="18"/>
              </w:rPr>
            </w:pPr>
            <w:r>
              <w:rPr>
                <w:color w:val="000000"/>
                <w:sz w:val="18"/>
                <w:szCs w:val="18"/>
              </w:rPr>
              <w:t>1,09</w:t>
            </w:r>
          </w:p>
        </w:tc>
      </w:tr>
      <w:tr w:rsidR="00C8305B" w:rsidRPr="001407D8" w14:paraId="6B6282B1" w14:textId="77777777" w:rsidTr="00B312F7">
        <w:trPr>
          <w:trHeight w:val="315"/>
        </w:trPr>
        <w:tc>
          <w:tcPr>
            <w:tcW w:w="4668" w:type="dxa"/>
            <w:tcBorders>
              <w:top w:val="nil"/>
              <w:left w:val="single" w:sz="8" w:space="0" w:color="9CC2E5"/>
              <w:bottom w:val="single" w:sz="8" w:space="0" w:color="9CC2E5"/>
              <w:right w:val="single" w:sz="8" w:space="0" w:color="9CC2E5"/>
            </w:tcBorders>
            <w:tcMar>
              <w:top w:w="0" w:type="dxa"/>
              <w:left w:w="108" w:type="dxa"/>
              <w:bottom w:w="0" w:type="dxa"/>
              <w:right w:w="108" w:type="dxa"/>
            </w:tcMar>
            <w:vAlign w:val="center"/>
            <w:hideMark/>
          </w:tcPr>
          <w:p w14:paraId="42D3D01D" w14:textId="77777777" w:rsidR="00C8305B" w:rsidRPr="001407D8" w:rsidRDefault="00C8305B" w:rsidP="00B312F7">
            <w:pPr>
              <w:ind w:firstLine="0"/>
              <w:jc w:val="left"/>
              <w:rPr>
                <w:rFonts w:eastAsia="Times New Roman" w:cs="Times New Roman"/>
                <w:sz w:val="18"/>
                <w:szCs w:val="18"/>
                <w:lang w:eastAsia="lv-LV"/>
              </w:rPr>
            </w:pPr>
            <w:r w:rsidRPr="001407D8">
              <w:rPr>
                <w:rFonts w:eastAsia="Times New Roman" w:cs="Times New Roman"/>
                <w:sz w:val="18"/>
                <w:szCs w:val="18"/>
                <w:lang w:eastAsia="lv-LV"/>
              </w:rPr>
              <w:t>Nominālais efektīvais maiņas kurss ES</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52E3C1EC"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5,8</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06936F54"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1,5</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61228EE7"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0,0</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05D12643"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0,0</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43B592DC"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0,0</w:t>
            </w:r>
          </w:p>
        </w:tc>
        <w:tc>
          <w:tcPr>
            <w:tcW w:w="738" w:type="dxa"/>
            <w:tcBorders>
              <w:top w:val="nil"/>
              <w:left w:val="nil"/>
              <w:bottom w:val="single" w:sz="8" w:space="0" w:color="9CC2E5"/>
              <w:right w:val="single" w:sz="8" w:space="0" w:color="9CC2E5"/>
            </w:tcBorders>
            <w:vAlign w:val="center"/>
          </w:tcPr>
          <w:p w14:paraId="27CFD671" w14:textId="77777777" w:rsidR="00C8305B" w:rsidRDefault="00C8305B" w:rsidP="00B312F7">
            <w:pPr>
              <w:ind w:firstLine="0"/>
              <w:jc w:val="center"/>
              <w:rPr>
                <w:color w:val="000000"/>
                <w:sz w:val="18"/>
                <w:szCs w:val="18"/>
              </w:rPr>
            </w:pPr>
            <w:r>
              <w:rPr>
                <w:color w:val="000000"/>
                <w:sz w:val="18"/>
                <w:szCs w:val="18"/>
              </w:rPr>
              <w:t>0,0</w:t>
            </w:r>
          </w:p>
        </w:tc>
      </w:tr>
      <w:tr w:rsidR="00C8305B" w:rsidRPr="001407D8" w14:paraId="3BED3572" w14:textId="77777777" w:rsidTr="00B312F7">
        <w:trPr>
          <w:trHeight w:val="315"/>
        </w:trPr>
        <w:tc>
          <w:tcPr>
            <w:tcW w:w="4668"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3D3CB1BE" w14:textId="77777777" w:rsidR="00C8305B" w:rsidRPr="001407D8" w:rsidRDefault="00C8305B" w:rsidP="00B312F7">
            <w:pPr>
              <w:ind w:firstLine="0"/>
              <w:jc w:val="left"/>
              <w:rPr>
                <w:rFonts w:eastAsia="Times New Roman" w:cs="Times New Roman"/>
                <w:sz w:val="18"/>
                <w:szCs w:val="18"/>
                <w:lang w:eastAsia="lv-LV"/>
              </w:rPr>
            </w:pPr>
            <w:r w:rsidRPr="001407D8">
              <w:rPr>
                <w:rFonts w:eastAsia="Times New Roman" w:cs="Times New Roman"/>
                <w:sz w:val="18"/>
                <w:szCs w:val="18"/>
                <w:lang w:eastAsia="lv-LV"/>
              </w:rPr>
              <w:t>Pasaules IKP, izņemot ES, pieaugums salīdzināmās cenās, %</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C7BA029"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3,5</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0DBC3271"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3,3</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07E7E1F6"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3,5</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65D443BA"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3,5</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1B371A9A"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3,5</w:t>
            </w:r>
          </w:p>
        </w:tc>
        <w:tc>
          <w:tcPr>
            <w:tcW w:w="738" w:type="dxa"/>
            <w:tcBorders>
              <w:top w:val="nil"/>
              <w:left w:val="nil"/>
              <w:bottom w:val="single" w:sz="8" w:space="0" w:color="9CC2E5"/>
              <w:right w:val="single" w:sz="8" w:space="0" w:color="9CC2E5"/>
            </w:tcBorders>
            <w:shd w:val="clear" w:color="auto" w:fill="DEEAF6"/>
            <w:vAlign w:val="center"/>
          </w:tcPr>
          <w:p w14:paraId="2C044C3B" w14:textId="77777777" w:rsidR="00C8305B" w:rsidRDefault="00C8305B" w:rsidP="00B312F7">
            <w:pPr>
              <w:ind w:firstLine="0"/>
              <w:jc w:val="center"/>
              <w:rPr>
                <w:color w:val="000000"/>
                <w:sz w:val="18"/>
                <w:szCs w:val="18"/>
              </w:rPr>
            </w:pPr>
            <w:r>
              <w:rPr>
                <w:color w:val="000000"/>
                <w:sz w:val="18"/>
                <w:szCs w:val="18"/>
              </w:rPr>
              <w:t>3,5</w:t>
            </w:r>
          </w:p>
        </w:tc>
      </w:tr>
      <w:tr w:rsidR="00C8305B" w:rsidRPr="001407D8" w14:paraId="6B6ED99B" w14:textId="77777777" w:rsidTr="00B312F7">
        <w:trPr>
          <w:trHeight w:val="315"/>
        </w:trPr>
        <w:tc>
          <w:tcPr>
            <w:tcW w:w="4668" w:type="dxa"/>
            <w:tcBorders>
              <w:top w:val="nil"/>
              <w:left w:val="single" w:sz="8" w:space="0" w:color="9CC2E5"/>
              <w:bottom w:val="single" w:sz="8" w:space="0" w:color="9CC2E5"/>
              <w:right w:val="single" w:sz="8" w:space="0" w:color="9CC2E5"/>
            </w:tcBorders>
            <w:tcMar>
              <w:top w:w="0" w:type="dxa"/>
              <w:left w:w="108" w:type="dxa"/>
              <w:bottom w:w="0" w:type="dxa"/>
              <w:right w:w="108" w:type="dxa"/>
            </w:tcMar>
            <w:vAlign w:val="center"/>
            <w:hideMark/>
          </w:tcPr>
          <w:p w14:paraId="1628313B" w14:textId="77777777" w:rsidR="00C8305B" w:rsidRPr="001407D8" w:rsidRDefault="00C8305B" w:rsidP="00B312F7">
            <w:pPr>
              <w:ind w:firstLine="0"/>
              <w:jc w:val="left"/>
              <w:rPr>
                <w:rFonts w:eastAsia="Times New Roman" w:cs="Times New Roman"/>
                <w:sz w:val="18"/>
                <w:szCs w:val="18"/>
                <w:lang w:eastAsia="lv-LV"/>
              </w:rPr>
            </w:pPr>
            <w:r w:rsidRPr="001407D8">
              <w:rPr>
                <w:rFonts w:eastAsia="Times New Roman" w:cs="Times New Roman"/>
                <w:sz w:val="18"/>
                <w:szCs w:val="18"/>
                <w:lang w:eastAsia="lv-LV"/>
              </w:rPr>
              <w:t>ES IKP pieaugums salīdzināmās cenās, %</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1EF55D9B"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0,5</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4614CD7D"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0,9</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271C0782"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1,7</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7958CA8F"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1,7</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5E5FC2F6"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1,7</w:t>
            </w:r>
          </w:p>
        </w:tc>
        <w:tc>
          <w:tcPr>
            <w:tcW w:w="738" w:type="dxa"/>
            <w:tcBorders>
              <w:top w:val="nil"/>
              <w:left w:val="nil"/>
              <w:bottom w:val="single" w:sz="8" w:space="0" w:color="9CC2E5"/>
              <w:right w:val="single" w:sz="8" w:space="0" w:color="9CC2E5"/>
            </w:tcBorders>
            <w:vAlign w:val="center"/>
          </w:tcPr>
          <w:p w14:paraId="1AC750AE" w14:textId="77777777" w:rsidR="00C8305B" w:rsidRDefault="00C8305B" w:rsidP="00B312F7">
            <w:pPr>
              <w:ind w:firstLine="0"/>
              <w:jc w:val="center"/>
              <w:rPr>
                <w:color w:val="000000"/>
                <w:sz w:val="18"/>
                <w:szCs w:val="18"/>
              </w:rPr>
            </w:pPr>
            <w:r>
              <w:rPr>
                <w:color w:val="000000"/>
                <w:sz w:val="18"/>
                <w:szCs w:val="18"/>
              </w:rPr>
              <w:t>1,7</w:t>
            </w:r>
          </w:p>
        </w:tc>
      </w:tr>
      <w:tr w:rsidR="00C8305B" w:rsidRPr="001407D8" w14:paraId="28500B62" w14:textId="77777777" w:rsidTr="00B312F7">
        <w:trPr>
          <w:trHeight w:val="540"/>
        </w:trPr>
        <w:tc>
          <w:tcPr>
            <w:tcW w:w="4668"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169F0A92" w14:textId="77777777" w:rsidR="00C8305B" w:rsidRPr="001407D8" w:rsidRDefault="00C8305B" w:rsidP="00B312F7">
            <w:pPr>
              <w:ind w:firstLine="0"/>
              <w:jc w:val="left"/>
              <w:rPr>
                <w:rFonts w:eastAsia="Times New Roman" w:cs="Times New Roman"/>
                <w:sz w:val="18"/>
                <w:szCs w:val="18"/>
                <w:lang w:eastAsia="lv-LV"/>
              </w:rPr>
            </w:pPr>
            <w:r w:rsidRPr="001407D8">
              <w:rPr>
                <w:rFonts w:eastAsia="Times New Roman" w:cs="Times New Roman"/>
                <w:sz w:val="18"/>
                <w:szCs w:val="18"/>
                <w:lang w:eastAsia="lv-LV"/>
              </w:rPr>
              <w:t>Pasaules preču un pakalpojumu tirdzniecības apjomu izmaiņas ES eksporta tirgos, izslēdzot ES, %</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6E652EDF"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-7,0</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3AC404D1"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10,7</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0CF99DAC"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3,2</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F22777F"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3,2</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484F1CD3"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3,2</w:t>
            </w:r>
          </w:p>
        </w:tc>
        <w:tc>
          <w:tcPr>
            <w:tcW w:w="738" w:type="dxa"/>
            <w:tcBorders>
              <w:top w:val="nil"/>
              <w:left w:val="nil"/>
              <w:bottom w:val="single" w:sz="8" w:space="0" w:color="9CC2E5"/>
              <w:right w:val="single" w:sz="8" w:space="0" w:color="9CC2E5"/>
            </w:tcBorders>
            <w:shd w:val="clear" w:color="auto" w:fill="DEEAF6"/>
            <w:vAlign w:val="center"/>
          </w:tcPr>
          <w:p w14:paraId="1E11B4C1" w14:textId="77777777" w:rsidR="00C8305B" w:rsidRDefault="00C8305B" w:rsidP="00B312F7">
            <w:pPr>
              <w:ind w:firstLine="0"/>
              <w:jc w:val="center"/>
              <w:rPr>
                <w:color w:val="000000"/>
                <w:sz w:val="18"/>
                <w:szCs w:val="18"/>
              </w:rPr>
            </w:pPr>
            <w:r>
              <w:rPr>
                <w:color w:val="000000"/>
                <w:sz w:val="18"/>
                <w:szCs w:val="18"/>
              </w:rPr>
              <w:t>3,2</w:t>
            </w:r>
          </w:p>
        </w:tc>
      </w:tr>
      <w:tr w:rsidR="00C8305B" w:rsidRPr="001407D8" w14:paraId="7811C5CB" w14:textId="77777777" w:rsidTr="00B312F7">
        <w:trPr>
          <w:trHeight w:val="525"/>
        </w:trPr>
        <w:tc>
          <w:tcPr>
            <w:tcW w:w="4668" w:type="dxa"/>
            <w:tcBorders>
              <w:top w:val="nil"/>
              <w:left w:val="single" w:sz="8" w:space="0" w:color="9CC2E5"/>
              <w:bottom w:val="single" w:sz="8" w:space="0" w:color="9CC2E5"/>
              <w:right w:val="single" w:sz="8" w:space="0" w:color="9CC2E5"/>
            </w:tcBorders>
            <w:tcMar>
              <w:top w:w="0" w:type="dxa"/>
              <w:left w:w="108" w:type="dxa"/>
              <w:bottom w:w="0" w:type="dxa"/>
              <w:right w:w="108" w:type="dxa"/>
            </w:tcMar>
            <w:vAlign w:val="center"/>
            <w:hideMark/>
          </w:tcPr>
          <w:p w14:paraId="21D17C14" w14:textId="77777777" w:rsidR="00C8305B" w:rsidRPr="001407D8" w:rsidRDefault="00C8305B" w:rsidP="00B312F7">
            <w:pPr>
              <w:ind w:firstLine="0"/>
              <w:jc w:val="left"/>
              <w:rPr>
                <w:rFonts w:eastAsia="Times New Roman" w:cs="Times New Roman"/>
                <w:sz w:val="18"/>
                <w:szCs w:val="18"/>
                <w:lang w:eastAsia="lv-LV"/>
              </w:rPr>
            </w:pPr>
            <w:r w:rsidRPr="001407D8">
              <w:rPr>
                <w:rFonts w:eastAsia="Times New Roman" w:cs="Times New Roman"/>
                <w:sz w:val="18"/>
                <w:szCs w:val="18"/>
                <w:lang w:eastAsia="lv-LV"/>
              </w:rPr>
              <w:t>Pasaules preču un pakalpojumu importa apjomu izmaiņas, izslēdzot ES, %</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7C91DE0F"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-8,4</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0300DAA4"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11,5</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52D07C5A"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4,3</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233F5A12"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4,3</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506F390F"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4,3</w:t>
            </w:r>
          </w:p>
        </w:tc>
        <w:tc>
          <w:tcPr>
            <w:tcW w:w="738" w:type="dxa"/>
            <w:tcBorders>
              <w:top w:val="nil"/>
              <w:left w:val="nil"/>
              <w:bottom w:val="single" w:sz="8" w:space="0" w:color="9CC2E5"/>
              <w:right w:val="single" w:sz="8" w:space="0" w:color="9CC2E5"/>
            </w:tcBorders>
            <w:vAlign w:val="center"/>
          </w:tcPr>
          <w:p w14:paraId="55ECCA17" w14:textId="77777777" w:rsidR="00C8305B" w:rsidRDefault="00C8305B" w:rsidP="00B312F7">
            <w:pPr>
              <w:ind w:firstLine="0"/>
              <w:jc w:val="center"/>
              <w:rPr>
                <w:color w:val="000000"/>
                <w:sz w:val="18"/>
                <w:szCs w:val="18"/>
              </w:rPr>
            </w:pPr>
            <w:r>
              <w:rPr>
                <w:color w:val="000000"/>
                <w:sz w:val="18"/>
                <w:szCs w:val="18"/>
              </w:rPr>
              <w:t>4,3</w:t>
            </w:r>
          </w:p>
        </w:tc>
      </w:tr>
      <w:tr w:rsidR="00C8305B" w:rsidRPr="001407D8" w14:paraId="7235548A" w14:textId="77777777" w:rsidTr="00B312F7">
        <w:trPr>
          <w:trHeight w:val="315"/>
        </w:trPr>
        <w:tc>
          <w:tcPr>
            <w:tcW w:w="4668"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CDDFD19" w14:textId="77777777" w:rsidR="00C8305B" w:rsidRPr="001407D8" w:rsidRDefault="00C8305B" w:rsidP="00B312F7">
            <w:pPr>
              <w:ind w:firstLine="0"/>
              <w:jc w:val="left"/>
              <w:rPr>
                <w:rFonts w:eastAsia="Times New Roman" w:cs="Times New Roman"/>
                <w:sz w:val="18"/>
                <w:szCs w:val="18"/>
                <w:lang w:eastAsia="lv-LV"/>
              </w:rPr>
            </w:pPr>
            <w:r w:rsidRPr="001407D8">
              <w:rPr>
                <w:rFonts w:eastAsia="Times New Roman" w:cs="Times New Roman"/>
                <w:sz w:val="18"/>
                <w:szCs w:val="18"/>
                <w:lang w:eastAsia="lv-LV"/>
              </w:rPr>
              <w:t>Naftas cena (</w:t>
            </w:r>
            <w:proofErr w:type="spellStart"/>
            <w:r w:rsidRPr="001407D8">
              <w:rPr>
                <w:rFonts w:eastAsia="Times New Roman" w:cs="Times New Roman"/>
                <w:sz w:val="18"/>
                <w:szCs w:val="18"/>
                <w:lang w:eastAsia="lv-LV"/>
              </w:rPr>
              <w:t>Brent</w:t>
            </w:r>
            <w:proofErr w:type="spellEnd"/>
            <w:r w:rsidRPr="001407D8">
              <w:rPr>
                <w:rFonts w:eastAsia="Times New Roman" w:cs="Times New Roman"/>
                <w:sz w:val="18"/>
                <w:szCs w:val="18"/>
                <w:lang w:eastAsia="lv-LV"/>
              </w:rPr>
              <w:t>, USD par barelu)</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4B4387C4"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82,5</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tcPr>
          <w:p w14:paraId="78BC4251"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82</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tcPr>
          <w:p w14:paraId="69490EA4"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79</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tcPr>
          <w:p w14:paraId="32C3951A"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79</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tcPr>
          <w:p w14:paraId="143BD306" w14:textId="77777777" w:rsidR="00C8305B" w:rsidRPr="001407D8" w:rsidRDefault="00C8305B" w:rsidP="00B312F7">
            <w:pPr>
              <w:ind w:firstLine="0"/>
              <w:jc w:val="center"/>
              <w:rPr>
                <w:rFonts w:eastAsia="Times New Roman" w:cs="Times New Roman"/>
                <w:sz w:val="18"/>
                <w:szCs w:val="18"/>
                <w:lang w:eastAsia="lv-LV"/>
              </w:rPr>
            </w:pPr>
            <w:r>
              <w:rPr>
                <w:color w:val="000000"/>
                <w:sz w:val="18"/>
                <w:szCs w:val="18"/>
              </w:rPr>
              <w:t>79</w:t>
            </w:r>
          </w:p>
        </w:tc>
        <w:tc>
          <w:tcPr>
            <w:tcW w:w="738" w:type="dxa"/>
            <w:tcBorders>
              <w:top w:val="nil"/>
              <w:left w:val="nil"/>
              <w:bottom w:val="single" w:sz="8" w:space="0" w:color="9CC2E5"/>
              <w:right w:val="single" w:sz="8" w:space="0" w:color="9CC2E5"/>
            </w:tcBorders>
            <w:shd w:val="clear" w:color="auto" w:fill="DEEAF6"/>
            <w:vAlign w:val="center"/>
          </w:tcPr>
          <w:p w14:paraId="561B5915" w14:textId="77777777" w:rsidR="00C8305B" w:rsidRDefault="00C8305B" w:rsidP="00B312F7">
            <w:pPr>
              <w:ind w:firstLine="0"/>
              <w:jc w:val="center"/>
              <w:rPr>
                <w:color w:val="000000"/>
                <w:sz w:val="18"/>
                <w:szCs w:val="18"/>
              </w:rPr>
            </w:pPr>
            <w:r>
              <w:rPr>
                <w:color w:val="000000"/>
                <w:sz w:val="18"/>
                <w:szCs w:val="18"/>
              </w:rPr>
              <w:t>79</w:t>
            </w:r>
          </w:p>
        </w:tc>
      </w:tr>
    </w:tbl>
    <w:p w14:paraId="02F93124" w14:textId="77777777" w:rsidR="00C8305B" w:rsidRPr="001407D8" w:rsidRDefault="00C8305B" w:rsidP="00C8305B">
      <w:pPr>
        <w:spacing w:after="160" w:line="259" w:lineRule="auto"/>
        <w:ind w:firstLine="0"/>
        <w:jc w:val="left"/>
        <w:rPr>
          <w:rFonts w:eastAsia="Times New Roman" w:cs="Times New Roman"/>
          <w:sz w:val="18"/>
          <w:szCs w:val="18"/>
        </w:rPr>
      </w:pPr>
      <w:r>
        <w:rPr>
          <w:rFonts w:eastAsia="Times New Roman" w:cs="Times New Roman"/>
          <w:color w:val="000000"/>
          <w:sz w:val="18"/>
          <w:szCs w:val="18"/>
          <w:vertAlign w:val="superscript"/>
        </w:rPr>
        <w:t>*</w:t>
      </w:r>
      <w:r w:rsidRPr="0087383B">
        <w:rPr>
          <w:rFonts w:eastAsia="Times New Roman" w:cs="Times New Roman"/>
          <w:color w:val="000000"/>
          <w:sz w:val="18"/>
          <w:szCs w:val="18"/>
          <w:vertAlign w:val="superscript"/>
        </w:rPr>
        <w:t xml:space="preserve"> </w:t>
      </w:r>
      <w:r w:rsidRPr="0087383B">
        <w:rPr>
          <w:rFonts w:eastAsia="Times New Roman" w:cs="Times New Roman"/>
          <w:color w:val="000000"/>
          <w:sz w:val="18"/>
          <w:szCs w:val="18"/>
        </w:rPr>
        <w:t>Prognozes</w:t>
      </w:r>
      <w:r>
        <w:rPr>
          <w:rFonts w:eastAsia="Times New Roman" w:cs="Times New Roman"/>
          <w:color w:val="000000"/>
          <w:sz w:val="18"/>
          <w:szCs w:val="18"/>
        </w:rPr>
        <w:t xml:space="preserve">: </w:t>
      </w:r>
      <w:r w:rsidRPr="0087383B">
        <w:rPr>
          <w:rFonts w:eastAsia="Times New Roman" w:cs="Times New Roman"/>
          <w:color w:val="000000"/>
          <w:sz w:val="18"/>
          <w:szCs w:val="18"/>
        </w:rPr>
        <w:t>202</w:t>
      </w:r>
      <w:r>
        <w:rPr>
          <w:rFonts w:eastAsia="Times New Roman" w:cs="Times New Roman"/>
          <w:color w:val="000000"/>
          <w:sz w:val="18"/>
          <w:szCs w:val="18"/>
        </w:rPr>
        <w:t>4</w:t>
      </w:r>
      <w:r w:rsidRPr="0087383B">
        <w:rPr>
          <w:rFonts w:eastAsia="Times New Roman" w:cs="Times New Roman"/>
          <w:color w:val="000000"/>
          <w:sz w:val="18"/>
          <w:szCs w:val="18"/>
        </w:rPr>
        <w:t>.</w:t>
      </w:r>
      <w:r>
        <w:rPr>
          <w:rFonts w:eastAsia="Times New Roman" w:cs="Times New Roman"/>
          <w:color w:val="000000"/>
          <w:sz w:val="18"/>
          <w:szCs w:val="18"/>
        </w:rPr>
        <w:t xml:space="preserve"> </w:t>
      </w:r>
      <w:r w:rsidRPr="0087383B">
        <w:rPr>
          <w:rFonts w:eastAsia="Times New Roman" w:cs="Times New Roman"/>
          <w:color w:val="000000"/>
          <w:sz w:val="18"/>
          <w:szCs w:val="18"/>
        </w:rPr>
        <w:t xml:space="preserve">gada </w:t>
      </w:r>
      <w:r>
        <w:rPr>
          <w:rFonts w:eastAsia="Times New Roman" w:cs="Times New Roman"/>
          <w:color w:val="000000"/>
          <w:sz w:val="18"/>
          <w:szCs w:val="18"/>
        </w:rPr>
        <w:t>februāra</w:t>
      </w:r>
      <w:r w:rsidRPr="0087383B">
        <w:rPr>
          <w:rFonts w:eastAsia="Times New Roman" w:cs="Times New Roman"/>
          <w:color w:val="000000"/>
          <w:sz w:val="18"/>
          <w:szCs w:val="18"/>
        </w:rPr>
        <w:t xml:space="preserve"> scenārijs</w:t>
      </w:r>
    </w:p>
    <w:p w14:paraId="09F2D531" w14:textId="77777777" w:rsidR="008D5244" w:rsidRPr="003E7B6A" w:rsidRDefault="008D5244" w:rsidP="00AE2C3A">
      <w:pPr>
        <w:spacing w:line="259" w:lineRule="auto"/>
        <w:ind w:firstLine="0"/>
        <w:jc w:val="left"/>
        <w:rPr>
          <w:rFonts w:eastAsia="Times New Roman" w:cs="Times New Roman"/>
          <w:sz w:val="18"/>
          <w:szCs w:val="18"/>
        </w:rPr>
      </w:pPr>
    </w:p>
    <w:p w14:paraId="348F2DDF" w14:textId="700DAD61" w:rsidR="005346E4" w:rsidRPr="003E7B6A" w:rsidRDefault="008D5244" w:rsidP="00E54B38">
      <w:pPr>
        <w:keepNext/>
        <w:spacing w:after="120"/>
        <w:ind w:firstLine="0"/>
        <w:jc w:val="left"/>
        <w:rPr>
          <w:rFonts w:eastAsia="Times New Roman" w:cs="Times New Roman"/>
          <w:b/>
          <w:color w:val="000000"/>
          <w:sz w:val="24"/>
          <w:szCs w:val="24"/>
        </w:rPr>
      </w:pPr>
      <w:r w:rsidRPr="003E7B6A">
        <w:rPr>
          <w:rFonts w:eastAsia="Times New Roman" w:cs="Times New Roman"/>
          <w:b/>
          <w:color w:val="000000"/>
          <w:sz w:val="24"/>
          <w:szCs w:val="24"/>
        </w:rPr>
        <w:t>9</w:t>
      </w:r>
      <w:r w:rsidR="005346E4" w:rsidRPr="003E7B6A">
        <w:rPr>
          <w:rFonts w:eastAsia="Times New Roman" w:cs="Times New Roman"/>
          <w:b/>
          <w:color w:val="000000"/>
          <w:sz w:val="24"/>
          <w:szCs w:val="24"/>
        </w:rPr>
        <w:t>. tabula. ANM ietekme</w:t>
      </w:r>
    </w:p>
    <w:tbl>
      <w:tblPr>
        <w:tblStyle w:val="GridTable6Colorful-Accent1175"/>
        <w:tblW w:w="9776" w:type="dxa"/>
        <w:jc w:val="center"/>
        <w:tblLook w:val="04A0" w:firstRow="1" w:lastRow="0" w:firstColumn="1" w:lastColumn="0" w:noHBand="0" w:noVBand="1"/>
      </w:tblPr>
      <w:tblGrid>
        <w:gridCol w:w="4815"/>
        <w:gridCol w:w="709"/>
        <w:gridCol w:w="708"/>
        <w:gridCol w:w="709"/>
        <w:gridCol w:w="709"/>
        <w:gridCol w:w="709"/>
        <w:gridCol w:w="708"/>
        <w:gridCol w:w="709"/>
      </w:tblGrid>
      <w:tr w:rsidR="005346E4" w:rsidRPr="003E7B6A" w14:paraId="631C785C" w14:textId="77777777" w:rsidTr="00991B5E">
        <w:trPr>
          <w:cnfStyle w:val="100000000000" w:firstRow="1" w:lastRow="0" w:firstColumn="0" w:lastColumn="0" w:oddVBand="0" w:evenVBand="0" w:oddHBand="0" w:evenHBand="0" w:firstRowFirstColumn="0" w:firstRowLastColumn="0" w:lastRowFirstColumn="0" w:lastRowLastColumn="0"/>
          <w:trHeight w:val="183"/>
          <w:jc w:val="center"/>
        </w:trPr>
        <w:tc>
          <w:tcPr>
            <w:cnfStyle w:val="001000000000" w:firstRow="0" w:lastRow="0" w:firstColumn="1" w:lastColumn="0" w:oddVBand="0" w:evenVBand="0" w:oddHBand="0" w:evenHBand="0" w:firstRowFirstColumn="0" w:firstRowLastColumn="0" w:lastRowFirstColumn="0" w:lastRowLastColumn="0"/>
            <w:tcW w:w="9776" w:type="dxa"/>
            <w:gridSpan w:val="8"/>
            <w:shd w:val="clear" w:color="auto" w:fill="DEEAF6"/>
            <w:noWrap/>
            <w:vAlign w:val="center"/>
          </w:tcPr>
          <w:p w14:paraId="73DF9322" w14:textId="77777777" w:rsidR="005346E4" w:rsidRPr="003E7B6A" w:rsidRDefault="005346E4" w:rsidP="006E3B77">
            <w:pPr>
              <w:spacing w:line="259" w:lineRule="auto"/>
              <w:ind w:firstLine="0"/>
              <w:jc w:val="center"/>
              <w:rPr>
                <w:rFonts w:eastAsia="Times New Roman" w:cs="Times New Roman"/>
                <w:color w:val="000000"/>
                <w:sz w:val="18"/>
                <w:szCs w:val="18"/>
              </w:rPr>
            </w:pPr>
            <w:r w:rsidRPr="003E7B6A">
              <w:rPr>
                <w:rFonts w:eastAsia="Times New Roman" w:cs="Times New Roman"/>
                <w:color w:val="000000"/>
                <w:sz w:val="18"/>
                <w:szCs w:val="18"/>
              </w:rPr>
              <w:t>Ieņēmumi no ANM pārvedumiem (% no IKP)</w:t>
            </w:r>
          </w:p>
        </w:tc>
      </w:tr>
      <w:tr w:rsidR="005346E4" w:rsidRPr="003E7B6A" w14:paraId="684F252B" w14:textId="77777777" w:rsidTr="00991B5E">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564248BF" w14:textId="77777777" w:rsidR="005346E4" w:rsidRPr="003E7B6A" w:rsidRDefault="005346E4" w:rsidP="006E3B77">
            <w:pPr>
              <w:spacing w:line="259" w:lineRule="auto"/>
              <w:ind w:firstLine="0"/>
              <w:jc w:val="left"/>
              <w:rPr>
                <w:rFonts w:eastAsia="Times New Roman" w:cs="Times New Roman"/>
                <w:color w:val="000000"/>
                <w:sz w:val="18"/>
                <w:szCs w:val="18"/>
              </w:rPr>
            </w:pPr>
          </w:p>
        </w:tc>
        <w:tc>
          <w:tcPr>
            <w:tcW w:w="709" w:type="dxa"/>
            <w:vAlign w:val="center"/>
          </w:tcPr>
          <w:p w14:paraId="47EDB3BC" w14:textId="77777777"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2020</w:t>
            </w:r>
          </w:p>
        </w:tc>
        <w:tc>
          <w:tcPr>
            <w:tcW w:w="708" w:type="dxa"/>
            <w:vAlign w:val="center"/>
            <w:hideMark/>
          </w:tcPr>
          <w:p w14:paraId="0514FFCD" w14:textId="77777777"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2021</w:t>
            </w:r>
          </w:p>
        </w:tc>
        <w:tc>
          <w:tcPr>
            <w:tcW w:w="709" w:type="dxa"/>
            <w:noWrap/>
            <w:vAlign w:val="center"/>
            <w:hideMark/>
          </w:tcPr>
          <w:p w14:paraId="11A62069" w14:textId="77777777"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2022</w:t>
            </w:r>
          </w:p>
        </w:tc>
        <w:tc>
          <w:tcPr>
            <w:tcW w:w="709" w:type="dxa"/>
            <w:noWrap/>
            <w:vAlign w:val="center"/>
            <w:hideMark/>
          </w:tcPr>
          <w:p w14:paraId="2D3613D1" w14:textId="77777777"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2023</w:t>
            </w:r>
          </w:p>
        </w:tc>
        <w:tc>
          <w:tcPr>
            <w:tcW w:w="709" w:type="dxa"/>
            <w:noWrap/>
            <w:vAlign w:val="center"/>
            <w:hideMark/>
          </w:tcPr>
          <w:p w14:paraId="0EA31132" w14:textId="77777777"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2024</w:t>
            </w:r>
          </w:p>
        </w:tc>
        <w:tc>
          <w:tcPr>
            <w:tcW w:w="708" w:type="dxa"/>
            <w:noWrap/>
            <w:vAlign w:val="center"/>
            <w:hideMark/>
          </w:tcPr>
          <w:p w14:paraId="20D75D98" w14:textId="77777777"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2025</w:t>
            </w:r>
          </w:p>
        </w:tc>
        <w:tc>
          <w:tcPr>
            <w:tcW w:w="709" w:type="dxa"/>
            <w:noWrap/>
            <w:vAlign w:val="center"/>
            <w:hideMark/>
          </w:tcPr>
          <w:p w14:paraId="012E4D11" w14:textId="77777777"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2026</w:t>
            </w:r>
          </w:p>
        </w:tc>
      </w:tr>
    </w:tbl>
    <w:tbl>
      <w:tblPr>
        <w:tblStyle w:val="GridTable6Colorful-Accent1185"/>
        <w:tblW w:w="9776" w:type="dxa"/>
        <w:jc w:val="center"/>
        <w:tblLook w:val="04A0" w:firstRow="1" w:lastRow="0" w:firstColumn="1" w:lastColumn="0" w:noHBand="0" w:noVBand="1"/>
      </w:tblPr>
      <w:tblGrid>
        <w:gridCol w:w="4815"/>
        <w:gridCol w:w="709"/>
        <w:gridCol w:w="708"/>
        <w:gridCol w:w="709"/>
        <w:gridCol w:w="709"/>
        <w:gridCol w:w="709"/>
        <w:gridCol w:w="708"/>
        <w:gridCol w:w="709"/>
      </w:tblGrid>
      <w:tr w:rsidR="003E7B6A" w:rsidRPr="003E7B6A" w14:paraId="0F8CA7C8" w14:textId="77777777" w:rsidTr="00991B5E">
        <w:trPr>
          <w:cnfStyle w:val="100000000000" w:firstRow="1" w:lastRow="0" w:firstColumn="0" w:lastColumn="0" w:oddVBand="0" w:evenVBand="0" w:oddHBand="0"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3F51D1F7" w14:textId="77777777" w:rsidR="003E7B6A" w:rsidRPr="003E7B6A" w:rsidRDefault="003E7B6A" w:rsidP="003E7B6A">
            <w:pPr>
              <w:spacing w:after="160" w:line="259" w:lineRule="auto"/>
              <w:ind w:firstLine="0"/>
              <w:jc w:val="left"/>
              <w:rPr>
                <w:rFonts w:eastAsia="Times New Roman" w:cs="Times New Roman"/>
                <w:color w:val="000000"/>
                <w:sz w:val="18"/>
                <w:szCs w:val="18"/>
              </w:rPr>
            </w:pPr>
            <w:r w:rsidRPr="003E7B6A">
              <w:rPr>
                <w:rFonts w:eastAsia="Times New Roman" w:cs="Times New Roman"/>
                <w:color w:val="000000"/>
                <w:sz w:val="18"/>
                <w:szCs w:val="18"/>
              </w:rPr>
              <w:t>ANM ieņēmumi iekļauti vispārējās valdības prognozēs</w:t>
            </w:r>
          </w:p>
        </w:tc>
        <w:tc>
          <w:tcPr>
            <w:tcW w:w="709" w:type="dxa"/>
          </w:tcPr>
          <w:p w14:paraId="40F0D2E3" w14:textId="17ED7AF4" w:rsidR="003E7B6A" w:rsidRPr="003E7B6A" w:rsidRDefault="003E7B6A" w:rsidP="003E7B6A">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3E7B6A">
              <w:rPr>
                <w:b w:val="0"/>
                <w:bCs w:val="0"/>
                <w:color w:val="auto"/>
                <w:sz w:val="18"/>
                <w:szCs w:val="18"/>
              </w:rPr>
              <w:t>0,0</w:t>
            </w:r>
          </w:p>
        </w:tc>
        <w:tc>
          <w:tcPr>
            <w:tcW w:w="708" w:type="dxa"/>
            <w:noWrap/>
          </w:tcPr>
          <w:p w14:paraId="71D7265A" w14:textId="7119B199" w:rsidR="003E7B6A" w:rsidRPr="003E7B6A" w:rsidRDefault="003E7B6A" w:rsidP="003E7B6A">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3E7B6A">
              <w:rPr>
                <w:b w:val="0"/>
                <w:bCs w:val="0"/>
                <w:color w:val="auto"/>
                <w:sz w:val="18"/>
                <w:szCs w:val="18"/>
              </w:rPr>
              <w:t>0,0</w:t>
            </w:r>
          </w:p>
        </w:tc>
        <w:tc>
          <w:tcPr>
            <w:tcW w:w="709" w:type="dxa"/>
            <w:noWrap/>
          </w:tcPr>
          <w:p w14:paraId="65E74D5E" w14:textId="1FD1C7AF" w:rsidR="003E7B6A" w:rsidRPr="003E7B6A" w:rsidRDefault="003E7B6A" w:rsidP="003E7B6A">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3E7B6A">
              <w:rPr>
                <w:b w:val="0"/>
                <w:bCs w:val="0"/>
                <w:color w:val="auto"/>
                <w:sz w:val="18"/>
                <w:szCs w:val="18"/>
              </w:rPr>
              <w:t>0,0</w:t>
            </w:r>
          </w:p>
        </w:tc>
        <w:tc>
          <w:tcPr>
            <w:tcW w:w="709" w:type="dxa"/>
            <w:noWrap/>
          </w:tcPr>
          <w:p w14:paraId="759006F5" w14:textId="157402B8" w:rsidR="003E7B6A" w:rsidRPr="003E7B6A" w:rsidRDefault="003E7B6A" w:rsidP="003E7B6A">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3E7B6A">
              <w:rPr>
                <w:b w:val="0"/>
                <w:bCs w:val="0"/>
                <w:color w:val="auto"/>
                <w:sz w:val="18"/>
                <w:szCs w:val="18"/>
              </w:rPr>
              <w:t>0,4</w:t>
            </w:r>
          </w:p>
        </w:tc>
        <w:tc>
          <w:tcPr>
            <w:tcW w:w="709" w:type="dxa"/>
            <w:noWrap/>
          </w:tcPr>
          <w:p w14:paraId="3167CFDA" w14:textId="6E12E271" w:rsidR="003E7B6A" w:rsidRPr="003E7B6A" w:rsidRDefault="003E7B6A" w:rsidP="003E7B6A">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3E7B6A">
              <w:rPr>
                <w:b w:val="0"/>
                <w:bCs w:val="0"/>
                <w:color w:val="auto"/>
                <w:sz w:val="18"/>
                <w:szCs w:val="18"/>
              </w:rPr>
              <w:t>1,4</w:t>
            </w:r>
          </w:p>
        </w:tc>
        <w:tc>
          <w:tcPr>
            <w:tcW w:w="708" w:type="dxa"/>
            <w:noWrap/>
          </w:tcPr>
          <w:p w14:paraId="769DB8EE" w14:textId="60E76253" w:rsidR="003E7B6A" w:rsidRPr="003E7B6A" w:rsidRDefault="003E7B6A" w:rsidP="003E7B6A">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3E7B6A">
              <w:rPr>
                <w:b w:val="0"/>
                <w:bCs w:val="0"/>
                <w:color w:val="auto"/>
                <w:sz w:val="18"/>
                <w:szCs w:val="18"/>
              </w:rPr>
              <w:t>1,7</w:t>
            </w:r>
          </w:p>
        </w:tc>
        <w:tc>
          <w:tcPr>
            <w:tcW w:w="709" w:type="dxa"/>
            <w:noWrap/>
          </w:tcPr>
          <w:p w14:paraId="1BCC8164" w14:textId="3FADC5DD" w:rsidR="003E7B6A" w:rsidRPr="003E7B6A" w:rsidRDefault="003E7B6A" w:rsidP="003E7B6A">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3E7B6A">
              <w:rPr>
                <w:b w:val="0"/>
                <w:bCs w:val="0"/>
                <w:color w:val="auto"/>
                <w:sz w:val="18"/>
                <w:szCs w:val="18"/>
              </w:rPr>
              <w:t>1,0</w:t>
            </w:r>
          </w:p>
        </w:tc>
      </w:tr>
      <w:tr w:rsidR="003E7B6A" w:rsidRPr="003E7B6A" w14:paraId="13E039AF" w14:textId="77777777" w:rsidTr="00991B5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220D5DF4" w14:textId="77777777" w:rsidR="003E7B6A" w:rsidRPr="003E7B6A" w:rsidRDefault="003E7B6A" w:rsidP="003E7B6A">
            <w:pPr>
              <w:spacing w:after="160" w:line="259" w:lineRule="auto"/>
              <w:ind w:firstLine="0"/>
              <w:jc w:val="left"/>
              <w:rPr>
                <w:rFonts w:eastAsia="Times New Roman" w:cs="Times New Roman"/>
                <w:color w:val="000000"/>
                <w:sz w:val="18"/>
                <w:szCs w:val="18"/>
              </w:rPr>
            </w:pPr>
            <w:r w:rsidRPr="003E7B6A">
              <w:rPr>
                <w:rFonts w:eastAsia="Times New Roman" w:cs="Times New Roman"/>
                <w:color w:val="000000"/>
                <w:sz w:val="18"/>
                <w:szCs w:val="18"/>
              </w:rPr>
              <w:t>ANM atmaksas (naudas plūsma) no ES</w:t>
            </w:r>
          </w:p>
        </w:tc>
        <w:tc>
          <w:tcPr>
            <w:tcW w:w="709" w:type="dxa"/>
          </w:tcPr>
          <w:p w14:paraId="75DA1940" w14:textId="0FE8DFA8" w:rsidR="003E7B6A" w:rsidRPr="003E7B6A" w:rsidRDefault="003E7B6A" w:rsidP="003E7B6A">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0,0</w:t>
            </w:r>
          </w:p>
        </w:tc>
        <w:tc>
          <w:tcPr>
            <w:tcW w:w="708" w:type="dxa"/>
            <w:noWrap/>
          </w:tcPr>
          <w:p w14:paraId="4B07B49E" w14:textId="64C1CB32" w:rsidR="003E7B6A" w:rsidRPr="003E7B6A" w:rsidRDefault="003E7B6A" w:rsidP="003E7B6A">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0,7</w:t>
            </w:r>
          </w:p>
        </w:tc>
        <w:tc>
          <w:tcPr>
            <w:tcW w:w="709" w:type="dxa"/>
            <w:noWrap/>
          </w:tcPr>
          <w:p w14:paraId="01A901B8" w14:textId="1D3FF3BE" w:rsidR="003E7B6A" w:rsidRPr="003E7B6A" w:rsidRDefault="003E7B6A" w:rsidP="003E7B6A">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0,5</w:t>
            </w:r>
          </w:p>
        </w:tc>
        <w:tc>
          <w:tcPr>
            <w:tcW w:w="709" w:type="dxa"/>
            <w:noWrap/>
          </w:tcPr>
          <w:p w14:paraId="4BB3AE09" w14:textId="102E47B1" w:rsidR="003E7B6A" w:rsidRPr="003E7B6A" w:rsidRDefault="003E7B6A" w:rsidP="003E7B6A">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0,0</w:t>
            </w:r>
          </w:p>
        </w:tc>
        <w:tc>
          <w:tcPr>
            <w:tcW w:w="709" w:type="dxa"/>
            <w:noWrap/>
          </w:tcPr>
          <w:p w14:paraId="47285FF8" w14:textId="25083C4B" w:rsidR="003E7B6A" w:rsidRPr="003E7B6A" w:rsidRDefault="003E7B6A" w:rsidP="003E7B6A">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0,9</w:t>
            </w:r>
          </w:p>
        </w:tc>
        <w:tc>
          <w:tcPr>
            <w:tcW w:w="708" w:type="dxa"/>
            <w:noWrap/>
          </w:tcPr>
          <w:p w14:paraId="72F68415" w14:textId="6C3DD6E0" w:rsidR="003E7B6A" w:rsidRPr="003E7B6A" w:rsidRDefault="003E7B6A" w:rsidP="003E7B6A">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0,6</w:t>
            </w:r>
          </w:p>
        </w:tc>
        <w:tc>
          <w:tcPr>
            <w:tcW w:w="709" w:type="dxa"/>
            <w:noWrap/>
          </w:tcPr>
          <w:p w14:paraId="76361568" w14:textId="320D734A" w:rsidR="003E7B6A" w:rsidRPr="003E7B6A" w:rsidRDefault="003E7B6A" w:rsidP="003E7B6A">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1,9</w:t>
            </w:r>
          </w:p>
        </w:tc>
      </w:tr>
    </w:tbl>
    <w:tbl>
      <w:tblPr>
        <w:tblStyle w:val="GridTable6Colorful-Accent1175"/>
        <w:tblW w:w="9838" w:type="dxa"/>
        <w:jc w:val="center"/>
        <w:tblLook w:val="04A0" w:firstRow="1" w:lastRow="0" w:firstColumn="1" w:lastColumn="0" w:noHBand="0" w:noVBand="1"/>
      </w:tblPr>
      <w:tblGrid>
        <w:gridCol w:w="4815"/>
        <w:gridCol w:w="709"/>
        <w:gridCol w:w="708"/>
        <w:gridCol w:w="709"/>
        <w:gridCol w:w="709"/>
        <w:gridCol w:w="709"/>
        <w:gridCol w:w="708"/>
        <w:gridCol w:w="771"/>
      </w:tblGrid>
      <w:tr w:rsidR="005346E4" w:rsidRPr="00F72EED" w14:paraId="6D6588AA" w14:textId="77777777" w:rsidTr="00991B5E">
        <w:trPr>
          <w:cnfStyle w:val="100000000000" w:firstRow="1" w:lastRow="0" w:firstColumn="0" w:lastColumn="0" w:oddVBand="0" w:evenVBand="0" w:oddHBand="0"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838" w:type="dxa"/>
            <w:gridSpan w:val="8"/>
            <w:shd w:val="clear" w:color="auto" w:fill="DEEAF6"/>
            <w:noWrap/>
            <w:vAlign w:val="center"/>
          </w:tcPr>
          <w:p w14:paraId="1C11AEA4" w14:textId="77777777" w:rsidR="005346E4" w:rsidRPr="00F72EED" w:rsidRDefault="005346E4" w:rsidP="006E3B77">
            <w:pPr>
              <w:spacing w:line="259" w:lineRule="auto"/>
              <w:ind w:firstLine="0"/>
              <w:jc w:val="center"/>
              <w:rPr>
                <w:rFonts w:eastAsia="Times New Roman" w:cs="Times New Roman"/>
                <w:color w:val="000000"/>
                <w:sz w:val="18"/>
                <w:szCs w:val="18"/>
              </w:rPr>
            </w:pPr>
            <w:r w:rsidRPr="00F72EED">
              <w:rPr>
                <w:rFonts w:eastAsia="Times New Roman" w:cs="Times New Roman"/>
                <w:color w:val="000000"/>
                <w:sz w:val="18"/>
                <w:szCs w:val="18"/>
              </w:rPr>
              <w:t>Izdevumi, kas tiek finansēti no ANM pārvedumiem (% no IKP)</w:t>
            </w:r>
          </w:p>
        </w:tc>
      </w:tr>
      <w:tr w:rsidR="005346E4" w:rsidRPr="00F72EED" w14:paraId="70049581" w14:textId="77777777" w:rsidTr="00991B5E">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6B38DFB6" w14:textId="77777777" w:rsidR="005346E4" w:rsidRPr="00F72EED" w:rsidRDefault="005346E4" w:rsidP="006E3B77">
            <w:pPr>
              <w:spacing w:line="259" w:lineRule="auto"/>
              <w:ind w:firstLine="0"/>
              <w:jc w:val="left"/>
              <w:rPr>
                <w:rFonts w:eastAsia="Times New Roman" w:cs="Times New Roman"/>
                <w:color w:val="000000"/>
                <w:sz w:val="18"/>
                <w:szCs w:val="18"/>
              </w:rPr>
            </w:pPr>
          </w:p>
        </w:tc>
        <w:tc>
          <w:tcPr>
            <w:tcW w:w="709" w:type="dxa"/>
            <w:vAlign w:val="center"/>
          </w:tcPr>
          <w:p w14:paraId="7FEB2FFD" w14:textId="77777777" w:rsidR="005346E4" w:rsidRPr="00F72EED"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F72EED">
              <w:rPr>
                <w:rFonts w:eastAsia="Times New Roman" w:cs="Times New Roman"/>
                <w:b/>
                <w:bCs/>
                <w:color w:val="000000"/>
                <w:sz w:val="18"/>
                <w:szCs w:val="18"/>
              </w:rPr>
              <w:t>2020</w:t>
            </w:r>
          </w:p>
        </w:tc>
        <w:tc>
          <w:tcPr>
            <w:tcW w:w="708" w:type="dxa"/>
            <w:vAlign w:val="center"/>
            <w:hideMark/>
          </w:tcPr>
          <w:p w14:paraId="7C9D0C3F" w14:textId="77777777" w:rsidR="005346E4" w:rsidRPr="00F72EED"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F72EED">
              <w:rPr>
                <w:rFonts w:eastAsia="Times New Roman" w:cs="Times New Roman"/>
                <w:b/>
                <w:bCs/>
                <w:color w:val="000000"/>
                <w:sz w:val="18"/>
                <w:szCs w:val="18"/>
              </w:rPr>
              <w:t>2021</w:t>
            </w:r>
          </w:p>
        </w:tc>
        <w:tc>
          <w:tcPr>
            <w:tcW w:w="709" w:type="dxa"/>
            <w:noWrap/>
            <w:vAlign w:val="center"/>
            <w:hideMark/>
          </w:tcPr>
          <w:p w14:paraId="2FEBB929" w14:textId="77777777" w:rsidR="005346E4" w:rsidRPr="00F72EED"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F72EED">
              <w:rPr>
                <w:rFonts w:eastAsia="Times New Roman" w:cs="Times New Roman"/>
                <w:b/>
                <w:bCs/>
                <w:color w:val="000000"/>
                <w:sz w:val="18"/>
                <w:szCs w:val="18"/>
              </w:rPr>
              <w:t>2022</w:t>
            </w:r>
          </w:p>
        </w:tc>
        <w:tc>
          <w:tcPr>
            <w:tcW w:w="709" w:type="dxa"/>
            <w:noWrap/>
            <w:vAlign w:val="center"/>
            <w:hideMark/>
          </w:tcPr>
          <w:p w14:paraId="012B1F82" w14:textId="77777777" w:rsidR="005346E4" w:rsidRPr="00F72EED"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F72EED">
              <w:rPr>
                <w:rFonts w:eastAsia="Times New Roman" w:cs="Times New Roman"/>
                <w:b/>
                <w:bCs/>
                <w:color w:val="000000"/>
                <w:sz w:val="18"/>
                <w:szCs w:val="18"/>
              </w:rPr>
              <w:t>2023</w:t>
            </w:r>
          </w:p>
        </w:tc>
        <w:tc>
          <w:tcPr>
            <w:tcW w:w="709" w:type="dxa"/>
            <w:noWrap/>
            <w:vAlign w:val="center"/>
            <w:hideMark/>
          </w:tcPr>
          <w:p w14:paraId="6E6467E2" w14:textId="77777777" w:rsidR="005346E4" w:rsidRPr="00F72EED"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F72EED">
              <w:rPr>
                <w:rFonts w:eastAsia="Times New Roman" w:cs="Times New Roman"/>
                <w:b/>
                <w:bCs/>
                <w:color w:val="000000"/>
                <w:sz w:val="18"/>
                <w:szCs w:val="18"/>
              </w:rPr>
              <w:t>2024</w:t>
            </w:r>
          </w:p>
        </w:tc>
        <w:tc>
          <w:tcPr>
            <w:tcW w:w="708" w:type="dxa"/>
            <w:noWrap/>
            <w:vAlign w:val="center"/>
            <w:hideMark/>
          </w:tcPr>
          <w:p w14:paraId="1CF24902" w14:textId="77777777" w:rsidR="005346E4" w:rsidRPr="00F72EED"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F72EED">
              <w:rPr>
                <w:rFonts w:eastAsia="Times New Roman" w:cs="Times New Roman"/>
                <w:b/>
                <w:bCs/>
                <w:color w:val="000000"/>
                <w:sz w:val="18"/>
                <w:szCs w:val="18"/>
              </w:rPr>
              <w:t>2025</w:t>
            </w:r>
          </w:p>
        </w:tc>
        <w:tc>
          <w:tcPr>
            <w:tcW w:w="771" w:type="dxa"/>
            <w:noWrap/>
            <w:vAlign w:val="center"/>
            <w:hideMark/>
          </w:tcPr>
          <w:p w14:paraId="15E79324" w14:textId="77777777" w:rsidR="005346E4" w:rsidRPr="00F72EED"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F72EED">
              <w:rPr>
                <w:rFonts w:eastAsia="Times New Roman" w:cs="Times New Roman"/>
                <w:b/>
                <w:bCs/>
                <w:color w:val="000000"/>
                <w:sz w:val="18"/>
                <w:szCs w:val="18"/>
              </w:rPr>
              <w:t>2026</w:t>
            </w:r>
          </w:p>
        </w:tc>
      </w:tr>
    </w:tbl>
    <w:tbl>
      <w:tblPr>
        <w:tblStyle w:val="GridTable6Colorful-Accent1185"/>
        <w:tblW w:w="9828" w:type="dxa"/>
        <w:jc w:val="center"/>
        <w:tblLook w:val="04A0" w:firstRow="1" w:lastRow="0" w:firstColumn="1" w:lastColumn="0" w:noHBand="0" w:noVBand="1"/>
      </w:tblPr>
      <w:tblGrid>
        <w:gridCol w:w="4815"/>
        <w:gridCol w:w="709"/>
        <w:gridCol w:w="708"/>
        <w:gridCol w:w="709"/>
        <w:gridCol w:w="709"/>
        <w:gridCol w:w="709"/>
        <w:gridCol w:w="708"/>
        <w:gridCol w:w="761"/>
      </w:tblGrid>
      <w:tr w:rsidR="003E7B6A" w:rsidRPr="00F72EED" w14:paraId="11EF1B7B" w14:textId="77777777" w:rsidTr="00991B5E">
        <w:trPr>
          <w:cnfStyle w:val="100000000000" w:firstRow="1" w:lastRow="0" w:firstColumn="0" w:lastColumn="0" w:oddVBand="0" w:evenVBand="0" w:oddHBand="0"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7AE8765D" w14:textId="77777777" w:rsidR="003E7B6A" w:rsidRPr="00F72EED" w:rsidRDefault="003E7B6A" w:rsidP="003E7B6A">
            <w:pPr>
              <w:spacing w:line="259" w:lineRule="auto"/>
              <w:ind w:firstLine="0"/>
              <w:jc w:val="left"/>
              <w:rPr>
                <w:rFonts w:eastAsia="Times New Roman" w:cs="Times New Roman"/>
                <w:color w:val="000000"/>
                <w:sz w:val="18"/>
                <w:szCs w:val="18"/>
              </w:rPr>
            </w:pPr>
            <w:r w:rsidRPr="00F72EED">
              <w:rPr>
                <w:rFonts w:eastAsia="Times New Roman" w:cs="Times New Roman"/>
                <w:color w:val="000000"/>
                <w:sz w:val="18"/>
                <w:szCs w:val="18"/>
              </w:rPr>
              <w:t>KĀRTĒJIE IZDEVUMI</w:t>
            </w:r>
          </w:p>
        </w:tc>
        <w:tc>
          <w:tcPr>
            <w:tcW w:w="709" w:type="dxa"/>
          </w:tcPr>
          <w:p w14:paraId="4311BB68" w14:textId="54407A97" w:rsidR="003E7B6A" w:rsidRPr="00F72EED" w:rsidRDefault="003E7B6A" w:rsidP="003E7B6A">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72EED">
              <w:rPr>
                <w:b w:val="0"/>
                <w:bCs w:val="0"/>
                <w:color w:val="auto"/>
                <w:sz w:val="18"/>
                <w:szCs w:val="18"/>
              </w:rPr>
              <w:t>0,0</w:t>
            </w:r>
          </w:p>
        </w:tc>
        <w:tc>
          <w:tcPr>
            <w:tcW w:w="708" w:type="dxa"/>
            <w:noWrap/>
          </w:tcPr>
          <w:p w14:paraId="1A4F54BB" w14:textId="0068AAE5" w:rsidR="003E7B6A" w:rsidRPr="00F72EED" w:rsidRDefault="003E7B6A" w:rsidP="003E7B6A">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72EED">
              <w:rPr>
                <w:b w:val="0"/>
                <w:bCs w:val="0"/>
                <w:color w:val="auto"/>
                <w:sz w:val="18"/>
                <w:szCs w:val="18"/>
              </w:rPr>
              <w:t>0,0</w:t>
            </w:r>
          </w:p>
        </w:tc>
        <w:tc>
          <w:tcPr>
            <w:tcW w:w="709" w:type="dxa"/>
            <w:noWrap/>
          </w:tcPr>
          <w:p w14:paraId="70725C80" w14:textId="6201311F" w:rsidR="003E7B6A" w:rsidRPr="00F72EED" w:rsidRDefault="003E7B6A" w:rsidP="003E7B6A">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72EED">
              <w:rPr>
                <w:b w:val="0"/>
                <w:bCs w:val="0"/>
                <w:color w:val="auto"/>
                <w:sz w:val="18"/>
                <w:szCs w:val="18"/>
              </w:rPr>
              <w:t>0,003</w:t>
            </w:r>
          </w:p>
        </w:tc>
        <w:tc>
          <w:tcPr>
            <w:tcW w:w="709" w:type="dxa"/>
            <w:noWrap/>
          </w:tcPr>
          <w:p w14:paraId="6E53A125" w14:textId="70BDA0F0" w:rsidR="003E7B6A" w:rsidRPr="00F72EED" w:rsidRDefault="003E7B6A" w:rsidP="003E7B6A">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72EED">
              <w:rPr>
                <w:b w:val="0"/>
                <w:bCs w:val="0"/>
                <w:color w:val="auto"/>
                <w:sz w:val="18"/>
                <w:szCs w:val="18"/>
              </w:rPr>
              <w:t>0,1</w:t>
            </w:r>
          </w:p>
        </w:tc>
        <w:tc>
          <w:tcPr>
            <w:tcW w:w="709" w:type="dxa"/>
            <w:noWrap/>
          </w:tcPr>
          <w:p w14:paraId="1959F205" w14:textId="209896DC" w:rsidR="003E7B6A" w:rsidRPr="00F72EED" w:rsidRDefault="003E7B6A" w:rsidP="003E7B6A">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72EED">
              <w:rPr>
                <w:b w:val="0"/>
                <w:bCs w:val="0"/>
                <w:color w:val="auto"/>
                <w:sz w:val="18"/>
                <w:szCs w:val="18"/>
              </w:rPr>
              <w:t>0,6</w:t>
            </w:r>
          </w:p>
        </w:tc>
        <w:tc>
          <w:tcPr>
            <w:tcW w:w="708" w:type="dxa"/>
            <w:noWrap/>
          </w:tcPr>
          <w:p w14:paraId="2AA65ABF" w14:textId="6BC352AA" w:rsidR="003E7B6A" w:rsidRPr="00F72EED" w:rsidRDefault="003E7B6A" w:rsidP="003E7B6A">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72EED">
              <w:rPr>
                <w:b w:val="0"/>
                <w:bCs w:val="0"/>
                <w:color w:val="auto"/>
                <w:sz w:val="18"/>
                <w:szCs w:val="18"/>
              </w:rPr>
              <w:t>0,6</w:t>
            </w:r>
          </w:p>
        </w:tc>
        <w:tc>
          <w:tcPr>
            <w:tcW w:w="761" w:type="dxa"/>
            <w:noWrap/>
          </w:tcPr>
          <w:p w14:paraId="4AF41C51" w14:textId="27135F39" w:rsidR="003E7B6A" w:rsidRPr="00F72EED" w:rsidRDefault="003E7B6A" w:rsidP="003E7B6A">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F72EED">
              <w:rPr>
                <w:b w:val="0"/>
                <w:bCs w:val="0"/>
                <w:color w:val="auto"/>
                <w:sz w:val="18"/>
                <w:szCs w:val="18"/>
              </w:rPr>
              <w:t>0,3</w:t>
            </w:r>
          </w:p>
        </w:tc>
      </w:tr>
      <w:tr w:rsidR="003E7B6A" w:rsidRPr="00F72EED" w14:paraId="0756E368" w14:textId="77777777" w:rsidTr="00991B5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1CFDFF2C" w14:textId="77777777" w:rsidR="003E7B6A" w:rsidRPr="00F72EED" w:rsidRDefault="003E7B6A" w:rsidP="003E7B6A">
            <w:pPr>
              <w:spacing w:line="259" w:lineRule="auto"/>
              <w:ind w:firstLine="0"/>
              <w:jc w:val="left"/>
              <w:rPr>
                <w:rFonts w:eastAsia="Times New Roman" w:cs="Times New Roman"/>
                <w:color w:val="000000"/>
                <w:sz w:val="18"/>
                <w:szCs w:val="18"/>
              </w:rPr>
            </w:pPr>
            <w:r w:rsidRPr="00F72EED">
              <w:rPr>
                <w:rFonts w:eastAsia="Times New Roman" w:cs="Times New Roman"/>
                <w:color w:val="000000"/>
                <w:sz w:val="18"/>
                <w:szCs w:val="18"/>
              </w:rPr>
              <w:t>Bruto pamatkapitāla veidošana P.51g</w:t>
            </w:r>
          </w:p>
        </w:tc>
        <w:tc>
          <w:tcPr>
            <w:tcW w:w="709" w:type="dxa"/>
          </w:tcPr>
          <w:p w14:paraId="57330B62" w14:textId="798269C3" w:rsidR="003E7B6A" w:rsidRPr="00F72EED"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F72EED">
              <w:rPr>
                <w:color w:val="auto"/>
                <w:sz w:val="18"/>
                <w:szCs w:val="18"/>
              </w:rPr>
              <w:t>0,0</w:t>
            </w:r>
          </w:p>
        </w:tc>
        <w:tc>
          <w:tcPr>
            <w:tcW w:w="708" w:type="dxa"/>
            <w:noWrap/>
          </w:tcPr>
          <w:p w14:paraId="5C48849E" w14:textId="448AF4BF" w:rsidR="003E7B6A" w:rsidRPr="00F72EED"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F72EED">
              <w:rPr>
                <w:color w:val="auto"/>
                <w:sz w:val="18"/>
                <w:szCs w:val="18"/>
              </w:rPr>
              <w:t>0,0</w:t>
            </w:r>
          </w:p>
        </w:tc>
        <w:tc>
          <w:tcPr>
            <w:tcW w:w="709" w:type="dxa"/>
            <w:noWrap/>
          </w:tcPr>
          <w:p w14:paraId="65148F51" w14:textId="11EA47CF" w:rsidR="003E7B6A" w:rsidRPr="00F72EED"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F72EED">
              <w:rPr>
                <w:color w:val="auto"/>
                <w:sz w:val="18"/>
                <w:szCs w:val="18"/>
              </w:rPr>
              <w:t>0,01</w:t>
            </w:r>
          </w:p>
        </w:tc>
        <w:tc>
          <w:tcPr>
            <w:tcW w:w="709" w:type="dxa"/>
            <w:noWrap/>
          </w:tcPr>
          <w:p w14:paraId="60CB022C" w14:textId="796D21BB" w:rsidR="003E7B6A" w:rsidRPr="00F72EED"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F72EED">
              <w:rPr>
                <w:color w:val="auto"/>
                <w:sz w:val="18"/>
                <w:szCs w:val="18"/>
              </w:rPr>
              <w:t>0,3</w:t>
            </w:r>
          </w:p>
        </w:tc>
        <w:tc>
          <w:tcPr>
            <w:tcW w:w="709" w:type="dxa"/>
            <w:noWrap/>
          </w:tcPr>
          <w:p w14:paraId="671F3377" w14:textId="1456E528" w:rsidR="003E7B6A" w:rsidRPr="00F72EED"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F72EED">
              <w:rPr>
                <w:color w:val="auto"/>
                <w:sz w:val="18"/>
                <w:szCs w:val="18"/>
              </w:rPr>
              <w:t>0,9</w:t>
            </w:r>
          </w:p>
        </w:tc>
        <w:tc>
          <w:tcPr>
            <w:tcW w:w="708" w:type="dxa"/>
            <w:noWrap/>
          </w:tcPr>
          <w:p w14:paraId="33064222" w14:textId="3146B8A2" w:rsidR="003E7B6A" w:rsidRPr="00F72EED"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F72EED">
              <w:rPr>
                <w:color w:val="auto"/>
                <w:sz w:val="18"/>
                <w:szCs w:val="18"/>
              </w:rPr>
              <w:t>1,0</w:t>
            </w:r>
          </w:p>
        </w:tc>
        <w:tc>
          <w:tcPr>
            <w:tcW w:w="761" w:type="dxa"/>
            <w:noWrap/>
          </w:tcPr>
          <w:p w14:paraId="1223ED64" w14:textId="26E26592" w:rsidR="003E7B6A" w:rsidRPr="00F72EED"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F72EED">
              <w:rPr>
                <w:color w:val="auto"/>
                <w:sz w:val="18"/>
                <w:szCs w:val="18"/>
              </w:rPr>
              <w:t>0,7</w:t>
            </w:r>
          </w:p>
        </w:tc>
      </w:tr>
      <w:tr w:rsidR="003E7B6A" w:rsidRPr="00874664" w14:paraId="664580F0" w14:textId="77777777" w:rsidTr="00991B5E">
        <w:trPr>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2B5ECA99" w14:textId="77777777" w:rsidR="003E7B6A" w:rsidRPr="003E7B6A" w:rsidRDefault="003E7B6A" w:rsidP="003E7B6A">
            <w:pPr>
              <w:spacing w:line="259" w:lineRule="auto"/>
              <w:ind w:firstLine="0"/>
              <w:jc w:val="left"/>
              <w:rPr>
                <w:rFonts w:eastAsia="Times New Roman" w:cs="Times New Roman"/>
                <w:color w:val="000000"/>
                <w:sz w:val="18"/>
                <w:szCs w:val="18"/>
              </w:rPr>
            </w:pPr>
            <w:r w:rsidRPr="00F72EED">
              <w:rPr>
                <w:rFonts w:eastAsia="Times New Roman" w:cs="Times New Roman"/>
                <w:color w:val="000000"/>
                <w:sz w:val="18"/>
                <w:szCs w:val="18"/>
              </w:rPr>
              <w:t>Kapitāla pārvedumi D.9</w:t>
            </w:r>
          </w:p>
        </w:tc>
        <w:tc>
          <w:tcPr>
            <w:tcW w:w="709" w:type="dxa"/>
          </w:tcPr>
          <w:p w14:paraId="6E8F23CD" w14:textId="565F691B" w:rsidR="003E7B6A" w:rsidRPr="003E7B6A" w:rsidRDefault="003E7B6A" w:rsidP="003E7B6A">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708" w:type="dxa"/>
            <w:noWrap/>
          </w:tcPr>
          <w:p w14:paraId="045D4F9C" w14:textId="255018B3" w:rsidR="003E7B6A" w:rsidRPr="003E7B6A" w:rsidRDefault="003E7B6A" w:rsidP="003E7B6A">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709" w:type="dxa"/>
            <w:noWrap/>
          </w:tcPr>
          <w:p w14:paraId="0AC3C8F3" w14:textId="0CD04BC5" w:rsidR="003E7B6A" w:rsidRPr="003E7B6A" w:rsidRDefault="003E7B6A" w:rsidP="003E7B6A">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709" w:type="dxa"/>
            <w:noWrap/>
          </w:tcPr>
          <w:p w14:paraId="1400CB60" w14:textId="2DF775A5" w:rsidR="003E7B6A" w:rsidRPr="003E7B6A" w:rsidRDefault="003E7B6A" w:rsidP="003E7B6A">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709" w:type="dxa"/>
            <w:noWrap/>
          </w:tcPr>
          <w:p w14:paraId="7D86E515" w14:textId="096913CF" w:rsidR="003E7B6A" w:rsidRPr="003E7B6A" w:rsidRDefault="003E7B6A" w:rsidP="003E7B6A">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708" w:type="dxa"/>
            <w:noWrap/>
          </w:tcPr>
          <w:p w14:paraId="3B0F5436" w14:textId="1F29B003" w:rsidR="003E7B6A" w:rsidRPr="003E7B6A" w:rsidRDefault="003E7B6A" w:rsidP="003E7B6A">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761" w:type="dxa"/>
            <w:noWrap/>
          </w:tcPr>
          <w:p w14:paraId="561E5F93" w14:textId="1D522554" w:rsidR="003E7B6A" w:rsidRPr="003E7B6A" w:rsidRDefault="003E7B6A" w:rsidP="003E7B6A">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r>
      <w:tr w:rsidR="003E7B6A" w:rsidRPr="00874664" w14:paraId="370A2F48" w14:textId="77777777" w:rsidTr="00991B5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13705EAB" w14:textId="77777777" w:rsidR="003E7B6A" w:rsidRPr="003E7B6A" w:rsidRDefault="003E7B6A" w:rsidP="003E7B6A">
            <w:pPr>
              <w:spacing w:line="259" w:lineRule="auto"/>
              <w:ind w:firstLine="0"/>
              <w:jc w:val="left"/>
              <w:rPr>
                <w:rFonts w:eastAsia="Times New Roman" w:cs="Times New Roman"/>
                <w:color w:val="000000"/>
                <w:sz w:val="18"/>
                <w:szCs w:val="18"/>
              </w:rPr>
            </w:pPr>
            <w:r w:rsidRPr="003E7B6A">
              <w:rPr>
                <w:rFonts w:eastAsia="Times New Roman" w:cs="Times New Roman"/>
                <w:color w:val="000000"/>
                <w:sz w:val="18"/>
                <w:szCs w:val="18"/>
              </w:rPr>
              <w:t>KAPITĀLIE IZDEVUMI</w:t>
            </w:r>
          </w:p>
        </w:tc>
        <w:tc>
          <w:tcPr>
            <w:tcW w:w="709" w:type="dxa"/>
          </w:tcPr>
          <w:p w14:paraId="58EC73AD" w14:textId="7D4FCE2E" w:rsidR="003E7B6A" w:rsidRPr="003E7B6A"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0,0</w:t>
            </w:r>
          </w:p>
        </w:tc>
        <w:tc>
          <w:tcPr>
            <w:tcW w:w="708" w:type="dxa"/>
            <w:noWrap/>
          </w:tcPr>
          <w:p w14:paraId="021E9E7A" w14:textId="63D88D95" w:rsidR="003E7B6A" w:rsidRPr="003E7B6A"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0,0</w:t>
            </w:r>
          </w:p>
        </w:tc>
        <w:tc>
          <w:tcPr>
            <w:tcW w:w="709" w:type="dxa"/>
            <w:noWrap/>
          </w:tcPr>
          <w:p w14:paraId="6BB24DA3" w14:textId="2C5BD501" w:rsidR="003E7B6A" w:rsidRPr="003E7B6A"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0,01</w:t>
            </w:r>
          </w:p>
        </w:tc>
        <w:tc>
          <w:tcPr>
            <w:tcW w:w="709" w:type="dxa"/>
            <w:noWrap/>
          </w:tcPr>
          <w:p w14:paraId="32596393" w14:textId="6354D12C" w:rsidR="003E7B6A" w:rsidRPr="003E7B6A"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0,3</w:t>
            </w:r>
          </w:p>
        </w:tc>
        <w:tc>
          <w:tcPr>
            <w:tcW w:w="709" w:type="dxa"/>
            <w:noWrap/>
          </w:tcPr>
          <w:p w14:paraId="2A4DC476" w14:textId="5FF00A6D" w:rsidR="003E7B6A" w:rsidRPr="003E7B6A"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0,9</w:t>
            </w:r>
          </w:p>
        </w:tc>
        <w:tc>
          <w:tcPr>
            <w:tcW w:w="708" w:type="dxa"/>
            <w:noWrap/>
          </w:tcPr>
          <w:p w14:paraId="0476B657" w14:textId="4B26C060" w:rsidR="003E7B6A" w:rsidRPr="003E7B6A"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1,0</w:t>
            </w:r>
          </w:p>
        </w:tc>
        <w:tc>
          <w:tcPr>
            <w:tcW w:w="761" w:type="dxa"/>
            <w:noWrap/>
          </w:tcPr>
          <w:p w14:paraId="593DE86B" w14:textId="5D35BDBC" w:rsidR="003E7B6A" w:rsidRPr="003E7B6A" w:rsidRDefault="003E7B6A" w:rsidP="003E7B6A">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3E7B6A">
              <w:rPr>
                <w:color w:val="auto"/>
                <w:sz w:val="18"/>
                <w:szCs w:val="18"/>
              </w:rPr>
              <w:t>0,7</w:t>
            </w:r>
          </w:p>
        </w:tc>
      </w:tr>
      <w:tr w:rsidR="005346E4" w:rsidRPr="00874664" w14:paraId="7CE3B8CA" w14:textId="705877C2" w:rsidTr="00991B5E">
        <w:trPr>
          <w:trHeight w:val="63"/>
          <w:jc w:val="center"/>
        </w:trPr>
        <w:tc>
          <w:tcPr>
            <w:cnfStyle w:val="001000000000" w:firstRow="0" w:lastRow="0" w:firstColumn="1" w:lastColumn="0" w:oddVBand="0" w:evenVBand="0" w:oddHBand="0" w:evenHBand="0" w:firstRowFirstColumn="0" w:firstRowLastColumn="0" w:lastRowFirstColumn="0" w:lastRowLastColumn="0"/>
            <w:tcW w:w="9828" w:type="dxa"/>
            <w:gridSpan w:val="8"/>
            <w:noWrap/>
          </w:tcPr>
          <w:p w14:paraId="5FEF5D86" w14:textId="394D94F6" w:rsidR="005346E4" w:rsidRPr="003E7B6A" w:rsidRDefault="005346E4" w:rsidP="006E3B77">
            <w:pPr>
              <w:spacing w:line="259" w:lineRule="auto"/>
              <w:ind w:firstLine="0"/>
              <w:jc w:val="center"/>
              <w:rPr>
                <w:rFonts w:eastAsia="Times New Roman" w:cs="Times New Roman"/>
                <w:color w:val="000000"/>
                <w:sz w:val="18"/>
                <w:szCs w:val="18"/>
              </w:rPr>
            </w:pPr>
            <w:r w:rsidRPr="003E7B6A">
              <w:rPr>
                <w:rFonts w:eastAsia="Times New Roman" w:cs="Times New Roman"/>
                <w:color w:val="000000"/>
                <w:sz w:val="18"/>
                <w:szCs w:val="18"/>
              </w:rPr>
              <w:t xml:space="preserve">Citas izmaksas finansētas no ANM pārvedumiem (% </w:t>
            </w:r>
            <w:r w:rsidR="00042C12" w:rsidRPr="003E7B6A">
              <w:rPr>
                <w:rFonts w:eastAsia="Times New Roman" w:cs="Times New Roman"/>
                <w:color w:val="000000"/>
                <w:sz w:val="18"/>
                <w:szCs w:val="18"/>
              </w:rPr>
              <w:t>no</w:t>
            </w:r>
            <w:r w:rsidRPr="003E7B6A">
              <w:rPr>
                <w:rFonts w:eastAsia="Times New Roman" w:cs="Times New Roman"/>
                <w:color w:val="000000"/>
                <w:sz w:val="18"/>
                <w:szCs w:val="18"/>
              </w:rPr>
              <w:t xml:space="preserve"> IKP)</w:t>
            </w:r>
          </w:p>
        </w:tc>
      </w:tr>
      <w:tr w:rsidR="005346E4" w:rsidRPr="00874664" w14:paraId="2E6529A0" w14:textId="76C46252" w:rsidTr="00991B5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473518CA" w14:textId="0CF74584" w:rsidR="005346E4" w:rsidRPr="003E7B6A" w:rsidRDefault="005346E4" w:rsidP="006E3B77">
            <w:pPr>
              <w:spacing w:line="259" w:lineRule="auto"/>
              <w:ind w:firstLine="0"/>
              <w:jc w:val="left"/>
              <w:rPr>
                <w:rFonts w:eastAsia="Times New Roman" w:cs="Times New Roman"/>
                <w:color w:val="000000"/>
                <w:sz w:val="18"/>
                <w:szCs w:val="18"/>
              </w:rPr>
            </w:pPr>
          </w:p>
        </w:tc>
        <w:tc>
          <w:tcPr>
            <w:tcW w:w="709" w:type="dxa"/>
          </w:tcPr>
          <w:p w14:paraId="5B04DD84" w14:textId="7F36AA26"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2020</w:t>
            </w:r>
          </w:p>
        </w:tc>
        <w:tc>
          <w:tcPr>
            <w:tcW w:w="708" w:type="dxa"/>
            <w:noWrap/>
          </w:tcPr>
          <w:p w14:paraId="64B2EC83" w14:textId="4758A903"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2021</w:t>
            </w:r>
          </w:p>
        </w:tc>
        <w:tc>
          <w:tcPr>
            <w:tcW w:w="709" w:type="dxa"/>
            <w:noWrap/>
          </w:tcPr>
          <w:p w14:paraId="3F285C72" w14:textId="79BCFCF9"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2022</w:t>
            </w:r>
          </w:p>
        </w:tc>
        <w:tc>
          <w:tcPr>
            <w:tcW w:w="709" w:type="dxa"/>
            <w:noWrap/>
          </w:tcPr>
          <w:p w14:paraId="0A6F48C0" w14:textId="131A1863"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2023</w:t>
            </w:r>
          </w:p>
        </w:tc>
        <w:tc>
          <w:tcPr>
            <w:tcW w:w="709" w:type="dxa"/>
            <w:noWrap/>
          </w:tcPr>
          <w:p w14:paraId="6A469E3A" w14:textId="36BA7170"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2024</w:t>
            </w:r>
          </w:p>
        </w:tc>
        <w:tc>
          <w:tcPr>
            <w:tcW w:w="708" w:type="dxa"/>
            <w:noWrap/>
          </w:tcPr>
          <w:p w14:paraId="323104EB" w14:textId="46846DF1"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2025</w:t>
            </w:r>
          </w:p>
        </w:tc>
        <w:tc>
          <w:tcPr>
            <w:tcW w:w="761" w:type="dxa"/>
            <w:noWrap/>
          </w:tcPr>
          <w:p w14:paraId="1D9669CA" w14:textId="34E2AAEF" w:rsidR="005346E4" w:rsidRPr="003E7B6A"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3E7B6A">
              <w:rPr>
                <w:rFonts w:eastAsia="Times New Roman" w:cs="Times New Roman"/>
                <w:b/>
                <w:bCs/>
                <w:color w:val="000000"/>
                <w:sz w:val="18"/>
                <w:szCs w:val="18"/>
              </w:rPr>
              <w:t>2026</w:t>
            </w:r>
          </w:p>
        </w:tc>
      </w:tr>
      <w:tr w:rsidR="005346E4" w:rsidRPr="00874664" w14:paraId="7CA2700B" w14:textId="4C28137F" w:rsidTr="00991B5E">
        <w:trPr>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79FA9E49" w14:textId="0D284B71" w:rsidR="005346E4" w:rsidRPr="003E7B6A" w:rsidRDefault="005346E4" w:rsidP="006E3B77">
            <w:pPr>
              <w:spacing w:line="259" w:lineRule="auto"/>
              <w:ind w:firstLine="0"/>
              <w:jc w:val="left"/>
              <w:rPr>
                <w:rFonts w:eastAsia="Times New Roman" w:cs="Times New Roman"/>
                <w:color w:val="000000"/>
                <w:sz w:val="18"/>
                <w:szCs w:val="18"/>
              </w:rPr>
            </w:pPr>
            <w:r w:rsidRPr="003E7B6A">
              <w:rPr>
                <w:rFonts w:eastAsia="Times New Roman" w:cs="Times New Roman"/>
                <w:color w:val="000000"/>
                <w:sz w:val="18"/>
                <w:szCs w:val="18"/>
              </w:rPr>
              <w:t>Nodokļu ieņēmumu samazinājums</w:t>
            </w:r>
          </w:p>
        </w:tc>
        <w:tc>
          <w:tcPr>
            <w:tcW w:w="709" w:type="dxa"/>
          </w:tcPr>
          <w:p w14:paraId="1E975B72" w14:textId="0D9892A4"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8" w:type="dxa"/>
            <w:noWrap/>
          </w:tcPr>
          <w:p w14:paraId="2F9BE0E2" w14:textId="3F24A2CD"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9" w:type="dxa"/>
            <w:noWrap/>
          </w:tcPr>
          <w:p w14:paraId="0A0F07FC" w14:textId="2EB5DE69"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9" w:type="dxa"/>
            <w:noWrap/>
          </w:tcPr>
          <w:p w14:paraId="7DB205C4" w14:textId="5EFFF799"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9" w:type="dxa"/>
            <w:noWrap/>
          </w:tcPr>
          <w:p w14:paraId="31942B63" w14:textId="7C7E4803"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8" w:type="dxa"/>
            <w:noWrap/>
          </w:tcPr>
          <w:p w14:paraId="1C51401F" w14:textId="0E3A7638"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61" w:type="dxa"/>
            <w:noWrap/>
          </w:tcPr>
          <w:p w14:paraId="74159FDA" w14:textId="1BE0C2D7" w:rsidR="005346E4" w:rsidRPr="003E7B6A" w:rsidRDefault="00C1707D" w:rsidP="00C1707D">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r>
      <w:tr w:rsidR="005346E4" w:rsidRPr="00874664" w14:paraId="77A7F4CB" w14:textId="0E2C1EFC" w:rsidTr="00991B5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7EB14DF4" w14:textId="40D0234D" w:rsidR="005346E4" w:rsidRPr="003E7B6A" w:rsidRDefault="005346E4" w:rsidP="006E3B77">
            <w:pPr>
              <w:spacing w:line="259" w:lineRule="auto"/>
              <w:ind w:firstLine="0"/>
              <w:jc w:val="left"/>
              <w:rPr>
                <w:rFonts w:eastAsia="Times New Roman" w:cs="Times New Roman"/>
                <w:color w:val="000000"/>
                <w:sz w:val="18"/>
                <w:szCs w:val="18"/>
              </w:rPr>
            </w:pPr>
            <w:r w:rsidRPr="003E7B6A">
              <w:rPr>
                <w:rFonts w:eastAsia="Times New Roman" w:cs="Times New Roman"/>
                <w:color w:val="000000"/>
                <w:sz w:val="18"/>
                <w:szCs w:val="18"/>
              </w:rPr>
              <w:t>Citas izmaksas, kas ietekmē ieņēmumus</w:t>
            </w:r>
          </w:p>
        </w:tc>
        <w:tc>
          <w:tcPr>
            <w:tcW w:w="709" w:type="dxa"/>
          </w:tcPr>
          <w:p w14:paraId="7308827F" w14:textId="313E4E5C" w:rsidR="005346E4" w:rsidRPr="003E7B6A"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8" w:type="dxa"/>
            <w:noWrap/>
          </w:tcPr>
          <w:p w14:paraId="288341E4" w14:textId="7B867992" w:rsidR="005346E4" w:rsidRPr="003E7B6A"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9" w:type="dxa"/>
            <w:noWrap/>
          </w:tcPr>
          <w:p w14:paraId="4E839621" w14:textId="12222D00" w:rsidR="005346E4" w:rsidRPr="003E7B6A"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9" w:type="dxa"/>
            <w:noWrap/>
          </w:tcPr>
          <w:p w14:paraId="292342B6" w14:textId="1CCA9EF9" w:rsidR="005346E4" w:rsidRPr="003E7B6A"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9" w:type="dxa"/>
            <w:noWrap/>
          </w:tcPr>
          <w:p w14:paraId="48C307F9" w14:textId="139D84F7" w:rsidR="005346E4" w:rsidRPr="003E7B6A"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8" w:type="dxa"/>
            <w:noWrap/>
          </w:tcPr>
          <w:p w14:paraId="7D15BCB6" w14:textId="73D5E987" w:rsidR="005346E4" w:rsidRPr="003E7B6A"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61" w:type="dxa"/>
            <w:noWrap/>
          </w:tcPr>
          <w:p w14:paraId="45F5897A" w14:textId="189F7744" w:rsidR="005346E4" w:rsidRPr="003E7B6A"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r>
      <w:tr w:rsidR="005346E4" w:rsidRPr="00085AFE" w14:paraId="7E41C6D9" w14:textId="57F68422" w:rsidTr="00991B5E">
        <w:trPr>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01670A09" w14:textId="0D2D13FF" w:rsidR="005346E4" w:rsidRPr="003E7B6A" w:rsidRDefault="005346E4" w:rsidP="006E3B77">
            <w:pPr>
              <w:spacing w:line="259" w:lineRule="auto"/>
              <w:ind w:firstLine="0"/>
              <w:jc w:val="left"/>
              <w:rPr>
                <w:rFonts w:eastAsia="Times New Roman" w:cs="Times New Roman"/>
                <w:color w:val="000000"/>
                <w:sz w:val="18"/>
                <w:szCs w:val="18"/>
              </w:rPr>
            </w:pPr>
            <w:r w:rsidRPr="003E7B6A">
              <w:rPr>
                <w:rFonts w:eastAsia="Times New Roman" w:cs="Times New Roman"/>
                <w:color w:val="000000"/>
                <w:sz w:val="18"/>
                <w:szCs w:val="18"/>
              </w:rPr>
              <w:t>Finanšu transakcijas</w:t>
            </w:r>
          </w:p>
        </w:tc>
        <w:tc>
          <w:tcPr>
            <w:tcW w:w="709" w:type="dxa"/>
          </w:tcPr>
          <w:p w14:paraId="68F8992A" w14:textId="3E50DC6A"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8" w:type="dxa"/>
            <w:noWrap/>
          </w:tcPr>
          <w:p w14:paraId="2418CC4F" w14:textId="70F2D3D7"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9" w:type="dxa"/>
            <w:noWrap/>
          </w:tcPr>
          <w:p w14:paraId="6662AECA" w14:textId="44251E15"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9" w:type="dxa"/>
            <w:noWrap/>
          </w:tcPr>
          <w:p w14:paraId="72D86F25" w14:textId="244169A3"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9" w:type="dxa"/>
            <w:noWrap/>
          </w:tcPr>
          <w:p w14:paraId="742CD0A1" w14:textId="1D02C489"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08" w:type="dxa"/>
            <w:noWrap/>
          </w:tcPr>
          <w:p w14:paraId="764CA9CB" w14:textId="706CE02B"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c>
          <w:tcPr>
            <w:tcW w:w="761" w:type="dxa"/>
            <w:noWrap/>
          </w:tcPr>
          <w:p w14:paraId="761AD3F1" w14:textId="38AF3848" w:rsidR="005346E4" w:rsidRPr="003E7B6A"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E7B6A">
              <w:rPr>
                <w:rFonts w:eastAsia="Times New Roman" w:cs="Times New Roman"/>
                <w:color w:val="000000"/>
                <w:sz w:val="18"/>
                <w:szCs w:val="18"/>
              </w:rPr>
              <w:t>-</w:t>
            </w:r>
          </w:p>
        </w:tc>
      </w:tr>
    </w:tbl>
    <w:p w14:paraId="3C766E3D" w14:textId="77777777" w:rsidR="005346E4" w:rsidRPr="00085AFE" w:rsidRDefault="005346E4" w:rsidP="005346E4">
      <w:pPr>
        <w:keepNext/>
        <w:ind w:firstLine="0"/>
        <w:jc w:val="left"/>
        <w:rPr>
          <w:rFonts w:eastAsia="Times New Roman" w:cs="Times New Roman"/>
          <w:bCs/>
          <w:color w:val="000000"/>
          <w:sz w:val="20"/>
          <w:szCs w:val="20"/>
          <w:highlight w:val="lightGray"/>
        </w:rPr>
        <w:sectPr w:rsidR="005346E4" w:rsidRPr="00085AFE" w:rsidSect="00162345">
          <w:footerReference w:type="default" r:id="rId61"/>
          <w:type w:val="continuous"/>
          <w:pgSz w:w="11906" w:h="16838"/>
          <w:pgMar w:top="1418" w:right="1134" w:bottom="709" w:left="1701" w:header="709" w:footer="624" w:gutter="0"/>
          <w:cols w:space="708"/>
          <w:titlePg/>
          <w:docGrid w:linePitch="381"/>
        </w:sectPr>
      </w:pPr>
    </w:p>
    <w:p w14:paraId="3A865FA3" w14:textId="77777777" w:rsidR="00DF348A" w:rsidRPr="00085AFE" w:rsidRDefault="00DF348A" w:rsidP="00BF4753">
      <w:pPr>
        <w:ind w:firstLine="0"/>
        <w:rPr>
          <w:rFonts w:eastAsia="Times New Roman" w:cs="Times New Roman"/>
          <w:b/>
          <w:bCs/>
          <w:color w:val="000000"/>
          <w:sz w:val="24"/>
          <w:szCs w:val="24"/>
          <w:highlight w:val="lightGray"/>
          <w:lang w:eastAsia="lv-LV"/>
        </w:rPr>
      </w:pPr>
    </w:p>
    <w:p w14:paraId="06B0A4D1" w14:textId="77777777" w:rsidR="00581441" w:rsidRPr="00085AFE" w:rsidRDefault="00581441" w:rsidP="00581441">
      <w:pPr>
        <w:tabs>
          <w:tab w:val="left" w:pos="851"/>
          <w:tab w:val="left" w:pos="6663"/>
        </w:tabs>
        <w:ind w:firstLine="0"/>
        <w:rPr>
          <w:rFonts w:eastAsia="Times New Roman" w:cs="Times New Roman"/>
          <w:b/>
          <w:bCs/>
          <w:color w:val="000000"/>
          <w:sz w:val="24"/>
          <w:szCs w:val="24"/>
          <w:highlight w:val="lightGray"/>
          <w:lang w:eastAsia="lv-LV"/>
        </w:rPr>
      </w:pPr>
    </w:p>
    <w:p w14:paraId="41AF9834" w14:textId="77777777" w:rsidR="00581441" w:rsidRPr="00085AFE" w:rsidRDefault="00581441" w:rsidP="00581441">
      <w:pPr>
        <w:tabs>
          <w:tab w:val="left" w:pos="851"/>
          <w:tab w:val="left" w:pos="6663"/>
        </w:tabs>
        <w:ind w:firstLine="0"/>
        <w:rPr>
          <w:rFonts w:eastAsia="Times New Roman" w:cs="Times New Roman"/>
          <w:b/>
          <w:bCs/>
          <w:color w:val="000000"/>
          <w:sz w:val="24"/>
          <w:szCs w:val="24"/>
          <w:highlight w:val="lightGray"/>
          <w:lang w:eastAsia="lv-LV"/>
        </w:rPr>
      </w:pPr>
    </w:p>
    <w:p w14:paraId="086ED82A" w14:textId="1D472126" w:rsidR="00BF4753" w:rsidRPr="00BA73EA" w:rsidRDefault="00BF4753" w:rsidP="00581441">
      <w:pPr>
        <w:tabs>
          <w:tab w:val="left" w:pos="851"/>
          <w:tab w:val="left" w:pos="6663"/>
        </w:tabs>
        <w:ind w:firstLine="0"/>
        <w:rPr>
          <w:szCs w:val="28"/>
        </w:rPr>
      </w:pPr>
      <w:r w:rsidRPr="00BA73EA">
        <w:rPr>
          <w:sz w:val="24"/>
          <w:szCs w:val="24"/>
        </w:rPr>
        <w:t xml:space="preserve">Finanšu ministrs </w:t>
      </w:r>
      <w:r w:rsidRPr="00BA73EA">
        <w:rPr>
          <w:sz w:val="24"/>
          <w:szCs w:val="24"/>
        </w:rPr>
        <w:tab/>
      </w:r>
      <w:r w:rsidRPr="00BA73EA">
        <w:rPr>
          <w:sz w:val="24"/>
          <w:szCs w:val="24"/>
        </w:rPr>
        <w:tab/>
      </w:r>
      <w:r w:rsidR="00085AFE" w:rsidRPr="00BA73EA">
        <w:rPr>
          <w:sz w:val="24"/>
          <w:szCs w:val="24"/>
        </w:rPr>
        <w:t>A</w:t>
      </w:r>
      <w:r w:rsidRPr="00BA73EA">
        <w:rPr>
          <w:sz w:val="24"/>
          <w:szCs w:val="24"/>
        </w:rPr>
        <w:t xml:space="preserve">. </w:t>
      </w:r>
      <w:r w:rsidR="00085AFE" w:rsidRPr="00BA73EA">
        <w:rPr>
          <w:sz w:val="24"/>
          <w:szCs w:val="24"/>
        </w:rPr>
        <w:t>Ašeradens</w:t>
      </w:r>
    </w:p>
    <w:p w14:paraId="1F676B7F" w14:textId="77777777" w:rsidR="00BF4753" w:rsidRPr="00BA73EA" w:rsidRDefault="00BF4753" w:rsidP="00BF4753">
      <w:pPr>
        <w:tabs>
          <w:tab w:val="left" w:pos="851"/>
          <w:tab w:val="left" w:pos="6663"/>
        </w:tabs>
        <w:rPr>
          <w:sz w:val="24"/>
          <w:szCs w:val="24"/>
        </w:rPr>
      </w:pPr>
      <w:r w:rsidRPr="00BA73EA">
        <w:rPr>
          <w:sz w:val="24"/>
          <w:szCs w:val="24"/>
        </w:rPr>
        <w:tab/>
        <w:t xml:space="preserve"> </w:t>
      </w:r>
      <w:r w:rsidRPr="00BA73EA">
        <w:rPr>
          <w:sz w:val="24"/>
          <w:szCs w:val="24"/>
        </w:rPr>
        <w:tab/>
      </w:r>
      <w:r w:rsidRPr="00BA73EA">
        <w:rPr>
          <w:sz w:val="24"/>
          <w:szCs w:val="24"/>
        </w:rPr>
        <w:tab/>
      </w:r>
      <w:r w:rsidRPr="00BA73EA">
        <w:rPr>
          <w:sz w:val="24"/>
          <w:szCs w:val="24"/>
        </w:rPr>
        <w:tab/>
      </w:r>
      <w:r w:rsidRPr="00BA73EA">
        <w:rPr>
          <w:sz w:val="24"/>
          <w:szCs w:val="24"/>
        </w:rPr>
        <w:tab/>
        <w:t xml:space="preserve">  </w:t>
      </w:r>
    </w:p>
    <w:p w14:paraId="5D93AF5E" w14:textId="77777777" w:rsidR="00BF4753" w:rsidRPr="00BA73EA" w:rsidRDefault="00BF4753" w:rsidP="00BF4753">
      <w:pPr>
        <w:tabs>
          <w:tab w:val="left" w:pos="988"/>
        </w:tabs>
        <w:rPr>
          <w:rFonts w:cs="Times New Roman"/>
          <w:sz w:val="20"/>
        </w:rPr>
      </w:pPr>
    </w:p>
    <w:p w14:paraId="05BB86E3" w14:textId="77777777" w:rsidR="00BF4753" w:rsidRPr="00085AFE" w:rsidRDefault="00BF4753" w:rsidP="00BF4753">
      <w:pPr>
        <w:tabs>
          <w:tab w:val="left" w:pos="988"/>
        </w:tabs>
        <w:rPr>
          <w:rFonts w:cs="Times New Roman"/>
          <w:sz w:val="24"/>
          <w:szCs w:val="16"/>
          <w:highlight w:val="lightGray"/>
        </w:rPr>
      </w:pPr>
    </w:p>
    <w:p w14:paraId="06326EDC" w14:textId="77777777" w:rsidR="00437D0F" w:rsidRPr="00085AFE" w:rsidRDefault="00437D0F" w:rsidP="00BF4753">
      <w:pPr>
        <w:tabs>
          <w:tab w:val="left" w:pos="988"/>
        </w:tabs>
        <w:rPr>
          <w:rFonts w:cs="Times New Roman"/>
          <w:sz w:val="24"/>
          <w:szCs w:val="16"/>
          <w:highlight w:val="lightGray"/>
        </w:rPr>
      </w:pPr>
    </w:p>
    <w:p w14:paraId="57D3B0D5" w14:textId="77777777" w:rsidR="00437D0F" w:rsidRPr="00085AFE" w:rsidRDefault="00437D0F" w:rsidP="00BF4753">
      <w:pPr>
        <w:tabs>
          <w:tab w:val="left" w:pos="988"/>
        </w:tabs>
        <w:rPr>
          <w:rFonts w:cs="Times New Roman"/>
          <w:sz w:val="24"/>
          <w:szCs w:val="16"/>
          <w:highlight w:val="lightGray"/>
        </w:rPr>
      </w:pPr>
    </w:p>
    <w:p w14:paraId="6F33BD15" w14:textId="77777777" w:rsidR="00BF4753" w:rsidRPr="00085AFE" w:rsidRDefault="00BF4753" w:rsidP="00BF4753">
      <w:pPr>
        <w:tabs>
          <w:tab w:val="left" w:pos="988"/>
        </w:tabs>
        <w:rPr>
          <w:rFonts w:cs="Times New Roman"/>
          <w:sz w:val="24"/>
          <w:szCs w:val="16"/>
          <w:highlight w:val="lightGray"/>
        </w:rPr>
      </w:pPr>
    </w:p>
    <w:p w14:paraId="6D26FECA" w14:textId="77777777" w:rsidR="008A3BF8" w:rsidRPr="00EE1CDA" w:rsidRDefault="008A3BF8" w:rsidP="00E54B38">
      <w:pPr>
        <w:tabs>
          <w:tab w:val="left" w:pos="988"/>
        </w:tabs>
        <w:ind w:firstLine="0"/>
        <w:rPr>
          <w:rFonts w:eastAsia="Times New Roman" w:cs="Times New Roman"/>
          <w:color w:val="000000" w:themeColor="text1"/>
          <w:sz w:val="18"/>
          <w:szCs w:val="18"/>
        </w:rPr>
      </w:pPr>
      <w:r>
        <w:rPr>
          <w:rFonts w:eastAsia="Times New Roman" w:cs="Times New Roman"/>
          <w:color w:val="000000" w:themeColor="text1"/>
          <w:sz w:val="18"/>
          <w:szCs w:val="18"/>
        </w:rPr>
        <w:t>Krauze-Tola</w:t>
      </w:r>
      <w:r w:rsidRPr="00EE1CDA">
        <w:rPr>
          <w:rFonts w:eastAsia="Times New Roman" w:cs="Times New Roman"/>
          <w:color w:val="000000" w:themeColor="text1"/>
          <w:sz w:val="18"/>
          <w:szCs w:val="18"/>
        </w:rPr>
        <w:t xml:space="preserve"> 25681938</w:t>
      </w:r>
    </w:p>
    <w:p w14:paraId="60B3890D" w14:textId="736BEBF4" w:rsidR="00C57955" w:rsidRPr="00E54B38" w:rsidRDefault="00303429" w:rsidP="00E54B38">
      <w:pPr>
        <w:tabs>
          <w:tab w:val="left" w:pos="988"/>
        </w:tabs>
        <w:ind w:firstLine="0"/>
        <w:rPr>
          <w:rFonts w:eastAsia="Times New Roman" w:cs="Times New Roman"/>
          <w:sz w:val="18"/>
          <w:szCs w:val="18"/>
        </w:rPr>
      </w:pPr>
      <w:hyperlink r:id="rId62" w:history="1">
        <w:r w:rsidR="00E54B38" w:rsidRPr="007E42D5">
          <w:rPr>
            <w:rStyle w:val="Hyperlink"/>
            <w:rFonts w:eastAsia="Times New Roman" w:cs="Times New Roman"/>
            <w:sz w:val="18"/>
            <w:szCs w:val="18"/>
          </w:rPr>
          <w:t>klinta.krauze@fm.gov.lv</w:t>
        </w:r>
      </w:hyperlink>
    </w:p>
    <w:sectPr w:rsidR="00C57955" w:rsidRPr="00E54B38" w:rsidSect="00162345">
      <w:footerReference w:type="default" r:id="rId63"/>
      <w:type w:val="continuous"/>
      <w:pgSz w:w="11906" w:h="16838" w:code="9"/>
      <w:pgMar w:top="1418" w:right="1134" w:bottom="709" w:left="1701" w:header="0" w:footer="1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F0136" w14:textId="77777777" w:rsidR="00162345" w:rsidRDefault="00162345" w:rsidP="00BF4753">
      <w:r>
        <w:separator/>
      </w:r>
    </w:p>
  </w:endnote>
  <w:endnote w:type="continuationSeparator" w:id="0">
    <w:p w14:paraId="55A0E1F3" w14:textId="77777777" w:rsidR="00162345" w:rsidRDefault="00162345" w:rsidP="00BF4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98501"/>
      <w:docPartObj>
        <w:docPartGallery w:val="Page Numbers (Bottom of Page)"/>
        <w:docPartUnique/>
      </w:docPartObj>
    </w:sdtPr>
    <w:sdtEndPr>
      <w:rPr>
        <w:noProof/>
        <w:sz w:val="24"/>
        <w:szCs w:val="24"/>
      </w:rPr>
    </w:sdtEndPr>
    <w:sdtContent>
      <w:p w14:paraId="7399CC37" w14:textId="2DA3DE6F" w:rsidR="00A72EB3" w:rsidRPr="004F2014" w:rsidRDefault="00A72EB3">
        <w:pPr>
          <w:pStyle w:val="Footer"/>
          <w:jc w:val="right"/>
          <w:rPr>
            <w:sz w:val="24"/>
            <w:szCs w:val="24"/>
          </w:rPr>
        </w:pPr>
        <w:r w:rsidRPr="004F2014">
          <w:rPr>
            <w:sz w:val="24"/>
            <w:szCs w:val="24"/>
          </w:rPr>
          <w:fldChar w:fldCharType="begin"/>
        </w:r>
        <w:r w:rsidRPr="004F2014">
          <w:rPr>
            <w:sz w:val="24"/>
            <w:szCs w:val="24"/>
          </w:rPr>
          <w:instrText xml:space="preserve"> PAGE   \* MERGEFORMAT </w:instrText>
        </w:r>
        <w:r w:rsidRPr="004F2014">
          <w:rPr>
            <w:sz w:val="24"/>
            <w:szCs w:val="24"/>
          </w:rPr>
          <w:fldChar w:fldCharType="separate"/>
        </w:r>
        <w:r w:rsidRPr="004F2014">
          <w:rPr>
            <w:noProof/>
            <w:sz w:val="24"/>
            <w:szCs w:val="24"/>
          </w:rPr>
          <w:t>2</w:t>
        </w:r>
        <w:r w:rsidRPr="004F2014">
          <w:rPr>
            <w:noProof/>
            <w:sz w:val="24"/>
            <w:szCs w:val="24"/>
          </w:rPr>
          <w:fldChar w:fldCharType="end"/>
        </w:r>
      </w:p>
    </w:sdtContent>
  </w:sdt>
  <w:p w14:paraId="0F99A47C" w14:textId="77777777" w:rsidR="004E1AAD" w:rsidRDefault="004E1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E378E" w14:textId="48CCD913" w:rsidR="00BD4FD3" w:rsidRPr="00BD4FD3" w:rsidRDefault="00BD4FD3">
    <w:pPr>
      <w:pStyle w:val="Footer"/>
      <w:jc w:val="right"/>
      <w:rPr>
        <w:sz w:val="24"/>
        <w:szCs w:val="20"/>
      </w:rPr>
    </w:pPr>
  </w:p>
  <w:p w14:paraId="26A79F3D" w14:textId="04D46DB5" w:rsidR="00803C11" w:rsidRPr="00A72EB3" w:rsidRDefault="00803C11" w:rsidP="00A72EB3">
    <w:pPr>
      <w:pStyle w:val="Footer"/>
      <w:jc w:val="right"/>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A4758" w14:textId="77777777" w:rsidR="00507D8A" w:rsidRDefault="00507D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4FE0F3" w14:textId="77777777" w:rsidR="00507D8A" w:rsidRDefault="00507D8A">
    <w:pPr>
      <w:pStyle w:val="Footer"/>
      <w:ind w:right="360"/>
    </w:pPr>
  </w:p>
  <w:p w14:paraId="67852E0E" w14:textId="77777777" w:rsidR="002B160A" w:rsidRDefault="002B160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3D0FC" w14:textId="77777777" w:rsidR="00507D8A" w:rsidRDefault="00507D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750DFE" w14:textId="77777777" w:rsidR="00507D8A" w:rsidRDefault="00507D8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65908"/>
      <w:docPartObj>
        <w:docPartGallery w:val="Page Numbers (Bottom of Page)"/>
        <w:docPartUnique/>
      </w:docPartObj>
    </w:sdtPr>
    <w:sdtEndPr>
      <w:rPr>
        <w:noProof/>
        <w:sz w:val="24"/>
        <w:szCs w:val="20"/>
      </w:rPr>
    </w:sdtEndPr>
    <w:sdtContent>
      <w:p w14:paraId="0FF03187" w14:textId="7315CDE0" w:rsidR="00BD4FD3" w:rsidRPr="00BD4FD3" w:rsidRDefault="00BD4FD3">
        <w:pPr>
          <w:pStyle w:val="Footer"/>
          <w:jc w:val="right"/>
          <w:rPr>
            <w:sz w:val="24"/>
            <w:szCs w:val="20"/>
          </w:rPr>
        </w:pPr>
        <w:r w:rsidRPr="00BD4FD3">
          <w:rPr>
            <w:sz w:val="24"/>
            <w:szCs w:val="20"/>
          </w:rPr>
          <w:fldChar w:fldCharType="begin"/>
        </w:r>
        <w:r w:rsidRPr="00BD4FD3">
          <w:rPr>
            <w:sz w:val="24"/>
            <w:szCs w:val="20"/>
          </w:rPr>
          <w:instrText xml:space="preserve"> PAGE   \* MERGEFORMAT </w:instrText>
        </w:r>
        <w:r w:rsidRPr="00BD4FD3">
          <w:rPr>
            <w:sz w:val="24"/>
            <w:szCs w:val="20"/>
          </w:rPr>
          <w:fldChar w:fldCharType="separate"/>
        </w:r>
        <w:r w:rsidRPr="00BD4FD3">
          <w:rPr>
            <w:noProof/>
            <w:sz w:val="24"/>
            <w:szCs w:val="20"/>
          </w:rPr>
          <w:t>2</w:t>
        </w:r>
        <w:r w:rsidRPr="00BD4FD3">
          <w:rPr>
            <w:noProof/>
            <w:sz w:val="24"/>
            <w:szCs w:val="20"/>
          </w:rPr>
          <w:fldChar w:fldCharType="end"/>
        </w:r>
      </w:p>
    </w:sdtContent>
  </w:sdt>
  <w:p w14:paraId="0BF4F66C" w14:textId="77777777" w:rsidR="00507D8A" w:rsidRPr="0002585F" w:rsidRDefault="00507D8A" w:rsidP="0002585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4E7D" w14:textId="77777777" w:rsidR="00507D8A" w:rsidRDefault="00507D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F408C7" w14:textId="77777777" w:rsidR="00507D8A" w:rsidRDefault="00507D8A">
    <w:pPr>
      <w:pStyle w:val="Footer"/>
      <w:ind w:right="360"/>
    </w:pPr>
  </w:p>
  <w:p w14:paraId="2D016BF9" w14:textId="77777777" w:rsidR="00507D8A" w:rsidRDefault="00507D8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947650"/>
      <w:docPartObj>
        <w:docPartGallery w:val="Page Numbers (Bottom of Page)"/>
        <w:docPartUnique/>
      </w:docPartObj>
    </w:sdtPr>
    <w:sdtEndPr>
      <w:rPr>
        <w:noProof/>
        <w:sz w:val="24"/>
        <w:szCs w:val="20"/>
      </w:rPr>
    </w:sdtEndPr>
    <w:sdtContent>
      <w:p w14:paraId="5401DE88" w14:textId="5F6B367E" w:rsidR="00BD4FD3" w:rsidRPr="00BD4FD3" w:rsidRDefault="00BD4FD3">
        <w:pPr>
          <w:pStyle w:val="Footer"/>
          <w:jc w:val="right"/>
          <w:rPr>
            <w:sz w:val="24"/>
            <w:szCs w:val="20"/>
          </w:rPr>
        </w:pPr>
        <w:r w:rsidRPr="00BD4FD3">
          <w:rPr>
            <w:sz w:val="24"/>
            <w:szCs w:val="20"/>
          </w:rPr>
          <w:fldChar w:fldCharType="begin"/>
        </w:r>
        <w:r w:rsidRPr="00BD4FD3">
          <w:rPr>
            <w:sz w:val="24"/>
            <w:szCs w:val="20"/>
          </w:rPr>
          <w:instrText xml:space="preserve"> PAGE   \* MERGEFORMAT </w:instrText>
        </w:r>
        <w:r w:rsidRPr="00BD4FD3">
          <w:rPr>
            <w:sz w:val="24"/>
            <w:szCs w:val="20"/>
          </w:rPr>
          <w:fldChar w:fldCharType="separate"/>
        </w:r>
        <w:r w:rsidRPr="00BD4FD3">
          <w:rPr>
            <w:noProof/>
            <w:sz w:val="24"/>
            <w:szCs w:val="20"/>
          </w:rPr>
          <w:t>2</w:t>
        </w:r>
        <w:r w:rsidRPr="00BD4FD3">
          <w:rPr>
            <w:noProof/>
            <w:sz w:val="24"/>
            <w:szCs w:val="20"/>
          </w:rPr>
          <w:fldChar w:fldCharType="end"/>
        </w:r>
      </w:p>
    </w:sdtContent>
  </w:sdt>
  <w:p w14:paraId="225F4BAD" w14:textId="77777777" w:rsidR="00507D8A" w:rsidRPr="0002585F" w:rsidRDefault="00507D8A" w:rsidP="0002585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091259"/>
      <w:docPartObj>
        <w:docPartGallery w:val="Page Numbers (Bottom of Page)"/>
        <w:docPartUnique/>
      </w:docPartObj>
    </w:sdtPr>
    <w:sdtEndPr>
      <w:rPr>
        <w:noProof/>
        <w:sz w:val="24"/>
        <w:szCs w:val="24"/>
      </w:rPr>
    </w:sdtEndPr>
    <w:sdtContent>
      <w:p w14:paraId="39AD2DB2" w14:textId="00F92F8D" w:rsidR="005346E4" w:rsidRPr="00BD4FD3" w:rsidRDefault="00B73E0A" w:rsidP="00B73E0A">
        <w:pPr>
          <w:pStyle w:val="Footer"/>
          <w:jc w:val="right"/>
          <w:rPr>
            <w:sz w:val="24"/>
            <w:szCs w:val="24"/>
          </w:rPr>
        </w:pPr>
        <w:r w:rsidRPr="00BD4FD3">
          <w:rPr>
            <w:sz w:val="24"/>
            <w:szCs w:val="24"/>
          </w:rPr>
          <w:fldChar w:fldCharType="begin"/>
        </w:r>
        <w:r w:rsidRPr="00BD4FD3">
          <w:rPr>
            <w:sz w:val="24"/>
            <w:szCs w:val="24"/>
          </w:rPr>
          <w:instrText xml:space="preserve"> PAGE   \* MERGEFORMAT </w:instrText>
        </w:r>
        <w:r w:rsidRPr="00BD4FD3">
          <w:rPr>
            <w:sz w:val="24"/>
            <w:szCs w:val="24"/>
          </w:rPr>
          <w:fldChar w:fldCharType="separate"/>
        </w:r>
        <w:r w:rsidRPr="00BD4FD3">
          <w:rPr>
            <w:noProof/>
            <w:sz w:val="24"/>
            <w:szCs w:val="24"/>
          </w:rPr>
          <w:t>2</w:t>
        </w:r>
        <w:r w:rsidRPr="00BD4FD3">
          <w:rPr>
            <w:noProof/>
            <w:sz w:val="24"/>
            <w:szCs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 w:val="24"/>
      </w:rPr>
      <w:id w:val="-159006593"/>
      <w:docPartObj>
        <w:docPartGallery w:val="Page Numbers (Bottom of Page)"/>
        <w:docPartUnique/>
      </w:docPartObj>
    </w:sdtPr>
    <w:sdtEndPr>
      <w:rPr>
        <w:noProof/>
      </w:rPr>
    </w:sdtEndPr>
    <w:sdtContent>
      <w:p w14:paraId="034E2A05" w14:textId="30B350D6" w:rsidR="00B84344" w:rsidRPr="00E829CD" w:rsidRDefault="00B84344" w:rsidP="00CF68FC">
        <w:pPr>
          <w:pStyle w:val="Footer"/>
          <w:spacing w:before="120"/>
          <w:ind w:firstLine="0"/>
          <w:rPr>
            <w:rFonts w:cs="Times New Roman"/>
            <w:noProof/>
            <w:sz w:val="20"/>
          </w:rPr>
        </w:pPr>
        <w:r>
          <w:rPr>
            <w:sz w:val="20"/>
          </w:rPr>
          <w:t>FMInf_</w:t>
        </w:r>
        <w:r w:rsidR="00B26796">
          <w:rPr>
            <w:sz w:val="20"/>
          </w:rPr>
          <w:t>0</w:t>
        </w:r>
        <w:r w:rsidR="00BB3BCE">
          <w:rPr>
            <w:sz w:val="20"/>
          </w:rPr>
          <w:t>4</w:t>
        </w:r>
        <w:r w:rsidR="00B26796">
          <w:rPr>
            <w:sz w:val="20"/>
          </w:rPr>
          <w:t>04</w:t>
        </w:r>
        <w:r>
          <w:rPr>
            <w:sz w:val="20"/>
          </w:rPr>
          <w:t>2022</w:t>
        </w:r>
        <w:r w:rsidRPr="006D39DB">
          <w:rPr>
            <w:sz w:val="20"/>
          </w:rPr>
          <w:t>_SP</w:t>
        </w:r>
        <w:r>
          <w:rPr>
            <w:sz w:val="20"/>
          </w:rPr>
          <w:tab/>
        </w:r>
        <w:r>
          <w:rPr>
            <w:sz w:val="20"/>
          </w:rPr>
          <w:tab/>
        </w:r>
        <w:r w:rsidRPr="00DF7465">
          <w:fldChar w:fldCharType="begin"/>
        </w:r>
        <w:r w:rsidRPr="00DF7465">
          <w:instrText xml:space="preserve"> PAGE   \* MERGEFORMAT </w:instrText>
        </w:r>
        <w:r w:rsidRPr="00DF7465">
          <w:fldChar w:fldCharType="separate"/>
        </w:r>
        <w:r w:rsidR="003B23F5">
          <w:rPr>
            <w:noProof/>
          </w:rPr>
          <w:t>21</w:t>
        </w:r>
        <w:r w:rsidRPr="00DF7465">
          <w:rPr>
            <w:noProof/>
          </w:rPr>
          <w:fldChar w:fldCharType="end"/>
        </w:r>
      </w:p>
      <w:p w14:paraId="68AEB152" w14:textId="29EC90CD" w:rsidR="00B84344" w:rsidRPr="002D4AED" w:rsidRDefault="00B84344" w:rsidP="002D7CA8">
        <w:pPr>
          <w:pStyle w:val="Footer"/>
          <w:tabs>
            <w:tab w:val="right" w:pos="9071"/>
          </w:tabs>
          <w:jc w:val="right"/>
          <w:rPr>
            <w:rFonts w:cs="Times New Roman"/>
            <w:sz w:val="24"/>
          </w:rPr>
        </w:pPr>
        <w:r>
          <w:rPr>
            <w:rFonts w:cs="Times New Roman"/>
            <w:sz w:val="24"/>
          </w:rPr>
          <w:tab/>
        </w:r>
        <w:r>
          <w:rPr>
            <w:rFonts w:cs="Times New Roman"/>
            <w:sz w:val="24"/>
          </w:rPr>
          <w:tab/>
        </w:r>
      </w:p>
    </w:sdtContent>
  </w:sdt>
  <w:p w14:paraId="77545A4F" w14:textId="77777777" w:rsidR="008D2915" w:rsidRDefault="008D2915"/>
  <w:p w14:paraId="56B4B081" w14:textId="77777777" w:rsidR="008D2915" w:rsidRDefault="008D29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6075B" w14:textId="77777777" w:rsidR="00162345" w:rsidRDefault="00162345" w:rsidP="00BF4753">
      <w:r>
        <w:separator/>
      </w:r>
    </w:p>
  </w:footnote>
  <w:footnote w:type="continuationSeparator" w:id="0">
    <w:p w14:paraId="1D09B40B" w14:textId="77777777" w:rsidR="00162345" w:rsidRDefault="00162345" w:rsidP="00BF4753">
      <w:r>
        <w:continuationSeparator/>
      </w:r>
    </w:p>
  </w:footnote>
  <w:footnote w:id="1">
    <w:p w14:paraId="3D60F560" w14:textId="77777777" w:rsidR="00594BC3" w:rsidRDefault="00594BC3" w:rsidP="00594BC3">
      <w:pPr>
        <w:pStyle w:val="FootnoteText"/>
      </w:pPr>
      <w:r>
        <w:rPr>
          <w:rStyle w:val="FootnoteReference"/>
        </w:rPr>
        <w:footnoteRef/>
      </w:r>
      <w:r>
        <w:t xml:space="preserve"> Aprakstā izmantoti CSP un citu avotu dati, kas bija pieejami līdz 2024. gada 25. martam.</w:t>
      </w:r>
    </w:p>
  </w:footnote>
  <w:footnote w:id="2">
    <w:p w14:paraId="277EBF95" w14:textId="329CC982" w:rsidR="00CF6C5C" w:rsidRPr="004811B6" w:rsidRDefault="00CF6C5C" w:rsidP="00CF6C5C">
      <w:pPr>
        <w:pStyle w:val="FootnoteText"/>
        <w:tabs>
          <w:tab w:val="left" w:pos="284"/>
        </w:tabs>
        <w:ind w:left="0" w:firstLine="0"/>
      </w:pPr>
      <w:r w:rsidRPr="008D10A8">
        <w:rPr>
          <w:rStyle w:val="FootnoteReference"/>
          <w:rFonts w:ascii="Times New Roman" w:hAnsi="Times New Roman"/>
        </w:rPr>
        <w:footnoteRef/>
      </w:r>
      <w:r w:rsidRPr="004811B6">
        <w:t xml:space="preserve"> </w:t>
      </w:r>
      <w:r w:rsidRPr="004811B6">
        <w:rPr>
          <w:iCs/>
        </w:rPr>
        <w:t>Eiropas Parlamenta un Padomes Regula par ekonomikas politikas efektīvu koordinēšanu un daudzpusēju budžeta uzraudzību, kas atcels Padomes Regulu (EK) Nr. 1466/97</w:t>
      </w:r>
      <w:r w:rsidRPr="004811B6">
        <w:t xml:space="preserve">; </w:t>
      </w:r>
      <w:r w:rsidRPr="004811B6">
        <w:rPr>
          <w:iCs/>
        </w:rPr>
        <w:t>Padomes regula, ar ko groza Regulu (EK) Nr. 1467/97 par pārmērīga budžeta deficīta novēršanas procedūras īstenošanas paātrināšanu un precizēšanu</w:t>
      </w:r>
      <w:r w:rsidRPr="004811B6">
        <w:t xml:space="preserve">; </w:t>
      </w:r>
      <w:r w:rsidRPr="004811B6">
        <w:rPr>
          <w:iCs/>
        </w:rPr>
        <w:t>grozījumi Padomes direktīvai, ar ko groza Direktīvu 2011/85/ES par prasībām dalībvalstu budžeta sistēmām</w:t>
      </w:r>
      <w:r w:rsidR="002A24ED" w:rsidRPr="004811B6">
        <w:rPr>
          <w:iCs/>
        </w:rPr>
        <w:t>, p</w:t>
      </w:r>
      <w:r w:rsidR="00E133D7" w:rsidRPr="004811B6">
        <w:rPr>
          <w:iCs/>
        </w:rPr>
        <w:t>ieejams:</w:t>
      </w:r>
      <w:r w:rsidR="00F45EBA" w:rsidRPr="004811B6">
        <w:rPr>
          <w:iCs/>
        </w:rPr>
        <w:t xml:space="preserve">  </w:t>
      </w:r>
      <w:hyperlink r:id="rId1" w:history="1">
        <w:r w:rsidR="00E133D7" w:rsidRPr="004811B6">
          <w:rPr>
            <w:rStyle w:val="Hyperlink"/>
            <w:iCs/>
          </w:rPr>
          <w:t>https://www.consilium.europa.eu/en/press/press-releases/2024/02/10/economic-governance-review-council-and-parliament-strike-deal-on-reform-of-fiscal-rules/</w:t>
        </w:r>
      </w:hyperlink>
      <w:r w:rsidR="00E133D7" w:rsidRPr="004811B6">
        <w:rPr>
          <w:iCs/>
        </w:rPr>
        <w:t xml:space="preserve"> </w:t>
      </w:r>
    </w:p>
  </w:footnote>
  <w:footnote w:id="3">
    <w:p w14:paraId="28926F69" w14:textId="25A09E34" w:rsidR="00522933" w:rsidRPr="004811B6" w:rsidRDefault="00522933" w:rsidP="00522933">
      <w:pPr>
        <w:pStyle w:val="FootnoteText"/>
        <w:tabs>
          <w:tab w:val="left" w:pos="284"/>
        </w:tabs>
        <w:ind w:left="0" w:firstLine="0"/>
      </w:pPr>
      <w:r w:rsidRPr="008D10A8">
        <w:rPr>
          <w:rStyle w:val="FootnoteReference"/>
          <w:rFonts w:ascii="Times New Roman" w:hAnsi="Times New Roman"/>
        </w:rPr>
        <w:footnoteRef/>
      </w:r>
      <w:r w:rsidRPr="004811B6">
        <w:t xml:space="preserve"> Ieteikums Padomes ieteikumam par Latvijas 2023. gada valsts reformu programmu un ar ko sniedz Padomes atzinumu par Latvijas stabilitātes programmu, pieejams: </w:t>
      </w:r>
      <w:hyperlink r:id="rId2" w:history="1">
        <w:r w:rsidR="00E133D7" w:rsidRPr="004811B6">
          <w:rPr>
            <w:rStyle w:val="Hyperlink"/>
            <w:rFonts w:eastAsiaTheme="minorEastAsia"/>
          </w:rPr>
          <w:t>https://data.consilium.europa.eu/doc/document/ST-9839-2023-REV-1/lv/pdf</w:t>
        </w:r>
      </w:hyperlink>
      <w:r w:rsidR="00E133D7" w:rsidRPr="004811B6">
        <w:rPr>
          <w:rStyle w:val="Hyperlink"/>
          <w:rFonts w:eastAsiaTheme="minorEastAsia"/>
          <w:color w:val="auto"/>
        </w:rPr>
        <w:t xml:space="preserve"> </w:t>
      </w:r>
    </w:p>
  </w:footnote>
  <w:footnote w:id="4">
    <w:p w14:paraId="439089E6" w14:textId="559CB62A" w:rsidR="00CF6C5C" w:rsidRPr="004811B6" w:rsidRDefault="00CF6C5C" w:rsidP="00CF6C5C">
      <w:pPr>
        <w:pStyle w:val="FootnoteText"/>
        <w:tabs>
          <w:tab w:val="left" w:pos="284"/>
        </w:tabs>
        <w:ind w:left="0" w:firstLine="0"/>
        <w:rPr>
          <w:bCs/>
          <w:iCs/>
        </w:rPr>
      </w:pPr>
      <w:r w:rsidRPr="008D10A8">
        <w:rPr>
          <w:rStyle w:val="FootnoteReference"/>
          <w:rFonts w:ascii="Times New Roman" w:hAnsi="Times New Roman"/>
        </w:rPr>
        <w:footnoteRef/>
      </w:r>
      <w:r w:rsidRPr="004811B6">
        <w:t xml:space="preserve"> </w:t>
      </w:r>
      <w:r w:rsidR="00B558EE" w:rsidRPr="004811B6">
        <w:t>V</w:t>
      </w:r>
      <w:r w:rsidRPr="004811B6">
        <w:t xml:space="preserve">ispārējās valdības budžeta izdevumi, atskaitot </w:t>
      </w:r>
      <w:r w:rsidRPr="004811B6">
        <w:rPr>
          <w:bCs/>
          <w:iCs/>
        </w:rPr>
        <w:t xml:space="preserve">procentu izdevumus, </w:t>
      </w:r>
      <w:r w:rsidR="000F624D" w:rsidRPr="004811B6">
        <w:rPr>
          <w:bCs/>
          <w:iCs/>
        </w:rPr>
        <w:t>DRM</w:t>
      </w:r>
      <w:r w:rsidRPr="004811B6">
        <w:rPr>
          <w:bCs/>
          <w:iCs/>
        </w:rPr>
        <w:t>, izdevumus par ES programmām, kas pilnībā atbilst ES fondu ieņēmumiem, valsts izdevumus par ES finansēto programmu līdzfinansēšanu, kā arī bezdarbnieka pabalstu izdevumu cikliskos elementus. Atbilstīgi pamatprincipiem, ko EK izmantojusi, klasificējot darījumus kā vienreizējus darījumus un citus pagaidu pasākumus, minētie vienreizējie un citi pagaidu pasākumi arī būtu jāatskaita no valdības izdevumiem.</w:t>
      </w:r>
    </w:p>
  </w:footnote>
  <w:footnote w:id="5">
    <w:p w14:paraId="7EF358F4" w14:textId="1723FAD2" w:rsidR="00522933" w:rsidRDefault="00522933" w:rsidP="00CF68A1">
      <w:pPr>
        <w:pStyle w:val="FootnoteText"/>
        <w:ind w:left="0" w:firstLine="0"/>
      </w:pPr>
      <w:r w:rsidRPr="008D10A8">
        <w:rPr>
          <w:rStyle w:val="FootnoteReference"/>
          <w:rFonts w:ascii="Times New Roman" w:hAnsi="Times New Roman"/>
        </w:rPr>
        <w:footnoteRef/>
      </w:r>
      <w:r w:rsidRPr="004811B6">
        <w:t xml:space="preserve"> Latvija plāno izmantot termiņa pagarinājumu un iesniegt FSP EK 15. oktobrī kopā ar Vispārējās valdības budžeta plāna projektu 2025. gadam</w:t>
      </w:r>
    </w:p>
  </w:footnote>
  <w:footnote w:id="6">
    <w:p w14:paraId="1B071712" w14:textId="77777777" w:rsidR="00CF6C5C" w:rsidRPr="004811B6" w:rsidRDefault="00CF6C5C" w:rsidP="00B558EE">
      <w:pPr>
        <w:pStyle w:val="FootnoteText"/>
      </w:pPr>
      <w:r w:rsidRPr="008D10A8">
        <w:rPr>
          <w:rStyle w:val="FootnoteReference"/>
          <w:rFonts w:ascii="Times New Roman" w:hAnsi="Times New Roman"/>
        </w:rPr>
        <w:footnoteRef/>
      </w:r>
      <w:r w:rsidRPr="004811B6">
        <w:t xml:space="preserve"> Apstiprināts MK 2022. gada 12. aprīļa sēdē (MK  sēdes protokols Nr. 20, 45.§)</w:t>
      </w:r>
    </w:p>
  </w:footnote>
  <w:footnote w:id="7">
    <w:p w14:paraId="502F2E25" w14:textId="06A14098" w:rsidR="008F26CA" w:rsidRPr="004811B6" w:rsidRDefault="008F26CA" w:rsidP="00FF52FC">
      <w:pPr>
        <w:pStyle w:val="FootnoteText"/>
        <w:ind w:left="0" w:firstLine="0"/>
      </w:pPr>
      <w:r>
        <w:rPr>
          <w:rStyle w:val="FootnoteReference"/>
        </w:rPr>
        <w:footnoteRef/>
      </w:r>
      <w:r>
        <w:t xml:space="preserve"> </w:t>
      </w:r>
      <w:proofErr w:type="spellStart"/>
      <w:r w:rsidR="004412B7" w:rsidRPr="004811B6">
        <w:rPr>
          <w:i/>
          <w:iCs/>
        </w:rPr>
        <w:t>Proposal</w:t>
      </w:r>
      <w:proofErr w:type="spellEnd"/>
      <w:r w:rsidR="004412B7" w:rsidRPr="004811B6">
        <w:rPr>
          <w:i/>
          <w:iCs/>
        </w:rPr>
        <w:t xml:space="preserve"> </w:t>
      </w:r>
      <w:proofErr w:type="spellStart"/>
      <w:r w:rsidR="004412B7" w:rsidRPr="004811B6">
        <w:rPr>
          <w:i/>
          <w:iCs/>
        </w:rPr>
        <w:t>for</w:t>
      </w:r>
      <w:proofErr w:type="spellEnd"/>
      <w:r w:rsidR="004412B7" w:rsidRPr="004811B6">
        <w:rPr>
          <w:i/>
          <w:iCs/>
        </w:rPr>
        <w:t xml:space="preserve"> a </w:t>
      </w:r>
      <w:proofErr w:type="spellStart"/>
      <w:r w:rsidR="004412B7" w:rsidRPr="004811B6">
        <w:rPr>
          <w:i/>
          <w:iCs/>
        </w:rPr>
        <w:t>Regulation</w:t>
      </w:r>
      <w:proofErr w:type="spellEnd"/>
      <w:r w:rsidR="004412B7" w:rsidRPr="004811B6">
        <w:rPr>
          <w:i/>
          <w:iCs/>
        </w:rPr>
        <w:t xml:space="preserve"> </w:t>
      </w:r>
      <w:proofErr w:type="spellStart"/>
      <w:r w:rsidR="004412B7" w:rsidRPr="004811B6">
        <w:rPr>
          <w:i/>
          <w:iCs/>
        </w:rPr>
        <w:t>of</w:t>
      </w:r>
      <w:proofErr w:type="spellEnd"/>
      <w:r w:rsidR="004412B7" w:rsidRPr="004811B6">
        <w:rPr>
          <w:i/>
          <w:iCs/>
        </w:rPr>
        <w:t xml:space="preserve"> </w:t>
      </w:r>
      <w:proofErr w:type="spellStart"/>
      <w:r w:rsidR="004412B7" w:rsidRPr="004811B6">
        <w:rPr>
          <w:i/>
          <w:iCs/>
        </w:rPr>
        <w:t>the</w:t>
      </w:r>
      <w:proofErr w:type="spellEnd"/>
      <w:r w:rsidR="004412B7" w:rsidRPr="004811B6">
        <w:rPr>
          <w:i/>
          <w:iCs/>
        </w:rPr>
        <w:t xml:space="preserve"> </w:t>
      </w:r>
      <w:proofErr w:type="spellStart"/>
      <w:r w:rsidR="004412B7" w:rsidRPr="004811B6">
        <w:rPr>
          <w:i/>
          <w:iCs/>
        </w:rPr>
        <w:t>European</w:t>
      </w:r>
      <w:proofErr w:type="spellEnd"/>
      <w:r w:rsidR="00FF52FC" w:rsidRPr="004811B6">
        <w:rPr>
          <w:i/>
          <w:iCs/>
        </w:rPr>
        <w:t xml:space="preserve"> Parlament</w:t>
      </w:r>
      <w:r w:rsidR="004412B7" w:rsidRPr="004811B6">
        <w:rPr>
          <w:i/>
          <w:iCs/>
        </w:rPr>
        <w:t xml:space="preserve"> </w:t>
      </w:r>
      <w:proofErr w:type="spellStart"/>
      <w:r w:rsidR="00FF52FC" w:rsidRPr="004811B6">
        <w:rPr>
          <w:i/>
          <w:iCs/>
        </w:rPr>
        <w:t>and</w:t>
      </w:r>
      <w:proofErr w:type="spellEnd"/>
      <w:r w:rsidR="00FF52FC" w:rsidRPr="004811B6">
        <w:rPr>
          <w:i/>
          <w:iCs/>
        </w:rPr>
        <w:t xml:space="preserve"> </w:t>
      </w:r>
      <w:proofErr w:type="spellStart"/>
      <w:r w:rsidR="00FF52FC" w:rsidRPr="004811B6">
        <w:rPr>
          <w:i/>
          <w:iCs/>
        </w:rPr>
        <w:t>of</w:t>
      </w:r>
      <w:proofErr w:type="spellEnd"/>
      <w:r w:rsidR="00FF52FC" w:rsidRPr="004811B6">
        <w:rPr>
          <w:i/>
          <w:iCs/>
        </w:rPr>
        <w:t xml:space="preserve"> </w:t>
      </w:r>
      <w:proofErr w:type="spellStart"/>
      <w:r w:rsidR="00FF52FC" w:rsidRPr="004811B6">
        <w:rPr>
          <w:i/>
          <w:iCs/>
        </w:rPr>
        <w:t>the</w:t>
      </w:r>
      <w:proofErr w:type="spellEnd"/>
      <w:r w:rsidR="004412B7" w:rsidRPr="004811B6">
        <w:rPr>
          <w:i/>
          <w:iCs/>
        </w:rPr>
        <w:t xml:space="preserve"> </w:t>
      </w:r>
      <w:proofErr w:type="spellStart"/>
      <w:r w:rsidR="00FF52FC" w:rsidRPr="004811B6">
        <w:rPr>
          <w:i/>
          <w:iCs/>
        </w:rPr>
        <w:t>Council</w:t>
      </w:r>
      <w:proofErr w:type="spellEnd"/>
      <w:r w:rsidR="004412B7" w:rsidRPr="004811B6">
        <w:rPr>
          <w:i/>
          <w:iCs/>
        </w:rPr>
        <w:t xml:space="preserve"> </w:t>
      </w:r>
      <w:proofErr w:type="spellStart"/>
      <w:r w:rsidR="004412B7" w:rsidRPr="004811B6">
        <w:rPr>
          <w:i/>
          <w:iCs/>
        </w:rPr>
        <w:t>on</w:t>
      </w:r>
      <w:proofErr w:type="spellEnd"/>
      <w:r w:rsidR="004412B7" w:rsidRPr="004811B6">
        <w:rPr>
          <w:i/>
          <w:iCs/>
        </w:rPr>
        <w:t xml:space="preserve"> </w:t>
      </w:r>
      <w:proofErr w:type="spellStart"/>
      <w:r w:rsidR="004412B7" w:rsidRPr="004811B6">
        <w:rPr>
          <w:i/>
          <w:iCs/>
        </w:rPr>
        <w:t>the</w:t>
      </w:r>
      <w:proofErr w:type="spellEnd"/>
      <w:r w:rsidR="004412B7" w:rsidRPr="004811B6">
        <w:rPr>
          <w:i/>
          <w:iCs/>
        </w:rPr>
        <w:t xml:space="preserve"> </w:t>
      </w:r>
      <w:proofErr w:type="spellStart"/>
      <w:r w:rsidR="004412B7" w:rsidRPr="004811B6">
        <w:rPr>
          <w:i/>
          <w:iCs/>
        </w:rPr>
        <w:t>effective</w:t>
      </w:r>
      <w:proofErr w:type="spellEnd"/>
      <w:r w:rsidR="004412B7" w:rsidRPr="004811B6">
        <w:rPr>
          <w:i/>
          <w:iCs/>
        </w:rPr>
        <w:t xml:space="preserve"> </w:t>
      </w:r>
      <w:proofErr w:type="spellStart"/>
      <w:r w:rsidR="004412B7" w:rsidRPr="004811B6">
        <w:rPr>
          <w:i/>
          <w:iCs/>
        </w:rPr>
        <w:t>coordination</w:t>
      </w:r>
      <w:proofErr w:type="spellEnd"/>
      <w:r w:rsidR="004412B7" w:rsidRPr="004811B6">
        <w:rPr>
          <w:i/>
          <w:iCs/>
        </w:rPr>
        <w:t xml:space="preserve"> </w:t>
      </w:r>
      <w:proofErr w:type="spellStart"/>
      <w:r w:rsidR="004412B7" w:rsidRPr="004811B6">
        <w:rPr>
          <w:i/>
          <w:iCs/>
        </w:rPr>
        <w:t>of</w:t>
      </w:r>
      <w:proofErr w:type="spellEnd"/>
      <w:r w:rsidR="004412B7" w:rsidRPr="004811B6">
        <w:rPr>
          <w:i/>
          <w:iCs/>
        </w:rPr>
        <w:t xml:space="preserve"> </w:t>
      </w:r>
      <w:proofErr w:type="spellStart"/>
      <w:r w:rsidR="004412B7" w:rsidRPr="004811B6">
        <w:rPr>
          <w:i/>
          <w:iCs/>
        </w:rPr>
        <w:t>economic</w:t>
      </w:r>
      <w:proofErr w:type="spellEnd"/>
      <w:r w:rsidR="004412B7" w:rsidRPr="004811B6">
        <w:rPr>
          <w:i/>
          <w:iCs/>
        </w:rPr>
        <w:t xml:space="preserve"> </w:t>
      </w:r>
      <w:proofErr w:type="spellStart"/>
      <w:r w:rsidR="004412B7" w:rsidRPr="004811B6">
        <w:rPr>
          <w:i/>
          <w:iCs/>
        </w:rPr>
        <w:t>policies</w:t>
      </w:r>
      <w:proofErr w:type="spellEnd"/>
      <w:r w:rsidR="004412B7" w:rsidRPr="004811B6">
        <w:rPr>
          <w:i/>
          <w:iCs/>
        </w:rPr>
        <w:t xml:space="preserve"> </w:t>
      </w:r>
      <w:proofErr w:type="spellStart"/>
      <w:r w:rsidR="004412B7" w:rsidRPr="004811B6">
        <w:rPr>
          <w:i/>
          <w:iCs/>
        </w:rPr>
        <w:t>and</w:t>
      </w:r>
      <w:proofErr w:type="spellEnd"/>
      <w:r w:rsidR="004412B7" w:rsidRPr="004811B6">
        <w:rPr>
          <w:i/>
          <w:iCs/>
        </w:rPr>
        <w:t xml:space="preserve"> </w:t>
      </w:r>
      <w:proofErr w:type="spellStart"/>
      <w:r w:rsidR="004412B7" w:rsidRPr="004811B6">
        <w:rPr>
          <w:i/>
          <w:iCs/>
        </w:rPr>
        <w:t>multilateral</w:t>
      </w:r>
      <w:proofErr w:type="spellEnd"/>
      <w:r w:rsidR="004412B7" w:rsidRPr="004811B6">
        <w:rPr>
          <w:i/>
          <w:iCs/>
        </w:rPr>
        <w:t xml:space="preserve"> </w:t>
      </w:r>
      <w:proofErr w:type="spellStart"/>
      <w:r w:rsidR="004412B7" w:rsidRPr="004811B6">
        <w:rPr>
          <w:i/>
          <w:iCs/>
        </w:rPr>
        <w:t>budgetary</w:t>
      </w:r>
      <w:proofErr w:type="spellEnd"/>
      <w:r w:rsidR="004412B7" w:rsidRPr="004811B6">
        <w:rPr>
          <w:i/>
          <w:iCs/>
        </w:rPr>
        <w:t xml:space="preserve"> </w:t>
      </w:r>
      <w:proofErr w:type="spellStart"/>
      <w:r w:rsidR="004412B7" w:rsidRPr="004811B6">
        <w:rPr>
          <w:i/>
          <w:iCs/>
        </w:rPr>
        <w:t>surveillance</w:t>
      </w:r>
      <w:proofErr w:type="spellEnd"/>
      <w:r w:rsidR="004412B7" w:rsidRPr="004811B6">
        <w:rPr>
          <w:i/>
          <w:iCs/>
        </w:rPr>
        <w:t xml:space="preserve"> </w:t>
      </w:r>
      <w:proofErr w:type="spellStart"/>
      <w:r w:rsidR="004412B7" w:rsidRPr="004811B6">
        <w:rPr>
          <w:i/>
          <w:iCs/>
        </w:rPr>
        <w:t>and</w:t>
      </w:r>
      <w:proofErr w:type="spellEnd"/>
      <w:r w:rsidR="004412B7" w:rsidRPr="004811B6">
        <w:rPr>
          <w:i/>
          <w:iCs/>
        </w:rPr>
        <w:t xml:space="preserve"> </w:t>
      </w:r>
      <w:proofErr w:type="spellStart"/>
      <w:r w:rsidR="004412B7" w:rsidRPr="004811B6">
        <w:rPr>
          <w:i/>
          <w:iCs/>
        </w:rPr>
        <w:t>repealing</w:t>
      </w:r>
      <w:proofErr w:type="spellEnd"/>
      <w:r w:rsidR="004412B7" w:rsidRPr="004811B6">
        <w:rPr>
          <w:i/>
          <w:iCs/>
        </w:rPr>
        <w:t xml:space="preserve"> </w:t>
      </w:r>
      <w:proofErr w:type="spellStart"/>
      <w:r w:rsidR="004412B7" w:rsidRPr="004811B6">
        <w:rPr>
          <w:i/>
          <w:iCs/>
        </w:rPr>
        <w:t>Council</w:t>
      </w:r>
      <w:proofErr w:type="spellEnd"/>
      <w:r w:rsidR="004412B7" w:rsidRPr="004811B6">
        <w:rPr>
          <w:i/>
          <w:iCs/>
        </w:rPr>
        <w:t xml:space="preserve"> </w:t>
      </w:r>
      <w:proofErr w:type="spellStart"/>
      <w:r w:rsidR="004412B7" w:rsidRPr="004811B6">
        <w:rPr>
          <w:i/>
          <w:iCs/>
        </w:rPr>
        <w:t>Regulation</w:t>
      </w:r>
      <w:proofErr w:type="spellEnd"/>
      <w:r w:rsidR="004412B7" w:rsidRPr="004811B6">
        <w:rPr>
          <w:i/>
          <w:iCs/>
        </w:rPr>
        <w:t xml:space="preserve"> (EC) No 1466/97</w:t>
      </w:r>
      <w:r w:rsidR="00967929" w:rsidRPr="004811B6">
        <w:rPr>
          <w:i/>
          <w:iCs/>
        </w:rPr>
        <w:t>,</w:t>
      </w:r>
      <w:r w:rsidR="00967929" w:rsidRPr="004811B6">
        <w:t xml:space="preserve"> pieejams: </w:t>
      </w:r>
      <w:hyperlink r:id="rId3" w:history="1">
        <w:r w:rsidR="00EB31F4" w:rsidRPr="004811B6">
          <w:rPr>
            <w:rStyle w:val="Hyperlink"/>
          </w:rPr>
          <w:t>https://www.consilium.europa.eu/media/70386/st06645-re01-en24.pdf</w:t>
        </w:r>
      </w:hyperlink>
    </w:p>
  </w:footnote>
  <w:footnote w:id="8">
    <w:p w14:paraId="3D0A11B1" w14:textId="16E4BF40" w:rsidR="008F26CA" w:rsidRPr="000C722C" w:rsidRDefault="008F26CA" w:rsidP="008F26CA">
      <w:pPr>
        <w:pStyle w:val="FootnoteText"/>
        <w:tabs>
          <w:tab w:val="left" w:pos="284"/>
        </w:tabs>
        <w:ind w:left="0" w:firstLine="0"/>
        <w:rPr>
          <w:bCs/>
          <w:iCs/>
        </w:rPr>
      </w:pPr>
      <w:r w:rsidRPr="008D10A8">
        <w:rPr>
          <w:rStyle w:val="FootnoteReference"/>
          <w:rFonts w:ascii="Times New Roman" w:hAnsi="Times New Roman"/>
        </w:rPr>
        <w:footnoteRef/>
      </w:r>
      <w:r w:rsidRPr="004811B6">
        <w:t xml:space="preserve"> </w:t>
      </w:r>
      <w:r w:rsidR="005108FF" w:rsidRPr="004811B6">
        <w:t>V</w:t>
      </w:r>
      <w:r w:rsidRPr="004811B6">
        <w:t xml:space="preserve">ispārējās valdības budžeta izdevumi, atskaitot </w:t>
      </w:r>
      <w:r w:rsidRPr="004811B6">
        <w:rPr>
          <w:bCs/>
          <w:iCs/>
        </w:rPr>
        <w:t xml:space="preserve">procentu izdevumus, </w:t>
      </w:r>
      <w:r w:rsidR="006C7049" w:rsidRPr="004811B6">
        <w:rPr>
          <w:bCs/>
          <w:iCs/>
        </w:rPr>
        <w:t>DRM</w:t>
      </w:r>
      <w:r w:rsidRPr="004811B6">
        <w:rPr>
          <w:bCs/>
          <w:iCs/>
        </w:rPr>
        <w:t>, izdevumus par ES programmām, kas pilnībā atbilst ES fondu ieņēmumiem, valsts izdevumus par ES finansēto programmu līdzfinansēšanu, kā arī bezdarbnieka pabalstu izdevumu cikliskos elementus. Atbilstīgi pamatprincipiem, ko EK izmantojusi, klasificējot darījumus kā vienreizējus darījumus un citus pagaidu pasākumus, minētie vienreizējie un citi pagaidu pasākumi arī būtu jāatskaita no valdības izdevumiem.</w:t>
      </w:r>
    </w:p>
  </w:footnote>
  <w:footnote w:id="9">
    <w:p w14:paraId="0C758824" w14:textId="3F44F082" w:rsidR="00DB0C28" w:rsidRPr="00CF68A1" w:rsidRDefault="00DB0C28" w:rsidP="00DB0C28">
      <w:pPr>
        <w:pStyle w:val="FootnoteText"/>
        <w:ind w:left="0" w:firstLine="0"/>
        <w:rPr>
          <w:bCs/>
          <w:iCs/>
        </w:rPr>
      </w:pPr>
      <w:r>
        <w:rPr>
          <w:rStyle w:val="FootnoteReference"/>
        </w:rPr>
        <w:footnoteRef/>
      </w:r>
      <w:r>
        <w:t xml:space="preserve"> </w:t>
      </w:r>
      <w:r w:rsidRPr="00CF68A1">
        <w:rPr>
          <w:bCs/>
          <w:iCs/>
        </w:rPr>
        <w:t xml:space="preserve">“tehniskā informācija” ir norādījumi, ko </w:t>
      </w:r>
      <w:r>
        <w:rPr>
          <w:bCs/>
          <w:iCs/>
        </w:rPr>
        <w:t>EK</w:t>
      </w:r>
      <w:r w:rsidRPr="00EB74C2">
        <w:rPr>
          <w:bCs/>
          <w:iCs/>
        </w:rPr>
        <w:t xml:space="preserve"> pirms dalībvalstis izstrādā savus valsts vidēja termiņa </w:t>
      </w:r>
      <w:r w:rsidR="00E140E5">
        <w:rPr>
          <w:bCs/>
          <w:iCs/>
        </w:rPr>
        <w:t>FSP</w:t>
      </w:r>
      <w:r>
        <w:rPr>
          <w:bCs/>
          <w:iCs/>
        </w:rPr>
        <w:t xml:space="preserve"> </w:t>
      </w:r>
      <w:r w:rsidRPr="00CF68A1">
        <w:rPr>
          <w:bCs/>
          <w:iCs/>
        </w:rPr>
        <w:t xml:space="preserve">sniedz </w:t>
      </w:r>
      <w:r w:rsidRPr="00C76966">
        <w:rPr>
          <w:bCs/>
          <w:iCs/>
        </w:rPr>
        <w:t>pēc pieprasījuma</w:t>
      </w:r>
      <w:r>
        <w:rPr>
          <w:bCs/>
          <w:iCs/>
        </w:rPr>
        <w:t xml:space="preserve">, </w:t>
      </w:r>
      <w:r w:rsidRPr="00CF68A1">
        <w:rPr>
          <w:bCs/>
          <w:iCs/>
        </w:rPr>
        <w:t xml:space="preserve">par strukturālo primāro bilanci, kas vajadzīga, lai nodrošinātu, ka nominālais deficīts tiek saglabāts zem 3 % no IKP bez jebkādiem papildu politikas pasākumiem vidējā termiņā un ilgtermiņā, un norādot, vai tas nozīmē, ka ir vajadzība pēc fiskālām korekcijām. </w:t>
      </w:r>
    </w:p>
    <w:p w14:paraId="13F49743" w14:textId="77777777" w:rsidR="00DB0C28" w:rsidRDefault="00DB0C28" w:rsidP="00DB0C28">
      <w:pPr>
        <w:pStyle w:val="FootnoteText"/>
      </w:pPr>
    </w:p>
  </w:footnote>
  <w:footnote w:id="10">
    <w:p w14:paraId="4CE8051F" w14:textId="417AC7D7" w:rsidR="00572F7D" w:rsidRDefault="00572F7D" w:rsidP="000F59BB">
      <w:pPr>
        <w:pStyle w:val="FootnoteText"/>
        <w:ind w:left="0" w:firstLine="0"/>
      </w:pPr>
      <w:r>
        <w:rPr>
          <w:rStyle w:val="FootnoteReference"/>
        </w:rPr>
        <w:footnoteRef/>
      </w:r>
      <w:r>
        <w:t xml:space="preserve"> </w:t>
      </w:r>
      <w:r w:rsidR="000F59BB">
        <w:t xml:space="preserve">Deklarācija par </w:t>
      </w:r>
      <w:proofErr w:type="spellStart"/>
      <w:r w:rsidR="000F59BB">
        <w:t>Evikas</w:t>
      </w:r>
      <w:proofErr w:type="spellEnd"/>
      <w:r w:rsidR="000F59BB">
        <w:t xml:space="preserve"> Siliņas vadītā Ministru kabineta iecerēto darbību 2023. gada 15. septembrī. 40. punkts</w:t>
      </w:r>
      <w:r w:rsidR="00592B42">
        <w:t>, p</w:t>
      </w:r>
      <w:r w:rsidR="000F59BB">
        <w:t xml:space="preserve">ieejams: </w:t>
      </w:r>
      <w:hyperlink r:id="rId4" w:history="1">
        <w:r w:rsidR="006F0FED" w:rsidRPr="00C909F5">
          <w:rPr>
            <w:rStyle w:val="Hyperlink"/>
          </w:rPr>
          <w:t>https://www.mk.gov.lv/lv/media/16704/download?attachment</w:t>
        </w:r>
      </w:hyperlink>
      <w:r w:rsidR="006F0FED">
        <w:t xml:space="preserve"> </w:t>
      </w:r>
    </w:p>
  </w:footnote>
  <w:footnote w:id="11">
    <w:p w14:paraId="38E3C4C9" w14:textId="72B3F8C8" w:rsidR="00016A90" w:rsidRDefault="00016A90" w:rsidP="005B1608">
      <w:pPr>
        <w:pStyle w:val="FootnoteText"/>
        <w:ind w:left="0" w:firstLine="0"/>
      </w:pPr>
      <w:r>
        <w:rPr>
          <w:rStyle w:val="FootnoteReference"/>
        </w:rPr>
        <w:footnoteRef/>
      </w:r>
      <w:r>
        <w:t xml:space="preserve"> </w:t>
      </w:r>
      <w:r w:rsidR="005B1608" w:rsidRPr="005B1608">
        <w:t>Grozījumi likumā "Par akcīzes nodokli"</w:t>
      </w:r>
      <w:r w:rsidR="00603997">
        <w:t xml:space="preserve">, pieejams: </w:t>
      </w:r>
      <w:hyperlink r:id="rId5" w:history="1">
        <w:r w:rsidR="005B1608" w:rsidRPr="00C909F5">
          <w:rPr>
            <w:rStyle w:val="Hyperlink"/>
          </w:rPr>
          <w:t>https://likumi.lv/ta/id/348551-grozijumi-likuma-par-akcizes-nodokli-</w:t>
        </w:r>
      </w:hyperlink>
      <w:r w:rsidR="005B1608">
        <w:t xml:space="preserve"> </w:t>
      </w:r>
    </w:p>
  </w:footnote>
  <w:footnote w:id="12">
    <w:p w14:paraId="15012046" w14:textId="64B92825" w:rsidR="00016A90" w:rsidRDefault="00016A90" w:rsidP="00603997">
      <w:pPr>
        <w:pStyle w:val="FootnoteText"/>
        <w:ind w:left="0" w:firstLine="0"/>
      </w:pPr>
      <w:r>
        <w:rPr>
          <w:rStyle w:val="FootnoteReference"/>
        </w:rPr>
        <w:footnoteRef/>
      </w:r>
      <w:r>
        <w:t xml:space="preserve"> </w:t>
      </w:r>
      <w:r w:rsidR="00603997" w:rsidRPr="00603997">
        <w:t>Grozījumi Pievienotās vērtības nodokļa likumā</w:t>
      </w:r>
      <w:r w:rsidR="00603997">
        <w:t xml:space="preserve">, pieejams: </w:t>
      </w:r>
      <w:hyperlink r:id="rId6" w:history="1">
        <w:r w:rsidR="00603997" w:rsidRPr="00C909F5">
          <w:rPr>
            <w:rStyle w:val="Hyperlink"/>
          </w:rPr>
          <w:t>https://likumi.lv/ta/id/348559-grozijumi-pievienotas-vertibas-nodokla-likuma</w:t>
        </w:r>
      </w:hyperlink>
      <w:r w:rsidR="00603997">
        <w:t xml:space="preserve"> </w:t>
      </w:r>
    </w:p>
  </w:footnote>
  <w:footnote w:id="13">
    <w:p w14:paraId="673FDB52" w14:textId="3E9590BA" w:rsidR="00016A90" w:rsidRDefault="00016A90" w:rsidP="00592B42">
      <w:pPr>
        <w:pStyle w:val="FootnoteText"/>
        <w:ind w:left="0" w:firstLine="0"/>
      </w:pPr>
      <w:r>
        <w:rPr>
          <w:rStyle w:val="FootnoteReference"/>
        </w:rPr>
        <w:footnoteRef/>
      </w:r>
      <w:r w:rsidR="00592B42">
        <w:t xml:space="preserve"> </w:t>
      </w:r>
      <w:r w:rsidR="00592B42" w:rsidRPr="00592B42">
        <w:t>Grozījumi likumā</w:t>
      </w:r>
      <w:r w:rsidR="00592B42">
        <w:t xml:space="preserve"> “</w:t>
      </w:r>
      <w:r w:rsidR="00592B42" w:rsidRPr="00592B42">
        <w:t>Par iedzīvotāju ienākuma nodokli</w:t>
      </w:r>
      <w:r w:rsidR="00592B42">
        <w:t>”</w:t>
      </w:r>
      <w:r w:rsidR="00F969BF">
        <w:t xml:space="preserve">, pieejams: </w:t>
      </w:r>
      <w:hyperlink r:id="rId7" w:history="1">
        <w:r w:rsidR="00F969BF" w:rsidRPr="00C909F5">
          <w:rPr>
            <w:rStyle w:val="Hyperlink"/>
          </w:rPr>
          <w:t>https://likumi.lv/ta/id/348453-grozijumi-pateretaju-tiesibu-aizsardzibas-likuma</w:t>
        </w:r>
      </w:hyperlink>
      <w:r w:rsidR="00F969BF">
        <w:t xml:space="preserve"> </w:t>
      </w:r>
    </w:p>
  </w:footnote>
  <w:footnote w:id="14">
    <w:p w14:paraId="17CDB3FB" w14:textId="51187271" w:rsidR="00016A90" w:rsidRDefault="00016A90" w:rsidP="00CF68A1">
      <w:pPr>
        <w:pStyle w:val="FootnoteText"/>
        <w:ind w:left="0" w:firstLine="0"/>
      </w:pPr>
      <w:r>
        <w:rPr>
          <w:rStyle w:val="FootnoteReference"/>
        </w:rPr>
        <w:footnoteRef/>
      </w:r>
      <w:r w:rsidR="00CF68A1">
        <w:t xml:space="preserve"> </w:t>
      </w:r>
      <w:r w:rsidR="00FD797B" w:rsidRPr="00FD797B">
        <w:t>Noteikumi par ievešanai (importēšanai) Latvijā aizliegtiem lauksaimniecības un lopbarības produktiem</w:t>
      </w:r>
      <w:r w:rsidR="003E1551">
        <w:t>, p</w:t>
      </w:r>
      <w:r w:rsidR="00FD797B">
        <w:t xml:space="preserve">ieejams: </w:t>
      </w:r>
      <w:hyperlink r:id="rId8" w:history="1">
        <w:r w:rsidR="00FD797B" w:rsidRPr="00C909F5">
          <w:rPr>
            <w:rStyle w:val="Hyperlink"/>
          </w:rPr>
          <w:t>https://likumi.lv/ta/id/350370</w:t>
        </w:r>
      </w:hyperlink>
      <w:r w:rsidR="00FD797B">
        <w:t xml:space="preserve"> </w:t>
      </w:r>
    </w:p>
  </w:footnote>
  <w:footnote w:id="15">
    <w:p w14:paraId="497E59D5" w14:textId="31E8956C" w:rsidR="00016A90" w:rsidRDefault="00016A90" w:rsidP="003E1551">
      <w:pPr>
        <w:pStyle w:val="FootnoteText"/>
        <w:ind w:left="0" w:firstLine="0"/>
      </w:pPr>
      <w:r>
        <w:rPr>
          <w:rStyle w:val="FootnoteReference"/>
        </w:rPr>
        <w:footnoteRef/>
      </w:r>
      <w:r>
        <w:t xml:space="preserve"> </w:t>
      </w:r>
      <w:r w:rsidR="003E1551" w:rsidRPr="003E1551">
        <w:t>Grozījumi Patērētāju tiesību aizsardzības likumā</w:t>
      </w:r>
      <w:r w:rsidR="003E1551">
        <w:t xml:space="preserve">, pieejams: </w:t>
      </w:r>
      <w:hyperlink r:id="rId9" w:history="1">
        <w:r w:rsidR="003E1551" w:rsidRPr="00C909F5">
          <w:rPr>
            <w:rStyle w:val="Hyperlink"/>
          </w:rPr>
          <w:t>https://likumi.lv/ta/id/348453-grozijumi-pateretaju-tiesibu-aizsardzibas-likuma</w:t>
        </w:r>
      </w:hyperlink>
      <w:r w:rsidR="003E1551">
        <w:t xml:space="preserve"> </w:t>
      </w:r>
    </w:p>
  </w:footnote>
  <w:footnote w:id="16">
    <w:p w14:paraId="79F869E9" w14:textId="71EF9E9B" w:rsidR="00FF2041" w:rsidRPr="003A6830" w:rsidRDefault="00FF2041" w:rsidP="00FF2041">
      <w:pPr>
        <w:pStyle w:val="FootnoteText"/>
        <w:ind w:left="0" w:firstLine="0"/>
      </w:pPr>
      <w:r w:rsidRPr="003A6830">
        <w:rPr>
          <w:rStyle w:val="FootnoteReference"/>
          <w:rFonts w:ascii="Times New Roman" w:hAnsi="Times New Roman"/>
        </w:rPr>
        <w:footnoteRef/>
      </w:r>
      <w:r w:rsidRPr="003A6830">
        <w:t xml:space="preserve"> </w:t>
      </w:r>
      <w:r w:rsidR="00571AB4" w:rsidRPr="008D10A8">
        <w:t xml:space="preserve">Vispārējās valdības budžeta deficīta un parāda notifikācija atbilstoši regulas (EK) Nr. 479/2009 prasībām tiek iesniegta </w:t>
      </w:r>
      <w:proofErr w:type="spellStart"/>
      <w:r w:rsidR="00571AB4" w:rsidRPr="008D10A8">
        <w:rPr>
          <w:i/>
          <w:iCs/>
        </w:rPr>
        <w:t>Eurostat</w:t>
      </w:r>
      <w:proofErr w:type="spellEnd"/>
      <w:r w:rsidR="00571AB4" w:rsidRPr="008D10A8">
        <w:t xml:space="preserve"> divas reizes gadā – līdz 1. aprīlim un 1. oktobrim.</w:t>
      </w:r>
    </w:p>
  </w:footnote>
  <w:footnote w:id="17">
    <w:p w14:paraId="4A03FCD1" w14:textId="12177908" w:rsidR="00FF2041" w:rsidRDefault="00FF2041" w:rsidP="00FF2041">
      <w:pPr>
        <w:pStyle w:val="FootnoteText"/>
      </w:pPr>
      <w:r w:rsidRPr="008D10A8">
        <w:rPr>
          <w:rStyle w:val="FootnoteCharacters"/>
          <w:rFonts w:ascii="Times New Roman" w:hAnsi="Times New Roman"/>
        </w:rPr>
        <w:footnoteRef/>
      </w:r>
      <w:r w:rsidR="00EF3C17" w:rsidRPr="008D10A8">
        <w:t xml:space="preserve"> </w:t>
      </w:r>
      <w:r w:rsidRPr="008D10A8">
        <w:t>Nodokļu slogs (D.2 (iesk.ES daļu)+D.5+D.61+D91).</w:t>
      </w:r>
    </w:p>
    <w:p w14:paraId="4D71120A" w14:textId="476E4130" w:rsidR="00D021CD" w:rsidRPr="008D10A8" w:rsidRDefault="00D021CD" w:rsidP="00D021CD">
      <w:pPr>
        <w:pStyle w:val="FootnoteText"/>
        <w:jc w:val="right"/>
      </w:pPr>
      <w:r w:rsidRPr="00D021CD">
        <w:rPr>
          <w:sz w:val="24"/>
          <w:szCs w:val="24"/>
        </w:rPr>
        <w:t>36</w:t>
      </w:r>
    </w:p>
  </w:footnote>
  <w:footnote w:id="18">
    <w:p w14:paraId="7FF45B17" w14:textId="6BFDCD38" w:rsidR="00E45B42" w:rsidRPr="004811B6" w:rsidRDefault="00E45B42" w:rsidP="00E45B42">
      <w:pPr>
        <w:pStyle w:val="FootnoteText"/>
      </w:pPr>
      <w:r w:rsidRPr="008D10A8">
        <w:rPr>
          <w:rStyle w:val="FootnoteReference"/>
          <w:rFonts w:ascii="Times New Roman" w:hAnsi="Times New Roman"/>
        </w:rPr>
        <w:footnoteRef/>
      </w:r>
      <w:r w:rsidRPr="004811B6">
        <w:t xml:space="preserve"> </w:t>
      </w:r>
      <w:r w:rsidRPr="008D10A8">
        <w:rPr>
          <w:noProof/>
        </w:rPr>
        <w:t>Datu avots: Iekšlietu ministrija</w:t>
      </w:r>
      <w:r w:rsidRPr="008D10A8">
        <w:t xml:space="preserve">, </w:t>
      </w:r>
      <w:r w:rsidR="002768B3" w:rsidRPr="008D10A8">
        <w:t>08.04.2024</w:t>
      </w:r>
      <w:r w:rsidRPr="008D10A8">
        <w:t>.</w:t>
      </w:r>
    </w:p>
  </w:footnote>
  <w:footnote w:id="19">
    <w:p w14:paraId="13551B0A" w14:textId="77777777" w:rsidR="00303429" w:rsidRDefault="006F3EEF" w:rsidP="006F3EEF">
      <w:pPr>
        <w:pStyle w:val="FootnoteText"/>
        <w:ind w:left="0" w:firstLine="0"/>
      </w:pPr>
      <w:r w:rsidRPr="006F3EEF">
        <w:rPr>
          <w:rStyle w:val="FootnoteReference"/>
          <w:rFonts w:ascii="Times New Roman" w:hAnsi="Times New Roman"/>
        </w:rPr>
        <w:footnoteRef/>
      </w:r>
      <w:r w:rsidRPr="006F3EEF">
        <w:t xml:space="preserve"> </w:t>
      </w:r>
      <w:r w:rsidRPr="006F3EEF">
        <w:t>Faktiskie dati par 2019.</w:t>
      </w:r>
      <w:r w:rsidR="00303429">
        <w:t xml:space="preserve"> – </w:t>
      </w:r>
      <w:r w:rsidRPr="006F3EEF">
        <w:t xml:space="preserve">2022. gadu ir atbilstoši </w:t>
      </w:r>
      <w:proofErr w:type="spellStart"/>
      <w:r w:rsidRPr="006F3EEF">
        <w:rPr>
          <w:i/>
          <w:iCs/>
        </w:rPr>
        <w:t>Eurostat</w:t>
      </w:r>
      <w:proofErr w:type="spellEnd"/>
      <w:r w:rsidRPr="006F3EEF">
        <w:t xml:space="preserve"> publicētajam (oktobris, 2023). </w:t>
      </w:r>
    </w:p>
    <w:p w14:paraId="03EA6ADC" w14:textId="42FB04A8" w:rsidR="006F3EEF" w:rsidRPr="006F3EEF" w:rsidRDefault="006F3EEF" w:rsidP="006F3EEF">
      <w:pPr>
        <w:pStyle w:val="FootnoteText"/>
        <w:ind w:left="0" w:firstLine="0"/>
      </w:pPr>
      <w:r w:rsidRPr="006F3EEF">
        <w:t xml:space="preserve">Atbilstoši </w:t>
      </w:r>
      <w:proofErr w:type="spellStart"/>
      <w:r w:rsidRPr="006F3EEF">
        <w:rPr>
          <w:i/>
          <w:iCs/>
        </w:rPr>
        <w:t>Eurostat</w:t>
      </w:r>
      <w:proofErr w:type="spellEnd"/>
      <w:r w:rsidRPr="006F3EEF">
        <w:t xml:space="preserve"> (22.04.2024.)</w:t>
      </w:r>
      <w:r w:rsidR="00303429">
        <w:t>,</w:t>
      </w:r>
      <w:r w:rsidRPr="006F3EEF">
        <w:t xml:space="preserve"> vispārējās valdības budžeta deficīts 2023. gadā bija 2,2% no IKP. </w:t>
      </w:r>
    </w:p>
  </w:footnote>
  <w:footnote w:id="20">
    <w:p w14:paraId="4CB9BBDF" w14:textId="77777777" w:rsidR="00493C86" w:rsidRPr="00A8107B" w:rsidRDefault="00493C86" w:rsidP="00493C86">
      <w:pPr>
        <w:pStyle w:val="FootnoteText"/>
        <w:ind w:left="57" w:hanging="57"/>
      </w:pPr>
      <w:r w:rsidRPr="00A8107B">
        <w:rPr>
          <w:rStyle w:val="FootnoteReference"/>
          <w:rFonts w:ascii="Times New Roman" w:hAnsi="Times New Roman"/>
        </w:rPr>
        <w:footnoteRef/>
      </w:r>
      <w:r w:rsidRPr="00A8107B">
        <w:t xml:space="preserve"> </w:t>
      </w:r>
      <w:r w:rsidRPr="00A8107B">
        <w:t xml:space="preserve">Valsts un pašvaldību struktūru kontrolētās un finansētās komercsabiedrības (FM izlases aptaujas rezultāts). Pilns </w:t>
      </w:r>
      <w:r w:rsidRPr="00A8107B">
        <w:rPr>
          <w:noProof/>
        </w:rPr>
        <w:t xml:space="preserve">komersantu saraksts ir pieejams CSP mājas lapā </w:t>
      </w:r>
      <w:hyperlink r:id="rId10" w:history="1">
        <w:r w:rsidRPr="00A8107B">
          <w:rPr>
            <w:rStyle w:val="Hyperlink"/>
            <w:noProof/>
          </w:rPr>
          <w:t>https://www.csb.gov.lv/lv/statistika/klasifikacijas/institucionalo-sektoru-klasifikacija/kodi</w:t>
        </w:r>
      </w:hyperlink>
      <w:r w:rsidRPr="00A8107B">
        <w:rPr>
          <w:rStyle w:val="Hyperlink"/>
          <w:noProof/>
        </w:rPr>
        <w:t>.</w:t>
      </w:r>
    </w:p>
  </w:footnote>
  <w:footnote w:id="21">
    <w:p w14:paraId="0C692F49" w14:textId="77777777" w:rsidR="00493C86" w:rsidRPr="0070018B" w:rsidRDefault="00493C86" w:rsidP="00493C86">
      <w:pPr>
        <w:pStyle w:val="FootnoteText"/>
        <w:ind w:left="57" w:hanging="57"/>
        <w:rPr>
          <w:noProof/>
          <w:sz w:val="18"/>
          <w:szCs w:val="18"/>
          <w:lang w:val="en-US"/>
        </w:rPr>
      </w:pPr>
      <w:r w:rsidRPr="00A8107B">
        <w:rPr>
          <w:rStyle w:val="FootnoteReference"/>
          <w:rFonts w:ascii="Times New Roman" w:hAnsi="Times New Roman"/>
          <w:noProof/>
          <w:lang w:val="en-US"/>
        </w:rPr>
        <w:footnoteRef/>
      </w:r>
      <w:r w:rsidRPr="00A8107B">
        <w:rPr>
          <w:noProof/>
        </w:rPr>
        <w:t xml:space="preserve"> Budžeta bilances cikliskās komponentes aprēķinā izmantota budžeta pus-elastība 0,378 (Datu avots: </w:t>
      </w:r>
      <w:r w:rsidRPr="00A8107B">
        <w:rPr>
          <w:i/>
          <w:iCs/>
          <w:noProof/>
        </w:rPr>
        <w:t xml:space="preserve">G.Mourre ao. </w:t>
      </w:r>
      <w:r w:rsidRPr="00A8107B">
        <w:rPr>
          <w:i/>
          <w:iCs/>
          <w:noProof/>
          <w:lang w:val="en-US"/>
        </w:rPr>
        <w:t>European Commission. The Semi-Elasticities Underlying the Cyclically-Adjusted Budget Balance: An Update &amp; Further Analysis. May 2019).</w:t>
      </w:r>
    </w:p>
  </w:footnote>
  <w:footnote w:id="22">
    <w:p w14:paraId="1A4F3FFC" w14:textId="77777777" w:rsidR="00207CB2" w:rsidRPr="008C6DC2" w:rsidRDefault="00207CB2" w:rsidP="00C13AFE">
      <w:pPr>
        <w:pStyle w:val="FootnoteText"/>
        <w:ind w:left="57" w:hanging="57"/>
        <w:rPr>
          <w:noProof/>
          <w:lang w:val="en-US"/>
        </w:rPr>
      </w:pPr>
      <w:r w:rsidRPr="008C6DC2">
        <w:rPr>
          <w:rStyle w:val="FootnoteReference"/>
          <w:rFonts w:ascii="Times New Roman" w:hAnsi="Times New Roman"/>
          <w:noProof/>
          <w:lang w:val="en-US"/>
        </w:rPr>
        <w:footnoteRef/>
      </w:r>
      <w:r w:rsidRPr="008C6DC2">
        <w:rPr>
          <w:noProof/>
        </w:rPr>
        <w:t xml:space="preserve"> Budžeta bilances cikliskās komponentes aprēķinā izmantota budžeta pus-elastība 0,378 (Datu avots: </w:t>
      </w:r>
      <w:r w:rsidRPr="008C6DC2">
        <w:rPr>
          <w:i/>
          <w:iCs/>
          <w:noProof/>
        </w:rPr>
        <w:t xml:space="preserve">G.Mourre ao. </w:t>
      </w:r>
      <w:r w:rsidRPr="008C6DC2">
        <w:rPr>
          <w:i/>
          <w:iCs/>
          <w:noProof/>
          <w:lang w:val="en-US"/>
        </w:rPr>
        <w:t>European Commission. The Semi-Elasticities Underlying the Cyclically-Adjusted Budget Balance: An Update &amp; Further Analysis. May 2019</w:t>
      </w:r>
      <w:r w:rsidRPr="008C6DC2">
        <w:rPr>
          <w:noProof/>
          <w:lang w:val="en-US"/>
        </w:rPr>
        <w:t>).</w:t>
      </w:r>
    </w:p>
  </w:footnote>
  <w:footnote w:id="23">
    <w:p w14:paraId="6D566795" w14:textId="14994395" w:rsidR="00200D0C" w:rsidRPr="00FF79C4" w:rsidRDefault="00200D0C" w:rsidP="00FF6B19">
      <w:pPr>
        <w:pStyle w:val="FootnoteText"/>
        <w:ind w:left="0" w:firstLine="0"/>
        <w:rPr>
          <w:sz w:val="18"/>
          <w:szCs w:val="18"/>
        </w:rPr>
      </w:pPr>
      <w:r w:rsidRPr="008C6DC2">
        <w:rPr>
          <w:rStyle w:val="FootnoteReference"/>
          <w:rFonts w:ascii="Times New Roman" w:hAnsi="Times New Roman"/>
          <w:noProof/>
          <w:lang w:val="en-US"/>
        </w:rPr>
        <w:footnoteRef/>
      </w:r>
      <w:r w:rsidR="008C6DC2">
        <w:rPr>
          <w:rStyle w:val="FootnoteReference"/>
          <w:rFonts w:ascii="Times New Roman" w:hAnsi="Times New Roman"/>
          <w:vertAlign w:val="baseline"/>
        </w:rPr>
        <w:t xml:space="preserve"> </w:t>
      </w:r>
      <w:r w:rsidRPr="008C6DC2">
        <w:rPr>
          <w:rStyle w:val="FootnoteReference"/>
          <w:rFonts w:ascii="Times New Roman" w:hAnsi="Times New Roman"/>
          <w:vertAlign w:val="baseline"/>
        </w:rPr>
        <w:t>S</w:t>
      </w:r>
      <w:r w:rsidRPr="008C6DC2">
        <w:t>kat. 3.1. tabulu.</w:t>
      </w:r>
    </w:p>
  </w:footnote>
  <w:footnote w:id="24">
    <w:p w14:paraId="7D3431FD" w14:textId="6F571836" w:rsidR="006923DF" w:rsidRPr="00461783" w:rsidRDefault="006923DF" w:rsidP="006923DF">
      <w:pPr>
        <w:pStyle w:val="FootnoteText"/>
      </w:pPr>
      <w:r>
        <w:rPr>
          <w:rStyle w:val="FootnoteReference"/>
        </w:rPr>
        <w:footnoteRef/>
      </w:r>
      <w:r>
        <w:t xml:space="preserve"> </w:t>
      </w:r>
      <w:r>
        <w:t xml:space="preserve">Atskaitot iemaksas valsts </w:t>
      </w:r>
      <w:proofErr w:type="spellStart"/>
      <w:r>
        <w:t>fondēto</w:t>
      </w:r>
      <w:proofErr w:type="spellEnd"/>
      <w:r>
        <w:t xml:space="preserve"> pensiju shēmā un iemaksas 3.</w:t>
      </w:r>
      <w:r w:rsidR="00457BB0">
        <w:t xml:space="preserve"> </w:t>
      </w:r>
      <w:r>
        <w:t>pensiju līmenī</w:t>
      </w:r>
    </w:p>
  </w:footnote>
  <w:footnote w:id="25">
    <w:p w14:paraId="566EB40A" w14:textId="012BDE23" w:rsidR="006923DF" w:rsidRPr="00461783" w:rsidRDefault="006923DF" w:rsidP="006923DF">
      <w:pPr>
        <w:pStyle w:val="FootnoteText"/>
      </w:pPr>
      <w:r>
        <w:rPr>
          <w:rStyle w:val="FootnoteReference"/>
        </w:rPr>
        <w:footnoteRef/>
      </w:r>
      <w:r>
        <w:t xml:space="preserve"> Atskaitot iemaksas valsts </w:t>
      </w:r>
      <w:proofErr w:type="spellStart"/>
      <w:r>
        <w:t>fondēto</w:t>
      </w:r>
      <w:proofErr w:type="spellEnd"/>
      <w:r>
        <w:t xml:space="preserve"> pensiju shēmā un iemaksas 3.</w:t>
      </w:r>
      <w:r w:rsidR="000C1AC0">
        <w:t xml:space="preserve"> </w:t>
      </w:r>
      <w:r>
        <w:t>pensiju līmenī</w:t>
      </w:r>
    </w:p>
  </w:footnote>
  <w:footnote w:id="26">
    <w:p w14:paraId="1EAF4265" w14:textId="77777777" w:rsidR="00EC23E4" w:rsidRDefault="00EC23E4" w:rsidP="00EC23E4">
      <w:pPr>
        <w:pStyle w:val="FootnoteText"/>
      </w:pPr>
      <w:r>
        <w:rPr>
          <w:rStyle w:val="FootnoteReference"/>
        </w:rPr>
        <w:footnoteRef/>
      </w:r>
      <w:r>
        <w:t xml:space="preserve"> </w:t>
      </w:r>
      <w:r w:rsidRPr="00A542CD">
        <w:t>2024.gada Novecošanās ziņojumu plānots publicēt</w:t>
      </w:r>
      <w:r>
        <w:t xml:space="preserve"> </w:t>
      </w:r>
      <w:r w:rsidRPr="00A542CD">
        <w:t>2024.</w:t>
      </w:r>
      <w:r>
        <w:t xml:space="preserve"> </w:t>
      </w:r>
      <w:r w:rsidRPr="00A542CD">
        <w:t>gada aprīlī</w:t>
      </w:r>
    </w:p>
  </w:footnote>
  <w:footnote w:id="27">
    <w:p w14:paraId="11800D9A" w14:textId="0281EDB9" w:rsidR="00551502" w:rsidRPr="008D10A8" w:rsidRDefault="00551502" w:rsidP="009A2DF2">
      <w:pPr>
        <w:pStyle w:val="FootnoteText"/>
        <w:ind w:left="142" w:hanging="142"/>
      </w:pPr>
      <w:r w:rsidRPr="008D10A8">
        <w:rPr>
          <w:vertAlign w:val="superscript"/>
        </w:rPr>
        <w:footnoteRef/>
      </w:r>
      <w:r w:rsidRPr="008D10A8">
        <w:t xml:space="preserve"> Skat. 3.1. tabulu. </w:t>
      </w:r>
    </w:p>
  </w:footnote>
  <w:footnote w:id="28">
    <w:p w14:paraId="78967E3F" w14:textId="77777777" w:rsidR="00551502" w:rsidRPr="008D10A8" w:rsidRDefault="00551502" w:rsidP="001D0F88">
      <w:pPr>
        <w:pStyle w:val="FootnoteText"/>
      </w:pPr>
      <w:r w:rsidRPr="008D10A8">
        <w:rPr>
          <w:rStyle w:val="FootnoteReference"/>
          <w:rFonts w:ascii="Times New Roman" w:hAnsi="Times New Roman"/>
        </w:rPr>
        <w:footnoteRef/>
      </w:r>
      <w:r w:rsidRPr="008D10A8">
        <w:t xml:space="preserve"> Ieskaitot ES budžetā iekasēto nodokļu daļu.</w:t>
      </w:r>
    </w:p>
  </w:footnote>
  <w:footnote w:id="29">
    <w:p w14:paraId="45065C8B" w14:textId="364AE305" w:rsidR="00786AC7" w:rsidRPr="004811B6" w:rsidRDefault="00786AC7" w:rsidP="00FB4F73">
      <w:pPr>
        <w:pStyle w:val="FootnoteText"/>
        <w:ind w:left="142" w:hanging="142"/>
      </w:pPr>
      <w:r w:rsidRPr="004016DD">
        <w:rPr>
          <w:rStyle w:val="FootnoteReference"/>
          <w:rFonts w:ascii="Times New Roman" w:hAnsi="Times New Roman"/>
        </w:rPr>
        <w:footnoteRef/>
      </w:r>
      <w:r w:rsidRPr="004811B6">
        <w:t xml:space="preserve"> </w:t>
      </w:r>
      <w:r w:rsidRPr="004016DD">
        <w:t xml:space="preserve"> Skat. 3.1. tabulu. </w:t>
      </w:r>
    </w:p>
  </w:footnote>
  <w:footnote w:id="30">
    <w:p w14:paraId="4AAB979A" w14:textId="63CBFCE7" w:rsidR="000F4627" w:rsidRPr="004811B6" w:rsidRDefault="000F4627" w:rsidP="005346E4">
      <w:pPr>
        <w:ind w:firstLine="0"/>
        <w:rPr>
          <w:color w:val="000000"/>
          <w:sz w:val="20"/>
          <w:szCs w:val="20"/>
        </w:rPr>
      </w:pPr>
      <w:r w:rsidRPr="004811B6">
        <w:rPr>
          <w:rStyle w:val="FootnoteReference"/>
          <w:rFonts w:ascii="Times New Roman" w:hAnsi="Times New Roman" w:cs="Times New Roman"/>
          <w:color w:val="000000"/>
          <w:szCs w:val="20"/>
          <w:lang w:val="en-GB"/>
        </w:rPr>
        <w:footnoteRef/>
      </w:r>
      <w:r w:rsidRPr="004811B6">
        <w:rPr>
          <w:rFonts w:cs="Times New Roman"/>
          <w:color w:val="000000"/>
          <w:sz w:val="20"/>
          <w:szCs w:val="20"/>
          <w:lang w:val="en-GB"/>
        </w:rPr>
        <w:t xml:space="preserve"> </w:t>
      </w:r>
      <w:r w:rsidRPr="004016DD">
        <w:rPr>
          <w:rFonts w:eastAsia="Times New Roman" w:cs="Times New Roman"/>
          <w:color w:val="000000"/>
          <w:sz w:val="20"/>
          <w:szCs w:val="20"/>
          <w:lang w:eastAsia="lv-LV"/>
        </w:rPr>
        <w:t xml:space="preserve">Datu avots: </w:t>
      </w:r>
      <w:r w:rsidR="000D61BB" w:rsidRPr="004016DD">
        <w:rPr>
          <w:rFonts w:eastAsia="Times New Roman" w:cs="Times New Roman"/>
          <w:iCs/>
          <w:color w:val="000000"/>
          <w:sz w:val="20"/>
          <w:szCs w:val="20"/>
          <w:lang w:eastAsia="lv-LV"/>
        </w:rPr>
        <w:t>2024. gada Novecošanās ziņojums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B3CB" w14:textId="2BBEC5D8" w:rsidR="00507D8A" w:rsidRDefault="00507D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F68A1">
      <w:rPr>
        <w:rStyle w:val="PageNumber"/>
        <w:noProof/>
      </w:rPr>
      <w:t>40</w:t>
    </w:r>
    <w:r>
      <w:rPr>
        <w:rStyle w:val="PageNumber"/>
      </w:rPr>
      <w:fldChar w:fldCharType="end"/>
    </w:r>
  </w:p>
  <w:p w14:paraId="668E60AA" w14:textId="77777777" w:rsidR="00507D8A" w:rsidRDefault="00507D8A">
    <w:pPr>
      <w:pStyle w:val="Header"/>
    </w:pPr>
  </w:p>
  <w:p w14:paraId="4AC7407D" w14:textId="77777777" w:rsidR="002B160A" w:rsidRDefault="002B16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5890" w14:textId="77777777" w:rsidR="00507D8A" w:rsidRPr="00484732" w:rsidRDefault="00507D8A" w:rsidP="001E6850">
    <w:pPr>
      <w:pStyle w:val="Header"/>
      <w:ind w:left="5760"/>
      <w:rPr>
        <w:i/>
        <w:u w:val="single"/>
      </w:rPr>
    </w:pPr>
  </w:p>
  <w:p w14:paraId="6B2C4661" w14:textId="77777777" w:rsidR="00507D8A" w:rsidRDefault="00507D8A">
    <w:pPr>
      <w:pStyle w:val="Header"/>
    </w:pPr>
  </w:p>
  <w:p w14:paraId="1C94EEAD" w14:textId="77777777" w:rsidR="00507D8A" w:rsidRDefault="00507D8A">
    <w:pPr>
      <w:pStyle w:val="Header"/>
    </w:pPr>
  </w:p>
  <w:p w14:paraId="6BED4756" w14:textId="77777777" w:rsidR="002B160A" w:rsidRDefault="002B16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9C22" w14:textId="77777777" w:rsidR="00507D8A" w:rsidRDefault="00507D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3584DD" w14:textId="77777777" w:rsidR="00507D8A" w:rsidRDefault="00507D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1F4E" w14:textId="77777777" w:rsidR="00507D8A" w:rsidRPr="0002585F" w:rsidRDefault="00507D8A" w:rsidP="0002585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B1EB" w14:textId="77777777" w:rsidR="00507D8A" w:rsidRPr="00484732" w:rsidRDefault="00507D8A" w:rsidP="001E6850">
    <w:pPr>
      <w:pStyle w:val="Header"/>
      <w:ind w:left="5760"/>
      <w:rPr>
        <w:i/>
        <w:u w:val="single"/>
      </w:rPr>
    </w:pPr>
  </w:p>
  <w:p w14:paraId="01162BDD" w14:textId="77777777" w:rsidR="00507D8A" w:rsidRDefault="00507D8A">
    <w:pPr>
      <w:pStyle w:val="Header"/>
    </w:pPr>
  </w:p>
  <w:p w14:paraId="4A9D6633" w14:textId="77777777" w:rsidR="00507D8A" w:rsidRDefault="00507D8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8F939" w14:textId="77777777" w:rsidR="00507D8A" w:rsidRDefault="00507D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4DDDA72" w14:textId="77777777" w:rsidR="00507D8A" w:rsidRDefault="00507D8A">
    <w:pPr>
      <w:pStyle w:val="Header"/>
    </w:pPr>
  </w:p>
  <w:p w14:paraId="0E121FFC" w14:textId="77777777" w:rsidR="00507D8A" w:rsidRDefault="00507D8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9DC6" w14:textId="77777777" w:rsidR="00507D8A" w:rsidRPr="00CF3A74" w:rsidRDefault="00507D8A" w:rsidP="00CF3A74">
    <w:pPr>
      <w:pStyle w:val="Header"/>
      <w:ind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D7CE5" w14:textId="77777777" w:rsidR="00507D8A" w:rsidRPr="00484732" w:rsidRDefault="00507D8A" w:rsidP="001E6850">
    <w:pPr>
      <w:pStyle w:val="Header"/>
      <w:ind w:left="5760"/>
      <w:rPr>
        <w:i/>
        <w:u w:val="single"/>
      </w:rPr>
    </w:pPr>
  </w:p>
  <w:p w14:paraId="25DD11CB" w14:textId="77777777" w:rsidR="00507D8A" w:rsidRDefault="00507D8A">
    <w:pPr>
      <w:pStyle w:val="Header"/>
    </w:pPr>
  </w:p>
  <w:p w14:paraId="2D005FDB" w14:textId="77777777" w:rsidR="00507D8A" w:rsidRDefault="00507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5EB1"/>
    <w:multiLevelType w:val="multilevel"/>
    <w:tmpl w:val="A0266E0C"/>
    <w:lvl w:ilvl="0">
      <w:start w:val="7"/>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64F3879"/>
    <w:multiLevelType w:val="hybridMultilevel"/>
    <w:tmpl w:val="98488F72"/>
    <w:lvl w:ilvl="0" w:tplc="04260001">
      <w:start w:val="1"/>
      <w:numFmt w:val="bullet"/>
      <w:lvlText w:val=""/>
      <w:lvlJc w:val="left"/>
      <w:pPr>
        <w:ind w:left="363" w:hanging="360"/>
      </w:pPr>
      <w:rPr>
        <w:rFonts w:ascii="Symbol" w:hAnsi="Symbol" w:hint="default"/>
      </w:rPr>
    </w:lvl>
    <w:lvl w:ilvl="1" w:tplc="04260003" w:tentative="1">
      <w:start w:val="1"/>
      <w:numFmt w:val="bullet"/>
      <w:lvlText w:val="o"/>
      <w:lvlJc w:val="left"/>
      <w:pPr>
        <w:ind w:left="1083" w:hanging="360"/>
      </w:pPr>
      <w:rPr>
        <w:rFonts w:ascii="Courier New" w:hAnsi="Courier New" w:cs="Courier New" w:hint="default"/>
      </w:rPr>
    </w:lvl>
    <w:lvl w:ilvl="2" w:tplc="04260005" w:tentative="1">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2" w15:restartNumberingAfterBreak="0">
    <w:nsid w:val="0A813916"/>
    <w:multiLevelType w:val="hybridMultilevel"/>
    <w:tmpl w:val="697E87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305630"/>
    <w:multiLevelType w:val="hybridMultilevel"/>
    <w:tmpl w:val="586A5AFE"/>
    <w:lvl w:ilvl="0" w:tplc="35E61B94">
      <w:start w:val="1"/>
      <w:numFmt w:val="bullet"/>
      <w:lvlText w:val=""/>
      <w:lvlJc w:val="left"/>
      <w:pPr>
        <w:ind w:left="720" w:hanging="360"/>
      </w:pPr>
      <w:rPr>
        <w:rFonts w:ascii="Symbol" w:hAnsi="Symbol"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4B6F6D"/>
    <w:multiLevelType w:val="hybridMultilevel"/>
    <w:tmpl w:val="023407B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BCE0D77"/>
    <w:multiLevelType w:val="hybridMultilevel"/>
    <w:tmpl w:val="C34011AA"/>
    <w:lvl w:ilvl="0" w:tplc="CF601E9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1064C3E"/>
    <w:multiLevelType w:val="hybridMultilevel"/>
    <w:tmpl w:val="FC98F766"/>
    <w:lvl w:ilvl="0" w:tplc="04260001">
      <w:start w:val="1"/>
      <w:numFmt w:val="bullet"/>
      <w:lvlText w:val=""/>
      <w:lvlJc w:val="left"/>
      <w:pPr>
        <w:ind w:left="786" w:hanging="360"/>
      </w:pPr>
      <w:rPr>
        <w:rFonts w:ascii="Symbol" w:hAnsi="Symbol" w:hint="default"/>
      </w:rPr>
    </w:lvl>
    <w:lvl w:ilvl="1" w:tplc="04260001">
      <w:start w:val="1"/>
      <w:numFmt w:val="bullet"/>
      <w:lvlText w:val=""/>
      <w:lvlJc w:val="left"/>
      <w:pPr>
        <w:ind w:left="1506" w:hanging="360"/>
      </w:pPr>
      <w:rPr>
        <w:rFonts w:ascii="Symbol" w:hAnsi="Symbol"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14105CA9"/>
    <w:multiLevelType w:val="hybridMultilevel"/>
    <w:tmpl w:val="D89EE4A2"/>
    <w:lvl w:ilvl="0" w:tplc="BD841C0E">
      <w:start w:val="1"/>
      <w:numFmt w:val="decimal"/>
      <w:pStyle w:val="ParagraphNumbering"/>
      <w:lvlText w:val="%1.     "/>
      <w:lvlJc w:val="left"/>
      <w:pPr>
        <w:tabs>
          <w:tab w:val="num" w:pos="720"/>
        </w:tabs>
        <w:ind w:left="0" w:firstLine="0"/>
      </w:pPr>
      <w:rPr>
        <w:rFonts w:hint="default"/>
        <w:b/>
        <w: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82775B"/>
    <w:multiLevelType w:val="multilevel"/>
    <w:tmpl w:val="CB8EAC52"/>
    <w:lvl w:ilvl="0">
      <w:start w:val="1"/>
      <w:numFmt w:val="decimal"/>
      <w:lvlText w:val="%1."/>
      <w:lvlJc w:val="left"/>
      <w:pPr>
        <w:ind w:left="360" w:hanging="360"/>
      </w:pPr>
      <w:rPr>
        <w:rFonts w:ascii="Times New Roman" w:hAnsi="Times New Roman" w:hint="default"/>
        <w:b/>
        <w:i w:val="0"/>
        <w:sz w:val="36"/>
      </w:rPr>
    </w:lvl>
    <w:lvl w:ilvl="1">
      <w:start w:val="1"/>
      <w:numFmt w:val="decimal"/>
      <w:pStyle w:val="Heading2"/>
      <w:lvlText w:val="%1.%2"/>
      <w:lvlJc w:val="left"/>
      <w:pPr>
        <w:ind w:left="576" w:hanging="576"/>
      </w:pPr>
      <w:rPr>
        <w:rFonts w:ascii="Times New Roman" w:hAnsi="Times New Roman" w:hint="default"/>
        <w:b/>
        <w:i w:val="0"/>
        <w:sz w:val="3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2942062E"/>
    <w:multiLevelType w:val="hybridMultilevel"/>
    <w:tmpl w:val="CE54FD30"/>
    <w:lvl w:ilvl="0" w:tplc="04260001">
      <w:start w:val="1"/>
      <w:numFmt w:val="bullet"/>
      <w:lvlText w:val=""/>
      <w:lvlJc w:val="left"/>
      <w:pPr>
        <w:ind w:left="1500" w:hanging="360"/>
      </w:pPr>
      <w:rPr>
        <w:rFonts w:ascii="Symbol" w:hAnsi="Symbol" w:hint="default"/>
      </w:rPr>
    </w:lvl>
    <w:lvl w:ilvl="1" w:tplc="FFFFFFFF">
      <w:start w:val="1"/>
      <w:numFmt w:val="bullet"/>
      <w:lvlText w:val="o"/>
      <w:lvlJc w:val="left"/>
      <w:pPr>
        <w:ind w:left="2220" w:hanging="360"/>
      </w:pPr>
      <w:rPr>
        <w:rFonts w:ascii="Courier New" w:hAnsi="Courier New" w:cs="Courier New" w:hint="default"/>
      </w:rPr>
    </w:lvl>
    <w:lvl w:ilvl="2" w:tplc="FFFFFFFF">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10" w15:restartNumberingAfterBreak="0">
    <w:nsid w:val="2A472AAA"/>
    <w:multiLevelType w:val="multilevel"/>
    <w:tmpl w:val="042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C76C79"/>
    <w:multiLevelType w:val="hybridMultilevel"/>
    <w:tmpl w:val="546C4A86"/>
    <w:lvl w:ilvl="0" w:tplc="0426000F">
      <w:start w:val="1"/>
      <w:numFmt w:val="decimal"/>
      <w:lvlText w:val="%1."/>
      <w:lvlJc w:val="left"/>
      <w:pPr>
        <w:ind w:left="2913" w:hanging="360"/>
      </w:pPr>
      <w:rPr>
        <w:rFonts w:hint="default"/>
      </w:rPr>
    </w:lvl>
    <w:lvl w:ilvl="1" w:tplc="04260019" w:tentative="1">
      <w:start w:val="1"/>
      <w:numFmt w:val="lowerLetter"/>
      <w:lvlText w:val="%2."/>
      <w:lvlJc w:val="left"/>
      <w:pPr>
        <w:ind w:left="3633" w:hanging="360"/>
      </w:pPr>
    </w:lvl>
    <w:lvl w:ilvl="2" w:tplc="0426001B" w:tentative="1">
      <w:start w:val="1"/>
      <w:numFmt w:val="lowerRoman"/>
      <w:lvlText w:val="%3."/>
      <w:lvlJc w:val="right"/>
      <w:pPr>
        <w:ind w:left="4353" w:hanging="180"/>
      </w:pPr>
    </w:lvl>
    <w:lvl w:ilvl="3" w:tplc="0426000F" w:tentative="1">
      <w:start w:val="1"/>
      <w:numFmt w:val="decimal"/>
      <w:lvlText w:val="%4."/>
      <w:lvlJc w:val="left"/>
      <w:pPr>
        <w:ind w:left="5073" w:hanging="360"/>
      </w:pPr>
    </w:lvl>
    <w:lvl w:ilvl="4" w:tplc="04260019" w:tentative="1">
      <w:start w:val="1"/>
      <w:numFmt w:val="lowerLetter"/>
      <w:lvlText w:val="%5."/>
      <w:lvlJc w:val="left"/>
      <w:pPr>
        <w:ind w:left="5793" w:hanging="360"/>
      </w:pPr>
    </w:lvl>
    <w:lvl w:ilvl="5" w:tplc="0426001B" w:tentative="1">
      <w:start w:val="1"/>
      <w:numFmt w:val="lowerRoman"/>
      <w:lvlText w:val="%6."/>
      <w:lvlJc w:val="right"/>
      <w:pPr>
        <w:ind w:left="6513" w:hanging="180"/>
      </w:pPr>
    </w:lvl>
    <w:lvl w:ilvl="6" w:tplc="0426000F" w:tentative="1">
      <w:start w:val="1"/>
      <w:numFmt w:val="decimal"/>
      <w:lvlText w:val="%7."/>
      <w:lvlJc w:val="left"/>
      <w:pPr>
        <w:ind w:left="7233" w:hanging="360"/>
      </w:pPr>
    </w:lvl>
    <w:lvl w:ilvl="7" w:tplc="04260019" w:tentative="1">
      <w:start w:val="1"/>
      <w:numFmt w:val="lowerLetter"/>
      <w:lvlText w:val="%8."/>
      <w:lvlJc w:val="left"/>
      <w:pPr>
        <w:ind w:left="7953" w:hanging="360"/>
      </w:pPr>
    </w:lvl>
    <w:lvl w:ilvl="8" w:tplc="0426001B" w:tentative="1">
      <w:start w:val="1"/>
      <w:numFmt w:val="lowerRoman"/>
      <w:lvlText w:val="%9."/>
      <w:lvlJc w:val="right"/>
      <w:pPr>
        <w:ind w:left="8673" w:hanging="180"/>
      </w:pPr>
    </w:lvl>
  </w:abstractNum>
  <w:abstractNum w:abstractNumId="12" w15:restartNumberingAfterBreak="0">
    <w:nsid w:val="3206580F"/>
    <w:multiLevelType w:val="hybridMultilevel"/>
    <w:tmpl w:val="936874B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CD7038"/>
    <w:multiLevelType w:val="hybridMultilevel"/>
    <w:tmpl w:val="660EB408"/>
    <w:lvl w:ilvl="0" w:tplc="FFFFFFFF">
      <w:start w:val="1"/>
      <w:numFmt w:val="lowerLetter"/>
      <w:lvlText w:val="%1)"/>
      <w:lvlJc w:val="left"/>
      <w:pPr>
        <w:ind w:left="720" w:hanging="360"/>
      </w:p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A8340D"/>
    <w:multiLevelType w:val="hybridMultilevel"/>
    <w:tmpl w:val="6E02D6D8"/>
    <w:lvl w:ilvl="0" w:tplc="04260011">
      <w:start w:val="1"/>
      <w:numFmt w:val="decimal"/>
      <w:lvlText w:val="%1)"/>
      <w:lvlJc w:val="left"/>
      <w:pPr>
        <w:ind w:left="1440" w:hanging="360"/>
      </w:pPr>
    </w:lvl>
    <w:lvl w:ilvl="1" w:tplc="A060214E">
      <w:start w:val="1"/>
      <w:numFmt w:val="lowerLetter"/>
      <w:lvlText w:val="%2)"/>
      <w:lvlJc w:val="left"/>
      <w:pPr>
        <w:ind w:left="2160" w:hanging="360"/>
      </w:pPr>
      <w:rPr>
        <w:rFonts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CB077AB"/>
    <w:multiLevelType w:val="hybridMultilevel"/>
    <w:tmpl w:val="F6DAA00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E352AFE"/>
    <w:multiLevelType w:val="hybridMultilevel"/>
    <w:tmpl w:val="8FE82A1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A87B02"/>
    <w:multiLevelType w:val="hybridMultilevel"/>
    <w:tmpl w:val="1EE20C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52863E4"/>
    <w:multiLevelType w:val="hybridMultilevel"/>
    <w:tmpl w:val="FCD637E2"/>
    <w:lvl w:ilvl="0" w:tplc="04260001">
      <w:start w:val="1"/>
      <w:numFmt w:val="bullet"/>
      <w:lvlText w:val=""/>
      <w:lvlJc w:val="left"/>
      <w:pPr>
        <w:ind w:left="786" w:hanging="360"/>
      </w:pPr>
      <w:rPr>
        <w:rFonts w:ascii="Symbol" w:hAnsi="Symbol" w:hint="default"/>
      </w:rPr>
    </w:lvl>
    <w:lvl w:ilvl="1" w:tplc="FFFFFFFF">
      <w:start w:val="1"/>
      <w:numFmt w:val="bullet"/>
      <w:lvlText w:val=""/>
      <w:lvlJc w:val="left"/>
      <w:pPr>
        <w:ind w:left="1506" w:hanging="360"/>
      </w:pPr>
      <w:rPr>
        <w:rFonts w:ascii="Symbol" w:hAnsi="Symbo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9" w15:restartNumberingAfterBreak="0">
    <w:nsid w:val="48DE22C6"/>
    <w:multiLevelType w:val="multilevel"/>
    <w:tmpl w:val="C3CCDDBA"/>
    <w:lvl w:ilvl="0">
      <w:start w:val="3"/>
      <w:numFmt w:val="decimal"/>
      <w:lvlText w:val="%1."/>
      <w:lvlJc w:val="left"/>
      <w:pPr>
        <w:ind w:left="504" w:hanging="504"/>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sz w:val="24"/>
        <w:szCs w:val="22"/>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4E56023C"/>
    <w:multiLevelType w:val="multilevel"/>
    <w:tmpl w:val="5884334C"/>
    <w:lvl w:ilvl="0">
      <w:start w:val="3"/>
      <w:numFmt w:val="decimal"/>
      <w:lvlText w:val="%1."/>
      <w:lvlJc w:val="left"/>
      <w:pPr>
        <w:ind w:left="648" w:hanging="648"/>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469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50A45F92"/>
    <w:multiLevelType w:val="hybridMultilevel"/>
    <w:tmpl w:val="AEC2D9F6"/>
    <w:lvl w:ilvl="0" w:tplc="FFFFFFFF">
      <w:start w:val="1"/>
      <w:numFmt w:val="decimal"/>
      <w:lvlText w:val="%1)"/>
      <w:lvlJc w:val="left"/>
      <w:pPr>
        <w:ind w:left="1080" w:hanging="360"/>
      </w:pPr>
      <w:rPr>
        <w:rFonts w:hint="default"/>
      </w:rPr>
    </w:lvl>
    <w:lvl w:ilvl="1" w:tplc="0FDA667E">
      <w:start w:val="1"/>
      <w:numFmt w:val="lowerLetter"/>
      <w:lvlText w:val="%2)"/>
      <w:lvlJc w:val="left"/>
      <w:pPr>
        <w:ind w:left="1440" w:hanging="360"/>
      </w:pPr>
      <w:rPr>
        <w:rFonts w:ascii="Times New Roman" w:eastAsia="Times New Roman"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8D2BB9"/>
    <w:multiLevelType w:val="multilevel"/>
    <w:tmpl w:val="45007F1A"/>
    <w:lvl w:ilvl="0">
      <w:start w:val="2"/>
      <w:numFmt w:val="decimal"/>
      <w:lvlText w:val="%1."/>
      <w:lvlJc w:val="left"/>
      <w:pPr>
        <w:ind w:left="504" w:hanging="504"/>
      </w:pPr>
      <w:rPr>
        <w:rFonts w:hint="default"/>
      </w:rPr>
    </w:lvl>
    <w:lvl w:ilvl="1">
      <w:start w:val="3"/>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6768" w:hanging="2160"/>
      </w:pPr>
      <w:rPr>
        <w:rFonts w:hint="default"/>
      </w:rPr>
    </w:lvl>
  </w:abstractNum>
  <w:abstractNum w:abstractNumId="23" w15:restartNumberingAfterBreak="0">
    <w:nsid w:val="5C7374D9"/>
    <w:multiLevelType w:val="multilevel"/>
    <w:tmpl w:val="764A5A9A"/>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E2E4C25"/>
    <w:multiLevelType w:val="multilevel"/>
    <w:tmpl w:val="B842581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EAE7BC3"/>
    <w:multiLevelType w:val="multilevel"/>
    <w:tmpl w:val="4D5A00C0"/>
    <w:lvl w:ilvl="0">
      <w:start w:val="1"/>
      <w:numFmt w:val="decimal"/>
      <w:lvlText w:val="%1."/>
      <w:lvlJc w:val="left"/>
      <w:pPr>
        <w:ind w:left="1069"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68235336"/>
    <w:multiLevelType w:val="hybridMultilevel"/>
    <w:tmpl w:val="0C5ED444"/>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8D3141"/>
    <w:multiLevelType w:val="multilevel"/>
    <w:tmpl w:val="6240C8DE"/>
    <w:lvl w:ilvl="0">
      <w:start w:val="3"/>
      <w:numFmt w:val="decimal"/>
      <w:lvlText w:val="%1."/>
      <w:lvlJc w:val="left"/>
      <w:pPr>
        <w:ind w:left="420" w:hanging="420"/>
      </w:pPr>
      <w:rPr>
        <w:rFonts w:hint="default"/>
      </w:rPr>
    </w:lvl>
    <w:lvl w:ilvl="1">
      <w:start w:val="5"/>
      <w:numFmt w:val="decimal"/>
      <w:lvlText w:val="%1.%2."/>
      <w:lvlJc w:val="left"/>
      <w:pPr>
        <w:ind w:left="1712"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6ABA3B29"/>
    <w:multiLevelType w:val="hybridMultilevel"/>
    <w:tmpl w:val="ABCAE17A"/>
    <w:lvl w:ilvl="0" w:tplc="341A42D8">
      <w:start w:val="1"/>
      <w:numFmt w:val="decimal"/>
      <w:lvlText w:val="%1)"/>
      <w:lvlJc w:val="left"/>
      <w:pPr>
        <w:ind w:left="108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524320"/>
    <w:multiLevelType w:val="hybridMultilevel"/>
    <w:tmpl w:val="76B6A3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791595E"/>
    <w:multiLevelType w:val="hybridMultilevel"/>
    <w:tmpl w:val="B7A47C52"/>
    <w:lvl w:ilvl="0" w:tplc="3B383F78">
      <w:start w:val="1"/>
      <w:numFmt w:val="bullet"/>
      <w:lvlText w:val=""/>
      <w:lvlJc w:val="right"/>
      <w:pPr>
        <w:ind w:left="720" w:hanging="360"/>
      </w:pPr>
      <w:rPr>
        <w:rFonts w:ascii="Symbol" w:hAnsi="Symbol" w:hint="default"/>
      </w:rPr>
    </w:lvl>
    <w:lvl w:ilvl="1" w:tplc="A948C952">
      <w:start w:val="5"/>
      <w:numFmt w:val="bullet"/>
      <w:lvlText w:val="-"/>
      <w:lvlJc w:val="left"/>
      <w:pPr>
        <w:ind w:left="1800" w:hanging="720"/>
      </w:pPr>
      <w:rPr>
        <w:rFonts w:ascii="Times New Roman" w:eastAsiaTheme="minorEastAsia"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7BC389C"/>
    <w:multiLevelType w:val="multilevel"/>
    <w:tmpl w:val="DCC649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ACC2972"/>
    <w:multiLevelType w:val="hybridMultilevel"/>
    <w:tmpl w:val="8BB05AF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7CA923FD"/>
    <w:multiLevelType w:val="hybridMultilevel"/>
    <w:tmpl w:val="546C4A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F46D32"/>
    <w:multiLevelType w:val="multilevel"/>
    <w:tmpl w:val="BA946FFE"/>
    <w:lvl w:ilvl="0">
      <w:start w:val="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DEB6A0E"/>
    <w:multiLevelType w:val="hybridMultilevel"/>
    <w:tmpl w:val="926EECD4"/>
    <w:lvl w:ilvl="0" w:tplc="35E61B94">
      <w:start w:val="1"/>
      <w:numFmt w:val="bullet"/>
      <w:lvlText w:val=""/>
      <w:lvlJc w:val="left"/>
      <w:pPr>
        <w:ind w:left="360" w:hanging="360"/>
      </w:pPr>
      <w:rPr>
        <w:rFonts w:ascii="Symbol" w:hAnsi="Symbol"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FC46675"/>
    <w:multiLevelType w:val="hybridMultilevel"/>
    <w:tmpl w:val="1A44E604"/>
    <w:lvl w:ilvl="0" w:tplc="2B269E8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9404045">
    <w:abstractNumId w:val="8"/>
  </w:num>
  <w:num w:numId="2" w16cid:durableId="1370379300">
    <w:abstractNumId w:val="7"/>
  </w:num>
  <w:num w:numId="3" w16cid:durableId="1056708181">
    <w:abstractNumId w:val="35"/>
  </w:num>
  <w:num w:numId="4" w16cid:durableId="477573752">
    <w:abstractNumId w:val="30"/>
  </w:num>
  <w:num w:numId="5" w16cid:durableId="54401277">
    <w:abstractNumId w:val="3"/>
  </w:num>
  <w:num w:numId="6" w16cid:durableId="1109665749">
    <w:abstractNumId w:val="32"/>
  </w:num>
  <w:num w:numId="7" w16cid:durableId="2036466844">
    <w:abstractNumId w:val="2"/>
  </w:num>
  <w:num w:numId="8" w16cid:durableId="806892896">
    <w:abstractNumId w:val="10"/>
  </w:num>
  <w:num w:numId="9" w16cid:durableId="2120292734">
    <w:abstractNumId w:val="19"/>
  </w:num>
  <w:num w:numId="10" w16cid:durableId="2125417158">
    <w:abstractNumId w:val="0"/>
  </w:num>
  <w:num w:numId="11" w16cid:durableId="1359887422">
    <w:abstractNumId w:val="11"/>
  </w:num>
  <w:num w:numId="12" w16cid:durableId="558517197">
    <w:abstractNumId w:val="20"/>
  </w:num>
  <w:num w:numId="13" w16cid:durableId="464201452">
    <w:abstractNumId w:val="36"/>
  </w:num>
  <w:num w:numId="14" w16cid:durableId="682362105">
    <w:abstractNumId w:val="22"/>
  </w:num>
  <w:num w:numId="15" w16cid:durableId="1504934934">
    <w:abstractNumId w:val="6"/>
  </w:num>
  <w:num w:numId="16" w16cid:durableId="809440945">
    <w:abstractNumId w:val="29"/>
  </w:num>
  <w:num w:numId="17" w16cid:durableId="240063524">
    <w:abstractNumId w:val="15"/>
  </w:num>
  <w:num w:numId="18" w16cid:durableId="259409738">
    <w:abstractNumId w:val="27"/>
  </w:num>
  <w:num w:numId="19" w16cid:durableId="681902264">
    <w:abstractNumId w:val="25"/>
  </w:num>
  <w:num w:numId="20" w16cid:durableId="356079152">
    <w:abstractNumId w:val="16"/>
  </w:num>
  <w:num w:numId="21" w16cid:durableId="2143376001">
    <w:abstractNumId w:val="17"/>
  </w:num>
  <w:num w:numId="22" w16cid:durableId="2144536030">
    <w:abstractNumId w:val="1"/>
  </w:num>
  <w:num w:numId="23" w16cid:durableId="16347758">
    <w:abstractNumId w:val="14"/>
  </w:num>
  <w:num w:numId="24" w16cid:durableId="1609116171">
    <w:abstractNumId w:val="13"/>
  </w:num>
  <w:num w:numId="25" w16cid:durableId="1103452285">
    <w:abstractNumId w:val="4"/>
  </w:num>
  <w:num w:numId="26" w16cid:durableId="813719570">
    <w:abstractNumId w:val="31"/>
  </w:num>
  <w:num w:numId="27" w16cid:durableId="279652054">
    <w:abstractNumId w:val="23"/>
  </w:num>
  <w:num w:numId="28" w16cid:durableId="836649430">
    <w:abstractNumId w:val="9"/>
  </w:num>
  <w:num w:numId="29" w16cid:durableId="2097941588">
    <w:abstractNumId w:val="28"/>
  </w:num>
  <w:num w:numId="30" w16cid:durableId="760874118">
    <w:abstractNumId w:val="21"/>
  </w:num>
  <w:num w:numId="31" w16cid:durableId="1113742687">
    <w:abstractNumId w:val="5"/>
  </w:num>
  <w:num w:numId="32" w16cid:durableId="1714619692">
    <w:abstractNumId w:val="24"/>
  </w:num>
  <w:num w:numId="33" w16cid:durableId="316419336">
    <w:abstractNumId w:val="18"/>
  </w:num>
  <w:num w:numId="34" w16cid:durableId="899484132">
    <w:abstractNumId w:val="26"/>
  </w:num>
  <w:num w:numId="35" w16cid:durableId="621766945">
    <w:abstractNumId w:val="12"/>
  </w:num>
  <w:num w:numId="36" w16cid:durableId="1719091468">
    <w:abstractNumId w:val="33"/>
  </w:num>
  <w:num w:numId="37" w16cid:durableId="2133160721">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753"/>
    <w:rsid w:val="00001558"/>
    <w:rsid w:val="00002184"/>
    <w:rsid w:val="00003803"/>
    <w:rsid w:val="00006291"/>
    <w:rsid w:val="00010616"/>
    <w:rsid w:val="00015891"/>
    <w:rsid w:val="00016A90"/>
    <w:rsid w:val="00020C1F"/>
    <w:rsid w:val="00022B0F"/>
    <w:rsid w:val="000253B6"/>
    <w:rsid w:val="00025929"/>
    <w:rsid w:val="000270F6"/>
    <w:rsid w:val="00033CEC"/>
    <w:rsid w:val="000342FD"/>
    <w:rsid w:val="00035C31"/>
    <w:rsid w:val="000417D6"/>
    <w:rsid w:val="0004201E"/>
    <w:rsid w:val="00042609"/>
    <w:rsid w:val="00042C12"/>
    <w:rsid w:val="0004390C"/>
    <w:rsid w:val="00046472"/>
    <w:rsid w:val="00050EA0"/>
    <w:rsid w:val="0005631E"/>
    <w:rsid w:val="00060450"/>
    <w:rsid w:val="000611BE"/>
    <w:rsid w:val="0006158C"/>
    <w:rsid w:val="000638A5"/>
    <w:rsid w:val="00066B44"/>
    <w:rsid w:val="000732F2"/>
    <w:rsid w:val="000800F9"/>
    <w:rsid w:val="000823E2"/>
    <w:rsid w:val="00085AFE"/>
    <w:rsid w:val="0008652D"/>
    <w:rsid w:val="0008674A"/>
    <w:rsid w:val="0009119F"/>
    <w:rsid w:val="00094B2F"/>
    <w:rsid w:val="00095C52"/>
    <w:rsid w:val="00096780"/>
    <w:rsid w:val="000A24E5"/>
    <w:rsid w:val="000A696B"/>
    <w:rsid w:val="000A77CD"/>
    <w:rsid w:val="000B267B"/>
    <w:rsid w:val="000C1ABB"/>
    <w:rsid w:val="000C1AC0"/>
    <w:rsid w:val="000C45B5"/>
    <w:rsid w:val="000C472C"/>
    <w:rsid w:val="000C57CF"/>
    <w:rsid w:val="000D2388"/>
    <w:rsid w:val="000D61BB"/>
    <w:rsid w:val="000D713B"/>
    <w:rsid w:val="000E1368"/>
    <w:rsid w:val="000E5CAF"/>
    <w:rsid w:val="000F0C01"/>
    <w:rsid w:val="000F2728"/>
    <w:rsid w:val="000F4627"/>
    <w:rsid w:val="000F59BB"/>
    <w:rsid w:val="000F5AFF"/>
    <w:rsid w:val="000F624D"/>
    <w:rsid w:val="00105BF6"/>
    <w:rsid w:val="001138C5"/>
    <w:rsid w:val="00114304"/>
    <w:rsid w:val="001147FB"/>
    <w:rsid w:val="00117AE7"/>
    <w:rsid w:val="00120A91"/>
    <w:rsid w:val="001210E2"/>
    <w:rsid w:val="001220DF"/>
    <w:rsid w:val="00126B8A"/>
    <w:rsid w:val="0013133A"/>
    <w:rsid w:val="001329C7"/>
    <w:rsid w:val="001531CE"/>
    <w:rsid w:val="00162345"/>
    <w:rsid w:val="00163B62"/>
    <w:rsid w:val="00166ED9"/>
    <w:rsid w:val="00167099"/>
    <w:rsid w:val="001702F4"/>
    <w:rsid w:val="00173AB6"/>
    <w:rsid w:val="00175781"/>
    <w:rsid w:val="0017585D"/>
    <w:rsid w:val="00185CAA"/>
    <w:rsid w:val="001867E7"/>
    <w:rsid w:val="00186C20"/>
    <w:rsid w:val="00191D1D"/>
    <w:rsid w:val="001941A7"/>
    <w:rsid w:val="001A5CDB"/>
    <w:rsid w:val="001B1AA2"/>
    <w:rsid w:val="001B7A97"/>
    <w:rsid w:val="001C1BD5"/>
    <w:rsid w:val="001C345E"/>
    <w:rsid w:val="001C45A3"/>
    <w:rsid w:val="001C5C16"/>
    <w:rsid w:val="001C61AB"/>
    <w:rsid w:val="001C7DCF"/>
    <w:rsid w:val="001D0F88"/>
    <w:rsid w:val="001D1B17"/>
    <w:rsid w:val="001E0D58"/>
    <w:rsid w:val="001E2F98"/>
    <w:rsid w:val="001E4F0F"/>
    <w:rsid w:val="001E5BEF"/>
    <w:rsid w:val="001E7F1D"/>
    <w:rsid w:val="001F3FBF"/>
    <w:rsid w:val="001F760A"/>
    <w:rsid w:val="00200D0C"/>
    <w:rsid w:val="00202025"/>
    <w:rsid w:val="00203FD8"/>
    <w:rsid w:val="00205B43"/>
    <w:rsid w:val="00206480"/>
    <w:rsid w:val="00207552"/>
    <w:rsid w:val="00207CB2"/>
    <w:rsid w:val="00222970"/>
    <w:rsid w:val="00234A32"/>
    <w:rsid w:val="00235228"/>
    <w:rsid w:val="00236A82"/>
    <w:rsid w:val="00237E97"/>
    <w:rsid w:val="00241A87"/>
    <w:rsid w:val="002429F4"/>
    <w:rsid w:val="00247690"/>
    <w:rsid w:val="00253A73"/>
    <w:rsid w:val="00254296"/>
    <w:rsid w:val="00256364"/>
    <w:rsid w:val="00257CFF"/>
    <w:rsid w:val="002635AB"/>
    <w:rsid w:val="00263709"/>
    <w:rsid w:val="00264301"/>
    <w:rsid w:val="002643CB"/>
    <w:rsid w:val="002655CD"/>
    <w:rsid w:val="0026647B"/>
    <w:rsid w:val="0027190A"/>
    <w:rsid w:val="002768B3"/>
    <w:rsid w:val="00281D96"/>
    <w:rsid w:val="00282B08"/>
    <w:rsid w:val="002834E9"/>
    <w:rsid w:val="00291DD8"/>
    <w:rsid w:val="00293000"/>
    <w:rsid w:val="00296A12"/>
    <w:rsid w:val="002A24ED"/>
    <w:rsid w:val="002A71C2"/>
    <w:rsid w:val="002B160A"/>
    <w:rsid w:val="002B6259"/>
    <w:rsid w:val="002B6464"/>
    <w:rsid w:val="002C3840"/>
    <w:rsid w:val="002D3D5F"/>
    <w:rsid w:val="002D443D"/>
    <w:rsid w:val="002D5309"/>
    <w:rsid w:val="002D7CA8"/>
    <w:rsid w:val="002E0152"/>
    <w:rsid w:val="00303429"/>
    <w:rsid w:val="003063D3"/>
    <w:rsid w:val="00307776"/>
    <w:rsid w:val="0031227F"/>
    <w:rsid w:val="00316094"/>
    <w:rsid w:val="00317AF9"/>
    <w:rsid w:val="00322651"/>
    <w:rsid w:val="003241A9"/>
    <w:rsid w:val="003249D1"/>
    <w:rsid w:val="00331879"/>
    <w:rsid w:val="003336F1"/>
    <w:rsid w:val="00340EC6"/>
    <w:rsid w:val="00341CDB"/>
    <w:rsid w:val="003435B5"/>
    <w:rsid w:val="00346F1D"/>
    <w:rsid w:val="00355D25"/>
    <w:rsid w:val="0036037E"/>
    <w:rsid w:val="003603B9"/>
    <w:rsid w:val="00360DA1"/>
    <w:rsid w:val="00364C12"/>
    <w:rsid w:val="00365213"/>
    <w:rsid w:val="00371EB6"/>
    <w:rsid w:val="00375884"/>
    <w:rsid w:val="00380A6A"/>
    <w:rsid w:val="00381C62"/>
    <w:rsid w:val="00386343"/>
    <w:rsid w:val="00392FC7"/>
    <w:rsid w:val="003A128E"/>
    <w:rsid w:val="003A29EA"/>
    <w:rsid w:val="003A5220"/>
    <w:rsid w:val="003A6830"/>
    <w:rsid w:val="003B1542"/>
    <w:rsid w:val="003B23F5"/>
    <w:rsid w:val="003B6D04"/>
    <w:rsid w:val="003C1736"/>
    <w:rsid w:val="003C2262"/>
    <w:rsid w:val="003D5553"/>
    <w:rsid w:val="003D773D"/>
    <w:rsid w:val="003E1551"/>
    <w:rsid w:val="003E1A40"/>
    <w:rsid w:val="003E5E38"/>
    <w:rsid w:val="003E7948"/>
    <w:rsid w:val="003E7B6A"/>
    <w:rsid w:val="003F1C79"/>
    <w:rsid w:val="003F5352"/>
    <w:rsid w:val="004016DD"/>
    <w:rsid w:val="0040680D"/>
    <w:rsid w:val="00407459"/>
    <w:rsid w:val="00412C4D"/>
    <w:rsid w:val="00424332"/>
    <w:rsid w:val="00424BCF"/>
    <w:rsid w:val="00427004"/>
    <w:rsid w:val="004272C3"/>
    <w:rsid w:val="00437D0F"/>
    <w:rsid w:val="004412B7"/>
    <w:rsid w:val="004472E0"/>
    <w:rsid w:val="004576B5"/>
    <w:rsid w:val="00457BB0"/>
    <w:rsid w:val="00457EA4"/>
    <w:rsid w:val="004619D1"/>
    <w:rsid w:val="004620B8"/>
    <w:rsid w:val="004624A8"/>
    <w:rsid w:val="00465CAE"/>
    <w:rsid w:val="00467634"/>
    <w:rsid w:val="00471221"/>
    <w:rsid w:val="00472E84"/>
    <w:rsid w:val="004730CA"/>
    <w:rsid w:val="004747D9"/>
    <w:rsid w:val="00480003"/>
    <w:rsid w:val="004811B6"/>
    <w:rsid w:val="00482B52"/>
    <w:rsid w:val="00485F04"/>
    <w:rsid w:val="004902D1"/>
    <w:rsid w:val="00493C86"/>
    <w:rsid w:val="004A2F0B"/>
    <w:rsid w:val="004A3242"/>
    <w:rsid w:val="004A34F0"/>
    <w:rsid w:val="004A37C8"/>
    <w:rsid w:val="004A4EC7"/>
    <w:rsid w:val="004A64EB"/>
    <w:rsid w:val="004A6B6D"/>
    <w:rsid w:val="004A70EB"/>
    <w:rsid w:val="004B0606"/>
    <w:rsid w:val="004B1454"/>
    <w:rsid w:val="004B1E93"/>
    <w:rsid w:val="004B2DA2"/>
    <w:rsid w:val="004C4F89"/>
    <w:rsid w:val="004C73A1"/>
    <w:rsid w:val="004D1C26"/>
    <w:rsid w:val="004D1DFA"/>
    <w:rsid w:val="004D2C4E"/>
    <w:rsid w:val="004D4A78"/>
    <w:rsid w:val="004E02FD"/>
    <w:rsid w:val="004E1403"/>
    <w:rsid w:val="004E1AAD"/>
    <w:rsid w:val="004E3F97"/>
    <w:rsid w:val="004F034A"/>
    <w:rsid w:val="004F2014"/>
    <w:rsid w:val="004F5914"/>
    <w:rsid w:val="004F5A19"/>
    <w:rsid w:val="004F71F4"/>
    <w:rsid w:val="005000B7"/>
    <w:rsid w:val="005058FF"/>
    <w:rsid w:val="0050594C"/>
    <w:rsid w:val="0050734E"/>
    <w:rsid w:val="00507D8A"/>
    <w:rsid w:val="005108FF"/>
    <w:rsid w:val="00513CD4"/>
    <w:rsid w:val="005158E6"/>
    <w:rsid w:val="00517641"/>
    <w:rsid w:val="0051766D"/>
    <w:rsid w:val="00521052"/>
    <w:rsid w:val="00522933"/>
    <w:rsid w:val="00530F1E"/>
    <w:rsid w:val="00533314"/>
    <w:rsid w:val="005346E4"/>
    <w:rsid w:val="00534B42"/>
    <w:rsid w:val="00541E7C"/>
    <w:rsid w:val="005439A4"/>
    <w:rsid w:val="005450D4"/>
    <w:rsid w:val="00545734"/>
    <w:rsid w:val="00545931"/>
    <w:rsid w:val="00550450"/>
    <w:rsid w:val="00551502"/>
    <w:rsid w:val="005517C6"/>
    <w:rsid w:val="00553F09"/>
    <w:rsid w:val="00565072"/>
    <w:rsid w:val="00570862"/>
    <w:rsid w:val="00571AB4"/>
    <w:rsid w:val="00572F7D"/>
    <w:rsid w:val="00575359"/>
    <w:rsid w:val="00575E47"/>
    <w:rsid w:val="00576B51"/>
    <w:rsid w:val="00577A92"/>
    <w:rsid w:val="00581441"/>
    <w:rsid w:val="00581E0E"/>
    <w:rsid w:val="00586190"/>
    <w:rsid w:val="00592793"/>
    <w:rsid w:val="00592B42"/>
    <w:rsid w:val="00594BC3"/>
    <w:rsid w:val="00596762"/>
    <w:rsid w:val="00597398"/>
    <w:rsid w:val="005A4153"/>
    <w:rsid w:val="005A58AF"/>
    <w:rsid w:val="005B1608"/>
    <w:rsid w:val="005B1B99"/>
    <w:rsid w:val="005B6B24"/>
    <w:rsid w:val="005C2688"/>
    <w:rsid w:val="005C2A56"/>
    <w:rsid w:val="005C399E"/>
    <w:rsid w:val="005C5E37"/>
    <w:rsid w:val="005C6684"/>
    <w:rsid w:val="005C7D58"/>
    <w:rsid w:val="005D34A9"/>
    <w:rsid w:val="005D4014"/>
    <w:rsid w:val="005D5D4D"/>
    <w:rsid w:val="005D7624"/>
    <w:rsid w:val="005E2388"/>
    <w:rsid w:val="005E515F"/>
    <w:rsid w:val="005E6F19"/>
    <w:rsid w:val="005F4D71"/>
    <w:rsid w:val="005F4EF2"/>
    <w:rsid w:val="00603997"/>
    <w:rsid w:val="00604ED8"/>
    <w:rsid w:val="00605C5D"/>
    <w:rsid w:val="00607477"/>
    <w:rsid w:val="006220C4"/>
    <w:rsid w:val="0062512B"/>
    <w:rsid w:val="00625CA7"/>
    <w:rsid w:val="006269A5"/>
    <w:rsid w:val="00626C80"/>
    <w:rsid w:val="00630809"/>
    <w:rsid w:val="0063190D"/>
    <w:rsid w:val="00636020"/>
    <w:rsid w:val="006373AD"/>
    <w:rsid w:val="006414E6"/>
    <w:rsid w:val="006416A8"/>
    <w:rsid w:val="006419B6"/>
    <w:rsid w:val="006424F8"/>
    <w:rsid w:val="00643825"/>
    <w:rsid w:val="00646856"/>
    <w:rsid w:val="00652C06"/>
    <w:rsid w:val="00655978"/>
    <w:rsid w:val="00660ED9"/>
    <w:rsid w:val="00667944"/>
    <w:rsid w:val="0067134B"/>
    <w:rsid w:val="00671881"/>
    <w:rsid w:val="00677AEF"/>
    <w:rsid w:val="00684187"/>
    <w:rsid w:val="006856C6"/>
    <w:rsid w:val="006866D8"/>
    <w:rsid w:val="00686E21"/>
    <w:rsid w:val="0069120C"/>
    <w:rsid w:val="006923DF"/>
    <w:rsid w:val="00692526"/>
    <w:rsid w:val="006966B5"/>
    <w:rsid w:val="006A1FC0"/>
    <w:rsid w:val="006B03B7"/>
    <w:rsid w:val="006B06ED"/>
    <w:rsid w:val="006B0DF1"/>
    <w:rsid w:val="006B289B"/>
    <w:rsid w:val="006B6CA3"/>
    <w:rsid w:val="006B76CC"/>
    <w:rsid w:val="006C7049"/>
    <w:rsid w:val="006D0B71"/>
    <w:rsid w:val="006D1E4C"/>
    <w:rsid w:val="006D2EB7"/>
    <w:rsid w:val="006D2F22"/>
    <w:rsid w:val="006D3117"/>
    <w:rsid w:val="006D5014"/>
    <w:rsid w:val="006D5A60"/>
    <w:rsid w:val="006D66C1"/>
    <w:rsid w:val="006D6DB8"/>
    <w:rsid w:val="006E3B77"/>
    <w:rsid w:val="006E3DCC"/>
    <w:rsid w:val="006E648A"/>
    <w:rsid w:val="006E6490"/>
    <w:rsid w:val="006F0FED"/>
    <w:rsid w:val="006F3EEF"/>
    <w:rsid w:val="006F4AFA"/>
    <w:rsid w:val="006F64B0"/>
    <w:rsid w:val="007047D1"/>
    <w:rsid w:val="00711925"/>
    <w:rsid w:val="00714AAE"/>
    <w:rsid w:val="0071579E"/>
    <w:rsid w:val="00723FE1"/>
    <w:rsid w:val="00724B22"/>
    <w:rsid w:val="007306F1"/>
    <w:rsid w:val="0073677C"/>
    <w:rsid w:val="00743CE6"/>
    <w:rsid w:val="00744189"/>
    <w:rsid w:val="007470ED"/>
    <w:rsid w:val="00754039"/>
    <w:rsid w:val="00764E0D"/>
    <w:rsid w:val="0076551C"/>
    <w:rsid w:val="0077428B"/>
    <w:rsid w:val="00776679"/>
    <w:rsid w:val="007800AE"/>
    <w:rsid w:val="00780F46"/>
    <w:rsid w:val="0078694D"/>
    <w:rsid w:val="00786AC7"/>
    <w:rsid w:val="00787972"/>
    <w:rsid w:val="00787EFE"/>
    <w:rsid w:val="0079453A"/>
    <w:rsid w:val="00794987"/>
    <w:rsid w:val="00796B1A"/>
    <w:rsid w:val="007A12F7"/>
    <w:rsid w:val="007A167D"/>
    <w:rsid w:val="007A3AE7"/>
    <w:rsid w:val="007A4145"/>
    <w:rsid w:val="007A5664"/>
    <w:rsid w:val="007A7D3C"/>
    <w:rsid w:val="007C09A4"/>
    <w:rsid w:val="007C1EEE"/>
    <w:rsid w:val="007C3F07"/>
    <w:rsid w:val="007C62F2"/>
    <w:rsid w:val="007C75DF"/>
    <w:rsid w:val="007D47AF"/>
    <w:rsid w:val="007E52EA"/>
    <w:rsid w:val="007E575E"/>
    <w:rsid w:val="007E7F21"/>
    <w:rsid w:val="007F0688"/>
    <w:rsid w:val="008004E5"/>
    <w:rsid w:val="00800C51"/>
    <w:rsid w:val="00803BAD"/>
    <w:rsid w:val="00803C11"/>
    <w:rsid w:val="00805D3C"/>
    <w:rsid w:val="00806C11"/>
    <w:rsid w:val="00810FC4"/>
    <w:rsid w:val="00820BAD"/>
    <w:rsid w:val="00821EEE"/>
    <w:rsid w:val="008224E3"/>
    <w:rsid w:val="00822805"/>
    <w:rsid w:val="00825369"/>
    <w:rsid w:val="0082798D"/>
    <w:rsid w:val="00827F4C"/>
    <w:rsid w:val="00830455"/>
    <w:rsid w:val="008313E0"/>
    <w:rsid w:val="0083156D"/>
    <w:rsid w:val="00836A7D"/>
    <w:rsid w:val="00837783"/>
    <w:rsid w:val="008424C8"/>
    <w:rsid w:val="00845A08"/>
    <w:rsid w:val="00860938"/>
    <w:rsid w:val="00862FCD"/>
    <w:rsid w:val="008667BF"/>
    <w:rsid w:val="00866E29"/>
    <w:rsid w:val="008716D3"/>
    <w:rsid w:val="0087383B"/>
    <w:rsid w:val="00874664"/>
    <w:rsid w:val="00881520"/>
    <w:rsid w:val="00882C2C"/>
    <w:rsid w:val="00884CF9"/>
    <w:rsid w:val="008953AA"/>
    <w:rsid w:val="00897B38"/>
    <w:rsid w:val="008A3BF8"/>
    <w:rsid w:val="008A75FC"/>
    <w:rsid w:val="008A7D6A"/>
    <w:rsid w:val="008B04C3"/>
    <w:rsid w:val="008B4878"/>
    <w:rsid w:val="008C2C03"/>
    <w:rsid w:val="008C56DF"/>
    <w:rsid w:val="008C58EA"/>
    <w:rsid w:val="008C6DC2"/>
    <w:rsid w:val="008D10A8"/>
    <w:rsid w:val="008D2915"/>
    <w:rsid w:val="008D2A4C"/>
    <w:rsid w:val="008D5244"/>
    <w:rsid w:val="008D6303"/>
    <w:rsid w:val="008E4C98"/>
    <w:rsid w:val="008E6623"/>
    <w:rsid w:val="008E7920"/>
    <w:rsid w:val="008F087E"/>
    <w:rsid w:val="008F26CA"/>
    <w:rsid w:val="008F598C"/>
    <w:rsid w:val="008F63E5"/>
    <w:rsid w:val="008F6973"/>
    <w:rsid w:val="009041A4"/>
    <w:rsid w:val="0091078B"/>
    <w:rsid w:val="00910F58"/>
    <w:rsid w:val="0091610B"/>
    <w:rsid w:val="00917FC8"/>
    <w:rsid w:val="00926732"/>
    <w:rsid w:val="00926EED"/>
    <w:rsid w:val="009306C1"/>
    <w:rsid w:val="009367D5"/>
    <w:rsid w:val="00945318"/>
    <w:rsid w:val="00947A37"/>
    <w:rsid w:val="00955124"/>
    <w:rsid w:val="009604C2"/>
    <w:rsid w:val="009618E6"/>
    <w:rsid w:val="009627CA"/>
    <w:rsid w:val="00963777"/>
    <w:rsid w:val="00965F2A"/>
    <w:rsid w:val="00967929"/>
    <w:rsid w:val="00975B5B"/>
    <w:rsid w:val="00977AE9"/>
    <w:rsid w:val="00982B0C"/>
    <w:rsid w:val="00982D35"/>
    <w:rsid w:val="00996355"/>
    <w:rsid w:val="009A04C3"/>
    <w:rsid w:val="009A2DF2"/>
    <w:rsid w:val="009A4CC3"/>
    <w:rsid w:val="009A7932"/>
    <w:rsid w:val="009B1BDE"/>
    <w:rsid w:val="009B79CF"/>
    <w:rsid w:val="009C041C"/>
    <w:rsid w:val="009C2220"/>
    <w:rsid w:val="009C2B75"/>
    <w:rsid w:val="009C6E7B"/>
    <w:rsid w:val="009C76A5"/>
    <w:rsid w:val="009D02BC"/>
    <w:rsid w:val="009D1C3E"/>
    <w:rsid w:val="009D2DE9"/>
    <w:rsid w:val="009D59E2"/>
    <w:rsid w:val="009E42B1"/>
    <w:rsid w:val="009E5173"/>
    <w:rsid w:val="009E5FDE"/>
    <w:rsid w:val="009F38DE"/>
    <w:rsid w:val="00A01024"/>
    <w:rsid w:val="00A012D2"/>
    <w:rsid w:val="00A03A8E"/>
    <w:rsid w:val="00A07F53"/>
    <w:rsid w:val="00A107D8"/>
    <w:rsid w:val="00A120D9"/>
    <w:rsid w:val="00A13086"/>
    <w:rsid w:val="00A16AAB"/>
    <w:rsid w:val="00A25649"/>
    <w:rsid w:val="00A279AB"/>
    <w:rsid w:val="00A27A3F"/>
    <w:rsid w:val="00A32841"/>
    <w:rsid w:val="00A37D1E"/>
    <w:rsid w:val="00A403F9"/>
    <w:rsid w:val="00A43B1A"/>
    <w:rsid w:val="00A44509"/>
    <w:rsid w:val="00A456F8"/>
    <w:rsid w:val="00A46998"/>
    <w:rsid w:val="00A471A1"/>
    <w:rsid w:val="00A50770"/>
    <w:rsid w:val="00A51A61"/>
    <w:rsid w:val="00A531CC"/>
    <w:rsid w:val="00A542CD"/>
    <w:rsid w:val="00A54420"/>
    <w:rsid w:val="00A6148C"/>
    <w:rsid w:val="00A629E7"/>
    <w:rsid w:val="00A644B3"/>
    <w:rsid w:val="00A67B64"/>
    <w:rsid w:val="00A70F73"/>
    <w:rsid w:val="00A715A3"/>
    <w:rsid w:val="00A72128"/>
    <w:rsid w:val="00A72EB1"/>
    <w:rsid w:val="00A72EB3"/>
    <w:rsid w:val="00A735D7"/>
    <w:rsid w:val="00A74BF0"/>
    <w:rsid w:val="00A751E0"/>
    <w:rsid w:val="00A76DC0"/>
    <w:rsid w:val="00A77F9C"/>
    <w:rsid w:val="00A8107B"/>
    <w:rsid w:val="00A84048"/>
    <w:rsid w:val="00A8405C"/>
    <w:rsid w:val="00A85071"/>
    <w:rsid w:val="00A90860"/>
    <w:rsid w:val="00A95A45"/>
    <w:rsid w:val="00A9754E"/>
    <w:rsid w:val="00AA2632"/>
    <w:rsid w:val="00AA2636"/>
    <w:rsid w:val="00AA407C"/>
    <w:rsid w:val="00AA433B"/>
    <w:rsid w:val="00AA7B66"/>
    <w:rsid w:val="00AB6D6C"/>
    <w:rsid w:val="00AC4F33"/>
    <w:rsid w:val="00AD1286"/>
    <w:rsid w:val="00AD2871"/>
    <w:rsid w:val="00AD6DEF"/>
    <w:rsid w:val="00AE26E5"/>
    <w:rsid w:val="00AE2C3A"/>
    <w:rsid w:val="00AF151C"/>
    <w:rsid w:val="00AF3B4E"/>
    <w:rsid w:val="00AF5559"/>
    <w:rsid w:val="00B02B25"/>
    <w:rsid w:val="00B03F19"/>
    <w:rsid w:val="00B0799A"/>
    <w:rsid w:val="00B10361"/>
    <w:rsid w:val="00B14A71"/>
    <w:rsid w:val="00B158F8"/>
    <w:rsid w:val="00B176B2"/>
    <w:rsid w:val="00B209C7"/>
    <w:rsid w:val="00B2533B"/>
    <w:rsid w:val="00B26796"/>
    <w:rsid w:val="00B32F04"/>
    <w:rsid w:val="00B33505"/>
    <w:rsid w:val="00B4106A"/>
    <w:rsid w:val="00B458C9"/>
    <w:rsid w:val="00B46E50"/>
    <w:rsid w:val="00B51F1B"/>
    <w:rsid w:val="00B55561"/>
    <w:rsid w:val="00B558EE"/>
    <w:rsid w:val="00B5630F"/>
    <w:rsid w:val="00B57418"/>
    <w:rsid w:val="00B6285A"/>
    <w:rsid w:val="00B6438E"/>
    <w:rsid w:val="00B655E3"/>
    <w:rsid w:val="00B6580D"/>
    <w:rsid w:val="00B73D10"/>
    <w:rsid w:val="00B73E0A"/>
    <w:rsid w:val="00B73F8E"/>
    <w:rsid w:val="00B84344"/>
    <w:rsid w:val="00B858A4"/>
    <w:rsid w:val="00B93BE1"/>
    <w:rsid w:val="00B9441E"/>
    <w:rsid w:val="00B958F5"/>
    <w:rsid w:val="00B97F4D"/>
    <w:rsid w:val="00BA02F0"/>
    <w:rsid w:val="00BA03D2"/>
    <w:rsid w:val="00BA0D91"/>
    <w:rsid w:val="00BA387D"/>
    <w:rsid w:val="00BA50E9"/>
    <w:rsid w:val="00BA73EA"/>
    <w:rsid w:val="00BA7AE1"/>
    <w:rsid w:val="00BB3BCE"/>
    <w:rsid w:val="00BB526F"/>
    <w:rsid w:val="00BB63F1"/>
    <w:rsid w:val="00BC40EB"/>
    <w:rsid w:val="00BC417B"/>
    <w:rsid w:val="00BC5C25"/>
    <w:rsid w:val="00BD1B8F"/>
    <w:rsid w:val="00BD4FD3"/>
    <w:rsid w:val="00BE054A"/>
    <w:rsid w:val="00BE30A6"/>
    <w:rsid w:val="00BE4AFF"/>
    <w:rsid w:val="00BE78C2"/>
    <w:rsid w:val="00BF1335"/>
    <w:rsid w:val="00BF3A4C"/>
    <w:rsid w:val="00BF40CF"/>
    <w:rsid w:val="00BF4753"/>
    <w:rsid w:val="00BF7E9D"/>
    <w:rsid w:val="00C0034E"/>
    <w:rsid w:val="00C0107E"/>
    <w:rsid w:val="00C04DB4"/>
    <w:rsid w:val="00C065A1"/>
    <w:rsid w:val="00C107F7"/>
    <w:rsid w:val="00C1161E"/>
    <w:rsid w:val="00C128B2"/>
    <w:rsid w:val="00C139CE"/>
    <w:rsid w:val="00C13AFE"/>
    <w:rsid w:val="00C149C0"/>
    <w:rsid w:val="00C1707D"/>
    <w:rsid w:val="00C20142"/>
    <w:rsid w:val="00C226AF"/>
    <w:rsid w:val="00C27B88"/>
    <w:rsid w:val="00C32A02"/>
    <w:rsid w:val="00C3414B"/>
    <w:rsid w:val="00C40989"/>
    <w:rsid w:val="00C45227"/>
    <w:rsid w:val="00C53079"/>
    <w:rsid w:val="00C5407E"/>
    <w:rsid w:val="00C549BA"/>
    <w:rsid w:val="00C54B78"/>
    <w:rsid w:val="00C57955"/>
    <w:rsid w:val="00C65D42"/>
    <w:rsid w:val="00C660BE"/>
    <w:rsid w:val="00C73211"/>
    <w:rsid w:val="00C73578"/>
    <w:rsid w:val="00C8305B"/>
    <w:rsid w:val="00C83800"/>
    <w:rsid w:val="00C859A8"/>
    <w:rsid w:val="00C86FB7"/>
    <w:rsid w:val="00C87B75"/>
    <w:rsid w:val="00C87E20"/>
    <w:rsid w:val="00C90505"/>
    <w:rsid w:val="00C95B68"/>
    <w:rsid w:val="00C9790F"/>
    <w:rsid w:val="00CA268E"/>
    <w:rsid w:val="00CA2CB6"/>
    <w:rsid w:val="00CA2DB9"/>
    <w:rsid w:val="00CB1BC9"/>
    <w:rsid w:val="00CB4DD6"/>
    <w:rsid w:val="00CB729A"/>
    <w:rsid w:val="00CC2E39"/>
    <w:rsid w:val="00CC4328"/>
    <w:rsid w:val="00CC612D"/>
    <w:rsid w:val="00CC740D"/>
    <w:rsid w:val="00CD1E47"/>
    <w:rsid w:val="00CD4BD5"/>
    <w:rsid w:val="00CE262D"/>
    <w:rsid w:val="00CE2961"/>
    <w:rsid w:val="00CE456E"/>
    <w:rsid w:val="00CE7515"/>
    <w:rsid w:val="00CF3A74"/>
    <w:rsid w:val="00CF5CA4"/>
    <w:rsid w:val="00CF68A1"/>
    <w:rsid w:val="00CF68C5"/>
    <w:rsid w:val="00CF68FC"/>
    <w:rsid w:val="00CF6C5C"/>
    <w:rsid w:val="00CF6F2B"/>
    <w:rsid w:val="00D0194F"/>
    <w:rsid w:val="00D021CD"/>
    <w:rsid w:val="00D05252"/>
    <w:rsid w:val="00D10A16"/>
    <w:rsid w:val="00D17884"/>
    <w:rsid w:val="00D200BC"/>
    <w:rsid w:val="00D2033E"/>
    <w:rsid w:val="00D21E1F"/>
    <w:rsid w:val="00D22811"/>
    <w:rsid w:val="00D248D4"/>
    <w:rsid w:val="00D248FA"/>
    <w:rsid w:val="00D25367"/>
    <w:rsid w:val="00D271FA"/>
    <w:rsid w:val="00D313B0"/>
    <w:rsid w:val="00D31DED"/>
    <w:rsid w:val="00D51BFB"/>
    <w:rsid w:val="00D54795"/>
    <w:rsid w:val="00D54A07"/>
    <w:rsid w:val="00D560FE"/>
    <w:rsid w:val="00D657B6"/>
    <w:rsid w:val="00D66B10"/>
    <w:rsid w:val="00D73538"/>
    <w:rsid w:val="00D73D4E"/>
    <w:rsid w:val="00D763CF"/>
    <w:rsid w:val="00D766E4"/>
    <w:rsid w:val="00D800D3"/>
    <w:rsid w:val="00D82722"/>
    <w:rsid w:val="00D83A68"/>
    <w:rsid w:val="00D86177"/>
    <w:rsid w:val="00D87722"/>
    <w:rsid w:val="00D92BC0"/>
    <w:rsid w:val="00D93D4E"/>
    <w:rsid w:val="00D960A6"/>
    <w:rsid w:val="00DA60DF"/>
    <w:rsid w:val="00DA6F68"/>
    <w:rsid w:val="00DB0C28"/>
    <w:rsid w:val="00DB17AD"/>
    <w:rsid w:val="00DB262C"/>
    <w:rsid w:val="00DB2E69"/>
    <w:rsid w:val="00DB2F16"/>
    <w:rsid w:val="00DB3217"/>
    <w:rsid w:val="00DB55E6"/>
    <w:rsid w:val="00DB568A"/>
    <w:rsid w:val="00DB5E98"/>
    <w:rsid w:val="00DC0FB1"/>
    <w:rsid w:val="00DD0703"/>
    <w:rsid w:val="00DD1368"/>
    <w:rsid w:val="00DD2E48"/>
    <w:rsid w:val="00DD30EB"/>
    <w:rsid w:val="00DD5FFD"/>
    <w:rsid w:val="00DD6632"/>
    <w:rsid w:val="00DE0D28"/>
    <w:rsid w:val="00DE43A9"/>
    <w:rsid w:val="00DE625E"/>
    <w:rsid w:val="00DF009D"/>
    <w:rsid w:val="00DF01F3"/>
    <w:rsid w:val="00DF348A"/>
    <w:rsid w:val="00DF7465"/>
    <w:rsid w:val="00DF7903"/>
    <w:rsid w:val="00DF7DFF"/>
    <w:rsid w:val="00E0440C"/>
    <w:rsid w:val="00E133D7"/>
    <w:rsid w:val="00E140E5"/>
    <w:rsid w:val="00E17156"/>
    <w:rsid w:val="00E23D0B"/>
    <w:rsid w:val="00E250C5"/>
    <w:rsid w:val="00E30662"/>
    <w:rsid w:val="00E3405D"/>
    <w:rsid w:val="00E37A2B"/>
    <w:rsid w:val="00E45B42"/>
    <w:rsid w:val="00E50C41"/>
    <w:rsid w:val="00E510C8"/>
    <w:rsid w:val="00E53B47"/>
    <w:rsid w:val="00E54B38"/>
    <w:rsid w:val="00E54E7B"/>
    <w:rsid w:val="00E613C4"/>
    <w:rsid w:val="00E6266D"/>
    <w:rsid w:val="00E655AB"/>
    <w:rsid w:val="00E70B4D"/>
    <w:rsid w:val="00E70C16"/>
    <w:rsid w:val="00E83853"/>
    <w:rsid w:val="00E8505B"/>
    <w:rsid w:val="00E9430A"/>
    <w:rsid w:val="00E9789D"/>
    <w:rsid w:val="00EA0990"/>
    <w:rsid w:val="00EA1D22"/>
    <w:rsid w:val="00EA42C9"/>
    <w:rsid w:val="00EA45C8"/>
    <w:rsid w:val="00EB02CA"/>
    <w:rsid w:val="00EB31F4"/>
    <w:rsid w:val="00EB59A3"/>
    <w:rsid w:val="00EB7321"/>
    <w:rsid w:val="00EB78E8"/>
    <w:rsid w:val="00EC1DDD"/>
    <w:rsid w:val="00EC23E4"/>
    <w:rsid w:val="00EC27F2"/>
    <w:rsid w:val="00ED1323"/>
    <w:rsid w:val="00ED46FF"/>
    <w:rsid w:val="00ED52DF"/>
    <w:rsid w:val="00ED695F"/>
    <w:rsid w:val="00EE3557"/>
    <w:rsid w:val="00EE49EC"/>
    <w:rsid w:val="00EF047E"/>
    <w:rsid w:val="00EF1078"/>
    <w:rsid w:val="00EF3C17"/>
    <w:rsid w:val="00EF6192"/>
    <w:rsid w:val="00EF7B99"/>
    <w:rsid w:val="00F00223"/>
    <w:rsid w:val="00F009B4"/>
    <w:rsid w:val="00F03304"/>
    <w:rsid w:val="00F0535C"/>
    <w:rsid w:val="00F12140"/>
    <w:rsid w:val="00F21E61"/>
    <w:rsid w:val="00F2699C"/>
    <w:rsid w:val="00F27F04"/>
    <w:rsid w:val="00F27F5F"/>
    <w:rsid w:val="00F30586"/>
    <w:rsid w:val="00F30D8C"/>
    <w:rsid w:val="00F37371"/>
    <w:rsid w:val="00F442E4"/>
    <w:rsid w:val="00F4488A"/>
    <w:rsid w:val="00F45EBA"/>
    <w:rsid w:val="00F52171"/>
    <w:rsid w:val="00F522BB"/>
    <w:rsid w:val="00F57B5A"/>
    <w:rsid w:val="00F622B6"/>
    <w:rsid w:val="00F65BEE"/>
    <w:rsid w:val="00F72EED"/>
    <w:rsid w:val="00F74C6B"/>
    <w:rsid w:val="00F75FA1"/>
    <w:rsid w:val="00F76253"/>
    <w:rsid w:val="00F76A9C"/>
    <w:rsid w:val="00F82929"/>
    <w:rsid w:val="00F910A6"/>
    <w:rsid w:val="00F9587B"/>
    <w:rsid w:val="00F969BF"/>
    <w:rsid w:val="00F979EA"/>
    <w:rsid w:val="00FA14BF"/>
    <w:rsid w:val="00FA4D24"/>
    <w:rsid w:val="00FB0734"/>
    <w:rsid w:val="00FB0DAF"/>
    <w:rsid w:val="00FB1DB2"/>
    <w:rsid w:val="00FB42CF"/>
    <w:rsid w:val="00FB4F73"/>
    <w:rsid w:val="00FB606D"/>
    <w:rsid w:val="00FC127E"/>
    <w:rsid w:val="00FC586A"/>
    <w:rsid w:val="00FC7524"/>
    <w:rsid w:val="00FD0599"/>
    <w:rsid w:val="00FD08DA"/>
    <w:rsid w:val="00FD797B"/>
    <w:rsid w:val="00FD7E86"/>
    <w:rsid w:val="00FE60EB"/>
    <w:rsid w:val="00FF1B5A"/>
    <w:rsid w:val="00FF2041"/>
    <w:rsid w:val="00FF3BB2"/>
    <w:rsid w:val="00FF52FC"/>
    <w:rsid w:val="00FF6104"/>
    <w:rsid w:val="00FF6617"/>
    <w:rsid w:val="00FF6B19"/>
    <w:rsid w:val="00FF6B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043E1"/>
  <w15:chartTrackingRefBased/>
  <w15:docId w15:val="{03E8C352-D422-4CB1-A8DB-EA328DEF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398"/>
    <w:pPr>
      <w:spacing w:after="0" w:line="240" w:lineRule="auto"/>
      <w:ind w:firstLine="720"/>
      <w:jc w:val="both"/>
    </w:pPr>
    <w:rPr>
      <w:rFonts w:ascii="Times New Roman" w:eastAsiaTheme="minorEastAsia" w:hAnsi="Times New Roman"/>
      <w:sz w:val="28"/>
    </w:rPr>
  </w:style>
  <w:style w:type="paragraph" w:styleId="Heading1">
    <w:name w:val="heading 1"/>
    <w:basedOn w:val="Normal"/>
    <w:next w:val="Normal"/>
    <w:link w:val="Heading1Char"/>
    <w:uiPriority w:val="9"/>
    <w:qFormat/>
    <w:rsid w:val="00982D35"/>
    <w:pPr>
      <w:keepNext/>
      <w:keepLines/>
      <w:spacing w:before="360"/>
      <w:ind w:firstLine="0"/>
      <w:jc w:val="center"/>
      <w:outlineLvl w:val="0"/>
    </w:pPr>
    <w:rPr>
      <w:rFonts w:eastAsia="Times New Roman" w:cs="Times New Roman"/>
      <w:b/>
      <w:bCs/>
      <w:smallCaps/>
      <w:color w:val="000000"/>
      <w:sz w:val="36"/>
      <w:szCs w:val="36"/>
      <w:lang w:eastAsia="lv-LV"/>
      <w14:textOutline w14:w="9525" w14:cap="rnd" w14:cmpd="sng" w14:algn="ctr">
        <w14:noFill/>
        <w14:prstDash w14:val="solid"/>
        <w14:bevel/>
      </w14:textOutline>
    </w:rPr>
  </w:style>
  <w:style w:type="paragraph" w:styleId="Heading2">
    <w:name w:val="heading 2"/>
    <w:basedOn w:val="Normal"/>
    <w:next w:val="Normal"/>
    <w:link w:val="Heading2Char"/>
    <w:uiPriority w:val="9"/>
    <w:unhideWhenUsed/>
    <w:qFormat/>
    <w:rsid w:val="00BF4753"/>
    <w:pPr>
      <w:keepNext/>
      <w:keepLines/>
      <w:numPr>
        <w:ilvl w:val="1"/>
        <w:numId w:val="1"/>
      </w:numPr>
      <w:spacing w:before="360"/>
      <w:jc w:val="center"/>
      <w:outlineLvl w:val="1"/>
    </w:pPr>
    <w:rPr>
      <w:rFonts w:eastAsiaTheme="majorEastAsia" w:cstheme="majorBidi"/>
      <w:b/>
      <w:bCs/>
      <w:color w:val="000000" w:themeColor="text1"/>
      <w:sz w:val="32"/>
      <w:szCs w:val="28"/>
    </w:rPr>
  </w:style>
  <w:style w:type="paragraph" w:styleId="Heading3">
    <w:name w:val="heading 3"/>
    <w:basedOn w:val="Normal"/>
    <w:next w:val="Normal"/>
    <w:link w:val="Heading3Char"/>
    <w:uiPriority w:val="9"/>
    <w:unhideWhenUsed/>
    <w:qFormat/>
    <w:rsid w:val="00BF4753"/>
    <w:pPr>
      <w:keepNext/>
      <w:keepLines/>
      <w:numPr>
        <w:ilvl w:val="2"/>
        <w:numId w:val="1"/>
      </w:numPr>
      <w:spacing w:before="200"/>
      <w:outlineLvl w:val="2"/>
    </w:pPr>
    <w:rPr>
      <w:rFonts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BF4753"/>
    <w:pPr>
      <w:keepNext/>
      <w:keepLines/>
      <w:numPr>
        <w:ilvl w:val="3"/>
        <w:numId w:val="1"/>
      </w:numPr>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BF4753"/>
    <w:pPr>
      <w:keepNext/>
      <w:keepLines/>
      <w:numPr>
        <w:ilvl w:val="4"/>
        <w:numId w:val="1"/>
      </w:numPr>
      <w:spacing w:before="20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BF4753"/>
    <w:pPr>
      <w:keepNext/>
      <w:keepLines/>
      <w:numPr>
        <w:ilvl w:val="5"/>
        <w:numId w:val="1"/>
      </w:numPr>
      <w:spacing w:before="20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BF475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F475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F475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D35"/>
    <w:rPr>
      <w:rFonts w:ascii="Times New Roman" w:eastAsia="Times New Roman" w:hAnsi="Times New Roman" w:cs="Times New Roman"/>
      <w:b/>
      <w:bCs/>
      <w:smallCaps/>
      <w:color w:val="000000"/>
      <w:sz w:val="36"/>
      <w:szCs w:val="36"/>
      <w:lang w:eastAsia="lv-LV"/>
      <w14:textOutline w14:w="9525" w14:cap="rnd" w14:cmpd="sng" w14:algn="ctr">
        <w14:noFill/>
        <w14:prstDash w14:val="solid"/>
        <w14:bevel/>
      </w14:textOutline>
    </w:rPr>
  </w:style>
  <w:style w:type="character" w:customStyle="1" w:styleId="Heading2Char">
    <w:name w:val="Heading 2 Char"/>
    <w:basedOn w:val="DefaultParagraphFont"/>
    <w:link w:val="Heading2"/>
    <w:uiPriority w:val="9"/>
    <w:rsid w:val="00BF4753"/>
    <w:rPr>
      <w:rFonts w:ascii="Times New Roman" w:eastAsiaTheme="majorEastAsia" w:hAnsi="Times New Roman" w:cstheme="majorBidi"/>
      <w:b/>
      <w:bCs/>
      <w:color w:val="000000" w:themeColor="text1"/>
      <w:sz w:val="32"/>
      <w:szCs w:val="28"/>
    </w:rPr>
  </w:style>
  <w:style w:type="character" w:customStyle="1" w:styleId="Heading3Char">
    <w:name w:val="Heading 3 Char"/>
    <w:basedOn w:val="DefaultParagraphFont"/>
    <w:link w:val="Heading3"/>
    <w:uiPriority w:val="9"/>
    <w:rsid w:val="00BF4753"/>
    <w:rPr>
      <w:rFonts w:ascii="Times New Roman" w:eastAsiaTheme="majorEastAsia" w:hAnsi="Times New Roman" w:cstheme="majorBidi"/>
      <w:b/>
      <w:bCs/>
      <w:color w:val="000000" w:themeColor="text1"/>
      <w:sz w:val="28"/>
    </w:rPr>
  </w:style>
  <w:style w:type="character" w:customStyle="1" w:styleId="Heading4Char">
    <w:name w:val="Heading 4 Char"/>
    <w:basedOn w:val="DefaultParagraphFont"/>
    <w:link w:val="Heading4"/>
    <w:uiPriority w:val="9"/>
    <w:semiHidden/>
    <w:rsid w:val="00BF4753"/>
    <w:rPr>
      <w:rFonts w:asciiTheme="majorHAnsi" w:eastAsiaTheme="majorEastAsia" w:hAnsiTheme="majorHAnsi" w:cstheme="majorBidi"/>
      <w:b/>
      <w:bCs/>
      <w:i/>
      <w:iCs/>
      <w:color w:val="000000" w:themeColor="text1"/>
      <w:sz w:val="28"/>
    </w:rPr>
  </w:style>
  <w:style w:type="character" w:customStyle="1" w:styleId="Heading5Char">
    <w:name w:val="Heading 5 Char"/>
    <w:basedOn w:val="DefaultParagraphFont"/>
    <w:link w:val="Heading5"/>
    <w:uiPriority w:val="9"/>
    <w:semiHidden/>
    <w:rsid w:val="00BF4753"/>
    <w:rPr>
      <w:rFonts w:asciiTheme="majorHAnsi" w:eastAsiaTheme="majorEastAsia" w:hAnsiTheme="majorHAnsi" w:cstheme="majorBidi"/>
      <w:color w:val="323E4F" w:themeColor="text2" w:themeShade="BF"/>
      <w:sz w:val="28"/>
    </w:rPr>
  </w:style>
  <w:style w:type="character" w:customStyle="1" w:styleId="Heading6Char">
    <w:name w:val="Heading 6 Char"/>
    <w:basedOn w:val="DefaultParagraphFont"/>
    <w:link w:val="Heading6"/>
    <w:uiPriority w:val="9"/>
    <w:semiHidden/>
    <w:rsid w:val="00BF4753"/>
    <w:rPr>
      <w:rFonts w:asciiTheme="majorHAnsi" w:eastAsiaTheme="majorEastAsia" w:hAnsiTheme="majorHAnsi" w:cstheme="majorBidi"/>
      <w:i/>
      <w:iCs/>
      <w:color w:val="323E4F" w:themeColor="text2" w:themeShade="BF"/>
      <w:sz w:val="28"/>
    </w:rPr>
  </w:style>
  <w:style w:type="character" w:customStyle="1" w:styleId="Heading7Char">
    <w:name w:val="Heading 7 Char"/>
    <w:basedOn w:val="DefaultParagraphFont"/>
    <w:link w:val="Heading7"/>
    <w:uiPriority w:val="9"/>
    <w:semiHidden/>
    <w:rsid w:val="00BF4753"/>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BF475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F4753"/>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rsid w:val="00BF4753"/>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BF4753"/>
    <w:rPr>
      <w:rFonts w:ascii="Times New Roman" w:eastAsiaTheme="minorEastAsia" w:hAnsi="Times New Roman"/>
      <w:color w:val="000000" w:themeColor="text1"/>
      <w:sz w:val="28"/>
      <w:shd w:val="clear" w:color="auto" w:fill="F2F2F2" w:themeFill="background1" w:themeFillShade="F2"/>
    </w:rPr>
  </w:style>
  <w:style w:type="paragraph" w:styleId="Caption">
    <w:name w:val="caption"/>
    <w:basedOn w:val="Normal"/>
    <w:next w:val="Normal"/>
    <w:uiPriority w:val="35"/>
    <w:semiHidden/>
    <w:unhideWhenUsed/>
    <w:qFormat/>
    <w:rsid w:val="00BF4753"/>
    <w:pPr>
      <w:spacing w:after="200"/>
    </w:pPr>
    <w:rPr>
      <w:i/>
      <w:iCs/>
      <w:color w:val="44546A" w:themeColor="text2"/>
      <w:sz w:val="18"/>
      <w:szCs w:val="18"/>
    </w:rPr>
  </w:style>
  <w:style w:type="paragraph" w:styleId="Title">
    <w:name w:val="Title"/>
    <w:basedOn w:val="Normal"/>
    <w:next w:val="Normal"/>
    <w:link w:val="TitleChar"/>
    <w:uiPriority w:val="10"/>
    <w:qFormat/>
    <w:rsid w:val="00BF4753"/>
    <w:pPr>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BF4753"/>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BF4753"/>
    <w:pPr>
      <w:numPr>
        <w:ilvl w:val="1"/>
      </w:numPr>
      <w:ind w:firstLine="720"/>
    </w:pPr>
    <w:rPr>
      <w:color w:val="5A5A5A" w:themeColor="text1" w:themeTint="A5"/>
      <w:spacing w:val="10"/>
    </w:rPr>
  </w:style>
  <w:style w:type="character" w:customStyle="1" w:styleId="SubtitleChar">
    <w:name w:val="Subtitle Char"/>
    <w:basedOn w:val="DefaultParagraphFont"/>
    <w:link w:val="Subtitle"/>
    <w:uiPriority w:val="11"/>
    <w:rsid w:val="00BF4753"/>
    <w:rPr>
      <w:rFonts w:ascii="Times New Roman" w:eastAsiaTheme="minorEastAsia" w:hAnsi="Times New Roman"/>
      <w:color w:val="5A5A5A" w:themeColor="text1" w:themeTint="A5"/>
      <w:spacing w:val="10"/>
      <w:sz w:val="28"/>
    </w:rPr>
  </w:style>
  <w:style w:type="character" w:styleId="Strong">
    <w:name w:val="Strong"/>
    <w:basedOn w:val="DefaultParagraphFont"/>
    <w:uiPriority w:val="22"/>
    <w:qFormat/>
    <w:rsid w:val="00BF4753"/>
    <w:rPr>
      <w:b/>
      <w:bCs/>
      <w:color w:val="000000" w:themeColor="text1"/>
    </w:rPr>
  </w:style>
  <w:style w:type="character" w:styleId="Emphasis">
    <w:name w:val="Emphasis"/>
    <w:basedOn w:val="DefaultParagraphFont"/>
    <w:uiPriority w:val="20"/>
    <w:qFormat/>
    <w:rsid w:val="00BF4753"/>
    <w:rPr>
      <w:i/>
      <w:iCs/>
      <w:color w:val="auto"/>
    </w:rPr>
  </w:style>
  <w:style w:type="paragraph" w:styleId="NoSpacing">
    <w:name w:val="No Spacing"/>
    <w:aliases w:val="Normal1,No Spacing1,Parastais"/>
    <w:link w:val="NoSpacingChar"/>
    <w:uiPriority w:val="1"/>
    <w:qFormat/>
    <w:rsid w:val="00BF4753"/>
    <w:pPr>
      <w:spacing w:after="0" w:line="240" w:lineRule="auto"/>
    </w:pPr>
    <w:rPr>
      <w:rFonts w:eastAsiaTheme="minorEastAsia"/>
    </w:rPr>
  </w:style>
  <w:style w:type="paragraph" w:styleId="Quote">
    <w:name w:val="Quote"/>
    <w:basedOn w:val="Normal"/>
    <w:next w:val="Normal"/>
    <w:link w:val="QuoteChar"/>
    <w:uiPriority w:val="29"/>
    <w:qFormat/>
    <w:rsid w:val="00BF4753"/>
    <w:pPr>
      <w:spacing w:before="160"/>
      <w:ind w:left="720" w:right="720"/>
    </w:pPr>
    <w:rPr>
      <w:i/>
      <w:iCs/>
      <w:color w:val="000000" w:themeColor="text1"/>
    </w:rPr>
  </w:style>
  <w:style w:type="character" w:customStyle="1" w:styleId="QuoteChar">
    <w:name w:val="Quote Char"/>
    <w:basedOn w:val="DefaultParagraphFont"/>
    <w:link w:val="Quote"/>
    <w:uiPriority w:val="29"/>
    <w:rsid w:val="00BF4753"/>
    <w:rPr>
      <w:rFonts w:ascii="Times New Roman" w:eastAsiaTheme="minorEastAsia" w:hAnsi="Times New Roman"/>
      <w:i/>
      <w:iCs/>
      <w:color w:val="000000" w:themeColor="text1"/>
      <w:sz w:val="28"/>
    </w:rPr>
  </w:style>
  <w:style w:type="character" w:styleId="SubtleEmphasis">
    <w:name w:val="Subtle Emphasis"/>
    <w:basedOn w:val="DefaultParagraphFont"/>
    <w:uiPriority w:val="19"/>
    <w:qFormat/>
    <w:rsid w:val="00BF4753"/>
    <w:rPr>
      <w:i/>
      <w:iCs/>
      <w:color w:val="404040" w:themeColor="text1" w:themeTint="BF"/>
    </w:rPr>
  </w:style>
  <w:style w:type="character" w:styleId="IntenseEmphasis">
    <w:name w:val="Intense Emphasis"/>
    <w:basedOn w:val="DefaultParagraphFont"/>
    <w:uiPriority w:val="21"/>
    <w:qFormat/>
    <w:rsid w:val="00BF4753"/>
    <w:rPr>
      <w:b/>
      <w:bCs/>
      <w:i/>
      <w:iCs/>
      <w:caps/>
    </w:rPr>
  </w:style>
  <w:style w:type="character" w:styleId="SubtleReference">
    <w:name w:val="Subtle Reference"/>
    <w:basedOn w:val="DefaultParagraphFont"/>
    <w:uiPriority w:val="31"/>
    <w:qFormat/>
    <w:rsid w:val="00BF475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F4753"/>
    <w:rPr>
      <w:b/>
      <w:bCs/>
      <w:smallCaps/>
      <w:u w:val="single"/>
    </w:rPr>
  </w:style>
  <w:style w:type="character" w:styleId="BookTitle">
    <w:name w:val="Book Title"/>
    <w:basedOn w:val="DefaultParagraphFont"/>
    <w:uiPriority w:val="33"/>
    <w:qFormat/>
    <w:rsid w:val="00BF4753"/>
    <w:rPr>
      <w:b w:val="0"/>
      <w:bCs w:val="0"/>
      <w:smallCaps/>
      <w:spacing w:val="5"/>
    </w:rPr>
  </w:style>
  <w:style w:type="paragraph" w:styleId="TOCHeading">
    <w:name w:val="TOC Heading"/>
    <w:basedOn w:val="Heading1"/>
    <w:next w:val="Normal"/>
    <w:uiPriority w:val="39"/>
    <w:unhideWhenUsed/>
    <w:qFormat/>
    <w:rsid w:val="00BF4753"/>
    <w:pPr>
      <w:outlineLvl w:val="9"/>
    </w:pPr>
  </w:style>
  <w:style w:type="character" w:customStyle="1" w:styleId="NoSpacingChar">
    <w:name w:val="No Spacing Char"/>
    <w:aliases w:val="Normal1 Char,No Spacing1 Char,Parastais Char"/>
    <w:basedOn w:val="DefaultParagraphFont"/>
    <w:link w:val="NoSpacing"/>
    <w:uiPriority w:val="1"/>
    <w:rsid w:val="00BF4753"/>
    <w:rPr>
      <w:rFonts w:eastAsiaTheme="minorEastAsia"/>
    </w:rPr>
  </w:style>
  <w:style w:type="paragraph" w:styleId="Header">
    <w:name w:val="header"/>
    <w:basedOn w:val="Normal"/>
    <w:link w:val="HeaderChar"/>
    <w:uiPriority w:val="99"/>
    <w:unhideWhenUsed/>
    <w:rsid w:val="00BF4753"/>
    <w:pPr>
      <w:tabs>
        <w:tab w:val="center" w:pos="4153"/>
        <w:tab w:val="right" w:pos="8306"/>
      </w:tabs>
    </w:pPr>
  </w:style>
  <w:style w:type="character" w:customStyle="1" w:styleId="HeaderChar">
    <w:name w:val="Header Char"/>
    <w:basedOn w:val="DefaultParagraphFont"/>
    <w:link w:val="Header"/>
    <w:uiPriority w:val="99"/>
    <w:rsid w:val="00BF4753"/>
    <w:rPr>
      <w:rFonts w:ascii="Times New Roman" w:eastAsiaTheme="minorEastAsia" w:hAnsi="Times New Roman"/>
      <w:sz w:val="28"/>
    </w:rPr>
  </w:style>
  <w:style w:type="paragraph" w:styleId="Footer">
    <w:name w:val="footer"/>
    <w:basedOn w:val="Normal"/>
    <w:link w:val="FooterChar"/>
    <w:uiPriority w:val="99"/>
    <w:unhideWhenUsed/>
    <w:rsid w:val="00BF4753"/>
    <w:pPr>
      <w:tabs>
        <w:tab w:val="center" w:pos="4153"/>
        <w:tab w:val="right" w:pos="8306"/>
      </w:tabs>
    </w:pPr>
  </w:style>
  <w:style w:type="character" w:customStyle="1" w:styleId="FooterChar">
    <w:name w:val="Footer Char"/>
    <w:basedOn w:val="DefaultParagraphFont"/>
    <w:link w:val="Footer"/>
    <w:uiPriority w:val="99"/>
    <w:rsid w:val="00BF4753"/>
    <w:rPr>
      <w:rFonts w:ascii="Times New Roman" w:eastAsiaTheme="minorEastAsia" w:hAnsi="Times New Roman"/>
      <w:sz w:val="28"/>
    </w:rPr>
  </w:style>
  <w:style w:type="paragraph" w:styleId="ListParagraph">
    <w:name w:val="List Paragraph"/>
    <w:aliases w:val="2,Akapit z listą BS,Numbered Para 1,Dot pt,List Paragraph Char Char Char,Indicator Text,List Paragraph1,Bullet 1,Bullet Points,MAIN CONTENT,IFCL - List Paragraph,List Paragraph12,OBC Bullet,F5 List Paragraph,Strip,Punkti ar numuriem"/>
    <w:basedOn w:val="Normal"/>
    <w:link w:val="ListParagraphChar"/>
    <w:uiPriority w:val="34"/>
    <w:qFormat/>
    <w:rsid w:val="00BF4753"/>
    <w:pPr>
      <w:ind w:left="720"/>
      <w:contextualSpacing/>
    </w:pPr>
  </w:style>
  <w:style w:type="paragraph" w:customStyle="1" w:styleId="PIRMAIS">
    <w:name w:val="PIRMAIS"/>
    <w:basedOn w:val="Normal"/>
    <w:link w:val="PIRMAISChar"/>
    <w:qFormat/>
    <w:rsid w:val="00BF4753"/>
    <w:pPr>
      <w:keepNext/>
      <w:keepLines/>
      <w:pageBreakBefore/>
      <w:pBdr>
        <w:bottom w:val="thickThinLargeGap" w:sz="24" w:space="1" w:color="17365D"/>
      </w:pBdr>
      <w:tabs>
        <w:tab w:val="left" w:pos="567"/>
      </w:tabs>
      <w:spacing w:after="120"/>
      <w:ind w:left="567" w:hanging="567"/>
      <w:outlineLvl w:val="0"/>
    </w:pPr>
    <w:rPr>
      <w:rFonts w:eastAsia="Times New Roman" w:cs="Times New Roman"/>
      <w:b/>
      <w:sz w:val="36"/>
      <w:szCs w:val="20"/>
    </w:rPr>
  </w:style>
  <w:style w:type="character" w:customStyle="1" w:styleId="PIRMAISChar">
    <w:name w:val="PIRMAIS Char"/>
    <w:basedOn w:val="DefaultParagraphFont"/>
    <w:link w:val="PIRMAIS"/>
    <w:rsid w:val="00BF4753"/>
    <w:rPr>
      <w:rFonts w:ascii="Times New Roman" w:eastAsia="Times New Roman" w:hAnsi="Times New Roman" w:cs="Times New Roman"/>
      <w:b/>
      <w:sz w:val="36"/>
      <w:szCs w:val="20"/>
    </w:rPr>
  </w:style>
  <w:style w:type="character" w:styleId="PageNumber">
    <w:name w:val="page number"/>
    <w:basedOn w:val="DefaultParagraphFont"/>
    <w:rsid w:val="00BF4753"/>
  </w:style>
  <w:style w:type="character" w:customStyle="1" w:styleId="HeaderChar1">
    <w:name w:val="Header Char1"/>
    <w:uiPriority w:val="99"/>
    <w:semiHidden/>
    <w:rsid w:val="00BF4753"/>
    <w:rPr>
      <w:rFonts w:eastAsia="Times New Roman" w:cs="Times New Roman"/>
      <w:sz w:val="24"/>
      <w:szCs w:val="20"/>
    </w:rPr>
  </w:style>
  <w:style w:type="paragraph" w:customStyle="1" w:styleId="H1">
    <w:name w:val="H1"/>
    <w:link w:val="H1Char"/>
    <w:rsid w:val="00BF4753"/>
    <w:pPr>
      <w:keepNext/>
      <w:keepLines/>
      <w:pageBreakBefore/>
      <w:pBdr>
        <w:bottom w:val="thickThinLargeGap" w:sz="24" w:space="1" w:color="17365D"/>
      </w:pBdr>
      <w:tabs>
        <w:tab w:val="left" w:pos="1134"/>
      </w:tabs>
      <w:spacing w:after="120" w:line="240" w:lineRule="auto"/>
      <w:ind w:left="1134" w:hanging="567"/>
      <w:outlineLvl w:val="0"/>
    </w:pPr>
    <w:rPr>
      <w:rFonts w:ascii="Times New Roman" w:eastAsia="Times New Roman" w:hAnsi="Times New Roman" w:cs="Times New Roman"/>
      <w:b/>
      <w:sz w:val="36"/>
      <w:szCs w:val="20"/>
    </w:rPr>
  </w:style>
  <w:style w:type="character" w:customStyle="1" w:styleId="H1Char">
    <w:name w:val="H1 Char"/>
    <w:link w:val="H1"/>
    <w:rsid w:val="00BF4753"/>
    <w:rPr>
      <w:rFonts w:ascii="Times New Roman" w:eastAsia="Times New Roman" w:hAnsi="Times New Roman" w:cs="Times New Roman"/>
      <w:b/>
      <w:sz w:val="36"/>
      <w:szCs w:val="20"/>
    </w:rPr>
  </w:style>
  <w:style w:type="character" w:styleId="CommentReference">
    <w:name w:val="annotation reference"/>
    <w:uiPriority w:val="99"/>
    <w:unhideWhenUsed/>
    <w:rsid w:val="00BF4753"/>
    <w:rPr>
      <w:sz w:val="16"/>
      <w:szCs w:val="16"/>
    </w:rPr>
  </w:style>
  <w:style w:type="paragraph" w:styleId="CommentText">
    <w:name w:val="annotation text"/>
    <w:basedOn w:val="Normal"/>
    <w:link w:val="CommentTextChar"/>
    <w:uiPriority w:val="99"/>
    <w:unhideWhenUsed/>
    <w:rsid w:val="00BF4753"/>
    <w:pPr>
      <w:spacing w:after="120"/>
      <w:ind w:firstLine="567"/>
    </w:pPr>
    <w:rPr>
      <w:rFonts w:eastAsia="Times New Roman" w:cs="Times New Roman"/>
      <w:sz w:val="20"/>
      <w:szCs w:val="20"/>
    </w:rPr>
  </w:style>
  <w:style w:type="character" w:customStyle="1" w:styleId="CommentTextChar">
    <w:name w:val="Comment Text Char"/>
    <w:basedOn w:val="DefaultParagraphFont"/>
    <w:link w:val="CommentText"/>
    <w:uiPriority w:val="99"/>
    <w:rsid w:val="00BF475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F4753"/>
    <w:pPr>
      <w:ind w:firstLine="567"/>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BF4753"/>
    <w:rPr>
      <w:rFonts w:ascii="Tahoma" w:eastAsia="Times New Roman" w:hAnsi="Tahoma" w:cs="Times New Roman"/>
      <w:sz w:val="16"/>
      <w:szCs w:val="16"/>
    </w:rPr>
  </w:style>
  <w:style w:type="paragraph" w:customStyle="1" w:styleId="H2">
    <w:name w:val="H2"/>
    <w:link w:val="H2Char"/>
    <w:uiPriority w:val="99"/>
    <w:rsid w:val="00BF4753"/>
    <w:pPr>
      <w:keepNext/>
      <w:tabs>
        <w:tab w:val="left" w:pos="1134"/>
      </w:tabs>
      <w:spacing w:before="480" w:after="240" w:line="240" w:lineRule="auto"/>
      <w:ind w:left="1134" w:hanging="567"/>
      <w:outlineLvl w:val="1"/>
    </w:pPr>
    <w:rPr>
      <w:rFonts w:ascii="Calibri" w:eastAsia="Times New Roman" w:hAnsi="Calibri" w:cs="Times New Roman"/>
      <w:b/>
      <w:sz w:val="32"/>
      <w:szCs w:val="20"/>
    </w:rPr>
  </w:style>
  <w:style w:type="character" w:customStyle="1" w:styleId="H2Char">
    <w:name w:val="H2 Char"/>
    <w:link w:val="H2"/>
    <w:uiPriority w:val="99"/>
    <w:rsid w:val="00BF4753"/>
    <w:rPr>
      <w:rFonts w:ascii="Calibri" w:eastAsia="Times New Roman" w:hAnsi="Calibri" w:cs="Times New Roman"/>
      <w:b/>
      <w:sz w:val="32"/>
      <w:szCs w:val="20"/>
    </w:rPr>
  </w:style>
  <w:style w:type="paragraph" w:customStyle="1" w:styleId="H4">
    <w:name w:val="H4"/>
    <w:uiPriority w:val="99"/>
    <w:rsid w:val="00BF4753"/>
    <w:pPr>
      <w:spacing w:before="120" w:after="120" w:line="240" w:lineRule="auto"/>
      <w:ind w:left="567"/>
      <w:outlineLvl w:val="3"/>
    </w:pPr>
    <w:rPr>
      <w:rFonts w:ascii="Calibri" w:eastAsia="Times New Roman" w:hAnsi="Calibri" w:cs="Times New Roman"/>
      <w:b/>
      <w:sz w:val="28"/>
      <w:szCs w:val="20"/>
    </w:rPr>
  </w:style>
  <w:style w:type="paragraph" w:customStyle="1" w:styleId="H3">
    <w:name w:val="H3"/>
    <w:link w:val="H3Char"/>
    <w:rsid w:val="00BF4753"/>
    <w:pPr>
      <w:keepNext/>
      <w:spacing w:before="480" w:after="120" w:line="240" w:lineRule="auto"/>
      <w:ind w:left="1701" w:hanging="1134"/>
      <w:outlineLvl w:val="2"/>
    </w:pPr>
    <w:rPr>
      <w:rFonts w:ascii="Calibri" w:eastAsia="Times New Roman" w:hAnsi="Calibri" w:cs="Times New Roman"/>
      <w:b/>
      <w:sz w:val="28"/>
      <w:szCs w:val="20"/>
    </w:rPr>
  </w:style>
  <w:style w:type="character" w:customStyle="1" w:styleId="H3Char">
    <w:name w:val="H3 Char"/>
    <w:link w:val="H3"/>
    <w:rsid w:val="00BF4753"/>
    <w:rPr>
      <w:rFonts w:ascii="Calibri" w:eastAsia="Times New Roman" w:hAnsi="Calibri" w:cs="Times New Roman"/>
      <w:b/>
      <w:sz w:val="28"/>
      <w:szCs w:val="20"/>
    </w:rPr>
  </w:style>
  <w:style w:type="paragraph" w:customStyle="1" w:styleId="T">
    <w:name w:val="T"/>
    <w:basedOn w:val="Normal"/>
    <w:rsid w:val="00BF4753"/>
    <w:pPr>
      <w:keepNext/>
      <w:spacing w:after="120"/>
      <w:ind w:left="567"/>
    </w:pPr>
    <w:rPr>
      <w:rFonts w:ascii="Calibri" w:eastAsia="Times New Roman" w:hAnsi="Calibri" w:cs="Times New Roman"/>
      <w:b/>
      <w:sz w:val="24"/>
      <w:szCs w:val="20"/>
    </w:rPr>
  </w:style>
  <w:style w:type="paragraph" w:customStyle="1" w:styleId="Z">
    <w:name w:val="Z"/>
    <w:basedOn w:val="T"/>
    <w:uiPriority w:val="99"/>
    <w:qFormat/>
    <w:rsid w:val="00BF4753"/>
    <w:pPr>
      <w:ind w:right="1701"/>
    </w:pPr>
    <w:rPr>
      <w:b w:val="0"/>
      <w:sz w:val="20"/>
    </w:rPr>
  </w:style>
  <w:style w:type="paragraph" w:customStyle="1" w:styleId="tabteksts">
    <w:name w:val="tab_teksts"/>
    <w:basedOn w:val="Normal"/>
    <w:uiPriority w:val="99"/>
    <w:rsid w:val="00BF4753"/>
    <w:rPr>
      <w:rFonts w:eastAsia="Times New Roman" w:cs="Times New Roman"/>
      <w:sz w:val="20"/>
      <w:szCs w:val="20"/>
    </w:rPr>
  </w:style>
  <w:style w:type="paragraph" w:styleId="FootnoteText">
    <w:name w:val="footnote text"/>
    <w:aliases w:val="Footnote,Fußnote,Fußnote Char Char Char,single space,ft Rakstz. Rakstz.,ft Rakstz.,ft,-E Fußnotentext,Fußnotentext Ursprung,Vēres teksts Char Char Char Char Char,Char Char Char Char Char Char Char Char Char Char Char Char,footnote tex,Char"/>
    <w:basedOn w:val="Normal"/>
    <w:link w:val="FootnoteTextChar"/>
    <w:uiPriority w:val="99"/>
    <w:qFormat/>
    <w:rsid w:val="00BF4753"/>
    <w:pPr>
      <w:keepLines/>
      <w:widowControl w:val="0"/>
      <w:ind w:left="340" w:hanging="340"/>
    </w:pPr>
    <w:rPr>
      <w:rFonts w:eastAsia="Times New Roman" w:cs="Times New Roman"/>
      <w:snapToGrid w:val="0"/>
      <w:color w:val="000000"/>
      <w:sz w:val="20"/>
      <w:szCs w:val="20"/>
    </w:rPr>
  </w:style>
  <w:style w:type="character" w:customStyle="1" w:styleId="FootnoteTextChar">
    <w:name w:val="Footnote Text Char"/>
    <w:aliases w:val="Footnote Char,Fußnote Char,Fußnote Char Char Char Char,single space Char,ft Rakstz. Rakstz. Char,ft Rakstz. Char,ft Char,-E Fußnotentext Char,Fußnotentext Ursprung Char,Vēres teksts Char Char Char Char Char Char,footnote tex Char"/>
    <w:basedOn w:val="DefaultParagraphFont"/>
    <w:link w:val="FootnoteText"/>
    <w:uiPriority w:val="99"/>
    <w:rsid w:val="00BF4753"/>
    <w:rPr>
      <w:rFonts w:ascii="Times New Roman" w:eastAsia="Times New Roman" w:hAnsi="Times New Roman" w:cs="Times New Roman"/>
      <w:snapToGrid w:val="0"/>
      <w:color w:val="000000"/>
      <w:sz w:val="20"/>
      <w:szCs w:val="20"/>
    </w:rPr>
  </w:style>
  <w:style w:type="character" w:styleId="FootnoteReference">
    <w:name w:val="footnote reference"/>
    <w:aliases w:val="Footnote Reference Number,Footnote symbol,Footnote Reference Superscript,ftref,Footnote Refernece,Odwołanie przypisu,BVI fnr,Footnotes refss,SUPERS,Ref,de nota al pie,-E Fußnotenzeichen,Footnote reference number,Times 10 Point,E,E FNZ"/>
    <w:link w:val="Char2"/>
    <w:qFormat/>
    <w:rsid w:val="00BF4753"/>
    <w:rPr>
      <w:rFonts w:ascii="Garamond" w:hAnsi="Garamond"/>
      <w:sz w:val="20"/>
      <w:vertAlign w:val="superscript"/>
    </w:rPr>
  </w:style>
  <w:style w:type="paragraph" w:customStyle="1" w:styleId="Zpar">
    <w:name w:val="Z_par"/>
    <w:basedOn w:val="Z"/>
    <w:rsid w:val="00BF4753"/>
    <w:pPr>
      <w:spacing w:after="480"/>
      <w:ind w:left="1418" w:hanging="851"/>
    </w:pPr>
    <w:rPr>
      <w:i/>
    </w:rPr>
  </w:style>
  <w:style w:type="character" w:customStyle="1" w:styleId="ListParagraphChar">
    <w:name w:val="List Paragraph Char"/>
    <w:aliases w:val="2 Char,Akapit z listą BS Char,Numbered Para 1 Char,Dot pt Char,List Paragraph Char Char Char Char,Indicator Text Char,List Paragraph1 Char,Bullet 1 Char,Bullet Points Char,MAIN CONTENT Char,IFCL - List Paragraph Char,OBC Bullet Char"/>
    <w:link w:val="ListParagraph"/>
    <w:uiPriority w:val="34"/>
    <w:qFormat/>
    <w:locked/>
    <w:rsid w:val="00BF4753"/>
    <w:rPr>
      <w:rFonts w:ascii="Times New Roman" w:eastAsiaTheme="minorEastAsia" w:hAnsi="Times New Roman"/>
      <w:sz w:val="28"/>
    </w:rPr>
  </w:style>
  <w:style w:type="paragraph" w:styleId="BodyTextIndent2">
    <w:name w:val="Body Text Indent 2"/>
    <w:basedOn w:val="Normal"/>
    <w:link w:val="BodyTextIndent2Char"/>
    <w:semiHidden/>
    <w:rsid w:val="00BF4753"/>
    <w:pPr>
      <w:spacing w:before="120" w:after="120"/>
      <w:ind w:firstLine="706"/>
    </w:pPr>
    <w:rPr>
      <w:rFonts w:eastAsia="Times New Roman" w:cs="Times New Roman"/>
      <w:sz w:val="24"/>
      <w:szCs w:val="20"/>
    </w:rPr>
  </w:style>
  <w:style w:type="character" w:customStyle="1" w:styleId="BodyTextIndent2Char">
    <w:name w:val="Body Text Indent 2 Char"/>
    <w:basedOn w:val="DefaultParagraphFont"/>
    <w:link w:val="BodyTextIndent2"/>
    <w:semiHidden/>
    <w:rsid w:val="00BF4753"/>
    <w:rPr>
      <w:rFonts w:ascii="Times New Roman" w:eastAsia="Times New Roman" w:hAnsi="Times New Roman" w:cs="Times New Roman"/>
      <w:sz w:val="24"/>
      <w:szCs w:val="20"/>
    </w:rPr>
  </w:style>
  <w:style w:type="paragraph" w:customStyle="1" w:styleId="Default">
    <w:name w:val="Default"/>
    <w:rsid w:val="00BF475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Indent">
    <w:name w:val="Body Text Indent"/>
    <w:basedOn w:val="Normal"/>
    <w:link w:val="BodyTextIndentChar"/>
    <w:unhideWhenUsed/>
    <w:rsid w:val="00BF4753"/>
    <w:pPr>
      <w:spacing w:after="120"/>
      <w:ind w:left="283" w:firstLine="567"/>
    </w:pPr>
    <w:rPr>
      <w:rFonts w:eastAsia="Times New Roman" w:cs="Times New Roman"/>
      <w:sz w:val="24"/>
      <w:szCs w:val="20"/>
    </w:rPr>
  </w:style>
  <w:style w:type="character" w:customStyle="1" w:styleId="BodyTextIndentChar">
    <w:name w:val="Body Text Indent Char"/>
    <w:basedOn w:val="DefaultParagraphFont"/>
    <w:link w:val="BodyTextIndent"/>
    <w:rsid w:val="00BF4753"/>
    <w:rPr>
      <w:rFonts w:ascii="Times New Roman" w:eastAsia="Times New Roman" w:hAnsi="Times New Roman" w:cs="Times New Roman"/>
      <w:sz w:val="24"/>
      <w:szCs w:val="20"/>
    </w:rPr>
  </w:style>
  <w:style w:type="paragraph" w:customStyle="1" w:styleId="ridk">
    <w:name w:val="ridk"/>
    <w:basedOn w:val="Normal"/>
    <w:rsid w:val="00BF4753"/>
    <w:pPr>
      <w:spacing w:before="100" w:beforeAutospacing="1" w:after="100" w:afterAutospacing="1"/>
    </w:pPr>
    <w:rPr>
      <w:rFonts w:ascii="Arial Unicode MS" w:eastAsia="Arial Unicode MS" w:hAnsi="Arial Unicode MS" w:cs="Arial Unicode MS"/>
      <w:sz w:val="24"/>
      <w:szCs w:val="24"/>
      <w:lang w:val="en-US"/>
    </w:rPr>
  </w:style>
  <w:style w:type="table" w:styleId="TableGrid">
    <w:name w:val="Table Grid"/>
    <w:basedOn w:val="TableNormal"/>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
    <w:name w:val="Virsraksts1"/>
    <w:basedOn w:val="Heading1"/>
    <w:rsid w:val="00BF4753"/>
    <w:pPr>
      <w:keepLines w:val="0"/>
      <w:spacing w:before="240" w:after="60"/>
      <w:ind w:firstLine="709"/>
      <w:jc w:val="both"/>
    </w:pPr>
    <w:rPr>
      <w:rFonts w:eastAsia="Calibri"/>
      <w:smallCaps w:val="0"/>
      <w:color w:val="auto"/>
      <w:kern w:val="32"/>
      <w:sz w:val="40"/>
      <w:szCs w:val="40"/>
    </w:rPr>
  </w:style>
  <w:style w:type="character" w:customStyle="1" w:styleId="spelle">
    <w:name w:val="spelle"/>
    <w:basedOn w:val="DefaultParagraphFont"/>
    <w:rsid w:val="00BF4753"/>
  </w:style>
  <w:style w:type="paragraph" w:customStyle="1" w:styleId="ParagraphNumbering">
    <w:name w:val="Paragraph Numbering"/>
    <w:basedOn w:val="Normal"/>
    <w:uiPriority w:val="1"/>
    <w:qFormat/>
    <w:rsid w:val="00BF4753"/>
    <w:pPr>
      <w:numPr>
        <w:numId w:val="2"/>
      </w:numPr>
      <w:spacing w:after="240" w:line="264" w:lineRule="auto"/>
    </w:pPr>
    <w:rPr>
      <w:rFonts w:eastAsia="Calibri"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BF4753"/>
    <w:rPr>
      <w:b/>
      <w:bCs/>
    </w:rPr>
  </w:style>
  <w:style w:type="character" w:customStyle="1" w:styleId="CommentSubjectChar">
    <w:name w:val="Comment Subject Char"/>
    <w:basedOn w:val="CommentTextChar"/>
    <w:link w:val="CommentSubject"/>
    <w:uiPriority w:val="99"/>
    <w:semiHidden/>
    <w:rsid w:val="00BF4753"/>
    <w:rPr>
      <w:rFonts w:ascii="Times New Roman" w:eastAsia="Times New Roman" w:hAnsi="Times New Roman" w:cs="Times New Roman"/>
      <w:b/>
      <w:bCs/>
      <w:sz w:val="20"/>
      <w:szCs w:val="20"/>
    </w:rPr>
  </w:style>
  <w:style w:type="paragraph" w:customStyle="1" w:styleId="otrais">
    <w:name w:val="otrais"/>
    <w:basedOn w:val="H2"/>
    <w:link w:val="otraisChar"/>
    <w:qFormat/>
    <w:rsid w:val="00BF4753"/>
    <w:pPr>
      <w:tabs>
        <w:tab w:val="clear" w:pos="1134"/>
        <w:tab w:val="left" w:pos="567"/>
      </w:tabs>
      <w:ind w:left="567"/>
    </w:pPr>
    <w:rPr>
      <w:rFonts w:ascii="Times New Roman" w:hAnsi="Times New Roman"/>
    </w:rPr>
  </w:style>
  <w:style w:type="character" w:customStyle="1" w:styleId="otraisChar">
    <w:name w:val="otrais Char"/>
    <w:basedOn w:val="H2Char"/>
    <w:link w:val="otrais"/>
    <w:rsid w:val="00BF4753"/>
    <w:rPr>
      <w:rFonts w:ascii="Times New Roman" w:eastAsia="Times New Roman" w:hAnsi="Times New Roman" w:cs="Times New Roman"/>
      <w:b/>
      <w:sz w:val="32"/>
      <w:szCs w:val="20"/>
    </w:rPr>
  </w:style>
  <w:style w:type="paragraph" w:customStyle="1" w:styleId="tresais">
    <w:name w:val="tresais"/>
    <w:basedOn w:val="H3"/>
    <w:link w:val="tresaisChar"/>
    <w:qFormat/>
    <w:rsid w:val="00BF4753"/>
    <w:pPr>
      <w:ind w:left="0" w:firstLine="0"/>
    </w:pPr>
    <w:rPr>
      <w:rFonts w:ascii="Times New Roman" w:hAnsi="Times New Roman"/>
    </w:rPr>
  </w:style>
  <w:style w:type="character" w:customStyle="1" w:styleId="tresaisChar">
    <w:name w:val="tresais Char"/>
    <w:basedOn w:val="H3Char"/>
    <w:link w:val="tresais"/>
    <w:rsid w:val="00BF4753"/>
    <w:rPr>
      <w:rFonts w:ascii="Times New Roman" w:eastAsia="Times New Roman" w:hAnsi="Times New Roman" w:cs="Times New Roman"/>
      <w:b/>
      <w:sz w:val="28"/>
      <w:szCs w:val="20"/>
    </w:rPr>
  </w:style>
  <w:style w:type="paragraph" w:styleId="TOC1">
    <w:name w:val="toc 1"/>
    <w:basedOn w:val="Normal"/>
    <w:next w:val="Normal"/>
    <w:autoRedefine/>
    <w:uiPriority w:val="39"/>
    <w:unhideWhenUsed/>
    <w:rsid w:val="00FA14BF"/>
    <w:pPr>
      <w:tabs>
        <w:tab w:val="left" w:pos="284"/>
        <w:tab w:val="right" w:leader="dot" w:pos="9072"/>
      </w:tabs>
      <w:ind w:left="284" w:hanging="284"/>
    </w:pPr>
    <w:rPr>
      <w:rFonts w:eastAsia="Times New Roman" w:cs="Times New Roman"/>
      <w:sz w:val="24"/>
      <w:szCs w:val="20"/>
    </w:rPr>
  </w:style>
  <w:style w:type="paragraph" w:styleId="TOC2">
    <w:name w:val="toc 2"/>
    <w:basedOn w:val="Normal"/>
    <w:next w:val="Normal"/>
    <w:autoRedefine/>
    <w:uiPriority w:val="39"/>
    <w:unhideWhenUsed/>
    <w:rsid w:val="009F38DE"/>
    <w:pPr>
      <w:tabs>
        <w:tab w:val="left" w:pos="1418"/>
        <w:tab w:val="right" w:leader="dot" w:pos="9072"/>
      </w:tabs>
      <w:ind w:left="851" w:hanging="425"/>
    </w:pPr>
    <w:rPr>
      <w:rFonts w:eastAsia="Times New Roman" w:cs="Times New Roman"/>
      <w:sz w:val="24"/>
      <w:szCs w:val="20"/>
    </w:rPr>
  </w:style>
  <w:style w:type="paragraph" w:styleId="TOC3">
    <w:name w:val="toc 3"/>
    <w:basedOn w:val="Normal"/>
    <w:next w:val="Normal"/>
    <w:autoRedefine/>
    <w:uiPriority w:val="39"/>
    <w:unhideWhenUsed/>
    <w:rsid w:val="00CF68A1"/>
    <w:pPr>
      <w:tabs>
        <w:tab w:val="left" w:pos="1418"/>
        <w:tab w:val="right" w:leader="dot" w:pos="9061"/>
      </w:tabs>
      <w:ind w:left="1418" w:hanging="709"/>
    </w:pPr>
    <w:rPr>
      <w:rFonts w:eastAsia="Times New Roman" w:cs="Times New Roman"/>
      <w:sz w:val="24"/>
      <w:szCs w:val="20"/>
    </w:rPr>
  </w:style>
  <w:style w:type="character" w:styleId="Hyperlink">
    <w:name w:val="Hyperlink"/>
    <w:uiPriority w:val="99"/>
    <w:unhideWhenUsed/>
    <w:rsid w:val="00BF4753"/>
    <w:rPr>
      <w:color w:val="0000FF"/>
      <w:u w:val="single"/>
    </w:rPr>
  </w:style>
  <w:style w:type="paragraph" w:customStyle="1" w:styleId="naisf">
    <w:name w:val="naisf"/>
    <w:basedOn w:val="Normal"/>
    <w:rsid w:val="00BF4753"/>
    <w:pPr>
      <w:spacing w:before="100" w:beforeAutospacing="1" w:after="100" w:afterAutospacing="1"/>
    </w:pPr>
    <w:rPr>
      <w:rFonts w:eastAsia="Times New Roman" w:cs="Times New Roman"/>
      <w:sz w:val="24"/>
      <w:szCs w:val="24"/>
      <w:lang w:eastAsia="lv-LV"/>
    </w:rPr>
  </w:style>
  <w:style w:type="paragraph" w:customStyle="1" w:styleId="teksts">
    <w:name w:val="teksts"/>
    <w:rsid w:val="00BF4753"/>
    <w:pPr>
      <w:spacing w:after="120" w:line="240" w:lineRule="auto"/>
      <w:jc w:val="both"/>
    </w:pPr>
    <w:rPr>
      <w:rFonts w:ascii="Garamond" w:eastAsia="Times New Roman" w:hAnsi="Garamond" w:cs="Times New Roman"/>
      <w:sz w:val="24"/>
      <w:szCs w:val="20"/>
    </w:rPr>
  </w:style>
  <w:style w:type="paragraph" w:customStyle="1" w:styleId="EE-paragr">
    <w:name w:val="EE-paragr"/>
    <w:basedOn w:val="Normal"/>
    <w:autoRedefine/>
    <w:uiPriority w:val="99"/>
    <w:rsid w:val="00BF4753"/>
    <w:pPr>
      <w:spacing w:before="120" w:after="120"/>
    </w:pPr>
    <w:rPr>
      <w:rFonts w:eastAsia="Times New Roman" w:cs="Times New Roman"/>
      <w:iCs/>
      <w:sz w:val="24"/>
      <w:szCs w:val="24"/>
      <w:lang w:eastAsia="lv-LV" w:bidi="lo-LA"/>
    </w:rPr>
  </w:style>
  <w:style w:type="paragraph" w:customStyle="1" w:styleId="tabtekst">
    <w:name w:val="tab_tekst"/>
    <w:basedOn w:val="Normal"/>
    <w:rsid w:val="00BF4753"/>
    <w:rPr>
      <w:rFonts w:eastAsia="Times New Roman" w:cs="Times New Roman"/>
      <w:color w:val="000000"/>
      <w:sz w:val="20"/>
      <w:szCs w:val="20"/>
    </w:rPr>
  </w:style>
  <w:style w:type="paragraph" w:styleId="NormalWeb">
    <w:name w:val="Normal (Web)"/>
    <w:basedOn w:val="Normal"/>
    <w:uiPriority w:val="99"/>
    <w:unhideWhenUsed/>
    <w:rsid w:val="00BF4753"/>
    <w:pPr>
      <w:spacing w:before="100" w:beforeAutospacing="1" w:after="100" w:afterAutospacing="1"/>
    </w:pPr>
    <w:rPr>
      <w:rFonts w:eastAsia="Times New Roman" w:cs="Times New Roman"/>
      <w:sz w:val="24"/>
      <w:szCs w:val="24"/>
      <w:lang w:eastAsia="lv-LV"/>
    </w:rPr>
  </w:style>
  <w:style w:type="paragraph" w:customStyle="1" w:styleId="Normal11pt">
    <w:name w:val="Normal + 11 pt"/>
    <w:aliases w:val="Bold,Justified,Line spacing:  1.5 lines"/>
    <w:basedOn w:val="Normal"/>
    <w:rsid w:val="00BF4753"/>
    <w:pPr>
      <w:widowControl w:val="0"/>
      <w:adjustRightInd w:val="0"/>
      <w:spacing w:line="360" w:lineRule="auto"/>
      <w:textAlignment w:val="baseline"/>
    </w:pPr>
    <w:rPr>
      <w:rFonts w:eastAsia="Times New Roman" w:cs="Times New Roman"/>
      <w:b/>
      <w:lang w:val="en-GB" w:eastAsia="lv-LV"/>
    </w:rPr>
  </w:style>
  <w:style w:type="paragraph" w:styleId="BodyText">
    <w:name w:val="Body Text"/>
    <w:basedOn w:val="Normal"/>
    <w:link w:val="BodyTextChar"/>
    <w:uiPriority w:val="99"/>
    <w:unhideWhenUsed/>
    <w:rsid w:val="00BF4753"/>
    <w:pPr>
      <w:spacing w:after="120"/>
      <w:ind w:firstLine="567"/>
    </w:pPr>
    <w:rPr>
      <w:rFonts w:eastAsia="Times New Roman" w:cs="Times New Roman"/>
      <w:sz w:val="24"/>
      <w:szCs w:val="20"/>
    </w:rPr>
  </w:style>
  <w:style w:type="character" w:customStyle="1" w:styleId="BodyTextChar">
    <w:name w:val="Body Text Char"/>
    <w:basedOn w:val="DefaultParagraphFont"/>
    <w:link w:val="BodyText"/>
    <w:uiPriority w:val="99"/>
    <w:rsid w:val="00BF4753"/>
    <w:rPr>
      <w:rFonts w:ascii="Times New Roman" w:eastAsia="Times New Roman" w:hAnsi="Times New Roman" w:cs="Times New Roman"/>
      <w:sz w:val="24"/>
      <w:szCs w:val="20"/>
    </w:rPr>
  </w:style>
  <w:style w:type="paragraph" w:styleId="BodyText3">
    <w:name w:val="Body Text 3"/>
    <w:basedOn w:val="Normal"/>
    <w:link w:val="BodyText3Char"/>
    <w:uiPriority w:val="99"/>
    <w:semiHidden/>
    <w:unhideWhenUsed/>
    <w:rsid w:val="00BF4753"/>
    <w:pPr>
      <w:spacing w:after="120"/>
      <w:ind w:firstLine="567"/>
    </w:pPr>
    <w:rPr>
      <w:rFonts w:eastAsia="Times New Roman" w:cs="Times New Roman"/>
      <w:sz w:val="16"/>
      <w:szCs w:val="16"/>
    </w:rPr>
  </w:style>
  <w:style w:type="character" w:customStyle="1" w:styleId="BodyText3Char">
    <w:name w:val="Body Text 3 Char"/>
    <w:basedOn w:val="DefaultParagraphFont"/>
    <w:link w:val="BodyText3"/>
    <w:uiPriority w:val="99"/>
    <w:semiHidden/>
    <w:rsid w:val="00BF4753"/>
    <w:rPr>
      <w:rFonts w:ascii="Times New Roman" w:eastAsia="Times New Roman" w:hAnsi="Times New Roman" w:cs="Times New Roman"/>
      <w:sz w:val="16"/>
      <w:szCs w:val="16"/>
    </w:rPr>
  </w:style>
  <w:style w:type="paragraph" w:styleId="TOC8">
    <w:name w:val="toc 8"/>
    <w:basedOn w:val="Normal"/>
    <w:next w:val="Normal"/>
    <w:autoRedefine/>
    <w:uiPriority w:val="39"/>
    <w:semiHidden/>
    <w:unhideWhenUsed/>
    <w:rsid w:val="00BF4753"/>
    <w:pPr>
      <w:spacing w:after="120"/>
      <w:ind w:left="1680" w:firstLine="567"/>
    </w:pPr>
    <w:rPr>
      <w:rFonts w:eastAsia="Times New Roman" w:cs="Times New Roman"/>
      <w:sz w:val="24"/>
      <w:szCs w:val="20"/>
    </w:rPr>
  </w:style>
  <w:style w:type="paragraph" w:styleId="PlainText">
    <w:name w:val="Plain Text"/>
    <w:basedOn w:val="Normal"/>
    <w:link w:val="PlainTextChar"/>
    <w:uiPriority w:val="99"/>
    <w:unhideWhenUsed/>
    <w:rsid w:val="00BF4753"/>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F4753"/>
    <w:rPr>
      <w:rFonts w:ascii="Consolas" w:eastAsia="Calibri" w:hAnsi="Consolas" w:cs="Times New Roman"/>
      <w:sz w:val="21"/>
      <w:szCs w:val="21"/>
    </w:rPr>
  </w:style>
  <w:style w:type="paragraph" w:customStyle="1" w:styleId="Text1">
    <w:name w:val="Text 1"/>
    <w:basedOn w:val="Normal"/>
    <w:uiPriority w:val="99"/>
    <w:rsid w:val="00BF4753"/>
    <w:pPr>
      <w:spacing w:before="120" w:after="120"/>
      <w:ind w:left="850"/>
    </w:pPr>
    <w:rPr>
      <w:rFonts w:eastAsia="Times New Roman" w:cs="Times New Roman"/>
      <w:sz w:val="24"/>
      <w:szCs w:val="20"/>
      <w:lang w:val="en-GB" w:eastAsia="de-DE"/>
    </w:rPr>
  </w:style>
  <w:style w:type="character" w:styleId="FollowedHyperlink">
    <w:name w:val="FollowedHyperlink"/>
    <w:uiPriority w:val="99"/>
    <w:semiHidden/>
    <w:unhideWhenUsed/>
    <w:rsid w:val="00BF4753"/>
    <w:rPr>
      <w:color w:val="800080"/>
      <w:u w:val="single"/>
    </w:rPr>
  </w:style>
  <w:style w:type="paragraph" w:styleId="Revision">
    <w:name w:val="Revision"/>
    <w:hidden/>
    <w:uiPriority w:val="99"/>
    <w:semiHidden/>
    <w:rsid w:val="00BF4753"/>
    <w:pPr>
      <w:spacing w:after="0" w:line="240" w:lineRule="auto"/>
    </w:pPr>
    <w:rPr>
      <w:rFonts w:ascii="Times New Roman" w:eastAsia="Times New Roman" w:hAnsi="Times New Roman" w:cs="Times New Roman"/>
      <w:sz w:val="24"/>
      <w:szCs w:val="20"/>
    </w:rPr>
  </w:style>
  <w:style w:type="paragraph" w:customStyle="1" w:styleId="tv2131">
    <w:name w:val="tv2131"/>
    <w:basedOn w:val="Normal"/>
    <w:rsid w:val="00BF4753"/>
    <w:pPr>
      <w:spacing w:before="240" w:line="360" w:lineRule="auto"/>
      <w:ind w:firstLine="300"/>
    </w:pPr>
    <w:rPr>
      <w:rFonts w:ascii="Verdana" w:eastAsia="Times New Roman" w:hAnsi="Verdana" w:cs="Times New Roman"/>
      <w:sz w:val="18"/>
      <w:szCs w:val="18"/>
      <w:lang w:eastAsia="lv-LV"/>
    </w:rPr>
  </w:style>
  <w:style w:type="paragraph" w:customStyle="1" w:styleId="CM1">
    <w:name w:val="CM1"/>
    <w:basedOn w:val="Default"/>
    <w:next w:val="Default"/>
    <w:uiPriority w:val="99"/>
    <w:rsid w:val="00BF4753"/>
    <w:rPr>
      <w:rFonts w:ascii="EUAlbertina" w:eastAsia="Calibri" w:hAnsi="EUAlbertina"/>
      <w:color w:val="auto"/>
      <w:lang w:val="en-GB" w:eastAsia="en-GB"/>
    </w:rPr>
  </w:style>
  <w:style w:type="character" w:customStyle="1" w:styleId="st1">
    <w:name w:val="st1"/>
    <w:basedOn w:val="DefaultParagraphFont"/>
    <w:rsid w:val="00BF4753"/>
  </w:style>
  <w:style w:type="paragraph" w:customStyle="1" w:styleId="mt-translation1">
    <w:name w:val="mt-translation1"/>
    <w:basedOn w:val="Normal"/>
    <w:rsid w:val="00BF4753"/>
    <w:rPr>
      <w:rFonts w:ascii="Segoe UI" w:eastAsia="Times New Roman" w:hAnsi="Segoe UI" w:cs="Segoe UI"/>
      <w:lang w:eastAsia="lv-LV"/>
    </w:rPr>
  </w:style>
  <w:style w:type="table" w:customStyle="1" w:styleId="ListTable3-Accent11">
    <w:name w:val="List Table 3 - Accent 11"/>
    <w:basedOn w:val="TableNormal"/>
    <w:uiPriority w:val="48"/>
    <w:rsid w:val="00BF4753"/>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2-Accent11">
    <w:name w:val="Grid Table 2 - Accent 11"/>
    <w:basedOn w:val="TableNormal"/>
    <w:uiPriority w:val="47"/>
    <w:rsid w:val="00BF4753"/>
    <w:pPr>
      <w:spacing w:after="0" w:line="240" w:lineRule="auto"/>
    </w:pPr>
    <w:rPr>
      <w:rFonts w:eastAsiaTheme="minorEastAsia"/>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11">
    <w:name w:val="Grid Table 1 Light - Accent 11"/>
    <w:basedOn w:val="TableNormal"/>
    <w:uiPriority w:val="46"/>
    <w:rsid w:val="00BF4753"/>
    <w:pPr>
      <w:spacing w:after="0" w:line="240" w:lineRule="auto"/>
    </w:pPr>
    <w:rPr>
      <w:rFonts w:eastAsiaTheme="minorEastAs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BF4753"/>
    <w:pPr>
      <w:spacing w:after="0" w:line="240" w:lineRule="auto"/>
    </w:pPr>
    <w:rPr>
      <w:rFonts w:eastAsiaTheme="minorEastAsia"/>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BF4753"/>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BF4753"/>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F4753"/>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BF4753"/>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F4753"/>
  </w:style>
  <w:style w:type="table" w:customStyle="1" w:styleId="TableGrid2">
    <w:name w:val="Table Grid2"/>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
    <w:name w:val="Grid Table 6 Colorful - Accent 11"/>
    <w:basedOn w:val="TableNormal"/>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1">
    <w:name w:val="Grid Table 6 Colorful - Accent 51"/>
    <w:basedOn w:val="TableNormal"/>
    <w:uiPriority w:val="51"/>
    <w:rsid w:val="00BF4753"/>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
    <w:name w:val="Grid Table 4 - Accent 11"/>
    <w:basedOn w:val="TableNormal"/>
    <w:uiPriority w:val="49"/>
    <w:rsid w:val="00BF4753"/>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ps">
    <w:name w:val="hps"/>
    <w:basedOn w:val="DefaultParagraphFont"/>
    <w:rsid w:val="00BF4753"/>
  </w:style>
  <w:style w:type="numbering" w:customStyle="1" w:styleId="NoList2">
    <w:name w:val="No List2"/>
    <w:next w:val="NoList"/>
    <w:uiPriority w:val="99"/>
    <w:semiHidden/>
    <w:unhideWhenUsed/>
    <w:rsid w:val="00BF4753"/>
  </w:style>
  <w:style w:type="character" w:customStyle="1" w:styleId="apple-converted-space">
    <w:name w:val="apple-converted-space"/>
    <w:basedOn w:val="DefaultParagraphFont"/>
    <w:rsid w:val="00BF4753"/>
  </w:style>
  <w:style w:type="numbering" w:customStyle="1" w:styleId="NoList3">
    <w:name w:val="No List3"/>
    <w:next w:val="NoList"/>
    <w:uiPriority w:val="99"/>
    <w:semiHidden/>
    <w:unhideWhenUsed/>
    <w:rsid w:val="00BF4753"/>
  </w:style>
  <w:style w:type="table" w:customStyle="1" w:styleId="TableGrid4">
    <w:name w:val="Table Grid4"/>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3">
    <w:name w:val="Grid Table 6 Colorful - Accent 13"/>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12">
    <w:name w:val="Grid Table 6 Colorful - Accent 12"/>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tyle3">
    <w:name w:val="Style3"/>
    <w:basedOn w:val="Heading3"/>
    <w:link w:val="Style3Char"/>
    <w:qFormat/>
    <w:rsid w:val="00BF4753"/>
    <w:pPr>
      <w:numPr>
        <w:ilvl w:val="0"/>
        <w:numId w:val="0"/>
      </w:numPr>
      <w:jc w:val="center"/>
    </w:pPr>
    <w:rPr>
      <w:rFonts w:cs="Times New Roman"/>
      <w:szCs w:val="32"/>
    </w:rPr>
  </w:style>
  <w:style w:type="table" w:customStyle="1" w:styleId="GridTable4-Accent51">
    <w:name w:val="Grid Table 4 - Accent 51"/>
    <w:basedOn w:val="TableNormal"/>
    <w:uiPriority w:val="49"/>
    <w:rsid w:val="00BF475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Style3Char">
    <w:name w:val="Style3 Char"/>
    <w:basedOn w:val="Heading3Char"/>
    <w:link w:val="Style3"/>
    <w:rsid w:val="00BF4753"/>
    <w:rPr>
      <w:rFonts w:ascii="Times New Roman" w:eastAsiaTheme="majorEastAsia" w:hAnsi="Times New Roman" w:cs="Times New Roman"/>
      <w:b/>
      <w:bCs/>
      <w:color w:val="000000" w:themeColor="text1"/>
      <w:sz w:val="28"/>
      <w:szCs w:val="32"/>
    </w:rPr>
  </w:style>
  <w:style w:type="table" w:customStyle="1" w:styleId="ListTable3-Accent51">
    <w:name w:val="List Table 3 - Accent 51"/>
    <w:basedOn w:val="TableNormal"/>
    <w:uiPriority w:val="48"/>
    <w:rsid w:val="00BF4753"/>
    <w:pPr>
      <w:spacing w:after="0" w:line="240" w:lineRule="auto"/>
    </w:pPr>
    <w:rPr>
      <w:rFonts w:eastAsiaTheme="minorEastAsia"/>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leGrid5">
    <w:name w:val="Table Grid5"/>
    <w:basedOn w:val="TableNormal"/>
    <w:next w:val="TableGrid"/>
    <w:uiPriority w:val="39"/>
    <w:rsid w:val="00BF475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BF4753"/>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har2">
    <w:name w:val="Char2"/>
    <w:aliases w:val="Char Char Char Char"/>
    <w:basedOn w:val="Normal"/>
    <w:next w:val="Normal"/>
    <w:link w:val="FootnoteReference"/>
    <w:uiPriority w:val="99"/>
    <w:rsid w:val="00BF4753"/>
    <w:pPr>
      <w:spacing w:line="240" w:lineRule="exact"/>
      <w:textAlignment w:val="baseline"/>
    </w:pPr>
    <w:rPr>
      <w:rFonts w:ascii="Garamond" w:eastAsiaTheme="minorHAnsi" w:hAnsi="Garamond"/>
      <w:sz w:val="20"/>
      <w:vertAlign w:val="superscript"/>
    </w:rPr>
  </w:style>
  <w:style w:type="character" w:styleId="HTMLCite">
    <w:name w:val="HTML Cite"/>
    <w:basedOn w:val="DefaultParagraphFont"/>
    <w:uiPriority w:val="99"/>
    <w:semiHidden/>
    <w:unhideWhenUsed/>
    <w:rsid w:val="00BF4753"/>
    <w:rPr>
      <w:i/>
      <w:iCs/>
    </w:rPr>
  </w:style>
  <w:style w:type="table" w:customStyle="1" w:styleId="ListTable1Light-Accent41">
    <w:name w:val="List Table 1 Light - Accent 41"/>
    <w:basedOn w:val="TableNormal"/>
    <w:uiPriority w:val="46"/>
    <w:rsid w:val="00BF4753"/>
    <w:pPr>
      <w:spacing w:after="0" w:line="240" w:lineRule="auto"/>
    </w:pPr>
    <w:rPr>
      <w:rFonts w:eastAsiaTheme="minorEastAsia"/>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21">
    <w:name w:val="Grid Table 6 Colorful - Accent 21"/>
    <w:basedOn w:val="TableNormal"/>
    <w:uiPriority w:val="51"/>
    <w:rsid w:val="00BF4753"/>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15">
    <w:name w:val="Grid Table 6 Colorful - Accent 15"/>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14">
    <w:name w:val="Grid Table 6 Colorful - Accent 14"/>
    <w:basedOn w:val="TableNormal"/>
    <w:next w:val="GridTable6Colorful-Accent11"/>
    <w:uiPriority w:val="51"/>
    <w:rsid w:val="00BF4753"/>
    <w:pPr>
      <w:spacing w:after="0" w:line="240" w:lineRule="auto"/>
    </w:pPr>
    <w:rPr>
      <w:rFonts w:eastAsiaTheme="minorEastAsia"/>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6Colorful-Accent1">
    <w:name w:val="Grid Table 6 Colorful Accent 1"/>
    <w:basedOn w:val="TableNormal"/>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FootnoteCharacters">
    <w:name w:val="Footnote Characters"/>
    <w:rsid w:val="00BF4753"/>
    <w:rPr>
      <w:rFonts w:ascii="Garamond" w:hAnsi="Garamond"/>
      <w:sz w:val="20"/>
      <w:vertAlign w:val="superscript"/>
    </w:rPr>
  </w:style>
  <w:style w:type="table" w:customStyle="1" w:styleId="TableGrid6">
    <w:name w:val="Table Grid6"/>
    <w:basedOn w:val="TableNormal"/>
    <w:next w:val="TableGrid"/>
    <w:uiPriority w:val="39"/>
    <w:rsid w:val="00BF475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6">
    <w:name w:val="Grid Table 6 Colorful - Accent 16"/>
    <w:basedOn w:val="TableNormal"/>
    <w:next w:val="GridTable6Colorful-Accent1"/>
    <w:uiPriority w:val="51"/>
    <w:rsid w:val="00BF4753"/>
    <w:pPr>
      <w:spacing w:after="0" w:line="240" w:lineRule="auto"/>
    </w:pPr>
    <w:rPr>
      <w:rFonts w:eastAsiaTheme="minorEastAsia"/>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1">
    <w:name w:val="Grid Table 6 Colorful - Accent 111"/>
    <w:basedOn w:val="TableNormal"/>
    <w:uiPriority w:val="51"/>
    <w:rsid w:val="00BF4753"/>
    <w:pPr>
      <w:spacing w:after="0" w:line="240" w:lineRule="auto"/>
    </w:pPr>
    <w:rPr>
      <w:rFonts w:eastAsiaTheme="minorEastAsia"/>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
    <w:name w:val="Table Grid7"/>
    <w:basedOn w:val="TableNormal"/>
    <w:next w:val="TableGrid"/>
    <w:uiPriority w:val="39"/>
    <w:rsid w:val="00BF475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3">
    <w:name w:val="Grid Table 6 Colorful - Accent 113"/>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4">
    <w:name w:val="Grid Table 6 Colorful - Accent 114"/>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7">
    <w:name w:val="Grid Table 6 Colorful - Accent 117"/>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
    <w:name w:val="Grid Table 6 Colorful - Accent 118"/>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4">
    <w:name w:val="No List4"/>
    <w:next w:val="NoList"/>
    <w:uiPriority w:val="99"/>
    <w:semiHidden/>
    <w:unhideWhenUsed/>
    <w:rsid w:val="00BF4753"/>
  </w:style>
  <w:style w:type="table" w:customStyle="1" w:styleId="TableGrid8">
    <w:name w:val="Table Grid8"/>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1">
    <w:name w:val="List Table 3 - Accent 111"/>
    <w:basedOn w:val="TableNormal"/>
    <w:uiPriority w:val="48"/>
    <w:rsid w:val="00BF4753"/>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2-Accent111">
    <w:name w:val="Grid Table 2 - Accent 111"/>
    <w:basedOn w:val="TableNormal"/>
    <w:uiPriority w:val="47"/>
    <w:rsid w:val="00BF4753"/>
    <w:pPr>
      <w:spacing w:after="0" w:line="240" w:lineRule="auto"/>
    </w:pPr>
    <w:rPr>
      <w:rFonts w:eastAsiaTheme="minorEastAsia"/>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111">
    <w:name w:val="Grid Table 1 Light - Accent 111"/>
    <w:basedOn w:val="TableNormal"/>
    <w:uiPriority w:val="46"/>
    <w:rsid w:val="00BF4753"/>
    <w:pPr>
      <w:spacing w:after="0" w:line="240" w:lineRule="auto"/>
    </w:pPr>
    <w:rPr>
      <w:rFonts w:eastAsiaTheme="minorEastAs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uiPriority w:val="46"/>
    <w:rsid w:val="00BF4753"/>
    <w:pPr>
      <w:spacing w:after="0" w:line="240" w:lineRule="auto"/>
    </w:pPr>
    <w:rPr>
      <w:rFonts w:eastAsiaTheme="minorEastAsia"/>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1">
    <w:name w:val="Grid Table 1 Light11"/>
    <w:basedOn w:val="TableNormal"/>
    <w:uiPriority w:val="46"/>
    <w:rsid w:val="00BF4753"/>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1">
    <w:name w:val="Plain Table 111"/>
    <w:basedOn w:val="TableNormal"/>
    <w:uiPriority w:val="41"/>
    <w:rsid w:val="00BF4753"/>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BF4753"/>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
    <w:name w:val="Table Grid Light11"/>
    <w:basedOn w:val="TableNormal"/>
    <w:uiPriority w:val="40"/>
    <w:rsid w:val="00BF4753"/>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2">
    <w:name w:val="Table Grid12"/>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F4753"/>
  </w:style>
  <w:style w:type="table" w:customStyle="1" w:styleId="TableGrid21">
    <w:name w:val="Table Grid21"/>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2">
    <w:name w:val="Grid Table 6 Colorful - Accent 112"/>
    <w:basedOn w:val="TableNormal"/>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11">
    <w:name w:val="Grid Table 6 Colorful - Accent 511"/>
    <w:basedOn w:val="TableNormal"/>
    <w:uiPriority w:val="51"/>
    <w:rsid w:val="00BF4753"/>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1">
    <w:name w:val="Grid Table 4 - Accent 111"/>
    <w:basedOn w:val="TableNormal"/>
    <w:uiPriority w:val="49"/>
    <w:rsid w:val="00BF4753"/>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NoList21">
    <w:name w:val="No List21"/>
    <w:next w:val="NoList"/>
    <w:uiPriority w:val="99"/>
    <w:semiHidden/>
    <w:unhideWhenUsed/>
    <w:rsid w:val="00BF4753"/>
  </w:style>
  <w:style w:type="table" w:customStyle="1" w:styleId="GridTable6Colorful-Accent115">
    <w:name w:val="Grid Table 6 Colorful - Accent 115"/>
    <w:basedOn w:val="TableNormal"/>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NoList31">
    <w:name w:val="No List31"/>
    <w:next w:val="NoList"/>
    <w:uiPriority w:val="99"/>
    <w:semiHidden/>
    <w:unhideWhenUsed/>
    <w:rsid w:val="00BF4753"/>
  </w:style>
  <w:style w:type="table" w:customStyle="1" w:styleId="TableGrid41">
    <w:name w:val="Table Grid41"/>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31">
    <w:name w:val="Grid Table 6 Colorful - Accent 131"/>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121">
    <w:name w:val="Grid Table 6 Colorful - Accent 121"/>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11">
    <w:name w:val="Grid Table 4 - Accent 511"/>
    <w:basedOn w:val="TableNormal"/>
    <w:uiPriority w:val="49"/>
    <w:rsid w:val="00BF475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3-Accent511">
    <w:name w:val="List Table 3 - Accent 511"/>
    <w:basedOn w:val="TableNormal"/>
    <w:uiPriority w:val="48"/>
    <w:rsid w:val="00BF4753"/>
    <w:pPr>
      <w:spacing w:after="0" w:line="240" w:lineRule="auto"/>
    </w:pPr>
    <w:rPr>
      <w:rFonts w:eastAsiaTheme="minorEastAsia"/>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leGrid51">
    <w:name w:val="Table Grid51"/>
    <w:basedOn w:val="TableNormal"/>
    <w:next w:val="TableGrid"/>
    <w:uiPriority w:val="39"/>
    <w:rsid w:val="00BF475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TableNormal"/>
    <w:uiPriority w:val="43"/>
    <w:rsid w:val="00BF4753"/>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1Light-Accent411">
    <w:name w:val="List Table 1 Light - Accent 411"/>
    <w:basedOn w:val="TableNormal"/>
    <w:uiPriority w:val="46"/>
    <w:rsid w:val="00BF4753"/>
    <w:pPr>
      <w:spacing w:after="0" w:line="240" w:lineRule="auto"/>
    </w:pPr>
    <w:rPr>
      <w:rFonts w:eastAsiaTheme="minorEastAsia"/>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211">
    <w:name w:val="Grid Table 6 Colorful - Accent 211"/>
    <w:basedOn w:val="TableNormal"/>
    <w:uiPriority w:val="51"/>
    <w:rsid w:val="00BF4753"/>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151">
    <w:name w:val="Grid Table 6 Colorful - Accent 151"/>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141">
    <w:name w:val="Grid Table 6 Colorful - Accent 141"/>
    <w:basedOn w:val="TableNormal"/>
    <w:next w:val="GridTable6Colorful-Accent11"/>
    <w:uiPriority w:val="51"/>
    <w:rsid w:val="00BF4753"/>
    <w:pPr>
      <w:spacing w:after="0" w:line="240" w:lineRule="auto"/>
    </w:pPr>
    <w:rPr>
      <w:rFonts w:eastAsiaTheme="minorEastAsia"/>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7">
    <w:name w:val="Grid Table 6 Colorful - Accent 17"/>
    <w:basedOn w:val="TableNormal"/>
    <w:next w:val="GridTable6Colorful-Accent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EndnoteText">
    <w:name w:val="endnote text"/>
    <w:basedOn w:val="Normal"/>
    <w:link w:val="EndnoteTextChar"/>
    <w:uiPriority w:val="99"/>
    <w:semiHidden/>
    <w:unhideWhenUsed/>
    <w:rsid w:val="00BF4753"/>
    <w:rPr>
      <w:sz w:val="20"/>
      <w:szCs w:val="20"/>
    </w:rPr>
  </w:style>
  <w:style w:type="character" w:customStyle="1" w:styleId="EndnoteTextChar">
    <w:name w:val="Endnote Text Char"/>
    <w:basedOn w:val="DefaultParagraphFont"/>
    <w:link w:val="EndnoteText"/>
    <w:uiPriority w:val="99"/>
    <w:semiHidden/>
    <w:rsid w:val="00BF4753"/>
    <w:rPr>
      <w:rFonts w:ascii="Times New Roman" w:eastAsiaTheme="minorEastAsia" w:hAnsi="Times New Roman"/>
      <w:sz w:val="20"/>
      <w:szCs w:val="20"/>
    </w:rPr>
  </w:style>
  <w:style w:type="character" w:styleId="EndnoteReference">
    <w:name w:val="endnote reference"/>
    <w:basedOn w:val="DefaultParagraphFont"/>
    <w:uiPriority w:val="99"/>
    <w:semiHidden/>
    <w:unhideWhenUsed/>
    <w:rsid w:val="00BF4753"/>
    <w:rPr>
      <w:vertAlign w:val="superscript"/>
    </w:rPr>
  </w:style>
  <w:style w:type="numbering" w:customStyle="1" w:styleId="NoList5">
    <w:name w:val="No List5"/>
    <w:next w:val="NoList"/>
    <w:uiPriority w:val="99"/>
    <w:semiHidden/>
    <w:unhideWhenUsed/>
    <w:rsid w:val="00BF4753"/>
  </w:style>
  <w:style w:type="table" w:customStyle="1" w:styleId="GridTable6Colorful1">
    <w:name w:val="Grid Table 6 Colorful1"/>
    <w:basedOn w:val="TableNormal"/>
    <w:next w:val="GridTable6Colorful"/>
    <w:uiPriority w:val="51"/>
    <w:rsid w:val="00BF4753"/>
    <w:pPr>
      <w:spacing w:after="0" w:line="240" w:lineRule="auto"/>
    </w:pPr>
    <w:rPr>
      <w:rFonts w:ascii="Times New Roman" w:eastAsia="Calibri" w:hAnsi="Times New Roman"/>
      <w:color w:val="000000"/>
      <w:sz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Accent12">
    <w:name w:val="List Table 3 - Accent 12"/>
    <w:basedOn w:val="TableNormal"/>
    <w:next w:val="ListTable3-Accent1"/>
    <w:uiPriority w:val="48"/>
    <w:rsid w:val="00BF4753"/>
    <w:pPr>
      <w:spacing w:after="0" w:line="240" w:lineRule="auto"/>
    </w:pPr>
    <w:rPr>
      <w:rFonts w:eastAsiaTheme="minorEastAsia"/>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GridTable2-Accent12">
    <w:name w:val="Grid Table 2 - Accent 12"/>
    <w:basedOn w:val="TableNormal"/>
    <w:next w:val="GridTable2-Accent1"/>
    <w:uiPriority w:val="47"/>
    <w:rsid w:val="00BF4753"/>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12">
    <w:name w:val="Grid Table 1 Light - Accent 12"/>
    <w:basedOn w:val="TableNormal"/>
    <w:next w:val="GridTable1Light-Accent1"/>
    <w:uiPriority w:val="46"/>
    <w:rsid w:val="00BF4753"/>
    <w:pPr>
      <w:spacing w:after="0" w:line="240" w:lineRule="auto"/>
    </w:pPr>
    <w:rPr>
      <w:rFonts w:eastAsiaTheme="minorEastAsi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BF4753"/>
    <w:pPr>
      <w:spacing w:after="0" w:line="240" w:lineRule="auto"/>
    </w:pPr>
    <w:rPr>
      <w:rFonts w:eastAsiaTheme="minorEastAsia"/>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2">
    <w:name w:val="Grid Table 1 Light2"/>
    <w:basedOn w:val="TableNormal"/>
    <w:next w:val="GridTable1Light"/>
    <w:uiPriority w:val="46"/>
    <w:rsid w:val="00BF4753"/>
    <w:pPr>
      <w:spacing w:after="0" w:line="240" w:lineRule="auto"/>
    </w:pPr>
    <w:rPr>
      <w:rFonts w:eastAsiaTheme="minorEastAsi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2">
    <w:name w:val="Plain Table 12"/>
    <w:basedOn w:val="TableNormal"/>
    <w:next w:val="PlainTable1"/>
    <w:uiPriority w:val="41"/>
    <w:rsid w:val="00BF4753"/>
    <w:pPr>
      <w:spacing w:after="0" w:line="240" w:lineRule="auto"/>
    </w:pPr>
    <w:rPr>
      <w:rFonts w:eastAsiaTheme="minorEastAsi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
    <w:name w:val="Plain Table 22"/>
    <w:basedOn w:val="TableNormal"/>
    <w:next w:val="PlainTable2"/>
    <w:uiPriority w:val="42"/>
    <w:rsid w:val="00BF4753"/>
    <w:pPr>
      <w:spacing w:after="0" w:line="240" w:lineRule="auto"/>
    </w:pPr>
    <w:rPr>
      <w:rFonts w:eastAsiaTheme="minorEastAsi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basedOn w:val="TableNormal"/>
    <w:next w:val="TableGridLight"/>
    <w:uiPriority w:val="40"/>
    <w:rsid w:val="00BF4753"/>
    <w:pPr>
      <w:spacing w:after="0" w:line="240" w:lineRule="auto"/>
    </w:pPr>
    <w:rPr>
      <w:rFonts w:eastAsiaTheme="minorEastAsi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
    <w:name w:val="No List12"/>
    <w:next w:val="NoList"/>
    <w:uiPriority w:val="99"/>
    <w:semiHidden/>
    <w:unhideWhenUsed/>
    <w:rsid w:val="00BF4753"/>
  </w:style>
  <w:style w:type="table" w:customStyle="1" w:styleId="GridTable6Colorful-Accent52">
    <w:name w:val="Grid Table 6 Colorful - Accent 52"/>
    <w:basedOn w:val="TableNormal"/>
    <w:next w:val="GridTable6Colorful-Accent5"/>
    <w:uiPriority w:val="51"/>
    <w:rsid w:val="00BF4753"/>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
    <w:name w:val="Grid Table 4 - Accent 12"/>
    <w:basedOn w:val="TableNormal"/>
    <w:next w:val="GridTable4-Accent1"/>
    <w:uiPriority w:val="49"/>
    <w:rsid w:val="00BF4753"/>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2">
    <w:name w:val="No List22"/>
    <w:next w:val="NoList"/>
    <w:uiPriority w:val="99"/>
    <w:semiHidden/>
    <w:unhideWhenUsed/>
    <w:rsid w:val="00BF4753"/>
  </w:style>
  <w:style w:type="numbering" w:customStyle="1" w:styleId="NoList32">
    <w:name w:val="No List32"/>
    <w:next w:val="NoList"/>
    <w:uiPriority w:val="99"/>
    <w:semiHidden/>
    <w:unhideWhenUsed/>
    <w:rsid w:val="00BF4753"/>
  </w:style>
  <w:style w:type="table" w:customStyle="1" w:styleId="GridTable4-Accent52">
    <w:name w:val="Grid Table 4 - Accent 52"/>
    <w:basedOn w:val="TableNormal"/>
    <w:next w:val="GridTable4-Accent5"/>
    <w:uiPriority w:val="49"/>
    <w:rsid w:val="00BF4753"/>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52">
    <w:name w:val="List Table 3 - Accent 52"/>
    <w:basedOn w:val="TableNormal"/>
    <w:next w:val="ListTable3-Accent5"/>
    <w:uiPriority w:val="48"/>
    <w:rsid w:val="00BF4753"/>
    <w:pPr>
      <w:spacing w:after="0" w:line="240" w:lineRule="auto"/>
    </w:pPr>
    <w:rPr>
      <w:rFonts w:eastAsiaTheme="minorEastAsia"/>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PlainTable32">
    <w:name w:val="Plain Table 32"/>
    <w:basedOn w:val="TableNormal"/>
    <w:next w:val="PlainTable3"/>
    <w:uiPriority w:val="43"/>
    <w:rsid w:val="00BF4753"/>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1Light-Accent42">
    <w:name w:val="List Table 1 Light - Accent 42"/>
    <w:basedOn w:val="TableNormal"/>
    <w:next w:val="ListTable1Light-Accent4"/>
    <w:uiPriority w:val="46"/>
    <w:rsid w:val="00BF4753"/>
    <w:pPr>
      <w:spacing w:after="0" w:line="240" w:lineRule="auto"/>
    </w:pPr>
    <w:rPr>
      <w:rFonts w:eastAsiaTheme="minorEastAsia"/>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22">
    <w:name w:val="Grid Table 6 Colorful - Accent 22"/>
    <w:basedOn w:val="TableNormal"/>
    <w:next w:val="GridTable6Colorful-Accent2"/>
    <w:uiPriority w:val="51"/>
    <w:rsid w:val="00BF4753"/>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18">
    <w:name w:val="Table Grid18"/>
    <w:basedOn w:val="TableNormal"/>
    <w:next w:val="TableGrid"/>
    <w:uiPriority w:val="59"/>
    <w:rsid w:val="00BF4753"/>
    <w:pPr>
      <w:spacing w:after="0" w:line="240" w:lineRule="auto"/>
    </w:pPr>
    <w:rPr>
      <w:rFonts w:ascii="Times New Roman" w:eastAsia="Calibri"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BF4753"/>
    <w:pPr>
      <w:spacing w:after="0" w:line="240" w:lineRule="auto"/>
    </w:pPr>
    <w:rPr>
      <w:rFonts w:eastAsiaTheme="minorEastAsia"/>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BF4753"/>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GridTable2-Accent1">
    <w:name w:val="Grid Table 2 Accent 1"/>
    <w:basedOn w:val="TableNormal"/>
    <w:uiPriority w:val="47"/>
    <w:rsid w:val="00BF4753"/>
    <w:pPr>
      <w:spacing w:after="0" w:line="240" w:lineRule="auto"/>
    </w:pPr>
    <w:rPr>
      <w:rFonts w:eastAsiaTheme="minorEastAsia"/>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BF4753"/>
    <w:pPr>
      <w:spacing w:after="0" w:line="240" w:lineRule="auto"/>
    </w:pPr>
    <w:rPr>
      <w:rFonts w:eastAsiaTheme="minorEastAs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F4753"/>
    <w:pPr>
      <w:spacing w:after="0" w:line="240" w:lineRule="auto"/>
    </w:pPr>
    <w:rPr>
      <w:rFonts w:eastAsiaTheme="minorEastAsia"/>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F4753"/>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BF4753"/>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F4753"/>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F4753"/>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6Colorful-Accent5">
    <w:name w:val="Grid Table 6 Colorful Accent 5"/>
    <w:basedOn w:val="TableNormal"/>
    <w:uiPriority w:val="51"/>
    <w:rsid w:val="00BF4753"/>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1">
    <w:name w:val="Grid Table 4 Accent 1"/>
    <w:basedOn w:val="TableNormal"/>
    <w:uiPriority w:val="49"/>
    <w:rsid w:val="00BF4753"/>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BF4753"/>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BF4753"/>
    <w:pPr>
      <w:spacing w:after="0" w:line="240" w:lineRule="auto"/>
    </w:pPr>
    <w:rPr>
      <w:rFonts w:eastAsiaTheme="minorEastAsia"/>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PlainTable3">
    <w:name w:val="Plain Table 3"/>
    <w:basedOn w:val="TableNormal"/>
    <w:uiPriority w:val="43"/>
    <w:rsid w:val="00BF4753"/>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Accent4">
    <w:name w:val="List Table 1 Light Accent 4"/>
    <w:basedOn w:val="TableNormal"/>
    <w:uiPriority w:val="46"/>
    <w:rsid w:val="00BF4753"/>
    <w:pPr>
      <w:spacing w:after="0" w:line="240" w:lineRule="auto"/>
    </w:pPr>
    <w:rPr>
      <w:rFonts w:eastAsiaTheme="minorEastAsia"/>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2">
    <w:name w:val="Grid Table 6 Colorful Accent 2"/>
    <w:basedOn w:val="TableNormal"/>
    <w:uiPriority w:val="51"/>
    <w:rsid w:val="00BF4753"/>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18">
    <w:name w:val="Grid Table 6 Colorful - Accent 18"/>
    <w:basedOn w:val="TableNormal"/>
    <w:next w:val="GridTable6Colorful-Accent1"/>
    <w:uiPriority w:val="51"/>
    <w:rsid w:val="00BF4753"/>
    <w:pPr>
      <w:spacing w:after="0" w:line="240" w:lineRule="auto"/>
    </w:pPr>
    <w:rPr>
      <w:rFonts w:eastAsiaTheme="minorEastAsia"/>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Virsraksts">
    <w:name w:val="Virsraksts"/>
    <w:basedOn w:val="Heading1"/>
    <w:link w:val="VirsrakstsChar"/>
    <w:qFormat/>
    <w:rsid w:val="00BF4753"/>
    <w:pPr>
      <w:ind w:left="361" w:hanging="360"/>
    </w:pPr>
  </w:style>
  <w:style w:type="character" w:customStyle="1" w:styleId="VirsrakstsChar">
    <w:name w:val="Virsraksts Char"/>
    <w:basedOn w:val="Heading1Char"/>
    <w:link w:val="Virsraksts"/>
    <w:rsid w:val="00BF4753"/>
    <w:rPr>
      <w:rFonts w:ascii="Times New Roman" w:eastAsia="Times New Roman" w:hAnsi="Times New Roman" w:cs="Times New Roman"/>
      <w:b/>
      <w:bCs/>
      <w:smallCaps/>
      <w:color w:val="000000"/>
      <w:sz w:val="36"/>
      <w:szCs w:val="36"/>
      <w:lang w:eastAsia="lv-LV"/>
      <w14:textOutline w14:w="9525" w14:cap="rnd" w14:cmpd="sng" w14:algn="ctr">
        <w14:noFill/>
        <w14:prstDash w14:val="solid"/>
        <w14:bevel/>
      </w14:textOutline>
    </w:rPr>
  </w:style>
  <w:style w:type="numbering" w:styleId="111111">
    <w:name w:val="Outline List 2"/>
    <w:basedOn w:val="NoList"/>
    <w:uiPriority w:val="99"/>
    <w:semiHidden/>
    <w:unhideWhenUsed/>
    <w:rsid w:val="00BF4753"/>
    <w:pPr>
      <w:numPr>
        <w:numId w:val="8"/>
      </w:numPr>
    </w:pPr>
  </w:style>
  <w:style w:type="table" w:customStyle="1" w:styleId="TableGrid13">
    <w:name w:val="Table Grid13"/>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BF475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F4753"/>
  </w:style>
  <w:style w:type="table" w:customStyle="1" w:styleId="GridTable6Colorful2">
    <w:name w:val="Grid Table 6 Colorful2"/>
    <w:basedOn w:val="TableNormal"/>
    <w:next w:val="GridTable6Colorful"/>
    <w:uiPriority w:val="51"/>
    <w:rsid w:val="00BF4753"/>
    <w:pPr>
      <w:spacing w:after="0" w:line="240" w:lineRule="auto"/>
    </w:pPr>
    <w:rPr>
      <w:rFonts w:ascii="Times New Roman" w:eastAsia="Calibri" w:hAnsi="Times New Roman"/>
      <w:color w:val="000000"/>
      <w:sz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3">
    <w:name w:val="No List13"/>
    <w:next w:val="NoList"/>
    <w:uiPriority w:val="99"/>
    <w:semiHidden/>
    <w:unhideWhenUsed/>
    <w:rsid w:val="00BF4753"/>
  </w:style>
  <w:style w:type="numbering" w:customStyle="1" w:styleId="NoList23">
    <w:name w:val="No List23"/>
    <w:next w:val="NoList"/>
    <w:uiPriority w:val="99"/>
    <w:semiHidden/>
    <w:unhideWhenUsed/>
    <w:rsid w:val="00BF4753"/>
  </w:style>
  <w:style w:type="numbering" w:customStyle="1" w:styleId="NoList33">
    <w:name w:val="No List33"/>
    <w:next w:val="NoList"/>
    <w:uiPriority w:val="99"/>
    <w:semiHidden/>
    <w:unhideWhenUsed/>
    <w:rsid w:val="00BF4753"/>
  </w:style>
  <w:style w:type="table" w:customStyle="1" w:styleId="GridTable4-Accent53">
    <w:name w:val="Grid Table 4 - Accent 53"/>
    <w:basedOn w:val="TableNormal"/>
    <w:next w:val="GridTable4-Accent5"/>
    <w:uiPriority w:val="49"/>
    <w:rsid w:val="00BF4753"/>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31">
    <w:name w:val="Grid Table 6 Colorful - Accent 1131"/>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41">
    <w:name w:val="Grid Table 6 Colorful - Accent 1141"/>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71">
    <w:name w:val="Grid Table 6 Colorful - Accent 1171"/>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1">
    <w:name w:val="Grid Table 6 Colorful - Accent 1181"/>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2">
    <w:name w:val="Grid Table 6 Colorful - Accent 512"/>
    <w:basedOn w:val="TableNormal"/>
    <w:uiPriority w:val="51"/>
    <w:rsid w:val="00BF4753"/>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1172">
    <w:name w:val="Grid Table 6 Colorful - Accent 1172"/>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2">
    <w:name w:val="Grid Table 6 Colorful - Accent 1182"/>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73">
    <w:name w:val="Grid Table 6 Colorful - Accent 1173"/>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3">
    <w:name w:val="Grid Table 6 Colorful - Accent 1183"/>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31">
    <w:name w:val="Grid Table 6 Colorful - Accent 11831"/>
    <w:basedOn w:val="TableNormal"/>
    <w:uiPriority w:val="51"/>
    <w:rsid w:val="00667944"/>
    <w:pPr>
      <w:spacing w:after="0" w:line="240" w:lineRule="auto"/>
    </w:pPr>
    <w:rPr>
      <w:rFonts w:ascii="Calibri" w:eastAsia="Times New Roman" w:hAnsi="Calibri"/>
      <w:color w:val="2E74B5"/>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7">
    <w:name w:val="No List7"/>
    <w:next w:val="NoList"/>
    <w:uiPriority w:val="99"/>
    <w:semiHidden/>
    <w:unhideWhenUsed/>
    <w:rsid w:val="00B6438E"/>
  </w:style>
  <w:style w:type="table" w:customStyle="1" w:styleId="GridTable6Colorful3">
    <w:name w:val="Grid Table 6 Colorful3"/>
    <w:basedOn w:val="TableNormal"/>
    <w:next w:val="GridTable6Colorful"/>
    <w:uiPriority w:val="51"/>
    <w:rsid w:val="00B6438E"/>
    <w:pPr>
      <w:spacing w:after="0" w:line="240" w:lineRule="auto"/>
    </w:pPr>
    <w:rPr>
      <w:rFonts w:ascii="Times New Roman" w:hAnsi="Times New Roman"/>
      <w:color w:val="000000" w:themeColor="text1"/>
      <w:sz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4">
    <w:name w:val="No List14"/>
    <w:next w:val="NoList"/>
    <w:uiPriority w:val="99"/>
    <w:semiHidden/>
    <w:unhideWhenUsed/>
    <w:rsid w:val="00B6438E"/>
  </w:style>
  <w:style w:type="numbering" w:customStyle="1" w:styleId="NoList24">
    <w:name w:val="No List24"/>
    <w:next w:val="NoList"/>
    <w:uiPriority w:val="99"/>
    <w:semiHidden/>
    <w:unhideWhenUsed/>
    <w:rsid w:val="00B6438E"/>
  </w:style>
  <w:style w:type="numbering" w:customStyle="1" w:styleId="NoList34">
    <w:name w:val="No List34"/>
    <w:next w:val="NoList"/>
    <w:uiPriority w:val="99"/>
    <w:semiHidden/>
    <w:unhideWhenUsed/>
    <w:rsid w:val="00B6438E"/>
  </w:style>
  <w:style w:type="table" w:customStyle="1" w:styleId="GridTable4-Accent54">
    <w:name w:val="Grid Table 4 - Accent 54"/>
    <w:basedOn w:val="TableNormal"/>
    <w:next w:val="GridTable4-Accent5"/>
    <w:uiPriority w:val="49"/>
    <w:rsid w:val="00B6438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DefaultParagraphFont"/>
    <w:uiPriority w:val="99"/>
    <w:semiHidden/>
    <w:unhideWhenUsed/>
    <w:rsid w:val="00787972"/>
    <w:rPr>
      <w:color w:val="605E5C"/>
      <w:shd w:val="clear" w:color="auto" w:fill="E1DFDD"/>
    </w:rPr>
  </w:style>
  <w:style w:type="table" w:customStyle="1" w:styleId="TableGrid112">
    <w:name w:val="Table Grid112"/>
    <w:basedOn w:val="TableNormal"/>
    <w:next w:val="TableGrid"/>
    <w:uiPriority w:val="39"/>
    <w:rsid w:val="00EB7321"/>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EB7321"/>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577A9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577A9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39"/>
    <w:rsid w:val="00C0034E"/>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12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74">
    <w:name w:val="Grid Table 6 Colorful - Accent 1174"/>
    <w:basedOn w:val="TableNormal"/>
    <w:uiPriority w:val="51"/>
    <w:rsid w:val="000F4627"/>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4">
    <w:name w:val="Grid Table 6 Colorful - Accent 1184"/>
    <w:basedOn w:val="TableNormal"/>
    <w:uiPriority w:val="51"/>
    <w:rsid w:val="000F4627"/>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3">
    <w:name w:val="Grid Table 6 Colorful - Accent 513"/>
    <w:basedOn w:val="TableNormal"/>
    <w:uiPriority w:val="51"/>
    <w:rsid w:val="000F4627"/>
    <w:pPr>
      <w:spacing w:after="0" w:line="240" w:lineRule="auto"/>
    </w:pPr>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75">
    <w:name w:val="Grid Table 6 Colorful - Accent 1175"/>
    <w:basedOn w:val="TableNormal"/>
    <w:uiPriority w:val="51"/>
    <w:rsid w:val="005346E4"/>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5">
    <w:name w:val="Grid Table 6 Colorful - Accent 1185"/>
    <w:basedOn w:val="TableNormal"/>
    <w:uiPriority w:val="51"/>
    <w:rsid w:val="005346E4"/>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UnresolvedMention">
    <w:name w:val="Unresolved Mention"/>
    <w:basedOn w:val="DefaultParagraphFont"/>
    <w:uiPriority w:val="99"/>
    <w:semiHidden/>
    <w:unhideWhenUsed/>
    <w:rsid w:val="0031227F"/>
    <w:rPr>
      <w:color w:val="605E5C"/>
      <w:shd w:val="clear" w:color="auto" w:fill="E1DFDD"/>
    </w:rPr>
  </w:style>
  <w:style w:type="table" w:customStyle="1" w:styleId="TableGrid10">
    <w:name w:val="Table Grid10"/>
    <w:basedOn w:val="TableNormal"/>
    <w:next w:val="TableGrid"/>
    <w:uiPriority w:val="39"/>
    <w:rsid w:val="003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9">
    <w:name w:val="Grid Table 6 Colorful - Accent 19"/>
    <w:basedOn w:val="TableNormal"/>
    <w:next w:val="GridTable6Colorful-Accent1"/>
    <w:uiPriority w:val="51"/>
    <w:rsid w:val="0031227F"/>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ulasgalvenesrinda">
    <w:name w:val="Tabulas galvenes rinda"/>
    <w:basedOn w:val="Normal"/>
    <w:qFormat/>
    <w:rsid w:val="003063D3"/>
    <w:pPr>
      <w:keepNext/>
      <w:keepLines/>
      <w:ind w:firstLine="0"/>
      <w:jc w:val="center"/>
    </w:pPr>
    <w:rPr>
      <w:rFonts w:eastAsia="Times New Roman" w:cs="Times New Roman"/>
      <w:b/>
      <w:iCs/>
      <w:sz w:val="20"/>
      <w:szCs w:val="20"/>
      <w:lang w:eastAsia="lv-LV"/>
    </w:rPr>
  </w:style>
  <w:style w:type="paragraph" w:customStyle="1" w:styleId="Attls">
    <w:name w:val="Attēls"/>
    <w:basedOn w:val="Normal"/>
    <w:qFormat/>
    <w:rsid w:val="003063D3"/>
    <w:pPr>
      <w:keepNext/>
      <w:spacing w:before="120" w:after="120"/>
      <w:ind w:firstLine="0"/>
      <w:jc w:val="center"/>
    </w:pPr>
    <w:rPr>
      <w:rFonts w:eastAsia="Times New Roman" w:cs="Times New Roman"/>
      <w:iCs/>
      <w:noProof/>
      <w:sz w:val="24"/>
      <w:szCs w:val="20"/>
      <w:lang w:eastAsia="x-none"/>
    </w:rPr>
  </w:style>
  <w:style w:type="paragraph" w:customStyle="1" w:styleId="Tabulasnosaukums">
    <w:name w:val="Tabulas nosaukums"/>
    <w:basedOn w:val="Normal"/>
    <w:qFormat/>
    <w:rsid w:val="003063D3"/>
    <w:pPr>
      <w:keepNext/>
      <w:spacing w:before="240" w:after="120"/>
      <w:jc w:val="right"/>
    </w:pPr>
    <w:rPr>
      <w:rFonts w:eastAsia="Times New Roman" w:cs="Times New Roman"/>
      <w:b/>
      <w:i/>
      <w:sz w:val="24"/>
      <w:szCs w:val="20"/>
      <w:lang w:eastAsia="x-none"/>
    </w:rPr>
  </w:style>
  <w:style w:type="paragraph" w:customStyle="1" w:styleId="Attlanosaukums">
    <w:name w:val="Attēla nosaukums"/>
    <w:basedOn w:val="Normal"/>
    <w:qFormat/>
    <w:rsid w:val="003063D3"/>
    <w:pPr>
      <w:spacing w:before="60" w:after="120"/>
      <w:jc w:val="center"/>
    </w:pPr>
    <w:rPr>
      <w:rFonts w:eastAsia="Times New Roman" w:cs="Times New Roman"/>
      <w:b/>
      <w:i/>
      <w:sz w:val="24"/>
      <w:szCs w:val="24"/>
      <w:lang w:eastAsia="x-none"/>
    </w:rPr>
  </w:style>
  <w:style w:type="paragraph" w:customStyle="1" w:styleId="Tabulasteksts">
    <w:name w:val="Tabulas teksts"/>
    <w:basedOn w:val="Normal"/>
    <w:rsid w:val="003063D3"/>
    <w:pPr>
      <w:ind w:firstLine="0"/>
      <w:jc w:val="left"/>
    </w:pPr>
    <w:rPr>
      <w:rFonts w:eastAsia="Times New Roman" w:cs="Times New Roman"/>
      <w:iCs/>
      <w:color w:val="000000"/>
      <w:sz w:val="20"/>
      <w:szCs w:val="20"/>
      <w:lang w:eastAsia="x-none"/>
    </w:rPr>
  </w:style>
  <w:style w:type="numbering" w:customStyle="1" w:styleId="NoList8">
    <w:name w:val="No List8"/>
    <w:next w:val="NoList"/>
    <w:uiPriority w:val="99"/>
    <w:semiHidden/>
    <w:unhideWhenUsed/>
    <w:rsid w:val="006923DF"/>
  </w:style>
  <w:style w:type="numbering" w:customStyle="1" w:styleId="NoList15">
    <w:name w:val="No List15"/>
    <w:next w:val="NoList"/>
    <w:uiPriority w:val="99"/>
    <w:semiHidden/>
    <w:unhideWhenUsed/>
    <w:rsid w:val="006923DF"/>
  </w:style>
  <w:style w:type="numbering" w:customStyle="1" w:styleId="NoList25">
    <w:name w:val="No List25"/>
    <w:next w:val="NoList"/>
    <w:uiPriority w:val="99"/>
    <w:semiHidden/>
    <w:unhideWhenUsed/>
    <w:rsid w:val="006923DF"/>
  </w:style>
  <w:style w:type="numbering" w:customStyle="1" w:styleId="NoList35">
    <w:name w:val="No List35"/>
    <w:next w:val="NoList"/>
    <w:uiPriority w:val="99"/>
    <w:semiHidden/>
    <w:unhideWhenUsed/>
    <w:rsid w:val="006923DF"/>
  </w:style>
  <w:style w:type="table" w:customStyle="1" w:styleId="TableGrid14">
    <w:name w:val="Table Grid14"/>
    <w:basedOn w:val="TableNormal"/>
    <w:next w:val="TableGrid"/>
    <w:uiPriority w:val="39"/>
    <w:rsid w:val="00594BC3"/>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1301">
      <w:bodyDiv w:val="1"/>
      <w:marLeft w:val="0"/>
      <w:marRight w:val="0"/>
      <w:marTop w:val="0"/>
      <w:marBottom w:val="0"/>
      <w:divBdr>
        <w:top w:val="none" w:sz="0" w:space="0" w:color="auto"/>
        <w:left w:val="none" w:sz="0" w:space="0" w:color="auto"/>
        <w:bottom w:val="none" w:sz="0" w:space="0" w:color="auto"/>
        <w:right w:val="none" w:sz="0" w:space="0" w:color="auto"/>
      </w:divBdr>
    </w:div>
    <w:div w:id="406004426">
      <w:bodyDiv w:val="1"/>
      <w:marLeft w:val="0"/>
      <w:marRight w:val="0"/>
      <w:marTop w:val="0"/>
      <w:marBottom w:val="0"/>
      <w:divBdr>
        <w:top w:val="none" w:sz="0" w:space="0" w:color="auto"/>
        <w:left w:val="none" w:sz="0" w:space="0" w:color="auto"/>
        <w:bottom w:val="none" w:sz="0" w:space="0" w:color="auto"/>
        <w:right w:val="none" w:sz="0" w:space="0" w:color="auto"/>
      </w:divBdr>
    </w:div>
    <w:div w:id="475728990">
      <w:bodyDiv w:val="1"/>
      <w:marLeft w:val="0"/>
      <w:marRight w:val="0"/>
      <w:marTop w:val="0"/>
      <w:marBottom w:val="0"/>
      <w:divBdr>
        <w:top w:val="none" w:sz="0" w:space="0" w:color="auto"/>
        <w:left w:val="none" w:sz="0" w:space="0" w:color="auto"/>
        <w:bottom w:val="none" w:sz="0" w:space="0" w:color="auto"/>
        <w:right w:val="none" w:sz="0" w:space="0" w:color="auto"/>
      </w:divBdr>
    </w:div>
    <w:div w:id="523709094">
      <w:bodyDiv w:val="1"/>
      <w:marLeft w:val="0"/>
      <w:marRight w:val="0"/>
      <w:marTop w:val="0"/>
      <w:marBottom w:val="0"/>
      <w:divBdr>
        <w:top w:val="none" w:sz="0" w:space="0" w:color="auto"/>
        <w:left w:val="none" w:sz="0" w:space="0" w:color="auto"/>
        <w:bottom w:val="none" w:sz="0" w:space="0" w:color="auto"/>
        <w:right w:val="none" w:sz="0" w:space="0" w:color="auto"/>
      </w:divBdr>
    </w:div>
    <w:div w:id="877936054">
      <w:bodyDiv w:val="1"/>
      <w:marLeft w:val="0"/>
      <w:marRight w:val="0"/>
      <w:marTop w:val="0"/>
      <w:marBottom w:val="0"/>
      <w:divBdr>
        <w:top w:val="none" w:sz="0" w:space="0" w:color="auto"/>
        <w:left w:val="none" w:sz="0" w:space="0" w:color="auto"/>
        <w:bottom w:val="none" w:sz="0" w:space="0" w:color="auto"/>
        <w:right w:val="none" w:sz="0" w:space="0" w:color="auto"/>
      </w:divBdr>
    </w:div>
    <w:div w:id="1003821125">
      <w:bodyDiv w:val="1"/>
      <w:marLeft w:val="0"/>
      <w:marRight w:val="0"/>
      <w:marTop w:val="0"/>
      <w:marBottom w:val="0"/>
      <w:divBdr>
        <w:top w:val="none" w:sz="0" w:space="0" w:color="auto"/>
        <w:left w:val="none" w:sz="0" w:space="0" w:color="auto"/>
        <w:bottom w:val="none" w:sz="0" w:space="0" w:color="auto"/>
        <w:right w:val="none" w:sz="0" w:space="0" w:color="auto"/>
      </w:divBdr>
    </w:div>
    <w:div w:id="1055619334">
      <w:bodyDiv w:val="1"/>
      <w:marLeft w:val="0"/>
      <w:marRight w:val="0"/>
      <w:marTop w:val="0"/>
      <w:marBottom w:val="0"/>
      <w:divBdr>
        <w:top w:val="none" w:sz="0" w:space="0" w:color="auto"/>
        <w:left w:val="none" w:sz="0" w:space="0" w:color="auto"/>
        <w:bottom w:val="none" w:sz="0" w:space="0" w:color="auto"/>
        <w:right w:val="none" w:sz="0" w:space="0" w:color="auto"/>
      </w:divBdr>
    </w:div>
    <w:div w:id="1158225318">
      <w:bodyDiv w:val="1"/>
      <w:marLeft w:val="0"/>
      <w:marRight w:val="0"/>
      <w:marTop w:val="0"/>
      <w:marBottom w:val="0"/>
      <w:divBdr>
        <w:top w:val="none" w:sz="0" w:space="0" w:color="auto"/>
        <w:left w:val="none" w:sz="0" w:space="0" w:color="auto"/>
        <w:bottom w:val="none" w:sz="0" w:space="0" w:color="auto"/>
        <w:right w:val="none" w:sz="0" w:space="0" w:color="auto"/>
      </w:divBdr>
    </w:div>
    <w:div w:id="1212882032">
      <w:bodyDiv w:val="1"/>
      <w:marLeft w:val="0"/>
      <w:marRight w:val="0"/>
      <w:marTop w:val="0"/>
      <w:marBottom w:val="0"/>
      <w:divBdr>
        <w:top w:val="none" w:sz="0" w:space="0" w:color="auto"/>
        <w:left w:val="none" w:sz="0" w:space="0" w:color="auto"/>
        <w:bottom w:val="none" w:sz="0" w:space="0" w:color="auto"/>
        <w:right w:val="none" w:sz="0" w:space="0" w:color="auto"/>
      </w:divBdr>
    </w:div>
    <w:div w:id="1397119414">
      <w:bodyDiv w:val="1"/>
      <w:marLeft w:val="0"/>
      <w:marRight w:val="0"/>
      <w:marTop w:val="0"/>
      <w:marBottom w:val="0"/>
      <w:divBdr>
        <w:top w:val="none" w:sz="0" w:space="0" w:color="auto"/>
        <w:left w:val="none" w:sz="0" w:space="0" w:color="auto"/>
        <w:bottom w:val="none" w:sz="0" w:space="0" w:color="auto"/>
        <w:right w:val="none" w:sz="0" w:space="0" w:color="auto"/>
      </w:divBdr>
    </w:div>
    <w:div w:id="1457144541">
      <w:bodyDiv w:val="1"/>
      <w:marLeft w:val="0"/>
      <w:marRight w:val="0"/>
      <w:marTop w:val="0"/>
      <w:marBottom w:val="0"/>
      <w:divBdr>
        <w:top w:val="none" w:sz="0" w:space="0" w:color="auto"/>
        <w:left w:val="none" w:sz="0" w:space="0" w:color="auto"/>
        <w:bottom w:val="none" w:sz="0" w:space="0" w:color="auto"/>
        <w:right w:val="none" w:sz="0" w:space="0" w:color="auto"/>
      </w:divBdr>
    </w:div>
    <w:div w:id="1541089014">
      <w:bodyDiv w:val="1"/>
      <w:marLeft w:val="0"/>
      <w:marRight w:val="0"/>
      <w:marTop w:val="0"/>
      <w:marBottom w:val="0"/>
      <w:divBdr>
        <w:top w:val="none" w:sz="0" w:space="0" w:color="auto"/>
        <w:left w:val="none" w:sz="0" w:space="0" w:color="auto"/>
        <w:bottom w:val="none" w:sz="0" w:space="0" w:color="auto"/>
        <w:right w:val="none" w:sz="0" w:space="0" w:color="auto"/>
      </w:divBdr>
    </w:div>
    <w:div w:id="1575159803">
      <w:bodyDiv w:val="1"/>
      <w:marLeft w:val="0"/>
      <w:marRight w:val="0"/>
      <w:marTop w:val="0"/>
      <w:marBottom w:val="0"/>
      <w:divBdr>
        <w:top w:val="none" w:sz="0" w:space="0" w:color="auto"/>
        <w:left w:val="none" w:sz="0" w:space="0" w:color="auto"/>
        <w:bottom w:val="none" w:sz="0" w:space="0" w:color="auto"/>
        <w:right w:val="none" w:sz="0" w:space="0" w:color="auto"/>
      </w:divBdr>
    </w:div>
    <w:div w:id="1615942546">
      <w:bodyDiv w:val="1"/>
      <w:marLeft w:val="0"/>
      <w:marRight w:val="0"/>
      <w:marTop w:val="0"/>
      <w:marBottom w:val="0"/>
      <w:divBdr>
        <w:top w:val="none" w:sz="0" w:space="0" w:color="auto"/>
        <w:left w:val="none" w:sz="0" w:space="0" w:color="auto"/>
        <w:bottom w:val="none" w:sz="0" w:space="0" w:color="auto"/>
        <w:right w:val="none" w:sz="0" w:space="0" w:color="auto"/>
      </w:divBdr>
    </w:div>
    <w:div w:id="1636793480">
      <w:bodyDiv w:val="1"/>
      <w:marLeft w:val="0"/>
      <w:marRight w:val="0"/>
      <w:marTop w:val="0"/>
      <w:marBottom w:val="0"/>
      <w:divBdr>
        <w:top w:val="none" w:sz="0" w:space="0" w:color="auto"/>
        <w:left w:val="none" w:sz="0" w:space="0" w:color="auto"/>
        <w:bottom w:val="none" w:sz="0" w:space="0" w:color="auto"/>
        <w:right w:val="none" w:sz="0" w:space="0" w:color="auto"/>
      </w:divBdr>
    </w:div>
    <w:div w:id="1636985143">
      <w:bodyDiv w:val="1"/>
      <w:marLeft w:val="0"/>
      <w:marRight w:val="0"/>
      <w:marTop w:val="0"/>
      <w:marBottom w:val="0"/>
      <w:divBdr>
        <w:top w:val="none" w:sz="0" w:space="0" w:color="auto"/>
        <w:left w:val="none" w:sz="0" w:space="0" w:color="auto"/>
        <w:bottom w:val="none" w:sz="0" w:space="0" w:color="auto"/>
        <w:right w:val="none" w:sz="0" w:space="0" w:color="auto"/>
      </w:divBdr>
    </w:div>
    <w:div w:id="1815442042">
      <w:bodyDiv w:val="1"/>
      <w:marLeft w:val="0"/>
      <w:marRight w:val="0"/>
      <w:marTop w:val="0"/>
      <w:marBottom w:val="0"/>
      <w:divBdr>
        <w:top w:val="none" w:sz="0" w:space="0" w:color="auto"/>
        <w:left w:val="none" w:sz="0" w:space="0" w:color="auto"/>
        <w:bottom w:val="none" w:sz="0" w:space="0" w:color="auto"/>
        <w:right w:val="none" w:sz="0" w:space="0" w:color="auto"/>
      </w:divBdr>
    </w:div>
    <w:div w:id="1847789909">
      <w:bodyDiv w:val="1"/>
      <w:marLeft w:val="0"/>
      <w:marRight w:val="0"/>
      <w:marTop w:val="0"/>
      <w:marBottom w:val="0"/>
      <w:divBdr>
        <w:top w:val="none" w:sz="0" w:space="0" w:color="auto"/>
        <w:left w:val="none" w:sz="0" w:space="0" w:color="auto"/>
        <w:bottom w:val="none" w:sz="0" w:space="0" w:color="auto"/>
        <w:right w:val="none" w:sz="0" w:space="0" w:color="auto"/>
      </w:divBdr>
    </w:div>
    <w:div w:id="1901287790">
      <w:bodyDiv w:val="1"/>
      <w:marLeft w:val="0"/>
      <w:marRight w:val="0"/>
      <w:marTop w:val="0"/>
      <w:marBottom w:val="0"/>
      <w:divBdr>
        <w:top w:val="none" w:sz="0" w:space="0" w:color="auto"/>
        <w:left w:val="none" w:sz="0" w:space="0" w:color="auto"/>
        <w:bottom w:val="none" w:sz="0" w:space="0" w:color="auto"/>
        <w:right w:val="none" w:sz="0" w:space="0" w:color="auto"/>
      </w:divBdr>
    </w:div>
    <w:div w:id="1930120909">
      <w:bodyDiv w:val="1"/>
      <w:marLeft w:val="0"/>
      <w:marRight w:val="0"/>
      <w:marTop w:val="0"/>
      <w:marBottom w:val="0"/>
      <w:divBdr>
        <w:top w:val="none" w:sz="0" w:space="0" w:color="auto"/>
        <w:left w:val="none" w:sz="0" w:space="0" w:color="auto"/>
        <w:bottom w:val="none" w:sz="0" w:space="0" w:color="auto"/>
        <w:right w:val="none" w:sz="0" w:space="0" w:color="auto"/>
      </w:divBdr>
    </w:div>
    <w:div w:id="214566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5.png"/><Relationship Id="rId39" Type="http://schemas.openxmlformats.org/officeDocument/2006/relationships/chart" Target="charts/chart16.xml"/><Relationship Id="rId21" Type="http://schemas.openxmlformats.org/officeDocument/2006/relationships/footer" Target="footer1.xml"/><Relationship Id="rId34" Type="http://schemas.openxmlformats.org/officeDocument/2006/relationships/header" Target="header2.xml"/><Relationship Id="rId47" Type="http://schemas.openxmlformats.org/officeDocument/2006/relationships/header" Target="header4.xml"/><Relationship Id="rId50" Type="http://schemas.openxmlformats.org/officeDocument/2006/relationships/header" Target="header5.xml"/><Relationship Id="rId55" Type="http://schemas.openxmlformats.org/officeDocument/2006/relationships/footer" Target="footer6.xml"/><Relationship Id="rId63" Type="http://schemas.openxmlformats.org/officeDocument/2006/relationships/footer" Target="footer9.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6.xml"/><Relationship Id="rId29" Type="http://schemas.openxmlformats.org/officeDocument/2006/relationships/image" Target="media/image8.png"/><Relationship Id="rId11" Type="http://schemas.openxmlformats.org/officeDocument/2006/relationships/chart" Target="charts/chart1.xml"/><Relationship Id="rId24" Type="http://schemas.openxmlformats.org/officeDocument/2006/relationships/image" Target="media/image3.png"/><Relationship Id="rId32" Type="http://schemas.openxmlformats.org/officeDocument/2006/relationships/header" Target="header1.xml"/><Relationship Id="rId37" Type="http://schemas.openxmlformats.org/officeDocument/2006/relationships/chart" Target="charts/chart14.xml"/><Relationship Id="rId45" Type="http://schemas.openxmlformats.org/officeDocument/2006/relationships/image" Target="media/image12.png"/><Relationship Id="rId53" Type="http://schemas.openxmlformats.org/officeDocument/2006/relationships/header" Target="header6.xml"/><Relationship Id="rId58" Type="http://schemas.openxmlformats.org/officeDocument/2006/relationships/hyperlink" Target="https://likumi.lv/ta/id/87480-lauksaimniecibas-un-lauku-attistibas-likums" TargetMode="External"/><Relationship Id="rId5" Type="http://schemas.openxmlformats.org/officeDocument/2006/relationships/settings" Target="settings.xml"/><Relationship Id="rId61" Type="http://schemas.openxmlformats.org/officeDocument/2006/relationships/footer" Target="footer8.xml"/><Relationship Id="rId19" Type="http://schemas.openxmlformats.org/officeDocument/2006/relationships/chart" Target="charts/chart9.xml"/><Relationship Id="rId14" Type="http://schemas.openxmlformats.org/officeDocument/2006/relationships/chart" Target="charts/chart4.xml"/><Relationship Id="rId22" Type="http://schemas.openxmlformats.org/officeDocument/2006/relationships/footer" Target="footer2.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chart" Target="charts/chart12.xml"/><Relationship Id="rId48" Type="http://schemas.openxmlformats.org/officeDocument/2006/relationships/footer" Target="footer4.xml"/><Relationship Id="rId56" Type="http://schemas.openxmlformats.org/officeDocument/2006/relationships/footer" Target="footer7.xm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hart" Target="charts/chart17.xml"/><Relationship Id="rId3" Type="http://schemas.openxmlformats.org/officeDocument/2006/relationships/numbering" Target="numbering.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4.png"/><Relationship Id="rId33" Type="http://schemas.openxmlformats.org/officeDocument/2006/relationships/footer" Target="footer3.xml"/><Relationship Id="rId38" Type="http://schemas.openxmlformats.org/officeDocument/2006/relationships/chart" Target="charts/chart15.xml"/><Relationship Id="rId46" Type="http://schemas.openxmlformats.org/officeDocument/2006/relationships/header" Target="header3.xml"/><Relationship Id="rId59" Type="http://schemas.openxmlformats.org/officeDocument/2006/relationships/hyperlink" Target="https://likumi.lv/ta/id/270323-attistibas-finansu-institucijas-likums" TargetMode="External"/><Relationship Id="rId20" Type="http://schemas.openxmlformats.org/officeDocument/2006/relationships/chart" Target="charts/chart10.xml"/><Relationship Id="rId54" Type="http://schemas.openxmlformats.org/officeDocument/2006/relationships/header" Target="header7.xml"/><Relationship Id="rId62" Type="http://schemas.openxmlformats.org/officeDocument/2006/relationships/hyperlink" Target="mailto:klinta.krauze@fm.gov.lv"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chart" Target="charts/chart13.xml"/><Relationship Id="rId49" Type="http://schemas.openxmlformats.org/officeDocument/2006/relationships/footer" Target="footer5.xml"/><Relationship Id="rId57" Type="http://schemas.openxmlformats.org/officeDocument/2006/relationships/header" Target="header8.xml"/><Relationship Id="rId10" Type="http://schemas.openxmlformats.org/officeDocument/2006/relationships/image" Target="media/image2.jpeg"/><Relationship Id="rId31" Type="http://schemas.openxmlformats.org/officeDocument/2006/relationships/chart" Target="charts/chart11.xml"/><Relationship Id="rId44" Type="http://schemas.openxmlformats.org/officeDocument/2006/relationships/image" Target="media/image11.png"/><Relationship Id="rId52" Type="http://schemas.openxmlformats.org/officeDocument/2006/relationships/chart" Target="charts/chart18.xml"/><Relationship Id="rId60" Type="http://schemas.openxmlformats.org/officeDocument/2006/relationships/image" Target="media/image10.pn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50370" TargetMode="External"/><Relationship Id="rId3" Type="http://schemas.openxmlformats.org/officeDocument/2006/relationships/hyperlink" Target="https://www.consilium.europa.eu/media/70386/st06645-re01-en24.pdf" TargetMode="External"/><Relationship Id="rId7" Type="http://schemas.openxmlformats.org/officeDocument/2006/relationships/hyperlink" Target="https://likumi.lv/ta/id/348453-grozijumi-pateretaju-tiesibu-aizsardzibas-likuma" TargetMode="External"/><Relationship Id="rId2" Type="http://schemas.openxmlformats.org/officeDocument/2006/relationships/hyperlink" Target="https://data.consilium.europa.eu/doc/document/ST-9839-2023-REV-1/lv/pdf" TargetMode="External"/><Relationship Id="rId1" Type="http://schemas.openxmlformats.org/officeDocument/2006/relationships/hyperlink" Target="https://www.consilium.europa.eu/en/press/press-releases/2024/02/10/economic-governance-review-council-and-parliament-strike-deal-on-reform-of-fiscal-rules/" TargetMode="External"/><Relationship Id="rId6" Type="http://schemas.openxmlformats.org/officeDocument/2006/relationships/hyperlink" Target="https://likumi.lv/ta/id/348559-grozijumi-pievienotas-vertibas-nodokla-likuma" TargetMode="External"/><Relationship Id="rId5" Type="http://schemas.openxmlformats.org/officeDocument/2006/relationships/hyperlink" Target="https://likumi.lv/ta/id/348551-grozijumi-likuma-par-akcizes-nodokli-" TargetMode="External"/><Relationship Id="rId10" Type="http://schemas.openxmlformats.org/officeDocument/2006/relationships/hyperlink" Target="https://www.csb.gov.lv/lv/statistika/klasifikacijas/institucionalo-sektoru-klasifikacija/kodi" TargetMode="External"/><Relationship Id="rId4" Type="http://schemas.openxmlformats.org/officeDocument/2006/relationships/hyperlink" Target="https://www.mk.gov.lv/lv/media/16704/download?attachment" TargetMode="External"/><Relationship Id="rId9" Type="http://schemas.openxmlformats.org/officeDocument/2006/relationships/hyperlink" Target="https://likumi.lv/ta/id/348453-grozijumi-pateretaju-tiesibu-aizsardzibas-likum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5.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fk\tand\TAND\FISK&#256;L&#256;S%20ANAL&#298;ZES%20UN%20PROGNOZ&#274;&#352;ANAS%20NODA&#315;A\__STABILIT&#256;TES%20PROGRAMMA\2024-2028%20STABILIT&#256;TES%20PROGRAMMA\_SADA&#315;AS\6.1_Publisko%20finan&#353;u%20ilgtermi&#326;a%20att&#299;st&#299;bas%20scen&#257;rijs\Grafiki_SP_ilgsp&#275;ja_04042024.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fk\tand\TAND\FISK&#256;L&#256;S%20ANAL&#298;ZES%20UN%20PROGNOZ&#274;&#352;ANAS%20NODA&#315;A\__STABILIT&#256;TES%20PROGRAMMA\2024-2028%20STABILIT&#256;TES%20PROGRAMMA\_SADA&#315;AS\6.1_Publisko%20finan&#353;u%20ilgtermi&#326;a%20att&#299;st&#299;bas%20scen&#257;rijs\Grafiki_SP_ilgsp&#275;ja_04042024.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fk\tand\TAND\FISK&#256;L&#256;S%20ANAL&#298;ZES%20UN%20PROGNOZ&#274;&#352;ANAS%20NODA&#315;A\__STABILIT&#256;TES%20PROGRAMMA\2024-2028%20STABILIT&#256;TES%20PROGRAMMA\_SADA&#315;AS\6.1_Publisko%20finan&#353;u%20ilgtermi&#326;a%20att&#299;st&#299;bas%20scen&#257;rijs\Grafiki_SP_ilgsp&#275;ja_04042024.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3.xml"/><Relationship Id="rId4" Type="http://schemas.openxmlformats.org/officeDocument/2006/relationships/oleObject" Target="file:///\\fk\tand\TAND\FISK&#256;L&#256;S%20ANAL&#298;ZES%20UN%20PROGNOZ&#274;&#352;ANAS%20NODA&#315;A\__STABILIT&#256;TES%20PROGRAMMA\2024-2028%20STABILIT&#256;TES%20PROGRAMMA\_SADA&#315;AS\6.1_Publisko%20finan&#353;u%20ilgtermi&#326;a%20att&#299;st&#299;bas%20scen&#257;rijs\Grafiki_SP_ilgsp&#275;ja_04042024.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fk\tand\TAND\FISK&#256;L&#256;S%20ANAL&#298;ZES%20UN%20PROGNOZ&#274;&#352;ANAS%20NODA&#315;A\__STABILIT&#256;TES%20PROGRAMMA\2024-2028%20STABILIT&#256;TES%20PROGRAMMA\_SADA&#315;AS\6.1_Publisko%20finan&#353;u%20ilgtermi&#326;a%20att&#299;st&#299;bas%20scen&#257;rijs\Grafiki_SP_ilgsp&#275;ja_04042024.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k\tand\TAND\_Konvergences-Stabilit&#257;tes%20programma\SP%202024-2028\AJ\Infl&#257;cij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k\tand\TAND\Aleksejs%20Jur&#353;a\MAKRO\Infl&#257;cija\Preses%20rel&#299;zes\Grafiks_infl&#257;cij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k\tand\TAND\_Makro_modeli\Infl&#257;cija\Inflation_main.xlsx"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1.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055746580005899E-2"/>
          <c:y val="1.934024920919937E-2"/>
          <c:w val="0.92399694203404281"/>
          <c:h val="0.80136830412666504"/>
        </c:manualLayout>
      </c:layout>
      <c:barChart>
        <c:barDir val="col"/>
        <c:grouping val="clustered"/>
        <c:varyColors val="0"/>
        <c:ser>
          <c:idx val="0"/>
          <c:order val="0"/>
          <c:spPr>
            <a:solidFill>
              <a:schemeClr val="accent1">
                <a:lumMod val="50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1-27C4-4D29-A7BB-2A2D0213FE42}"/>
              </c:ext>
            </c:extLst>
          </c:dPt>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3-27C4-4D29-A7BB-2A2D0213FE42}"/>
              </c:ext>
            </c:extLst>
          </c:dPt>
          <c:dPt>
            <c:idx val="6"/>
            <c:invertIfNegative val="0"/>
            <c:bubble3D val="0"/>
            <c:spPr>
              <a:solidFill>
                <a:schemeClr val="accent1">
                  <a:lumMod val="50000"/>
                </a:schemeClr>
              </a:solidFill>
              <a:ln>
                <a:noFill/>
              </a:ln>
              <a:effectLst/>
            </c:spPr>
            <c:extLst>
              <c:ext xmlns:c16="http://schemas.microsoft.com/office/drawing/2014/chart" uri="{C3380CC4-5D6E-409C-BE32-E72D297353CC}">
                <c16:uniqueId val="{00000005-27C4-4D29-A7BB-2A2D0213FE42}"/>
              </c:ext>
            </c:extLst>
          </c:dPt>
          <c:dPt>
            <c:idx val="8"/>
            <c:invertIfNegative val="0"/>
            <c:bubble3D val="0"/>
            <c:spPr>
              <a:solidFill>
                <a:schemeClr val="accent1">
                  <a:lumMod val="50000"/>
                </a:schemeClr>
              </a:solidFill>
              <a:ln>
                <a:noFill/>
              </a:ln>
              <a:effectLst/>
            </c:spPr>
            <c:extLst>
              <c:ext xmlns:c16="http://schemas.microsoft.com/office/drawing/2014/chart" uri="{C3380CC4-5D6E-409C-BE32-E72D297353CC}">
                <c16:uniqueId val="{00000007-27C4-4D29-A7BB-2A2D0213FE42}"/>
              </c:ext>
            </c:extLst>
          </c:dPt>
          <c:dPt>
            <c:idx val="9"/>
            <c:invertIfNegative val="0"/>
            <c:bubble3D val="0"/>
            <c:spPr>
              <a:solidFill>
                <a:schemeClr val="accent1">
                  <a:lumMod val="50000"/>
                </a:schemeClr>
              </a:solidFill>
              <a:ln>
                <a:noFill/>
              </a:ln>
              <a:effectLst/>
            </c:spPr>
            <c:extLst>
              <c:ext xmlns:c16="http://schemas.microsoft.com/office/drawing/2014/chart" uri="{C3380CC4-5D6E-409C-BE32-E72D297353CC}">
                <c16:uniqueId val="{00000009-27C4-4D29-A7BB-2A2D0213FE42}"/>
              </c:ext>
            </c:extLst>
          </c:dPt>
          <c:dPt>
            <c:idx val="10"/>
            <c:invertIfNegative val="0"/>
            <c:bubble3D val="0"/>
            <c:spPr>
              <a:solidFill>
                <a:schemeClr val="accent1">
                  <a:lumMod val="50000"/>
                </a:schemeClr>
              </a:solidFill>
              <a:ln>
                <a:noFill/>
              </a:ln>
              <a:effectLst/>
            </c:spPr>
            <c:extLst>
              <c:ext xmlns:c16="http://schemas.microsoft.com/office/drawing/2014/chart" uri="{C3380CC4-5D6E-409C-BE32-E72D297353CC}">
                <c16:uniqueId val="{0000000B-27C4-4D29-A7BB-2A2D0213FE42}"/>
              </c:ext>
            </c:extLst>
          </c:dPt>
          <c:dPt>
            <c:idx val="11"/>
            <c:invertIfNegative val="0"/>
            <c:bubble3D val="0"/>
            <c:spPr>
              <a:solidFill>
                <a:schemeClr val="accent1">
                  <a:lumMod val="50000"/>
                </a:schemeClr>
              </a:solidFill>
              <a:ln>
                <a:noFill/>
              </a:ln>
              <a:effectLst/>
            </c:spPr>
            <c:extLst>
              <c:ext xmlns:c16="http://schemas.microsoft.com/office/drawing/2014/chart" uri="{C3380CC4-5D6E-409C-BE32-E72D297353CC}">
                <c16:uniqueId val="{0000000D-27C4-4D29-A7BB-2A2D0213FE42}"/>
              </c:ext>
            </c:extLst>
          </c:dPt>
          <c:dPt>
            <c:idx val="12"/>
            <c:invertIfNegative val="0"/>
            <c:bubble3D val="0"/>
            <c:spPr>
              <a:solidFill>
                <a:schemeClr val="accent1">
                  <a:lumMod val="50000"/>
                </a:schemeClr>
              </a:solidFill>
              <a:ln>
                <a:noFill/>
              </a:ln>
              <a:effectLst/>
            </c:spPr>
            <c:extLst>
              <c:ext xmlns:c16="http://schemas.microsoft.com/office/drawing/2014/chart" uri="{C3380CC4-5D6E-409C-BE32-E72D297353CC}">
                <c16:uniqueId val="{0000000F-27C4-4D29-A7BB-2A2D0213FE42}"/>
              </c:ext>
            </c:extLst>
          </c:dPt>
          <c:dPt>
            <c:idx val="13"/>
            <c:invertIfNegative val="0"/>
            <c:bubble3D val="0"/>
            <c:spPr>
              <a:solidFill>
                <a:schemeClr val="accent1">
                  <a:lumMod val="50000"/>
                </a:schemeClr>
              </a:solidFill>
              <a:ln>
                <a:noFill/>
              </a:ln>
              <a:effectLst/>
            </c:spPr>
            <c:extLst>
              <c:ext xmlns:c16="http://schemas.microsoft.com/office/drawing/2014/chart" uri="{C3380CC4-5D6E-409C-BE32-E72D297353CC}">
                <c16:uniqueId val="{00000011-27C4-4D29-A7BB-2A2D0213FE42}"/>
              </c:ext>
            </c:extLst>
          </c:dPt>
          <c:dPt>
            <c:idx val="14"/>
            <c:invertIfNegative val="0"/>
            <c:bubble3D val="0"/>
            <c:spPr>
              <a:solidFill>
                <a:sysClr val="windowText" lastClr="000000">
                  <a:lumMod val="50000"/>
                  <a:lumOff val="50000"/>
                </a:sysClr>
              </a:solidFill>
              <a:ln>
                <a:noFill/>
              </a:ln>
              <a:effectLst/>
            </c:spPr>
            <c:extLst>
              <c:ext xmlns:c16="http://schemas.microsoft.com/office/drawing/2014/chart" uri="{C3380CC4-5D6E-409C-BE32-E72D297353CC}">
                <c16:uniqueId val="{00000013-27C4-4D29-A7BB-2A2D0213FE42}"/>
              </c:ext>
            </c:extLst>
          </c:dPt>
          <c:dPt>
            <c:idx val="15"/>
            <c:invertIfNegative val="0"/>
            <c:bubble3D val="0"/>
            <c:spPr>
              <a:solidFill>
                <a:schemeClr val="bg2">
                  <a:lumMod val="50000"/>
                </a:schemeClr>
              </a:solidFill>
              <a:ln>
                <a:noFill/>
              </a:ln>
              <a:effectLst/>
            </c:spPr>
            <c:extLst>
              <c:ext xmlns:c16="http://schemas.microsoft.com/office/drawing/2014/chart" uri="{C3380CC4-5D6E-409C-BE32-E72D297353CC}">
                <c16:uniqueId val="{00000015-27C4-4D29-A7BB-2A2D0213FE42}"/>
              </c:ext>
            </c:extLst>
          </c:dPt>
          <c:dPt>
            <c:idx val="16"/>
            <c:invertIfNegative val="0"/>
            <c:bubble3D val="0"/>
            <c:spPr>
              <a:solidFill>
                <a:srgbClr val="5B9BD5">
                  <a:lumMod val="50000"/>
                </a:srgbClr>
              </a:solidFill>
              <a:ln>
                <a:noFill/>
              </a:ln>
              <a:effectLst/>
            </c:spPr>
            <c:extLst>
              <c:ext xmlns:c16="http://schemas.microsoft.com/office/drawing/2014/chart" uri="{C3380CC4-5D6E-409C-BE32-E72D297353CC}">
                <c16:uniqueId val="{00000017-27C4-4D29-A7BB-2A2D0213FE42}"/>
              </c:ext>
            </c:extLst>
          </c:dPt>
          <c:dPt>
            <c:idx val="20"/>
            <c:invertIfNegative val="0"/>
            <c:bubble3D val="0"/>
            <c:spPr>
              <a:solidFill>
                <a:srgbClr val="FF2F2F"/>
              </a:solidFill>
              <a:ln>
                <a:noFill/>
              </a:ln>
              <a:effectLst/>
            </c:spPr>
            <c:extLst>
              <c:ext xmlns:c16="http://schemas.microsoft.com/office/drawing/2014/chart" uri="{C3380CC4-5D6E-409C-BE32-E72D297353CC}">
                <c16:uniqueId val="{00000019-27C4-4D29-A7BB-2A2D0213FE42}"/>
              </c:ext>
            </c:extLst>
          </c:dPt>
          <c:dPt>
            <c:idx val="21"/>
            <c:invertIfNegative val="0"/>
            <c:bubble3D val="0"/>
            <c:spPr>
              <a:solidFill>
                <a:srgbClr val="70AD47"/>
              </a:solidFill>
              <a:ln>
                <a:noFill/>
              </a:ln>
              <a:effectLst/>
            </c:spPr>
            <c:extLst>
              <c:ext xmlns:c16="http://schemas.microsoft.com/office/drawing/2014/chart" uri="{C3380CC4-5D6E-409C-BE32-E72D297353CC}">
                <c16:uniqueId val="{0000001B-27C4-4D29-A7BB-2A2D0213FE42}"/>
              </c:ext>
            </c:extLst>
          </c:dPt>
          <c:dPt>
            <c:idx val="22"/>
            <c:invertIfNegative val="0"/>
            <c:bubble3D val="0"/>
            <c:spPr>
              <a:solidFill>
                <a:schemeClr val="accent1">
                  <a:lumMod val="50000"/>
                </a:schemeClr>
              </a:solidFill>
              <a:ln>
                <a:noFill/>
              </a:ln>
              <a:effectLst/>
            </c:spPr>
            <c:extLst>
              <c:ext xmlns:c16="http://schemas.microsoft.com/office/drawing/2014/chart" uri="{C3380CC4-5D6E-409C-BE32-E72D297353CC}">
                <c16:uniqueId val="{0000001D-27C4-4D29-A7BB-2A2D0213FE42}"/>
              </c:ext>
            </c:extLst>
          </c:dPt>
          <c:dPt>
            <c:idx val="23"/>
            <c:invertIfNegative val="0"/>
            <c:bubble3D val="0"/>
            <c:spPr>
              <a:solidFill>
                <a:srgbClr val="5B9BD5">
                  <a:lumMod val="50000"/>
                </a:srgbClr>
              </a:solidFill>
              <a:ln>
                <a:noFill/>
              </a:ln>
              <a:effectLst/>
            </c:spPr>
            <c:extLst>
              <c:ext xmlns:c16="http://schemas.microsoft.com/office/drawing/2014/chart" uri="{C3380CC4-5D6E-409C-BE32-E72D297353CC}">
                <c16:uniqueId val="{0000001F-27C4-4D29-A7BB-2A2D0213FE42}"/>
              </c:ext>
            </c:extLst>
          </c:dPt>
          <c:dPt>
            <c:idx val="24"/>
            <c:invertIfNegative val="0"/>
            <c:bubble3D val="0"/>
            <c:spPr>
              <a:solidFill>
                <a:srgbClr val="5B9BD5">
                  <a:lumMod val="50000"/>
                </a:srgbClr>
              </a:solidFill>
              <a:ln>
                <a:noFill/>
              </a:ln>
              <a:effectLst/>
            </c:spPr>
            <c:extLst>
              <c:ext xmlns:c16="http://schemas.microsoft.com/office/drawing/2014/chart" uri="{C3380CC4-5D6E-409C-BE32-E72D297353CC}">
                <c16:uniqueId val="{00000021-27C4-4D29-A7BB-2A2D0213FE42}"/>
              </c:ext>
            </c:extLst>
          </c:dPt>
          <c:dPt>
            <c:idx val="25"/>
            <c:invertIfNegative val="0"/>
            <c:bubble3D val="0"/>
            <c:spPr>
              <a:solidFill>
                <a:schemeClr val="accent1">
                  <a:lumMod val="50000"/>
                </a:schemeClr>
              </a:solidFill>
              <a:ln>
                <a:noFill/>
              </a:ln>
              <a:effectLst/>
            </c:spPr>
            <c:extLst>
              <c:ext xmlns:c16="http://schemas.microsoft.com/office/drawing/2014/chart" uri="{C3380CC4-5D6E-409C-BE32-E72D297353CC}">
                <c16:uniqueId val="{00000023-27C4-4D29-A7BB-2A2D0213FE42}"/>
              </c:ext>
            </c:extLst>
          </c:dPt>
          <c:dPt>
            <c:idx val="27"/>
            <c:invertIfNegative val="0"/>
            <c:bubble3D val="0"/>
            <c:spPr>
              <a:solidFill>
                <a:srgbClr val="007FDE"/>
              </a:solidFill>
              <a:ln>
                <a:noFill/>
              </a:ln>
              <a:effectLst/>
            </c:spPr>
            <c:extLst>
              <c:ext xmlns:c16="http://schemas.microsoft.com/office/drawing/2014/chart" uri="{C3380CC4-5D6E-409C-BE32-E72D297353CC}">
                <c16:uniqueId val="{00000025-27C4-4D29-A7BB-2A2D0213FE42}"/>
              </c:ext>
            </c:extLst>
          </c:dPt>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'2022'!$N$13:$N$41</c:f>
              <c:strCache>
                <c:ptCount val="29"/>
                <c:pt idx="0">
                  <c:v>Malta</c:v>
                </c:pt>
                <c:pt idx="1">
                  <c:v>Horvātija</c:v>
                </c:pt>
                <c:pt idx="2">
                  <c:v>Spānija</c:v>
                </c:pt>
                <c:pt idx="3">
                  <c:v>Kipra</c:v>
                </c:pt>
                <c:pt idx="4">
                  <c:v>Portugāle</c:v>
                </c:pt>
                <c:pt idx="5">
                  <c:v>Rumānija</c:v>
                </c:pt>
                <c:pt idx="6">
                  <c:v>Grieķija</c:v>
                </c:pt>
                <c:pt idx="7">
                  <c:v>Bulgārija</c:v>
                </c:pt>
                <c:pt idx="8">
                  <c:v>Dānija</c:v>
                </c:pt>
                <c:pt idx="9">
                  <c:v>Slovēnija</c:v>
                </c:pt>
                <c:pt idx="10">
                  <c:v>Beļģija</c:v>
                </c:pt>
                <c:pt idx="11">
                  <c:v>Slovākija</c:v>
                </c:pt>
                <c:pt idx="12">
                  <c:v>Itālija</c:v>
                </c:pt>
                <c:pt idx="13">
                  <c:v>Francija</c:v>
                </c:pt>
                <c:pt idx="14">
                  <c:v>ES27</c:v>
                </c:pt>
                <c:pt idx="15">
                  <c:v>Eirozona</c:v>
                </c:pt>
                <c:pt idx="16">
                  <c:v>Polija</c:v>
                </c:pt>
                <c:pt idx="17">
                  <c:v>Nīderlande</c:v>
                </c:pt>
                <c:pt idx="18">
                  <c:v>Zviedrija</c:v>
                </c:pt>
                <c:pt idx="19">
                  <c:v>Vācija</c:v>
                </c:pt>
                <c:pt idx="20">
                  <c:v>Latvija</c:v>
                </c:pt>
                <c:pt idx="21">
                  <c:v>Lietuva</c:v>
                </c:pt>
                <c:pt idx="22">
                  <c:v>Čehija</c:v>
                </c:pt>
                <c:pt idx="23">
                  <c:v>Austrija</c:v>
                </c:pt>
                <c:pt idx="24">
                  <c:v>Ungārija</c:v>
                </c:pt>
                <c:pt idx="25">
                  <c:v>Somija</c:v>
                </c:pt>
                <c:pt idx="26">
                  <c:v>Luksemburga</c:v>
                </c:pt>
                <c:pt idx="27">
                  <c:v>Igaunija</c:v>
                </c:pt>
                <c:pt idx="28">
                  <c:v>Īrija</c:v>
                </c:pt>
              </c:strCache>
            </c:strRef>
          </c:cat>
          <c:val>
            <c:numRef>
              <c:f>'2022'!$O$13:$O$41</c:f>
              <c:numCache>
                <c:formatCode>0.0</c:formatCode>
                <c:ptCount val="29"/>
                <c:pt idx="0">
                  <c:v>5.6</c:v>
                </c:pt>
                <c:pt idx="1">
                  <c:v>2.8</c:v>
                </c:pt>
                <c:pt idx="2">
                  <c:v>2.5</c:v>
                </c:pt>
                <c:pt idx="3">
                  <c:v>2.5</c:v>
                </c:pt>
                <c:pt idx="4">
                  <c:v>2.2999999999999998</c:v>
                </c:pt>
                <c:pt idx="5">
                  <c:v>2.1</c:v>
                </c:pt>
                <c:pt idx="6">
                  <c:v>2</c:v>
                </c:pt>
                <c:pt idx="7">
                  <c:v>1.8</c:v>
                </c:pt>
                <c:pt idx="8">
                  <c:v>1.8</c:v>
                </c:pt>
                <c:pt idx="9">
                  <c:v>1.6</c:v>
                </c:pt>
                <c:pt idx="10">
                  <c:v>1.3</c:v>
                </c:pt>
                <c:pt idx="11">
                  <c:v>1.1000000000000001</c:v>
                </c:pt>
                <c:pt idx="12">
                  <c:v>0.9</c:v>
                </c:pt>
                <c:pt idx="13">
                  <c:v>0.7</c:v>
                </c:pt>
                <c:pt idx="14">
                  <c:v>0.4</c:v>
                </c:pt>
                <c:pt idx="15">
                  <c:v>0.4</c:v>
                </c:pt>
                <c:pt idx="16">
                  <c:v>0.2</c:v>
                </c:pt>
                <c:pt idx="17">
                  <c:v>0.1</c:v>
                </c:pt>
                <c:pt idx="18">
                  <c:v>-0.2</c:v>
                </c:pt>
                <c:pt idx="19">
                  <c:v>-0.3</c:v>
                </c:pt>
                <c:pt idx="20">
                  <c:v>-0.3</c:v>
                </c:pt>
                <c:pt idx="21">
                  <c:v>-0.3</c:v>
                </c:pt>
                <c:pt idx="22">
                  <c:v>-0.5</c:v>
                </c:pt>
                <c:pt idx="23">
                  <c:v>-0.8</c:v>
                </c:pt>
                <c:pt idx="24">
                  <c:v>-0.9</c:v>
                </c:pt>
                <c:pt idx="25">
                  <c:v>-1</c:v>
                </c:pt>
                <c:pt idx="26">
                  <c:v>-1.1000000000000001</c:v>
                </c:pt>
                <c:pt idx="27">
                  <c:v>-3</c:v>
                </c:pt>
                <c:pt idx="28">
                  <c:v>-3.2</c:v>
                </c:pt>
              </c:numCache>
            </c:numRef>
          </c:val>
          <c:extLst>
            <c:ext xmlns:c16="http://schemas.microsoft.com/office/drawing/2014/chart" uri="{C3380CC4-5D6E-409C-BE32-E72D297353CC}">
              <c16:uniqueId val="{00000026-27C4-4D29-A7BB-2A2D0213FE42}"/>
            </c:ext>
          </c:extLst>
        </c:ser>
        <c:dLbls>
          <c:showLegendKey val="0"/>
          <c:showVal val="0"/>
          <c:showCatName val="0"/>
          <c:showSerName val="0"/>
          <c:showPercent val="0"/>
          <c:showBubbleSize val="0"/>
        </c:dLbls>
        <c:gapWidth val="42"/>
        <c:overlap val="100"/>
        <c:axId val="1112171224"/>
        <c:axId val="1112172208"/>
      </c:barChart>
      <c:catAx>
        <c:axId val="111217122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1112172208"/>
        <c:crosses val="autoZero"/>
        <c:auto val="1"/>
        <c:lblAlgn val="ctr"/>
        <c:lblOffset val="100"/>
        <c:noMultiLvlLbl val="0"/>
      </c:catAx>
      <c:valAx>
        <c:axId val="1112172208"/>
        <c:scaling>
          <c:orientation val="minMax"/>
          <c:max val="7"/>
          <c:min val="-5"/>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1112171224"/>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336759988334789E-2"/>
          <c:y val="5.0925925925925923E-2"/>
          <c:w val="0.92099318314377365"/>
          <c:h val="0.52537292029052851"/>
        </c:manualLayout>
      </c:layout>
      <c:barChart>
        <c:barDir val="col"/>
        <c:grouping val="stacked"/>
        <c:varyColors val="0"/>
        <c:ser>
          <c:idx val="0"/>
          <c:order val="0"/>
          <c:tx>
            <c:strRef>
              <c:f>Sheet1!$A$3</c:f>
              <c:strCache>
                <c:ptCount val="1"/>
                <c:pt idx="0">
                  <c:v>Kopējā produktivitāte</c:v>
                </c:pt>
              </c:strCache>
            </c:strRef>
          </c:tx>
          <c:spPr>
            <a:solidFill>
              <a:srgbClr val="70AD47">
                <a:lumMod val="60000"/>
                <a:lumOff val="40000"/>
              </a:srgbClr>
            </a:solidFill>
            <a:ln>
              <a:noFill/>
            </a:ln>
            <a:effectLst/>
          </c:spPr>
          <c:invertIfNegative val="0"/>
          <c:cat>
            <c:numRef>
              <c:f>Sheet1!$B$2:$T$2</c:f>
              <c:numCache>
                <c:formatCode>General</c:formatCod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numCache>
            </c:numRef>
          </c:cat>
          <c:val>
            <c:numRef>
              <c:f>Sheet1!$B$3:$T$3</c:f>
              <c:numCache>
                <c:formatCode>0.0</c:formatCode>
                <c:ptCount val="19"/>
                <c:pt idx="0">
                  <c:v>0.39151549359114834</c:v>
                </c:pt>
                <c:pt idx="1">
                  <c:v>0.24573534697638444</c:v>
                </c:pt>
                <c:pt idx="2">
                  <c:v>0.28861344850641024</c:v>
                </c:pt>
                <c:pt idx="3">
                  <c:v>0.45150413258940003</c:v>
                </c:pt>
                <c:pt idx="4">
                  <c:v>0.67174886451274363</c:v>
                </c:pt>
                <c:pt idx="5">
                  <c:v>0.88293160854419162</c:v>
                </c:pt>
                <c:pt idx="6">
                  <c:v>1.0426779711560741</c:v>
                </c:pt>
                <c:pt idx="7">
                  <c:v>1.1473474051109465</c:v>
                </c:pt>
                <c:pt idx="8">
                  <c:v>1.211240253394356</c:v>
                </c:pt>
                <c:pt idx="9">
                  <c:v>1.2601900348321902</c:v>
                </c:pt>
                <c:pt idx="10">
                  <c:v>1.3144498294875115</c:v>
                </c:pt>
                <c:pt idx="11">
                  <c:v>1.3649458125692537</c:v>
                </c:pt>
                <c:pt idx="12">
                  <c:v>1.359284218774591</c:v>
                </c:pt>
                <c:pt idx="13">
                  <c:v>1.342055009848846</c:v>
                </c:pt>
                <c:pt idx="14">
                  <c:v>1.3499809993837597</c:v>
                </c:pt>
                <c:pt idx="15">
                  <c:v>1.3809026811220777</c:v>
                </c:pt>
                <c:pt idx="16">
                  <c:v>1.4153406055668976</c:v>
                </c:pt>
                <c:pt idx="17">
                  <c:v>1.4452270990708342</c:v>
                </c:pt>
                <c:pt idx="18">
                  <c:v>1.4689707250664834</c:v>
                </c:pt>
              </c:numCache>
            </c:numRef>
          </c:val>
          <c:extLst>
            <c:ext xmlns:c16="http://schemas.microsoft.com/office/drawing/2014/chart" uri="{C3380CC4-5D6E-409C-BE32-E72D297353CC}">
              <c16:uniqueId val="{00000000-DD2F-4FE0-80B5-ECD4FDE84F89}"/>
            </c:ext>
          </c:extLst>
        </c:ser>
        <c:ser>
          <c:idx val="1"/>
          <c:order val="1"/>
          <c:tx>
            <c:strRef>
              <c:f>Sheet1!$A$4</c:f>
              <c:strCache>
                <c:ptCount val="1"/>
                <c:pt idx="0">
                  <c:v>Darbaspēks</c:v>
                </c:pt>
              </c:strCache>
            </c:strRef>
          </c:tx>
          <c:spPr>
            <a:solidFill>
              <a:srgbClr val="ED7D31">
                <a:lumMod val="60000"/>
                <a:lumOff val="40000"/>
              </a:srgbClr>
            </a:solidFill>
            <a:ln>
              <a:noFill/>
            </a:ln>
            <a:effectLst/>
          </c:spPr>
          <c:invertIfNegative val="0"/>
          <c:cat>
            <c:numRef>
              <c:f>Sheet1!$B$2:$T$2</c:f>
              <c:numCache>
                <c:formatCode>General</c:formatCod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numCache>
            </c:numRef>
          </c:cat>
          <c:val>
            <c:numRef>
              <c:f>Sheet1!$B$4:$T$4</c:f>
              <c:numCache>
                <c:formatCode>0.0</c:formatCode>
                <c:ptCount val="19"/>
                <c:pt idx="0">
                  <c:v>-0.90932597621339195</c:v>
                </c:pt>
                <c:pt idx="1">
                  <c:v>-0.74794222310309022</c:v>
                </c:pt>
                <c:pt idx="2">
                  <c:v>-0.54267872274995954</c:v>
                </c:pt>
                <c:pt idx="3">
                  <c:v>-0.35114571460324484</c:v>
                </c:pt>
                <c:pt idx="4">
                  <c:v>-0.20784369493685773</c:v>
                </c:pt>
                <c:pt idx="5">
                  <c:v>-0.11007180377283661</c:v>
                </c:pt>
                <c:pt idx="6">
                  <c:v>-5.6416040698733953E-2</c:v>
                </c:pt>
                <c:pt idx="7">
                  <c:v>-3.5648076926848377E-2</c:v>
                </c:pt>
                <c:pt idx="8">
                  <c:v>-4.2844432131753367E-2</c:v>
                </c:pt>
                <c:pt idx="9">
                  <c:v>-7.1522946845719554E-2</c:v>
                </c:pt>
                <c:pt idx="10">
                  <c:v>-0.10159492841544662</c:v>
                </c:pt>
                <c:pt idx="11">
                  <c:v>-0.10931948709361507</c:v>
                </c:pt>
                <c:pt idx="12">
                  <c:v>-9.7615140953897284E-2</c:v>
                </c:pt>
                <c:pt idx="13">
                  <c:v>-8.7920955104254683E-2</c:v>
                </c:pt>
                <c:pt idx="14">
                  <c:v>-8.2514568605203925E-2</c:v>
                </c:pt>
                <c:pt idx="15">
                  <c:v>-8.0558801224807158E-2</c:v>
                </c:pt>
                <c:pt idx="16">
                  <c:v>-8.2579517666575272E-2</c:v>
                </c:pt>
                <c:pt idx="17">
                  <c:v>-8.7502777560163877E-2</c:v>
                </c:pt>
                <c:pt idx="18">
                  <c:v>-9.7244495597506531E-2</c:v>
                </c:pt>
              </c:numCache>
            </c:numRef>
          </c:val>
          <c:extLst>
            <c:ext xmlns:c16="http://schemas.microsoft.com/office/drawing/2014/chart" uri="{C3380CC4-5D6E-409C-BE32-E72D297353CC}">
              <c16:uniqueId val="{00000001-DD2F-4FE0-80B5-ECD4FDE84F89}"/>
            </c:ext>
          </c:extLst>
        </c:ser>
        <c:ser>
          <c:idx val="2"/>
          <c:order val="2"/>
          <c:tx>
            <c:strRef>
              <c:f>Sheet1!$A$5</c:f>
              <c:strCache>
                <c:ptCount val="1"/>
                <c:pt idx="0">
                  <c:v>Kapitāls</c:v>
                </c:pt>
              </c:strCache>
            </c:strRef>
          </c:tx>
          <c:spPr>
            <a:solidFill>
              <a:srgbClr val="4472C4">
                <a:lumMod val="60000"/>
                <a:lumOff val="40000"/>
              </a:srgbClr>
            </a:solidFill>
            <a:ln>
              <a:noFill/>
            </a:ln>
            <a:effectLst/>
          </c:spPr>
          <c:invertIfNegative val="0"/>
          <c:cat>
            <c:numRef>
              <c:f>Sheet1!$B$2:$T$2</c:f>
              <c:numCache>
                <c:formatCode>General</c:formatCod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numCache>
            </c:numRef>
          </c:cat>
          <c:val>
            <c:numRef>
              <c:f>Sheet1!$B$5:$T$5</c:f>
              <c:numCache>
                <c:formatCode>0.0</c:formatCode>
                <c:ptCount val="19"/>
                <c:pt idx="0">
                  <c:v>0.13177434116619779</c:v>
                </c:pt>
                <c:pt idx="1">
                  <c:v>0.93037336289729866</c:v>
                </c:pt>
                <c:pt idx="2">
                  <c:v>1.5257460468714379</c:v>
                </c:pt>
                <c:pt idx="3">
                  <c:v>1.3503692853731646</c:v>
                </c:pt>
                <c:pt idx="4">
                  <c:v>1.1656610817411015</c:v>
                </c:pt>
                <c:pt idx="5">
                  <c:v>1.0244857919901047</c:v>
                </c:pt>
                <c:pt idx="6">
                  <c:v>0.70454772155391354</c:v>
                </c:pt>
                <c:pt idx="7">
                  <c:v>0.89790364449554672</c:v>
                </c:pt>
                <c:pt idx="8">
                  <c:v>1.0834586695630473</c:v>
                </c:pt>
                <c:pt idx="9">
                  <c:v>0.95223524573067975</c:v>
                </c:pt>
                <c:pt idx="10">
                  <c:v>0.72634388282305751</c:v>
                </c:pt>
                <c:pt idx="11">
                  <c:v>0.81393667971084238</c:v>
                </c:pt>
                <c:pt idx="12">
                  <c:v>0.70618938757363525</c:v>
                </c:pt>
                <c:pt idx="13">
                  <c:v>0.77559098227830814</c:v>
                </c:pt>
                <c:pt idx="14">
                  <c:v>0.80832271434863301</c:v>
                </c:pt>
                <c:pt idx="15">
                  <c:v>0.86533356255439642</c:v>
                </c:pt>
                <c:pt idx="16">
                  <c:v>0.88539999692005811</c:v>
                </c:pt>
                <c:pt idx="17">
                  <c:v>0.90919855788206705</c:v>
                </c:pt>
                <c:pt idx="18">
                  <c:v>0.93290077307423658</c:v>
                </c:pt>
              </c:numCache>
            </c:numRef>
          </c:val>
          <c:extLst>
            <c:ext xmlns:c16="http://schemas.microsoft.com/office/drawing/2014/chart" uri="{C3380CC4-5D6E-409C-BE32-E72D297353CC}">
              <c16:uniqueId val="{00000002-DD2F-4FE0-80B5-ECD4FDE84F89}"/>
            </c:ext>
          </c:extLst>
        </c:ser>
        <c:dLbls>
          <c:showLegendKey val="0"/>
          <c:showVal val="0"/>
          <c:showCatName val="0"/>
          <c:showSerName val="0"/>
          <c:showPercent val="0"/>
          <c:showBubbleSize val="0"/>
        </c:dLbls>
        <c:gapWidth val="50"/>
        <c:overlap val="100"/>
        <c:axId val="184817536"/>
        <c:axId val="186519552"/>
      </c:barChart>
      <c:lineChart>
        <c:grouping val="stacked"/>
        <c:varyColors val="0"/>
        <c:ser>
          <c:idx val="3"/>
          <c:order val="3"/>
          <c:tx>
            <c:strRef>
              <c:f>Sheet1!$A$6</c:f>
              <c:strCache>
                <c:ptCount val="1"/>
                <c:pt idx="0">
                  <c:v>Potenciālais IKP</c:v>
                </c:pt>
              </c:strCache>
            </c:strRef>
          </c:tx>
          <c:spPr>
            <a:ln w="28575" cap="rnd">
              <a:solidFill>
                <a:schemeClr val="tx1">
                  <a:lumMod val="75000"/>
                  <a:lumOff val="25000"/>
                </a:schemeClr>
              </a:solidFill>
              <a:round/>
            </a:ln>
            <a:effectLst/>
          </c:spPr>
          <c:marker>
            <c:symbol val="circle"/>
            <c:size val="5"/>
            <c:spPr>
              <a:solidFill>
                <a:schemeClr val="tx1">
                  <a:lumMod val="75000"/>
                  <a:lumOff val="25000"/>
                </a:schemeClr>
              </a:solidFill>
              <a:ln w="9525">
                <a:noFill/>
              </a:ln>
              <a:effectLst/>
            </c:spPr>
          </c:marker>
          <c:cat>
            <c:numRef>
              <c:f>Sheet1!$B$2:$T$2</c:f>
              <c:numCache>
                <c:formatCode>General</c:formatCod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numCache>
            </c:numRef>
          </c:cat>
          <c:val>
            <c:numRef>
              <c:f>Sheet1!$B$6:$T$6</c:f>
              <c:numCache>
                <c:formatCode>0.0</c:formatCode>
                <c:ptCount val="19"/>
                <c:pt idx="0">
                  <c:v>-0.38603614145604581</c:v>
                </c:pt>
                <c:pt idx="1">
                  <c:v>0.42816648677059288</c:v>
                </c:pt>
                <c:pt idx="2">
                  <c:v>1.2716807726278887</c:v>
                </c:pt>
                <c:pt idx="3">
                  <c:v>1.4507277033593198</c:v>
                </c:pt>
                <c:pt idx="4">
                  <c:v>1.6295662513169873</c:v>
                </c:pt>
                <c:pt idx="5">
                  <c:v>1.7973455967614598</c:v>
                </c:pt>
                <c:pt idx="6">
                  <c:v>1.6908096520112537</c:v>
                </c:pt>
                <c:pt idx="7">
                  <c:v>2.0096029726796449</c:v>
                </c:pt>
                <c:pt idx="8">
                  <c:v>2.2518544908256501</c:v>
                </c:pt>
                <c:pt idx="9">
                  <c:v>2.1409023337171504</c:v>
                </c:pt>
                <c:pt idx="10">
                  <c:v>1.9391987838951223</c:v>
                </c:pt>
                <c:pt idx="11">
                  <c:v>2.0695630051864811</c:v>
                </c:pt>
                <c:pt idx="12">
                  <c:v>1.967858465394329</c:v>
                </c:pt>
                <c:pt idx="13">
                  <c:v>2.0297250370228994</c:v>
                </c:pt>
                <c:pt idx="14">
                  <c:v>2.0757891451271888</c:v>
                </c:pt>
                <c:pt idx="15">
                  <c:v>2.1656774424516669</c:v>
                </c:pt>
                <c:pt idx="16">
                  <c:v>2.2181610848203803</c:v>
                </c:pt>
                <c:pt idx="17">
                  <c:v>2.2669228793927374</c:v>
                </c:pt>
                <c:pt idx="18">
                  <c:v>2.3046270025432136</c:v>
                </c:pt>
              </c:numCache>
            </c:numRef>
          </c:val>
          <c:smooth val="0"/>
          <c:extLst>
            <c:ext xmlns:c16="http://schemas.microsoft.com/office/drawing/2014/chart" uri="{C3380CC4-5D6E-409C-BE32-E72D297353CC}">
              <c16:uniqueId val="{00000003-DD2F-4FE0-80B5-ECD4FDE84F89}"/>
            </c:ext>
          </c:extLst>
        </c:ser>
        <c:dLbls>
          <c:showLegendKey val="0"/>
          <c:showVal val="0"/>
          <c:showCatName val="0"/>
          <c:showSerName val="0"/>
          <c:showPercent val="0"/>
          <c:showBubbleSize val="0"/>
        </c:dLbls>
        <c:marker val="1"/>
        <c:smooth val="0"/>
        <c:axId val="184817536"/>
        <c:axId val="186519552"/>
      </c:lineChart>
      <c:catAx>
        <c:axId val="184817536"/>
        <c:scaling>
          <c:orientation val="minMax"/>
        </c:scaling>
        <c:delete val="0"/>
        <c:axPos val="b"/>
        <c:numFmt formatCode="General" sourceLinked="1"/>
        <c:majorTickMark val="out"/>
        <c:minorTickMark val="none"/>
        <c:tickLblPos val="low"/>
        <c:spPr>
          <a:noFill/>
          <a:ln w="9525" cap="flat" cmpd="sng" algn="ctr">
            <a:solidFill>
              <a:sysClr val="windowText" lastClr="000000">
                <a:lumMod val="75000"/>
                <a:lumOff val="25000"/>
              </a:sysClr>
            </a:solidFill>
            <a:round/>
          </a:ln>
          <a:effectLst/>
        </c:spPr>
        <c:txPr>
          <a:bodyPr rot="-5400000" vert="horz"/>
          <a:lstStyle/>
          <a:p>
            <a:pPr>
              <a:defRPr sz="1000"/>
            </a:pPr>
            <a:endParaRPr lang="lv-LV"/>
          </a:p>
        </c:txPr>
        <c:crossAx val="186519552"/>
        <c:crosses val="autoZero"/>
        <c:auto val="1"/>
        <c:lblAlgn val="ctr"/>
        <c:lblOffset val="100"/>
        <c:tickLblSkip val="1"/>
        <c:noMultiLvlLbl val="0"/>
      </c:catAx>
      <c:valAx>
        <c:axId val="186519552"/>
        <c:scaling>
          <c:orientation val="minMax"/>
          <c:max val="3"/>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sz="1000"/>
            </a:pPr>
            <a:endParaRPr lang="lv-LV"/>
          </a:p>
        </c:txPr>
        <c:crossAx val="184817536"/>
        <c:crosses val="autoZero"/>
        <c:crossBetween val="between"/>
        <c:majorUnit val="1"/>
      </c:valAx>
      <c:spPr>
        <a:noFill/>
        <a:ln w="25400">
          <a:noFill/>
        </a:ln>
        <a:effectLst/>
      </c:spPr>
    </c:plotArea>
    <c:legend>
      <c:legendPos val="b"/>
      <c:layout>
        <c:manualLayout>
          <c:xMode val="edge"/>
          <c:yMode val="edge"/>
          <c:x val="0"/>
          <c:y val="0.81139594481549826"/>
          <c:w val="1"/>
          <c:h val="8.7423447069116367E-2"/>
        </c:manualLayout>
      </c:layout>
      <c:overlay val="0"/>
      <c:spPr>
        <a:noFill/>
        <a:ln>
          <a:noFill/>
        </a:ln>
        <a:effectLst/>
      </c:spPr>
      <c:txPr>
        <a:bodyPr rot="0" vert="horz"/>
        <a:lstStyle/>
        <a:p>
          <a:pPr>
            <a:defRPr sz="1000"/>
          </a:pPr>
          <a:endParaRPr lang="lv-LV"/>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530135208050968E-2"/>
          <c:y val="6.4883560110084879E-2"/>
          <c:w val="0.66849251221032635"/>
          <c:h val="0.83706576183019776"/>
        </c:manualLayout>
      </c:layout>
      <c:barChart>
        <c:barDir val="col"/>
        <c:grouping val="clustered"/>
        <c:varyColors val="0"/>
        <c:ser>
          <c:idx val="0"/>
          <c:order val="0"/>
          <c:tx>
            <c:strRef>
              <c:f>Dati!$A$13</c:f>
              <c:strCache>
                <c:ptCount val="1"/>
                <c:pt idx="0">
                  <c:v>Patēriņa nodokļi</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itchFamily="18" charset="0"/>
                    <a:ea typeface="+mn-ea"/>
                    <a:cs typeface="Times New Roman"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Dati!$B$1:$F$1</c:f>
              <c:numCache>
                <c:formatCode>General</c:formatCode>
                <c:ptCount val="5"/>
                <c:pt idx="0">
                  <c:v>2024</c:v>
                </c:pt>
                <c:pt idx="1">
                  <c:v>2025</c:v>
                </c:pt>
                <c:pt idx="2">
                  <c:v>2026</c:v>
                </c:pt>
                <c:pt idx="3">
                  <c:v>2027</c:v>
                </c:pt>
                <c:pt idx="4">
                  <c:v>2028</c:v>
                </c:pt>
              </c:numCache>
            </c:numRef>
          </c:cat>
          <c:val>
            <c:numRef>
              <c:f>Dati!$B$13:$F$13</c:f>
              <c:numCache>
                <c:formatCode>0.0%</c:formatCode>
                <c:ptCount val="5"/>
                <c:pt idx="0">
                  <c:v>0.13243741396672878</c:v>
                </c:pt>
                <c:pt idx="1">
                  <c:v>0.13303954948430996</c:v>
                </c:pt>
                <c:pt idx="2">
                  <c:v>0.13241479540021836</c:v>
                </c:pt>
                <c:pt idx="3">
                  <c:v>0.13140416886486728</c:v>
                </c:pt>
                <c:pt idx="4">
                  <c:v>0.13007155659588099</c:v>
                </c:pt>
              </c:numCache>
            </c:numRef>
          </c:val>
          <c:extLst>
            <c:ext xmlns:c16="http://schemas.microsoft.com/office/drawing/2014/chart" uri="{C3380CC4-5D6E-409C-BE32-E72D297353CC}">
              <c16:uniqueId val="{00000000-C050-46DD-8518-D0033EC403F5}"/>
            </c:ext>
          </c:extLst>
        </c:ser>
        <c:ser>
          <c:idx val="1"/>
          <c:order val="1"/>
          <c:tx>
            <c:strRef>
              <c:f>Dati!$A$14</c:f>
              <c:strCache>
                <c:ptCount val="1"/>
                <c:pt idx="0">
                  <c:v>Darba nodokļi</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itchFamily="18" charset="0"/>
                    <a:ea typeface="+mn-ea"/>
                    <a:cs typeface="Times New Roman"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Dati!$B$1:$F$1</c:f>
              <c:numCache>
                <c:formatCode>General</c:formatCode>
                <c:ptCount val="5"/>
                <c:pt idx="0">
                  <c:v>2024</c:v>
                </c:pt>
                <c:pt idx="1">
                  <c:v>2025</c:v>
                </c:pt>
                <c:pt idx="2">
                  <c:v>2026</c:v>
                </c:pt>
                <c:pt idx="3">
                  <c:v>2027</c:v>
                </c:pt>
                <c:pt idx="4">
                  <c:v>2028</c:v>
                </c:pt>
              </c:numCache>
            </c:numRef>
          </c:cat>
          <c:val>
            <c:numRef>
              <c:f>Dati!$B$14:$F$14</c:f>
              <c:numCache>
                <c:formatCode>0.0%</c:formatCode>
                <c:ptCount val="5"/>
                <c:pt idx="0">
                  <c:v>0.16501104885664961</c:v>
                </c:pt>
                <c:pt idx="1">
                  <c:v>0.16652296315368281</c:v>
                </c:pt>
                <c:pt idx="2">
                  <c:v>0.16827962226252377</c:v>
                </c:pt>
                <c:pt idx="3">
                  <c:v>0.16841243058787539</c:v>
                </c:pt>
                <c:pt idx="4">
                  <c:v>0.16834726242023751</c:v>
                </c:pt>
              </c:numCache>
            </c:numRef>
          </c:val>
          <c:extLst>
            <c:ext xmlns:c16="http://schemas.microsoft.com/office/drawing/2014/chart" uri="{C3380CC4-5D6E-409C-BE32-E72D297353CC}">
              <c16:uniqueId val="{00000001-C050-46DD-8518-D0033EC403F5}"/>
            </c:ext>
          </c:extLst>
        </c:ser>
        <c:ser>
          <c:idx val="2"/>
          <c:order val="2"/>
          <c:tx>
            <c:strRef>
              <c:f>Dati!$A$15</c:f>
              <c:strCache>
                <c:ptCount val="1"/>
                <c:pt idx="0">
                  <c:v>Kapitāla nodokļi</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itchFamily="18" charset="0"/>
                    <a:ea typeface="+mn-ea"/>
                    <a:cs typeface="Times New Roman"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Dati!$B$1:$F$1</c:f>
              <c:numCache>
                <c:formatCode>General</c:formatCode>
                <c:ptCount val="5"/>
                <c:pt idx="0">
                  <c:v>2024</c:v>
                </c:pt>
                <c:pt idx="1">
                  <c:v>2025</c:v>
                </c:pt>
                <c:pt idx="2">
                  <c:v>2026</c:v>
                </c:pt>
                <c:pt idx="3">
                  <c:v>2027</c:v>
                </c:pt>
                <c:pt idx="4">
                  <c:v>2028</c:v>
                </c:pt>
              </c:numCache>
            </c:numRef>
          </c:cat>
          <c:val>
            <c:numRef>
              <c:f>Dati!$B$15:$F$15</c:f>
              <c:numCache>
                <c:formatCode>0.0%</c:formatCode>
                <c:ptCount val="5"/>
                <c:pt idx="0">
                  <c:v>3.4614254608536538E-2</c:v>
                </c:pt>
                <c:pt idx="1">
                  <c:v>3.0312640674516736E-2</c:v>
                </c:pt>
                <c:pt idx="2">
                  <c:v>2.9484396172792707E-2</c:v>
                </c:pt>
                <c:pt idx="3">
                  <c:v>2.8672834869732364E-2</c:v>
                </c:pt>
                <c:pt idx="4">
                  <c:v>2.7883821176591481E-2</c:v>
                </c:pt>
              </c:numCache>
            </c:numRef>
          </c:val>
          <c:extLst>
            <c:ext xmlns:c16="http://schemas.microsoft.com/office/drawing/2014/chart" uri="{C3380CC4-5D6E-409C-BE32-E72D297353CC}">
              <c16:uniqueId val="{00000002-C050-46DD-8518-D0033EC403F5}"/>
            </c:ext>
          </c:extLst>
        </c:ser>
        <c:dLbls>
          <c:showLegendKey val="0"/>
          <c:showVal val="0"/>
          <c:showCatName val="0"/>
          <c:showSerName val="0"/>
          <c:showPercent val="0"/>
          <c:showBubbleSize val="0"/>
        </c:dLbls>
        <c:gapWidth val="150"/>
        <c:axId val="269516320"/>
        <c:axId val="269516704"/>
      </c:barChart>
      <c:catAx>
        <c:axId val="269516320"/>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lv-LV"/>
          </a:p>
        </c:txPr>
        <c:crossAx val="269516704"/>
        <c:crosses val="autoZero"/>
        <c:auto val="1"/>
        <c:lblAlgn val="ctr"/>
        <c:lblOffset val="100"/>
        <c:noMultiLvlLbl val="0"/>
      </c:catAx>
      <c:valAx>
        <c:axId val="269516704"/>
        <c:scaling>
          <c:orientation val="minMax"/>
          <c:max val="0.18000000000000002"/>
          <c:min val="0"/>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lv-LV"/>
          </a:p>
        </c:txPr>
        <c:crossAx val="269516320"/>
        <c:crosses val="autoZero"/>
        <c:crossBetween val="between"/>
        <c:majorUnit val="2.0000000000000011E-2"/>
      </c:valAx>
      <c:spPr>
        <a:solidFill>
          <a:schemeClr val="bg1"/>
        </a:solidFill>
        <a:ln>
          <a:noFill/>
        </a:ln>
        <a:effectLst/>
      </c:spPr>
    </c:plotArea>
    <c:legend>
      <c:legendPos val="r"/>
      <c:layout>
        <c:manualLayout>
          <c:xMode val="edge"/>
          <c:yMode val="edge"/>
          <c:x val="0.75490967137879694"/>
          <c:y val="0.50757949504099587"/>
          <c:w val="0.22166966299403001"/>
          <c:h val="0.2297330607507732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lv-LV"/>
        </a:p>
      </c:txPr>
    </c:legend>
    <c:plotVisOnly val="1"/>
    <c:dispBlanksAs val="gap"/>
    <c:showDLblsOverMax val="0"/>
  </c:chart>
  <c:spPr>
    <a:solidFill>
      <a:schemeClr val="bg1"/>
    </a:solidFill>
    <a:ln w="9525" cap="flat" cmpd="sng" algn="ctr">
      <a:noFill/>
      <a:prstDash val="solid"/>
      <a:round/>
    </a:ln>
    <a:effectLst/>
  </c:spPr>
  <c:txPr>
    <a:bodyPr/>
    <a:lstStyle/>
    <a:p>
      <a:pPr>
        <a:defRPr sz="1000">
          <a:latin typeface="Times New Roman" pitchFamily="18" charset="0"/>
          <a:cs typeface="Times New Roman"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80724995212507"/>
          <c:y val="7.2531302439654055E-2"/>
          <c:w val="0.8217192164284185"/>
          <c:h val="0.7535662550377924"/>
        </c:manualLayout>
      </c:layout>
      <c:lineChart>
        <c:grouping val="standard"/>
        <c:varyColors val="0"/>
        <c:ser>
          <c:idx val="0"/>
          <c:order val="0"/>
          <c:tx>
            <c:strRef>
              <c:f>'Dati grafikiem_'!$A$24</c:f>
              <c:strCache>
                <c:ptCount val="1"/>
                <c:pt idx="0">
                  <c:v>EUROPOP2023</c:v>
                </c:pt>
              </c:strCache>
            </c:strRef>
          </c:tx>
          <c:spPr>
            <a:ln w="28575" cap="rnd">
              <a:solidFill>
                <a:srgbClr val="C70039"/>
              </a:solidFill>
              <a:round/>
            </a:ln>
            <a:effectLst/>
          </c:spPr>
          <c:marker>
            <c:symbol val="none"/>
          </c:marker>
          <c:cat>
            <c:strRef>
              <c:f>'Dati grafikiem_'!$B$18:$CE$18</c:f>
              <c:strCache>
                <c:ptCount val="82"/>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pt idx="25">
                  <c:v>2044</c:v>
                </c:pt>
                <c:pt idx="26">
                  <c:v>2045</c:v>
                </c:pt>
                <c:pt idx="27">
                  <c:v>2046</c:v>
                </c:pt>
                <c:pt idx="28">
                  <c:v>2047</c:v>
                </c:pt>
                <c:pt idx="29">
                  <c:v>2048</c:v>
                </c:pt>
                <c:pt idx="30">
                  <c:v>2049</c:v>
                </c:pt>
                <c:pt idx="31">
                  <c:v>2050</c:v>
                </c:pt>
                <c:pt idx="32">
                  <c:v>2051</c:v>
                </c:pt>
                <c:pt idx="33">
                  <c:v>2052</c:v>
                </c:pt>
                <c:pt idx="34">
                  <c:v>2053</c:v>
                </c:pt>
                <c:pt idx="35">
                  <c:v>2054</c:v>
                </c:pt>
                <c:pt idx="36">
                  <c:v>2055</c:v>
                </c:pt>
                <c:pt idx="37">
                  <c:v>2056</c:v>
                </c:pt>
                <c:pt idx="38">
                  <c:v>2057</c:v>
                </c:pt>
                <c:pt idx="39">
                  <c:v>2058</c:v>
                </c:pt>
                <c:pt idx="40">
                  <c:v>2059</c:v>
                </c:pt>
                <c:pt idx="41">
                  <c:v>2060</c:v>
                </c:pt>
                <c:pt idx="42">
                  <c:v>2061</c:v>
                </c:pt>
                <c:pt idx="43">
                  <c:v>2062</c:v>
                </c:pt>
                <c:pt idx="44">
                  <c:v>2063</c:v>
                </c:pt>
                <c:pt idx="45">
                  <c:v>2064</c:v>
                </c:pt>
                <c:pt idx="46">
                  <c:v>2065</c:v>
                </c:pt>
                <c:pt idx="47">
                  <c:v>2066</c:v>
                </c:pt>
                <c:pt idx="48">
                  <c:v>2067</c:v>
                </c:pt>
                <c:pt idx="49">
                  <c:v>2068</c:v>
                </c:pt>
                <c:pt idx="50">
                  <c:v>2069</c:v>
                </c:pt>
                <c:pt idx="51">
                  <c:v>2070</c:v>
                </c:pt>
                <c:pt idx="52">
                  <c:v>2071</c:v>
                </c:pt>
                <c:pt idx="53">
                  <c:v>2072</c:v>
                </c:pt>
                <c:pt idx="54">
                  <c:v>2073</c:v>
                </c:pt>
                <c:pt idx="55">
                  <c:v>2074</c:v>
                </c:pt>
                <c:pt idx="56">
                  <c:v>2075</c:v>
                </c:pt>
                <c:pt idx="57">
                  <c:v>2076</c:v>
                </c:pt>
                <c:pt idx="58">
                  <c:v>2077</c:v>
                </c:pt>
                <c:pt idx="59">
                  <c:v>2078</c:v>
                </c:pt>
                <c:pt idx="60">
                  <c:v>2079</c:v>
                </c:pt>
                <c:pt idx="61">
                  <c:v>2080</c:v>
                </c:pt>
                <c:pt idx="62">
                  <c:v>2081</c:v>
                </c:pt>
                <c:pt idx="63">
                  <c:v>2082</c:v>
                </c:pt>
                <c:pt idx="64">
                  <c:v>2083</c:v>
                </c:pt>
                <c:pt idx="65">
                  <c:v>2084</c:v>
                </c:pt>
                <c:pt idx="66">
                  <c:v>2085</c:v>
                </c:pt>
                <c:pt idx="67">
                  <c:v>2086</c:v>
                </c:pt>
                <c:pt idx="68">
                  <c:v>2087</c:v>
                </c:pt>
                <c:pt idx="69">
                  <c:v>2088</c:v>
                </c:pt>
                <c:pt idx="70">
                  <c:v>2089</c:v>
                </c:pt>
                <c:pt idx="71">
                  <c:v>2090</c:v>
                </c:pt>
                <c:pt idx="72">
                  <c:v>2091</c:v>
                </c:pt>
                <c:pt idx="73">
                  <c:v>2092</c:v>
                </c:pt>
                <c:pt idx="74">
                  <c:v>2093</c:v>
                </c:pt>
                <c:pt idx="75">
                  <c:v>2094</c:v>
                </c:pt>
                <c:pt idx="76">
                  <c:v>2095</c:v>
                </c:pt>
                <c:pt idx="77">
                  <c:v>2096</c:v>
                </c:pt>
                <c:pt idx="78">
                  <c:v>2097</c:v>
                </c:pt>
                <c:pt idx="79">
                  <c:v>2098</c:v>
                </c:pt>
                <c:pt idx="80">
                  <c:v>2099</c:v>
                </c:pt>
                <c:pt idx="81">
                  <c:v>2100</c:v>
                </c:pt>
              </c:strCache>
            </c:strRef>
          </c:cat>
          <c:val>
            <c:numRef>
              <c:f>'Dati grafikiem_'!$B$24:$CE$24</c:f>
              <c:numCache>
                <c:formatCode>General</c:formatCode>
                <c:ptCount val="82"/>
                <c:pt idx="3" formatCode="#,##0">
                  <c:v>1875757</c:v>
                </c:pt>
                <c:pt idx="4" formatCode="#,##0">
                  <c:v>1894146</c:v>
                </c:pt>
                <c:pt idx="5" formatCode="#,##0">
                  <c:v>1883405</c:v>
                </c:pt>
                <c:pt idx="6" formatCode="#,##0">
                  <c:v>1863089</c:v>
                </c:pt>
                <c:pt idx="7" formatCode="#,##0">
                  <c:v>1842409</c:v>
                </c:pt>
                <c:pt idx="8" formatCode="#,##0">
                  <c:v>1821191</c:v>
                </c:pt>
                <c:pt idx="9" formatCode="#,##0">
                  <c:v>1799221</c:v>
                </c:pt>
                <c:pt idx="10" formatCode="#,##0">
                  <c:v>1777599</c:v>
                </c:pt>
                <c:pt idx="11" formatCode="#,##0">
                  <c:v>1756334</c:v>
                </c:pt>
                <c:pt idx="12" formatCode="#,##0">
                  <c:v>1735494</c:v>
                </c:pt>
                <c:pt idx="13" formatCode="#,##0">
                  <c:v>1715311</c:v>
                </c:pt>
                <c:pt idx="14" formatCode="#,##0">
                  <c:v>1695872</c:v>
                </c:pt>
                <c:pt idx="15" formatCode="#,##0">
                  <c:v>1677235</c:v>
                </c:pt>
                <c:pt idx="16" formatCode="#,##0">
                  <c:v>1660761</c:v>
                </c:pt>
                <c:pt idx="17" formatCode="#,##0">
                  <c:v>1644951</c:v>
                </c:pt>
                <c:pt idx="18" formatCode="#,##0">
                  <c:v>1629686</c:v>
                </c:pt>
                <c:pt idx="19" formatCode="#,##0">
                  <c:v>1615018</c:v>
                </c:pt>
                <c:pt idx="20" formatCode="#,##0">
                  <c:v>1600744</c:v>
                </c:pt>
                <c:pt idx="21" formatCode="#,##0">
                  <c:v>1586936</c:v>
                </c:pt>
                <c:pt idx="22" formatCode="#,##0">
                  <c:v>1573577</c:v>
                </c:pt>
                <c:pt idx="23" formatCode="#,##0">
                  <c:v>1560580</c:v>
                </c:pt>
                <c:pt idx="24" formatCode="#,##0">
                  <c:v>1547902</c:v>
                </c:pt>
                <c:pt idx="25" formatCode="#,##0">
                  <c:v>1535496</c:v>
                </c:pt>
                <c:pt idx="26" formatCode="#,##0">
                  <c:v>1523373</c:v>
                </c:pt>
                <c:pt idx="27" formatCode="#,##0">
                  <c:v>1511495</c:v>
                </c:pt>
                <c:pt idx="28" formatCode="#,##0">
                  <c:v>1499829</c:v>
                </c:pt>
                <c:pt idx="29" formatCode="#,##0">
                  <c:v>1488373</c:v>
                </c:pt>
                <c:pt idx="30" formatCode="#,##0">
                  <c:v>1477173</c:v>
                </c:pt>
                <c:pt idx="31" formatCode="#,##0">
                  <c:v>1466019</c:v>
                </c:pt>
                <c:pt idx="32" formatCode="#,##0">
                  <c:v>1454910</c:v>
                </c:pt>
                <c:pt idx="33" formatCode="#,##0">
                  <c:v>1443947</c:v>
                </c:pt>
                <c:pt idx="34" formatCode="#,##0">
                  <c:v>1433053</c:v>
                </c:pt>
                <c:pt idx="35" formatCode="#,##0">
                  <c:v>1422197</c:v>
                </c:pt>
                <c:pt idx="36" formatCode="#,##0">
                  <c:v>1411313</c:v>
                </c:pt>
                <c:pt idx="37" formatCode="#,##0">
                  <c:v>1400472</c:v>
                </c:pt>
                <c:pt idx="38" formatCode="#,##0">
                  <c:v>1389616</c:v>
                </c:pt>
                <c:pt idx="39" formatCode="#,##0">
                  <c:v>1378793</c:v>
                </c:pt>
                <c:pt idx="40" formatCode="#,##0">
                  <c:v>1367851</c:v>
                </c:pt>
                <c:pt idx="41" formatCode="#,##0">
                  <c:v>1356948</c:v>
                </c:pt>
                <c:pt idx="42" formatCode="#,##0">
                  <c:v>1346109</c:v>
                </c:pt>
                <c:pt idx="43" formatCode="#,##0">
                  <c:v>1335369</c:v>
                </c:pt>
                <c:pt idx="44" formatCode="#,##0">
                  <c:v>1324822</c:v>
                </c:pt>
                <c:pt idx="45" formatCode="#,##0">
                  <c:v>1314550</c:v>
                </c:pt>
                <c:pt idx="46" formatCode="#,##0">
                  <c:v>1304642</c:v>
                </c:pt>
                <c:pt idx="47" formatCode="#,##0">
                  <c:v>1295140</c:v>
                </c:pt>
                <c:pt idx="48" formatCode="#,##0">
                  <c:v>1285927</c:v>
                </c:pt>
                <c:pt idx="49" formatCode="#,##0">
                  <c:v>1277070</c:v>
                </c:pt>
                <c:pt idx="50" formatCode="#,##0">
                  <c:v>1268630</c:v>
                </c:pt>
                <c:pt idx="51" formatCode="#,##0">
                  <c:v>1260499</c:v>
                </c:pt>
                <c:pt idx="52" formatCode="#,##0">
                  <c:v>1252841</c:v>
                </c:pt>
                <c:pt idx="53" formatCode="#,##0">
                  <c:v>1245571</c:v>
                </c:pt>
                <c:pt idx="54" formatCode="#,##0">
                  <c:v>1238730</c:v>
                </c:pt>
                <c:pt idx="55" formatCode="#,##0">
                  <c:v>1232293</c:v>
                </c:pt>
                <c:pt idx="56" formatCode="#,##0">
                  <c:v>1225991</c:v>
                </c:pt>
                <c:pt idx="57" formatCode="#,##0">
                  <c:v>1219878</c:v>
                </c:pt>
                <c:pt idx="58" formatCode="#,##0">
                  <c:v>1214034</c:v>
                </c:pt>
                <c:pt idx="59" formatCode="#,##0">
                  <c:v>1208602</c:v>
                </c:pt>
                <c:pt idx="60" formatCode="#,##0">
                  <c:v>1203556</c:v>
                </c:pt>
                <c:pt idx="61" formatCode="#,##0">
                  <c:v>1198921</c:v>
                </c:pt>
                <c:pt idx="62" formatCode="#,##0">
                  <c:v>1194630</c:v>
                </c:pt>
                <c:pt idx="63" formatCode="#,##0">
                  <c:v>1190672</c:v>
                </c:pt>
                <c:pt idx="64" formatCode="#,##0">
                  <c:v>1186958</c:v>
                </c:pt>
                <c:pt idx="65" formatCode="#,##0">
                  <c:v>1183486</c:v>
                </c:pt>
                <c:pt idx="66" formatCode="#,##0">
                  <c:v>1180343</c:v>
                </c:pt>
                <c:pt idx="67" formatCode="#,##0">
                  <c:v>1177495</c:v>
                </c:pt>
                <c:pt idx="68" formatCode="#,##0">
                  <c:v>1175042</c:v>
                </c:pt>
                <c:pt idx="69" formatCode="#,##0">
                  <c:v>1172838</c:v>
                </c:pt>
                <c:pt idx="70" formatCode="#,##0">
                  <c:v>1171017</c:v>
                </c:pt>
                <c:pt idx="71" formatCode="#,##0">
                  <c:v>1169517</c:v>
                </c:pt>
                <c:pt idx="72" formatCode="#,##0">
                  <c:v>1168313</c:v>
                </c:pt>
                <c:pt idx="73" formatCode="#,##0">
                  <c:v>1167394</c:v>
                </c:pt>
                <c:pt idx="74" formatCode="#,##0">
                  <c:v>1166713</c:v>
                </c:pt>
                <c:pt idx="75" formatCode="#,##0">
                  <c:v>1166248</c:v>
                </c:pt>
                <c:pt idx="76" formatCode="#,##0">
                  <c:v>1165965</c:v>
                </c:pt>
                <c:pt idx="77" formatCode="#,##0">
                  <c:v>1165806</c:v>
                </c:pt>
                <c:pt idx="78" formatCode="#,##0">
                  <c:v>1165741</c:v>
                </c:pt>
                <c:pt idx="79" formatCode="#,##0">
                  <c:v>1165733</c:v>
                </c:pt>
                <c:pt idx="80" formatCode="#,##0">
                  <c:v>1165776</c:v>
                </c:pt>
                <c:pt idx="81" formatCode="#,##0">
                  <c:v>1165838</c:v>
                </c:pt>
              </c:numCache>
            </c:numRef>
          </c:val>
          <c:smooth val="0"/>
          <c:extLst>
            <c:ext xmlns:c16="http://schemas.microsoft.com/office/drawing/2014/chart" uri="{C3380CC4-5D6E-409C-BE32-E72D297353CC}">
              <c16:uniqueId val="{00000000-D3AA-49BD-B882-8557AA48CCD1}"/>
            </c:ext>
          </c:extLst>
        </c:ser>
        <c:ser>
          <c:idx val="1"/>
          <c:order val="1"/>
          <c:tx>
            <c:strRef>
              <c:f>'Dati grafikiem_'!$A$19</c:f>
              <c:strCache>
                <c:ptCount val="1"/>
                <c:pt idx="0">
                  <c:v>EUROPOP2019</c:v>
                </c:pt>
              </c:strCache>
            </c:strRef>
          </c:tx>
          <c:spPr>
            <a:ln w="28575" cap="rnd">
              <a:solidFill>
                <a:srgbClr val="00BAAD"/>
              </a:solidFill>
              <a:round/>
            </a:ln>
            <a:effectLst/>
          </c:spPr>
          <c:marker>
            <c:symbol val="none"/>
          </c:marker>
          <c:cat>
            <c:strRef>
              <c:f>'Dati grafikiem_'!$B$18:$CE$18</c:f>
              <c:strCache>
                <c:ptCount val="82"/>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pt idx="25">
                  <c:v>2044</c:v>
                </c:pt>
                <c:pt idx="26">
                  <c:v>2045</c:v>
                </c:pt>
                <c:pt idx="27">
                  <c:v>2046</c:v>
                </c:pt>
                <c:pt idx="28">
                  <c:v>2047</c:v>
                </c:pt>
                <c:pt idx="29">
                  <c:v>2048</c:v>
                </c:pt>
                <c:pt idx="30">
                  <c:v>2049</c:v>
                </c:pt>
                <c:pt idx="31">
                  <c:v>2050</c:v>
                </c:pt>
                <c:pt idx="32">
                  <c:v>2051</c:v>
                </c:pt>
                <c:pt idx="33">
                  <c:v>2052</c:v>
                </c:pt>
                <c:pt idx="34">
                  <c:v>2053</c:v>
                </c:pt>
                <c:pt idx="35">
                  <c:v>2054</c:v>
                </c:pt>
                <c:pt idx="36">
                  <c:v>2055</c:v>
                </c:pt>
                <c:pt idx="37">
                  <c:v>2056</c:v>
                </c:pt>
                <c:pt idx="38">
                  <c:v>2057</c:v>
                </c:pt>
                <c:pt idx="39">
                  <c:v>2058</c:v>
                </c:pt>
                <c:pt idx="40">
                  <c:v>2059</c:v>
                </c:pt>
                <c:pt idx="41">
                  <c:v>2060</c:v>
                </c:pt>
                <c:pt idx="42">
                  <c:v>2061</c:v>
                </c:pt>
                <c:pt idx="43">
                  <c:v>2062</c:v>
                </c:pt>
                <c:pt idx="44">
                  <c:v>2063</c:v>
                </c:pt>
                <c:pt idx="45">
                  <c:v>2064</c:v>
                </c:pt>
                <c:pt idx="46">
                  <c:v>2065</c:v>
                </c:pt>
                <c:pt idx="47">
                  <c:v>2066</c:v>
                </c:pt>
                <c:pt idx="48">
                  <c:v>2067</c:v>
                </c:pt>
                <c:pt idx="49">
                  <c:v>2068</c:v>
                </c:pt>
                <c:pt idx="50">
                  <c:v>2069</c:v>
                </c:pt>
                <c:pt idx="51">
                  <c:v>2070</c:v>
                </c:pt>
                <c:pt idx="52">
                  <c:v>2071</c:v>
                </c:pt>
                <c:pt idx="53">
                  <c:v>2072</c:v>
                </c:pt>
                <c:pt idx="54">
                  <c:v>2073</c:v>
                </c:pt>
                <c:pt idx="55">
                  <c:v>2074</c:v>
                </c:pt>
                <c:pt idx="56">
                  <c:v>2075</c:v>
                </c:pt>
                <c:pt idx="57">
                  <c:v>2076</c:v>
                </c:pt>
                <c:pt idx="58">
                  <c:v>2077</c:v>
                </c:pt>
                <c:pt idx="59">
                  <c:v>2078</c:v>
                </c:pt>
                <c:pt idx="60">
                  <c:v>2079</c:v>
                </c:pt>
                <c:pt idx="61">
                  <c:v>2080</c:v>
                </c:pt>
                <c:pt idx="62">
                  <c:v>2081</c:v>
                </c:pt>
                <c:pt idx="63">
                  <c:v>2082</c:v>
                </c:pt>
                <c:pt idx="64">
                  <c:v>2083</c:v>
                </c:pt>
                <c:pt idx="65">
                  <c:v>2084</c:v>
                </c:pt>
                <c:pt idx="66">
                  <c:v>2085</c:v>
                </c:pt>
                <c:pt idx="67">
                  <c:v>2086</c:v>
                </c:pt>
                <c:pt idx="68">
                  <c:v>2087</c:v>
                </c:pt>
                <c:pt idx="69">
                  <c:v>2088</c:v>
                </c:pt>
                <c:pt idx="70">
                  <c:v>2089</c:v>
                </c:pt>
                <c:pt idx="71">
                  <c:v>2090</c:v>
                </c:pt>
                <c:pt idx="72">
                  <c:v>2091</c:v>
                </c:pt>
                <c:pt idx="73">
                  <c:v>2092</c:v>
                </c:pt>
                <c:pt idx="74">
                  <c:v>2093</c:v>
                </c:pt>
                <c:pt idx="75">
                  <c:v>2094</c:v>
                </c:pt>
                <c:pt idx="76">
                  <c:v>2095</c:v>
                </c:pt>
                <c:pt idx="77">
                  <c:v>2096</c:v>
                </c:pt>
                <c:pt idx="78">
                  <c:v>2097</c:v>
                </c:pt>
                <c:pt idx="79">
                  <c:v>2098</c:v>
                </c:pt>
                <c:pt idx="80">
                  <c:v>2099</c:v>
                </c:pt>
                <c:pt idx="81">
                  <c:v>2100</c:v>
                </c:pt>
              </c:strCache>
            </c:strRef>
          </c:cat>
          <c:val>
            <c:numRef>
              <c:f>'Dati grafikiem_'!$B$19:$CE$19</c:f>
              <c:numCache>
                <c:formatCode>#,##0</c:formatCode>
                <c:ptCount val="82"/>
                <c:pt idx="0">
                  <c:v>1919968</c:v>
                </c:pt>
                <c:pt idx="1">
                  <c:v>1907094</c:v>
                </c:pt>
                <c:pt idx="2">
                  <c:v>1893531</c:v>
                </c:pt>
                <c:pt idx="3">
                  <c:v>1877607</c:v>
                </c:pt>
                <c:pt idx="4">
                  <c:v>1859304</c:v>
                </c:pt>
                <c:pt idx="5">
                  <c:v>1838620</c:v>
                </c:pt>
                <c:pt idx="6">
                  <c:v>1815550</c:v>
                </c:pt>
                <c:pt idx="7">
                  <c:v>1794497</c:v>
                </c:pt>
                <c:pt idx="8">
                  <c:v>1773651</c:v>
                </c:pt>
                <c:pt idx="9">
                  <c:v>1753046</c:v>
                </c:pt>
                <c:pt idx="10">
                  <c:v>1732744</c:v>
                </c:pt>
                <c:pt idx="11">
                  <c:v>1712746</c:v>
                </c:pt>
                <c:pt idx="12">
                  <c:v>1693121</c:v>
                </c:pt>
                <c:pt idx="13">
                  <c:v>1673877</c:v>
                </c:pt>
                <c:pt idx="14">
                  <c:v>1655077</c:v>
                </c:pt>
                <c:pt idx="15" formatCode="#\ ##0.0">
                  <c:v>1636712</c:v>
                </c:pt>
                <c:pt idx="16" formatCode="#\ ##0.0">
                  <c:v>1618827</c:v>
                </c:pt>
                <c:pt idx="17" formatCode="#\ ##0.0">
                  <c:v>1601399</c:v>
                </c:pt>
                <c:pt idx="18" formatCode="#\ ##0.0">
                  <c:v>1584446</c:v>
                </c:pt>
                <c:pt idx="19" formatCode="#\ ##0.0">
                  <c:v>1567921</c:v>
                </c:pt>
                <c:pt idx="20" formatCode="#\ ##0.0">
                  <c:v>1551817</c:v>
                </c:pt>
                <c:pt idx="21">
                  <c:v>1536108</c:v>
                </c:pt>
                <c:pt idx="22">
                  <c:v>1520770</c:v>
                </c:pt>
                <c:pt idx="23">
                  <c:v>1505766</c:v>
                </c:pt>
                <c:pt idx="24">
                  <c:v>1491083</c:v>
                </c:pt>
                <c:pt idx="25">
                  <c:v>1476687</c:v>
                </c:pt>
                <c:pt idx="26">
                  <c:v>1462550</c:v>
                </c:pt>
                <c:pt idx="27">
                  <c:v>1448649</c:v>
                </c:pt>
                <c:pt idx="28">
                  <c:v>1434956</c:v>
                </c:pt>
                <c:pt idx="29">
                  <c:v>1421455</c:v>
                </c:pt>
                <c:pt idx="30">
                  <c:v>1408152</c:v>
                </c:pt>
                <c:pt idx="31">
                  <c:v>1395039</c:v>
                </c:pt>
                <c:pt idx="32">
                  <c:v>1382110</c:v>
                </c:pt>
                <c:pt idx="33">
                  <c:v>1369364</c:v>
                </c:pt>
                <c:pt idx="34">
                  <c:v>1356798</c:v>
                </c:pt>
                <c:pt idx="35">
                  <c:v>1344450</c:v>
                </c:pt>
                <c:pt idx="36">
                  <c:v>1332302</c:v>
                </c:pt>
                <c:pt idx="37">
                  <c:v>1320377</c:v>
                </c:pt>
                <c:pt idx="38">
                  <c:v>1308683</c:v>
                </c:pt>
                <c:pt idx="39">
                  <c:v>1297228</c:v>
                </c:pt>
                <c:pt idx="40">
                  <c:v>1286024</c:v>
                </c:pt>
                <c:pt idx="41">
                  <c:v>1275102</c:v>
                </c:pt>
                <c:pt idx="42">
                  <c:v>1264457</c:v>
                </c:pt>
                <c:pt idx="43">
                  <c:v>1254101</c:v>
                </c:pt>
                <c:pt idx="44">
                  <c:v>1244039</c:v>
                </c:pt>
                <c:pt idx="45">
                  <c:v>1234266</c:v>
                </c:pt>
                <c:pt idx="46">
                  <c:v>1224806</c:v>
                </c:pt>
                <c:pt idx="47">
                  <c:v>1215645</c:v>
                </c:pt>
                <c:pt idx="48">
                  <c:v>1206793</c:v>
                </c:pt>
                <c:pt idx="49">
                  <c:v>1198216</c:v>
                </c:pt>
                <c:pt idx="50">
                  <c:v>1189947</c:v>
                </c:pt>
                <c:pt idx="51">
                  <c:v>1181968</c:v>
                </c:pt>
                <c:pt idx="52">
                  <c:v>1174272</c:v>
                </c:pt>
                <c:pt idx="53">
                  <c:v>1166862</c:v>
                </c:pt>
                <c:pt idx="54">
                  <c:v>1159736</c:v>
                </c:pt>
                <c:pt idx="55">
                  <c:v>1152876</c:v>
                </c:pt>
                <c:pt idx="56">
                  <c:v>1146289</c:v>
                </c:pt>
                <c:pt idx="57">
                  <c:v>1139966</c:v>
                </c:pt>
                <c:pt idx="58">
                  <c:v>1133913</c:v>
                </c:pt>
                <c:pt idx="59">
                  <c:v>1128152</c:v>
                </c:pt>
                <c:pt idx="60">
                  <c:v>1122675</c:v>
                </c:pt>
                <c:pt idx="61">
                  <c:v>1117481</c:v>
                </c:pt>
                <c:pt idx="62">
                  <c:v>1112596</c:v>
                </c:pt>
                <c:pt idx="63">
                  <c:v>1108052</c:v>
                </c:pt>
                <c:pt idx="64">
                  <c:v>1103838</c:v>
                </c:pt>
                <c:pt idx="65">
                  <c:v>1099978</c:v>
                </c:pt>
                <c:pt idx="66">
                  <c:v>1096480</c:v>
                </c:pt>
                <c:pt idx="67">
                  <c:v>1093369</c:v>
                </c:pt>
                <c:pt idx="68">
                  <c:v>1090607</c:v>
                </c:pt>
                <c:pt idx="69">
                  <c:v>1088234</c:v>
                </c:pt>
                <c:pt idx="70">
                  <c:v>1086233</c:v>
                </c:pt>
                <c:pt idx="71">
                  <c:v>1084591</c:v>
                </c:pt>
                <c:pt idx="72">
                  <c:v>1083292</c:v>
                </c:pt>
                <c:pt idx="73">
                  <c:v>1082306</c:v>
                </c:pt>
                <c:pt idx="74">
                  <c:v>1081579</c:v>
                </c:pt>
                <c:pt idx="75">
                  <c:v>1081103</c:v>
                </c:pt>
                <c:pt idx="76">
                  <c:v>1080838</c:v>
                </c:pt>
                <c:pt idx="77">
                  <c:v>1080751</c:v>
                </c:pt>
                <c:pt idx="78">
                  <c:v>1080826</c:v>
                </c:pt>
                <c:pt idx="79">
                  <c:v>1081008</c:v>
                </c:pt>
                <c:pt idx="80">
                  <c:v>1081293</c:v>
                </c:pt>
                <c:pt idx="81">
                  <c:v>1081686</c:v>
                </c:pt>
              </c:numCache>
            </c:numRef>
          </c:val>
          <c:smooth val="0"/>
          <c:extLst>
            <c:ext xmlns:c16="http://schemas.microsoft.com/office/drawing/2014/chart" uri="{C3380CC4-5D6E-409C-BE32-E72D297353CC}">
              <c16:uniqueId val="{00000001-D3AA-49BD-B882-8557AA48CCD1}"/>
            </c:ext>
          </c:extLst>
        </c:ser>
        <c:dLbls>
          <c:showLegendKey val="0"/>
          <c:showVal val="0"/>
          <c:showCatName val="0"/>
          <c:showSerName val="0"/>
          <c:showPercent val="0"/>
          <c:showBubbleSize val="0"/>
        </c:dLbls>
        <c:smooth val="0"/>
        <c:axId val="411728432"/>
        <c:axId val="2105115136"/>
      </c:lineChart>
      <c:catAx>
        <c:axId val="41172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crossAx val="2105115136"/>
        <c:crosses val="autoZero"/>
        <c:auto val="1"/>
        <c:lblAlgn val="ctr"/>
        <c:lblOffset val="100"/>
        <c:noMultiLvlLbl val="0"/>
      </c:catAx>
      <c:valAx>
        <c:axId val="2105115136"/>
        <c:scaling>
          <c:orientation val="minMax"/>
          <c:max val="2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crossAx val="411728432"/>
        <c:crosses val="autoZero"/>
        <c:crossBetween val="between"/>
        <c:majorUnit val="250000"/>
      </c:valAx>
      <c:spPr>
        <a:noFill/>
        <a:ln>
          <a:noFill/>
        </a:ln>
        <a:effectLst/>
      </c:spPr>
    </c:plotArea>
    <c:legend>
      <c:legendPos val="b"/>
      <c:layout>
        <c:manualLayout>
          <c:xMode val="edge"/>
          <c:yMode val="edge"/>
          <c:x val="0.52124626130867313"/>
          <c:y val="0.54613446543225808"/>
          <c:w val="0.46075894276445556"/>
          <c:h val="0.208893765328514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a:solidFill>
            <a:sysClr val="windowText" lastClr="000000"/>
          </a:solidFill>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037433845359491E-2"/>
          <c:y val="4.3885005028577034E-2"/>
          <c:w val="0.88834889825401542"/>
          <c:h val="0.77870377753413733"/>
        </c:manualLayout>
      </c:layout>
      <c:lineChart>
        <c:grouping val="standard"/>
        <c:varyColors val="0"/>
        <c:ser>
          <c:idx val="0"/>
          <c:order val="0"/>
          <c:tx>
            <c:strRef>
              <c:f>'Dati grafikiem_'!$A$163</c:f>
              <c:strCache>
                <c:ptCount val="1"/>
                <c:pt idx="0">
                  <c:v>EUROPOP2023</c:v>
                </c:pt>
              </c:strCache>
            </c:strRef>
          </c:tx>
          <c:spPr>
            <a:ln w="28575" cap="rnd">
              <a:solidFill>
                <a:srgbClr val="2A7B9B"/>
              </a:solidFill>
              <a:round/>
            </a:ln>
            <a:effectLst/>
          </c:spPr>
          <c:marker>
            <c:symbol val="none"/>
          </c:marker>
          <c:cat>
            <c:strRef>
              <c:f>'Dati grafikiem_'!$B$162:$CE$162</c:f>
              <c:strCache>
                <c:ptCount val="82"/>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pt idx="25">
                  <c:v>2044</c:v>
                </c:pt>
                <c:pt idx="26">
                  <c:v>2045</c:v>
                </c:pt>
                <c:pt idx="27">
                  <c:v>2046</c:v>
                </c:pt>
                <c:pt idx="28">
                  <c:v>2047</c:v>
                </c:pt>
                <c:pt idx="29">
                  <c:v>2048</c:v>
                </c:pt>
                <c:pt idx="30">
                  <c:v>2049</c:v>
                </c:pt>
                <c:pt idx="31">
                  <c:v>2050</c:v>
                </c:pt>
                <c:pt idx="32">
                  <c:v>2051</c:v>
                </c:pt>
                <c:pt idx="33">
                  <c:v>2052</c:v>
                </c:pt>
                <c:pt idx="34">
                  <c:v>2053</c:v>
                </c:pt>
                <c:pt idx="35">
                  <c:v>2054</c:v>
                </c:pt>
                <c:pt idx="36">
                  <c:v>2055</c:v>
                </c:pt>
                <c:pt idx="37">
                  <c:v>2056</c:v>
                </c:pt>
                <c:pt idx="38">
                  <c:v>2057</c:v>
                </c:pt>
                <c:pt idx="39">
                  <c:v>2058</c:v>
                </c:pt>
                <c:pt idx="40">
                  <c:v>2059</c:v>
                </c:pt>
                <c:pt idx="41">
                  <c:v>2060</c:v>
                </c:pt>
                <c:pt idx="42">
                  <c:v>2061</c:v>
                </c:pt>
                <c:pt idx="43">
                  <c:v>2062</c:v>
                </c:pt>
                <c:pt idx="44">
                  <c:v>2063</c:v>
                </c:pt>
                <c:pt idx="45">
                  <c:v>2064</c:v>
                </c:pt>
                <c:pt idx="46">
                  <c:v>2065</c:v>
                </c:pt>
                <c:pt idx="47">
                  <c:v>2066</c:v>
                </c:pt>
                <c:pt idx="48">
                  <c:v>2067</c:v>
                </c:pt>
                <c:pt idx="49">
                  <c:v>2068</c:v>
                </c:pt>
                <c:pt idx="50">
                  <c:v>2069</c:v>
                </c:pt>
                <c:pt idx="51">
                  <c:v>2070</c:v>
                </c:pt>
                <c:pt idx="52">
                  <c:v>2071</c:v>
                </c:pt>
                <c:pt idx="53">
                  <c:v>2072</c:v>
                </c:pt>
                <c:pt idx="54">
                  <c:v>2073</c:v>
                </c:pt>
                <c:pt idx="55">
                  <c:v>2074</c:v>
                </c:pt>
                <c:pt idx="56">
                  <c:v>2075</c:v>
                </c:pt>
                <c:pt idx="57">
                  <c:v>2076</c:v>
                </c:pt>
                <c:pt idx="58">
                  <c:v>2077</c:v>
                </c:pt>
                <c:pt idx="59">
                  <c:v>2078</c:v>
                </c:pt>
                <c:pt idx="60">
                  <c:v>2079</c:v>
                </c:pt>
                <c:pt idx="61">
                  <c:v>2080</c:v>
                </c:pt>
                <c:pt idx="62">
                  <c:v>2081</c:v>
                </c:pt>
                <c:pt idx="63">
                  <c:v>2082</c:v>
                </c:pt>
                <c:pt idx="64">
                  <c:v>2083</c:v>
                </c:pt>
                <c:pt idx="65">
                  <c:v>2084</c:v>
                </c:pt>
                <c:pt idx="66">
                  <c:v>2085</c:v>
                </c:pt>
                <c:pt idx="67">
                  <c:v>2086</c:v>
                </c:pt>
                <c:pt idx="68">
                  <c:v>2087</c:v>
                </c:pt>
                <c:pt idx="69">
                  <c:v>2088</c:v>
                </c:pt>
                <c:pt idx="70">
                  <c:v>2089</c:v>
                </c:pt>
                <c:pt idx="71">
                  <c:v>2090</c:v>
                </c:pt>
                <c:pt idx="72">
                  <c:v>2091</c:v>
                </c:pt>
                <c:pt idx="73">
                  <c:v>2092</c:v>
                </c:pt>
                <c:pt idx="74">
                  <c:v>2093</c:v>
                </c:pt>
                <c:pt idx="75">
                  <c:v>2094</c:v>
                </c:pt>
                <c:pt idx="76">
                  <c:v>2095</c:v>
                </c:pt>
                <c:pt idx="77">
                  <c:v>2096</c:v>
                </c:pt>
                <c:pt idx="78">
                  <c:v>2097</c:v>
                </c:pt>
                <c:pt idx="79">
                  <c:v>2098</c:v>
                </c:pt>
                <c:pt idx="80">
                  <c:v>2099</c:v>
                </c:pt>
                <c:pt idx="81">
                  <c:v>2100</c:v>
                </c:pt>
              </c:strCache>
            </c:strRef>
          </c:cat>
          <c:val>
            <c:numRef>
              <c:f>'Dati grafikiem_'!$B$163:$CE$163</c:f>
              <c:numCache>
                <c:formatCode>General</c:formatCode>
                <c:ptCount val="82"/>
                <c:pt idx="3" formatCode="#\ ##0.##########">
                  <c:v>33.1</c:v>
                </c:pt>
                <c:pt idx="4" formatCode="#\ ##0.##########">
                  <c:v>33.1</c:v>
                </c:pt>
                <c:pt idx="5" formatCode="#\ ##0.##########">
                  <c:v>33.700000000000003</c:v>
                </c:pt>
                <c:pt idx="6" formatCode="#\ ##0.##########">
                  <c:v>34.6</c:v>
                </c:pt>
                <c:pt idx="7" formatCode="#\ ##0.##########">
                  <c:v>35.5</c:v>
                </c:pt>
                <c:pt idx="8" formatCode="#\ ##0.##########">
                  <c:v>36.4</c:v>
                </c:pt>
                <c:pt idx="9" formatCode="#\ ##0.##########">
                  <c:v>37.299999999999997</c:v>
                </c:pt>
                <c:pt idx="10" formatCode="#\ ##0.0">
                  <c:v>38</c:v>
                </c:pt>
                <c:pt idx="11" formatCode="#\ ##0.##########">
                  <c:v>38.700000000000003</c:v>
                </c:pt>
                <c:pt idx="12" formatCode="#\ ##0.##########">
                  <c:v>39.1</c:v>
                </c:pt>
                <c:pt idx="13" formatCode="#\ ##0.##########">
                  <c:v>39.6</c:v>
                </c:pt>
                <c:pt idx="14" formatCode="#\ ##0.##########">
                  <c:v>40.200000000000003</c:v>
                </c:pt>
                <c:pt idx="15" formatCode="#\ ##0.##########">
                  <c:v>40.799999999999997</c:v>
                </c:pt>
                <c:pt idx="16" formatCode="#\ ##0.##########">
                  <c:v>41.4</c:v>
                </c:pt>
                <c:pt idx="17" formatCode="#\ ##0.##########">
                  <c:v>42.1</c:v>
                </c:pt>
                <c:pt idx="18" formatCode="#\ ##0.0">
                  <c:v>43</c:v>
                </c:pt>
                <c:pt idx="19" formatCode="#\ ##0.##########">
                  <c:v>43.8</c:v>
                </c:pt>
                <c:pt idx="20" formatCode="#\ ##0.##########">
                  <c:v>44.5</c:v>
                </c:pt>
                <c:pt idx="21" formatCode="#\ ##0.##########">
                  <c:v>45.3</c:v>
                </c:pt>
                <c:pt idx="22" formatCode="#\ ##0.##########">
                  <c:v>46.1</c:v>
                </c:pt>
                <c:pt idx="23" formatCode="#\ ##0.##########">
                  <c:v>46.8</c:v>
                </c:pt>
                <c:pt idx="24" formatCode="#\ ##0.##########">
                  <c:v>47.5</c:v>
                </c:pt>
                <c:pt idx="25" formatCode="#\ ##0.##########">
                  <c:v>48.1</c:v>
                </c:pt>
                <c:pt idx="26" formatCode="#\ ##0.##########">
                  <c:v>48.8</c:v>
                </c:pt>
                <c:pt idx="27" formatCode="#\ ##0.##########">
                  <c:v>49.5</c:v>
                </c:pt>
                <c:pt idx="28" formatCode="#\ ##0.##########">
                  <c:v>50.3</c:v>
                </c:pt>
                <c:pt idx="29" formatCode="#\ ##0.##########">
                  <c:v>51.2</c:v>
                </c:pt>
                <c:pt idx="30" formatCode="#\ ##0.##########">
                  <c:v>52.4</c:v>
                </c:pt>
                <c:pt idx="31" formatCode="#\ ##0.##########">
                  <c:v>53.6</c:v>
                </c:pt>
                <c:pt idx="32" formatCode="#\ ##0.##########">
                  <c:v>54.8</c:v>
                </c:pt>
                <c:pt idx="33" formatCode="#\ ##0.##########">
                  <c:v>56.2</c:v>
                </c:pt>
                <c:pt idx="34" formatCode="#\ ##0.##########">
                  <c:v>57.6</c:v>
                </c:pt>
                <c:pt idx="35" formatCode="#\ ##0.0">
                  <c:v>59</c:v>
                </c:pt>
                <c:pt idx="36" formatCode="#\ ##0.##########">
                  <c:v>60.2</c:v>
                </c:pt>
                <c:pt idx="37" formatCode="#\ ##0.##########">
                  <c:v>61.3</c:v>
                </c:pt>
                <c:pt idx="38" formatCode="#\ ##0.##########">
                  <c:v>62.2</c:v>
                </c:pt>
                <c:pt idx="39" formatCode="#\ ##0.##########">
                  <c:v>62.9</c:v>
                </c:pt>
                <c:pt idx="40" formatCode="#\ ##0.0">
                  <c:v>63</c:v>
                </c:pt>
                <c:pt idx="41" formatCode="#\ ##0.##########">
                  <c:v>62.8</c:v>
                </c:pt>
                <c:pt idx="42" formatCode="#\ ##0.##########">
                  <c:v>62.3</c:v>
                </c:pt>
                <c:pt idx="43" formatCode="#\ ##0.##########">
                  <c:v>61.5</c:v>
                </c:pt>
                <c:pt idx="44" formatCode="#\ ##0.##########">
                  <c:v>60.6</c:v>
                </c:pt>
                <c:pt idx="45" formatCode="#\ ##0.##########">
                  <c:v>59.6</c:v>
                </c:pt>
                <c:pt idx="46" formatCode="#\ ##0.##########">
                  <c:v>58.8</c:v>
                </c:pt>
                <c:pt idx="47" formatCode="#\ ##0.##########">
                  <c:v>58.2</c:v>
                </c:pt>
                <c:pt idx="48" formatCode="#\ ##0.##########">
                  <c:v>57.4</c:v>
                </c:pt>
                <c:pt idx="49" formatCode="#\ ##0.##########">
                  <c:v>56.8</c:v>
                </c:pt>
                <c:pt idx="50" formatCode="#\ ##0.##########">
                  <c:v>56.4</c:v>
                </c:pt>
                <c:pt idx="51" formatCode="#\ ##0.##########">
                  <c:v>55.9</c:v>
                </c:pt>
                <c:pt idx="52" formatCode="#\ ##0.##########">
                  <c:v>55.7</c:v>
                </c:pt>
                <c:pt idx="53" formatCode="#\ ##0.##########">
                  <c:v>55.7</c:v>
                </c:pt>
                <c:pt idx="54" formatCode="#\ ##0.##########">
                  <c:v>55.9</c:v>
                </c:pt>
                <c:pt idx="55" formatCode="#\ ##0.##########">
                  <c:v>56.3</c:v>
                </c:pt>
                <c:pt idx="56" formatCode="#\ ##0.##########">
                  <c:v>56.4</c:v>
                </c:pt>
                <c:pt idx="57" formatCode="#\ ##0.##########">
                  <c:v>56.3</c:v>
                </c:pt>
                <c:pt idx="58" formatCode="#\ ##0.##########">
                  <c:v>56.1</c:v>
                </c:pt>
                <c:pt idx="59" formatCode="#\ ##0.##########">
                  <c:v>56.3</c:v>
                </c:pt>
                <c:pt idx="60" formatCode="#\ ##0.##########">
                  <c:v>56.7</c:v>
                </c:pt>
                <c:pt idx="61" formatCode="#\ ##0.##########">
                  <c:v>57.4</c:v>
                </c:pt>
                <c:pt idx="62" formatCode="#\ ##0.##########">
                  <c:v>58.2</c:v>
                </c:pt>
                <c:pt idx="63" formatCode="#\ ##0.0">
                  <c:v>59</c:v>
                </c:pt>
                <c:pt idx="64" formatCode="#\ ##0.##########">
                  <c:v>59.7</c:v>
                </c:pt>
                <c:pt idx="65" formatCode="#\ ##0.##########">
                  <c:v>60.1</c:v>
                </c:pt>
                <c:pt idx="66" formatCode="#\ ##0.##########">
                  <c:v>60.5</c:v>
                </c:pt>
                <c:pt idx="67" formatCode="#\ ##0.##########">
                  <c:v>60.7</c:v>
                </c:pt>
                <c:pt idx="68" formatCode="#\ ##0.##########">
                  <c:v>60.9</c:v>
                </c:pt>
                <c:pt idx="69" formatCode="#\ ##0.##########">
                  <c:v>60.9</c:v>
                </c:pt>
                <c:pt idx="70" formatCode="#\ ##0.0">
                  <c:v>61</c:v>
                </c:pt>
                <c:pt idx="71" formatCode="#\ ##0.##########">
                  <c:v>61.1</c:v>
                </c:pt>
                <c:pt idx="72" formatCode="#\ ##0.##########">
                  <c:v>61.1</c:v>
                </c:pt>
                <c:pt idx="73" formatCode="#\ ##0.0">
                  <c:v>61</c:v>
                </c:pt>
                <c:pt idx="74" formatCode="#\ ##0.##########">
                  <c:v>60.9</c:v>
                </c:pt>
                <c:pt idx="75" formatCode="#\ ##0.##########">
                  <c:v>60.7</c:v>
                </c:pt>
                <c:pt idx="76" formatCode="#\ ##0.##########">
                  <c:v>60.5</c:v>
                </c:pt>
                <c:pt idx="77" formatCode="#\ ##0.##########">
                  <c:v>60.3</c:v>
                </c:pt>
                <c:pt idx="78" formatCode="#\ ##0.##########">
                  <c:v>60.1</c:v>
                </c:pt>
                <c:pt idx="79" formatCode="#\ ##0.##########">
                  <c:v>59.8</c:v>
                </c:pt>
                <c:pt idx="80" formatCode="#\ ##0.##########">
                  <c:v>59.6</c:v>
                </c:pt>
                <c:pt idx="81" formatCode="#\ ##0.##########">
                  <c:v>59.4</c:v>
                </c:pt>
              </c:numCache>
            </c:numRef>
          </c:val>
          <c:smooth val="0"/>
          <c:extLst>
            <c:ext xmlns:c16="http://schemas.microsoft.com/office/drawing/2014/chart" uri="{C3380CC4-5D6E-409C-BE32-E72D297353CC}">
              <c16:uniqueId val="{00000000-0ACD-455D-BAD6-EDF94CDF867E}"/>
            </c:ext>
          </c:extLst>
        </c:ser>
        <c:ser>
          <c:idx val="1"/>
          <c:order val="1"/>
          <c:tx>
            <c:strRef>
              <c:f>'Dati grafikiem_'!$A$164</c:f>
              <c:strCache>
                <c:ptCount val="1"/>
                <c:pt idx="0">
                  <c:v>EUROPOP2019</c:v>
                </c:pt>
              </c:strCache>
            </c:strRef>
          </c:tx>
          <c:spPr>
            <a:ln w="28575" cap="rnd">
              <a:solidFill>
                <a:srgbClr val="FFC300"/>
              </a:solidFill>
              <a:round/>
            </a:ln>
            <a:effectLst/>
          </c:spPr>
          <c:marker>
            <c:symbol val="none"/>
          </c:marker>
          <c:cat>
            <c:strRef>
              <c:f>'Dati grafikiem_'!$B$162:$CE$162</c:f>
              <c:strCache>
                <c:ptCount val="82"/>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pt idx="25">
                  <c:v>2044</c:v>
                </c:pt>
                <c:pt idx="26">
                  <c:v>2045</c:v>
                </c:pt>
                <c:pt idx="27">
                  <c:v>2046</c:v>
                </c:pt>
                <c:pt idx="28">
                  <c:v>2047</c:v>
                </c:pt>
                <c:pt idx="29">
                  <c:v>2048</c:v>
                </c:pt>
                <c:pt idx="30">
                  <c:v>2049</c:v>
                </c:pt>
                <c:pt idx="31">
                  <c:v>2050</c:v>
                </c:pt>
                <c:pt idx="32">
                  <c:v>2051</c:v>
                </c:pt>
                <c:pt idx="33">
                  <c:v>2052</c:v>
                </c:pt>
                <c:pt idx="34">
                  <c:v>2053</c:v>
                </c:pt>
                <c:pt idx="35">
                  <c:v>2054</c:v>
                </c:pt>
                <c:pt idx="36">
                  <c:v>2055</c:v>
                </c:pt>
                <c:pt idx="37">
                  <c:v>2056</c:v>
                </c:pt>
                <c:pt idx="38">
                  <c:v>2057</c:v>
                </c:pt>
                <c:pt idx="39">
                  <c:v>2058</c:v>
                </c:pt>
                <c:pt idx="40">
                  <c:v>2059</c:v>
                </c:pt>
                <c:pt idx="41">
                  <c:v>2060</c:v>
                </c:pt>
                <c:pt idx="42">
                  <c:v>2061</c:v>
                </c:pt>
                <c:pt idx="43">
                  <c:v>2062</c:v>
                </c:pt>
                <c:pt idx="44">
                  <c:v>2063</c:v>
                </c:pt>
                <c:pt idx="45">
                  <c:v>2064</c:v>
                </c:pt>
                <c:pt idx="46">
                  <c:v>2065</c:v>
                </c:pt>
                <c:pt idx="47">
                  <c:v>2066</c:v>
                </c:pt>
                <c:pt idx="48">
                  <c:v>2067</c:v>
                </c:pt>
                <c:pt idx="49">
                  <c:v>2068</c:v>
                </c:pt>
                <c:pt idx="50">
                  <c:v>2069</c:v>
                </c:pt>
                <c:pt idx="51">
                  <c:v>2070</c:v>
                </c:pt>
                <c:pt idx="52">
                  <c:v>2071</c:v>
                </c:pt>
                <c:pt idx="53">
                  <c:v>2072</c:v>
                </c:pt>
                <c:pt idx="54">
                  <c:v>2073</c:v>
                </c:pt>
                <c:pt idx="55">
                  <c:v>2074</c:v>
                </c:pt>
                <c:pt idx="56">
                  <c:v>2075</c:v>
                </c:pt>
                <c:pt idx="57">
                  <c:v>2076</c:v>
                </c:pt>
                <c:pt idx="58">
                  <c:v>2077</c:v>
                </c:pt>
                <c:pt idx="59">
                  <c:v>2078</c:v>
                </c:pt>
                <c:pt idx="60">
                  <c:v>2079</c:v>
                </c:pt>
                <c:pt idx="61">
                  <c:v>2080</c:v>
                </c:pt>
                <c:pt idx="62">
                  <c:v>2081</c:v>
                </c:pt>
                <c:pt idx="63">
                  <c:v>2082</c:v>
                </c:pt>
                <c:pt idx="64">
                  <c:v>2083</c:v>
                </c:pt>
                <c:pt idx="65">
                  <c:v>2084</c:v>
                </c:pt>
                <c:pt idx="66">
                  <c:v>2085</c:v>
                </c:pt>
                <c:pt idx="67">
                  <c:v>2086</c:v>
                </c:pt>
                <c:pt idx="68">
                  <c:v>2087</c:v>
                </c:pt>
                <c:pt idx="69">
                  <c:v>2088</c:v>
                </c:pt>
                <c:pt idx="70">
                  <c:v>2089</c:v>
                </c:pt>
                <c:pt idx="71">
                  <c:v>2090</c:v>
                </c:pt>
                <c:pt idx="72">
                  <c:v>2091</c:v>
                </c:pt>
                <c:pt idx="73">
                  <c:v>2092</c:v>
                </c:pt>
                <c:pt idx="74">
                  <c:v>2093</c:v>
                </c:pt>
                <c:pt idx="75">
                  <c:v>2094</c:v>
                </c:pt>
                <c:pt idx="76">
                  <c:v>2095</c:v>
                </c:pt>
                <c:pt idx="77">
                  <c:v>2096</c:v>
                </c:pt>
                <c:pt idx="78">
                  <c:v>2097</c:v>
                </c:pt>
                <c:pt idx="79">
                  <c:v>2098</c:v>
                </c:pt>
                <c:pt idx="80">
                  <c:v>2099</c:v>
                </c:pt>
                <c:pt idx="81">
                  <c:v>2100</c:v>
                </c:pt>
              </c:strCache>
            </c:strRef>
          </c:cat>
          <c:val>
            <c:numRef>
              <c:f>'Dati grafikiem_'!$B$164:$CE$164</c:f>
              <c:numCache>
                <c:formatCode>#\ ##0.##########</c:formatCode>
                <c:ptCount val="82"/>
                <c:pt idx="0">
                  <c:v>31.7</c:v>
                </c:pt>
                <c:pt idx="1">
                  <c:v>32.4</c:v>
                </c:pt>
                <c:pt idx="2" formatCode="#\ ##0.0">
                  <c:v>33</c:v>
                </c:pt>
                <c:pt idx="3">
                  <c:v>33.6</c:v>
                </c:pt>
                <c:pt idx="4">
                  <c:v>34.4</c:v>
                </c:pt>
                <c:pt idx="5">
                  <c:v>35.4</c:v>
                </c:pt>
                <c:pt idx="6">
                  <c:v>36.4</c:v>
                </c:pt>
                <c:pt idx="7">
                  <c:v>37.5</c:v>
                </c:pt>
                <c:pt idx="8">
                  <c:v>38.6</c:v>
                </c:pt>
                <c:pt idx="9">
                  <c:v>39.6</c:v>
                </c:pt>
                <c:pt idx="10">
                  <c:v>40.5</c:v>
                </c:pt>
                <c:pt idx="11">
                  <c:v>41.2</c:v>
                </c:pt>
                <c:pt idx="12">
                  <c:v>41.8</c:v>
                </c:pt>
                <c:pt idx="13">
                  <c:v>42.4</c:v>
                </c:pt>
                <c:pt idx="14">
                  <c:v>43.1</c:v>
                </c:pt>
                <c:pt idx="15">
                  <c:v>43.8</c:v>
                </c:pt>
                <c:pt idx="16">
                  <c:v>44.5</c:v>
                </c:pt>
                <c:pt idx="17">
                  <c:v>45.4</c:v>
                </c:pt>
                <c:pt idx="18">
                  <c:v>46.3</c:v>
                </c:pt>
                <c:pt idx="19">
                  <c:v>47.2</c:v>
                </c:pt>
                <c:pt idx="20" formatCode="#\ ##0.0">
                  <c:v>48</c:v>
                </c:pt>
                <c:pt idx="21">
                  <c:v>48.8</c:v>
                </c:pt>
                <c:pt idx="22">
                  <c:v>49.6</c:v>
                </c:pt>
                <c:pt idx="23">
                  <c:v>50.4</c:v>
                </c:pt>
                <c:pt idx="24">
                  <c:v>51.1</c:v>
                </c:pt>
                <c:pt idx="25">
                  <c:v>51.8</c:v>
                </c:pt>
                <c:pt idx="26">
                  <c:v>52.4</c:v>
                </c:pt>
                <c:pt idx="27">
                  <c:v>53.1</c:v>
                </c:pt>
                <c:pt idx="28">
                  <c:v>53.9</c:v>
                </c:pt>
                <c:pt idx="29">
                  <c:v>54.7</c:v>
                </c:pt>
                <c:pt idx="30">
                  <c:v>55.7</c:v>
                </c:pt>
                <c:pt idx="31">
                  <c:v>56.7</c:v>
                </c:pt>
                <c:pt idx="32">
                  <c:v>57.6</c:v>
                </c:pt>
                <c:pt idx="33">
                  <c:v>58.7</c:v>
                </c:pt>
                <c:pt idx="34">
                  <c:v>59.7</c:v>
                </c:pt>
                <c:pt idx="35">
                  <c:v>60.7</c:v>
                </c:pt>
                <c:pt idx="36">
                  <c:v>61.6</c:v>
                </c:pt>
                <c:pt idx="37">
                  <c:v>62.4</c:v>
                </c:pt>
                <c:pt idx="38">
                  <c:v>62.9</c:v>
                </c:pt>
                <c:pt idx="39">
                  <c:v>63.4</c:v>
                </c:pt>
                <c:pt idx="40">
                  <c:v>63.4</c:v>
                </c:pt>
                <c:pt idx="41">
                  <c:v>63.2</c:v>
                </c:pt>
                <c:pt idx="42">
                  <c:v>62.8</c:v>
                </c:pt>
                <c:pt idx="43">
                  <c:v>62.2</c:v>
                </c:pt>
                <c:pt idx="44">
                  <c:v>61.5</c:v>
                </c:pt>
                <c:pt idx="45">
                  <c:v>60.9</c:v>
                </c:pt>
                <c:pt idx="46">
                  <c:v>60.3</c:v>
                </c:pt>
                <c:pt idx="47">
                  <c:v>59.9</c:v>
                </c:pt>
                <c:pt idx="48">
                  <c:v>59.3</c:v>
                </c:pt>
                <c:pt idx="49">
                  <c:v>58.9</c:v>
                </c:pt>
                <c:pt idx="50">
                  <c:v>58.5</c:v>
                </c:pt>
                <c:pt idx="51">
                  <c:v>58.1</c:v>
                </c:pt>
                <c:pt idx="52">
                  <c:v>57.8</c:v>
                </c:pt>
                <c:pt idx="53">
                  <c:v>57.7</c:v>
                </c:pt>
                <c:pt idx="54">
                  <c:v>57.7</c:v>
                </c:pt>
                <c:pt idx="55">
                  <c:v>57.8</c:v>
                </c:pt>
                <c:pt idx="56">
                  <c:v>57.7</c:v>
                </c:pt>
                <c:pt idx="57">
                  <c:v>57.5</c:v>
                </c:pt>
                <c:pt idx="58">
                  <c:v>57.3</c:v>
                </c:pt>
                <c:pt idx="59">
                  <c:v>57.2</c:v>
                </c:pt>
                <c:pt idx="60">
                  <c:v>57.3</c:v>
                </c:pt>
                <c:pt idx="61">
                  <c:v>57.5</c:v>
                </c:pt>
                <c:pt idx="62">
                  <c:v>57.7</c:v>
                </c:pt>
                <c:pt idx="63" formatCode="#\ ##0.0">
                  <c:v>58</c:v>
                </c:pt>
                <c:pt idx="64">
                  <c:v>58.2</c:v>
                </c:pt>
                <c:pt idx="65">
                  <c:v>58.3</c:v>
                </c:pt>
                <c:pt idx="66">
                  <c:v>58.4</c:v>
                </c:pt>
                <c:pt idx="67">
                  <c:v>58.4</c:v>
                </c:pt>
                <c:pt idx="68">
                  <c:v>58.4</c:v>
                </c:pt>
                <c:pt idx="69">
                  <c:v>58.4</c:v>
                </c:pt>
                <c:pt idx="70">
                  <c:v>58.4</c:v>
                </c:pt>
                <c:pt idx="71">
                  <c:v>58.3</c:v>
                </c:pt>
                <c:pt idx="72">
                  <c:v>58.3</c:v>
                </c:pt>
                <c:pt idx="73">
                  <c:v>58.2</c:v>
                </c:pt>
                <c:pt idx="74">
                  <c:v>58.2</c:v>
                </c:pt>
                <c:pt idx="75">
                  <c:v>58.1</c:v>
                </c:pt>
                <c:pt idx="76" formatCode="#\ ##0.0">
                  <c:v>58</c:v>
                </c:pt>
                <c:pt idx="77">
                  <c:v>57.9</c:v>
                </c:pt>
                <c:pt idx="78">
                  <c:v>57.9</c:v>
                </c:pt>
                <c:pt idx="79">
                  <c:v>57.8</c:v>
                </c:pt>
                <c:pt idx="80">
                  <c:v>57.7</c:v>
                </c:pt>
                <c:pt idx="81">
                  <c:v>57.6</c:v>
                </c:pt>
              </c:numCache>
            </c:numRef>
          </c:val>
          <c:smooth val="0"/>
          <c:extLst>
            <c:ext xmlns:c16="http://schemas.microsoft.com/office/drawing/2014/chart" uri="{C3380CC4-5D6E-409C-BE32-E72D297353CC}">
              <c16:uniqueId val="{00000001-0ACD-455D-BAD6-EDF94CDF867E}"/>
            </c:ext>
          </c:extLst>
        </c:ser>
        <c:dLbls>
          <c:showLegendKey val="0"/>
          <c:showVal val="0"/>
          <c:showCatName val="0"/>
          <c:showSerName val="0"/>
          <c:showPercent val="0"/>
          <c:showBubbleSize val="0"/>
        </c:dLbls>
        <c:smooth val="0"/>
        <c:axId val="468273344"/>
        <c:axId val="1289603840"/>
      </c:lineChart>
      <c:catAx>
        <c:axId val="46827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crossAx val="1289603840"/>
        <c:crosses val="autoZero"/>
        <c:auto val="1"/>
        <c:lblAlgn val="ctr"/>
        <c:lblOffset val="100"/>
        <c:noMultiLvlLbl val="0"/>
      </c:catAx>
      <c:valAx>
        <c:axId val="128960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68273344"/>
        <c:crosses val="autoZero"/>
        <c:crossBetween val="between"/>
      </c:valAx>
      <c:spPr>
        <a:noFill/>
        <a:ln>
          <a:noFill/>
        </a:ln>
        <a:effectLst/>
      </c:spPr>
    </c:plotArea>
    <c:legend>
      <c:legendPos val="b"/>
      <c:layout>
        <c:manualLayout>
          <c:xMode val="edge"/>
          <c:yMode val="edge"/>
          <c:x val="0.48744288111527045"/>
          <c:y val="0.50375597910074321"/>
          <c:w val="0.4909923196075901"/>
          <c:h val="0.2294394976328893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679834796769806"/>
          <c:y val="6.4686856806821527E-2"/>
          <c:w val="0.73629333646726991"/>
          <c:h val="0.756229177615662"/>
        </c:manualLayout>
      </c:layout>
      <c:lineChart>
        <c:grouping val="standard"/>
        <c:varyColors val="0"/>
        <c:ser>
          <c:idx val="0"/>
          <c:order val="0"/>
          <c:tx>
            <c:strRef>
              <c:f>'Dati grafikiem_'!$A$131</c:f>
              <c:strCache>
                <c:ptCount val="1"/>
                <c:pt idx="0">
                  <c:v>Vīrieši</c:v>
                </c:pt>
              </c:strCache>
            </c:strRef>
          </c:tx>
          <c:spPr>
            <a:ln w="28575" cap="rnd">
              <a:solidFill>
                <a:srgbClr val="2A7B9B"/>
              </a:solidFill>
              <a:round/>
            </a:ln>
            <a:effectLst/>
          </c:spPr>
          <c:marker>
            <c:symbol val="none"/>
          </c:marker>
          <c:cat>
            <c:strRef>
              <c:f>('Sheet 1'!$D$16:$J$16,'Sheet 1'!$M$16:$AB$16)</c:f>
              <c:strCache>
                <c:ptCount val="23"/>
                <c:pt idx="0">
                  <c:v>1990</c:v>
                </c:pt>
                <c:pt idx="1">
                  <c:v>1995</c:v>
                </c:pt>
                <c:pt idx="2">
                  <c:v>2000</c:v>
                </c:pt>
                <c:pt idx="3">
                  <c:v>2005</c:v>
                </c:pt>
                <c:pt idx="4">
                  <c:v>2010</c:v>
                </c:pt>
                <c:pt idx="5">
                  <c:v>2015</c:v>
                </c:pt>
                <c:pt idx="6">
                  <c:v>2020</c:v>
                </c:pt>
                <c:pt idx="7">
                  <c:v>2025</c:v>
                </c:pt>
                <c:pt idx="8">
                  <c:v>2030</c:v>
                </c:pt>
                <c:pt idx="9">
                  <c:v>2035</c:v>
                </c:pt>
                <c:pt idx="10">
                  <c:v>2040</c:v>
                </c:pt>
                <c:pt idx="11">
                  <c:v>2045</c:v>
                </c:pt>
                <c:pt idx="12">
                  <c:v>2050</c:v>
                </c:pt>
                <c:pt idx="13">
                  <c:v>2055</c:v>
                </c:pt>
                <c:pt idx="14">
                  <c:v>2060</c:v>
                </c:pt>
                <c:pt idx="15">
                  <c:v>2065</c:v>
                </c:pt>
                <c:pt idx="16">
                  <c:v>2070</c:v>
                </c:pt>
                <c:pt idx="17">
                  <c:v>2075</c:v>
                </c:pt>
                <c:pt idx="18">
                  <c:v>2080</c:v>
                </c:pt>
                <c:pt idx="19">
                  <c:v>2085</c:v>
                </c:pt>
                <c:pt idx="20">
                  <c:v>2090</c:v>
                </c:pt>
                <c:pt idx="21">
                  <c:v>2095</c:v>
                </c:pt>
                <c:pt idx="22">
                  <c:v>2100</c:v>
                </c:pt>
              </c:strCache>
              <c:extLst/>
            </c:strRef>
          </c:cat>
          <c:val>
            <c:numRef>
              <c:f>('Dati grafikiem_'!$D$131:$J$131,'Dati grafikiem_'!$M$131:$AB$131)</c:f>
              <c:numCache>
                <c:formatCode>#,##0</c:formatCode>
                <c:ptCount val="23"/>
                <c:pt idx="0">
                  <c:v>1240531</c:v>
                </c:pt>
                <c:pt idx="1">
                  <c:v>1154321</c:v>
                </c:pt>
                <c:pt idx="2">
                  <c:v>1096888</c:v>
                </c:pt>
                <c:pt idx="3">
                  <c:v>1032109</c:v>
                </c:pt>
                <c:pt idx="4">
                  <c:v>970931</c:v>
                </c:pt>
                <c:pt idx="5">
                  <c:v>911207</c:v>
                </c:pt>
                <c:pt idx="6">
                  <c:v>880956</c:v>
                </c:pt>
                <c:pt idx="7">
                  <c:v>864817</c:v>
                </c:pt>
                <c:pt idx="8">
                  <c:v>822089</c:v>
                </c:pt>
                <c:pt idx="9">
                  <c:v>783191</c:v>
                </c:pt>
                <c:pt idx="10">
                  <c:v>753913</c:v>
                </c:pt>
                <c:pt idx="11">
                  <c:v>729770</c:v>
                </c:pt>
                <c:pt idx="12">
                  <c:v>708764</c:v>
                </c:pt>
                <c:pt idx="13">
                  <c:v>688604</c:v>
                </c:pt>
                <c:pt idx="14">
                  <c:v>667720</c:v>
                </c:pt>
                <c:pt idx="15">
                  <c:v>646933</c:v>
                </c:pt>
                <c:pt idx="16">
                  <c:v>629349</c:v>
                </c:pt>
                <c:pt idx="17">
                  <c:v>615859</c:v>
                </c:pt>
                <c:pt idx="18">
                  <c:v>605659</c:v>
                </c:pt>
                <c:pt idx="19">
                  <c:v>599258</c:v>
                </c:pt>
                <c:pt idx="20">
                  <c:v>595721</c:v>
                </c:pt>
                <c:pt idx="21">
                  <c:v>594333</c:v>
                </c:pt>
                <c:pt idx="22">
                  <c:v>593813</c:v>
                </c:pt>
              </c:numCache>
              <c:extLst/>
            </c:numRef>
          </c:val>
          <c:smooth val="0"/>
          <c:extLst>
            <c:ext xmlns:c16="http://schemas.microsoft.com/office/drawing/2014/chart" uri="{C3380CC4-5D6E-409C-BE32-E72D297353CC}">
              <c16:uniqueId val="{00000000-7A84-4EE8-AA30-FFCDEB7CDA82}"/>
            </c:ext>
          </c:extLst>
        </c:ser>
        <c:ser>
          <c:idx val="1"/>
          <c:order val="1"/>
          <c:tx>
            <c:strRef>
              <c:f>'Dati grafikiem_'!$A$132</c:f>
              <c:strCache>
                <c:ptCount val="1"/>
                <c:pt idx="0">
                  <c:v>Sievietes</c:v>
                </c:pt>
              </c:strCache>
            </c:strRef>
          </c:tx>
          <c:spPr>
            <a:ln w="28575" cap="rnd">
              <a:solidFill>
                <a:srgbClr val="C70039"/>
              </a:solidFill>
              <a:round/>
            </a:ln>
            <a:effectLst/>
          </c:spPr>
          <c:marker>
            <c:symbol val="none"/>
          </c:marker>
          <c:cat>
            <c:strRef>
              <c:f>('Sheet 1'!$D$16:$J$16,'Sheet 1'!$M$16:$AB$16)</c:f>
              <c:strCache>
                <c:ptCount val="23"/>
                <c:pt idx="0">
                  <c:v>1990</c:v>
                </c:pt>
                <c:pt idx="1">
                  <c:v>1995</c:v>
                </c:pt>
                <c:pt idx="2">
                  <c:v>2000</c:v>
                </c:pt>
                <c:pt idx="3">
                  <c:v>2005</c:v>
                </c:pt>
                <c:pt idx="4">
                  <c:v>2010</c:v>
                </c:pt>
                <c:pt idx="5">
                  <c:v>2015</c:v>
                </c:pt>
                <c:pt idx="6">
                  <c:v>2020</c:v>
                </c:pt>
                <c:pt idx="7">
                  <c:v>2025</c:v>
                </c:pt>
                <c:pt idx="8">
                  <c:v>2030</c:v>
                </c:pt>
                <c:pt idx="9">
                  <c:v>2035</c:v>
                </c:pt>
                <c:pt idx="10">
                  <c:v>2040</c:v>
                </c:pt>
                <c:pt idx="11">
                  <c:v>2045</c:v>
                </c:pt>
                <c:pt idx="12">
                  <c:v>2050</c:v>
                </c:pt>
                <c:pt idx="13">
                  <c:v>2055</c:v>
                </c:pt>
                <c:pt idx="14">
                  <c:v>2060</c:v>
                </c:pt>
                <c:pt idx="15">
                  <c:v>2065</c:v>
                </c:pt>
                <c:pt idx="16">
                  <c:v>2070</c:v>
                </c:pt>
                <c:pt idx="17">
                  <c:v>2075</c:v>
                </c:pt>
                <c:pt idx="18">
                  <c:v>2080</c:v>
                </c:pt>
                <c:pt idx="19">
                  <c:v>2085</c:v>
                </c:pt>
                <c:pt idx="20">
                  <c:v>2090</c:v>
                </c:pt>
                <c:pt idx="21">
                  <c:v>2095</c:v>
                </c:pt>
                <c:pt idx="22">
                  <c:v>2100</c:v>
                </c:pt>
              </c:strCache>
              <c:extLst/>
            </c:strRef>
          </c:cat>
          <c:val>
            <c:numRef>
              <c:f>('Dati grafikiem_'!$D$132:$J$132,'Dati grafikiem_'!$M$132:$AB$132)</c:f>
              <c:numCache>
                <c:formatCode>#,##0</c:formatCode>
                <c:ptCount val="23"/>
                <c:pt idx="0">
                  <c:v>1427609</c:v>
                </c:pt>
                <c:pt idx="1">
                  <c:v>1346259</c:v>
                </c:pt>
                <c:pt idx="2">
                  <c:v>1284827</c:v>
                </c:pt>
                <c:pt idx="3">
                  <c:v>1217615</c:v>
                </c:pt>
                <c:pt idx="4">
                  <c:v>1149573</c:v>
                </c:pt>
                <c:pt idx="5">
                  <c:v>1074889</c:v>
                </c:pt>
                <c:pt idx="6">
                  <c:v>1026719</c:v>
                </c:pt>
                <c:pt idx="7">
                  <c:v>998272</c:v>
                </c:pt>
                <c:pt idx="8">
                  <c:v>934245</c:v>
                </c:pt>
                <c:pt idx="9">
                  <c:v>877570</c:v>
                </c:pt>
                <c:pt idx="10">
                  <c:v>833023</c:v>
                </c:pt>
                <c:pt idx="11">
                  <c:v>793603</c:v>
                </c:pt>
                <c:pt idx="12">
                  <c:v>757255</c:v>
                </c:pt>
                <c:pt idx="13">
                  <c:v>722709</c:v>
                </c:pt>
                <c:pt idx="14">
                  <c:v>689228</c:v>
                </c:pt>
                <c:pt idx="15">
                  <c:v>657709</c:v>
                </c:pt>
                <c:pt idx="16">
                  <c:v>631150</c:v>
                </c:pt>
                <c:pt idx="17">
                  <c:v>610132</c:v>
                </c:pt>
                <c:pt idx="18">
                  <c:v>593262</c:v>
                </c:pt>
                <c:pt idx="19">
                  <c:v>581085</c:v>
                </c:pt>
                <c:pt idx="20">
                  <c:v>573796</c:v>
                </c:pt>
                <c:pt idx="21">
                  <c:v>571632</c:v>
                </c:pt>
                <c:pt idx="22">
                  <c:v>572025</c:v>
                </c:pt>
              </c:numCache>
              <c:extLst/>
            </c:numRef>
          </c:val>
          <c:smooth val="0"/>
          <c:extLst>
            <c:ext xmlns:c16="http://schemas.microsoft.com/office/drawing/2014/chart" uri="{C3380CC4-5D6E-409C-BE32-E72D297353CC}">
              <c16:uniqueId val="{00000001-7A84-4EE8-AA30-FFCDEB7CDA82}"/>
            </c:ext>
          </c:extLst>
        </c:ser>
        <c:dLbls>
          <c:showLegendKey val="0"/>
          <c:showVal val="0"/>
          <c:showCatName val="0"/>
          <c:showSerName val="0"/>
          <c:showPercent val="0"/>
          <c:showBubbleSize val="0"/>
        </c:dLbls>
        <c:smooth val="0"/>
        <c:axId val="1560477455"/>
        <c:axId val="1439310831"/>
      </c:lineChart>
      <c:catAx>
        <c:axId val="1560477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39310831"/>
        <c:crosses val="autoZero"/>
        <c:auto val="1"/>
        <c:lblAlgn val="ctr"/>
        <c:lblOffset val="100"/>
        <c:noMultiLvlLbl val="0"/>
      </c:catAx>
      <c:valAx>
        <c:axId val="14393108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60477455"/>
        <c:crosses val="autoZero"/>
        <c:crossBetween val="between"/>
      </c:valAx>
      <c:spPr>
        <a:noFill/>
        <a:ln>
          <a:noFill/>
        </a:ln>
        <a:effectLst/>
      </c:spPr>
    </c:plotArea>
    <c:legend>
      <c:legendPos val="b"/>
      <c:layout>
        <c:manualLayout>
          <c:xMode val="edge"/>
          <c:yMode val="edge"/>
          <c:x val="0.65928680556721442"/>
          <c:y val="0.14804399817561764"/>
          <c:w val="0.26991219381159443"/>
          <c:h val="0.205087433756167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C70039"/>
                </a:solidFill>
                <a:latin typeface="+mn-lt"/>
                <a:ea typeface="+mn-ea"/>
                <a:cs typeface="+mn-cs"/>
              </a:defRPr>
            </a:pPr>
            <a:r>
              <a:rPr lang="lv-LV" sz="1200" b="1">
                <a:solidFill>
                  <a:srgbClr val="C70039"/>
                </a:solidFill>
              </a:rPr>
              <a:t>Sievietes</a:t>
            </a:r>
            <a:endParaRPr lang="en-US" sz="1200" b="1">
              <a:solidFill>
                <a:srgbClr val="C70039"/>
              </a:solidFill>
            </a:endParaRPr>
          </a:p>
        </c:rich>
      </c:tx>
      <c:layout>
        <c:manualLayout>
          <c:xMode val="edge"/>
          <c:yMode val="edge"/>
          <c:x val="0.6557215800890952"/>
          <c:y val="2.069469696969697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C70039"/>
              </a:solidFill>
              <a:latin typeface="+mn-lt"/>
              <a:ea typeface="+mn-ea"/>
              <a:cs typeface="+mn-cs"/>
            </a:defRPr>
          </a:pPr>
          <a:endParaRPr lang="lv-LV"/>
        </a:p>
      </c:txPr>
    </c:title>
    <c:autoTitleDeleted val="0"/>
    <c:plotArea>
      <c:layout>
        <c:manualLayout>
          <c:layoutTarget val="inner"/>
          <c:xMode val="edge"/>
          <c:yMode val="edge"/>
          <c:x val="5.6282098765432095E-2"/>
          <c:y val="0.10281670889802441"/>
          <c:w val="0.85343580246913597"/>
          <c:h val="0.76673594293343261"/>
        </c:manualLayout>
      </c:layout>
      <c:barChart>
        <c:barDir val="bar"/>
        <c:grouping val="clustered"/>
        <c:varyColors val="0"/>
        <c:ser>
          <c:idx val="1"/>
          <c:order val="0"/>
          <c:tx>
            <c:strRef>
              <c:f>'age structure 2022 vs 2070'!$C$3</c:f>
              <c:strCache>
                <c:ptCount val="1"/>
                <c:pt idx="0">
                  <c:v>2022</c:v>
                </c:pt>
              </c:strCache>
            </c:strRef>
          </c:tx>
          <c:spPr>
            <a:solidFill>
              <a:srgbClr val="FF0066">
                <a:alpha val="20000"/>
              </a:srgbClr>
            </a:solidFill>
            <a:ln>
              <a:noFill/>
            </a:ln>
            <a:effectLst/>
          </c:spPr>
          <c:invertIfNegative val="0"/>
          <c:cat>
            <c:strRef>
              <c:f>'age structure 2022 vs 2070'!$B$5:$B$23</c:f>
              <c:strCache>
                <c:ptCount val="19"/>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c:v>
                </c:pt>
              </c:strCache>
            </c:strRef>
          </c:cat>
          <c:val>
            <c:numRef>
              <c:f>'age structure 2022 vs 2070'!$E$5:$E$23</c:f>
              <c:numCache>
                <c:formatCode>_-* #\ ##0_-;\-* #\ ##0_-;_-* "-"??_-;_-@_-</c:formatCode>
                <c:ptCount val="19"/>
                <c:pt idx="0">
                  <c:v>45296</c:v>
                </c:pt>
                <c:pt idx="1">
                  <c:v>51289</c:v>
                </c:pt>
                <c:pt idx="2">
                  <c:v>48678</c:v>
                </c:pt>
                <c:pt idx="3">
                  <c:v>45183</c:v>
                </c:pt>
                <c:pt idx="4">
                  <c:v>40144</c:v>
                </c:pt>
                <c:pt idx="5">
                  <c:v>46690</c:v>
                </c:pt>
                <c:pt idx="6">
                  <c:v>64057</c:v>
                </c:pt>
                <c:pt idx="7">
                  <c:v>65781</c:v>
                </c:pt>
                <c:pt idx="8">
                  <c:v>60805</c:v>
                </c:pt>
                <c:pt idx="9">
                  <c:v>65253</c:v>
                </c:pt>
                <c:pt idx="10">
                  <c:v>67428</c:v>
                </c:pt>
                <c:pt idx="11">
                  <c:v>69710</c:v>
                </c:pt>
                <c:pt idx="12">
                  <c:v>75596</c:v>
                </c:pt>
                <c:pt idx="13">
                  <c:v>67036</c:v>
                </c:pt>
                <c:pt idx="14">
                  <c:v>61032</c:v>
                </c:pt>
                <c:pt idx="15">
                  <c:v>48034</c:v>
                </c:pt>
                <c:pt idx="16">
                  <c:v>47318</c:v>
                </c:pt>
                <c:pt idx="17">
                  <c:v>24917</c:v>
                </c:pt>
                <c:pt idx="18">
                  <c:v>12453</c:v>
                </c:pt>
              </c:numCache>
            </c:numRef>
          </c:val>
          <c:extLst>
            <c:ext xmlns:c16="http://schemas.microsoft.com/office/drawing/2014/chart" uri="{C3380CC4-5D6E-409C-BE32-E72D297353CC}">
              <c16:uniqueId val="{00000000-7340-4FE6-84D7-CEC203A892EB}"/>
            </c:ext>
          </c:extLst>
        </c:ser>
        <c:ser>
          <c:idx val="0"/>
          <c:order val="1"/>
          <c:tx>
            <c:strRef>
              <c:f>'age structure 2022 vs 2070'!$F$3</c:f>
              <c:strCache>
                <c:ptCount val="1"/>
                <c:pt idx="0">
                  <c:v>2070</c:v>
                </c:pt>
              </c:strCache>
            </c:strRef>
          </c:tx>
          <c:spPr>
            <a:solidFill>
              <a:srgbClr val="C70039"/>
            </a:solidFill>
            <a:ln w="12700">
              <a:noFill/>
            </a:ln>
            <a:effectLst/>
          </c:spPr>
          <c:invertIfNegative val="0"/>
          <c:cat>
            <c:strRef>
              <c:f>'age structure 2022 vs 2070'!$B$5:$B$23</c:f>
              <c:strCache>
                <c:ptCount val="19"/>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c:v>
                </c:pt>
              </c:strCache>
            </c:strRef>
          </c:cat>
          <c:val>
            <c:numRef>
              <c:f>'age structure 2022 vs 2070'!$H$5:$H$23</c:f>
              <c:numCache>
                <c:formatCode>_-* #\ ##0_-;\-* #\ ##0_-;_-* "-"??_-;_-@_-</c:formatCode>
                <c:ptCount val="19"/>
                <c:pt idx="0">
                  <c:v>25245</c:v>
                </c:pt>
                <c:pt idx="1">
                  <c:v>25772</c:v>
                </c:pt>
                <c:pt idx="2">
                  <c:v>27125</c:v>
                </c:pt>
                <c:pt idx="3">
                  <c:v>29562</c:v>
                </c:pt>
                <c:pt idx="4">
                  <c:v>31558</c:v>
                </c:pt>
                <c:pt idx="5">
                  <c:v>31310</c:v>
                </c:pt>
                <c:pt idx="6">
                  <c:v>29642</c:v>
                </c:pt>
                <c:pt idx="7">
                  <c:v>28377</c:v>
                </c:pt>
                <c:pt idx="8">
                  <c:v>30176</c:v>
                </c:pt>
                <c:pt idx="9">
                  <c:v>34303</c:v>
                </c:pt>
                <c:pt idx="10">
                  <c:v>41655</c:v>
                </c:pt>
                <c:pt idx="11">
                  <c:v>38898</c:v>
                </c:pt>
                <c:pt idx="12">
                  <c:v>39419</c:v>
                </c:pt>
                <c:pt idx="13">
                  <c:v>32024</c:v>
                </c:pt>
                <c:pt idx="14">
                  <c:v>29388</c:v>
                </c:pt>
                <c:pt idx="15">
                  <c:v>42995</c:v>
                </c:pt>
                <c:pt idx="16">
                  <c:v>47340</c:v>
                </c:pt>
                <c:pt idx="17">
                  <c:v>35564</c:v>
                </c:pt>
                <c:pt idx="18">
                  <c:v>30797</c:v>
                </c:pt>
              </c:numCache>
            </c:numRef>
          </c:val>
          <c:extLst>
            <c:ext xmlns:c16="http://schemas.microsoft.com/office/drawing/2014/chart" uri="{C3380CC4-5D6E-409C-BE32-E72D297353CC}">
              <c16:uniqueId val="{00000001-7340-4FE6-84D7-CEC203A892EB}"/>
            </c:ext>
          </c:extLst>
        </c:ser>
        <c:dLbls>
          <c:showLegendKey val="0"/>
          <c:showVal val="0"/>
          <c:showCatName val="0"/>
          <c:showSerName val="0"/>
          <c:showPercent val="0"/>
          <c:showBubbleSize val="0"/>
        </c:dLbls>
        <c:gapWidth val="0"/>
        <c:overlap val="80"/>
        <c:axId val="620541759"/>
        <c:axId val="626133087"/>
      </c:barChart>
      <c:catAx>
        <c:axId val="620541759"/>
        <c:scaling>
          <c:orientation val="minMax"/>
        </c:scaling>
        <c:delete val="1"/>
        <c:axPos val="l"/>
        <c:numFmt formatCode="General" sourceLinked="1"/>
        <c:majorTickMark val="out"/>
        <c:minorTickMark val="none"/>
        <c:tickLblPos val="nextTo"/>
        <c:crossAx val="626133087"/>
        <c:crosses val="autoZero"/>
        <c:auto val="1"/>
        <c:lblAlgn val="ctr"/>
        <c:lblOffset val="100"/>
        <c:noMultiLvlLbl val="0"/>
      </c:catAx>
      <c:valAx>
        <c:axId val="626133087"/>
        <c:scaling>
          <c:orientation val="minMax"/>
          <c:max val="80000"/>
        </c:scaling>
        <c:delete val="0"/>
        <c:axPos val="b"/>
        <c:majorGridlines>
          <c:spPr>
            <a:ln w="9525" cap="flat" cmpd="sng" algn="ctr">
              <a:solidFill>
                <a:schemeClr val="tx1">
                  <a:lumMod val="15000"/>
                  <a:lumOff val="85000"/>
                </a:schemeClr>
              </a:solidFill>
              <a:round/>
            </a:ln>
            <a:effectLst/>
          </c:spPr>
        </c:majorGridlines>
        <c:numFmt formatCode="#\ ##0;#\ ###" sourceLinked="0"/>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0541759"/>
        <c:crosses val="autoZero"/>
        <c:crossBetween val="between"/>
        <c:majorUnit val="40000"/>
      </c:valAx>
      <c:spPr>
        <a:noFill/>
        <a:ln>
          <a:noFill/>
        </a:ln>
        <a:effectLst/>
      </c:spPr>
    </c:plotArea>
    <c:legend>
      <c:legendPos val="r"/>
      <c:overlay val="1"/>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2A7B9B"/>
                </a:solidFill>
                <a:latin typeface="+mn-lt"/>
                <a:ea typeface="+mn-ea"/>
                <a:cs typeface="+mn-cs"/>
              </a:defRPr>
            </a:pPr>
            <a:r>
              <a:rPr lang="lv-LV" sz="1200" b="1" i="0" u="none" strike="noStrike" kern="1200" spc="0" baseline="0">
                <a:solidFill>
                  <a:srgbClr val="2A7B9B"/>
                </a:solidFill>
              </a:rPr>
              <a:t>Vīrieši</a:t>
            </a:r>
            <a:endParaRPr lang="en-US" sz="1200" b="1" i="0" u="none" strike="noStrike" kern="1200" spc="0" baseline="0">
              <a:solidFill>
                <a:srgbClr val="2A7B9B"/>
              </a:solidFill>
            </a:endParaRPr>
          </a:p>
        </c:rich>
      </c:tx>
      <c:layout>
        <c:manualLayout>
          <c:xMode val="edge"/>
          <c:yMode val="edge"/>
          <c:x val="0.13512705765767183"/>
          <c:y val="1.93156565656565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2A7B9B"/>
              </a:solidFill>
              <a:latin typeface="+mn-lt"/>
              <a:ea typeface="+mn-ea"/>
              <a:cs typeface="+mn-cs"/>
            </a:defRPr>
          </a:pPr>
          <a:endParaRPr lang="lv-LV"/>
        </a:p>
      </c:txPr>
    </c:title>
    <c:autoTitleDeleted val="0"/>
    <c:plotArea>
      <c:layout>
        <c:manualLayout>
          <c:layoutTarget val="inner"/>
          <c:xMode val="edge"/>
          <c:yMode val="edge"/>
          <c:x val="9.1790740740740742E-2"/>
          <c:y val="0.10315351009445804"/>
          <c:w val="0.64111494830657512"/>
          <c:h val="0.75585626469738842"/>
        </c:manualLayout>
      </c:layout>
      <c:barChart>
        <c:barDir val="bar"/>
        <c:grouping val="clustered"/>
        <c:varyColors val="0"/>
        <c:ser>
          <c:idx val="0"/>
          <c:order val="0"/>
          <c:tx>
            <c:strRef>
              <c:f>'age structure 2022 vs 2070'!$C$3</c:f>
              <c:strCache>
                <c:ptCount val="1"/>
                <c:pt idx="0">
                  <c:v>2022</c:v>
                </c:pt>
              </c:strCache>
            </c:strRef>
          </c:tx>
          <c:spPr>
            <a:solidFill>
              <a:srgbClr val="0099FF">
                <a:alpha val="20000"/>
              </a:srgbClr>
            </a:solidFill>
            <a:ln w="12700" cap="sq" cmpd="sng">
              <a:noFill/>
            </a:ln>
            <a:effectLst/>
          </c:spPr>
          <c:invertIfNegative val="0"/>
          <c:cat>
            <c:strRef>
              <c:f>'age structure 2022 vs 2070'!$B$5:$B$23</c:f>
              <c:strCache>
                <c:ptCount val="19"/>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c:v>
                </c:pt>
              </c:strCache>
            </c:strRef>
          </c:cat>
          <c:val>
            <c:numRef>
              <c:f>'age structure 2022 vs 2070'!$D$5:$D$23</c:f>
              <c:numCache>
                <c:formatCode>_-* #\ ##0_-;\-* #\ ##0_-;_-* "-"??_-;_-@_-</c:formatCode>
                <c:ptCount val="19"/>
                <c:pt idx="0">
                  <c:v>-48494</c:v>
                </c:pt>
                <c:pt idx="1">
                  <c:v>-55030</c:v>
                </c:pt>
                <c:pt idx="2">
                  <c:v>-51205</c:v>
                </c:pt>
                <c:pt idx="3">
                  <c:v>-47664</c:v>
                </c:pt>
                <c:pt idx="4">
                  <c:v>-42739</c:v>
                </c:pt>
                <c:pt idx="5">
                  <c:v>-50490</c:v>
                </c:pt>
                <c:pt idx="6">
                  <c:v>-68879</c:v>
                </c:pt>
                <c:pt idx="7">
                  <c:v>-69622</c:v>
                </c:pt>
                <c:pt idx="8">
                  <c:v>-61158</c:v>
                </c:pt>
                <c:pt idx="9">
                  <c:v>-62894</c:v>
                </c:pt>
                <c:pt idx="10">
                  <c:v>-61275</c:v>
                </c:pt>
                <c:pt idx="11">
                  <c:v>-59520</c:v>
                </c:pt>
                <c:pt idx="12">
                  <c:v>-59254</c:v>
                </c:pt>
                <c:pt idx="13">
                  <c:v>-45217</c:v>
                </c:pt>
                <c:pt idx="14">
                  <c:v>-34981</c:v>
                </c:pt>
                <c:pt idx="15">
                  <c:v>-21970</c:v>
                </c:pt>
                <c:pt idx="16">
                  <c:v>-18134</c:v>
                </c:pt>
                <c:pt idx="17">
                  <c:v>-7601</c:v>
                </c:pt>
                <c:pt idx="18">
                  <c:v>-2930</c:v>
                </c:pt>
              </c:numCache>
            </c:numRef>
          </c:val>
          <c:extLst>
            <c:ext xmlns:c16="http://schemas.microsoft.com/office/drawing/2014/chart" uri="{C3380CC4-5D6E-409C-BE32-E72D297353CC}">
              <c16:uniqueId val="{00000000-6ADE-4854-A559-D4F49D61884F}"/>
            </c:ext>
          </c:extLst>
        </c:ser>
        <c:ser>
          <c:idx val="1"/>
          <c:order val="1"/>
          <c:tx>
            <c:strRef>
              <c:f>'age structure 2022 vs 2070'!$F$3</c:f>
              <c:strCache>
                <c:ptCount val="1"/>
                <c:pt idx="0">
                  <c:v>2070</c:v>
                </c:pt>
              </c:strCache>
            </c:strRef>
          </c:tx>
          <c:spPr>
            <a:solidFill>
              <a:srgbClr val="2A7B9B"/>
            </a:solidFill>
            <a:ln w="12700">
              <a:noFill/>
              <a:prstDash val="solid"/>
            </a:ln>
            <a:effectLst/>
          </c:spPr>
          <c:invertIfNegative val="0"/>
          <c:cat>
            <c:strRef>
              <c:f>'age structure 2022 vs 2070'!$B$5:$B$23</c:f>
              <c:strCache>
                <c:ptCount val="19"/>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c:v>
                </c:pt>
              </c:strCache>
            </c:strRef>
          </c:cat>
          <c:val>
            <c:numRef>
              <c:f>'age structure 2022 vs 2070'!$G$5:$G$23</c:f>
              <c:numCache>
                <c:formatCode>_-* #\ ##0_-;\-* #\ ##0_-;_-* "-"??_-;_-@_-</c:formatCode>
                <c:ptCount val="19"/>
                <c:pt idx="0">
                  <c:v>-26839</c:v>
                </c:pt>
                <c:pt idx="1">
                  <c:v>-27282</c:v>
                </c:pt>
                <c:pt idx="2">
                  <c:v>-28667</c:v>
                </c:pt>
                <c:pt idx="3">
                  <c:v>-31390</c:v>
                </c:pt>
                <c:pt idx="4">
                  <c:v>-34144</c:v>
                </c:pt>
                <c:pt idx="5">
                  <c:v>-34184</c:v>
                </c:pt>
                <c:pt idx="6">
                  <c:v>-32795</c:v>
                </c:pt>
                <c:pt idx="7">
                  <c:v>-31944</c:v>
                </c:pt>
                <c:pt idx="8">
                  <c:v>-34257</c:v>
                </c:pt>
                <c:pt idx="9">
                  <c:v>-38927</c:v>
                </c:pt>
                <c:pt idx="10">
                  <c:v>-47073</c:v>
                </c:pt>
                <c:pt idx="11">
                  <c:v>-43486</c:v>
                </c:pt>
                <c:pt idx="12">
                  <c:v>-42262</c:v>
                </c:pt>
                <c:pt idx="13">
                  <c:v>-34301</c:v>
                </c:pt>
                <c:pt idx="14">
                  <c:v>-30426</c:v>
                </c:pt>
                <c:pt idx="15">
                  <c:v>-38266</c:v>
                </c:pt>
                <c:pt idx="16">
                  <c:v>-36837</c:v>
                </c:pt>
                <c:pt idx="17">
                  <c:v>-22920</c:v>
                </c:pt>
                <c:pt idx="18">
                  <c:v>-13349</c:v>
                </c:pt>
              </c:numCache>
            </c:numRef>
          </c:val>
          <c:extLst>
            <c:ext xmlns:c16="http://schemas.microsoft.com/office/drawing/2014/chart" uri="{C3380CC4-5D6E-409C-BE32-E72D297353CC}">
              <c16:uniqueId val="{00000001-6ADE-4854-A559-D4F49D61884F}"/>
            </c:ext>
          </c:extLst>
        </c:ser>
        <c:dLbls>
          <c:showLegendKey val="0"/>
          <c:showVal val="0"/>
          <c:showCatName val="0"/>
          <c:showSerName val="0"/>
          <c:showPercent val="0"/>
          <c:showBubbleSize val="0"/>
        </c:dLbls>
        <c:gapWidth val="0"/>
        <c:overlap val="80"/>
        <c:axId val="620541759"/>
        <c:axId val="626133087"/>
      </c:barChart>
      <c:catAx>
        <c:axId val="620541759"/>
        <c:scaling>
          <c:orientation val="minMax"/>
        </c:scaling>
        <c:delete val="0"/>
        <c:axPos val="l"/>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6133087"/>
        <c:crosses val="autoZero"/>
        <c:auto val="1"/>
        <c:lblAlgn val="ctr"/>
        <c:lblOffset val="220"/>
        <c:noMultiLvlLbl val="0"/>
      </c:catAx>
      <c:valAx>
        <c:axId val="626133087"/>
        <c:scaling>
          <c:orientation val="minMax"/>
        </c:scaling>
        <c:delete val="0"/>
        <c:axPos val="b"/>
        <c:majorGridlines>
          <c:spPr>
            <a:ln w="9525" cap="flat" cmpd="sng" algn="ctr">
              <a:solidFill>
                <a:schemeClr val="tx1">
                  <a:lumMod val="15000"/>
                  <a:lumOff val="85000"/>
                </a:schemeClr>
              </a:solidFill>
              <a:round/>
            </a:ln>
            <a:effectLst/>
          </c:spPr>
        </c:majorGridlines>
        <c:numFmt formatCode="#\ ##0;#\ ###" sourceLinked="0"/>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0541759"/>
        <c:crosses val="autoZero"/>
        <c:crossBetween val="between"/>
        <c:majorUnit val="40000"/>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026655427195689E-2"/>
          <c:y val="6.6431374534774781E-2"/>
          <c:w val="0.90073728135052156"/>
          <c:h val="0.59302016685621017"/>
        </c:manualLayout>
      </c:layout>
      <c:lineChart>
        <c:grouping val="standard"/>
        <c:varyColors val="0"/>
        <c:ser>
          <c:idx val="0"/>
          <c:order val="0"/>
          <c:tx>
            <c:strRef>
              <c:f>'Dati grafikiem_'!$A$88</c:f>
              <c:strCache>
                <c:ptCount val="1"/>
                <c:pt idx="0">
                  <c:v>Pensijas</c:v>
                </c:pt>
              </c:strCache>
            </c:strRef>
          </c:tx>
          <c:spPr>
            <a:ln w="28575" cap="rnd">
              <a:solidFill>
                <a:srgbClr val="2A7B9B"/>
              </a:solidFill>
              <a:round/>
            </a:ln>
            <a:effectLst/>
          </c:spPr>
          <c:marker>
            <c:symbol val="none"/>
          </c:marker>
          <c:cat>
            <c:numRef>
              <c:f>'Dati grafikiem_'!$B$87:$AX$87</c:f>
              <c:numCache>
                <c:formatCode>General</c:formatCode>
                <c:ptCount val="4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pt idx="29">
                  <c:v>2051</c:v>
                </c:pt>
                <c:pt idx="30">
                  <c:v>2052</c:v>
                </c:pt>
                <c:pt idx="31">
                  <c:v>2053</c:v>
                </c:pt>
                <c:pt idx="32">
                  <c:v>2054</c:v>
                </c:pt>
                <c:pt idx="33">
                  <c:v>2055</c:v>
                </c:pt>
                <c:pt idx="34">
                  <c:v>2056</c:v>
                </c:pt>
                <c:pt idx="35">
                  <c:v>2057</c:v>
                </c:pt>
                <c:pt idx="36">
                  <c:v>2058</c:v>
                </c:pt>
                <c:pt idx="37">
                  <c:v>2059</c:v>
                </c:pt>
                <c:pt idx="38">
                  <c:v>2060</c:v>
                </c:pt>
                <c:pt idx="39">
                  <c:v>2061</c:v>
                </c:pt>
                <c:pt idx="40">
                  <c:v>2062</c:v>
                </c:pt>
                <c:pt idx="41">
                  <c:v>2063</c:v>
                </c:pt>
                <c:pt idx="42">
                  <c:v>2064</c:v>
                </c:pt>
                <c:pt idx="43">
                  <c:v>2065</c:v>
                </c:pt>
                <c:pt idx="44">
                  <c:v>2066</c:v>
                </c:pt>
                <c:pt idx="45">
                  <c:v>2067</c:v>
                </c:pt>
                <c:pt idx="46">
                  <c:v>2068</c:v>
                </c:pt>
                <c:pt idx="47">
                  <c:v>2069</c:v>
                </c:pt>
                <c:pt idx="48">
                  <c:v>2070</c:v>
                </c:pt>
              </c:numCache>
            </c:numRef>
          </c:cat>
          <c:val>
            <c:numRef>
              <c:f>'Dati grafikiem_'!$B$88:$AX$88</c:f>
              <c:numCache>
                <c:formatCode>0.0</c:formatCode>
                <c:ptCount val="49"/>
                <c:pt idx="0">
                  <c:v>7.1503857022025201</c:v>
                </c:pt>
                <c:pt idx="1">
                  <c:v>7.4083197038807977</c:v>
                </c:pt>
                <c:pt idx="2">
                  <c:v>7.0905490220959138</c:v>
                </c:pt>
                <c:pt idx="3">
                  <c:v>6.9807069633632484</c:v>
                </c:pt>
                <c:pt idx="4">
                  <c:v>7.00669189423723</c:v>
                </c:pt>
                <c:pt idx="5">
                  <c:v>7.0269448117207176</c:v>
                </c:pt>
                <c:pt idx="6">
                  <c:v>7.002621414182193</c:v>
                </c:pt>
                <c:pt idx="7">
                  <c:v>6.9654427644774604</c:v>
                </c:pt>
                <c:pt idx="8">
                  <c:v>6.9218521342729797</c:v>
                </c:pt>
                <c:pt idx="9">
                  <c:v>6.8809344888174415</c:v>
                </c:pt>
                <c:pt idx="10">
                  <c:v>6.8411418247491182</c:v>
                </c:pt>
                <c:pt idx="11">
                  <c:v>6.8079504494387333</c:v>
                </c:pt>
                <c:pt idx="12">
                  <c:v>6.7746414062605078</c:v>
                </c:pt>
                <c:pt idx="13">
                  <c:v>6.7460886321888607</c:v>
                </c:pt>
                <c:pt idx="14">
                  <c:v>6.7041974949576728</c:v>
                </c:pt>
                <c:pt idx="15">
                  <c:v>6.6495660485101054</c:v>
                </c:pt>
                <c:pt idx="16">
                  <c:v>6.593476966823661</c:v>
                </c:pt>
                <c:pt idx="17">
                  <c:v>6.5397035568998048</c:v>
                </c:pt>
                <c:pt idx="18">
                  <c:v>6.4870546599250014</c:v>
                </c:pt>
                <c:pt idx="19">
                  <c:v>6.4410390415494332</c:v>
                </c:pt>
                <c:pt idx="20">
                  <c:v>6.3971358132300606</c:v>
                </c:pt>
                <c:pt idx="21">
                  <c:v>6.3569731543321142</c:v>
                </c:pt>
                <c:pt idx="22">
                  <c:v>6.3273758988213888</c:v>
                </c:pt>
                <c:pt idx="23">
                  <c:v>6.3086251352920453</c:v>
                </c:pt>
                <c:pt idx="24">
                  <c:v>6.2885629453836538</c:v>
                </c:pt>
                <c:pt idx="25">
                  <c:v>6.282290700069125</c:v>
                </c:pt>
                <c:pt idx="26">
                  <c:v>6.2876766280603595</c:v>
                </c:pt>
                <c:pt idx="27">
                  <c:v>6.2980518064292337</c:v>
                </c:pt>
                <c:pt idx="28">
                  <c:v>6.3113851361406406</c:v>
                </c:pt>
                <c:pt idx="29">
                  <c:v>6.3326838619263635</c:v>
                </c:pt>
                <c:pt idx="30">
                  <c:v>6.3568161970513195</c:v>
                </c:pt>
                <c:pt idx="31">
                  <c:v>6.3815098308477234</c:v>
                </c:pt>
                <c:pt idx="32">
                  <c:v>6.4009745696777864</c:v>
                </c:pt>
                <c:pt idx="33">
                  <c:v>6.414651351593224</c:v>
                </c:pt>
                <c:pt idx="34">
                  <c:v>6.3902565338862001</c:v>
                </c:pt>
                <c:pt idx="35">
                  <c:v>6.3510068434421836</c:v>
                </c:pt>
                <c:pt idx="36">
                  <c:v>6.2952574854754983</c:v>
                </c:pt>
                <c:pt idx="37">
                  <c:v>6.2252686783652207</c:v>
                </c:pt>
                <c:pt idx="38">
                  <c:v>6.1324632178483958</c:v>
                </c:pt>
                <c:pt idx="39">
                  <c:v>6.0311754566116971</c:v>
                </c:pt>
                <c:pt idx="40">
                  <c:v>5.9302333925356683</c:v>
                </c:pt>
                <c:pt idx="41">
                  <c:v>5.8347803157791516</c:v>
                </c:pt>
                <c:pt idx="42">
                  <c:v>5.7534843432910394</c:v>
                </c:pt>
                <c:pt idx="43">
                  <c:v>5.6828900234323205</c:v>
                </c:pt>
                <c:pt idx="44">
                  <c:v>5.6169473579982725</c:v>
                </c:pt>
                <c:pt idx="45">
                  <c:v>5.557659127769873</c:v>
                </c:pt>
                <c:pt idx="46">
                  <c:v>5.5062433088825209</c:v>
                </c:pt>
                <c:pt idx="47">
                  <c:v>5.4633256421521548</c:v>
                </c:pt>
                <c:pt idx="48">
                  <c:v>5.4345950014635127</c:v>
                </c:pt>
              </c:numCache>
            </c:numRef>
          </c:val>
          <c:smooth val="0"/>
          <c:extLst>
            <c:ext xmlns:c16="http://schemas.microsoft.com/office/drawing/2014/chart" uri="{C3380CC4-5D6E-409C-BE32-E72D297353CC}">
              <c16:uniqueId val="{00000000-C738-442F-A278-DBCF801EDD48}"/>
            </c:ext>
          </c:extLst>
        </c:ser>
        <c:ser>
          <c:idx val="1"/>
          <c:order val="1"/>
          <c:tx>
            <c:strRef>
              <c:f>'Dati grafikiem_'!$A$89</c:f>
              <c:strCache>
                <c:ptCount val="1"/>
                <c:pt idx="0">
                  <c:v>Veselības aprūpe</c:v>
                </c:pt>
              </c:strCache>
            </c:strRef>
          </c:tx>
          <c:spPr>
            <a:ln w="28575" cap="rnd">
              <a:solidFill>
                <a:srgbClr val="FF5733"/>
              </a:solidFill>
              <a:round/>
            </a:ln>
            <a:effectLst/>
          </c:spPr>
          <c:marker>
            <c:symbol val="none"/>
          </c:marker>
          <c:cat>
            <c:numRef>
              <c:f>'Dati grafikiem_'!$B$87:$AX$87</c:f>
              <c:numCache>
                <c:formatCode>General</c:formatCode>
                <c:ptCount val="4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pt idx="29">
                  <c:v>2051</c:v>
                </c:pt>
                <c:pt idx="30">
                  <c:v>2052</c:v>
                </c:pt>
                <c:pt idx="31">
                  <c:v>2053</c:v>
                </c:pt>
                <c:pt idx="32">
                  <c:v>2054</c:v>
                </c:pt>
                <c:pt idx="33">
                  <c:v>2055</c:v>
                </c:pt>
                <c:pt idx="34">
                  <c:v>2056</c:v>
                </c:pt>
                <c:pt idx="35">
                  <c:v>2057</c:v>
                </c:pt>
                <c:pt idx="36">
                  <c:v>2058</c:v>
                </c:pt>
                <c:pt idx="37">
                  <c:v>2059</c:v>
                </c:pt>
                <c:pt idx="38">
                  <c:v>2060</c:v>
                </c:pt>
                <c:pt idx="39">
                  <c:v>2061</c:v>
                </c:pt>
                <c:pt idx="40">
                  <c:v>2062</c:v>
                </c:pt>
                <c:pt idx="41">
                  <c:v>2063</c:v>
                </c:pt>
                <c:pt idx="42">
                  <c:v>2064</c:v>
                </c:pt>
                <c:pt idx="43">
                  <c:v>2065</c:v>
                </c:pt>
                <c:pt idx="44">
                  <c:v>2066</c:v>
                </c:pt>
                <c:pt idx="45">
                  <c:v>2067</c:v>
                </c:pt>
                <c:pt idx="46">
                  <c:v>2068</c:v>
                </c:pt>
                <c:pt idx="47">
                  <c:v>2069</c:v>
                </c:pt>
                <c:pt idx="48">
                  <c:v>2070</c:v>
                </c:pt>
              </c:numCache>
            </c:numRef>
          </c:cat>
          <c:val>
            <c:numRef>
              <c:f>'Dati grafikiem_'!$B$89:$AX$89</c:f>
              <c:numCache>
                <c:formatCode>0.0</c:formatCode>
                <c:ptCount val="49"/>
                <c:pt idx="0">
                  <c:v>6.0436453221085085</c:v>
                </c:pt>
                <c:pt idx="1">
                  <c:v>5.4716992116013188</c:v>
                </c:pt>
                <c:pt idx="2">
                  <c:v>5.2678590316332183</c:v>
                </c:pt>
                <c:pt idx="3">
                  <c:v>5.2852228530943375</c:v>
                </c:pt>
                <c:pt idx="4">
                  <c:v>5.3033401466433601</c:v>
                </c:pt>
                <c:pt idx="5">
                  <c:v>5.3216711987147303</c:v>
                </c:pt>
                <c:pt idx="6">
                  <c:v>5.3439496949036522</c:v>
                </c:pt>
                <c:pt idx="7">
                  <c:v>5.3671119110973189</c:v>
                </c:pt>
                <c:pt idx="8">
                  <c:v>5.3949062051864551</c:v>
                </c:pt>
                <c:pt idx="9">
                  <c:v>5.4235964071309786</c:v>
                </c:pt>
                <c:pt idx="10">
                  <c:v>5.4519418982986831</c:v>
                </c:pt>
                <c:pt idx="11">
                  <c:v>5.478790042249682</c:v>
                </c:pt>
                <c:pt idx="12">
                  <c:v>5.5040766190831887</c:v>
                </c:pt>
                <c:pt idx="13">
                  <c:v>5.5262971877638272</c:v>
                </c:pt>
                <c:pt idx="14">
                  <c:v>5.550781248707275</c:v>
                </c:pt>
                <c:pt idx="15">
                  <c:v>5.5752151115083626</c:v>
                </c:pt>
                <c:pt idx="16">
                  <c:v>5.5992187220245198</c:v>
                </c:pt>
                <c:pt idx="17">
                  <c:v>5.6235594407941489</c:v>
                </c:pt>
                <c:pt idx="18">
                  <c:v>5.6458954346691375</c:v>
                </c:pt>
                <c:pt idx="19">
                  <c:v>5.6693282227072386</c:v>
                </c:pt>
                <c:pt idx="20">
                  <c:v>5.6894485688605885</c:v>
                </c:pt>
                <c:pt idx="21">
                  <c:v>5.7074859683434838</c:v>
                </c:pt>
                <c:pt idx="22">
                  <c:v>5.7252098634424966</c:v>
                </c:pt>
                <c:pt idx="23">
                  <c:v>5.7405601885435118</c:v>
                </c:pt>
                <c:pt idx="24">
                  <c:v>5.7549822691950201</c:v>
                </c:pt>
                <c:pt idx="25">
                  <c:v>5.7683803315682391</c:v>
                </c:pt>
                <c:pt idx="26">
                  <c:v>5.7818296127864777</c:v>
                </c:pt>
                <c:pt idx="27">
                  <c:v>5.7928514483714624</c:v>
                </c:pt>
                <c:pt idx="28">
                  <c:v>5.8022390873613592</c:v>
                </c:pt>
                <c:pt idx="29">
                  <c:v>5.81277965026859</c:v>
                </c:pt>
                <c:pt idx="30">
                  <c:v>5.8200248701198989</c:v>
                </c:pt>
                <c:pt idx="31">
                  <c:v>5.8302930995697553</c:v>
                </c:pt>
                <c:pt idx="32">
                  <c:v>5.8362373667776541</c:v>
                </c:pt>
                <c:pt idx="33">
                  <c:v>5.8425403121389303</c:v>
                </c:pt>
                <c:pt idx="34">
                  <c:v>5.8501247618165282</c:v>
                </c:pt>
                <c:pt idx="35">
                  <c:v>5.8536885416783813</c:v>
                </c:pt>
                <c:pt idx="36">
                  <c:v>5.8572592507233834</c:v>
                </c:pt>
                <c:pt idx="37">
                  <c:v>5.8590992543500944</c:v>
                </c:pt>
                <c:pt idx="38">
                  <c:v>5.8591536690330503</c:v>
                </c:pt>
                <c:pt idx="39">
                  <c:v>5.8594107595405083</c:v>
                </c:pt>
                <c:pt idx="40">
                  <c:v>5.8559558692934006</c:v>
                </c:pt>
                <c:pt idx="41">
                  <c:v>5.8521089372345516</c:v>
                </c:pt>
                <c:pt idx="42">
                  <c:v>5.8448551053154798</c:v>
                </c:pt>
                <c:pt idx="43">
                  <c:v>5.8374337842448529</c:v>
                </c:pt>
                <c:pt idx="44">
                  <c:v>5.8275664170207655</c:v>
                </c:pt>
                <c:pt idx="45">
                  <c:v>5.8176098177405979</c:v>
                </c:pt>
                <c:pt idx="46">
                  <c:v>5.8031205445281433</c:v>
                </c:pt>
                <c:pt idx="47">
                  <c:v>5.7929875523380385</c:v>
                </c:pt>
                <c:pt idx="48">
                  <c:v>5.779172767421703</c:v>
                </c:pt>
              </c:numCache>
            </c:numRef>
          </c:val>
          <c:smooth val="0"/>
          <c:extLst>
            <c:ext xmlns:c16="http://schemas.microsoft.com/office/drawing/2014/chart" uri="{C3380CC4-5D6E-409C-BE32-E72D297353CC}">
              <c16:uniqueId val="{00000001-C738-442F-A278-DBCF801EDD48}"/>
            </c:ext>
          </c:extLst>
        </c:ser>
        <c:ser>
          <c:idx val="2"/>
          <c:order val="2"/>
          <c:tx>
            <c:strRef>
              <c:f>'Dati grafikiem_'!$A$90</c:f>
              <c:strCache>
                <c:ptCount val="1"/>
                <c:pt idx="0">
                  <c:v>Ilgstošā aprūpe</c:v>
                </c:pt>
              </c:strCache>
            </c:strRef>
          </c:tx>
          <c:spPr>
            <a:ln w="28575" cap="rnd">
              <a:solidFill>
                <a:srgbClr val="00BAAD"/>
              </a:solidFill>
              <a:round/>
            </a:ln>
            <a:effectLst/>
          </c:spPr>
          <c:marker>
            <c:symbol val="none"/>
          </c:marker>
          <c:cat>
            <c:numRef>
              <c:f>'Dati grafikiem_'!$B$87:$AX$87</c:f>
              <c:numCache>
                <c:formatCode>General</c:formatCode>
                <c:ptCount val="4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pt idx="29">
                  <c:v>2051</c:v>
                </c:pt>
                <c:pt idx="30">
                  <c:v>2052</c:v>
                </c:pt>
                <c:pt idx="31">
                  <c:v>2053</c:v>
                </c:pt>
                <c:pt idx="32">
                  <c:v>2054</c:v>
                </c:pt>
                <c:pt idx="33">
                  <c:v>2055</c:v>
                </c:pt>
                <c:pt idx="34">
                  <c:v>2056</c:v>
                </c:pt>
                <c:pt idx="35">
                  <c:v>2057</c:v>
                </c:pt>
                <c:pt idx="36">
                  <c:v>2058</c:v>
                </c:pt>
                <c:pt idx="37">
                  <c:v>2059</c:v>
                </c:pt>
                <c:pt idx="38">
                  <c:v>2060</c:v>
                </c:pt>
                <c:pt idx="39">
                  <c:v>2061</c:v>
                </c:pt>
                <c:pt idx="40">
                  <c:v>2062</c:v>
                </c:pt>
                <c:pt idx="41">
                  <c:v>2063</c:v>
                </c:pt>
                <c:pt idx="42">
                  <c:v>2064</c:v>
                </c:pt>
                <c:pt idx="43">
                  <c:v>2065</c:v>
                </c:pt>
                <c:pt idx="44">
                  <c:v>2066</c:v>
                </c:pt>
                <c:pt idx="45">
                  <c:v>2067</c:v>
                </c:pt>
                <c:pt idx="46">
                  <c:v>2068</c:v>
                </c:pt>
                <c:pt idx="47">
                  <c:v>2069</c:v>
                </c:pt>
                <c:pt idx="48">
                  <c:v>2070</c:v>
                </c:pt>
              </c:numCache>
            </c:numRef>
          </c:cat>
          <c:val>
            <c:numRef>
              <c:f>'Dati grafikiem_'!$B$90:$AX$90</c:f>
              <c:numCache>
                <c:formatCode>0.0</c:formatCode>
                <c:ptCount val="49"/>
                <c:pt idx="0">
                  <c:v>0.48300691197298434</c:v>
                </c:pt>
                <c:pt idx="1">
                  <c:v>0.48257604782238034</c:v>
                </c:pt>
                <c:pt idx="2">
                  <c:v>0.47585731273953352</c:v>
                </c:pt>
                <c:pt idx="3">
                  <c:v>0.48040548766686098</c:v>
                </c:pt>
                <c:pt idx="4">
                  <c:v>0.4889861758764113</c:v>
                </c:pt>
                <c:pt idx="5">
                  <c:v>0.50480544974247787</c:v>
                </c:pt>
                <c:pt idx="6">
                  <c:v>0.51152692152944879</c:v>
                </c:pt>
                <c:pt idx="7">
                  <c:v>0.51825486581220437</c:v>
                </c:pt>
                <c:pt idx="8">
                  <c:v>0.52506472886361633</c:v>
                </c:pt>
                <c:pt idx="9">
                  <c:v>0.53194686057449903</c:v>
                </c:pt>
                <c:pt idx="10">
                  <c:v>0.53921149547213909</c:v>
                </c:pt>
                <c:pt idx="11">
                  <c:v>0.54621786706121789</c:v>
                </c:pt>
                <c:pt idx="12">
                  <c:v>0.55322512073450936</c:v>
                </c:pt>
                <c:pt idx="13">
                  <c:v>0.56012491934205733</c:v>
                </c:pt>
                <c:pt idx="14">
                  <c:v>0.56657235910877335</c:v>
                </c:pt>
                <c:pt idx="15">
                  <c:v>0.57323284210076475</c:v>
                </c:pt>
                <c:pt idx="16">
                  <c:v>0.57987061409604879</c:v>
                </c:pt>
                <c:pt idx="17">
                  <c:v>0.58715749848114462</c:v>
                </c:pt>
                <c:pt idx="18">
                  <c:v>0.59431173719491448</c:v>
                </c:pt>
                <c:pt idx="19">
                  <c:v>0.60146736812116963</c:v>
                </c:pt>
                <c:pt idx="20">
                  <c:v>0.60917510349029469</c:v>
                </c:pt>
                <c:pt idx="21">
                  <c:v>0.61708904291529398</c:v>
                </c:pt>
                <c:pt idx="22">
                  <c:v>0.62559877731229474</c:v>
                </c:pt>
                <c:pt idx="23">
                  <c:v>0.63481605335852975</c:v>
                </c:pt>
                <c:pt idx="24">
                  <c:v>0.64459486943065214</c:v>
                </c:pt>
                <c:pt idx="25">
                  <c:v>0.65451119442455175</c:v>
                </c:pt>
                <c:pt idx="26">
                  <c:v>0.66469370199577238</c:v>
                </c:pt>
                <c:pt idx="27">
                  <c:v>0.67494153518372391</c:v>
                </c:pt>
                <c:pt idx="28">
                  <c:v>0.68472902545271708</c:v>
                </c:pt>
                <c:pt idx="29">
                  <c:v>0.69452915578713825</c:v>
                </c:pt>
                <c:pt idx="30">
                  <c:v>0.70401074181409184</c:v>
                </c:pt>
                <c:pt idx="31">
                  <c:v>0.71309804042275304</c:v>
                </c:pt>
                <c:pt idx="32">
                  <c:v>0.72139107389005896</c:v>
                </c:pt>
                <c:pt idx="33">
                  <c:v>0.72887450945741195</c:v>
                </c:pt>
                <c:pt idx="34">
                  <c:v>0.73617437195191537</c:v>
                </c:pt>
                <c:pt idx="35">
                  <c:v>0.7429443098735623</c:v>
                </c:pt>
                <c:pt idx="36">
                  <c:v>0.74898708551277826</c:v>
                </c:pt>
                <c:pt idx="37">
                  <c:v>0.75439783499126634</c:v>
                </c:pt>
                <c:pt idx="38">
                  <c:v>0.75893877355627259</c:v>
                </c:pt>
                <c:pt idx="39">
                  <c:v>0.76332010349182999</c:v>
                </c:pt>
                <c:pt idx="40">
                  <c:v>0.76698585300817168</c:v>
                </c:pt>
                <c:pt idx="41">
                  <c:v>0.7700784971261756</c:v>
                </c:pt>
                <c:pt idx="42">
                  <c:v>0.77247231998970312</c:v>
                </c:pt>
                <c:pt idx="43">
                  <c:v>0.77461247337342742</c:v>
                </c:pt>
                <c:pt idx="44">
                  <c:v>0.77621076485746332</c:v>
                </c:pt>
                <c:pt idx="45">
                  <c:v>0.77751157584516917</c:v>
                </c:pt>
                <c:pt idx="46">
                  <c:v>0.77840939543614007</c:v>
                </c:pt>
                <c:pt idx="47">
                  <c:v>0.77879139215280568</c:v>
                </c:pt>
                <c:pt idx="48">
                  <c:v>0.77905840982570562</c:v>
                </c:pt>
              </c:numCache>
            </c:numRef>
          </c:val>
          <c:smooth val="0"/>
          <c:extLst>
            <c:ext xmlns:c16="http://schemas.microsoft.com/office/drawing/2014/chart" uri="{C3380CC4-5D6E-409C-BE32-E72D297353CC}">
              <c16:uniqueId val="{00000002-C738-442F-A278-DBCF801EDD48}"/>
            </c:ext>
          </c:extLst>
        </c:ser>
        <c:ser>
          <c:idx val="3"/>
          <c:order val="3"/>
          <c:tx>
            <c:strRef>
              <c:f>'Dati grafikiem_'!$A$91</c:f>
              <c:strCache>
                <c:ptCount val="1"/>
                <c:pt idx="0">
                  <c:v>Izglītība</c:v>
                </c:pt>
              </c:strCache>
            </c:strRef>
          </c:tx>
          <c:spPr>
            <a:ln w="28575" cap="rnd">
              <a:solidFill>
                <a:srgbClr val="FFC300"/>
              </a:solidFill>
              <a:round/>
            </a:ln>
            <a:effectLst/>
          </c:spPr>
          <c:marker>
            <c:symbol val="none"/>
          </c:marker>
          <c:cat>
            <c:numRef>
              <c:f>'Dati grafikiem_'!$B$87:$AX$87</c:f>
              <c:numCache>
                <c:formatCode>General</c:formatCode>
                <c:ptCount val="4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pt idx="29">
                  <c:v>2051</c:v>
                </c:pt>
                <c:pt idx="30">
                  <c:v>2052</c:v>
                </c:pt>
                <c:pt idx="31">
                  <c:v>2053</c:v>
                </c:pt>
                <c:pt idx="32">
                  <c:v>2054</c:v>
                </c:pt>
                <c:pt idx="33">
                  <c:v>2055</c:v>
                </c:pt>
                <c:pt idx="34">
                  <c:v>2056</c:v>
                </c:pt>
                <c:pt idx="35">
                  <c:v>2057</c:v>
                </c:pt>
                <c:pt idx="36">
                  <c:v>2058</c:v>
                </c:pt>
                <c:pt idx="37">
                  <c:v>2059</c:v>
                </c:pt>
                <c:pt idx="38">
                  <c:v>2060</c:v>
                </c:pt>
                <c:pt idx="39">
                  <c:v>2061</c:v>
                </c:pt>
                <c:pt idx="40">
                  <c:v>2062</c:v>
                </c:pt>
                <c:pt idx="41">
                  <c:v>2063</c:v>
                </c:pt>
                <c:pt idx="42">
                  <c:v>2064</c:v>
                </c:pt>
                <c:pt idx="43">
                  <c:v>2065</c:v>
                </c:pt>
                <c:pt idx="44">
                  <c:v>2066</c:v>
                </c:pt>
                <c:pt idx="45">
                  <c:v>2067</c:v>
                </c:pt>
                <c:pt idx="46">
                  <c:v>2068</c:v>
                </c:pt>
                <c:pt idx="47">
                  <c:v>2069</c:v>
                </c:pt>
                <c:pt idx="48">
                  <c:v>2070</c:v>
                </c:pt>
              </c:numCache>
            </c:numRef>
          </c:cat>
          <c:val>
            <c:numRef>
              <c:f>'Dati grafikiem_'!$B$91:$AX$91</c:f>
              <c:numCache>
                <c:formatCode>0.0</c:formatCode>
                <c:ptCount val="49"/>
                <c:pt idx="0">
                  <c:v>3.559166850175294</c:v>
                </c:pt>
                <c:pt idx="1">
                  <c:v>3.6004240076726859</c:v>
                </c:pt>
                <c:pt idx="2">
                  <c:v>3.6116121165655963</c:v>
                </c:pt>
                <c:pt idx="3">
                  <c:v>3.6007695660537458</c:v>
                </c:pt>
                <c:pt idx="4">
                  <c:v>3.6053267713895178</c:v>
                </c:pt>
                <c:pt idx="5">
                  <c:v>3.5978798656489239</c:v>
                </c:pt>
                <c:pt idx="6">
                  <c:v>3.592749189028043</c:v>
                </c:pt>
                <c:pt idx="7">
                  <c:v>3.5948723578215644</c:v>
                </c:pt>
                <c:pt idx="8">
                  <c:v>3.6038130005583153</c:v>
                </c:pt>
                <c:pt idx="9">
                  <c:v>3.6131719348840505</c:v>
                </c:pt>
                <c:pt idx="10">
                  <c:v>3.6109707301998633</c:v>
                </c:pt>
                <c:pt idx="11">
                  <c:v>3.5926774710288476</c:v>
                </c:pt>
                <c:pt idx="12">
                  <c:v>3.5617567573612008</c:v>
                </c:pt>
                <c:pt idx="13">
                  <c:v>3.5201344547406506</c:v>
                </c:pt>
                <c:pt idx="14">
                  <c:v>3.4705524084557835</c:v>
                </c:pt>
                <c:pt idx="15">
                  <c:v>3.4174255172528061</c:v>
                </c:pt>
                <c:pt idx="16">
                  <c:v>3.365549103068993</c:v>
                </c:pt>
                <c:pt idx="17">
                  <c:v>3.3159831734677683</c:v>
                </c:pt>
                <c:pt idx="18">
                  <c:v>3.2691151848478559</c:v>
                </c:pt>
                <c:pt idx="19">
                  <c:v>3.2287963854470032</c:v>
                </c:pt>
                <c:pt idx="20">
                  <c:v>3.1971043358423055</c:v>
                </c:pt>
                <c:pt idx="21">
                  <c:v>3.1724009648867271</c:v>
                </c:pt>
                <c:pt idx="22">
                  <c:v>3.1563214648470392</c:v>
                </c:pt>
                <c:pt idx="23">
                  <c:v>3.1508803755180197</c:v>
                </c:pt>
                <c:pt idx="24">
                  <c:v>3.1567207090782414</c:v>
                </c:pt>
                <c:pt idx="25">
                  <c:v>3.1730397631275422</c:v>
                </c:pt>
                <c:pt idx="26">
                  <c:v>3.1972586946678558</c:v>
                </c:pt>
                <c:pt idx="27">
                  <c:v>3.2299131055383312</c:v>
                </c:pt>
                <c:pt idx="28">
                  <c:v>3.2701567787988837</c:v>
                </c:pt>
                <c:pt idx="29">
                  <c:v>3.3175619185841088</c:v>
                </c:pt>
                <c:pt idx="30">
                  <c:v>3.3689459678902565</c:v>
                </c:pt>
                <c:pt idx="31">
                  <c:v>3.4224075716743538</c:v>
                </c:pt>
                <c:pt idx="32">
                  <c:v>3.4739216008184473</c:v>
                </c:pt>
                <c:pt idx="33">
                  <c:v>3.5219260962078605</c:v>
                </c:pt>
                <c:pt idx="34">
                  <c:v>3.5634686874674899</c:v>
                </c:pt>
                <c:pt idx="35">
                  <c:v>3.5968371309254334</c:v>
                </c:pt>
                <c:pt idx="36">
                  <c:v>3.6213704537063753</c:v>
                </c:pt>
                <c:pt idx="37">
                  <c:v>3.6348949144599012</c:v>
                </c:pt>
                <c:pt idx="38">
                  <c:v>3.6382748185019151</c:v>
                </c:pt>
                <c:pt idx="39">
                  <c:v>3.6315226223274109</c:v>
                </c:pt>
                <c:pt idx="40">
                  <c:v>3.6163476266168315</c:v>
                </c:pt>
                <c:pt idx="41">
                  <c:v>3.5945679230296408</c:v>
                </c:pt>
                <c:pt idx="42">
                  <c:v>3.5674791959672119</c:v>
                </c:pt>
                <c:pt idx="43">
                  <c:v>3.5365925421889135</c:v>
                </c:pt>
                <c:pt idx="44">
                  <c:v>3.5021093362595375</c:v>
                </c:pt>
                <c:pt idx="45">
                  <c:v>3.465452464809613</c:v>
                </c:pt>
                <c:pt idx="46">
                  <c:v>3.4287711408880925</c:v>
                </c:pt>
                <c:pt idx="47">
                  <c:v>3.393507280293838</c:v>
                </c:pt>
                <c:pt idx="48">
                  <c:v>3.3615143836881902</c:v>
                </c:pt>
              </c:numCache>
            </c:numRef>
          </c:val>
          <c:smooth val="0"/>
          <c:extLst>
            <c:ext xmlns:c16="http://schemas.microsoft.com/office/drawing/2014/chart" uri="{C3380CC4-5D6E-409C-BE32-E72D297353CC}">
              <c16:uniqueId val="{00000003-C738-442F-A278-DBCF801EDD48}"/>
            </c:ext>
          </c:extLst>
        </c:ser>
        <c:dLbls>
          <c:showLegendKey val="0"/>
          <c:showVal val="0"/>
          <c:showCatName val="0"/>
          <c:showSerName val="0"/>
          <c:showPercent val="0"/>
          <c:showBubbleSize val="0"/>
        </c:dLbls>
        <c:smooth val="0"/>
        <c:axId val="1321177135"/>
        <c:axId val="659867503"/>
      </c:lineChart>
      <c:catAx>
        <c:axId val="1321177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9867503"/>
        <c:crosses val="autoZero"/>
        <c:auto val="1"/>
        <c:lblAlgn val="ctr"/>
        <c:lblOffset val="100"/>
        <c:noMultiLvlLbl val="0"/>
      </c:catAx>
      <c:valAx>
        <c:axId val="65986750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21177135"/>
        <c:crosses val="autoZero"/>
        <c:crossBetween val="between"/>
        <c:majorUnit val="2"/>
      </c:valAx>
      <c:spPr>
        <a:noFill/>
        <a:ln>
          <a:noFill/>
        </a:ln>
        <a:effectLst/>
      </c:spPr>
    </c:plotArea>
    <c:legend>
      <c:legendPos val="b"/>
      <c:layout>
        <c:manualLayout>
          <c:xMode val="edge"/>
          <c:yMode val="edge"/>
          <c:x val="4.99999357433022E-2"/>
          <c:y val="0.81524904386951635"/>
          <c:w val="0.89999987148660443"/>
          <c:h val="0.17546771653543311"/>
        </c:manualLayout>
      </c:layout>
      <c:overlay val="0"/>
      <c:spPr>
        <a:noFill/>
        <a:ln>
          <a:noFill/>
        </a:ln>
        <a:effectLst/>
      </c:spPr>
      <c:txPr>
        <a:bodyPr rot="0" spcFirstLastPara="1" vertOverflow="ellipsis" vert="horz" wrap="square" anchor="ctr" anchorCtr="1"/>
        <a:lstStyle/>
        <a:p>
          <a:pPr algn="just">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558314643482434E-2"/>
          <c:y val="5.2884615384615384E-2"/>
          <c:w val="0.90679042894939321"/>
          <c:h val="0.59729004694602439"/>
        </c:manualLayout>
      </c:layout>
      <c:lineChart>
        <c:grouping val="standard"/>
        <c:varyColors val="0"/>
        <c:ser>
          <c:idx val="0"/>
          <c:order val="0"/>
          <c:tx>
            <c:strRef>
              <c:f>'Dati grafikiem_'!$A$138</c:f>
              <c:strCache>
                <c:ptCount val="1"/>
                <c:pt idx="0">
                  <c:v>Bāzes scenārijs</c:v>
                </c:pt>
              </c:strCache>
            </c:strRef>
          </c:tx>
          <c:spPr>
            <a:ln w="28575" cap="rnd">
              <a:solidFill>
                <a:srgbClr val="2A7B9B"/>
              </a:solidFill>
              <a:round/>
            </a:ln>
            <a:effectLst/>
          </c:spPr>
          <c:marker>
            <c:symbol val="none"/>
          </c:marker>
          <c:cat>
            <c:numRef>
              <c:f>'Dati grafikiem_'!$B$136:$AX$136</c:f>
              <c:numCache>
                <c:formatCode>General</c:formatCode>
                <c:ptCount val="4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pt idx="29">
                  <c:v>2051</c:v>
                </c:pt>
                <c:pt idx="30">
                  <c:v>2052</c:v>
                </c:pt>
                <c:pt idx="31">
                  <c:v>2053</c:v>
                </c:pt>
                <c:pt idx="32">
                  <c:v>2054</c:v>
                </c:pt>
                <c:pt idx="33">
                  <c:v>2055</c:v>
                </c:pt>
                <c:pt idx="34">
                  <c:v>2056</c:v>
                </c:pt>
                <c:pt idx="35">
                  <c:v>2057</c:v>
                </c:pt>
                <c:pt idx="36">
                  <c:v>2058</c:v>
                </c:pt>
                <c:pt idx="37">
                  <c:v>2059</c:v>
                </c:pt>
                <c:pt idx="38">
                  <c:v>2060</c:v>
                </c:pt>
                <c:pt idx="39">
                  <c:v>2061</c:v>
                </c:pt>
                <c:pt idx="40">
                  <c:v>2062</c:v>
                </c:pt>
                <c:pt idx="41">
                  <c:v>2063</c:v>
                </c:pt>
                <c:pt idx="42">
                  <c:v>2064</c:v>
                </c:pt>
                <c:pt idx="43">
                  <c:v>2065</c:v>
                </c:pt>
                <c:pt idx="44">
                  <c:v>2066</c:v>
                </c:pt>
                <c:pt idx="45">
                  <c:v>2067</c:v>
                </c:pt>
                <c:pt idx="46">
                  <c:v>2068</c:v>
                </c:pt>
                <c:pt idx="47">
                  <c:v>2069</c:v>
                </c:pt>
                <c:pt idx="48">
                  <c:v>2070</c:v>
                </c:pt>
              </c:numCache>
            </c:numRef>
          </c:cat>
          <c:val>
            <c:numRef>
              <c:f>'Dati grafikiem_'!$B$138:$AX$138</c:f>
              <c:numCache>
                <c:formatCode>0.0</c:formatCode>
                <c:ptCount val="49"/>
                <c:pt idx="0">
                  <c:v>17.236204786459307</c:v>
                </c:pt>
                <c:pt idx="1">
                  <c:v>16.963018970977181</c:v>
                </c:pt>
                <c:pt idx="2">
                  <c:v>16.445877483034263</c:v>
                </c:pt>
                <c:pt idx="3">
                  <c:v>16.347104870178192</c:v>
                </c:pt>
                <c:pt idx="4">
                  <c:v>16.404344988146519</c:v>
                </c:pt>
                <c:pt idx="5">
                  <c:v>16.451301325826847</c:v>
                </c:pt>
                <c:pt idx="6">
                  <c:v>16.450847219643336</c:v>
                </c:pt>
                <c:pt idx="7">
                  <c:v>16.445681899208548</c:v>
                </c:pt>
                <c:pt idx="8">
                  <c:v>16.445636068881367</c:v>
                </c:pt>
                <c:pt idx="9">
                  <c:v>16.449649691406968</c:v>
                </c:pt>
                <c:pt idx="10">
                  <c:v>16.443265948719805</c:v>
                </c:pt>
                <c:pt idx="11">
                  <c:v>16.425635829778482</c:v>
                </c:pt>
                <c:pt idx="12">
                  <c:v>16.393699903439408</c:v>
                </c:pt>
                <c:pt idx="13">
                  <c:v>16.352645194035397</c:v>
                </c:pt>
                <c:pt idx="14">
                  <c:v>16.292103511229506</c:v>
                </c:pt>
                <c:pt idx="15">
                  <c:v>16.21543951937204</c:v>
                </c:pt>
                <c:pt idx="16">
                  <c:v>16.13811540601322</c:v>
                </c:pt>
                <c:pt idx="17">
                  <c:v>16.066403669642867</c:v>
                </c:pt>
                <c:pt idx="18">
                  <c:v>15.996377016636909</c:v>
                </c:pt>
                <c:pt idx="19">
                  <c:v>15.940631017824845</c:v>
                </c:pt>
                <c:pt idx="20">
                  <c:v>15.892863821423248</c:v>
                </c:pt>
                <c:pt idx="21">
                  <c:v>15.853949130477618</c:v>
                </c:pt>
                <c:pt idx="22">
                  <c:v>15.834506004423218</c:v>
                </c:pt>
                <c:pt idx="23">
                  <c:v>15.834881752712105</c:v>
                </c:pt>
                <c:pt idx="24">
                  <c:v>15.844860793087568</c:v>
                </c:pt>
                <c:pt idx="25">
                  <c:v>15.878221989189459</c:v>
                </c:pt>
                <c:pt idx="26">
                  <c:v>15.931458637510467</c:v>
                </c:pt>
                <c:pt idx="27">
                  <c:v>15.995757895522752</c:v>
                </c:pt>
                <c:pt idx="28">
                  <c:v>16.0685100277536</c:v>
                </c:pt>
                <c:pt idx="29">
                  <c:v>16.157554586566203</c:v>
                </c:pt>
                <c:pt idx="30">
                  <c:v>16.249797776875564</c:v>
                </c:pt>
                <c:pt idx="31">
                  <c:v>16.347308542514586</c:v>
                </c:pt>
                <c:pt idx="32">
                  <c:v>16.432524611163949</c:v>
                </c:pt>
                <c:pt idx="33">
                  <c:v>16.507992269397427</c:v>
                </c:pt>
                <c:pt idx="34">
                  <c:v>16.540024355122135</c:v>
                </c:pt>
                <c:pt idx="35">
                  <c:v>16.544476825919563</c:v>
                </c:pt>
                <c:pt idx="36">
                  <c:v>16.522874275418037</c:v>
                </c:pt>
                <c:pt idx="37">
                  <c:v>16.473660682166482</c:v>
                </c:pt>
                <c:pt idx="38">
                  <c:v>16.388830478939632</c:v>
                </c:pt>
                <c:pt idx="39">
                  <c:v>16.285428941971446</c:v>
                </c:pt>
                <c:pt idx="40">
                  <c:v>16.169522741454074</c:v>
                </c:pt>
                <c:pt idx="41">
                  <c:v>16.051535673169518</c:v>
                </c:pt>
                <c:pt idx="42">
                  <c:v>15.938290964563436</c:v>
                </c:pt>
                <c:pt idx="43">
                  <c:v>15.831528823239513</c:v>
                </c:pt>
                <c:pt idx="44">
                  <c:v>15.72283387613604</c:v>
                </c:pt>
                <c:pt idx="45">
                  <c:v>15.618232986165253</c:v>
                </c:pt>
                <c:pt idx="46">
                  <c:v>15.516544389734896</c:v>
                </c:pt>
                <c:pt idx="47">
                  <c:v>15.428611866936837</c:v>
                </c:pt>
                <c:pt idx="48">
                  <c:v>15.354340562399111</c:v>
                </c:pt>
              </c:numCache>
            </c:numRef>
          </c:val>
          <c:smooth val="0"/>
          <c:extLst>
            <c:ext xmlns:c16="http://schemas.microsoft.com/office/drawing/2014/chart" uri="{C3380CC4-5D6E-409C-BE32-E72D297353CC}">
              <c16:uniqueId val="{00000000-5E53-482E-829A-577A5CF3581D}"/>
            </c:ext>
          </c:extLst>
        </c:ser>
        <c:ser>
          <c:idx val="2"/>
          <c:order val="1"/>
          <c:tx>
            <c:strRef>
              <c:f>'Dati grafikiem_'!$A$139</c:f>
              <c:strCache>
                <c:ptCount val="1"/>
                <c:pt idx="0">
                  <c:v>Riska scenārijs</c:v>
                </c:pt>
              </c:strCache>
            </c:strRef>
          </c:tx>
          <c:spPr>
            <a:ln w="28575" cap="rnd">
              <a:solidFill>
                <a:schemeClr val="accent4"/>
              </a:solidFill>
              <a:prstDash val="dash"/>
              <a:round/>
            </a:ln>
            <a:effectLst/>
          </c:spPr>
          <c:marker>
            <c:symbol val="none"/>
          </c:marker>
          <c:cat>
            <c:numRef>
              <c:f>'Dati grafikiem_'!$B$136:$AX$136</c:f>
              <c:numCache>
                <c:formatCode>General</c:formatCode>
                <c:ptCount val="4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pt idx="29">
                  <c:v>2051</c:v>
                </c:pt>
                <c:pt idx="30">
                  <c:v>2052</c:v>
                </c:pt>
                <c:pt idx="31">
                  <c:v>2053</c:v>
                </c:pt>
                <c:pt idx="32">
                  <c:v>2054</c:v>
                </c:pt>
                <c:pt idx="33">
                  <c:v>2055</c:v>
                </c:pt>
                <c:pt idx="34">
                  <c:v>2056</c:v>
                </c:pt>
                <c:pt idx="35">
                  <c:v>2057</c:v>
                </c:pt>
                <c:pt idx="36">
                  <c:v>2058</c:v>
                </c:pt>
                <c:pt idx="37">
                  <c:v>2059</c:v>
                </c:pt>
                <c:pt idx="38">
                  <c:v>2060</c:v>
                </c:pt>
                <c:pt idx="39">
                  <c:v>2061</c:v>
                </c:pt>
                <c:pt idx="40">
                  <c:v>2062</c:v>
                </c:pt>
                <c:pt idx="41">
                  <c:v>2063</c:v>
                </c:pt>
                <c:pt idx="42">
                  <c:v>2064</c:v>
                </c:pt>
                <c:pt idx="43">
                  <c:v>2065</c:v>
                </c:pt>
                <c:pt idx="44">
                  <c:v>2066</c:v>
                </c:pt>
                <c:pt idx="45">
                  <c:v>2067</c:v>
                </c:pt>
                <c:pt idx="46">
                  <c:v>2068</c:v>
                </c:pt>
                <c:pt idx="47">
                  <c:v>2069</c:v>
                </c:pt>
                <c:pt idx="48">
                  <c:v>2070</c:v>
                </c:pt>
              </c:numCache>
            </c:numRef>
          </c:cat>
          <c:val>
            <c:numRef>
              <c:f>'Dati grafikiem_'!$B$139:$AX$139</c:f>
              <c:numCache>
                <c:formatCode>0.0</c:formatCode>
                <c:ptCount val="49"/>
                <c:pt idx="0">
                  <c:v>17.236204786459307</c:v>
                </c:pt>
                <c:pt idx="1">
                  <c:v>17.000410283202825</c:v>
                </c:pt>
                <c:pt idx="2">
                  <c:v>16.565877418099241</c:v>
                </c:pt>
                <c:pt idx="3">
                  <c:v>16.543836533485731</c:v>
                </c:pt>
                <c:pt idx="4">
                  <c:v>16.667522966478163</c:v>
                </c:pt>
                <c:pt idx="5">
                  <c:v>16.781214237270788</c:v>
                </c:pt>
                <c:pt idx="6">
                  <c:v>16.846833046328733</c:v>
                </c:pt>
                <c:pt idx="7">
                  <c:v>16.909061054133755</c:v>
                </c:pt>
                <c:pt idx="8">
                  <c:v>16.976981245137651</c:v>
                </c:pt>
                <c:pt idx="9">
                  <c:v>17.049713940441634</c:v>
                </c:pt>
                <c:pt idx="10">
                  <c:v>17.113567247740953</c:v>
                </c:pt>
                <c:pt idx="11">
                  <c:v>17.165783288732445</c:v>
                </c:pt>
                <c:pt idx="12">
                  <c:v>17.202927185873001</c:v>
                </c:pt>
                <c:pt idx="13">
                  <c:v>17.230132004229777</c:v>
                </c:pt>
                <c:pt idx="14">
                  <c:v>17.238279658830155</c:v>
                </c:pt>
                <c:pt idx="15">
                  <c:v>17.230727058029021</c:v>
                </c:pt>
                <c:pt idx="16">
                  <c:v>17.221638846262458</c:v>
                </c:pt>
                <c:pt idx="17">
                  <c:v>17.217232078740984</c:v>
                </c:pt>
                <c:pt idx="18">
                  <c:v>17.21305500743631</c:v>
                </c:pt>
                <c:pt idx="19">
                  <c:v>17.222768824139759</c:v>
                </c:pt>
                <c:pt idx="20">
                  <c:v>17.239480996680108</c:v>
                </c:pt>
                <c:pt idx="21">
                  <c:v>17.264864434032702</c:v>
                </c:pt>
                <c:pt idx="22">
                  <c:v>17.310109415500655</c:v>
                </c:pt>
                <c:pt idx="23">
                  <c:v>17.375183533445547</c:v>
                </c:pt>
                <c:pt idx="24">
                  <c:v>17.450208808059543</c:v>
                </c:pt>
                <c:pt idx="25">
                  <c:v>17.548771565594954</c:v>
                </c:pt>
                <c:pt idx="26">
                  <c:v>17.667895904472331</c:v>
                </c:pt>
                <c:pt idx="27">
                  <c:v>17.798195479914096</c:v>
                </c:pt>
                <c:pt idx="28">
                  <c:v>17.937364826191942</c:v>
                </c:pt>
                <c:pt idx="29">
                  <c:v>18.094503471577433</c:v>
                </c:pt>
                <c:pt idx="30">
                  <c:v>18.255915874030041</c:v>
                </c:pt>
                <c:pt idx="31">
                  <c:v>18.424866745559861</c:v>
                </c:pt>
                <c:pt idx="32">
                  <c:v>18.582762658328971</c:v>
                </c:pt>
                <c:pt idx="33">
                  <c:v>18.732964416080208</c:v>
                </c:pt>
                <c:pt idx="34">
                  <c:v>18.843095126216571</c:v>
                </c:pt>
                <c:pt idx="35">
                  <c:v>18.927140677911034</c:v>
                </c:pt>
                <c:pt idx="36">
                  <c:v>18.986608335458197</c:v>
                </c:pt>
                <c:pt idx="37">
                  <c:v>19.019924922651356</c:v>
                </c:pt>
                <c:pt idx="38">
                  <c:v>19.018253329658776</c:v>
                </c:pt>
                <c:pt idx="39">
                  <c:v>19.000184071338683</c:v>
                </c:pt>
                <c:pt idx="40">
                  <c:v>18.969650094143187</c:v>
                </c:pt>
                <c:pt idx="41">
                  <c:v>18.938512543236442</c:v>
                </c:pt>
                <c:pt idx="42">
                  <c:v>18.912402081463739</c:v>
                </c:pt>
                <c:pt idx="43">
                  <c:v>18.894327731122221</c:v>
                </c:pt>
                <c:pt idx="44">
                  <c:v>18.875265000483399</c:v>
                </c:pt>
                <c:pt idx="45">
                  <c:v>18.86282710554887</c:v>
                </c:pt>
                <c:pt idx="46">
                  <c:v>18.854781055209958</c:v>
                </c:pt>
                <c:pt idx="47">
                  <c:v>18.862794890248178</c:v>
                </c:pt>
                <c:pt idx="48">
                  <c:v>18.885976265642093</c:v>
                </c:pt>
              </c:numCache>
            </c:numRef>
          </c:val>
          <c:smooth val="0"/>
          <c:extLst>
            <c:ext xmlns:c16="http://schemas.microsoft.com/office/drawing/2014/chart" uri="{C3380CC4-5D6E-409C-BE32-E72D297353CC}">
              <c16:uniqueId val="{00000001-5E53-482E-829A-577A5CF3581D}"/>
            </c:ext>
          </c:extLst>
        </c:ser>
        <c:dLbls>
          <c:showLegendKey val="0"/>
          <c:showVal val="0"/>
          <c:showCatName val="0"/>
          <c:showSerName val="0"/>
          <c:showPercent val="0"/>
          <c:showBubbleSize val="0"/>
        </c:dLbls>
        <c:smooth val="0"/>
        <c:axId val="1321193455"/>
        <c:axId val="1593353839"/>
      </c:lineChart>
      <c:catAx>
        <c:axId val="1321193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3353839"/>
        <c:crosses val="autoZero"/>
        <c:auto val="1"/>
        <c:lblAlgn val="ctr"/>
        <c:lblOffset val="100"/>
        <c:noMultiLvlLbl val="0"/>
      </c:catAx>
      <c:valAx>
        <c:axId val="1593353839"/>
        <c:scaling>
          <c:orientation val="minMax"/>
          <c:max val="20"/>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21193455"/>
        <c:crosses val="autoZero"/>
        <c:crossBetween val="between"/>
        <c:majorUnit val="5"/>
      </c:valAx>
      <c:spPr>
        <a:noFill/>
        <a:ln>
          <a:noFill/>
        </a:ln>
        <a:effectLst/>
      </c:spPr>
    </c:plotArea>
    <c:legend>
      <c:legendPos val="b"/>
      <c:layout>
        <c:manualLayout>
          <c:xMode val="edge"/>
          <c:yMode val="edge"/>
          <c:x val="0.11225006957290423"/>
          <c:y val="0.8287153729739215"/>
          <c:w val="0.82634177768612793"/>
          <c:h val="0.1263853453080040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466450756725131E-2"/>
          <c:y val="3.6457073324179579E-2"/>
          <c:w val="0.89273949246910178"/>
          <c:h val="0.72449465944331914"/>
        </c:manualLayout>
      </c:layout>
      <c:barChart>
        <c:barDir val="col"/>
        <c:grouping val="stacked"/>
        <c:varyColors val="0"/>
        <c:ser>
          <c:idx val="1"/>
          <c:order val="1"/>
          <c:tx>
            <c:strRef>
              <c:f>Latvija!$D$6</c:f>
              <c:strCache>
                <c:ptCount val="1"/>
                <c:pt idx="0">
                  <c:v>Sabiedriskais patēriņš</c:v>
                </c:pt>
              </c:strCache>
            </c:strRef>
          </c:tx>
          <c:spPr>
            <a:solidFill>
              <a:schemeClr val="accent2"/>
            </a:solidFill>
            <a:ln>
              <a:noFill/>
            </a:ln>
            <a:effectLst/>
          </c:spPr>
          <c:invertIfNegative val="0"/>
          <c:cat>
            <c:numRef>
              <c:f>Latvija!$E$3:$M$3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Latvija!$E$6:$M$6</c:f>
              <c:numCache>
                <c:formatCode>0.0</c:formatCode>
                <c:ptCount val="9"/>
                <c:pt idx="0">
                  <c:v>0.27162144222712042</c:v>
                </c:pt>
                <c:pt idx="1">
                  <c:v>0.37449344025014286</c:v>
                </c:pt>
                <c:pt idx="2">
                  <c:v>0.62714912393166067</c:v>
                </c:pt>
                <c:pt idx="3">
                  <c:v>0.31569566293164802</c:v>
                </c:pt>
                <c:pt idx="4">
                  <c:v>0.98437334466728699</c:v>
                </c:pt>
                <c:pt idx="5">
                  <c:v>0.39112436113962901</c:v>
                </c:pt>
                <c:pt idx="6">
                  <c:v>0.68840152437049307</c:v>
                </c:pt>
                <c:pt idx="7">
                  <c:v>0.54160937531201303</c:v>
                </c:pt>
                <c:pt idx="8">
                  <c:v>1.330579899712504</c:v>
                </c:pt>
              </c:numCache>
            </c:numRef>
          </c:val>
          <c:extLst>
            <c:ext xmlns:c16="http://schemas.microsoft.com/office/drawing/2014/chart" uri="{C3380CC4-5D6E-409C-BE32-E72D297353CC}">
              <c16:uniqueId val="{00000000-E9CC-4C0E-B5DD-14D56FC4D36C}"/>
            </c:ext>
          </c:extLst>
        </c:ser>
        <c:ser>
          <c:idx val="2"/>
          <c:order val="2"/>
          <c:tx>
            <c:strRef>
              <c:f>Latvija!$D$5</c:f>
              <c:strCache>
                <c:ptCount val="1"/>
                <c:pt idx="0">
                  <c:v>Privātais patēriņš</c:v>
                </c:pt>
              </c:strCache>
            </c:strRef>
          </c:tx>
          <c:spPr>
            <a:solidFill>
              <a:schemeClr val="accent3"/>
            </a:solidFill>
            <a:ln>
              <a:noFill/>
            </a:ln>
            <a:effectLst/>
          </c:spPr>
          <c:invertIfNegative val="0"/>
          <c:cat>
            <c:numRef>
              <c:f>Latvija!$E$3:$M$3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Latvija!$E$5:$M$5</c:f>
              <c:numCache>
                <c:formatCode>0.0</c:formatCode>
                <c:ptCount val="9"/>
                <c:pt idx="0">
                  <c:v>1.365362061865782</c:v>
                </c:pt>
                <c:pt idx="1">
                  <c:v>2.0909261168528883</c:v>
                </c:pt>
                <c:pt idx="2">
                  <c:v>1.771497301935719</c:v>
                </c:pt>
                <c:pt idx="3">
                  <c:v>1.8273453604577874</c:v>
                </c:pt>
                <c:pt idx="4">
                  <c:v>1.2806944361131689E-2</c:v>
                </c:pt>
                <c:pt idx="5">
                  <c:v>-2.5658560057565025</c:v>
                </c:pt>
                <c:pt idx="6">
                  <c:v>4.2911647842705003</c:v>
                </c:pt>
                <c:pt idx="7">
                  <c:v>4.2698606149611225</c:v>
                </c:pt>
                <c:pt idx="8">
                  <c:v>-0.72366977921665088</c:v>
                </c:pt>
              </c:numCache>
            </c:numRef>
          </c:val>
          <c:extLst>
            <c:ext xmlns:c16="http://schemas.microsoft.com/office/drawing/2014/chart" uri="{C3380CC4-5D6E-409C-BE32-E72D297353CC}">
              <c16:uniqueId val="{00000001-E9CC-4C0E-B5DD-14D56FC4D36C}"/>
            </c:ext>
          </c:extLst>
        </c:ser>
        <c:ser>
          <c:idx val="3"/>
          <c:order val="3"/>
          <c:tx>
            <c:strRef>
              <c:f>Latvija!$D$7</c:f>
              <c:strCache>
                <c:ptCount val="1"/>
                <c:pt idx="0">
                  <c:v>Investīcijas</c:v>
                </c:pt>
              </c:strCache>
            </c:strRef>
          </c:tx>
          <c:spPr>
            <a:solidFill>
              <a:schemeClr val="accent4"/>
            </a:solidFill>
            <a:ln>
              <a:noFill/>
            </a:ln>
            <a:effectLst/>
          </c:spPr>
          <c:invertIfNegative val="0"/>
          <c:cat>
            <c:numRef>
              <c:f>Latvija!$E$3:$M$3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Latvija!$E$7:$M$7</c:f>
              <c:numCache>
                <c:formatCode>0.0</c:formatCode>
                <c:ptCount val="9"/>
                <c:pt idx="0">
                  <c:v>-0.46341838757983134</c:v>
                </c:pt>
                <c:pt idx="1">
                  <c:v>-1.8018709492210818</c:v>
                </c:pt>
                <c:pt idx="2">
                  <c:v>2.2362318417103797</c:v>
                </c:pt>
                <c:pt idx="3">
                  <c:v>2.4820749464066574</c:v>
                </c:pt>
                <c:pt idx="4">
                  <c:v>0.33915645345849044</c:v>
                </c:pt>
                <c:pt idx="5">
                  <c:v>-0.4938754383686671</c:v>
                </c:pt>
                <c:pt idx="6">
                  <c:v>1.6783509322686998</c:v>
                </c:pt>
                <c:pt idx="7">
                  <c:v>0.12973319229636918</c:v>
                </c:pt>
                <c:pt idx="8">
                  <c:v>1.8786122855546199</c:v>
                </c:pt>
              </c:numCache>
            </c:numRef>
          </c:val>
          <c:extLst>
            <c:ext xmlns:c16="http://schemas.microsoft.com/office/drawing/2014/chart" uri="{C3380CC4-5D6E-409C-BE32-E72D297353CC}">
              <c16:uniqueId val="{00000002-E9CC-4C0E-B5DD-14D56FC4D36C}"/>
            </c:ext>
          </c:extLst>
        </c:ser>
        <c:ser>
          <c:idx val="4"/>
          <c:order val="4"/>
          <c:tx>
            <c:strRef>
              <c:f>Latvija!$D$8</c:f>
              <c:strCache>
                <c:ptCount val="1"/>
                <c:pt idx="0">
                  <c:v>Krājumu izmaiņas</c:v>
                </c:pt>
              </c:strCache>
            </c:strRef>
          </c:tx>
          <c:spPr>
            <a:solidFill>
              <a:schemeClr val="accent5"/>
            </a:solidFill>
            <a:ln>
              <a:noFill/>
            </a:ln>
            <a:effectLst/>
          </c:spPr>
          <c:invertIfNegative val="0"/>
          <c:cat>
            <c:numRef>
              <c:f>Latvija!$E$3:$M$3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Latvija!$E$8:$M$8</c:f>
              <c:numCache>
                <c:formatCode>0.0</c:formatCode>
                <c:ptCount val="9"/>
                <c:pt idx="0">
                  <c:v>1.9471664227244248</c:v>
                </c:pt>
                <c:pt idx="1">
                  <c:v>1.5322727874665789</c:v>
                </c:pt>
                <c:pt idx="2">
                  <c:v>0.15189146758913849</c:v>
                </c:pt>
                <c:pt idx="3">
                  <c:v>0.7680808023282083</c:v>
                </c:pt>
                <c:pt idx="4">
                  <c:v>-7.0351235537098836E-2</c:v>
                </c:pt>
                <c:pt idx="5">
                  <c:v>-1.8545188070412684</c:v>
                </c:pt>
                <c:pt idx="6">
                  <c:v>4.652633347245942</c:v>
                </c:pt>
                <c:pt idx="7">
                  <c:v>-0.57439186025580768</c:v>
                </c:pt>
                <c:pt idx="8">
                  <c:v>-0.82600579818520958</c:v>
                </c:pt>
              </c:numCache>
            </c:numRef>
          </c:val>
          <c:extLst>
            <c:ext xmlns:c16="http://schemas.microsoft.com/office/drawing/2014/chart" uri="{C3380CC4-5D6E-409C-BE32-E72D297353CC}">
              <c16:uniqueId val="{00000003-E9CC-4C0E-B5DD-14D56FC4D36C}"/>
            </c:ext>
          </c:extLst>
        </c:ser>
        <c:ser>
          <c:idx val="5"/>
          <c:order val="5"/>
          <c:tx>
            <c:strRef>
              <c:f>Latvija!$D$9</c:f>
              <c:strCache>
                <c:ptCount val="1"/>
                <c:pt idx="0">
                  <c:v>Eksports</c:v>
                </c:pt>
              </c:strCache>
            </c:strRef>
          </c:tx>
          <c:spPr>
            <a:solidFill>
              <a:schemeClr val="accent6"/>
            </a:solidFill>
            <a:ln>
              <a:noFill/>
            </a:ln>
            <a:effectLst/>
          </c:spPr>
          <c:invertIfNegative val="0"/>
          <c:cat>
            <c:numRef>
              <c:f>Latvija!$E$3:$M$3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Latvija!$E$9:$M$9</c:f>
              <c:numCache>
                <c:formatCode>0.0</c:formatCode>
                <c:ptCount val="9"/>
                <c:pt idx="0">
                  <c:v>1.8082504056543858</c:v>
                </c:pt>
                <c:pt idx="1">
                  <c:v>2.3842300010996182</c:v>
                </c:pt>
                <c:pt idx="2">
                  <c:v>3.8880431038303991</c:v>
                </c:pt>
                <c:pt idx="3">
                  <c:v>2.7756714126900963</c:v>
                </c:pt>
                <c:pt idx="4">
                  <c:v>0.82094696567002468</c:v>
                </c:pt>
                <c:pt idx="5">
                  <c:v>0.22618774778658951</c:v>
                </c:pt>
                <c:pt idx="6">
                  <c:v>5.9932308238288927</c:v>
                </c:pt>
                <c:pt idx="7">
                  <c:v>6.9828693387029448</c:v>
                </c:pt>
                <c:pt idx="8">
                  <c:v>-4.2980191141504962</c:v>
                </c:pt>
              </c:numCache>
            </c:numRef>
          </c:val>
          <c:extLst>
            <c:ext xmlns:c16="http://schemas.microsoft.com/office/drawing/2014/chart" uri="{C3380CC4-5D6E-409C-BE32-E72D297353CC}">
              <c16:uniqueId val="{00000004-E9CC-4C0E-B5DD-14D56FC4D36C}"/>
            </c:ext>
          </c:extLst>
        </c:ser>
        <c:ser>
          <c:idx val="6"/>
          <c:order val="6"/>
          <c:tx>
            <c:strRef>
              <c:f>Latvija!$D$10</c:f>
              <c:strCache>
                <c:ptCount val="1"/>
                <c:pt idx="0">
                  <c:v>Imports</c:v>
                </c:pt>
              </c:strCache>
            </c:strRef>
          </c:tx>
          <c:spPr>
            <a:solidFill>
              <a:schemeClr val="accent1">
                <a:lumMod val="60000"/>
              </a:schemeClr>
            </a:solidFill>
            <a:ln>
              <a:noFill/>
            </a:ln>
            <a:effectLst/>
          </c:spPr>
          <c:invertIfNegative val="0"/>
          <c:cat>
            <c:numRef>
              <c:f>Latvija!$E$3:$M$3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Latvija!$E$10:$M$10</c:f>
              <c:numCache>
                <c:formatCode>0.0</c:formatCode>
                <c:ptCount val="9"/>
                <c:pt idx="0">
                  <c:v>-1.0437218906242425</c:v>
                </c:pt>
                <c:pt idx="1">
                  <c:v>-2.2114366498039368</c:v>
                </c:pt>
                <c:pt idx="2">
                  <c:v>-5.3623369031227215</c:v>
                </c:pt>
                <c:pt idx="3">
                  <c:v>-4.1783489441217041</c:v>
                </c:pt>
                <c:pt idx="4">
                  <c:v>-1.4994300891257504</c:v>
                </c:pt>
                <c:pt idx="5">
                  <c:v>0.78313530026115685</c:v>
                </c:pt>
                <c:pt idx="6">
                  <c:v>-10.57204613373788</c:v>
                </c:pt>
                <c:pt idx="7">
                  <c:v>-8.3949524618245945</c:v>
                </c:pt>
                <c:pt idx="8">
                  <c:v>2.3327192617039527</c:v>
                </c:pt>
              </c:numCache>
            </c:numRef>
          </c:val>
          <c:extLst>
            <c:ext xmlns:c16="http://schemas.microsoft.com/office/drawing/2014/chart" uri="{C3380CC4-5D6E-409C-BE32-E72D297353CC}">
              <c16:uniqueId val="{00000005-E9CC-4C0E-B5DD-14D56FC4D36C}"/>
            </c:ext>
          </c:extLst>
        </c:ser>
        <c:dLbls>
          <c:showLegendKey val="0"/>
          <c:showVal val="0"/>
          <c:showCatName val="0"/>
          <c:showSerName val="0"/>
          <c:showPercent val="0"/>
          <c:showBubbleSize val="0"/>
        </c:dLbls>
        <c:gapWidth val="50"/>
        <c:overlap val="100"/>
        <c:axId val="2132796783"/>
        <c:axId val="1"/>
      </c:barChart>
      <c:lineChart>
        <c:grouping val="standard"/>
        <c:varyColors val="0"/>
        <c:ser>
          <c:idx val="0"/>
          <c:order val="0"/>
          <c:tx>
            <c:strRef>
              <c:f>Latvija!$D$4</c:f>
              <c:strCache>
                <c:ptCount val="1"/>
                <c:pt idx="0">
                  <c:v>IKP</c:v>
                </c:pt>
              </c:strCache>
            </c:strRef>
          </c:tx>
          <c:spPr>
            <a:ln w="19050" cap="rnd" cmpd="sng" algn="ctr">
              <a:solidFill>
                <a:schemeClr val="tx1"/>
              </a:solidFill>
              <a:prstDash val="solid"/>
              <a:round/>
            </a:ln>
            <a:effectLst/>
          </c:spPr>
          <c:marker>
            <c:symbol val="diamond"/>
            <c:size val="10"/>
            <c:spPr>
              <a:solidFill>
                <a:schemeClr val="accent1"/>
              </a:solidFill>
              <a:ln w="6350" cap="flat" cmpd="sng" algn="ctr">
                <a:solidFill>
                  <a:schemeClr val="tx1"/>
                </a:solidFill>
                <a:prstDash val="solid"/>
                <a:round/>
              </a:ln>
              <a:effectLst/>
            </c:spPr>
          </c:marker>
          <c:dLbls>
            <c:spPr>
              <a:solidFill>
                <a:schemeClr val="bg1">
                  <a:alpha val="40000"/>
                </a:schemeClr>
              </a:solidFill>
              <a:ln w="25400">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Latvija!$E$3:$M$3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Latvija!$E$4:$M$4</c:f>
              <c:numCache>
                <c:formatCode>0.0</c:formatCode>
                <c:ptCount val="9"/>
                <c:pt idx="0">
                  <c:v>3.8852600542676328</c:v>
                </c:pt>
                <c:pt idx="1">
                  <c:v>2.3686147466442264</c:v>
                </c:pt>
                <c:pt idx="2">
                  <c:v>3.3124759358745877</c:v>
                </c:pt>
                <c:pt idx="3">
                  <c:v>3.9905192406926915</c:v>
                </c:pt>
                <c:pt idx="4">
                  <c:v>0.58750238349409756</c:v>
                </c:pt>
                <c:pt idx="5">
                  <c:v>-3.5138028419790572</c:v>
                </c:pt>
                <c:pt idx="6">
                  <c:v>6.7317352782466457</c:v>
                </c:pt>
                <c:pt idx="7">
                  <c:v>2.9547281991920471</c:v>
                </c:pt>
                <c:pt idx="8">
                  <c:v>-0.30578324458127776</c:v>
                </c:pt>
              </c:numCache>
            </c:numRef>
          </c:val>
          <c:smooth val="0"/>
          <c:extLst>
            <c:ext xmlns:c16="http://schemas.microsoft.com/office/drawing/2014/chart" uri="{C3380CC4-5D6E-409C-BE32-E72D297353CC}">
              <c16:uniqueId val="{00000006-E9CC-4C0E-B5DD-14D56FC4D36C}"/>
            </c:ext>
          </c:extLst>
        </c:ser>
        <c:dLbls>
          <c:showLegendKey val="0"/>
          <c:showVal val="0"/>
          <c:showCatName val="0"/>
          <c:showSerName val="0"/>
          <c:showPercent val="0"/>
          <c:showBubbleSize val="0"/>
        </c:dLbls>
        <c:marker val="1"/>
        <c:smooth val="0"/>
        <c:axId val="2132796783"/>
        <c:axId val="1"/>
      </c:lineChart>
      <c:catAx>
        <c:axId val="2132796783"/>
        <c:scaling>
          <c:orientation val="minMax"/>
        </c:scaling>
        <c:delete val="0"/>
        <c:axPos val="b"/>
        <c:numFmt formatCode="General" sourceLinked="1"/>
        <c:majorTickMark val="none"/>
        <c:minorTickMark val="none"/>
        <c:tickLblPos val="low"/>
        <c:spPr>
          <a:noFill/>
          <a:ln w="6350" cap="flat" cmpd="sng" algn="ctr">
            <a:solidFill>
              <a:schemeClr val="tx1">
                <a:lumMod val="15000"/>
                <a:lumOff val="85000"/>
              </a:schemeClr>
            </a:solidFill>
            <a:prstDash val="solid"/>
            <a:round/>
          </a:ln>
          <a:effectLst/>
        </c:spPr>
        <c:txPr>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a:cs typeface="Times New Roman" panose="02020603050405020304" pitchFamily="18" charset="0"/>
              </a:defRPr>
            </a:pPr>
            <a:endParaRPr lang="lv-LV"/>
          </a:p>
        </c:txPr>
        <c:crossAx val="1"/>
        <c:crosses val="autoZero"/>
        <c:auto val="1"/>
        <c:lblAlgn val="ctr"/>
        <c:lblOffset val="100"/>
        <c:noMultiLvlLbl val="0"/>
      </c:catAx>
      <c:valAx>
        <c:axId val="1"/>
        <c:scaling>
          <c:orientation val="minMax"/>
        </c:scaling>
        <c:delete val="0"/>
        <c:axPos val="l"/>
        <c:majorGridlines>
          <c:spPr>
            <a:ln w="6350" cap="flat" cmpd="sng" algn="ctr">
              <a:solidFill>
                <a:schemeClr val="tx1">
                  <a:lumMod val="15000"/>
                  <a:lumOff val="85000"/>
                </a:schemeClr>
              </a:solidFill>
              <a:prstDash val="solid"/>
              <a:round/>
            </a:ln>
            <a:effectLst/>
          </c:spPr>
        </c:majorGridlines>
        <c:numFmt formatCode="0" sourceLinked="0"/>
        <c:majorTickMark val="none"/>
        <c:minorTickMark val="none"/>
        <c:tickLblPos val="nextTo"/>
        <c:spPr>
          <a:noFill/>
          <a:ln w="6350" cap="flat" cmpd="sng" algn="ctr">
            <a:noFill/>
            <a:prstDash val="solid"/>
            <a:round/>
          </a:ln>
          <a:effectLst/>
        </c:spPr>
        <c:txPr>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a:cs typeface="Times New Roman" panose="02020603050405020304" pitchFamily="18" charset="0"/>
              </a:defRPr>
            </a:pPr>
            <a:endParaRPr lang="lv-LV"/>
          </a:p>
        </c:txPr>
        <c:crossAx val="2132796783"/>
        <c:crosses val="autoZero"/>
        <c:crossBetween val="between"/>
      </c:valAx>
      <c:spPr>
        <a:noFill/>
        <a:ln w="25400">
          <a:noFill/>
        </a:ln>
        <a:effectLst/>
      </c:spPr>
    </c:plotArea>
    <c:legend>
      <c:legendPos val="b"/>
      <c:layout>
        <c:manualLayout>
          <c:xMode val="edge"/>
          <c:yMode val="edge"/>
          <c:x val="6.4664382639624896E-3"/>
          <c:y val="0.86183919566688472"/>
          <c:w val="0.98550388581634396"/>
          <c:h val="0.12261217236783652"/>
        </c:manualLayout>
      </c:layout>
      <c:overlay val="0"/>
      <c:spPr>
        <a:noFill/>
        <a:ln w="25400">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a:cs typeface="Times New Roman" panose="02020603050405020304" pitchFamily="18" charset="0"/>
            </a:defRPr>
          </a:pPr>
          <a:endParaRPr lang="lv-LV"/>
        </a:p>
      </c:txPr>
    </c:legend>
    <c:plotVisOnly val="1"/>
    <c:dispBlanksAs val="gap"/>
    <c:showDLblsOverMax val="0"/>
  </c:chart>
  <c:spPr>
    <a:solidFill>
      <a:schemeClr val="bg1"/>
    </a:solidFill>
    <a:ln w="6350" cap="flat" cmpd="sng" algn="ctr">
      <a:noFill/>
      <a:prstDash val="solid"/>
      <a:round/>
    </a:ln>
    <a:effectLst/>
  </c:spPr>
  <c:txPr>
    <a:bodyPr/>
    <a:lstStyle/>
    <a:p>
      <a:pPr>
        <a:defRPr sz="900" b="0" i="0" u="none" strike="noStrike" baseline="0">
          <a:solidFill>
            <a:sysClr val="windowText" lastClr="000000"/>
          </a:solidFill>
          <a:latin typeface="Times New Roman" panose="02020603050405020304" pitchFamily="18" charset="0"/>
          <a:ea typeface="Verdana"/>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226605162944646E-2"/>
          <c:y val="3.3236101437028501E-2"/>
          <c:w val="0.82912213969064696"/>
          <c:h val="0.73818623281845863"/>
        </c:manualLayout>
      </c:layout>
      <c:barChart>
        <c:barDir val="col"/>
        <c:grouping val="stacked"/>
        <c:varyColors val="0"/>
        <c:ser>
          <c:idx val="1"/>
          <c:order val="0"/>
          <c:tx>
            <c:strRef>
              <c:f>'Tekošais konts_Y'!$B$4</c:f>
              <c:strCache>
                <c:ptCount val="1"/>
                <c:pt idx="0">
                  <c:v>Preces</c:v>
                </c:pt>
              </c:strCache>
            </c:strRef>
          </c:tx>
          <c:spPr>
            <a:solidFill>
              <a:schemeClr val="accent2">
                <a:lumMod val="60000"/>
                <a:lumOff val="40000"/>
              </a:schemeClr>
            </a:solidFill>
            <a:ln w="25400">
              <a:noFill/>
            </a:ln>
          </c:spPr>
          <c:invertIfNegative val="0"/>
          <c:cat>
            <c:numRef>
              <c:f>'Tekošais konts_Y'!$F$2:$U$2</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'Tekošais konts_Y'!$F$4:$U$4</c:f>
              <c:numCache>
                <c:formatCode>#,##0</c:formatCode>
                <c:ptCount val="16"/>
                <c:pt idx="0">
                  <c:v>-4281</c:v>
                </c:pt>
                <c:pt idx="1">
                  <c:v>-1651</c:v>
                </c:pt>
                <c:pt idx="2">
                  <c:v>-1649</c:v>
                </c:pt>
                <c:pt idx="3">
                  <c:v>-2653</c:v>
                </c:pt>
                <c:pt idx="4">
                  <c:v>-2803</c:v>
                </c:pt>
                <c:pt idx="5">
                  <c:v>-2766</c:v>
                </c:pt>
                <c:pt idx="6">
                  <c:v>-2684</c:v>
                </c:pt>
                <c:pt idx="7">
                  <c:v>-2443</c:v>
                </c:pt>
                <c:pt idx="8">
                  <c:v>-2062</c:v>
                </c:pt>
                <c:pt idx="9">
                  <c:v>-2450</c:v>
                </c:pt>
                <c:pt idx="10" formatCode="General">
                  <c:v>-2501</c:v>
                </c:pt>
                <c:pt idx="11" formatCode="General">
                  <c:v>-2639</c:v>
                </c:pt>
                <c:pt idx="12" formatCode="General">
                  <c:v>-1544</c:v>
                </c:pt>
                <c:pt idx="13" formatCode="General">
                  <c:v>-2756</c:v>
                </c:pt>
                <c:pt idx="14" formatCode="General">
                  <c:v>-4093</c:v>
                </c:pt>
                <c:pt idx="15" formatCode="General">
                  <c:v>-3736</c:v>
                </c:pt>
              </c:numCache>
            </c:numRef>
          </c:val>
          <c:extLst>
            <c:ext xmlns:c16="http://schemas.microsoft.com/office/drawing/2014/chart" uri="{C3380CC4-5D6E-409C-BE32-E72D297353CC}">
              <c16:uniqueId val="{00000000-8A8B-45ED-AB3D-7D89707C0074}"/>
            </c:ext>
          </c:extLst>
        </c:ser>
        <c:ser>
          <c:idx val="2"/>
          <c:order val="1"/>
          <c:tx>
            <c:strRef>
              <c:f>'Tekošais konts_Y'!$B$5</c:f>
              <c:strCache>
                <c:ptCount val="1"/>
                <c:pt idx="0">
                  <c:v>Pakalpojumi</c:v>
                </c:pt>
              </c:strCache>
            </c:strRef>
          </c:tx>
          <c:spPr>
            <a:solidFill>
              <a:srgbClr val="A5A5A5"/>
            </a:solidFill>
            <a:ln w="25400">
              <a:noFill/>
            </a:ln>
          </c:spPr>
          <c:invertIfNegative val="0"/>
          <c:cat>
            <c:numRef>
              <c:f>'Tekošais konts_Y'!$F$2:$U$2</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'Tekošais konts_Y'!$F$5:$U$5</c:f>
              <c:numCache>
                <c:formatCode>#,##0</c:formatCode>
                <c:ptCount val="16"/>
                <c:pt idx="0">
                  <c:v>1395</c:v>
                </c:pt>
                <c:pt idx="1">
                  <c:v>1430</c:v>
                </c:pt>
                <c:pt idx="2">
                  <c:v>1295</c:v>
                </c:pt>
                <c:pt idx="3">
                  <c:v>1461</c:v>
                </c:pt>
                <c:pt idx="4">
                  <c:v>1591</c:v>
                </c:pt>
                <c:pt idx="5">
                  <c:v>1734</c:v>
                </c:pt>
                <c:pt idx="6">
                  <c:v>1983</c:v>
                </c:pt>
                <c:pt idx="7">
                  <c:v>2013</c:v>
                </c:pt>
                <c:pt idx="8">
                  <c:v>2139</c:v>
                </c:pt>
                <c:pt idx="9">
                  <c:v>2268</c:v>
                </c:pt>
                <c:pt idx="10" formatCode="General">
                  <c:v>2296</c:v>
                </c:pt>
                <c:pt idx="11" formatCode="General">
                  <c:v>2425</c:v>
                </c:pt>
                <c:pt idx="12" formatCode="General">
                  <c:v>1937</c:v>
                </c:pt>
                <c:pt idx="13" formatCode="General">
                  <c:v>1705</c:v>
                </c:pt>
                <c:pt idx="14" formatCode="General">
                  <c:v>2332</c:v>
                </c:pt>
                <c:pt idx="15" formatCode="General">
                  <c:v>2182</c:v>
                </c:pt>
              </c:numCache>
            </c:numRef>
          </c:val>
          <c:extLst>
            <c:ext xmlns:c16="http://schemas.microsoft.com/office/drawing/2014/chart" uri="{C3380CC4-5D6E-409C-BE32-E72D297353CC}">
              <c16:uniqueId val="{00000001-8A8B-45ED-AB3D-7D89707C0074}"/>
            </c:ext>
          </c:extLst>
        </c:ser>
        <c:ser>
          <c:idx val="3"/>
          <c:order val="2"/>
          <c:tx>
            <c:strRef>
              <c:f>'Tekošais konts_Y'!$B$6</c:f>
              <c:strCache>
                <c:ptCount val="1"/>
                <c:pt idx="0">
                  <c:v>Sākotnējie ienākumi</c:v>
                </c:pt>
              </c:strCache>
            </c:strRef>
          </c:tx>
          <c:spPr>
            <a:solidFill>
              <a:schemeClr val="tx2">
                <a:lumMod val="50000"/>
                <a:lumOff val="50000"/>
              </a:schemeClr>
            </a:solidFill>
            <a:ln w="25400">
              <a:noFill/>
            </a:ln>
          </c:spPr>
          <c:invertIfNegative val="0"/>
          <c:cat>
            <c:numRef>
              <c:f>'Tekošais konts_Y'!$F$2:$U$2</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'Tekošais konts_Y'!$F$6:$U$6</c:f>
              <c:numCache>
                <c:formatCode>#,##0</c:formatCode>
                <c:ptCount val="16"/>
                <c:pt idx="0">
                  <c:v>-566</c:v>
                </c:pt>
                <c:pt idx="1">
                  <c:v>1144</c:v>
                </c:pt>
                <c:pt idx="2">
                  <c:v>144</c:v>
                </c:pt>
                <c:pt idx="3">
                  <c:v>-18</c:v>
                </c:pt>
                <c:pt idx="4">
                  <c:v>-134</c:v>
                </c:pt>
                <c:pt idx="5">
                  <c:v>-78</c:v>
                </c:pt>
                <c:pt idx="6">
                  <c:v>30</c:v>
                </c:pt>
                <c:pt idx="7">
                  <c:v>-115</c:v>
                </c:pt>
                <c:pt idx="8">
                  <c:v>-36</c:v>
                </c:pt>
                <c:pt idx="9">
                  <c:v>-68</c:v>
                </c:pt>
                <c:pt idx="10" formatCode="General">
                  <c:v>-463</c:v>
                </c:pt>
                <c:pt idx="11" formatCode="General">
                  <c:v>-445</c:v>
                </c:pt>
                <c:pt idx="12" formatCode="General">
                  <c:v>-5</c:v>
                </c:pt>
                <c:pt idx="13" formatCode="General">
                  <c:v>-619</c:v>
                </c:pt>
                <c:pt idx="14" formatCode="General">
                  <c:v>-577</c:v>
                </c:pt>
                <c:pt idx="15" formatCode="General">
                  <c:v>-949</c:v>
                </c:pt>
              </c:numCache>
            </c:numRef>
          </c:val>
          <c:extLst>
            <c:ext xmlns:c16="http://schemas.microsoft.com/office/drawing/2014/chart" uri="{C3380CC4-5D6E-409C-BE32-E72D297353CC}">
              <c16:uniqueId val="{00000002-8A8B-45ED-AB3D-7D89707C0074}"/>
            </c:ext>
          </c:extLst>
        </c:ser>
        <c:ser>
          <c:idx val="4"/>
          <c:order val="3"/>
          <c:tx>
            <c:strRef>
              <c:f>'Tekošais konts_Y'!$B$7</c:f>
              <c:strCache>
                <c:ptCount val="1"/>
                <c:pt idx="0">
                  <c:v>Otrreizējie ienākumi</c:v>
                </c:pt>
              </c:strCache>
            </c:strRef>
          </c:tx>
          <c:spPr>
            <a:solidFill>
              <a:schemeClr val="accent6">
                <a:lumMod val="40000"/>
                <a:lumOff val="60000"/>
              </a:schemeClr>
            </a:solidFill>
            <a:ln w="25400">
              <a:noFill/>
            </a:ln>
          </c:spPr>
          <c:invertIfNegative val="0"/>
          <c:cat>
            <c:numRef>
              <c:f>'Tekošais konts_Y'!$F$2:$U$2</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'Tekošais konts_Y'!$F$7:$U$7</c:f>
              <c:numCache>
                <c:formatCode>#,##0</c:formatCode>
                <c:ptCount val="16"/>
                <c:pt idx="0">
                  <c:v>445</c:v>
                </c:pt>
                <c:pt idx="1">
                  <c:v>532</c:v>
                </c:pt>
                <c:pt idx="2">
                  <c:v>518</c:v>
                </c:pt>
                <c:pt idx="3">
                  <c:v>538</c:v>
                </c:pt>
                <c:pt idx="4">
                  <c:v>530</c:v>
                </c:pt>
                <c:pt idx="5">
                  <c:v>474</c:v>
                </c:pt>
                <c:pt idx="6">
                  <c:v>283</c:v>
                </c:pt>
                <c:pt idx="7">
                  <c:v>395</c:v>
                </c:pt>
                <c:pt idx="8">
                  <c:v>358</c:v>
                </c:pt>
                <c:pt idx="9">
                  <c:v>580</c:v>
                </c:pt>
                <c:pt idx="10" formatCode="General">
                  <c:v>617</c:v>
                </c:pt>
                <c:pt idx="11" formatCode="General">
                  <c:v>471</c:v>
                </c:pt>
                <c:pt idx="12" formatCode="General">
                  <c:v>489</c:v>
                </c:pt>
                <c:pt idx="13" formatCode="General">
                  <c:v>359</c:v>
                </c:pt>
                <c:pt idx="14" formatCode="General">
                  <c:v>505</c:v>
                </c:pt>
                <c:pt idx="15" formatCode="General">
                  <c:v>885</c:v>
                </c:pt>
              </c:numCache>
            </c:numRef>
          </c:val>
          <c:extLst>
            <c:ext xmlns:c16="http://schemas.microsoft.com/office/drawing/2014/chart" uri="{C3380CC4-5D6E-409C-BE32-E72D297353CC}">
              <c16:uniqueId val="{00000003-8A8B-45ED-AB3D-7D89707C0074}"/>
            </c:ext>
          </c:extLst>
        </c:ser>
        <c:dLbls>
          <c:showLegendKey val="0"/>
          <c:showVal val="0"/>
          <c:showCatName val="0"/>
          <c:showSerName val="0"/>
          <c:showPercent val="0"/>
          <c:showBubbleSize val="0"/>
        </c:dLbls>
        <c:gapWidth val="30"/>
        <c:overlap val="100"/>
        <c:axId val="351089240"/>
        <c:axId val="351089632"/>
      </c:barChart>
      <c:lineChart>
        <c:grouping val="standard"/>
        <c:varyColors val="0"/>
        <c:ser>
          <c:idx val="5"/>
          <c:order val="4"/>
          <c:tx>
            <c:strRef>
              <c:f>'Tekošais konts_Y'!$B$8</c:f>
              <c:strCache>
                <c:ptCount val="1"/>
                <c:pt idx="0">
                  <c:v>Tekošais konts, % no IKP (labā ass)</c:v>
                </c:pt>
              </c:strCache>
            </c:strRef>
          </c:tx>
          <c:spPr>
            <a:ln w="28575" cap="rnd">
              <a:solidFill>
                <a:schemeClr val="accent1"/>
              </a:solidFill>
              <a:prstDash val="dash"/>
              <a:round/>
            </a:ln>
            <a:effectLst/>
          </c:spPr>
          <c:marker>
            <c:symbol val="none"/>
          </c:marker>
          <c:cat>
            <c:numRef>
              <c:f>'Tekošais konts_Y'!$F$2:$U$2</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'Tekošais konts_Y'!$F$8:$U$8</c:f>
              <c:numCache>
                <c:formatCode>0.0%</c:formatCode>
                <c:ptCount val="16"/>
                <c:pt idx="0">
                  <c:v>-0.12300000000000001</c:v>
                </c:pt>
                <c:pt idx="1">
                  <c:v>7.6999999999999999E-2</c:v>
                </c:pt>
                <c:pt idx="2">
                  <c:v>1.7000000000000001E-2</c:v>
                </c:pt>
                <c:pt idx="3">
                  <c:v>-3.4000000000000002E-2</c:v>
                </c:pt>
                <c:pt idx="4">
                  <c:v>-3.7000000000000005E-2</c:v>
                </c:pt>
                <c:pt idx="5">
                  <c:v>-2.7999999999999997E-2</c:v>
                </c:pt>
                <c:pt idx="6">
                  <c:v>-1.6E-2</c:v>
                </c:pt>
                <c:pt idx="7">
                  <c:v>-6.0000000000000001E-3</c:v>
                </c:pt>
                <c:pt idx="8">
                  <c:v>1.6E-2</c:v>
                </c:pt>
                <c:pt idx="9">
                  <c:v>1.2E-2</c:v>
                </c:pt>
                <c:pt idx="10">
                  <c:v>-2E-3</c:v>
                </c:pt>
                <c:pt idx="11">
                  <c:v>-6.0000000000000001E-3</c:v>
                </c:pt>
                <c:pt idx="12">
                  <c:v>2.9000000000000001E-2</c:v>
                </c:pt>
                <c:pt idx="13">
                  <c:v>-3.9E-2</c:v>
                </c:pt>
                <c:pt idx="14">
                  <c:v>-4.7E-2</c:v>
                </c:pt>
                <c:pt idx="15">
                  <c:v>-0.04</c:v>
                </c:pt>
              </c:numCache>
            </c:numRef>
          </c:val>
          <c:smooth val="1"/>
          <c:extLst>
            <c:ext xmlns:c16="http://schemas.microsoft.com/office/drawing/2014/chart" uri="{C3380CC4-5D6E-409C-BE32-E72D297353CC}">
              <c16:uniqueId val="{00000004-8A8B-45ED-AB3D-7D89707C0074}"/>
            </c:ext>
          </c:extLst>
        </c:ser>
        <c:ser>
          <c:idx val="6"/>
          <c:order val="5"/>
          <c:tx>
            <c:strRef>
              <c:f>'Tekošais konts_Y'!$B$9</c:f>
              <c:strCache>
                <c:ptCount val="1"/>
                <c:pt idx="0">
                  <c:v>Tekošais un kapitāla konts, % no IKP (labā ass)</c:v>
                </c:pt>
              </c:strCache>
            </c:strRef>
          </c:tx>
          <c:spPr>
            <a:ln w="28575" cap="rnd">
              <a:solidFill>
                <a:schemeClr val="accent1"/>
              </a:solidFill>
              <a:round/>
            </a:ln>
            <a:effectLst/>
          </c:spPr>
          <c:marker>
            <c:symbol val="none"/>
          </c:marker>
          <c:cat>
            <c:numRef>
              <c:f>'Tekošais konts_Y'!$F$2:$U$2</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'Tekošais konts_Y'!$F$9:$U$9</c:f>
              <c:numCache>
                <c:formatCode>0.0%</c:formatCode>
                <c:ptCount val="16"/>
                <c:pt idx="0">
                  <c:v>-0.10869251023395431</c:v>
                </c:pt>
                <c:pt idx="1">
                  <c:v>0.10042101034904827</c:v>
                </c:pt>
                <c:pt idx="2">
                  <c:v>3.6488319867669025E-2</c:v>
                </c:pt>
                <c:pt idx="3">
                  <c:v>-1.23457789579353E-2</c:v>
                </c:pt>
                <c:pt idx="4">
                  <c:v>-7.4802315496553954E-3</c:v>
                </c:pt>
                <c:pt idx="5">
                  <c:v>-2.7253933248084206E-3</c:v>
                </c:pt>
                <c:pt idx="6">
                  <c:v>1.333288072083225E-2</c:v>
                </c:pt>
                <c:pt idx="7">
                  <c:v>2.2016816941277283E-2</c:v>
                </c:pt>
                <c:pt idx="8">
                  <c:v>2.7432545499005097E-2</c:v>
                </c:pt>
                <c:pt idx="9">
                  <c:v>2.2086808346130526E-2</c:v>
                </c:pt>
                <c:pt idx="10">
                  <c:v>1.574422001899185E-2</c:v>
                </c:pt>
                <c:pt idx="11">
                  <c:v>8.6023984206389011E-3</c:v>
                </c:pt>
                <c:pt idx="12">
                  <c:v>4.6231314262606224E-2</c:v>
                </c:pt>
                <c:pt idx="13">
                  <c:v>-2.5638002440378001E-2</c:v>
                </c:pt>
                <c:pt idx="14">
                  <c:v>-4.0795924846612146E-2</c:v>
                </c:pt>
                <c:pt idx="15">
                  <c:v>-2.0342497702972293E-2</c:v>
                </c:pt>
              </c:numCache>
            </c:numRef>
          </c:val>
          <c:smooth val="1"/>
          <c:extLst>
            <c:ext xmlns:c16="http://schemas.microsoft.com/office/drawing/2014/chart" uri="{C3380CC4-5D6E-409C-BE32-E72D297353CC}">
              <c16:uniqueId val="{00000005-8A8B-45ED-AB3D-7D89707C0074}"/>
            </c:ext>
          </c:extLst>
        </c:ser>
        <c:dLbls>
          <c:showLegendKey val="0"/>
          <c:showVal val="0"/>
          <c:showCatName val="0"/>
          <c:showSerName val="0"/>
          <c:showPercent val="0"/>
          <c:showBubbleSize val="0"/>
        </c:dLbls>
        <c:marker val="1"/>
        <c:smooth val="0"/>
        <c:axId val="351090024"/>
        <c:axId val="351090416"/>
      </c:lineChart>
      <c:catAx>
        <c:axId val="351089240"/>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vert="horz"/>
          <a:lstStyle/>
          <a:p>
            <a:pPr>
              <a:defRPr/>
            </a:pPr>
            <a:endParaRPr lang="lv-LV"/>
          </a:p>
        </c:txPr>
        <c:crossAx val="351089632"/>
        <c:crosses val="autoZero"/>
        <c:auto val="1"/>
        <c:lblAlgn val="ctr"/>
        <c:lblOffset val="100"/>
        <c:noMultiLvlLbl val="0"/>
      </c:catAx>
      <c:valAx>
        <c:axId val="351089632"/>
        <c:scaling>
          <c:orientation val="minMax"/>
          <c:max val="5000"/>
          <c:min val="-5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vert="horz"/>
          <a:lstStyle/>
          <a:p>
            <a:pPr>
              <a:defRPr/>
            </a:pPr>
            <a:endParaRPr lang="lv-LV"/>
          </a:p>
        </c:txPr>
        <c:crossAx val="351089240"/>
        <c:crosses val="autoZero"/>
        <c:crossBetween val="between"/>
      </c:valAx>
      <c:catAx>
        <c:axId val="351090024"/>
        <c:scaling>
          <c:orientation val="minMax"/>
        </c:scaling>
        <c:delete val="1"/>
        <c:axPos val="b"/>
        <c:numFmt formatCode="General" sourceLinked="1"/>
        <c:majorTickMark val="out"/>
        <c:minorTickMark val="none"/>
        <c:tickLblPos val="nextTo"/>
        <c:crossAx val="351090416"/>
        <c:crosses val="autoZero"/>
        <c:auto val="1"/>
        <c:lblAlgn val="ctr"/>
        <c:lblOffset val="100"/>
        <c:noMultiLvlLbl val="0"/>
      </c:catAx>
      <c:valAx>
        <c:axId val="351090416"/>
        <c:scaling>
          <c:orientation val="minMax"/>
          <c:max val="0.14000000000000001"/>
          <c:min val="-0.14000000000000001"/>
        </c:scaling>
        <c:delete val="0"/>
        <c:axPos val="r"/>
        <c:numFmt formatCode="0%" sourceLinked="0"/>
        <c:majorTickMark val="none"/>
        <c:minorTickMark val="none"/>
        <c:tickLblPos val="nextTo"/>
        <c:spPr>
          <a:ln w="6350">
            <a:noFill/>
          </a:ln>
        </c:spPr>
        <c:txPr>
          <a:bodyPr rot="-60000000" vert="horz"/>
          <a:lstStyle/>
          <a:p>
            <a:pPr>
              <a:defRPr/>
            </a:pPr>
            <a:endParaRPr lang="lv-LV"/>
          </a:p>
        </c:txPr>
        <c:crossAx val="351090024"/>
        <c:crosses val="max"/>
        <c:crossBetween val="between"/>
        <c:majorUnit val="2.0000000000000004E-2"/>
      </c:valAx>
      <c:spPr>
        <a:noFill/>
        <a:ln w="25400">
          <a:noFill/>
        </a:ln>
      </c:spPr>
    </c:plotArea>
    <c:legend>
      <c:legendPos val="b"/>
      <c:layout>
        <c:manualLayout>
          <c:xMode val="edge"/>
          <c:yMode val="edge"/>
          <c:x val="1.5725288776120488E-2"/>
          <c:y val="0.8519514938681445"/>
          <c:w val="0.96413976529860235"/>
          <c:h val="0.13234464594364728"/>
        </c:manualLayout>
      </c:layout>
      <c:overlay val="0"/>
      <c:spPr>
        <a:noFill/>
        <a:ln w="25400">
          <a:noFill/>
        </a:ln>
      </c:spPr>
      <c:txPr>
        <a:bodyPr rot="0" vert="horz"/>
        <a:lstStyle/>
        <a:p>
          <a:pPr>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Sheet2!$E$7</c:f>
              <c:strCache>
                <c:ptCount val="1"/>
                <c:pt idx="0">
                  <c:v>2023.gads</c:v>
                </c:pt>
              </c:strCache>
            </c:strRef>
          </c:tx>
          <c:spPr>
            <a:solidFill>
              <a:schemeClr val="bg1">
                <a:lumMod val="65000"/>
              </a:schemeClr>
            </a:solidFill>
            <a:ln>
              <a:noFill/>
            </a:ln>
            <a:effectLst/>
          </c:spPr>
          <c:invertIfNegative val="0"/>
          <c:dPt>
            <c:idx val="5"/>
            <c:invertIfNegative val="0"/>
            <c:bubble3D val="0"/>
            <c:spPr>
              <a:solidFill>
                <a:schemeClr val="bg1">
                  <a:lumMod val="65000"/>
                </a:schemeClr>
              </a:solidFill>
              <a:ln>
                <a:solidFill>
                  <a:srgbClr val="C00000"/>
                </a:solidFill>
              </a:ln>
              <a:effectLst/>
            </c:spPr>
            <c:extLst>
              <c:ext xmlns:c16="http://schemas.microsoft.com/office/drawing/2014/chart" uri="{C3380CC4-5D6E-409C-BE32-E72D297353CC}">
                <c16:uniqueId val="{00000001-E820-4EBC-AF69-EAF9FE36198B}"/>
              </c:ext>
            </c:extLst>
          </c:dPt>
          <c:dPt>
            <c:idx val="6"/>
            <c:invertIfNegative val="0"/>
            <c:bubble3D val="0"/>
            <c:spPr>
              <a:solidFill>
                <a:schemeClr val="bg1">
                  <a:lumMod val="65000"/>
                </a:schemeClr>
              </a:solidFill>
              <a:ln>
                <a:solidFill>
                  <a:srgbClr val="C00000"/>
                </a:solidFill>
              </a:ln>
              <a:effectLst/>
            </c:spPr>
            <c:extLst>
              <c:ext xmlns:c16="http://schemas.microsoft.com/office/drawing/2014/chart" uri="{C3380CC4-5D6E-409C-BE32-E72D297353CC}">
                <c16:uniqueId val="{00000003-E820-4EBC-AF69-EAF9FE36198B}"/>
              </c:ext>
            </c:extLst>
          </c:dPt>
          <c:dPt>
            <c:idx val="7"/>
            <c:invertIfNegative val="0"/>
            <c:bubble3D val="0"/>
            <c:spPr>
              <a:solidFill>
                <a:schemeClr val="bg1">
                  <a:lumMod val="65000"/>
                </a:schemeClr>
              </a:solidFill>
              <a:ln>
                <a:solidFill>
                  <a:srgbClr val="C00000"/>
                </a:solidFill>
              </a:ln>
              <a:effectLst/>
            </c:spPr>
            <c:extLst>
              <c:ext xmlns:c16="http://schemas.microsoft.com/office/drawing/2014/chart" uri="{C3380CC4-5D6E-409C-BE32-E72D297353CC}">
                <c16:uniqueId val="{00000005-E820-4EBC-AF69-EAF9FE36198B}"/>
              </c:ext>
            </c:extLst>
          </c:dPt>
          <c:cat>
            <c:strRef>
              <c:f>Sheet2!$B$8:$B$36</c:f>
              <c:strCache>
                <c:ptCount val="29"/>
                <c:pt idx="0">
                  <c:v>Ungārija</c:v>
                </c:pt>
                <c:pt idx="1">
                  <c:v>Čehija</c:v>
                </c:pt>
                <c:pt idx="2">
                  <c:v>Slovākija</c:v>
                </c:pt>
                <c:pt idx="3">
                  <c:v>Polija</c:v>
                </c:pt>
                <c:pt idx="4">
                  <c:v>Rumānija</c:v>
                </c:pt>
                <c:pt idx="5">
                  <c:v>Igaunija</c:v>
                </c:pt>
                <c:pt idx="6">
                  <c:v>Latvija</c:v>
                </c:pt>
                <c:pt idx="7">
                  <c:v>Lietuva</c:v>
                </c:pt>
                <c:pt idx="8">
                  <c:v>Bulgārija</c:v>
                </c:pt>
                <c:pt idx="9">
                  <c:v>Horvātija</c:v>
                </c:pt>
                <c:pt idx="10">
                  <c:v>Austrija</c:v>
                </c:pt>
                <c:pt idx="11">
                  <c:v>Slovēnija</c:v>
                </c:pt>
                <c:pt idx="12">
                  <c:v>ES(27)</c:v>
                </c:pt>
                <c:pt idx="13">
                  <c:v>Vācija</c:v>
                </c:pt>
                <c:pt idx="14">
                  <c:v>Itālija</c:v>
                </c:pt>
                <c:pt idx="15">
                  <c:v>Zviedrija</c:v>
                </c:pt>
                <c:pt idx="16">
                  <c:v>Frāncija</c:v>
                </c:pt>
                <c:pt idx="17">
                  <c:v>Malta</c:v>
                </c:pt>
                <c:pt idx="18">
                  <c:v>Eirozona (20)</c:v>
                </c:pt>
                <c:pt idx="19">
                  <c:v>Portugāle</c:v>
                </c:pt>
                <c:pt idx="20">
                  <c:v>Īrija</c:v>
                </c:pt>
                <c:pt idx="21">
                  <c:v>Somija</c:v>
                </c:pt>
                <c:pt idx="22">
                  <c:v>Grieķija</c:v>
                </c:pt>
                <c:pt idx="23">
                  <c:v>Nīderlande</c:v>
                </c:pt>
                <c:pt idx="24">
                  <c:v>Kipra</c:v>
                </c:pt>
                <c:pt idx="25">
                  <c:v>Dānija</c:v>
                </c:pt>
                <c:pt idx="26">
                  <c:v>Spānija</c:v>
                </c:pt>
                <c:pt idx="27">
                  <c:v>Luksemburga</c:v>
                </c:pt>
                <c:pt idx="28">
                  <c:v>Beļģija</c:v>
                </c:pt>
              </c:strCache>
            </c:strRef>
          </c:cat>
          <c:val>
            <c:numRef>
              <c:f>Sheet2!$E$8:$E$36</c:f>
              <c:numCache>
                <c:formatCode>General</c:formatCode>
                <c:ptCount val="29"/>
                <c:pt idx="0">
                  <c:v>17</c:v>
                </c:pt>
                <c:pt idx="1">
                  <c:v>12</c:v>
                </c:pt>
                <c:pt idx="2">
                  <c:v>11</c:v>
                </c:pt>
                <c:pt idx="3">
                  <c:v>10.9</c:v>
                </c:pt>
                <c:pt idx="4">
                  <c:v>9.6999999999999993</c:v>
                </c:pt>
                <c:pt idx="5">
                  <c:v>9.1</c:v>
                </c:pt>
                <c:pt idx="6">
                  <c:v>9.1</c:v>
                </c:pt>
                <c:pt idx="7">
                  <c:v>8.6999999999999993</c:v>
                </c:pt>
                <c:pt idx="8">
                  <c:v>8.6</c:v>
                </c:pt>
                <c:pt idx="9">
                  <c:v>8.4</c:v>
                </c:pt>
                <c:pt idx="10">
                  <c:v>7.7</c:v>
                </c:pt>
                <c:pt idx="11">
                  <c:v>7.2</c:v>
                </c:pt>
                <c:pt idx="12">
                  <c:v>6.4</c:v>
                </c:pt>
                <c:pt idx="13">
                  <c:v>6</c:v>
                </c:pt>
                <c:pt idx="14">
                  <c:v>5.9</c:v>
                </c:pt>
                <c:pt idx="15">
                  <c:v>5.9</c:v>
                </c:pt>
                <c:pt idx="16">
                  <c:v>5.7</c:v>
                </c:pt>
                <c:pt idx="17">
                  <c:v>5.6</c:v>
                </c:pt>
                <c:pt idx="18">
                  <c:v>5.4</c:v>
                </c:pt>
                <c:pt idx="19">
                  <c:v>5.3</c:v>
                </c:pt>
                <c:pt idx="20">
                  <c:v>5.2</c:v>
                </c:pt>
                <c:pt idx="21">
                  <c:v>4.3</c:v>
                </c:pt>
                <c:pt idx="22">
                  <c:v>4.2</c:v>
                </c:pt>
                <c:pt idx="23">
                  <c:v>4.0999999999999996</c:v>
                </c:pt>
                <c:pt idx="24">
                  <c:v>3.9</c:v>
                </c:pt>
                <c:pt idx="25">
                  <c:v>3.4</c:v>
                </c:pt>
                <c:pt idx="26">
                  <c:v>3.4</c:v>
                </c:pt>
                <c:pt idx="27">
                  <c:v>2.9</c:v>
                </c:pt>
                <c:pt idx="28">
                  <c:v>2.2999999999999998</c:v>
                </c:pt>
              </c:numCache>
            </c:numRef>
          </c:val>
          <c:extLst>
            <c:ext xmlns:c16="http://schemas.microsoft.com/office/drawing/2014/chart" uri="{C3380CC4-5D6E-409C-BE32-E72D297353CC}">
              <c16:uniqueId val="{00000006-E820-4EBC-AF69-EAF9FE36198B}"/>
            </c:ext>
          </c:extLst>
        </c:ser>
        <c:dLbls>
          <c:showLegendKey val="0"/>
          <c:showVal val="0"/>
          <c:showCatName val="0"/>
          <c:showSerName val="0"/>
          <c:showPercent val="0"/>
          <c:showBubbleSize val="0"/>
        </c:dLbls>
        <c:gapWidth val="50"/>
        <c:axId val="1250333359"/>
        <c:axId val="1224008575"/>
      </c:barChart>
      <c:lineChart>
        <c:grouping val="standard"/>
        <c:varyColors val="0"/>
        <c:ser>
          <c:idx val="0"/>
          <c:order val="0"/>
          <c:tx>
            <c:strRef>
              <c:f>Sheet2!$C$7</c:f>
              <c:strCache>
                <c:ptCount val="1"/>
                <c:pt idx="0">
                  <c:v>2021.gads</c:v>
                </c:pt>
              </c:strCache>
            </c:strRef>
          </c:tx>
          <c:spPr>
            <a:ln w="28575" cap="rnd">
              <a:solidFill>
                <a:schemeClr val="accent2">
                  <a:alpha val="0"/>
                </a:schemeClr>
              </a:solidFill>
              <a:round/>
            </a:ln>
            <a:effectLst/>
          </c:spPr>
          <c:marker>
            <c:symbol val="triangle"/>
            <c:size val="8"/>
            <c:spPr>
              <a:solidFill>
                <a:srgbClr val="92D050"/>
              </a:solidFill>
              <a:ln w="9525">
                <a:solidFill>
                  <a:srgbClr val="00B050"/>
                </a:solidFill>
              </a:ln>
              <a:effectLst/>
            </c:spPr>
          </c:marker>
          <c:cat>
            <c:strRef>
              <c:f>Sheet2!$B$8:$B$36</c:f>
              <c:strCache>
                <c:ptCount val="29"/>
                <c:pt idx="0">
                  <c:v>Ungārija</c:v>
                </c:pt>
                <c:pt idx="1">
                  <c:v>Čehija</c:v>
                </c:pt>
                <c:pt idx="2">
                  <c:v>Slovākija</c:v>
                </c:pt>
                <c:pt idx="3">
                  <c:v>Polija</c:v>
                </c:pt>
                <c:pt idx="4">
                  <c:v>Rumānija</c:v>
                </c:pt>
                <c:pt idx="5">
                  <c:v>Igaunija</c:v>
                </c:pt>
                <c:pt idx="6">
                  <c:v>Latvija</c:v>
                </c:pt>
                <c:pt idx="7">
                  <c:v>Lietuva</c:v>
                </c:pt>
                <c:pt idx="8">
                  <c:v>Bulgārija</c:v>
                </c:pt>
                <c:pt idx="9">
                  <c:v>Horvātija</c:v>
                </c:pt>
                <c:pt idx="10">
                  <c:v>Austrija</c:v>
                </c:pt>
                <c:pt idx="11">
                  <c:v>Slovēnija</c:v>
                </c:pt>
                <c:pt idx="12">
                  <c:v>ES(27)</c:v>
                </c:pt>
                <c:pt idx="13">
                  <c:v>Vācija</c:v>
                </c:pt>
                <c:pt idx="14">
                  <c:v>Itālija</c:v>
                </c:pt>
                <c:pt idx="15">
                  <c:v>Zviedrija</c:v>
                </c:pt>
                <c:pt idx="16">
                  <c:v>Frāncija</c:v>
                </c:pt>
                <c:pt idx="17">
                  <c:v>Malta</c:v>
                </c:pt>
                <c:pt idx="18">
                  <c:v>Eirozona (20)</c:v>
                </c:pt>
                <c:pt idx="19">
                  <c:v>Portugāle</c:v>
                </c:pt>
                <c:pt idx="20">
                  <c:v>Īrija</c:v>
                </c:pt>
                <c:pt idx="21">
                  <c:v>Somija</c:v>
                </c:pt>
                <c:pt idx="22">
                  <c:v>Grieķija</c:v>
                </c:pt>
                <c:pt idx="23">
                  <c:v>Nīderlande</c:v>
                </c:pt>
                <c:pt idx="24">
                  <c:v>Kipra</c:v>
                </c:pt>
                <c:pt idx="25">
                  <c:v>Dānija</c:v>
                </c:pt>
                <c:pt idx="26">
                  <c:v>Spānija</c:v>
                </c:pt>
                <c:pt idx="27">
                  <c:v>Luksemburga</c:v>
                </c:pt>
                <c:pt idx="28">
                  <c:v>Beļģija</c:v>
                </c:pt>
              </c:strCache>
            </c:strRef>
          </c:cat>
          <c:val>
            <c:numRef>
              <c:f>Sheet2!$C$8:$C$36</c:f>
              <c:numCache>
                <c:formatCode>General</c:formatCode>
                <c:ptCount val="29"/>
                <c:pt idx="0">
                  <c:v>5.2</c:v>
                </c:pt>
                <c:pt idx="1">
                  <c:v>3.3</c:v>
                </c:pt>
                <c:pt idx="2">
                  <c:v>2.8</c:v>
                </c:pt>
                <c:pt idx="3">
                  <c:v>5.2</c:v>
                </c:pt>
                <c:pt idx="4">
                  <c:v>4.0999999999999996</c:v>
                </c:pt>
                <c:pt idx="5">
                  <c:v>4.5</c:v>
                </c:pt>
                <c:pt idx="6">
                  <c:v>3.2</c:v>
                </c:pt>
                <c:pt idx="7">
                  <c:v>4.5999999999999996</c:v>
                </c:pt>
                <c:pt idx="8">
                  <c:v>2.8</c:v>
                </c:pt>
                <c:pt idx="9">
                  <c:v>2.7</c:v>
                </c:pt>
                <c:pt idx="10">
                  <c:v>2.8</c:v>
                </c:pt>
                <c:pt idx="11">
                  <c:v>2</c:v>
                </c:pt>
                <c:pt idx="12">
                  <c:v>2.9</c:v>
                </c:pt>
                <c:pt idx="13">
                  <c:v>3.2</c:v>
                </c:pt>
                <c:pt idx="14">
                  <c:v>1.9</c:v>
                </c:pt>
                <c:pt idx="15">
                  <c:v>2.7</c:v>
                </c:pt>
                <c:pt idx="16">
                  <c:v>2.1</c:v>
                </c:pt>
                <c:pt idx="17">
                  <c:v>0.7</c:v>
                </c:pt>
                <c:pt idx="18">
                  <c:v>2.6</c:v>
                </c:pt>
                <c:pt idx="19">
                  <c:v>0.9</c:v>
                </c:pt>
                <c:pt idx="20">
                  <c:v>2.4</c:v>
                </c:pt>
                <c:pt idx="21">
                  <c:v>2.1</c:v>
                </c:pt>
                <c:pt idx="22">
                  <c:v>0.6</c:v>
                </c:pt>
                <c:pt idx="23">
                  <c:v>2.8</c:v>
                </c:pt>
                <c:pt idx="24">
                  <c:v>2.2999999999999998</c:v>
                </c:pt>
                <c:pt idx="25">
                  <c:v>1.9</c:v>
                </c:pt>
                <c:pt idx="26">
                  <c:v>3</c:v>
                </c:pt>
                <c:pt idx="27">
                  <c:v>3.5</c:v>
                </c:pt>
                <c:pt idx="28">
                  <c:v>3.2</c:v>
                </c:pt>
              </c:numCache>
            </c:numRef>
          </c:val>
          <c:smooth val="0"/>
          <c:extLst>
            <c:ext xmlns:c16="http://schemas.microsoft.com/office/drawing/2014/chart" uri="{C3380CC4-5D6E-409C-BE32-E72D297353CC}">
              <c16:uniqueId val="{00000007-E820-4EBC-AF69-EAF9FE36198B}"/>
            </c:ext>
          </c:extLst>
        </c:ser>
        <c:ser>
          <c:idx val="1"/>
          <c:order val="1"/>
          <c:tx>
            <c:strRef>
              <c:f>Sheet2!$D$7</c:f>
              <c:strCache>
                <c:ptCount val="1"/>
                <c:pt idx="0">
                  <c:v>2022.gads</c:v>
                </c:pt>
              </c:strCache>
            </c:strRef>
          </c:tx>
          <c:spPr>
            <a:ln w="28575" cap="rnd">
              <a:solidFill>
                <a:schemeClr val="accent1">
                  <a:alpha val="0"/>
                </a:schemeClr>
              </a:solidFill>
              <a:round/>
            </a:ln>
            <a:effectLst/>
          </c:spPr>
          <c:marker>
            <c:symbol val="circle"/>
            <c:size val="8"/>
            <c:spPr>
              <a:solidFill>
                <a:srgbClr val="5B9BD5">
                  <a:lumMod val="60000"/>
                  <a:lumOff val="40000"/>
                </a:srgbClr>
              </a:solidFill>
              <a:ln w="9525">
                <a:solidFill>
                  <a:schemeClr val="tx2">
                    <a:lumMod val="75000"/>
                    <a:lumOff val="25000"/>
                  </a:schemeClr>
                </a:solidFill>
              </a:ln>
              <a:effectLst/>
            </c:spPr>
          </c:marker>
          <c:cat>
            <c:strRef>
              <c:f>Sheet2!$B$8:$B$36</c:f>
              <c:strCache>
                <c:ptCount val="29"/>
                <c:pt idx="0">
                  <c:v>Ungārija</c:v>
                </c:pt>
                <c:pt idx="1">
                  <c:v>Čehija</c:v>
                </c:pt>
                <c:pt idx="2">
                  <c:v>Slovākija</c:v>
                </c:pt>
                <c:pt idx="3">
                  <c:v>Polija</c:v>
                </c:pt>
                <c:pt idx="4">
                  <c:v>Rumānija</c:v>
                </c:pt>
                <c:pt idx="5">
                  <c:v>Igaunija</c:v>
                </c:pt>
                <c:pt idx="6">
                  <c:v>Latvija</c:v>
                </c:pt>
                <c:pt idx="7">
                  <c:v>Lietuva</c:v>
                </c:pt>
                <c:pt idx="8">
                  <c:v>Bulgārija</c:v>
                </c:pt>
                <c:pt idx="9">
                  <c:v>Horvātija</c:v>
                </c:pt>
                <c:pt idx="10">
                  <c:v>Austrija</c:v>
                </c:pt>
                <c:pt idx="11">
                  <c:v>Slovēnija</c:v>
                </c:pt>
                <c:pt idx="12">
                  <c:v>ES(27)</c:v>
                </c:pt>
                <c:pt idx="13">
                  <c:v>Vācija</c:v>
                </c:pt>
                <c:pt idx="14">
                  <c:v>Itālija</c:v>
                </c:pt>
                <c:pt idx="15">
                  <c:v>Zviedrija</c:v>
                </c:pt>
                <c:pt idx="16">
                  <c:v>Frāncija</c:v>
                </c:pt>
                <c:pt idx="17">
                  <c:v>Malta</c:v>
                </c:pt>
                <c:pt idx="18">
                  <c:v>Eirozona (20)</c:v>
                </c:pt>
                <c:pt idx="19">
                  <c:v>Portugāle</c:v>
                </c:pt>
                <c:pt idx="20">
                  <c:v>Īrija</c:v>
                </c:pt>
                <c:pt idx="21">
                  <c:v>Somija</c:v>
                </c:pt>
                <c:pt idx="22">
                  <c:v>Grieķija</c:v>
                </c:pt>
                <c:pt idx="23">
                  <c:v>Nīderlande</c:v>
                </c:pt>
                <c:pt idx="24">
                  <c:v>Kipra</c:v>
                </c:pt>
                <c:pt idx="25">
                  <c:v>Dānija</c:v>
                </c:pt>
                <c:pt idx="26">
                  <c:v>Spānija</c:v>
                </c:pt>
                <c:pt idx="27">
                  <c:v>Luksemburga</c:v>
                </c:pt>
                <c:pt idx="28">
                  <c:v>Beļģija</c:v>
                </c:pt>
              </c:strCache>
            </c:strRef>
          </c:cat>
          <c:val>
            <c:numRef>
              <c:f>Sheet2!$D$8:$D$36</c:f>
              <c:numCache>
                <c:formatCode>General</c:formatCode>
                <c:ptCount val="29"/>
                <c:pt idx="0">
                  <c:v>15.3</c:v>
                </c:pt>
                <c:pt idx="1">
                  <c:v>14.8</c:v>
                </c:pt>
                <c:pt idx="2">
                  <c:v>12.1</c:v>
                </c:pt>
                <c:pt idx="3">
                  <c:v>13.2</c:v>
                </c:pt>
                <c:pt idx="4">
                  <c:v>12</c:v>
                </c:pt>
                <c:pt idx="5">
                  <c:v>19.399999999999999</c:v>
                </c:pt>
                <c:pt idx="6">
                  <c:v>17.2</c:v>
                </c:pt>
                <c:pt idx="7">
                  <c:v>18.899999999999999</c:v>
                </c:pt>
                <c:pt idx="8">
                  <c:v>13</c:v>
                </c:pt>
                <c:pt idx="9">
                  <c:v>10.7</c:v>
                </c:pt>
                <c:pt idx="10">
                  <c:v>8.6</c:v>
                </c:pt>
                <c:pt idx="11">
                  <c:v>9.3000000000000007</c:v>
                </c:pt>
                <c:pt idx="12">
                  <c:v>9.1999999999999993</c:v>
                </c:pt>
                <c:pt idx="13">
                  <c:v>8.6999999999999993</c:v>
                </c:pt>
                <c:pt idx="14">
                  <c:v>8.6999999999999993</c:v>
                </c:pt>
                <c:pt idx="15">
                  <c:v>8.1</c:v>
                </c:pt>
                <c:pt idx="16">
                  <c:v>5.9</c:v>
                </c:pt>
                <c:pt idx="17">
                  <c:v>6.1</c:v>
                </c:pt>
                <c:pt idx="18">
                  <c:v>8.4</c:v>
                </c:pt>
                <c:pt idx="19">
                  <c:v>8.1</c:v>
                </c:pt>
                <c:pt idx="20">
                  <c:v>8.1</c:v>
                </c:pt>
                <c:pt idx="21">
                  <c:v>7.2</c:v>
                </c:pt>
                <c:pt idx="22">
                  <c:v>9.3000000000000007</c:v>
                </c:pt>
                <c:pt idx="23">
                  <c:v>11.6</c:v>
                </c:pt>
                <c:pt idx="24">
                  <c:v>8.1</c:v>
                </c:pt>
                <c:pt idx="25">
                  <c:v>8.5</c:v>
                </c:pt>
                <c:pt idx="26">
                  <c:v>8.3000000000000007</c:v>
                </c:pt>
                <c:pt idx="27">
                  <c:v>8.1999999999999993</c:v>
                </c:pt>
                <c:pt idx="28">
                  <c:v>10.3</c:v>
                </c:pt>
              </c:numCache>
            </c:numRef>
          </c:val>
          <c:smooth val="0"/>
          <c:extLst>
            <c:ext xmlns:c16="http://schemas.microsoft.com/office/drawing/2014/chart" uri="{C3380CC4-5D6E-409C-BE32-E72D297353CC}">
              <c16:uniqueId val="{00000008-E820-4EBC-AF69-EAF9FE36198B}"/>
            </c:ext>
          </c:extLst>
        </c:ser>
        <c:dLbls>
          <c:showLegendKey val="0"/>
          <c:showVal val="0"/>
          <c:showCatName val="0"/>
          <c:showSerName val="0"/>
          <c:showPercent val="0"/>
          <c:showBubbleSize val="0"/>
        </c:dLbls>
        <c:marker val="1"/>
        <c:smooth val="0"/>
        <c:axId val="1250333359"/>
        <c:axId val="1224008575"/>
      </c:lineChart>
      <c:catAx>
        <c:axId val="1250333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24008575"/>
        <c:crosses val="autoZero"/>
        <c:auto val="1"/>
        <c:lblAlgn val="ctr"/>
        <c:lblOffset val="100"/>
        <c:noMultiLvlLbl val="0"/>
      </c:catAx>
      <c:valAx>
        <c:axId val="1224008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50333359"/>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97531389657375"/>
          <c:y val="3.0522390886706174E-2"/>
          <c:w val="0.83147513655387673"/>
          <c:h val="0.61678884074401941"/>
        </c:manualLayout>
      </c:layout>
      <c:barChart>
        <c:barDir val="col"/>
        <c:grouping val="stacked"/>
        <c:varyColors val="0"/>
        <c:ser>
          <c:idx val="0"/>
          <c:order val="0"/>
          <c:tx>
            <c:strRef>
              <c:f>PCI020m6!$BR$314</c:f>
              <c:strCache>
                <c:ptCount val="1"/>
                <c:pt idx="0">
                  <c:v>Pārtika</c:v>
                </c:pt>
              </c:strCache>
            </c:strRef>
          </c:tx>
          <c:spPr>
            <a:solidFill>
              <a:schemeClr val="tx2">
                <a:lumMod val="25000"/>
                <a:lumOff val="75000"/>
              </a:schemeClr>
            </a:solidFill>
            <a:ln>
              <a:noFill/>
            </a:ln>
            <a:effectLst/>
          </c:spPr>
          <c:invertIfNegative val="0"/>
          <c:cat>
            <c:multiLvlStrRef>
              <c:f>PCI020m6!$DC$2:$DZ$3</c:f>
              <c:multiLvlStrCache>
                <c:ptCount val="2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lvl>
                <c:lvl>
                  <c:pt idx="0">
                    <c:v>2022</c:v>
                  </c:pt>
                  <c:pt idx="12">
                    <c:v>2023</c:v>
                  </c:pt>
                </c:lvl>
              </c:multiLvlStrCache>
            </c:multiLvlStrRef>
          </c:cat>
          <c:val>
            <c:numRef>
              <c:f>PCI020m6!$DC$314:$DZ$314</c:f>
              <c:numCache>
                <c:formatCode>0.0</c:formatCode>
                <c:ptCount val="24"/>
                <c:pt idx="0">
                  <c:v>2.2528000000000001</c:v>
                </c:pt>
                <c:pt idx="1">
                  <c:v>3.0208000000000004</c:v>
                </c:pt>
                <c:pt idx="2">
                  <c:v>3.7631999999999999</c:v>
                </c:pt>
                <c:pt idx="3">
                  <c:v>4.4543999999999997</c:v>
                </c:pt>
                <c:pt idx="4">
                  <c:v>4.6592000000000002</c:v>
                </c:pt>
                <c:pt idx="5">
                  <c:v>5.6576000000000004</c:v>
                </c:pt>
                <c:pt idx="6">
                  <c:v>6.2208000000000006</c:v>
                </c:pt>
                <c:pt idx="7">
                  <c:v>6.5792000000000002</c:v>
                </c:pt>
                <c:pt idx="8">
                  <c:v>7.04</c:v>
                </c:pt>
                <c:pt idx="9">
                  <c:v>7.5520000000000005</c:v>
                </c:pt>
                <c:pt idx="10">
                  <c:v>7.5520000000000005</c:v>
                </c:pt>
                <c:pt idx="11">
                  <c:v>7.4240000000000004</c:v>
                </c:pt>
                <c:pt idx="12">
                  <c:v>7.1909999999999998</c:v>
                </c:pt>
                <c:pt idx="13">
                  <c:v>6.4515000000000002</c:v>
                </c:pt>
                <c:pt idx="14">
                  <c:v>6.1455000000000002</c:v>
                </c:pt>
                <c:pt idx="15">
                  <c:v>5.1509999999999998</c:v>
                </c:pt>
                <c:pt idx="16">
                  <c:v>4.5644999999999998</c:v>
                </c:pt>
                <c:pt idx="17">
                  <c:v>3.6720000000000002</c:v>
                </c:pt>
                <c:pt idx="18">
                  <c:v>2.8559999999999999</c:v>
                </c:pt>
                <c:pt idx="19">
                  <c:v>2.0909999999999997</c:v>
                </c:pt>
                <c:pt idx="20">
                  <c:v>1.4535</c:v>
                </c:pt>
                <c:pt idx="21">
                  <c:v>1.0965</c:v>
                </c:pt>
                <c:pt idx="22">
                  <c:v>0.94350000000000012</c:v>
                </c:pt>
                <c:pt idx="23">
                  <c:v>0.68850000000000011</c:v>
                </c:pt>
              </c:numCache>
            </c:numRef>
          </c:val>
          <c:extLst>
            <c:ext xmlns:c16="http://schemas.microsoft.com/office/drawing/2014/chart" uri="{C3380CC4-5D6E-409C-BE32-E72D297353CC}">
              <c16:uniqueId val="{00000000-ECBE-4764-9A12-C1A0CF0E6359}"/>
            </c:ext>
          </c:extLst>
        </c:ser>
        <c:ser>
          <c:idx val="1"/>
          <c:order val="1"/>
          <c:tx>
            <c:strRef>
              <c:f>PCI020m6!$BR$315</c:f>
              <c:strCache>
                <c:ptCount val="1"/>
                <c:pt idx="0">
                  <c:v>Enerģija*</c:v>
                </c:pt>
              </c:strCache>
            </c:strRef>
          </c:tx>
          <c:spPr>
            <a:solidFill>
              <a:schemeClr val="accent2">
                <a:lumMod val="60000"/>
                <a:lumOff val="40000"/>
              </a:schemeClr>
            </a:solidFill>
            <a:ln>
              <a:noFill/>
            </a:ln>
            <a:effectLst/>
          </c:spPr>
          <c:invertIfNegative val="0"/>
          <c:cat>
            <c:multiLvlStrRef>
              <c:f>PCI020m6!$DC$2:$DZ$3</c:f>
              <c:multiLvlStrCache>
                <c:ptCount val="2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lvl>
                <c:lvl>
                  <c:pt idx="0">
                    <c:v>2022</c:v>
                  </c:pt>
                  <c:pt idx="12">
                    <c:v>2023</c:v>
                  </c:pt>
                </c:lvl>
              </c:multiLvlStrCache>
            </c:multiLvlStrRef>
          </c:cat>
          <c:val>
            <c:numRef>
              <c:f>PCI020m6!$DC$315:$DZ$315</c:f>
              <c:numCache>
                <c:formatCode>0.0</c:formatCode>
                <c:ptCount val="24"/>
                <c:pt idx="0">
                  <c:v>1.3064</c:v>
                </c:pt>
                <c:pt idx="1">
                  <c:v>1.4259999999999999</c:v>
                </c:pt>
                <c:pt idx="2">
                  <c:v>1.978</c:v>
                </c:pt>
                <c:pt idx="3">
                  <c:v>2.2447999999999997</c:v>
                </c:pt>
                <c:pt idx="4">
                  <c:v>5.2991999999999999</c:v>
                </c:pt>
                <c:pt idx="5">
                  <c:v>6.0351999999999997</c:v>
                </c:pt>
                <c:pt idx="6">
                  <c:v>7.7096</c:v>
                </c:pt>
                <c:pt idx="7">
                  <c:v>7.9211999999999989</c:v>
                </c:pt>
                <c:pt idx="8">
                  <c:v>7.7371999999999996</c:v>
                </c:pt>
                <c:pt idx="9">
                  <c:v>6.7988000000000008</c:v>
                </c:pt>
                <c:pt idx="10">
                  <c:v>6.2468000000000004</c:v>
                </c:pt>
                <c:pt idx="11">
                  <c:v>5.8788</c:v>
                </c:pt>
                <c:pt idx="12">
                  <c:v>7.6355999999999993</c:v>
                </c:pt>
                <c:pt idx="13">
                  <c:v>7.3527999999999993</c:v>
                </c:pt>
                <c:pt idx="14">
                  <c:v>6.1912999999999991</c:v>
                </c:pt>
                <c:pt idx="15">
                  <c:v>5.4237000000000002</c:v>
                </c:pt>
                <c:pt idx="16">
                  <c:v>3.3430999999999997</c:v>
                </c:pt>
                <c:pt idx="17">
                  <c:v>1.5554000000000001</c:v>
                </c:pt>
                <c:pt idx="18">
                  <c:v>0.49490000000000006</c:v>
                </c:pt>
                <c:pt idx="19">
                  <c:v>-0.1313</c:v>
                </c:pt>
                <c:pt idx="20">
                  <c:v>-1.3534000000000002</c:v>
                </c:pt>
                <c:pt idx="21">
                  <c:v>-1.3331999999999999</c:v>
                </c:pt>
                <c:pt idx="22">
                  <c:v>-1.6463000000000001</c:v>
                </c:pt>
                <c:pt idx="23">
                  <c:v>-1.8079000000000001</c:v>
                </c:pt>
              </c:numCache>
            </c:numRef>
          </c:val>
          <c:extLst>
            <c:ext xmlns:c16="http://schemas.microsoft.com/office/drawing/2014/chart" uri="{C3380CC4-5D6E-409C-BE32-E72D297353CC}">
              <c16:uniqueId val="{00000001-ECBE-4764-9A12-C1A0CF0E6359}"/>
            </c:ext>
          </c:extLst>
        </c:ser>
        <c:ser>
          <c:idx val="2"/>
          <c:order val="2"/>
          <c:tx>
            <c:strRef>
              <c:f>PCI020m6!$BR$316</c:f>
              <c:strCache>
                <c:ptCount val="1"/>
                <c:pt idx="0">
                  <c:v>Degviela</c:v>
                </c:pt>
              </c:strCache>
            </c:strRef>
          </c:tx>
          <c:spPr>
            <a:solidFill>
              <a:schemeClr val="accent6">
                <a:lumMod val="40000"/>
                <a:lumOff val="60000"/>
              </a:schemeClr>
            </a:solidFill>
            <a:ln>
              <a:noFill/>
            </a:ln>
            <a:effectLst/>
          </c:spPr>
          <c:invertIfNegative val="0"/>
          <c:cat>
            <c:multiLvlStrRef>
              <c:f>PCI020m6!$DC$2:$DZ$3</c:f>
              <c:multiLvlStrCache>
                <c:ptCount val="2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lvl>
                <c:lvl>
                  <c:pt idx="0">
                    <c:v>2022</c:v>
                  </c:pt>
                  <c:pt idx="12">
                    <c:v>2023</c:v>
                  </c:pt>
                </c:lvl>
              </c:multiLvlStrCache>
            </c:multiLvlStrRef>
          </c:cat>
          <c:val>
            <c:numRef>
              <c:f>PCI020m6!$DC$316:$DZ$316</c:f>
              <c:numCache>
                <c:formatCode>0.0</c:formatCode>
                <c:ptCount val="24"/>
                <c:pt idx="0">
                  <c:v>1.4202000000000001</c:v>
                </c:pt>
                <c:pt idx="1">
                  <c:v>1.4364000000000003</c:v>
                </c:pt>
                <c:pt idx="2">
                  <c:v>2.3382000000000001</c:v>
                </c:pt>
                <c:pt idx="3">
                  <c:v>2.4678000000000004</c:v>
                </c:pt>
                <c:pt idx="4">
                  <c:v>2.7594000000000003</c:v>
                </c:pt>
                <c:pt idx="5">
                  <c:v>3.2562000000000002</c:v>
                </c:pt>
                <c:pt idx="6">
                  <c:v>2.7810000000000001</c:v>
                </c:pt>
                <c:pt idx="7">
                  <c:v>2.1816</c:v>
                </c:pt>
                <c:pt idx="8">
                  <c:v>2.0196000000000001</c:v>
                </c:pt>
                <c:pt idx="9">
                  <c:v>1.7334000000000003</c:v>
                </c:pt>
                <c:pt idx="10">
                  <c:v>1.5335999999999999</c:v>
                </c:pt>
                <c:pt idx="11">
                  <c:v>0.9665999999999999</c:v>
                </c:pt>
                <c:pt idx="12">
                  <c:v>1.1926000000000001</c:v>
                </c:pt>
                <c:pt idx="13">
                  <c:v>0.80400000000000005</c:v>
                </c:pt>
                <c:pt idx="14">
                  <c:v>-0.50250000000000006</c:v>
                </c:pt>
                <c:pt idx="15">
                  <c:v>-0.72360000000000013</c:v>
                </c:pt>
                <c:pt idx="16">
                  <c:v>-1.2931000000000001</c:v>
                </c:pt>
                <c:pt idx="17">
                  <c:v>-1.7687999999999999</c:v>
                </c:pt>
                <c:pt idx="18">
                  <c:v>-1.4606000000000001</c:v>
                </c:pt>
                <c:pt idx="19">
                  <c:v>-0.71020000000000005</c:v>
                </c:pt>
                <c:pt idx="20">
                  <c:v>-0.28810000000000002</c:v>
                </c:pt>
                <c:pt idx="21">
                  <c:v>-0.56280000000000008</c:v>
                </c:pt>
                <c:pt idx="22">
                  <c:v>-0.80400000000000005</c:v>
                </c:pt>
                <c:pt idx="23">
                  <c:v>-0.37519999999999998</c:v>
                </c:pt>
              </c:numCache>
            </c:numRef>
          </c:val>
          <c:extLst>
            <c:ext xmlns:c16="http://schemas.microsoft.com/office/drawing/2014/chart" uri="{C3380CC4-5D6E-409C-BE32-E72D297353CC}">
              <c16:uniqueId val="{00000002-ECBE-4764-9A12-C1A0CF0E6359}"/>
            </c:ext>
          </c:extLst>
        </c:ser>
        <c:ser>
          <c:idx val="3"/>
          <c:order val="3"/>
          <c:tx>
            <c:strRef>
              <c:f>PCI020m6!$BR$317</c:f>
              <c:strCache>
                <c:ptCount val="1"/>
                <c:pt idx="0">
                  <c:v>Pārējās preces 
un pakalpojumi</c:v>
                </c:pt>
              </c:strCache>
            </c:strRef>
          </c:tx>
          <c:spPr>
            <a:solidFill>
              <a:schemeClr val="bg1">
                <a:lumMod val="75000"/>
              </a:schemeClr>
            </a:solidFill>
            <a:ln>
              <a:noFill/>
            </a:ln>
            <a:effectLst/>
          </c:spPr>
          <c:invertIfNegative val="0"/>
          <c:cat>
            <c:multiLvlStrRef>
              <c:f>PCI020m6!$DC$2:$DZ$3</c:f>
              <c:multiLvlStrCache>
                <c:ptCount val="2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lvl>
                <c:lvl>
                  <c:pt idx="0">
                    <c:v>2022</c:v>
                  </c:pt>
                  <c:pt idx="12">
                    <c:v>2023</c:v>
                  </c:pt>
                </c:lvl>
              </c:multiLvlStrCache>
            </c:multiLvlStrRef>
          </c:cat>
          <c:val>
            <c:numRef>
              <c:f>PCI020m6!$DC$317:$DZ$317</c:f>
              <c:numCache>
                <c:formatCode>0.0</c:formatCode>
                <c:ptCount val="24"/>
                <c:pt idx="0">
                  <c:v>2.4205999999999994</c:v>
                </c:pt>
                <c:pt idx="1">
                  <c:v>2.8167999999999984</c:v>
                </c:pt>
                <c:pt idx="2">
                  <c:v>3.4206000000000008</c:v>
                </c:pt>
                <c:pt idx="3">
                  <c:v>3.8330000000000002</c:v>
                </c:pt>
                <c:pt idx="4">
                  <c:v>4.1821999999999981</c:v>
                </c:pt>
                <c:pt idx="5">
                  <c:v>4.3510000000000009</c:v>
                </c:pt>
                <c:pt idx="6">
                  <c:v>4.7885999999999989</c:v>
                </c:pt>
                <c:pt idx="7">
                  <c:v>4.8180000000000014</c:v>
                </c:pt>
                <c:pt idx="8">
                  <c:v>5.4032</c:v>
                </c:pt>
                <c:pt idx="9">
                  <c:v>5.7157999999999998</c:v>
                </c:pt>
                <c:pt idx="10">
                  <c:v>6.4676000000000009</c:v>
                </c:pt>
                <c:pt idx="11">
                  <c:v>6.5306000000000015</c:v>
                </c:pt>
                <c:pt idx="12">
                  <c:v>5.4808000000000021</c:v>
                </c:pt>
                <c:pt idx="13">
                  <c:v>5.6917000000000018</c:v>
                </c:pt>
                <c:pt idx="14">
                  <c:v>5.4657000000000018</c:v>
                </c:pt>
                <c:pt idx="15">
                  <c:v>5.2488999999999999</c:v>
                </c:pt>
                <c:pt idx="16">
                  <c:v>5.4855</c:v>
                </c:pt>
                <c:pt idx="17">
                  <c:v>4.4413999999999998</c:v>
                </c:pt>
                <c:pt idx="18">
                  <c:v>4.5097000000000005</c:v>
                </c:pt>
                <c:pt idx="19">
                  <c:v>4.150500000000001</c:v>
                </c:pt>
                <c:pt idx="20">
                  <c:v>3.488</c:v>
                </c:pt>
                <c:pt idx="21">
                  <c:v>2.8995000000000002</c:v>
                </c:pt>
                <c:pt idx="22">
                  <c:v>2.5068000000000001</c:v>
                </c:pt>
                <c:pt idx="23">
                  <c:v>2.0945999999999998</c:v>
                </c:pt>
              </c:numCache>
            </c:numRef>
          </c:val>
          <c:extLst>
            <c:ext xmlns:c16="http://schemas.microsoft.com/office/drawing/2014/chart" uri="{C3380CC4-5D6E-409C-BE32-E72D297353CC}">
              <c16:uniqueId val="{00000003-ECBE-4764-9A12-C1A0CF0E6359}"/>
            </c:ext>
          </c:extLst>
        </c:ser>
        <c:dLbls>
          <c:showLegendKey val="0"/>
          <c:showVal val="0"/>
          <c:showCatName val="0"/>
          <c:showSerName val="0"/>
          <c:showPercent val="0"/>
          <c:showBubbleSize val="0"/>
        </c:dLbls>
        <c:gapWidth val="30"/>
        <c:overlap val="100"/>
        <c:axId val="1032225743"/>
        <c:axId val="1032226159"/>
      </c:barChart>
      <c:lineChart>
        <c:grouping val="standard"/>
        <c:varyColors val="0"/>
        <c:ser>
          <c:idx val="4"/>
          <c:order val="4"/>
          <c:tx>
            <c:strRef>
              <c:f>PCI020m6!$BR$318</c:f>
              <c:strCache>
                <c:ptCount val="1"/>
                <c:pt idx="0">
                  <c:v>PCI, %</c:v>
                </c:pt>
              </c:strCache>
            </c:strRef>
          </c:tx>
          <c:spPr>
            <a:ln w="22225" cap="rnd">
              <a:solidFill>
                <a:schemeClr val="tx1"/>
              </a:solidFill>
              <a:round/>
            </a:ln>
            <a:effectLst/>
          </c:spPr>
          <c:marker>
            <c:symbol val="none"/>
          </c:marker>
          <c:cat>
            <c:multiLvlStrRef>
              <c:f>PCI020m6!$DC$2:$DZ$3</c:f>
              <c:multiLvlStrCache>
                <c:ptCount val="2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lvl>
                <c:lvl>
                  <c:pt idx="0">
                    <c:v>2022</c:v>
                  </c:pt>
                  <c:pt idx="12">
                    <c:v>2023</c:v>
                  </c:pt>
                </c:lvl>
              </c:multiLvlStrCache>
            </c:multiLvlStrRef>
          </c:cat>
          <c:val>
            <c:numRef>
              <c:f>PCI020m6!$DC$318:$DZ$318</c:f>
              <c:numCache>
                <c:formatCode>0.0</c:formatCode>
                <c:ptCount val="24"/>
                <c:pt idx="0">
                  <c:v>7.4</c:v>
                </c:pt>
                <c:pt idx="1">
                  <c:v>8.6999999999999993</c:v>
                </c:pt>
                <c:pt idx="2">
                  <c:v>11.5</c:v>
                </c:pt>
                <c:pt idx="3">
                  <c:v>13</c:v>
                </c:pt>
                <c:pt idx="4">
                  <c:v>16.899999999999999</c:v>
                </c:pt>
                <c:pt idx="5">
                  <c:v>19.3</c:v>
                </c:pt>
                <c:pt idx="6">
                  <c:v>21.5</c:v>
                </c:pt>
                <c:pt idx="7">
                  <c:v>21.5</c:v>
                </c:pt>
                <c:pt idx="8">
                  <c:v>22.2</c:v>
                </c:pt>
                <c:pt idx="9">
                  <c:v>21.8</c:v>
                </c:pt>
                <c:pt idx="10">
                  <c:v>21.8</c:v>
                </c:pt>
                <c:pt idx="11">
                  <c:v>20.8</c:v>
                </c:pt>
                <c:pt idx="12">
                  <c:v>21.5</c:v>
                </c:pt>
                <c:pt idx="13">
                  <c:v>20.3</c:v>
                </c:pt>
                <c:pt idx="14">
                  <c:v>17.3</c:v>
                </c:pt>
                <c:pt idx="15">
                  <c:v>15.1</c:v>
                </c:pt>
                <c:pt idx="16">
                  <c:v>12.1</c:v>
                </c:pt>
                <c:pt idx="17">
                  <c:v>7.9</c:v>
                </c:pt>
                <c:pt idx="18">
                  <c:v>6.4</c:v>
                </c:pt>
                <c:pt idx="19">
                  <c:v>5.4</c:v>
                </c:pt>
                <c:pt idx="20">
                  <c:v>3.3</c:v>
                </c:pt>
                <c:pt idx="21">
                  <c:v>2.1</c:v>
                </c:pt>
                <c:pt idx="22">
                  <c:v>1</c:v>
                </c:pt>
                <c:pt idx="23">
                  <c:v>0.6</c:v>
                </c:pt>
              </c:numCache>
            </c:numRef>
          </c:val>
          <c:smooth val="0"/>
          <c:extLst>
            <c:ext xmlns:c16="http://schemas.microsoft.com/office/drawing/2014/chart" uri="{C3380CC4-5D6E-409C-BE32-E72D297353CC}">
              <c16:uniqueId val="{00000004-ECBE-4764-9A12-C1A0CF0E6359}"/>
            </c:ext>
          </c:extLst>
        </c:ser>
        <c:dLbls>
          <c:showLegendKey val="0"/>
          <c:showVal val="0"/>
          <c:showCatName val="0"/>
          <c:showSerName val="0"/>
          <c:showPercent val="0"/>
          <c:showBubbleSize val="0"/>
        </c:dLbls>
        <c:marker val="1"/>
        <c:smooth val="0"/>
        <c:axId val="1032225743"/>
        <c:axId val="1032226159"/>
      </c:lineChart>
      <c:catAx>
        <c:axId val="10322257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32226159"/>
        <c:crosses val="autoZero"/>
        <c:auto val="1"/>
        <c:lblAlgn val="ctr"/>
        <c:lblOffset val="100"/>
        <c:noMultiLvlLbl val="0"/>
      </c:catAx>
      <c:valAx>
        <c:axId val="10322261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32225743"/>
        <c:crosses val="autoZero"/>
        <c:crossBetween val="between"/>
        <c:majorUnit val="2"/>
      </c:valAx>
      <c:spPr>
        <a:noFill/>
        <a:ln>
          <a:noFill/>
        </a:ln>
        <a:effectLst/>
      </c:spPr>
    </c:plotArea>
    <c:legend>
      <c:legendPos val="b"/>
      <c:layout>
        <c:manualLayout>
          <c:xMode val="edge"/>
          <c:yMode val="edge"/>
          <c:x val="1.5765765765765764E-2"/>
          <c:y val="0.79237939192512175"/>
          <c:w val="0.9504504504504504"/>
          <c:h val="0.1681728763194541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BySource!$L$1</c:f>
              <c:strCache>
                <c:ptCount val="1"/>
                <c:pt idx="0">
                  <c:v>Pamatinflācija</c:v>
                </c:pt>
              </c:strCache>
            </c:strRef>
          </c:tx>
          <c:spPr>
            <a:solidFill>
              <a:srgbClr val="5B9BD5">
                <a:lumMod val="75000"/>
              </a:srgbClr>
            </a:solidFill>
            <a:ln>
              <a:noFill/>
            </a:ln>
            <a:effectLst/>
          </c:spPr>
          <c:invertIfNegative val="0"/>
          <c:cat>
            <c:multiLvlStrRef>
              <c:f>BySource!$A$218:$B$241</c:f>
              <c:multiLvlStrCache>
                <c:ptCount val="2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lvl>
                <c:lvl>
                  <c:pt idx="0">
                    <c:v>2022</c:v>
                  </c:pt>
                  <c:pt idx="12">
                    <c:v>2023</c:v>
                  </c:pt>
                </c:lvl>
              </c:multiLvlStrCache>
            </c:multiLvlStrRef>
          </c:cat>
          <c:val>
            <c:numRef>
              <c:f>BySource!$L$218:$L$241</c:f>
              <c:numCache>
                <c:formatCode>0.000</c:formatCode>
                <c:ptCount val="24"/>
                <c:pt idx="0">
                  <c:v>3.6766304064360518</c:v>
                </c:pt>
                <c:pt idx="1">
                  <c:v>4.6757298267992189</c:v>
                </c:pt>
                <c:pt idx="2">
                  <c:v>5.5815653629409194</c:v>
                </c:pt>
                <c:pt idx="3">
                  <c:v>6.4811249783059441</c:v>
                </c:pt>
                <c:pt idx="4">
                  <c:v>6.9895245841617566</c:v>
                </c:pt>
                <c:pt idx="5">
                  <c:v>8.0930246781349258</c:v>
                </c:pt>
                <c:pt idx="6">
                  <c:v>9.0639251439072481</c:v>
                </c:pt>
                <c:pt idx="7">
                  <c:v>9.4825632506816468</c:v>
                </c:pt>
                <c:pt idx="8">
                  <c:v>10.254097332270204</c:v>
                </c:pt>
                <c:pt idx="9">
                  <c:v>10.136689520180939</c:v>
                </c:pt>
                <c:pt idx="10">
                  <c:v>10.707649577192866</c:v>
                </c:pt>
                <c:pt idx="11">
                  <c:v>10.6319414494989</c:v>
                </c:pt>
                <c:pt idx="12">
                  <c:v>10.316592925326884</c:v>
                </c:pt>
                <c:pt idx="13">
                  <c:v>9.7925096369610536</c:v>
                </c:pt>
                <c:pt idx="14">
                  <c:v>9.2106534943931511</c:v>
                </c:pt>
                <c:pt idx="15">
                  <c:v>8.627017796780013</c:v>
                </c:pt>
                <c:pt idx="16">
                  <c:v>8.2680071044224803</c:v>
                </c:pt>
                <c:pt idx="17">
                  <c:v>6.817192604484962</c:v>
                </c:pt>
                <c:pt idx="18">
                  <c:v>6.1228723948131245</c:v>
                </c:pt>
                <c:pt idx="19">
                  <c:v>5.142774173479804</c:v>
                </c:pt>
                <c:pt idx="20">
                  <c:v>4.3328539029530946</c:v>
                </c:pt>
                <c:pt idx="21">
                  <c:v>3.7412548679444444</c:v>
                </c:pt>
                <c:pt idx="22">
                  <c:v>3.1374187404545939</c:v>
                </c:pt>
                <c:pt idx="23">
                  <c:v>2.6729590650626811</c:v>
                </c:pt>
              </c:numCache>
            </c:numRef>
          </c:val>
          <c:extLst>
            <c:ext xmlns:c16="http://schemas.microsoft.com/office/drawing/2014/chart" uri="{C3380CC4-5D6E-409C-BE32-E72D297353CC}">
              <c16:uniqueId val="{00000000-D255-42E3-ADB3-8BBA38BD8B02}"/>
            </c:ext>
          </c:extLst>
        </c:ser>
        <c:ser>
          <c:idx val="2"/>
          <c:order val="1"/>
          <c:tx>
            <c:strRef>
              <c:f>BySource!$D$1</c:f>
              <c:strCache>
                <c:ptCount val="1"/>
                <c:pt idx="0">
                  <c:v>Nodokļi</c:v>
                </c:pt>
              </c:strCache>
            </c:strRef>
          </c:tx>
          <c:spPr>
            <a:solidFill>
              <a:srgbClr val="FF0000"/>
            </a:solidFill>
            <a:ln>
              <a:noFill/>
            </a:ln>
            <a:effectLst/>
          </c:spPr>
          <c:invertIfNegative val="0"/>
          <c:cat>
            <c:multiLvlStrRef>
              <c:f>BySource!$A$218:$B$241</c:f>
              <c:multiLvlStrCache>
                <c:ptCount val="2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lvl>
                <c:lvl>
                  <c:pt idx="0">
                    <c:v>2022</c:v>
                  </c:pt>
                  <c:pt idx="12">
                    <c:v>2023</c:v>
                  </c:pt>
                </c:lvl>
              </c:multiLvlStrCache>
            </c:multiLvlStrRef>
          </c:cat>
          <c:val>
            <c:numRef>
              <c:f>BySource!$D$218:$D$241</c:f>
              <c:numCache>
                <c:formatCode>0.000</c:formatCode>
                <c:ptCount val="24"/>
                <c:pt idx="0">
                  <c:v>0.28695639160754016</c:v>
                </c:pt>
                <c:pt idx="1">
                  <c:v>0.28046441037530379</c:v>
                </c:pt>
                <c:pt idx="2">
                  <c:v>9.0236935330544554E-2</c:v>
                </c:pt>
                <c:pt idx="3">
                  <c:v>9.4357051376459111E-2</c:v>
                </c:pt>
                <c:pt idx="4">
                  <c:v>0.10640415043330265</c:v>
                </c:pt>
                <c:pt idx="5">
                  <c:v>9.4490940609912144E-2</c:v>
                </c:pt>
                <c:pt idx="6">
                  <c:v>9.8435693587759943E-2</c:v>
                </c:pt>
                <c:pt idx="7">
                  <c:v>0.1062801010892187</c:v>
                </c:pt>
                <c:pt idx="8">
                  <c:v>9.6035397523010602E-2</c:v>
                </c:pt>
                <c:pt idx="9">
                  <c:v>9.7066650432942936E-2</c:v>
                </c:pt>
                <c:pt idx="10">
                  <c:v>9.2120218592860681E-2</c:v>
                </c:pt>
                <c:pt idx="11">
                  <c:v>9.1766842496323164E-2</c:v>
                </c:pt>
                <c:pt idx="12">
                  <c:v>0.1066189542535021</c:v>
                </c:pt>
                <c:pt idx="13">
                  <c:v>9.6159225937686443E-2</c:v>
                </c:pt>
                <c:pt idx="14">
                  <c:v>0.11193021118849344</c:v>
                </c:pt>
                <c:pt idx="15">
                  <c:v>0.10390040976970738</c:v>
                </c:pt>
                <c:pt idx="16">
                  <c:v>0.10289096782889473</c:v>
                </c:pt>
                <c:pt idx="17">
                  <c:v>0.10868873354010944</c:v>
                </c:pt>
                <c:pt idx="18">
                  <c:v>0.10183980233933188</c:v>
                </c:pt>
                <c:pt idx="19">
                  <c:v>0.10594902413545437</c:v>
                </c:pt>
                <c:pt idx="20">
                  <c:v>9.9487392754316062E-2</c:v>
                </c:pt>
                <c:pt idx="21">
                  <c:v>0.10085276212290495</c:v>
                </c:pt>
                <c:pt idx="22">
                  <c:v>0.10766110069821977</c:v>
                </c:pt>
                <c:pt idx="23">
                  <c:v>0.10658662890712378</c:v>
                </c:pt>
              </c:numCache>
            </c:numRef>
          </c:val>
          <c:extLst>
            <c:ext xmlns:c16="http://schemas.microsoft.com/office/drawing/2014/chart" uri="{C3380CC4-5D6E-409C-BE32-E72D297353CC}">
              <c16:uniqueId val="{00000001-D255-42E3-ADB3-8BBA38BD8B02}"/>
            </c:ext>
          </c:extLst>
        </c:ser>
        <c:ser>
          <c:idx val="1"/>
          <c:order val="2"/>
          <c:tx>
            <c:strRef>
              <c:f>BySource!$N$1</c:f>
              <c:strCache>
                <c:ptCount val="1"/>
                <c:pt idx="0">
                  <c:v>Importētā inflācija</c:v>
                </c:pt>
              </c:strCache>
            </c:strRef>
          </c:tx>
          <c:spPr>
            <a:solidFill>
              <a:srgbClr val="FFCC66"/>
            </a:solidFill>
            <a:ln>
              <a:noFill/>
            </a:ln>
            <a:effectLst/>
          </c:spPr>
          <c:invertIfNegative val="0"/>
          <c:cat>
            <c:multiLvlStrRef>
              <c:f>BySource!$A$218:$B$241</c:f>
              <c:multiLvlStrCache>
                <c:ptCount val="24"/>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lvl>
                <c:lvl>
                  <c:pt idx="0">
                    <c:v>2022</c:v>
                  </c:pt>
                  <c:pt idx="12">
                    <c:v>2023</c:v>
                  </c:pt>
                </c:lvl>
              </c:multiLvlStrCache>
            </c:multiLvlStrRef>
          </c:cat>
          <c:val>
            <c:numRef>
              <c:f>BySource!$N$218:$N$241</c:f>
              <c:numCache>
                <c:formatCode>0.000</c:formatCode>
                <c:ptCount val="24"/>
                <c:pt idx="0">
                  <c:v>3.4364132019564084</c:v>
                </c:pt>
                <c:pt idx="1">
                  <c:v>3.7438057628254766</c:v>
                </c:pt>
                <c:pt idx="2">
                  <c:v>5.828197701728536</c:v>
                </c:pt>
                <c:pt idx="3">
                  <c:v>6.4245179703175967</c:v>
                </c:pt>
                <c:pt idx="4">
                  <c:v>9.8040712654049411</c:v>
                </c:pt>
                <c:pt idx="5">
                  <c:v>11.112484381255163</c:v>
                </c:pt>
                <c:pt idx="6">
                  <c:v>12.337639162504992</c:v>
                </c:pt>
                <c:pt idx="7">
                  <c:v>11.911156648229134</c:v>
                </c:pt>
                <c:pt idx="8">
                  <c:v>11.849867270206785</c:v>
                </c:pt>
                <c:pt idx="9">
                  <c:v>11.566243829386119</c:v>
                </c:pt>
                <c:pt idx="10">
                  <c:v>11.000230204214274</c:v>
                </c:pt>
                <c:pt idx="11">
                  <c:v>10.076291708004778</c:v>
                </c:pt>
                <c:pt idx="12">
                  <c:v>11.076788120419614</c:v>
                </c:pt>
                <c:pt idx="13">
                  <c:v>10.411331137101261</c:v>
                </c:pt>
                <c:pt idx="14">
                  <c:v>7.9774162944183562</c:v>
                </c:pt>
                <c:pt idx="15">
                  <c:v>6.3690817934502784</c:v>
                </c:pt>
                <c:pt idx="16">
                  <c:v>3.7291019277486241</c:v>
                </c:pt>
                <c:pt idx="17">
                  <c:v>0.97411866197492891</c:v>
                </c:pt>
                <c:pt idx="18">
                  <c:v>0.17528780284754417</c:v>
                </c:pt>
                <c:pt idx="19">
                  <c:v>0.15127680238474167</c:v>
                </c:pt>
                <c:pt idx="20">
                  <c:v>-1.1323412957074108</c:v>
                </c:pt>
                <c:pt idx="21">
                  <c:v>-1.7421076300673493</c:v>
                </c:pt>
                <c:pt idx="22">
                  <c:v>-2.2450798411528137</c:v>
                </c:pt>
                <c:pt idx="23">
                  <c:v>-2.1795456939698048</c:v>
                </c:pt>
              </c:numCache>
            </c:numRef>
          </c:val>
          <c:extLst>
            <c:ext xmlns:c16="http://schemas.microsoft.com/office/drawing/2014/chart" uri="{C3380CC4-5D6E-409C-BE32-E72D297353CC}">
              <c16:uniqueId val="{00000002-D255-42E3-ADB3-8BBA38BD8B02}"/>
            </c:ext>
          </c:extLst>
        </c:ser>
        <c:dLbls>
          <c:showLegendKey val="0"/>
          <c:showVal val="0"/>
          <c:showCatName val="0"/>
          <c:showSerName val="0"/>
          <c:showPercent val="0"/>
          <c:showBubbleSize val="0"/>
        </c:dLbls>
        <c:gapWidth val="30"/>
        <c:overlap val="100"/>
        <c:axId val="348883032"/>
        <c:axId val="348885384"/>
      </c:barChart>
      <c:lineChart>
        <c:grouping val="standard"/>
        <c:varyColors val="0"/>
        <c:ser>
          <c:idx val="3"/>
          <c:order val="3"/>
          <c:tx>
            <c:strRef>
              <c:f>BySource!$C$1</c:f>
              <c:strCache>
                <c:ptCount val="1"/>
                <c:pt idx="0">
                  <c:v>PCI, %</c:v>
                </c:pt>
              </c:strCache>
            </c:strRef>
          </c:tx>
          <c:spPr>
            <a:ln w="22225" cap="rnd">
              <a:solidFill>
                <a:schemeClr val="tx1"/>
              </a:solidFill>
              <a:round/>
            </a:ln>
            <a:effectLst/>
          </c:spPr>
          <c:marker>
            <c:symbol val="none"/>
          </c:marker>
          <c:val>
            <c:numRef>
              <c:f>BySource!$C$218:$C$241</c:f>
              <c:numCache>
                <c:formatCode>0.000</c:formatCode>
                <c:ptCount val="24"/>
                <c:pt idx="0">
                  <c:v>7.4</c:v>
                </c:pt>
                <c:pt idx="1">
                  <c:v>8.6999999999999993</c:v>
                </c:pt>
                <c:pt idx="2">
                  <c:v>11.5</c:v>
                </c:pt>
                <c:pt idx="3">
                  <c:v>13</c:v>
                </c:pt>
                <c:pt idx="4">
                  <c:v>16.899999999999999</c:v>
                </c:pt>
                <c:pt idx="5">
                  <c:v>19.3</c:v>
                </c:pt>
                <c:pt idx="6">
                  <c:v>21.5</c:v>
                </c:pt>
                <c:pt idx="7">
                  <c:v>21.5</c:v>
                </c:pt>
                <c:pt idx="8">
                  <c:v>22.2</c:v>
                </c:pt>
                <c:pt idx="9">
                  <c:v>21.8</c:v>
                </c:pt>
                <c:pt idx="10">
                  <c:v>21.8</c:v>
                </c:pt>
                <c:pt idx="11">
                  <c:v>20.8</c:v>
                </c:pt>
                <c:pt idx="12">
                  <c:v>21.5</c:v>
                </c:pt>
                <c:pt idx="13">
                  <c:v>20.3</c:v>
                </c:pt>
                <c:pt idx="14">
                  <c:v>17.3</c:v>
                </c:pt>
                <c:pt idx="15">
                  <c:v>15.1</c:v>
                </c:pt>
                <c:pt idx="16">
                  <c:v>12.1</c:v>
                </c:pt>
                <c:pt idx="17" formatCode="General">
                  <c:v>7.9</c:v>
                </c:pt>
                <c:pt idx="18" formatCode="General">
                  <c:v>6.4</c:v>
                </c:pt>
                <c:pt idx="19" formatCode="General">
                  <c:v>5.4</c:v>
                </c:pt>
                <c:pt idx="20" formatCode="General">
                  <c:v>3.3</c:v>
                </c:pt>
                <c:pt idx="21" formatCode="General">
                  <c:v>2.1</c:v>
                </c:pt>
                <c:pt idx="22" formatCode="General">
                  <c:v>1</c:v>
                </c:pt>
                <c:pt idx="23" formatCode="General">
                  <c:v>0.6</c:v>
                </c:pt>
              </c:numCache>
            </c:numRef>
          </c:val>
          <c:smooth val="0"/>
          <c:extLst>
            <c:ext xmlns:c16="http://schemas.microsoft.com/office/drawing/2014/chart" uri="{C3380CC4-5D6E-409C-BE32-E72D297353CC}">
              <c16:uniqueId val="{00000003-D255-42E3-ADB3-8BBA38BD8B02}"/>
            </c:ext>
          </c:extLst>
        </c:ser>
        <c:dLbls>
          <c:showLegendKey val="0"/>
          <c:showVal val="0"/>
          <c:showCatName val="0"/>
          <c:showSerName val="0"/>
          <c:showPercent val="0"/>
          <c:showBubbleSize val="0"/>
        </c:dLbls>
        <c:marker val="1"/>
        <c:smooth val="0"/>
        <c:axId val="348883032"/>
        <c:axId val="348885384"/>
      </c:lineChart>
      <c:catAx>
        <c:axId val="348883032"/>
        <c:scaling>
          <c:orientation val="minMax"/>
        </c:scaling>
        <c:delete val="0"/>
        <c:axPos val="b"/>
        <c:numFmt formatCode="General" sourceLinked="0"/>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8885384"/>
        <c:crosses val="autoZero"/>
        <c:auto val="1"/>
        <c:lblAlgn val="ctr"/>
        <c:lblOffset val="100"/>
        <c:noMultiLvlLbl val="0"/>
      </c:catAx>
      <c:valAx>
        <c:axId val="348885384"/>
        <c:scaling>
          <c:orientation val="minMax"/>
          <c:max val="24"/>
          <c:min val="-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8883032"/>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8175969937299862E-2"/>
          <c:y val="4.2742611718989673E-2"/>
          <c:w val="0.91690723525920925"/>
          <c:h val="0.69198690369889326"/>
        </c:manualLayout>
      </c:layout>
      <c:barChart>
        <c:barDir val="col"/>
        <c:grouping val="clustered"/>
        <c:varyColors val="0"/>
        <c:ser>
          <c:idx val="0"/>
          <c:order val="0"/>
          <c:tx>
            <c:strRef>
              <c:f>'2 graf'!$J$3</c:f>
              <c:strCache>
                <c:ptCount val="1"/>
                <c:pt idx="0">
                  <c:v>Nodarbināto skaits, tūkstoši (labā ass)</c:v>
                </c:pt>
              </c:strCache>
            </c:strRef>
          </c:tx>
          <c:invertIfNegative val="0"/>
          <c:cat>
            <c:strRef>
              <c:f>'2 graf'!$K$2:$AE$2</c:f>
              <c:strCache>
                <c:ptCount val="21"/>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strCache>
            </c:strRef>
          </c:cat>
          <c:val>
            <c:numRef>
              <c:f>'2 graf'!$K$3:$AE$3</c:f>
              <c:numCache>
                <c:formatCode>0.0</c:formatCode>
                <c:ptCount val="21"/>
                <c:pt idx="0">
                  <c:v>1054.9000000000001</c:v>
                </c:pt>
                <c:pt idx="1">
                  <c:v>908.5</c:v>
                </c:pt>
                <c:pt idx="2">
                  <c:v>851</c:v>
                </c:pt>
                <c:pt idx="3">
                  <c:v>862</c:v>
                </c:pt>
                <c:pt idx="4">
                  <c:v>876</c:v>
                </c:pt>
                <c:pt idx="5">
                  <c:v>894</c:v>
                </c:pt>
                <c:pt idx="6">
                  <c:v>885</c:v>
                </c:pt>
                <c:pt idx="7">
                  <c:v>896</c:v>
                </c:pt>
                <c:pt idx="8">
                  <c:v>893</c:v>
                </c:pt>
                <c:pt idx="9">
                  <c:v>895</c:v>
                </c:pt>
                <c:pt idx="10">
                  <c:v>909</c:v>
                </c:pt>
                <c:pt idx="11" formatCode="0">
                  <c:v>910</c:v>
                </c:pt>
                <c:pt idx="12" formatCode="0">
                  <c:v>893</c:v>
                </c:pt>
                <c:pt idx="13" formatCode="0">
                  <c:v>864</c:v>
                </c:pt>
                <c:pt idx="14" formatCode="0">
                  <c:v>886</c:v>
                </c:pt>
                <c:pt idx="15" formatCode="General">
                  <c:v>884</c:v>
                </c:pt>
                <c:pt idx="16" formatCode="0">
                  <c:v>884</c:v>
                </c:pt>
                <c:pt idx="17" formatCode="0">
                  <c:v>884</c:v>
                </c:pt>
                <c:pt idx="18" formatCode="0">
                  <c:v>881.34800000000007</c:v>
                </c:pt>
                <c:pt idx="19" formatCode="0">
                  <c:v>878.70395600000006</c:v>
                </c:pt>
                <c:pt idx="20" formatCode="0">
                  <c:v>876.067844132</c:v>
                </c:pt>
              </c:numCache>
            </c:numRef>
          </c:val>
          <c:extLst>
            <c:ext xmlns:c16="http://schemas.microsoft.com/office/drawing/2014/chart" uri="{C3380CC4-5D6E-409C-BE32-E72D297353CC}">
              <c16:uniqueId val="{00000000-36A9-4DEB-BCD4-B77701C2F629}"/>
            </c:ext>
          </c:extLst>
        </c:ser>
        <c:dLbls>
          <c:showLegendKey val="0"/>
          <c:showVal val="0"/>
          <c:showCatName val="0"/>
          <c:showSerName val="0"/>
          <c:showPercent val="0"/>
          <c:showBubbleSize val="0"/>
        </c:dLbls>
        <c:gapWidth val="50"/>
        <c:axId val="396118440"/>
        <c:axId val="393060176"/>
      </c:barChart>
      <c:lineChart>
        <c:grouping val="standard"/>
        <c:varyColors val="0"/>
        <c:ser>
          <c:idx val="1"/>
          <c:order val="1"/>
          <c:tx>
            <c:strRef>
              <c:f>'2 graf'!$J$4</c:f>
              <c:strCache>
                <c:ptCount val="1"/>
                <c:pt idx="0">
                  <c:v>Darba meklētāji, % no ekonomiski aktīvajiem iedzīvotājiem (kreisā ass)</c:v>
                </c:pt>
              </c:strCache>
            </c:strRef>
          </c:tx>
          <c:spPr>
            <a:ln>
              <a:solidFill>
                <a:srgbClr val="FF0000"/>
              </a:solidFill>
              <a:prstDash val="solid"/>
            </a:ln>
          </c:spPr>
          <c:marker>
            <c:symbol val="none"/>
          </c:marker>
          <c:dPt>
            <c:idx val="0"/>
            <c:bubble3D val="0"/>
            <c:extLst>
              <c:ext xmlns:c16="http://schemas.microsoft.com/office/drawing/2014/chart" uri="{C3380CC4-5D6E-409C-BE32-E72D297353CC}">
                <c16:uniqueId val="{00000001-36A9-4DEB-BCD4-B77701C2F629}"/>
              </c:ext>
            </c:extLst>
          </c:dPt>
          <c:dPt>
            <c:idx val="1"/>
            <c:bubble3D val="0"/>
            <c:extLst>
              <c:ext xmlns:c16="http://schemas.microsoft.com/office/drawing/2014/chart" uri="{C3380CC4-5D6E-409C-BE32-E72D297353CC}">
                <c16:uniqueId val="{00000002-36A9-4DEB-BCD4-B77701C2F629}"/>
              </c:ext>
            </c:extLst>
          </c:dPt>
          <c:dPt>
            <c:idx val="2"/>
            <c:bubble3D val="0"/>
            <c:extLst>
              <c:ext xmlns:c16="http://schemas.microsoft.com/office/drawing/2014/chart" uri="{C3380CC4-5D6E-409C-BE32-E72D297353CC}">
                <c16:uniqueId val="{00000003-36A9-4DEB-BCD4-B77701C2F629}"/>
              </c:ext>
            </c:extLst>
          </c:dPt>
          <c:dPt>
            <c:idx val="3"/>
            <c:bubble3D val="0"/>
            <c:extLst>
              <c:ext xmlns:c16="http://schemas.microsoft.com/office/drawing/2014/chart" uri="{C3380CC4-5D6E-409C-BE32-E72D297353CC}">
                <c16:uniqueId val="{00000004-36A9-4DEB-BCD4-B77701C2F629}"/>
              </c:ext>
            </c:extLst>
          </c:dPt>
          <c:dPt>
            <c:idx val="4"/>
            <c:bubble3D val="0"/>
            <c:extLst>
              <c:ext xmlns:c16="http://schemas.microsoft.com/office/drawing/2014/chart" uri="{C3380CC4-5D6E-409C-BE32-E72D297353CC}">
                <c16:uniqueId val="{00000005-36A9-4DEB-BCD4-B77701C2F629}"/>
              </c:ext>
            </c:extLst>
          </c:dPt>
          <c:dPt>
            <c:idx val="5"/>
            <c:bubble3D val="0"/>
            <c:extLst>
              <c:ext xmlns:c16="http://schemas.microsoft.com/office/drawing/2014/chart" uri="{C3380CC4-5D6E-409C-BE32-E72D297353CC}">
                <c16:uniqueId val="{00000006-36A9-4DEB-BCD4-B77701C2F629}"/>
              </c:ext>
            </c:extLst>
          </c:dPt>
          <c:dPt>
            <c:idx val="6"/>
            <c:bubble3D val="0"/>
            <c:extLst>
              <c:ext xmlns:c16="http://schemas.microsoft.com/office/drawing/2014/chart" uri="{C3380CC4-5D6E-409C-BE32-E72D297353CC}">
                <c16:uniqueId val="{00000007-36A9-4DEB-BCD4-B77701C2F629}"/>
              </c:ext>
            </c:extLst>
          </c:dPt>
          <c:dPt>
            <c:idx val="7"/>
            <c:bubble3D val="0"/>
            <c:extLst>
              <c:ext xmlns:c16="http://schemas.microsoft.com/office/drawing/2014/chart" uri="{C3380CC4-5D6E-409C-BE32-E72D297353CC}">
                <c16:uniqueId val="{00000008-36A9-4DEB-BCD4-B77701C2F629}"/>
              </c:ext>
            </c:extLst>
          </c:dPt>
          <c:dPt>
            <c:idx val="8"/>
            <c:bubble3D val="0"/>
            <c:extLst>
              <c:ext xmlns:c16="http://schemas.microsoft.com/office/drawing/2014/chart" uri="{C3380CC4-5D6E-409C-BE32-E72D297353CC}">
                <c16:uniqueId val="{00000009-36A9-4DEB-BCD4-B77701C2F629}"/>
              </c:ext>
            </c:extLst>
          </c:dPt>
          <c:dPt>
            <c:idx val="9"/>
            <c:bubble3D val="0"/>
            <c:extLst>
              <c:ext xmlns:c16="http://schemas.microsoft.com/office/drawing/2014/chart" uri="{C3380CC4-5D6E-409C-BE32-E72D297353CC}">
                <c16:uniqueId val="{0000000A-36A9-4DEB-BCD4-B77701C2F629}"/>
              </c:ext>
            </c:extLst>
          </c:dPt>
          <c:dPt>
            <c:idx val="10"/>
            <c:bubble3D val="0"/>
            <c:extLst>
              <c:ext xmlns:c16="http://schemas.microsoft.com/office/drawing/2014/chart" uri="{C3380CC4-5D6E-409C-BE32-E72D297353CC}">
                <c16:uniqueId val="{0000000B-36A9-4DEB-BCD4-B77701C2F629}"/>
              </c:ext>
            </c:extLst>
          </c:dPt>
          <c:cat>
            <c:strRef>
              <c:f>'2 graf'!$K$2:$AE$2</c:f>
              <c:strCache>
                <c:ptCount val="21"/>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strCache>
            </c:strRef>
          </c:cat>
          <c:val>
            <c:numRef>
              <c:f>'2 graf'!$K$4:$AE$4</c:f>
              <c:numCache>
                <c:formatCode>0.0</c:formatCode>
                <c:ptCount val="21"/>
                <c:pt idx="0">
                  <c:v>7.7</c:v>
                </c:pt>
                <c:pt idx="1">
                  <c:v>17.5</c:v>
                </c:pt>
                <c:pt idx="2">
                  <c:v>19.5</c:v>
                </c:pt>
                <c:pt idx="3">
                  <c:v>16.2</c:v>
                </c:pt>
                <c:pt idx="4">
                  <c:v>15</c:v>
                </c:pt>
                <c:pt idx="5">
                  <c:v>11.9</c:v>
                </c:pt>
                <c:pt idx="6">
                  <c:v>10.8</c:v>
                </c:pt>
                <c:pt idx="7">
                  <c:v>9.9</c:v>
                </c:pt>
                <c:pt idx="8">
                  <c:v>9.6</c:v>
                </c:pt>
                <c:pt idx="9">
                  <c:v>8.6999999999999993</c:v>
                </c:pt>
                <c:pt idx="10">
                  <c:v>7.4</c:v>
                </c:pt>
                <c:pt idx="11">
                  <c:v>6.3</c:v>
                </c:pt>
                <c:pt idx="12">
                  <c:v>8.1</c:v>
                </c:pt>
                <c:pt idx="13">
                  <c:v>7.6</c:v>
                </c:pt>
                <c:pt idx="14">
                  <c:v>6.9</c:v>
                </c:pt>
                <c:pt idx="15" formatCode="General">
                  <c:v>6.5</c:v>
                </c:pt>
                <c:pt idx="16" formatCode="General">
                  <c:v>6.4</c:v>
                </c:pt>
                <c:pt idx="17" formatCode="General">
                  <c:v>6</c:v>
                </c:pt>
                <c:pt idx="18" formatCode="General">
                  <c:v>6</c:v>
                </c:pt>
                <c:pt idx="19" formatCode="General">
                  <c:v>5.5</c:v>
                </c:pt>
                <c:pt idx="20" formatCode="General">
                  <c:v>4.9000000000000004</c:v>
                </c:pt>
              </c:numCache>
            </c:numRef>
          </c:val>
          <c:smooth val="1"/>
          <c:extLst>
            <c:ext xmlns:c16="http://schemas.microsoft.com/office/drawing/2014/chart" uri="{C3380CC4-5D6E-409C-BE32-E72D297353CC}">
              <c16:uniqueId val="{0000000C-36A9-4DEB-BCD4-B77701C2F629}"/>
            </c:ext>
          </c:extLst>
        </c:ser>
        <c:dLbls>
          <c:showLegendKey val="0"/>
          <c:showVal val="0"/>
          <c:showCatName val="0"/>
          <c:showSerName val="0"/>
          <c:showPercent val="0"/>
          <c:showBubbleSize val="0"/>
        </c:dLbls>
        <c:marker val="1"/>
        <c:smooth val="0"/>
        <c:axId val="387439344"/>
        <c:axId val="278229968"/>
      </c:lineChart>
      <c:catAx>
        <c:axId val="387439344"/>
        <c:scaling>
          <c:orientation val="minMax"/>
        </c:scaling>
        <c:delete val="0"/>
        <c:axPos val="b"/>
        <c:numFmt formatCode="General" sourceLinked="1"/>
        <c:majorTickMark val="out"/>
        <c:minorTickMark val="none"/>
        <c:tickLblPos val="low"/>
        <c:txPr>
          <a:bodyPr rot="-5400000" vert="horz"/>
          <a:lstStyle/>
          <a:p>
            <a:pPr>
              <a:defRPr/>
            </a:pPr>
            <a:endParaRPr lang="lv-LV"/>
          </a:p>
        </c:txPr>
        <c:crossAx val="278229968"/>
        <c:crosses val="autoZero"/>
        <c:auto val="1"/>
        <c:lblAlgn val="ctr"/>
        <c:lblOffset val="100"/>
        <c:noMultiLvlLbl val="0"/>
      </c:catAx>
      <c:valAx>
        <c:axId val="278229968"/>
        <c:scaling>
          <c:orientation val="minMax"/>
          <c:min val="4"/>
        </c:scaling>
        <c:delete val="0"/>
        <c:axPos val="l"/>
        <c:majorGridlines/>
        <c:numFmt formatCode="0" sourceLinked="0"/>
        <c:majorTickMark val="out"/>
        <c:minorTickMark val="none"/>
        <c:tickLblPos val="nextTo"/>
        <c:txPr>
          <a:bodyPr/>
          <a:lstStyle/>
          <a:p>
            <a:pPr>
              <a:defRPr sz="1000"/>
            </a:pPr>
            <a:endParaRPr lang="lv-LV"/>
          </a:p>
        </c:txPr>
        <c:crossAx val="387439344"/>
        <c:crosses val="autoZero"/>
        <c:crossBetween val="between"/>
      </c:valAx>
      <c:valAx>
        <c:axId val="393060176"/>
        <c:scaling>
          <c:orientation val="minMax"/>
          <c:min val="700"/>
        </c:scaling>
        <c:delete val="0"/>
        <c:axPos val="r"/>
        <c:numFmt formatCode="0" sourceLinked="0"/>
        <c:majorTickMark val="out"/>
        <c:minorTickMark val="none"/>
        <c:tickLblPos val="nextTo"/>
        <c:crossAx val="396118440"/>
        <c:crosses val="max"/>
        <c:crossBetween val="between"/>
      </c:valAx>
      <c:catAx>
        <c:axId val="396118440"/>
        <c:scaling>
          <c:orientation val="minMax"/>
        </c:scaling>
        <c:delete val="1"/>
        <c:axPos val="b"/>
        <c:numFmt formatCode="General" sourceLinked="1"/>
        <c:majorTickMark val="out"/>
        <c:minorTickMark val="none"/>
        <c:tickLblPos val="nextTo"/>
        <c:crossAx val="393060176"/>
        <c:crosses val="autoZero"/>
        <c:auto val="1"/>
        <c:lblAlgn val="ctr"/>
        <c:lblOffset val="100"/>
        <c:noMultiLvlLbl val="0"/>
      </c:catAx>
    </c:plotArea>
    <c:legend>
      <c:legendPos val="b"/>
      <c:layout>
        <c:manualLayout>
          <c:xMode val="edge"/>
          <c:yMode val="edge"/>
          <c:x val="5.2777777777777778E-2"/>
          <c:y val="0.84834122538806356"/>
          <c:w val="0.9"/>
          <c:h val="0.13411802906080039"/>
        </c:manualLayout>
      </c:layout>
      <c:overlay val="0"/>
      <c:txPr>
        <a:bodyPr/>
        <a:lstStyle/>
        <a:p>
          <a:pPr>
            <a:defRPr sz="1000"/>
          </a:pPr>
          <a:endParaRPr lang="lv-LV"/>
        </a:p>
      </c:txPr>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267795051670783"/>
          <c:y val="2.068997081651839E-2"/>
          <c:w val="0.62917037243192986"/>
          <c:h val="0.8876895398631971"/>
        </c:manualLayout>
      </c:layout>
      <c:barChart>
        <c:barDir val="bar"/>
        <c:grouping val="stacked"/>
        <c:varyColors val="0"/>
        <c:ser>
          <c:idx val="1"/>
          <c:order val="0"/>
          <c:tx>
            <c:strRef>
              <c:f>'2020'!$D$1</c:f>
              <c:strCache>
                <c:ptCount val="1"/>
                <c:pt idx="0">
                  <c:v>2022</c:v>
                </c:pt>
              </c:strCache>
            </c:strRef>
          </c:tx>
          <c:spPr>
            <a:solidFill>
              <a:sysClr val="window" lastClr="FFFFFF">
                <a:lumMod val="65000"/>
                <a:alpha val="73000"/>
              </a:sysClr>
            </a:solidFill>
            <a:ln>
              <a:solidFill>
                <a:sysClr val="window" lastClr="FFFFFF">
                  <a:lumMod val="65000"/>
                </a:sysClr>
              </a:solidFill>
            </a:ln>
            <a:effectLst/>
          </c:spPr>
          <c:invertIfNegative val="0"/>
          <c:dPt>
            <c:idx val="7"/>
            <c:invertIfNegative val="0"/>
            <c:bubble3D val="0"/>
            <c:spPr>
              <a:solidFill>
                <a:sysClr val="window" lastClr="FFFFFF">
                  <a:lumMod val="65000"/>
                  <a:alpha val="73000"/>
                </a:sysClr>
              </a:solidFill>
              <a:ln>
                <a:solidFill>
                  <a:sysClr val="window" lastClr="FFFFFF">
                    <a:lumMod val="65000"/>
                  </a:sysClr>
                </a:solidFill>
              </a:ln>
              <a:effectLst/>
            </c:spPr>
            <c:extLst>
              <c:ext xmlns:c16="http://schemas.microsoft.com/office/drawing/2014/chart" uri="{C3380CC4-5D6E-409C-BE32-E72D297353CC}">
                <c16:uniqueId val="{00000001-5C24-4854-B3D2-06245E1282E2}"/>
              </c:ext>
            </c:extLst>
          </c:dPt>
          <c:dPt>
            <c:idx val="8"/>
            <c:invertIfNegative val="0"/>
            <c:bubble3D val="0"/>
            <c:spPr>
              <a:solidFill>
                <a:sysClr val="windowText" lastClr="000000">
                  <a:lumMod val="50000"/>
                  <a:lumOff val="50000"/>
                  <a:alpha val="73000"/>
                </a:sysClr>
              </a:solidFill>
              <a:ln>
                <a:solidFill>
                  <a:sysClr val="window" lastClr="FFFFFF">
                    <a:lumMod val="65000"/>
                  </a:sysClr>
                </a:solidFill>
              </a:ln>
              <a:effectLst/>
            </c:spPr>
            <c:extLst>
              <c:ext xmlns:c16="http://schemas.microsoft.com/office/drawing/2014/chart" uri="{C3380CC4-5D6E-409C-BE32-E72D297353CC}">
                <c16:uniqueId val="{00000003-5C24-4854-B3D2-06245E1282E2}"/>
              </c:ext>
            </c:extLst>
          </c:dPt>
          <c:cat>
            <c:strRef>
              <c:f>'2020'!$C$5:$C$24</c:f>
              <c:strCache>
                <c:ptCount val="20"/>
                <c:pt idx="0">
                  <c:v>Finanšu pak</c:v>
                </c:pt>
                <c:pt idx="1">
                  <c:v>Informācijas pak</c:v>
                </c:pt>
                <c:pt idx="2">
                  <c:v>Enerģētika</c:v>
                </c:pt>
                <c:pt idx="3">
                  <c:v>Profesionālie pak</c:v>
                </c:pt>
                <c:pt idx="4">
                  <c:v>Valsts pārvalde</c:v>
                </c:pt>
                <c:pt idx="5">
                  <c:v>Ieguves rūpniecība</c:v>
                </c:pt>
                <c:pt idx="6">
                  <c:v>Veselība</c:v>
                </c:pt>
                <c:pt idx="7">
                  <c:v>Lauksaimn, mežsaimn</c:v>
                </c:pt>
                <c:pt idx="8">
                  <c:v>PAVISAM</c:v>
                </c:pt>
                <c:pt idx="9">
                  <c:v>Ūdens apgāde</c:v>
                </c:pt>
                <c:pt idx="10">
                  <c:v>Transports</c:v>
                </c:pt>
                <c:pt idx="11">
                  <c:v>Apstrādes rūpniecība</c:v>
                </c:pt>
                <c:pt idx="12">
                  <c:v>Būvniecība</c:v>
                </c:pt>
                <c:pt idx="13">
                  <c:v>Tirdzniecība</c:v>
                </c:pt>
                <c:pt idx="14">
                  <c:v>Administratīvie pak</c:v>
                </c:pt>
                <c:pt idx="15">
                  <c:v>Māksla, izklaide</c:v>
                </c:pt>
                <c:pt idx="16">
                  <c:v>Nekustamais īpašums</c:v>
                </c:pt>
                <c:pt idx="17">
                  <c:v>Izglītība</c:v>
                </c:pt>
                <c:pt idx="18">
                  <c:v>Citi pakalpojumi</c:v>
                </c:pt>
                <c:pt idx="19">
                  <c:v>Izmitināšana, ēdināšana</c:v>
                </c:pt>
              </c:strCache>
            </c:strRef>
          </c:cat>
          <c:val>
            <c:numRef>
              <c:f>'2020'!$D$5:$D$24</c:f>
              <c:numCache>
                <c:formatCode>0</c:formatCode>
                <c:ptCount val="20"/>
                <c:pt idx="0">
                  <c:v>2437</c:v>
                </c:pt>
                <c:pt idx="1">
                  <c:v>2287</c:v>
                </c:pt>
                <c:pt idx="2">
                  <c:v>1678</c:v>
                </c:pt>
                <c:pt idx="3">
                  <c:v>1766</c:v>
                </c:pt>
                <c:pt idx="4">
                  <c:v>1574</c:v>
                </c:pt>
                <c:pt idx="5">
                  <c:v>1490</c:v>
                </c:pt>
                <c:pt idx="6">
                  <c:v>1592</c:v>
                </c:pt>
                <c:pt idx="7">
                  <c:v>1307</c:v>
                </c:pt>
                <c:pt idx="8">
                  <c:v>1373</c:v>
                </c:pt>
                <c:pt idx="9">
                  <c:v>1335</c:v>
                </c:pt>
                <c:pt idx="10">
                  <c:v>1278</c:v>
                </c:pt>
                <c:pt idx="11">
                  <c:v>1309</c:v>
                </c:pt>
                <c:pt idx="12">
                  <c:v>1313</c:v>
                </c:pt>
                <c:pt idx="13">
                  <c:v>1209</c:v>
                </c:pt>
                <c:pt idx="14">
                  <c:v>1228</c:v>
                </c:pt>
                <c:pt idx="15">
                  <c:v>1167</c:v>
                </c:pt>
                <c:pt idx="16">
                  <c:v>1112</c:v>
                </c:pt>
                <c:pt idx="17">
                  <c:v>1086</c:v>
                </c:pt>
                <c:pt idx="18">
                  <c:v>1112</c:v>
                </c:pt>
                <c:pt idx="19">
                  <c:v>889</c:v>
                </c:pt>
              </c:numCache>
            </c:numRef>
          </c:val>
          <c:extLst>
            <c:ext xmlns:c16="http://schemas.microsoft.com/office/drawing/2014/chart" uri="{C3380CC4-5D6E-409C-BE32-E72D297353CC}">
              <c16:uniqueId val="{00000004-5C24-4854-B3D2-06245E1282E2}"/>
            </c:ext>
          </c:extLst>
        </c:ser>
        <c:ser>
          <c:idx val="0"/>
          <c:order val="1"/>
          <c:tx>
            <c:strRef>
              <c:f>'2020'!$E$1</c:f>
              <c:strCache>
                <c:ptCount val="1"/>
                <c:pt idx="0">
                  <c:v>2023</c:v>
                </c:pt>
              </c:strCache>
            </c:strRef>
          </c:tx>
          <c:spPr>
            <a:solidFill>
              <a:schemeClr val="accent1"/>
            </a:solidFill>
            <a:ln>
              <a:solidFill>
                <a:srgbClr val="4F81BD"/>
              </a:solidFill>
            </a:ln>
            <a:effectLst/>
          </c:spPr>
          <c:invertIfNegative val="0"/>
          <c:cat>
            <c:strRef>
              <c:f>'2020'!$C$5:$C$24</c:f>
              <c:strCache>
                <c:ptCount val="20"/>
                <c:pt idx="0">
                  <c:v>Finanšu pak</c:v>
                </c:pt>
                <c:pt idx="1">
                  <c:v>Informācijas pak</c:v>
                </c:pt>
                <c:pt idx="2">
                  <c:v>Enerģētika</c:v>
                </c:pt>
                <c:pt idx="3">
                  <c:v>Profesionālie pak</c:v>
                </c:pt>
                <c:pt idx="4">
                  <c:v>Valsts pārvalde</c:v>
                </c:pt>
                <c:pt idx="5">
                  <c:v>Ieguves rūpniecība</c:v>
                </c:pt>
                <c:pt idx="6">
                  <c:v>Veselība</c:v>
                </c:pt>
                <c:pt idx="7">
                  <c:v>Lauksaimn, mežsaimn</c:v>
                </c:pt>
                <c:pt idx="8">
                  <c:v>PAVISAM</c:v>
                </c:pt>
                <c:pt idx="9">
                  <c:v>Ūdens apgāde</c:v>
                </c:pt>
                <c:pt idx="10">
                  <c:v>Transports</c:v>
                </c:pt>
                <c:pt idx="11">
                  <c:v>Apstrādes rūpniecība</c:v>
                </c:pt>
                <c:pt idx="12">
                  <c:v>Būvniecība</c:v>
                </c:pt>
                <c:pt idx="13">
                  <c:v>Tirdzniecība</c:v>
                </c:pt>
                <c:pt idx="14">
                  <c:v>Administratīvie pak</c:v>
                </c:pt>
                <c:pt idx="15">
                  <c:v>Māksla, izklaide</c:v>
                </c:pt>
                <c:pt idx="16">
                  <c:v>Nekustamais īpašums</c:v>
                </c:pt>
                <c:pt idx="17">
                  <c:v>Izglītība</c:v>
                </c:pt>
                <c:pt idx="18">
                  <c:v>Citi pakalpojumi</c:v>
                </c:pt>
                <c:pt idx="19">
                  <c:v>Izmitināšana, ēdināšana</c:v>
                </c:pt>
              </c:strCache>
            </c:strRef>
          </c:cat>
          <c:val>
            <c:numRef>
              <c:f>'2020'!$E$5:$E$24</c:f>
              <c:numCache>
                <c:formatCode>0</c:formatCode>
                <c:ptCount val="20"/>
                <c:pt idx="0">
                  <c:v>241</c:v>
                </c:pt>
                <c:pt idx="1">
                  <c:v>262</c:v>
                </c:pt>
                <c:pt idx="2">
                  <c:v>294</c:v>
                </c:pt>
                <c:pt idx="3">
                  <c:v>203</c:v>
                </c:pt>
                <c:pt idx="4">
                  <c:v>236</c:v>
                </c:pt>
                <c:pt idx="5">
                  <c:v>213</c:v>
                </c:pt>
                <c:pt idx="6">
                  <c:v>62</c:v>
                </c:pt>
                <c:pt idx="7">
                  <c:v>238</c:v>
                </c:pt>
                <c:pt idx="8">
                  <c:v>164</c:v>
                </c:pt>
                <c:pt idx="9">
                  <c:v>184</c:v>
                </c:pt>
                <c:pt idx="10">
                  <c:v>199</c:v>
                </c:pt>
                <c:pt idx="11">
                  <c:v>151</c:v>
                </c:pt>
                <c:pt idx="12">
                  <c:v>136</c:v>
                </c:pt>
                <c:pt idx="13">
                  <c:v>156</c:v>
                </c:pt>
                <c:pt idx="14">
                  <c:v>82</c:v>
                </c:pt>
                <c:pt idx="15">
                  <c:v>119</c:v>
                </c:pt>
                <c:pt idx="16">
                  <c:v>135</c:v>
                </c:pt>
                <c:pt idx="17">
                  <c:v>161</c:v>
                </c:pt>
                <c:pt idx="18">
                  <c:v>135</c:v>
                </c:pt>
                <c:pt idx="19">
                  <c:v>104</c:v>
                </c:pt>
              </c:numCache>
            </c:numRef>
          </c:val>
          <c:extLst>
            <c:ext xmlns:c16="http://schemas.microsoft.com/office/drawing/2014/chart" uri="{C3380CC4-5D6E-409C-BE32-E72D297353CC}">
              <c16:uniqueId val="{00000005-5C24-4854-B3D2-06245E1282E2}"/>
            </c:ext>
          </c:extLst>
        </c:ser>
        <c:ser>
          <c:idx val="2"/>
          <c:order val="2"/>
          <c:tx>
            <c:strRef>
              <c:f>'2020'!$F$1</c:f>
              <c:strCache>
                <c:ptCount val="1"/>
                <c:pt idx="0">
                  <c:v>Izmaiņas pret 2021.gadu, %, labā ass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'2020'!$C$5:$C$24</c:f>
              <c:strCache>
                <c:ptCount val="20"/>
                <c:pt idx="0">
                  <c:v>Finanšu pak</c:v>
                </c:pt>
                <c:pt idx="1">
                  <c:v>Informācijas pak</c:v>
                </c:pt>
                <c:pt idx="2">
                  <c:v>Enerģētika</c:v>
                </c:pt>
                <c:pt idx="3">
                  <c:v>Profesionālie pak</c:v>
                </c:pt>
                <c:pt idx="4">
                  <c:v>Valsts pārvalde</c:v>
                </c:pt>
                <c:pt idx="5">
                  <c:v>Ieguves rūpniecība</c:v>
                </c:pt>
                <c:pt idx="6">
                  <c:v>Veselība</c:v>
                </c:pt>
                <c:pt idx="7">
                  <c:v>Lauksaimn, mežsaimn</c:v>
                </c:pt>
                <c:pt idx="8">
                  <c:v>PAVISAM</c:v>
                </c:pt>
                <c:pt idx="9">
                  <c:v>Ūdens apgāde</c:v>
                </c:pt>
                <c:pt idx="10">
                  <c:v>Transports</c:v>
                </c:pt>
                <c:pt idx="11">
                  <c:v>Apstrādes rūpniecība</c:v>
                </c:pt>
                <c:pt idx="12">
                  <c:v>Būvniecība</c:v>
                </c:pt>
                <c:pt idx="13">
                  <c:v>Tirdzniecība</c:v>
                </c:pt>
                <c:pt idx="14">
                  <c:v>Administratīvie pak</c:v>
                </c:pt>
                <c:pt idx="15">
                  <c:v>Māksla, izklaide</c:v>
                </c:pt>
                <c:pt idx="16">
                  <c:v>Nekustamais īpašums</c:v>
                </c:pt>
                <c:pt idx="17">
                  <c:v>Izglītība</c:v>
                </c:pt>
                <c:pt idx="18">
                  <c:v>Citi pakalpojumi</c:v>
                </c:pt>
                <c:pt idx="19">
                  <c:v>Izmitināšana, ēdināšana</c:v>
                </c:pt>
              </c:strCache>
            </c:strRef>
          </c:cat>
          <c:val>
            <c:numRef>
              <c:f>'2020'!$F$5:$F$24</c:f>
              <c:numCache>
                <c:formatCode>0.0%</c:formatCode>
                <c:ptCount val="20"/>
                <c:pt idx="0">
                  <c:v>9.9000000000000005E-2</c:v>
                </c:pt>
                <c:pt idx="1">
                  <c:v>0.115</c:v>
                </c:pt>
                <c:pt idx="2">
                  <c:v>0.17499999999999999</c:v>
                </c:pt>
                <c:pt idx="3">
                  <c:v>0.115</c:v>
                </c:pt>
                <c:pt idx="4">
                  <c:v>0.15</c:v>
                </c:pt>
                <c:pt idx="5">
                  <c:v>0.14299999999999999</c:v>
                </c:pt>
                <c:pt idx="6">
                  <c:v>3.9E-2</c:v>
                </c:pt>
                <c:pt idx="7">
                  <c:v>0.182</c:v>
                </c:pt>
                <c:pt idx="8">
                  <c:v>0.11899999999999999</c:v>
                </c:pt>
                <c:pt idx="9">
                  <c:v>0.13800000000000001</c:v>
                </c:pt>
                <c:pt idx="10">
                  <c:v>0.156</c:v>
                </c:pt>
                <c:pt idx="11">
                  <c:v>0.115</c:v>
                </c:pt>
                <c:pt idx="12">
                  <c:v>0.104</c:v>
                </c:pt>
                <c:pt idx="13">
                  <c:v>0.129</c:v>
                </c:pt>
                <c:pt idx="14">
                  <c:v>6.7000000000000004E-2</c:v>
                </c:pt>
                <c:pt idx="15">
                  <c:v>0.10199999999999999</c:v>
                </c:pt>
                <c:pt idx="16">
                  <c:v>0.121</c:v>
                </c:pt>
                <c:pt idx="17">
                  <c:v>0.14799999999999999</c:v>
                </c:pt>
                <c:pt idx="18">
                  <c:v>0.121</c:v>
                </c:pt>
                <c:pt idx="19">
                  <c:v>0.11700000000000001</c:v>
                </c:pt>
              </c:numCache>
            </c:numRef>
          </c:val>
          <c:extLst>
            <c:ext xmlns:c16="http://schemas.microsoft.com/office/drawing/2014/chart" uri="{C3380CC4-5D6E-409C-BE32-E72D297353CC}">
              <c16:uniqueId val="{00000006-5C24-4854-B3D2-06245E1282E2}"/>
            </c:ext>
          </c:extLst>
        </c:ser>
        <c:dLbls>
          <c:showLegendKey val="0"/>
          <c:showVal val="0"/>
          <c:showCatName val="0"/>
          <c:showSerName val="0"/>
          <c:showPercent val="0"/>
          <c:showBubbleSize val="0"/>
        </c:dLbls>
        <c:gapWidth val="50"/>
        <c:overlap val="100"/>
        <c:axId val="395291424"/>
        <c:axId val="395291816"/>
      </c:barChart>
      <c:catAx>
        <c:axId val="3952914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95291816"/>
        <c:crossesAt val="0"/>
        <c:auto val="1"/>
        <c:lblAlgn val="ctr"/>
        <c:lblOffset val="100"/>
        <c:noMultiLvlLbl val="0"/>
      </c:catAx>
      <c:valAx>
        <c:axId val="395291816"/>
        <c:scaling>
          <c:orientation val="minMax"/>
          <c:max val="2700"/>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95291424"/>
        <c:crosses val="autoZero"/>
        <c:crossBetween val="between"/>
        <c:majorUnit val="400"/>
      </c:valAx>
      <c:spPr>
        <a:noFill/>
        <a:ln>
          <a:noFill/>
        </a:ln>
        <a:effectLst/>
      </c:spPr>
    </c:plotArea>
    <c:legend>
      <c:legendPos val="b"/>
      <c:legendEntry>
        <c:idx val="2"/>
        <c:delete val="1"/>
      </c:legendEntry>
      <c:layout>
        <c:manualLayout>
          <c:xMode val="edge"/>
          <c:yMode val="edge"/>
          <c:x val="0.5615862548079068"/>
          <c:y val="0.95807330365451215"/>
          <c:w val="0.37110636288837001"/>
          <c:h val="4.19266963454878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Sheet1!$A$2</c:f>
              <c:strCache>
                <c:ptCount val="1"/>
                <c:pt idx="0">
                  <c:v>Finanšu ministrija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Sheet1!$B$1:$T$1</c:f>
              <c:strCach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strCache>
            </c:strRef>
          </c:cat>
          <c:val>
            <c:numRef>
              <c:f>Sheet1!$B$2:$T$2</c:f>
              <c:numCache>
                <c:formatCode>0.0</c:formatCode>
                <c:ptCount val="19"/>
                <c:pt idx="0">
                  <c:v>-10.140463018543134</c:v>
                </c:pt>
                <c:pt idx="1">
                  <c:v>-8.2207051877971509</c:v>
                </c:pt>
                <c:pt idx="2">
                  <c:v>-2.9910248891248825</c:v>
                </c:pt>
                <c:pt idx="3">
                  <c:v>-2.4581829616038831</c:v>
                </c:pt>
                <c:pt idx="4">
                  <c:v>-2.1965413179163895</c:v>
                </c:pt>
                <c:pt idx="5">
                  <c:v>-0.19054347799896121</c:v>
                </c:pt>
                <c:pt idx="6">
                  <c:v>0.47472173480314073</c:v>
                </c:pt>
                <c:pt idx="7">
                  <c:v>1.7579910998242632</c:v>
                </c:pt>
                <c:pt idx="8">
                  <c:v>3.4882583211236273</c:v>
                </c:pt>
                <c:pt idx="9">
                  <c:v>1.9143672387884392</c:v>
                </c:pt>
                <c:pt idx="10">
                  <c:v>-3.5373060810223511</c:v>
                </c:pt>
                <c:pt idx="11">
                  <c:v>0.86876448235309045</c:v>
                </c:pt>
                <c:pt idx="12">
                  <c:v>2.2443872328163694</c:v>
                </c:pt>
                <c:pt idx="13">
                  <c:v>-0.39087478660391195</c:v>
                </c:pt>
                <c:pt idx="14">
                  <c:v>-1.0656108545183285</c:v>
                </c:pt>
                <c:pt idx="15">
                  <c:v>-0.34288811139513431</c:v>
                </c:pt>
                <c:pt idx="16">
                  <c:v>-4.7628610601158083E-2</c:v>
                </c:pt>
                <c:pt idx="17">
                  <c:v>-1.0748410197769509E-2</c:v>
                </c:pt>
                <c:pt idx="18">
                  <c:v>-9.171310120181797E-3</c:v>
                </c:pt>
              </c:numCache>
            </c:numRef>
          </c:val>
          <c:smooth val="0"/>
          <c:extLst>
            <c:ext xmlns:c16="http://schemas.microsoft.com/office/drawing/2014/chart" uri="{C3380CC4-5D6E-409C-BE32-E72D297353CC}">
              <c16:uniqueId val="{00000000-022E-4B83-9B15-884F5A5D83B1}"/>
            </c:ext>
          </c:extLst>
        </c:ser>
        <c:ser>
          <c:idx val="1"/>
          <c:order val="1"/>
          <c:tx>
            <c:strRef>
              <c:f>Sheet1!$A$3</c:f>
              <c:strCache>
                <c:ptCount val="1"/>
                <c:pt idx="0">
                  <c:v>Eiropas Komisija (2023.g. rudens prognozes)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Sheet1!$B$1:$T$1</c:f>
              <c:strCach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strCache>
            </c:strRef>
          </c:cat>
          <c:val>
            <c:numRef>
              <c:f>Sheet1!$B$3:$T$3</c:f>
              <c:numCache>
                <c:formatCode>0.0</c:formatCode>
                <c:ptCount val="19"/>
                <c:pt idx="0">
                  <c:v>-11.224154717725165</c:v>
                </c:pt>
                <c:pt idx="1">
                  <c:v>-7.9551366891719821</c:v>
                </c:pt>
                <c:pt idx="2">
                  <c:v>-1.536484328336063</c:v>
                </c:pt>
                <c:pt idx="3">
                  <c:v>-0.64178558130363328</c:v>
                </c:pt>
                <c:pt idx="4">
                  <c:v>-0.32312546433358458</c:v>
                </c:pt>
                <c:pt idx="5">
                  <c:v>1.094193049243164</c:v>
                </c:pt>
                <c:pt idx="6">
                  <c:v>1.4617757324972169</c:v>
                </c:pt>
                <c:pt idx="7">
                  <c:v>2.3141938662526451</c:v>
                </c:pt>
                <c:pt idx="8">
                  <c:v>3.6315347191020031</c:v>
                </c:pt>
                <c:pt idx="9">
                  <c:v>1.5200894095313222</c:v>
                </c:pt>
                <c:pt idx="10">
                  <c:v>-3.9256359771399851</c:v>
                </c:pt>
                <c:pt idx="11">
                  <c:v>-0.26538236740905052</c:v>
                </c:pt>
                <c:pt idx="12">
                  <c:v>1.0627560973157646</c:v>
                </c:pt>
                <c:pt idx="13">
                  <c:v>-1.2892396787773097</c:v>
                </c:pt>
                <c:pt idx="14">
                  <c:v>-1.0232303837312329</c:v>
                </c:pt>
                <c:pt idx="15">
                  <c:v>-0.31444901284695126</c:v>
                </c:pt>
                <c:pt idx="16">
                  <c:v>-0.20963267523129714</c:v>
                </c:pt>
                <c:pt idx="17">
                  <c:v>-0.10481633761562081</c:v>
                </c:pt>
                <c:pt idx="18">
                  <c:v>0</c:v>
                </c:pt>
              </c:numCache>
            </c:numRef>
          </c:val>
          <c:smooth val="0"/>
          <c:extLst>
            <c:ext xmlns:c16="http://schemas.microsoft.com/office/drawing/2014/chart" uri="{C3380CC4-5D6E-409C-BE32-E72D297353CC}">
              <c16:uniqueId val="{00000001-022E-4B83-9B15-884F5A5D83B1}"/>
            </c:ext>
          </c:extLst>
        </c:ser>
        <c:dLbls>
          <c:showLegendKey val="0"/>
          <c:showVal val="0"/>
          <c:showCatName val="0"/>
          <c:showSerName val="0"/>
          <c:showPercent val="0"/>
          <c:showBubbleSize val="0"/>
        </c:dLbls>
        <c:marker val="1"/>
        <c:smooth val="0"/>
        <c:axId val="48694320"/>
        <c:axId val="1773084480"/>
      </c:lineChart>
      <c:catAx>
        <c:axId val="48694320"/>
        <c:scaling>
          <c:orientation val="minMax"/>
        </c:scaling>
        <c:delete val="0"/>
        <c:axPos val="b"/>
        <c:numFmt formatCode="General" sourceLinked="1"/>
        <c:majorTickMark val="out"/>
        <c:minorTickMark val="none"/>
        <c:tickLblPos val="low"/>
        <c:spPr>
          <a:noFill/>
          <a:ln w="9525" cap="flat" cmpd="sng" algn="ctr">
            <a:solidFill>
              <a:schemeClr val="tx1"/>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3084480"/>
        <c:crosses val="autoZero"/>
        <c:auto val="1"/>
        <c:lblAlgn val="ctr"/>
        <c:lblOffset val="100"/>
        <c:noMultiLvlLbl val="0"/>
      </c:catAx>
      <c:valAx>
        <c:axId val="1773084480"/>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694320"/>
        <c:crosses val="autoZero"/>
        <c:crossBetween val="between"/>
      </c:valAx>
      <c:spPr>
        <a:noFill/>
        <a:ln>
          <a:noFill/>
        </a:ln>
        <a:effectLst/>
      </c:spPr>
    </c:plotArea>
    <c:legend>
      <c:legendPos val="b"/>
      <c:layout>
        <c:manualLayout>
          <c:xMode val="edge"/>
          <c:yMode val="edge"/>
          <c:x val="8.0347222222222223E-2"/>
          <c:y val="0.86519120857556353"/>
          <c:w val="0.83930555555555553"/>
          <c:h val="8.807981946181961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Reversed" id="21">
  <a:schemeClr val="accent1"/>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0.73569</cdr:x>
      <cdr:y>0.05695</cdr:y>
    </cdr:from>
    <cdr:to>
      <cdr:x>0.73569</cdr:x>
      <cdr:y>0.71159</cdr:y>
    </cdr:to>
    <cdr:cxnSp macro="">
      <cdr:nvCxnSpPr>
        <cdr:cNvPr id="2" name="Straight Connector 1"/>
        <cdr:cNvCxnSpPr/>
      </cdr:nvCxnSpPr>
      <cdr:spPr>
        <a:xfrm xmlns:a="http://schemas.openxmlformats.org/drawingml/2006/main" flipV="1">
          <a:off x="4036306" y="139311"/>
          <a:ext cx="0" cy="160125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cdr:x>
      <cdr:y>0.92204</cdr:y>
    </cdr:from>
    <cdr:to>
      <cdr:x>0.11463</cdr:x>
      <cdr:y>0.99397</cdr:y>
    </cdr:to>
    <cdr:sp macro="" textlink="">
      <cdr:nvSpPr>
        <cdr:cNvPr id="3" name="Text Box 2"/>
        <cdr:cNvSpPr txBox="1"/>
      </cdr:nvSpPr>
      <cdr:spPr>
        <a:xfrm xmlns:a="http://schemas.openxmlformats.org/drawingml/2006/main">
          <a:off x="0" y="2255336"/>
          <a:ext cx="628881" cy="175937"/>
        </a:xfrm>
        <a:prstGeom xmlns:a="http://schemas.openxmlformats.org/drawingml/2006/main" prst="rect">
          <a:avLst/>
        </a:prstGeom>
      </cdr:spPr>
      <cdr:txBody>
        <a:bodyPr xmlns:a="http://schemas.openxmlformats.org/drawingml/2006/main" vertOverflow="clip" wrap="none" lIns="36000" tIns="36000" rIns="36000" bIns="36000" rtlCol="0">
          <a:spAutoFit/>
        </a:bodyPr>
        <a:lstStyle xmlns:a="http://schemas.openxmlformats.org/drawingml/2006/main"/>
        <a:p xmlns:a="http://schemas.openxmlformats.org/drawingml/2006/main">
          <a:r>
            <a:rPr lang="lv-LV" sz="700">
              <a:latin typeface="Times New Roman" panose="02020603050405020304" pitchFamily="18" charset="0"/>
              <a:cs typeface="Times New Roman" panose="02020603050405020304" pitchFamily="18" charset="0"/>
            </a:rPr>
            <a:t>Avots: FM,</a:t>
          </a:r>
          <a:r>
            <a:rPr lang="lv-LV" sz="700" baseline="0">
              <a:latin typeface="Times New Roman" panose="02020603050405020304" pitchFamily="18" charset="0"/>
              <a:cs typeface="Times New Roman" panose="02020603050405020304" pitchFamily="18" charset="0"/>
            </a:rPr>
            <a:t> EK</a:t>
          </a:r>
          <a:endParaRPr lang="lv-LV" sz="70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0.73446</cdr:x>
      <cdr:y>0.05011</cdr:y>
    </cdr:from>
    <cdr:to>
      <cdr:x>0.73446</cdr:x>
      <cdr:y>0.57726</cdr:y>
    </cdr:to>
    <cdr:cxnSp macro="">
      <cdr:nvCxnSpPr>
        <cdr:cNvPr id="4" name="Straight Connector 3"/>
        <cdr:cNvCxnSpPr/>
      </cdr:nvCxnSpPr>
      <cdr:spPr>
        <a:xfrm xmlns:a="http://schemas.openxmlformats.org/drawingml/2006/main" flipV="1">
          <a:off x="4029541" y="94346"/>
          <a:ext cx="0" cy="99250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0.00926</cdr:x>
      <cdr:y>0.90655</cdr:y>
    </cdr:from>
    <cdr:to>
      <cdr:x>0.0939</cdr:x>
      <cdr:y>1</cdr:y>
    </cdr:to>
    <cdr:sp macro="" textlink="">
      <cdr:nvSpPr>
        <cdr:cNvPr id="5" name="Text Box 1"/>
        <cdr:cNvSpPr txBox="1"/>
      </cdr:nvSpPr>
      <cdr:spPr>
        <a:xfrm xmlns:a="http://schemas.openxmlformats.org/drawingml/2006/main">
          <a:off x="50800" y="1706838"/>
          <a:ext cx="464349" cy="175937"/>
        </a:xfrm>
        <a:prstGeom xmlns:a="http://schemas.openxmlformats.org/drawingml/2006/main" prst="rect">
          <a:avLst/>
        </a:prstGeom>
      </cdr:spPr>
      <cdr:txBody>
        <a:bodyPr xmlns:a="http://schemas.openxmlformats.org/drawingml/2006/main" wrap="none" lIns="36000" tIns="36000" rIns="36000" bIns="36000"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700">
              <a:latin typeface="Times New Roman" panose="02020603050405020304" pitchFamily="18" charset="0"/>
              <a:cs typeface="Times New Roman" panose="02020603050405020304" pitchFamily="18" charset="0"/>
            </a:rPr>
            <a:t>Avots: FM</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0.03378</cdr:y>
    </cdr:from>
    <cdr:to>
      <cdr:x>1</cdr:x>
      <cdr:y>0.09108</cdr:y>
    </cdr:to>
    <cdr:sp macro="" textlink="">
      <cdr:nvSpPr>
        <cdr:cNvPr id="2" name="TextBox 1">
          <a:extLst xmlns:a="http://schemas.openxmlformats.org/drawingml/2006/main">
            <a:ext uri="{FF2B5EF4-FFF2-40B4-BE49-F238E27FC236}">
              <a16:creationId xmlns:a16="http://schemas.microsoft.com/office/drawing/2014/main" id="{FB851D0C-561E-EFB8-2ECC-700DD4D95997}"/>
            </a:ext>
          </a:extLst>
        </cdr:cNvPr>
        <cdr:cNvSpPr txBox="1"/>
      </cdr:nvSpPr>
      <cdr:spPr>
        <a:xfrm xmlns:a="http://schemas.openxmlformats.org/drawingml/2006/main">
          <a:off x="0" y="131019"/>
          <a:ext cx="3086805"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TAND2">
    <a:dk1>
      <a:sysClr val="windowText" lastClr="000000"/>
    </a:dk1>
    <a:lt1>
      <a:sysClr val="window" lastClr="FFFFFF"/>
    </a:lt1>
    <a:dk2>
      <a:srgbClr val="44546A"/>
    </a:dk2>
    <a:lt2>
      <a:srgbClr val="E7E6E6"/>
    </a:lt2>
    <a:accent1>
      <a:srgbClr val="2A7B9B"/>
    </a:accent1>
    <a:accent2>
      <a:srgbClr val="FF5733"/>
    </a:accent2>
    <a:accent3>
      <a:srgbClr val="00BAAD"/>
    </a:accent3>
    <a:accent4>
      <a:srgbClr val="C70039"/>
    </a:accent4>
    <a:accent5>
      <a:srgbClr val="3D3D6B"/>
    </a:accent5>
    <a:accent6>
      <a:srgbClr val="EDDD53"/>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TAND2">
    <a:dk1>
      <a:sysClr val="windowText" lastClr="000000"/>
    </a:dk1>
    <a:lt1>
      <a:sysClr val="window" lastClr="FFFFFF"/>
    </a:lt1>
    <a:dk2>
      <a:srgbClr val="44546A"/>
    </a:dk2>
    <a:lt2>
      <a:srgbClr val="E7E6E6"/>
    </a:lt2>
    <a:accent1>
      <a:srgbClr val="2A7B9B"/>
    </a:accent1>
    <a:accent2>
      <a:srgbClr val="FF5733"/>
    </a:accent2>
    <a:accent3>
      <a:srgbClr val="00BAAD"/>
    </a:accent3>
    <a:accent4>
      <a:srgbClr val="C70039"/>
    </a:accent4>
    <a:accent5>
      <a:srgbClr val="3D3D6B"/>
    </a:accent5>
    <a:accent6>
      <a:srgbClr val="EDDD53"/>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38B3E7-0B63-4A44-B5C9-D45240A86DB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834</TotalTime>
  <Pages>76</Pages>
  <Words>133036</Words>
  <Characters>75831</Characters>
  <Application>Microsoft Office Word</Application>
  <DocSecurity>0</DocSecurity>
  <Lines>631</Lines>
  <Paragraphs>416</Paragraphs>
  <ScaleCrop>false</ScaleCrop>
  <HeadingPairs>
    <vt:vector size="2" baseType="variant">
      <vt:variant>
        <vt:lpstr>Title</vt:lpstr>
      </vt:variant>
      <vt:variant>
        <vt:i4>1</vt:i4>
      </vt:variant>
    </vt:vector>
  </HeadingPairs>
  <TitlesOfParts>
    <vt:vector size="1" baseType="lpstr">
      <vt:lpstr>Latvijas Stabilitātes programma 2024. – 2028. gadam</vt:lpstr>
    </vt:vector>
  </TitlesOfParts>
  <Company>Finanšu ministrija</Company>
  <LinksUpToDate>false</LinksUpToDate>
  <CharactersWithSpaces>208451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Stabilitātes programma 2024. – 2028. gadam</dc:title>
  <dc:subject>Rīga</dc:subject>
  <dc:creator>klinta.krauze@fm.gov.lv</dc:creator>
  <cp:keywords/>
  <dc:description>25681938
klinta.krauze@fm.gov.lv</dc:description>
  <cp:lastModifiedBy>Finanšu ministrija</cp:lastModifiedBy>
  <cp:revision>21</cp:revision>
  <cp:lastPrinted>2022-04-11T13:43:00Z</cp:lastPrinted>
  <dcterms:created xsi:type="dcterms:W3CDTF">2024-04-18T19:53:00Z</dcterms:created>
  <dcterms:modified xsi:type="dcterms:W3CDTF">2024-04-25T07:51:00Z</dcterms:modified>
</cp:coreProperties>
</file>