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59087" w14:textId="54D71326" w:rsidR="006D1A96" w:rsidRPr="007A3DC2" w:rsidRDefault="006D1A96" w:rsidP="002D6F1D">
      <w:pPr>
        <w:jc w:val="center"/>
        <w:rPr>
          <w:b/>
        </w:rPr>
      </w:pPr>
      <w:r w:rsidRPr="006D1A96">
        <w:rPr>
          <w:b/>
        </w:rPr>
        <w:t>Informatīvais ziņojums</w:t>
      </w:r>
      <w:r w:rsidR="002D6F1D">
        <w:rPr>
          <w:b/>
        </w:rPr>
        <w:t xml:space="preserve"> </w:t>
      </w:r>
      <w:r w:rsidR="00982C40">
        <w:rPr>
          <w:b/>
        </w:rPr>
        <w:t>“P</w:t>
      </w:r>
      <w:r w:rsidR="0003115F" w:rsidRPr="007A3DC2">
        <w:rPr>
          <w:b/>
        </w:rPr>
        <w:t xml:space="preserve">ar </w:t>
      </w:r>
      <w:r w:rsidR="001349F6" w:rsidRPr="007A3DC2">
        <w:rPr>
          <w:b/>
        </w:rPr>
        <w:t xml:space="preserve">kopējas </w:t>
      </w:r>
      <w:r w:rsidR="0003115F" w:rsidRPr="007A3DC2">
        <w:rPr>
          <w:b/>
        </w:rPr>
        <w:t>statistiski teritoriālo vienību (</w:t>
      </w:r>
      <w:r w:rsidR="0003115F" w:rsidRPr="007A3DC2">
        <w:rPr>
          <w:b/>
          <w:i/>
          <w:iCs/>
        </w:rPr>
        <w:t>NUTS</w:t>
      </w:r>
      <w:r w:rsidR="0003115F" w:rsidRPr="007A3DC2">
        <w:rPr>
          <w:b/>
        </w:rPr>
        <w:t>) klasifikācijas pilnveidošanu</w:t>
      </w:r>
      <w:r w:rsidR="00982C40">
        <w:rPr>
          <w:b/>
        </w:rPr>
        <w:t>”</w:t>
      </w:r>
    </w:p>
    <w:p w14:paraId="74C05250" w14:textId="77777777" w:rsidR="007A3DC2" w:rsidRDefault="007A3DC2" w:rsidP="00D540BC">
      <w:pPr>
        <w:ind w:firstLine="720"/>
      </w:pPr>
    </w:p>
    <w:p w14:paraId="39E524D5" w14:textId="64611849" w:rsidR="00810C5B" w:rsidRDefault="0019366A" w:rsidP="00D540BC">
      <w:pPr>
        <w:ind w:firstLine="720"/>
        <w:rPr>
          <w:iCs/>
        </w:rPr>
      </w:pPr>
      <w:r w:rsidRPr="002F70D4">
        <w:t>Informatīvais ziņojums par kopēj</w:t>
      </w:r>
      <w:r w:rsidR="009E18C2">
        <w:t>as</w:t>
      </w:r>
      <w:r w:rsidRPr="002F70D4">
        <w:t xml:space="preserve"> statistiski teritoriālo vienību (</w:t>
      </w:r>
      <w:r w:rsidR="00AE600A">
        <w:t xml:space="preserve">turpmāk – </w:t>
      </w:r>
      <w:r w:rsidRPr="00861677">
        <w:rPr>
          <w:i/>
          <w:iCs/>
        </w:rPr>
        <w:t>NUTS</w:t>
      </w:r>
      <w:r w:rsidRPr="002F70D4">
        <w:t xml:space="preserve">) klasifikācijas pilnveidošanu (turpmāk – Informatīvais ziņojums) ir sagatavots, </w:t>
      </w:r>
      <w:r w:rsidR="002F70D4">
        <w:t>pamatojoties uz</w:t>
      </w:r>
      <w:r w:rsidRPr="002F70D4">
        <w:t xml:space="preserve"> </w:t>
      </w:r>
      <w:r w:rsidR="00810C5B" w:rsidRPr="002F70D4">
        <w:t xml:space="preserve">Ministru kabineta 2023. gada 5. decembra sēdes </w:t>
      </w:r>
      <w:r w:rsidR="00810C5B" w:rsidRPr="002F70D4">
        <w:rPr>
          <w:iCs/>
        </w:rPr>
        <w:t>protokola Nr.</w:t>
      </w:r>
      <w:r w:rsidR="006D032F" w:rsidRPr="002F70D4">
        <w:rPr>
          <w:iCs/>
        </w:rPr>
        <w:t> </w:t>
      </w:r>
      <w:r w:rsidR="00810C5B" w:rsidRPr="002F70D4">
        <w:rPr>
          <w:iCs/>
        </w:rPr>
        <w:t>60 82.</w:t>
      </w:r>
      <w:r w:rsidR="006D032F" w:rsidRPr="002F70D4">
        <w:rPr>
          <w:iCs/>
        </w:rPr>
        <w:t> </w:t>
      </w:r>
      <w:r w:rsidR="00810C5B" w:rsidRPr="002F70D4">
        <w:rPr>
          <w:iCs/>
        </w:rPr>
        <w:t>§ 4.</w:t>
      </w:r>
      <w:r w:rsidR="0001333A" w:rsidRPr="002F70D4">
        <w:rPr>
          <w:iCs/>
        </w:rPr>
        <w:t> punktu</w:t>
      </w:r>
      <w:r w:rsidR="00D540BC">
        <w:rPr>
          <w:rStyle w:val="FootnoteReference"/>
          <w:iCs/>
        </w:rPr>
        <w:footnoteReference w:id="2"/>
      </w:r>
      <w:r w:rsidR="002F70D4" w:rsidRPr="002F70D4">
        <w:rPr>
          <w:iCs/>
        </w:rPr>
        <w:t xml:space="preserve"> un 2024.</w:t>
      </w:r>
      <w:r w:rsidR="00C1665E">
        <w:rPr>
          <w:iCs/>
        </w:rPr>
        <w:t> </w:t>
      </w:r>
      <w:r w:rsidR="002F70D4" w:rsidRPr="002F70D4">
        <w:rPr>
          <w:iCs/>
        </w:rPr>
        <w:t>gada 20.</w:t>
      </w:r>
      <w:r w:rsidR="00C1665E">
        <w:rPr>
          <w:iCs/>
        </w:rPr>
        <w:t> </w:t>
      </w:r>
      <w:r w:rsidR="002F70D4" w:rsidRPr="002F70D4">
        <w:rPr>
          <w:iCs/>
        </w:rPr>
        <w:t xml:space="preserve">janvārī apstiprinātā Valdības rīcības plāna Deklarācijas par </w:t>
      </w:r>
      <w:proofErr w:type="spellStart"/>
      <w:r w:rsidR="002F70D4" w:rsidRPr="002F70D4">
        <w:rPr>
          <w:iCs/>
        </w:rPr>
        <w:t>Evikas</w:t>
      </w:r>
      <w:proofErr w:type="spellEnd"/>
      <w:r w:rsidR="002F70D4" w:rsidRPr="002F70D4">
        <w:rPr>
          <w:iCs/>
        </w:rPr>
        <w:t xml:space="preserve"> Siliņas vadītā Ministru kabineta iecerēto darbību īstenošanu </w:t>
      </w:r>
      <w:r w:rsidR="00586A77">
        <w:rPr>
          <w:iCs/>
        </w:rPr>
        <w:t xml:space="preserve">(turpmāk </w:t>
      </w:r>
      <w:r w:rsidR="00395DAE">
        <w:rPr>
          <w:iCs/>
        </w:rPr>
        <w:t>–</w:t>
      </w:r>
      <w:r w:rsidR="00586A77">
        <w:rPr>
          <w:iCs/>
        </w:rPr>
        <w:t xml:space="preserve"> V</w:t>
      </w:r>
      <w:r w:rsidR="00395DAE">
        <w:rPr>
          <w:iCs/>
        </w:rPr>
        <w:t xml:space="preserve">aldības rīcības plāns) </w:t>
      </w:r>
      <w:r w:rsidR="00273296" w:rsidRPr="002F70D4">
        <w:rPr>
          <w:iCs/>
        </w:rPr>
        <w:t>27.7.</w:t>
      </w:r>
      <w:r w:rsidR="00273296">
        <w:rPr>
          <w:iCs/>
        </w:rPr>
        <w:t> </w:t>
      </w:r>
      <w:r w:rsidR="00273296" w:rsidRPr="002F70D4">
        <w:rPr>
          <w:iCs/>
        </w:rPr>
        <w:t>pasākumu</w:t>
      </w:r>
      <w:r w:rsidR="001618A0">
        <w:rPr>
          <w:iCs/>
        </w:rPr>
        <w:t xml:space="preserve"> </w:t>
      </w:r>
      <w:r w:rsidR="003024AF">
        <w:rPr>
          <w:iCs/>
        </w:rPr>
        <w:t xml:space="preserve">– </w:t>
      </w:r>
      <w:r w:rsidR="002F70D4" w:rsidRPr="002F70D4">
        <w:rPr>
          <w:iCs/>
        </w:rPr>
        <w:t>“</w:t>
      </w:r>
      <w:r w:rsidR="002F70D4" w:rsidRPr="009E18C2">
        <w:rPr>
          <w:i/>
        </w:rPr>
        <w:t>Izvērtēts ekonomiski pamatotākais Valsts teritorijas iedalījums, kas kalpotu sociālekonomiskai analīzei un turpmāko intervences pasākumus izstrādei ES kohēzijas politikas ietvaros un sekmētu labvēlīgāku atbalstu reģionālai attīstībai un Latvijas izaugsmei</w:t>
      </w:r>
      <w:r w:rsidR="002F70D4" w:rsidRPr="002F70D4">
        <w:rPr>
          <w:iCs/>
        </w:rPr>
        <w:t>”</w:t>
      </w:r>
      <w:r w:rsidR="00273296">
        <w:rPr>
          <w:rStyle w:val="FootnoteReference"/>
          <w:iCs/>
        </w:rPr>
        <w:footnoteReference w:id="3"/>
      </w:r>
      <w:r w:rsidR="002F70D4">
        <w:rPr>
          <w:iCs/>
        </w:rPr>
        <w:t>.</w:t>
      </w:r>
    </w:p>
    <w:p w14:paraId="1AB47855" w14:textId="77777777" w:rsidR="0001133D" w:rsidRDefault="0001133D" w:rsidP="00114778">
      <w:pPr>
        <w:rPr>
          <w:iCs/>
        </w:rPr>
      </w:pPr>
    </w:p>
    <w:p w14:paraId="1EB2820E" w14:textId="3CC15471" w:rsidR="006D1A96" w:rsidRDefault="007403B6" w:rsidP="0001133D">
      <w:pPr>
        <w:pStyle w:val="Heading1"/>
        <w:rPr>
          <w:rFonts w:hint="eastAsia"/>
        </w:rPr>
      </w:pPr>
      <w:bookmarkStart w:id="0" w:name="_Toc166844068"/>
      <w:r>
        <w:t>E</w:t>
      </w:r>
      <w:r w:rsidR="00AC257D">
        <w:t>sošā situācija</w:t>
      </w:r>
      <w:r w:rsidR="0003415B">
        <w:t xml:space="preserve"> un </w:t>
      </w:r>
      <w:r w:rsidR="0003415B">
        <w:rPr>
          <w:i/>
          <w:iCs/>
        </w:rPr>
        <w:t>NUTS</w:t>
      </w:r>
      <w:r w:rsidR="00F74CE5">
        <w:rPr>
          <w:i/>
          <w:iCs/>
        </w:rPr>
        <w:t xml:space="preserve"> </w:t>
      </w:r>
      <w:r w:rsidR="00F74CE5">
        <w:t>dalījums Latvijā</w:t>
      </w:r>
      <w:bookmarkEnd w:id="0"/>
    </w:p>
    <w:p w14:paraId="19127897" w14:textId="583DFCF5" w:rsidR="00073D42" w:rsidRDefault="004F0613" w:rsidP="0084221F">
      <w:pPr>
        <w:ind w:firstLine="720"/>
      </w:pPr>
      <w:r w:rsidRPr="00AA350D">
        <w:t xml:space="preserve">Reģionālā statistika ir </w:t>
      </w:r>
      <w:r w:rsidR="009E6161">
        <w:t xml:space="preserve">Eiropas Savienības (turpmāk – </w:t>
      </w:r>
      <w:r w:rsidRPr="00AA350D">
        <w:t>ES</w:t>
      </w:r>
      <w:r w:rsidR="009E6161">
        <w:t>)</w:t>
      </w:r>
      <w:r w:rsidRPr="00AA350D">
        <w:t xml:space="preserve"> statistikas sistēmas pamats, kā arī pamats reģionālo indikatoru noteikšanai. Tās struktūra tika izveidota 20. gs. 70. gadu sākumā, pamatojoties uz sarunām starp dalībvalstu nacionālajām statistikas iestādēm un </w:t>
      </w:r>
      <w:proofErr w:type="spellStart"/>
      <w:r w:rsidRPr="00AA350D">
        <w:rPr>
          <w:i/>
          <w:iCs/>
        </w:rPr>
        <w:t>Eurostat</w:t>
      </w:r>
      <w:proofErr w:type="spellEnd"/>
      <w:r w:rsidRPr="00AA350D">
        <w:t xml:space="preserve"> jeb ES Statistikas biroju. Statistikas lietotāji norādīj</w:t>
      </w:r>
      <w:r w:rsidR="002108A2">
        <w:t>a</w:t>
      </w:r>
      <w:r w:rsidRPr="00AA350D">
        <w:t xml:space="preserve">, ka aizvien aktuālāka kļūst vajadzība datus saskaņot ES līmenī, lai būtu pieejami visā ES salīdzināmi dati. Lai veicinātu saskaņotas reģionālās statistikas vākšanu, nosūtīšanu un publicēšanu, ES ir izveidojusi </w:t>
      </w:r>
      <w:r w:rsidRPr="00AA350D">
        <w:rPr>
          <w:i/>
          <w:iCs/>
        </w:rPr>
        <w:t>NUTS</w:t>
      </w:r>
      <w:r w:rsidRPr="00AA350D">
        <w:t xml:space="preserve"> jeb klasificēšanas sistēmu</w:t>
      </w:r>
      <w:r w:rsidR="00F268D6">
        <w:t xml:space="preserve">, kas noteikta </w:t>
      </w:r>
      <w:r w:rsidR="00073D42">
        <w:t xml:space="preserve">ar </w:t>
      </w:r>
      <w:r w:rsidR="0065760E" w:rsidRPr="0065760E">
        <w:t xml:space="preserve">Eiropas Parlamenta un Padomes 2003. gada 26. maija </w:t>
      </w:r>
      <w:r w:rsidR="00C1665E">
        <w:t>r</w:t>
      </w:r>
      <w:r w:rsidR="0065760E" w:rsidRPr="0065760E">
        <w:t>egul</w:t>
      </w:r>
      <w:r w:rsidR="00C1665E">
        <w:t>u</w:t>
      </w:r>
      <w:r w:rsidR="0065760E" w:rsidRPr="0065760E">
        <w:t xml:space="preserve"> (EK) Nr. </w:t>
      </w:r>
      <w:hyperlink r:id="rId11" w:tgtFrame="_blank">
        <w:r w:rsidR="0065760E" w:rsidRPr="0065760E">
          <w:rPr>
            <w:rStyle w:val="Hyperlink"/>
          </w:rPr>
          <w:t>1059/2003</w:t>
        </w:r>
      </w:hyperlink>
      <w:r w:rsidR="0065760E" w:rsidRPr="0065760E">
        <w:t xml:space="preserve"> par kopējas statistiski teritoriālo vienību klasifikācijas (</w:t>
      </w:r>
      <w:r w:rsidR="0065760E" w:rsidRPr="0065760E">
        <w:rPr>
          <w:i/>
          <w:iCs/>
        </w:rPr>
        <w:t>NUTS</w:t>
      </w:r>
      <w:r w:rsidR="0065760E" w:rsidRPr="0065760E">
        <w:t>) izveidi</w:t>
      </w:r>
      <w:r w:rsidR="00B84E78">
        <w:t xml:space="preserve"> </w:t>
      </w:r>
      <w:r w:rsidR="00B84E78" w:rsidRPr="009351C4">
        <w:t xml:space="preserve">(turpmāk – </w:t>
      </w:r>
      <w:r w:rsidR="00B84E78">
        <w:t>R</w:t>
      </w:r>
      <w:r w:rsidR="00B84E78" w:rsidRPr="009351C4">
        <w:t>egula Nr.</w:t>
      </w:r>
      <w:r w:rsidR="00B84E78">
        <w:t> </w:t>
      </w:r>
      <w:r w:rsidR="00B84E78" w:rsidRPr="009351C4">
        <w:t>1059/2003)</w:t>
      </w:r>
      <w:r w:rsidR="00073D42">
        <w:t>.</w:t>
      </w:r>
    </w:p>
    <w:p w14:paraId="71DBAF12" w14:textId="0E99320E" w:rsidR="004F0613" w:rsidRDefault="004F0613" w:rsidP="00E27FE7">
      <w:pPr>
        <w:ind w:firstLine="720"/>
        <w:rPr>
          <w:lang w:eastAsia="lv-LV"/>
        </w:rPr>
      </w:pPr>
      <w:r w:rsidRPr="00AA350D">
        <w:rPr>
          <w:rFonts w:eastAsia="Times New Roman"/>
          <w:i/>
          <w:iCs/>
          <w:lang w:eastAsia="lv-LV"/>
        </w:rPr>
        <w:t>NUTS</w:t>
      </w:r>
      <w:r w:rsidRPr="00AA350D">
        <w:rPr>
          <w:rFonts w:eastAsia="Times New Roman"/>
          <w:lang w:eastAsia="lv-LV"/>
        </w:rPr>
        <w:t xml:space="preserve"> klasifikācija nosaka dalībvalstu ekonomiskās teritorijas iedalījumu, kas ietver arī to </w:t>
      </w:r>
      <w:proofErr w:type="spellStart"/>
      <w:r w:rsidRPr="00AA350D">
        <w:rPr>
          <w:rFonts w:eastAsia="Times New Roman"/>
          <w:lang w:eastAsia="lv-LV"/>
        </w:rPr>
        <w:t>ārpusreģionālo</w:t>
      </w:r>
      <w:proofErr w:type="spellEnd"/>
      <w:r w:rsidRPr="00AA350D">
        <w:rPr>
          <w:rStyle w:val="FootnoteAnchor"/>
          <w:rFonts w:eastAsia="Times New Roman" w:cs="Times New Roman"/>
          <w:lang w:eastAsia="lv-LV"/>
        </w:rPr>
        <w:footnoteReference w:id="4"/>
      </w:r>
      <w:r w:rsidRPr="00AA350D">
        <w:rPr>
          <w:rFonts w:eastAsia="Times New Roman"/>
          <w:lang w:eastAsia="lv-LV"/>
        </w:rPr>
        <w:t xml:space="preserve"> teritoriju.</w:t>
      </w:r>
      <w:r w:rsidRPr="00AA350D">
        <w:t xml:space="preserve"> </w:t>
      </w:r>
      <w:r w:rsidR="00E27FE7" w:rsidRPr="00AA350D">
        <w:rPr>
          <w:rFonts w:eastAsia="Times New Roman"/>
          <w:i/>
          <w:iCs/>
          <w:lang w:eastAsia="lv-LV"/>
        </w:rPr>
        <w:t>NUTS</w:t>
      </w:r>
      <w:r w:rsidR="00E27FE7" w:rsidRPr="00AA350D">
        <w:rPr>
          <w:rFonts w:eastAsia="Times New Roman"/>
          <w:lang w:eastAsia="lv-LV"/>
        </w:rPr>
        <w:t xml:space="preserve"> klasifikācija ir hierarhiska</w:t>
      </w:r>
      <w:r w:rsidR="00E27FE7">
        <w:rPr>
          <w:rStyle w:val="FootnoteReference"/>
          <w:rFonts w:eastAsia="Times New Roman"/>
          <w:lang w:eastAsia="lv-LV"/>
        </w:rPr>
        <w:footnoteReference w:id="5"/>
      </w:r>
      <w:r w:rsidR="00E27FE7">
        <w:rPr>
          <w:rFonts w:eastAsia="Times New Roman"/>
          <w:lang w:eastAsia="lv-LV"/>
        </w:rPr>
        <w:t xml:space="preserve"> –</w:t>
      </w:r>
      <w:r w:rsidR="00E27FE7" w:rsidRPr="00AA350D">
        <w:rPr>
          <w:rFonts w:eastAsia="Times New Roman"/>
          <w:lang w:eastAsia="lv-LV"/>
        </w:rPr>
        <w:t xml:space="preserve"> tā katru dalībvalsti iedala trijos līmeņos</w:t>
      </w:r>
      <w:r w:rsidR="00E27FE7">
        <w:rPr>
          <w:rFonts w:eastAsia="Times New Roman"/>
          <w:lang w:eastAsia="lv-LV"/>
        </w:rPr>
        <w:t xml:space="preserve">: </w:t>
      </w:r>
      <w:r w:rsidR="00E27FE7" w:rsidRPr="00AA350D">
        <w:rPr>
          <w:rFonts w:eastAsia="Times New Roman"/>
          <w:i/>
          <w:iCs/>
          <w:lang w:eastAsia="lv-LV"/>
        </w:rPr>
        <w:t>NUTS</w:t>
      </w:r>
      <w:r w:rsidR="00E27FE7" w:rsidRPr="00AA350D">
        <w:rPr>
          <w:rFonts w:eastAsia="Times New Roman"/>
          <w:lang w:eastAsia="lv-LV"/>
        </w:rPr>
        <w:t xml:space="preserve"> 1, </w:t>
      </w:r>
      <w:r w:rsidR="00E27FE7" w:rsidRPr="00AA350D">
        <w:rPr>
          <w:rFonts w:eastAsia="Times New Roman"/>
          <w:i/>
          <w:iCs/>
          <w:lang w:eastAsia="lv-LV"/>
        </w:rPr>
        <w:t>NUTS</w:t>
      </w:r>
      <w:r w:rsidR="00E27FE7" w:rsidRPr="00AA350D">
        <w:rPr>
          <w:rFonts w:eastAsia="Times New Roman"/>
          <w:lang w:eastAsia="lv-LV"/>
        </w:rPr>
        <w:t xml:space="preserve"> 2 un </w:t>
      </w:r>
      <w:r w:rsidR="00E27FE7" w:rsidRPr="00AA350D">
        <w:rPr>
          <w:rFonts w:eastAsia="Times New Roman"/>
          <w:i/>
          <w:iCs/>
          <w:lang w:eastAsia="lv-LV"/>
        </w:rPr>
        <w:t>NUTS</w:t>
      </w:r>
      <w:r w:rsidR="00E27FE7" w:rsidRPr="00AA350D">
        <w:rPr>
          <w:rFonts w:eastAsia="Times New Roman"/>
          <w:lang w:eastAsia="lv-LV"/>
        </w:rPr>
        <w:t xml:space="preserve"> 3. </w:t>
      </w:r>
      <w:r w:rsidRPr="00AA350D">
        <w:rPr>
          <w:rFonts w:eastAsia="Times New Roman"/>
          <w:lang w:eastAsia="lv-LV"/>
        </w:rPr>
        <w:t>Otrais un trešais līmenis attiecīgi ir pirmā un otrā līmeņa apakšvienības. Teritoriālo vienību definīcija ir balstīta uz administratīvi teritoriālajām vienībām, kādas pastāv dalībvalstīs</w:t>
      </w:r>
      <w:r>
        <w:rPr>
          <w:rFonts w:eastAsia="Times New Roman"/>
          <w:lang w:eastAsia="lv-LV"/>
        </w:rPr>
        <w:t>.</w:t>
      </w:r>
      <w:r w:rsidR="0084221F">
        <w:rPr>
          <w:rFonts w:eastAsia="Times New Roman"/>
          <w:lang w:eastAsia="lv-LV"/>
        </w:rPr>
        <w:t xml:space="preserve"> </w:t>
      </w:r>
      <w:r w:rsidRPr="00AA350D">
        <w:rPr>
          <w:lang w:eastAsia="lv-LV"/>
        </w:rPr>
        <w:t xml:space="preserve">Lai reģionālo statistiku varētu salīdzināt, arī ģeogrāfiskajām zonām ir jābūt salīdzināmām pēc iedzīvotāju skaita. Jāņem vērā arī pašreizējā politiskā, administratīvā un institucionālā situācija. To, kurā </w:t>
      </w:r>
      <w:r w:rsidRPr="00AA350D">
        <w:rPr>
          <w:i/>
          <w:iCs/>
          <w:lang w:eastAsia="lv-LV"/>
        </w:rPr>
        <w:t>NUTS</w:t>
      </w:r>
      <w:r w:rsidRPr="00AA350D">
        <w:rPr>
          <w:lang w:eastAsia="lv-LV"/>
        </w:rPr>
        <w:t xml:space="preserve"> līmenī attiecīgā administratīvā vienība ietilpst, nosaka, pamatojoties uz demogrāfiskajām robežvērtībām (iedzīvotāju skaitu) (</w:t>
      </w:r>
      <w:r>
        <w:rPr>
          <w:lang w:eastAsia="lv-LV"/>
        </w:rPr>
        <w:t>sk</w:t>
      </w:r>
      <w:r w:rsidRPr="00AA350D">
        <w:rPr>
          <w:lang w:eastAsia="lv-LV"/>
        </w:rPr>
        <w:t>. tabulu Nr. 1).</w:t>
      </w:r>
    </w:p>
    <w:p w14:paraId="074DFA43" w14:textId="77777777" w:rsidR="00D60739" w:rsidRPr="00E27FE7" w:rsidRDefault="00D60739" w:rsidP="00E27FE7">
      <w:pPr>
        <w:ind w:firstLine="720"/>
      </w:pPr>
    </w:p>
    <w:p w14:paraId="13D82E38" w14:textId="77777777" w:rsidR="004F0613" w:rsidRPr="00AA350D" w:rsidRDefault="004F0613" w:rsidP="00D60739">
      <w:pPr>
        <w:spacing w:after="120"/>
        <w:jc w:val="right"/>
        <w:rPr>
          <w:i/>
        </w:rPr>
      </w:pPr>
      <w:r w:rsidRPr="00AA350D">
        <w:rPr>
          <w:i/>
        </w:rPr>
        <w:t>Tabula Nr. 1. NUTS līmeņi un to demogrāfiskās robežvērtības.</w:t>
      </w:r>
    </w:p>
    <w:tbl>
      <w:tblPr>
        <w:tblW w:w="6799" w:type="dxa"/>
        <w:jc w:val="center"/>
        <w:tblCellMar>
          <w:top w:w="15" w:type="dxa"/>
          <w:left w:w="15" w:type="dxa"/>
          <w:bottom w:w="15" w:type="dxa"/>
          <w:right w:w="15" w:type="dxa"/>
        </w:tblCellMar>
        <w:tblLook w:val="04A0" w:firstRow="1" w:lastRow="0" w:firstColumn="1" w:lastColumn="0" w:noHBand="0" w:noVBand="1"/>
      </w:tblPr>
      <w:tblGrid>
        <w:gridCol w:w="1696"/>
        <w:gridCol w:w="2409"/>
        <w:gridCol w:w="2694"/>
      </w:tblGrid>
      <w:tr w:rsidR="004F0613" w:rsidRPr="00AA350D" w14:paraId="20B8D728" w14:textId="77777777">
        <w:trPr>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6771C460" w14:textId="77777777" w:rsidR="004F0613" w:rsidRPr="00AA350D" w:rsidRDefault="004F0613">
            <w:pPr>
              <w:jc w:val="center"/>
              <w:rPr>
                <w:rFonts w:eastAsia="Times New Roman" w:cs="Times New Roman"/>
                <w:b/>
                <w:bCs/>
                <w:szCs w:val="24"/>
                <w:lang w:eastAsia="lv-LV"/>
              </w:rPr>
            </w:pPr>
            <w:r w:rsidRPr="00AA350D">
              <w:rPr>
                <w:rFonts w:eastAsia="Times New Roman" w:cs="Times New Roman"/>
                <w:b/>
                <w:bCs/>
                <w:szCs w:val="24"/>
                <w:lang w:eastAsia="lv-LV"/>
              </w:rPr>
              <w:t>Līmenis</w:t>
            </w:r>
          </w:p>
        </w:tc>
        <w:tc>
          <w:tcPr>
            <w:tcW w:w="2409" w:type="dxa"/>
            <w:tcBorders>
              <w:top w:val="single" w:sz="4" w:space="0" w:color="000000"/>
              <w:left w:val="single" w:sz="4" w:space="0" w:color="000000"/>
              <w:bottom w:val="single" w:sz="4" w:space="0" w:color="000000"/>
              <w:right w:val="single" w:sz="4" w:space="0" w:color="000000"/>
            </w:tcBorders>
            <w:vAlign w:val="center"/>
          </w:tcPr>
          <w:p w14:paraId="12879342" w14:textId="77777777" w:rsidR="004F0613" w:rsidRPr="00AA350D" w:rsidRDefault="004F0613">
            <w:pPr>
              <w:jc w:val="center"/>
              <w:rPr>
                <w:rFonts w:eastAsia="Times New Roman" w:cs="Times New Roman"/>
                <w:b/>
                <w:bCs/>
                <w:szCs w:val="24"/>
                <w:lang w:eastAsia="lv-LV"/>
              </w:rPr>
            </w:pPr>
            <w:r w:rsidRPr="00AA350D">
              <w:rPr>
                <w:rFonts w:eastAsia="Times New Roman" w:cs="Times New Roman"/>
                <w:b/>
                <w:bCs/>
                <w:szCs w:val="24"/>
                <w:lang w:eastAsia="lv-LV"/>
              </w:rPr>
              <w:t>Minimālā vērtība (iedzīvotāju skaits)</w:t>
            </w:r>
          </w:p>
        </w:tc>
        <w:tc>
          <w:tcPr>
            <w:tcW w:w="2694" w:type="dxa"/>
            <w:tcBorders>
              <w:top w:val="single" w:sz="4" w:space="0" w:color="000000"/>
              <w:left w:val="single" w:sz="4" w:space="0" w:color="000000"/>
              <w:bottom w:val="single" w:sz="4" w:space="0" w:color="000000"/>
              <w:right w:val="single" w:sz="4" w:space="0" w:color="000000"/>
            </w:tcBorders>
            <w:vAlign w:val="center"/>
          </w:tcPr>
          <w:p w14:paraId="76291288" w14:textId="77777777" w:rsidR="004F0613" w:rsidRPr="00AA350D" w:rsidRDefault="004F0613">
            <w:pPr>
              <w:jc w:val="center"/>
              <w:rPr>
                <w:rFonts w:eastAsia="Times New Roman" w:cs="Times New Roman"/>
                <w:b/>
                <w:bCs/>
                <w:szCs w:val="24"/>
                <w:lang w:eastAsia="lv-LV"/>
              </w:rPr>
            </w:pPr>
            <w:r w:rsidRPr="00AA350D">
              <w:rPr>
                <w:rFonts w:eastAsia="Times New Roman" w:cs="Times New Roman"/>
                <w:b/>
                <w:bCs/>
                <w:szCs w:val="24"/>
                <w:lang w:eastAsia="lv-LV"/>
              </w:rPr>
              <w:t>Maksimālā vērtība (iedzīvotāju skaits)</w:t>
            </w:r>
          </w:p>
        </w:tc>
      </w:tr>
      <w:tr w:rsidR="004F0613" w:rsidRPr="00AA350D" w14:paraId="14B12179" w14:textId="77777777">
        <w:trPr>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6E22D4CC" w14:textId="77777777" w:rsidR="004F0613" w:rsidRPr="00AA350D" w:rsidRDefault="004F0613">
            <w:pPr>
              <w:jc w:val="center"/>
              <w:rPr>
                <w:rFonts w:eastAsia="Times New Roman" w:cs="Times New Roman"/>
                <w:b/>
                <w:bCs/>
                <w:szCs w:val="24"/>
                <w:lang w:eastAsia="lv-LV"/>
              </w:rPr>
            </w:pPr>
            <w:r w:rsidRPr="00AA350D">
              <w:rPr>
                <w:rFonts w:eastAsia="Times New Roman" w:cs="Times New Roman"/>
                <w:b/>
                <w:bCs/>
                <w:i/>
                <w:iCs/>
                <w:szCs w:val="24"/>
                <w:lang w:eastAsia="lv-LV"/>
              </w:rPr>
              <w:t>NUTS</w:t>
            </w:r>
            <w:r w:rsidRPr="00AA350D">
              <w:rPr>
                <w:rFonts w:eastAsia="Times New Roman" w:cs="Times New Roman"/>
                <w:b/>
                <w:bCs/>
                <w:szCs w:val="24"/>
                <w:lang w:eastAsia="lv-LV"/>
              </w:rPr>
              <w:t xml:space="preserve"> 1 </w:t>
            </w:r>
          </w:p>
        </w:tc>
        <w:tc>
          <w:tcPr>
            <w:tcW w:w="2409" w:type="dxa"/>
            <w:tcBorders>
              <w:top w:val="single" w:sz="4" w:space="0" w:color="000000"/>
              <w:left w:val="single" w:sz="4" w:space="0" w:color="000000"/>
              <w:bottom w:val="single" w:sz="4" w:space="0" w:color="000000"/>
              <w:right w:val="single" w:sz="4" w:space="0" w:color="000000"/>
            </w:tcBorders>
            <w:vAlign w:val="center"/>
          </w:tcPr>
          <w:p w14:paraId="494A89F3" w14:textId="77777777" w:rsidR="004F0613" w:rsidRPr="00AA350D" w:rsidRDefault="004F0613">
            <w:pPr>
              <w:jc w:val="center"/>
              <w:rPr>
                <w:rFonts w:eastAsia="Times New Roman" w:cs="Times New Roman"/>
                <w:szCs w:val="24"/>
                <w:lang w:eastAsia="lv-LV"/>
              </w:rPr>
            </w:pPr>
            <w:r w:rsidRPr="00AA350D">
              <w:rPr>
                <w:rFonts w:eastAsia="Times New Roman" w:cs="Times New Roman"/>
                <w:szCs w:val="24"/>
                <w:lang w:eastAsia="lv-LV"/>
              </w:rPr>
              <w:t>3 000 000</w:t>
            </w:r>
          </w:p>
        </w:tc>
        <w:tc>
          <w:tcPr>
            <w:tcW w:w="2694" w:type="dxa"/>
            <w:tcBorders>
              <w:top w:val="single" w:sz="4" w:space="0" w:color="000000"/>
              <w:left w:val="single" w:sz="4" w:space="0" w:color="000000"/>
              <w:bottom w:val="single" w:sz="4" w:space="0" w:color="000000"/>
              <w:right w:val="single" w:sz="4" w:space="0" w:color="000000"/>
            </w:tcBorders>
            <w:vAlign w:val="center"/>
          </w:tcPr>
          <w:p w14:paraId="4B9B0239" w14:textId="77777777" w:rsidR="004F0613" w:rsidRPr="00AA350D" w:rsidRDefault="004F0613">
            <w:pPr>
              <w:jc w:val="center"/>
              <w:rPr>
                <w:rFonts w:eastAsia="Times New Roman" w:cs="Times New Roman"/>
                <w:szCs w:val="24"/>
                <w:lang w:eastAsia="lv-LV"/>
              </w:rPr>
            </w:pPr>
            <w:r w:rsidRPr="00AA350D">
              <w:rPr>
                <w:rFonts w:eastAsia="Times New Roman" w:cs="Times New Roman"/>
                <w:szCs w:val="24"/>
                <w:lang w:eastAsia="lv-LV"/>
              </w:rPr>
              <w:t>7 000 000</w:t>
            </w:r>
          </w:p>
        </w:tc>
      </w:tr>
      <w:tr w:rsidR="004F0613" w:rsidRPr="00AA350D" w14:paraId="02396264" w14:textId="77777777">
        <w:trPr>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6A5DCD7C" w14:textId="77777777" w:rsidR="004F0613" w:rsidRPr="00AA350D" w:rsidRDefault="004F0613">
            <w:pPr>
              <w:jc w:val="center"/>
              <w:rPr>
                <w:rFonts w:eastAsia="Times New Roman" w:cs="Times New Roman"/>
                <w:b/>
                <w:bCs/>
                <w:szCs w:val="24"/>
                <w:lang w:eastAsia="lv-LV"/>
              </w:rPr>
            </w:pPr>
            <w:r w:rsidRPr="00AA350D">
              <w:rPr>
                <w:rFonts w:eastAsia="Times New Roman" w:cs="Times New Roman"/>
                <w:b/>
                <w:bCs/>
                <w:i/>
                <w:iCs/>
                <w:szCs w:val="24"/>
                <w:lang w:eastAsia="lv-LV"/>
              </w:rPr>
              <w:t>NUTS</w:t>
            </w:r>
            <w:r w:rsidRPr="00AA350D">
              <w:rPr>
                <w:rFonts w:eastAsia="Times New Roman" w:cs="Times New Roman"/>
                <w:b/>
                <w:bCs/>
                <w:szCs w:val="24"/>
                <w:lang w:eastAsia="lv-LV"/>
              </w:rPr>
              <w:t xml:space="preserve"> 2</w:t>
            </w:r>
          </w:p>
        </w:tc>
        <w:tc>
          <w:tcPr>
            <w:tcW w:w="2409" w:type="dxa"/>
            <w:tcBorders>
              <w:top w:val="single" w:sz="4" w:space="0" w:color="000000"/>
              <w:left w:val="single" w:sz="4" w:space="0" w:color="000000"/>
              <w:bottom w:val="single" w:sz="4" w:space="0" w:color="000000"/>
              <w:right w:val="single" w:sz="4" w:space="0" w:color="000000"/>
            </w:tcBorders>
            <w:vAlign w:val="center"/>
          </w:tcPr>
          <w:p w14:paraId="2BA10688" w14:textId="77777777" w:rsidR="004F0613" w:rsidRPr="00AA350D" w:rsidRDefault="004F0613">
            <w:pPr>
              <w:jc w:val="center"/>
              <w:rPr>
                <w:rFonts w:eastAsia="Times New Roman" w:cs="Times New Roman"/>
                <w:szCs w:val="24"/>
                <w:lang w:eastAsia="lv-LV"/>
              </w:rPr>
            </w:pPr>
            <w:r w:rsidRPr="00AA350D">
              <w:rPr>
                <w:rFonts w:eastAsia="Times New Roman" w:cs="Times New Roman"/>
                <w:szCs w:val="24"/>
                <w:lang w:eastAsia="lv-LV"/>
              </w:rPr>
              <w:t>800 000</w:t>
            </w:r>
          </w:p>
        </w:tc>
        <w:tc>
          <w:tcPr>
            <w:tcW w:w="2694" w:type="dxa"/>
            <w:tcBorders>
              <w:top w:val="single" w:sz="4" w:space="0" w:color="000000"/>
              <w:left w:val="single" w:sz="4" w:space="0" w:color="000000"/>
              <w:bottom w:val="single" w:sz="4" w:space="0" w:color="000000"/>
              <w:right w:val="single" w:sz="4" w:space="0" w:color="000000"/>
            </w:tcBorders>
            <w:vAlign w:val="center"/>
          </w:tcPr>
          <w:p w14:paraId="5B846C3E" w14:textId="77777777" w:rsidR="004F0613" w:rsidRPr="00AA350D" w:rsidRDefault="004F0613">
            <w:pPr>
              <w:jc w:val="center"/>
              <w:rPr>
                <w:rFonts w:eastAsia="Times New Roman" w:cs="Times New Roman"/>
                <w:szCs w:val="24"/>
                <w:lang w:eastAsia="lv-LV"/>
              </w:rPr>
            </w:pPr>
            <w:r w:rsidRPr="00AA350D">
              <w:rPr>
                <w:rFonts w:eastAsia="Times New Roman" w:cs="Times New Roman"/>
                <w:szCs w:val="24"/>
                <w:lang w:eastAsia="lv-LV"/>
              </w:rPr>
              <w:t>3 000 000</w:t>
            </w:r>
          </w:p>
        </w:tc>
      </w:tr>
      <w:tr w:rsidR="004F0613" w:rsidRPr="00AA350D" w14:paraId="2F7D74C1" w14:textId="77777777">
        <w:trPr>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6E803DF6" w14:textId="77777777" w:rsidR="004F0613" w:rsidRPr="00AA350D" w:rsidRDefault="004F0613">
            <w:pPr>
              <w:jc w:val="center"/>
              <w:rPr>
                <w:rFonts w:eastAsia="Times New Roman" w:cs="Times New Roman"/>
                <w:b/>
                <w:bCs/>
                <w:szCs w:val="24"/>
                <w:lang w:eastAsia="lv-LV"/>
              </w:rPr>
            </w:pPr>
            <w:r w:rsidRPr="00AA350D">
              <w:rPr>
                <w:rFonts w:eastAsia="Times New Roman" w:cs="Times New Roman"/>
                <w:b/>
                <w:bCs/>
                <w:i/>
                <w:iCs/>
                <w:szCs w:val="24"/>
                <w:lang w:eastAsia="lv-LV"/>
              </w:rPr>
              <w:t>NUTS</w:t>
            </w:r>
            <w:r w:rsidRPr="00AA350D">
              <w:rPr>
                <w:rFonts w:eastAsia="Times New Roman" w:cs="Times New Roman"/>
                <w:b/>
                <w:bCs/>
                <w:szCs w:val="24"/>
                <w:lang w:eastAsia="lv-LV"/>
              </w:rPr>
              <w:t xml:space="preserve"> 3 </w:t>
            </w:r>
          </w:p>
        </w:tc>
        <w:tc>
          <w:tcPr>
            <w:tcW w:w="2409" w:type="dxa"/>
            <w:tcBorders>
              <w:top w:val="single" w:sz="4" w:space="0" w:color="000000"/>
              <w:left w:val="single" w:sz="4" w:space="0" w:color="000000"/>
              <w:bottom w:val="single" w:sz="4" w:space="0" w:color="000000"/>
              <w:right w:val="single" w:sz="4" w:space="0" w:color="000000"/>
            </w:tcBorders>
            <w:vAlign w:val="center"/>
          </w:tcPr>
          <w:p w14:paraId="48D609F2" w14:textId="77777777" w:rsidR="004F0613" w:rsidRPr="00AA350D" w:rsidRDefault="004F0613">
            <w:pPr>
              <w:jc w:val="center"/>
              <w:rPr>
                <w:rFonts w:eastAsia="Times New Roman" w:cs="Times New Roman"/>
                <w:szCs w:val="24"/>
                <w:lang w:eastAsia="lv-LV"/>
              </w:rPr>
            </w:pPr>
            <w:r w:rsidRPr="00AA350D">
              <w:rPr>
                <w:rFonts w:eastAsia="Times New Roman" w:cs="Times New Roman"/>
                <w:szCs w:val="24"/>
                <w:lang w:eastAsia="lv-LV"/>
              </w:rPr>
              <w:t>150 000</w:t>
            </w:r>
          </w:p>
        </w:tc>
        <w:tc>
          <w:tcPr>
            <w:tcW w:w="2694" w:type="dxa"/>
            <w:tcBorders>
              <w:top w:val="single" w:sz="4" w:space="0" w:color="000000"/>
              <w:left w:val="single" w:sz="4" w:space="0" w:color="000000"/>
              <w:bottom w:val="single" w:sz="4" w:space="0" w:color="000000"/>
              <w:right w:val="single" w:sz="4" w:space="0" w:color="000000"/>
            </w:tcBorders>
            <w:vAlign w:val="center"/>
          </w:tcPr>
          <w:p w14:paraId="564851F8" w14:textId="77777777" w:rsidR="004F0613" w:rsidRPr="00AA350D" w:rsidRDefault="004F0613">
            <w:pPr>
              <w:jc w:val="center"/>
              <w:rPr>
                <w:rFonts w:eastAsia="Times New Roman" w:cs="Times New Roman"/>
                <w:szCs w:val="24"/>
                <w:lang w:eastAsia="lv-LV"/>
              </w:rPr>
            </w:pPr>
            <w:r w:rsidRPr="00AA350D">
              <w:rPr>
                <w:rFonts w:eastAsia="Times New Roman" w:cs="Times New Roman"/>
                <w:szCs w:val="24"/>
                <w:lang w:eastAsia="lv-LV"/>
              </w:rPr>
              <w:t>800 000</w:t>
            </w:r>
          </w:p>
        </w:tc>
      </w:tr>
    </w:tbl>
    <w:p w14:paraId="46AFA229" w14:textId="77777777" w:rsidR="00C1665E" w:rsidRDefault="00C1665E" w:rsidP="00C1665E">
      <w:pPr>
        <w:ind w:firstLine="720"/>
        <w:rPr>
          <w:rFonts w:eastAsia="Times New Roman" w:cs="Times New Roman"/>
          <w:lang w:eastAsia="lv-LV"/>
        </w:rPr>
      </w:pPr>
    </w:p>
    <w:p w14:paraId="16E1DA8B" w14:textId="064CADAE" w:rsidR="00A42B02" w:rsidRPr="00AA350D" w:rsidRDefault="00A42B02" w:rsidP="00D60739">
      <w:pPr>
        <w:spacing w:after="120"/>
        <w:ind w:firstLine="720"/>
        <w:rPr>
          <w:rFonts w:eastAsia="Times New Roman" w:cs="Times New Roman"/>
          <w:lang w:eastAsia="lv-LV"/>
        </w:rPr>
      </w:pPr>
      <w:r w:rsidRPr="00AA350D">
        <w:rPr>
          <w:rFonts w:eastAsia="Times New Roman" w:cs="Times New Roman"/>
          <w:lang w:eastAsia="lv-LV"/>
        </w:rPr>
        <w:lastRenderedPageBreak/>
        <w:t xml:space="preserve">Saskaņā ar </w:t>
      </w:r>
      <w:r>
        <w:rPr>
          <w:rFonts w:eastAsia="Times New Roman" w:cs="Times New Roman"/>
          <w:lang w:eastAsia="lv-LV"/>
        </w:rPr>
        <w:t>Ministru kabineta</w:t>
      </w:r>
      <w:r w:rsidRPr="00BA1F2E">
        <w:rPr>
          <w:rFonts w:eastAsia="Times New Roman" w:cs="Times New Roman"/>
          <w:lang w:eastAsia="lv-LV"/>
        </w:rPr>
        <w:t xml:space="preserve"> </w:t>
      </w:r>
      <w:r>
        <w:rPr>
          <w:rFonts w:eastAsia="Times New Roman" w:cs="Times New Roman"/>
          <w:lang w:eastAsia="lv-LV"/>
        </w:rPr>
        <w:t>2021</w:t>
      </w:r>
      <w:r w:rsidRPr="00AA350D">
        <w:rPr>
          <w:rFonts w:eastAsia="Times New Roman" w:cs="Times New Roman"/>
          <w:lang w:eastAsia="lv-LV"/>
        </w:rPr>
        <w:t xml:space="preserve">. gada </w:t>
      </w:r>
      <w:r>
        <w:rPr>
          <w:rFonts w:eastAsia="Times New Roman" w:cs="Times New Roman"/>
          <w:lang w:eastAsia="lv-LV"/>
        </w:rPr>
        <w:t>7</w:t>
      </w:r>
      <w:r w:rsidRPr="00AA350D">
        <w:rPr>
          <w:rFonts w:eastAsia="Times New Roman" w:cs="Times New Roman"/>
          <w:lang w:eastAsia="lv-LV"/>
        </w:rPr>
        <w:t>. </w:t>
      </w:r>
      <w:r>
        <w:rPr>
          <w:rFonts w:eastAsia="Times New Roman" w:cs="Times New Roman"/>
          <w:lang w:eastAsia="lv-LV"/>
        </w:rPr>
        <w:t>decembra</w:t>
      </w:r>
      <w:r w:rsidRPr="00AA350D">
        <w:rPr>
          <w:rFonts w:eastAsia="Times New Roman" w:cs="Times New Roman"/>
          <w:lang w:eastAsia="lv-LV"/>
        </w:rPr>
        <w:t xml:space="preserve"> rīkojumu Nr.</w:t>
      </w:r>
      <w:r>
        <w:rPr>
          <w:rFonts w:eastAsia="Times New Roman" w:cs="Times New Roman"/>
          <w:lang w:eastAsia="lv-LV"/>
        </w:rPr>
        <w:t> 911</w:t>
      </w:r>
      <w:r w:rsidRPr="00AA350D">
        <w:rPr>
          <w:rFonts w:eastAsia="Times New Roman" w:cs="Times New Roman"/>
          <w:lang w:eastAsia="lv-LV"/>
        </w:rPr>
        <w:t xml:space="preserve"> “</w:t>
      </w:r>
      <w:r w:rsidRPr="00853357">
        <w:rPr>
          <w:rFonts w:eastAsia="Times New Roman" w:cs="Times New Roman"/>
          <w:lang w:eastAsia="lv-LV"/>
        </w:rPr>
        <w:t>Par Latvijas Republikas statistiskajiem reģioniem un tajos ietilpstošajām administratīvajām vienībām</w:t>
      </w:r>
      <w:r w:rsidRPr="00AA350D">
        <w:rPr>
          <w:rFonts w:eastAsia="Times New Roman" w:cs="Times New Roman"/>
          <w:lang w:eastAsia="lv-LV"/>
        </w:rPr>
        <w:t xml:space="preserve">”, </w:t>
      </w:r>
      <w:r w:rsidRPr="00AA350D">
        <w:rPr>
          <w:rFonts w:cs="Times New Roman"/>
        </w:rPr>
        <w:t xml:space="preserve">Latvijā noteikts šāds </w:t>
      </w:r>
      <w:r w:rsidRPr="00AA350D">
        <w:rPr>
          <w:rFonts w:cs="Times New Roman"/>
          <w:i/>
          <w:iCs/>
        </w:rPr>
        <w:t>NUTS</w:t>
      </w:r>
      <w:r w:rsidRPr="00AA350D">
        <w:rPr>
          <w:rFonts w:cs="Times New Roman"/>
        </w:rPr>
        <w:t xml:space="preserve"> </w:t>
      </w:r>
      <w:proofErr w:type="spellStart"/>
      <w:r w:rsidRPr="00AA350D">
        <w:rPr>
          <w:rFonts w:cs="Times New Roman"/>
        </w:rPr>
        <w:t>piemērojums</w:t>
      </w:r>
      <w:proofErr w:type="spellEnd"/>
      <w:r w:rsidRPr="00AA350D">
        <w:rPr>
          <w:rFonts w:cs="Times New Roman"/>
        </w:rPr>
        <w:t xml:space="preserve"> Latvijas administratīvi teritoriālajam iedalījumam:</w:t>
      </w:r>
    </w:p>
    <w:p w14:paraId="7189BEA7" w14:textId="77777777" w:rsidR="00A42B02" w:rsidRPr="00AA350D" w:rsidRDefault="00A42B02" w:rsidP="00D60739">
      <w:pPr>
        <w:pStyle w:val="ListParagraph"/>
        <w:numPr>
          <w:ilvl w:val="0"/>
          <w:numId w:val="3"/>
        </w:numPr>
        <w:spacing w:after="120"/>
        <w:ind w:left="1077" w:hanging="357"/>
        <w:contextualSpacing w:val="0"/>
        <w:rPr>
          <w:rFonts w:eastAsia="Times New Roman" w:cs="Times New Roman"/>
          <w:lang w:eastAsia="lv-LV"/>
        </w:rPr>
      </w:pPr>
      <w:r w:rsidRPr="00AA350D">
        <w:rPr>
          <w:rFonts w:eastAsia="Times New Roman" w:cs="Times New Roman"/>
          <w:i/>
          <w:lang w:eastAsia="lv-LV"/>
        </w:rPr>
        <w:t>NUTS</w:t>
      </w:r>
      <w:r w:rsidRPr="00AA350D">
        <w:rPr>
          <w:rFonts w:eastAsia="Times New Roman" w:cs="Times New Roman"/>
          <w:lang w:eastAsia="lv-LV"/>
        </w:rPr>
        <w:t xml:space="preserve"> 1</w:t>
      </w:r>
      <w:r>
        <w:rPr>
          <w:rFonts w:eastAsia="Times New Roman" w:cs="Times New Roman"/>
          <w:lang w:eastAsia="lv-LV"/>
        </w:rPr>
        <w:t> </w:t>
      </w:r>
      <w:r w:rsidRPr="00AA350D">
        <w:rPr>
          <w:rFonts w:eastAsia="Times New Roman" w:cs="Times New Roman"/>
          <w:lang w:eastAsia="lv-LV"/>
        </w:rPr>
        <w:t xml:space="preserve">līmenis – visa Latvija kā viens </w:t>
      </w:r>
      <w:r w:rsidRPr="00AA350D">
        <w:rPr>
          <w:rFonts w:eastAsia="Times New Roman" w:cs="Times New Roman"/>
          <w:i/>
          <w:lang w:eastAsia="lv-LV"/>
        </w:rPr>
        <w:t>NUTS</w:t>
      </w:r>
      <w:r w:rsidRPr="00AA350D">
        <w:rPr>
          <w:rFonts w:eastAsia="Times New Roman" w:cs="Times New Roman"/>
          <w:lang w:eastAsia="lv-LV"/>
        </w:rPr>
        <w:t xml:space="preserve"> 1 reģions;</w:t>
      </w:r>
    </w:p>
    <w:p w14:paraId="61551BC8" w14:textId="77777777" w:rsidR="00A42B02" w:rsidRDefault="00A42B02" w:rsidP="00D60739">
      <w:pPr>
        <w:pStyle w:val="ListParagraph"/>
        <w:numPr>
          <w:ilvl w:val="0"/>
          <w:numId w:val="3"/>
        </w:numPr>
        <w:spacing w:after="120"/>
        <w:ind w:left="1077" w:hanging="357"/>
        <w:contextualSpacing w:val="0"/>
        <w:rPr>
          <w:rFonts w:eastAsia="Times New Roman" w:cs="Times New Roman"/>
          <w:lang w:eastAsia="lv-LV"/>
        </w:rPr>
      </w:pPr>
      <w:r w:rsidRPr="00AA350D">
        <w:rPr>
          <w:rFonts w:eastAsia="Times New Roman" w:cs="Times New Roman"/>
          <w:i/>
          <w:lang w:eastAsia="lv-LV"/>
        </w:rPr>
        <w:t>NUTS</w:t>
      </w:r>
      <w:r w:rsidRPr="00AA350D">
        <w:rPr>
          <w:rFonts w:eastAsia="Times New Roman" w:cs="Times New Roman"/>
          <w:lang w:eastAsia="lv-LV"/>
        </w:rPr>
        <w:t xml:space="preserve"> 2</w:t>
      </w:r>
      <w:r>
        <w:rPr>
          <w:rFonts w:eastAsia="Times New Roman" w:cs="Times New Roman"/>
          <w:lang w:eastAsia="lv-LV"/>
        </w:rPr>
        <w:t> </w:t>
      </w:r>
      <w:r w:rsidRPr="00AA350D">
        <w:rPr>
          <w:rFonts w:eastAsia="Times New Roman" w:cs="Times New Roman"/>
          <w:lang w:eastAsia="lv-LV"/>
        </w:rPr>
        <w:t xml:space="preserve">līmenis – visa Latvija kā viens </w:t>
      </w:r>
      <w:r w:rsidRPr="00AA350D">
        <w:rPr>
          <w:rFonts w:eastAsia="Times New Roman" w:cs="Times New Roman"/>
          <w:i/>
          <w:lang w:eastAsia="lv-LV"/>
        </w:rPr>
        <w:t>NUTS</w:t>
      </w:r>
      <w:r w:rsidRPr="00AA350D">
        <w:rPr>
          <w:rFonts w:eastAsia="Times New Roman" w:cs="Times New Roman"/>
          <w:lang w:eastAsia="lv-LV"/>
        </w:rPr>
        <w:t xml:space="preserve"> 2 reģions;</w:t>
      </w:r>
    </w:p>
    <w:p w14:paraId="71397473" w14:textId="6249FD37" w:rsidR="002B5943" w:rsidRPr="002B5943" w:rsidRDefault="00A42B02" w:rsidP="002B5943">
      <w:pPr>
        <w:pStyle w:val="ListParagraph"/>
        <w:numPr>
          <w:ilvl w:val="0"/>
          <w:numId w:val="3"/>
        </w:numPr>
        <w:ind w:left="1077" w:hanging="357"/>
        <w:contextualSpacing w:val="0"/>
        <w:rPr>
          <w:rFonts w:eastAsia="Times New Roman" w:cs="Times New Roman"/>
          <w:lang w:eastAsia="lv-LV"/>
        </w:rPr>
      </w:pPr>
      <w:r w:rsidRPr="00A42B02">
        <w:rPr>
          <w:rFonts w:eastAsia="Times New Roman" w:cs="Times New Roman"/>
          <w:i/>
          <w:iCs/>
          <w:lang w:eastAsia="lv-LV"/>
        </w:rPr>
        <w:t>NUTS</w:t>
      </w:r>
      <w:r w:rsidRPr="00A42B02">
        <w:rPr>
          <w:rFonts w:eastAsia="Times New Roman" w:cs="Times New Roman"/>
          <w:lang w:eastAsia="lv-LV"/>
        </w:rPr>
        <w:t> 3 līmenis</w:t>
      </w:r>
      <w:r w:rsidR="00E24FAA">
        <w:rPr>
          <w:rFonts w:eastAsia="Times New Roman" w:cs="Times New Roman"/>
          <w:lang w:eastAsia="lv-LV"/>
        </w:rPr>
        <w:t> </w:t>
      </w:r>
      <w:r w:rsidRPr="00A42B02">
        <w:rPr>
          <w:rFonts w:eastAsia="Times New Roman" w:cs="Times New Roman"/>
          <w:lang w:eastAsia="lv-LV"/>
        </w:rPr>
        <w:t>–</w:t>
      </w:r>
      <w:r w:rsidR="00E24FAA">
        <w:rPr>
          <w:rFonts w:eastAsia="Times New Roman" w:cs="Times New Roman"/>
          <w:lang w:eastAsia="lv-LV"/>
        </w:rPr>
        <w:t> </w:t>
      </w:r>
      <w:r w:rsidRPr="00A42B02">
        <w:rPr>
          <w:rFonts w:eastAsia="Times New Roman" w:cs="Times New Roman"/>
          <w:lang w:eastAsia="lv-LV"/>
        </w:rPr>
        <w:t>pieci statistiskie reģioni</w:t>
      </w:r>
      <w:r w:rsidR="001D7436">
        <w:rPr>
          <w:rFonts w:eastAsia="Times New Roman" w:cs="Times New Roman"/>
          <w:lang w:eastAsia="lv-LV"/>
        </w:rPr>
        <w:t xml:space="preserve"> </w:t>
      </w:r>
      <w:r w:rsidR="008609FE">
        <w:rPr>
          <w:rFonts w:eastAsia="Times New Roman" w:cs="Times New Roman"/>
          <w:lang w:eastAsia="lv-LV"/>
        </w:rPr>
        <w:t>(</w:t>
      </w:r>
      <w:r w:rsidRPr="00A42B02">
        <w:rPr>
          <w:color w:val="000000" w:themeColor="text1"/>
        </w:rPr>
        <w:t>Kurzemes statistiskais reģions, Latgales statistiskais reģions, Rīgas statistiskais reģions, Vidzemes statistiskais reģions un Zemgales statistiskais reģions</w:t>
      </w:r>
      <w:r w:rsidR="001D7436">
        <w:rPr>
          <w:color w:val="000000" w:themeColor="text1"/>
        </w:rPr>
        <w:t>)</w:t>
      </w:r>
      <w:r w:rsidR="00BC4884">
        <w:rPr>
          <w:color w:val="000000" w:themeColor="text1"/>
        </w:rPr>
        <w:t xml:space="preserve"> </w:t>
      </w:r>
      <w:r w:rsidR="00BC4884" w:rsidRPr="00AA350D">
        <w:rPr>
          <w:rFonts w:eastAsia="Times New Roman" w:cs="Times New Roman"/>
          <w:lang w:eastAsia="lv-LV"/>
        </w:rPr>
        <w:t>(sk. attēlu Nr. 1)</w:t>
      </w:r>
      <w:r w:rsidR="000D594D">
        <w:rPr>
          <w:color w:val="000000" w:themeColor="text1"/>
        </w:rPr>
        <w:t>.</w:t>
      </w:r>
    </w:p>
    <w:p w14:paraId="4E1A78A8" w14:textId="46A15A39" w:rsidR="002B5943" w:rsidRDefault="002B5943" w:rsidP="00F41988">
      <w:pPr>
        <w:spacing w:before="120" w:after="120"/>
        <w:jc w:val="center"/>
        <w:rPr>
          <w:rFonts w:eastAsia="Times New Roman" w:cs="Times New Roman"/>
          <w:lang w:eastAsia="lv-LV"/>
        </w:rPr>
      </w:pPr>
      <w:r w:rsidRPr="002B5943">
        <w:rPr>
          <w:rFonts w:eastAsia="Times New Roman" w:cs="Times New Roman"/>
          <w:noProof/>
          <w:lang w:eastAsia="lv-LV"/>
        </w:rPr>
        <w:drawing>
          <wp:inline distT="0" distB="0" distL="0" distR="0" wp14:anchorId="6094D200" wp14:editId="68BD3448">
            <wp:extent cx="6102164" cy="3586038"/>
            <wp:effectExtent l="0" t="0" r="0" b="0"/>
            <wp:docPr id="2" name="Picture 1" descr="Map&#10;&#10;Description automatically generated">
              <a:extLst xmlns:a="http://schemas.openxmlformats.org/drawingml/2006/main">
                <a:ext uri="{FF2B5EF4-FFF2-40B4-BE49-F238E27FC236}">
                  <a16:creationId xmlns:a16="http://schemas.microsoft.com/office/drawing/2014/main" id="{FAE628D5-5891-3428-A5AB-608461DC82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p&#10;&#10;Description automatically generated">
                      <a:extLst>
                        <a:ext uri="{FF2B5EF4-FFF2-40B4-BE49-F238E27FC236}">
                          <a16:creationId xmlns:a16="http://schemas.microsoft.com/office/drawing/2014/main" id="{FAE628D5-5891-3428-A5AB-608461DC8283}"/>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02974" cy="3645281"/>
                    </a:xfrm>
                    <a:prstGeom prst="rect">
                      <a:avLst/>
                    </a:prstGeom>
                  </pic:spPr>
                </pic:pic>
              </a:graphicData>
            </a:graphic>
          </wp:inline>
        </w:drawing>
      </w:r>
    </w:p>
    <w:p w14:paraId="00DB52DA" w14:textId="3B8F5CF2" w:rsidR="002B5943" w:rsidRPr="00687676" w:rsidRDefault="002B5943" w:rsidP="002B5943">
      <w:pPr>
        <w:jc w:val="center"/>
        <w:rPr>
          <w:sz w:val="22"/>
          <w:szCs w:val="20"/>
        </w:rPr>
      </w:pPr>
      <w:r w:rsidRPr="00687676">
        <w:rPr>
          <w:sz w:val="22"/>
          <w:szCs w:val="20"/>
        </w:rPr>
        <w:t>Attēls Nr.</w:t>
      </w:r>
      <w:r w:rsidR="00BC4884" w:rsidRPr="00687676">
        <w:rPr>
          <w:sz w:val="22"/>
          <w:szCs w:val="20"/>
        </w:rPr>
        <w:t xml:space="preserve"> </w:t>
      </w:r>
      <w:r w:rsidRPr="00687676">
        <w:rPr>
          <w:sz w:val="22"/>
          <w:szCs w:val="20"/>
        </w:rPr>
        <w:t xml:space="preserve">1. </w:t>
      </w:r>
      <w:r w:rsidR="00F41988" w:rsidRPr="00687676">
        <w:rPr>
          <w:sz w:val="22"/>
          <w:szCs w:val="20"/>
        </w:rPr>
        <w:t xml:space="preserve">Esošais </w:t>
      </w:r>
      <w:r w:rsidR="00F41988" w:rsidRPr="00687676">
        <w:rPr>
          <w:i/>
          <w:iCs/>
          <w:sz w:val="22"/>
          <w:szCs w:val="20"/>
        </w:rPr>
        <w:t>NUTS</w:t>
      </w:r>
      <w:r w:rsidR="00F41988" w:rsidRPr="00687676">
        <w:rPr>
          <w:sz w:val="22"/>
          <w:szCs w:val="20"/>
        </w:rPr>
        <w:t xml:space="preserve"> 3 iedalījums Latvijā</w:t>
      </w:r>
      <w:r w:rsidRPr="00687676">
        <w:rPr>
          <w:sz w:val="22"/>
          <w:szCs w:val="20"/>
        </w:rPr>
        <w:t>.</w:t>
      </w:r>
    </w:p>
    <w:p w14:paraId="1653767C" w14:textId="77777777" w:rsidR="002B5943" w:rsidRDefault="002B5943" w:rsidP="002B5943">
      <w:pPr>
        <w:jc w:val="center"/>
        <w:rPr>
          <w:rFonts w:eastAsia="Times New Roman" w:cs="Times New Roman"/>
          <w:lang w:eastAsia="lv-LV"/>
        </w:rPr>
      </w:pPr>
    </w:p>
    <w:p w14:paraId="2F68B525" w14:textId="4FAFC39A" w:rsidR="004F0613" w:rsidRDefault="00124173" w:rsidP="00C94C55">
      <w:pPr>
        <w:ind w:firstLine="720"/>
        <w:rPr>
          <w:rFonts w:eastAsia="Times New Roman" w:cs="Times New Roman"/>
          <w:lang w:eastAsia="lv-LV"/>
        </w:rPr>
      </w:pPr>
      <w:r>
        <w:rPr>
          <w:rFonts w:eastAsia="Times New Roman" w:cs="Times New Roman"/>
          <w:lang w:eastAsia="lv-LV"/>
        </w:rPr>
        <w:t xml:space="preserve">Vienlaikus </w:t>
      </w:r>
      <w:r w:rsidR="004F0613" w:rsidRPr="00577B4A">
        <w:rPr>
          <w:rFonts w:eastAsia="Times New Roman" w:cs="Times New Roman"/>
          <w:lang w:eastAsia="lv-LV"/>
        </w:rPr>
        <w:t xml:space="preserve">ES dalībvalstis var lemt par </w:t>
      </w:r>
      <w:r w:rsidR="004F0613" w:rsidRPr="00577B4A">
        <w:rPr>
          <w:rFonts w:cs="Times New Roman"/>
          <w:i/>
          <w:iCs/>
        </w:rPr>
        <w:t>NUTS</w:t>
      </w:r>
      <w:r w:rsidR="004F0613" w:rsidRPr="00577B4A">
        <w:rPr>
          <w:rFonts w:cs="Times New Roman"/>
        </w:rPr>
        <w:t xml:space="preserve"> klasifikācijas grozījumiem, kurus var pieņemt kalendārā gada otrajā pusē un ne biežāk kā ik pēc trim gadiem.</w:t>
      </w:r>
      <w:r w:rsidR="004F0613" w:rsidRPr="00AA350D">
        <w:rPr>
          <w:rFonts w:cs="Times New Roman"/>
        </w:rPr>
        <w:t xml:space="preserve"> </w:t>
      </w:r>
      <w:r>
        <w:rPr>
          <w:rFonts w:cs="Times New Roman"/>
        </w:rPr>
        <w:t>Taču, j</w:t>
      </w:r>
      <w:r w:rsidR="004F0613" w:rsidRPr="00AA350D">
        <w:rPr>
          <w:rFonts w:cs="Times New Roman"/>
        </w:rPr>
        <w:t xml:space="preserve">a kādas </w:t>
      </w:r>
      <w:r w:rsidR="004F0613">
        <w:rPr>
          <w:rFonts w:cs="Times New Roman"/>
        </w:rPr>
        <w:t xml:space="preserve">ES </w:t>
      </w:r>
      <w:r w:rsidR="004F0613" w:rsidRPr="00AA350D">
        <w:rPr>
          <w:rFonts w:cs="Times New Roman"/>
        </w:rPr>
        <w:t xml:space="preserve">dalībvalsts administratīvi teritoriālais iedalījums būtiski mainās, grozījumus var pieņemt arī īsākos intervālos. Dalībvalstīm ir jāinformē </w:t>
      </w:r>
      <w:r w:rsidR="009E6161">
        <w:rPr>
          <w:rFonts w:cs="Times New Roman"/>
        </w:rPr>
        <w:t xml:space="preserve">Eiropas Komisija (turpmāk – </w:t>
      </w:r>
      <w:r w:rsidR="004F0613">
        <w:rPr>
          <w:rFonts w:cs="Times New Roman"/>
        </w:rPr>
        <w:t>EK</w:t>
      </w:r>
      <w:r w:rsidR="009E6161">
        <w:rPr>
          <w:rFonts w:cs="Times New Roman"/>
        </w:rPr>
        <w:t>)</w:t>
      </w:r>
      <w:r w:rsidR="004F0613" w:rsidRPr="00AA350D">
        <w:rPr>
          <w:rFonts w:cs="Times New Roman"/>
        </w:rPr>
        <w:t xml:space="preserve"> par jebkādām administratīvo teritoriju robežu izmaiņām vai citām izmaiņām, kas var ietekmēt </w:t>
      </w:r>
      <w:r w:rsidR="004F0613" w:rsidRPr="00AA350D">
        <w:rPr>
          <w:rFonts w:cs="Times New Roman"/>
          <w:i/>
          <w:iCs/>
        </w:rPr>
        <w:t>NUTS</w:t>
      </w:r>
      <w:r w:rsidR="004F0613" w:rsidRPr="00AA350D">
        <w:rPr>
          <w:rFonts w:cs="Times New Roman"/>
        </w:rPr>
        <w:t xml:space="preserve"> klasifikāciju (piemēram, ja tiek mainīti komponenti, kas var ietekmēt </w:t>
      </w:r>
      <w:r w:rsidR="004F0613" w:rsidRPr="00AA350D">
        <w:rPr>
          <w:rFonts w:cs="Times New Roman"/>
          <w:i/>
          <w:iCs/>
        </w:rPr>
        <w:t>NUTS</w:t>
      </w:r>
      <w:r w:rsidR="004F0613" w:rsidRPr="00AA350D">
        <w:rPr>
          <w:rFonts w:cs="Times New Roman"/>
        </w:rPr>
        <w:t> 3 līmeņa robežvērtības).</w:t>
      </w:r>
      <w:r w:rsidR="004F0613" w:rsidRPr="00AA350D">
        <w:rPr>
          <w:rFonts w:eastAsia="Times New Roman" w:cs="Times New Roman"/>
          <w:lang w:eastAsia="lv-LV"/>
        </w:rPr>
        <w:t xml:space="preserve"> Izmaiņas nelielās administratīvajās vienībās maina </w:t>
      </w:r>
      <w:r w:rsidR="004F0613" w:rsidRPr="00AA350D">
        <w:rPr>
          <w:rFonts w:eastAsia="Times New Roman" w:cs="Times New Roman"/>
          <w:i/>
          <w:iCs/>
          <w:lang w:eastAsia="lv-LV"/>
        </w:rPr>
        <w:t>NUTS</w:t>
      </w:r>
      <w:r w:rsidR="004F0613" w:rsidRPr="00AA350D">
        <w:rPr>
          <w:rFonts w:eastAsia="Times New Roman" w:cs="Times New Roman"/>
          <w:lang w:eastAsia="lv-LV"/>
        </w:rPr>
        <w:t xml:space="preserve"> klasifikāciju, ja tās ietver iedzīvotāju skaita izmaiņas, kas pārsniedz 1% attiecīgajās </w:t>
      </w:r>
      <w:r w:rsidR="004F0613" w:rsidRPr="00AA350D">
        <w:rPr>
          <w:rFonts w:eastAsia="Times New Roman" w:cs="Times New Roman"/>
          <w:i/>
          <w:iCs/>
          <w:lang w:eastAsia="lv-LV"/>
        </w:rPr>
        <w:t>NUTS</w:t>
      </w:r>
      <w:r w:rsidR="004F0613" w:rsidRPr="00AA350D">
        <w:rPr>
          <w:rFonts w:eastAsia="Times New Roman" w:cs="Times New Roman"/>
          <w:lang w:eastAsia="lv-LV"/>
        </w:rPr>
        <w:t xml:space="preserve"> 3 teritoriālajās vienībās. Attiecībā uz dalībvalstu neadministratīvajām vienībām </w:t>
      </w:r>
      <w:r w:rsidR="004F0613" w:rsidRPr="00AA350D">
        <w:rPr>
          <w:rFonts w:eastAsia="Times New Roman" w:cs="Times New Roman"/>
          <w:i/>
          <w:iCs/>
          <w:lang w:eastAsia="lv-LV"/>
        </w:rPr>
        <w:t>NUTS</w:t>
      </w:r>
      <w:r w:rsidR="004F0613" w:rsidRPr="00AA350D">
        <w:rPr>
          <w:rFonts w:eastAsia="Times New Roman" w:cs="Times New Roman"/>
          <w:lang w:eastAsia="lv-LV"/>
        </w:rPr>
        <w:t xml:space="preserve"> klasifikācijas izmaiņas var veikt tad, ja šīs izmaiņas (iedzīvotāju skaita ziņā) samazina standartnovirzi no ES teritoriālo vienību kopuma.</w:t>
      </w:r>
      <w:r w:rsidR="004F0613" w:rsidRPr="00AA350D">
        <w:rPr>
          <w:rStyle w:val="FootnoteAnchor"/>
          <w:rFonts w:eastAsia="Times New Roman" w:cs="Times New Roman"/>
          <w:lang w:eastAsia="lv-LV"/>
        </w:rPr>
        <w:footnoteReference w:id="6"/>
      </w:r>
    </w:p>
    <w:p w14:paraId="5CC77FF6" w14:textId="3D03699B" w:rsidR="006C62EE" w:rsidRDefault="00983216" w:rsidP="00417204">
      <w:pPr>
        <w:ind w:firstLine="720"/>
        <w:rPr>
          <w:rFonts w:eastAsia="Times New Roman" w:cs="Times New Roman"/>
          <w:lang w:eastAsia="lv-LV"/>
        </w:rPr>
      </w:pPr>
      <w:bookmarkStart w:id="1" w:name="_Hlk164405513"/>
      <w:r>
        <w:rPr>
          <w:rFonts w:eastAsia="Times New Roman" w:cs="Times New Roman"/>
          <w:lang w:eastAsia="lv-LV"/>
        </w:rPr>
        <w:t xml:space="preserve">Pēdējais uzsaukums </w:t>
      </w:r>
      <w:r>
        <w:rPr>
          <w:rFonts w:eastAsia="Times New Roman" w:cs="Times New Roman"/>
          <w:i/>
          <w:iCs/>
          <w:lang w:eastAsia="lv-LV"/>
        </w:rPr>
        <w:t>NUTS</w:t>
      </w:r>
      <w:r>
        <w:rPr>
          <w:rFonts w:eastAsia="Times New Roman" w:cs="Times New Roman"/>
          <w:lang w:eastAsia="lv-LV"/>
        </w:rPr>
        <w:t xml:space="preserve"> klasifikācijas grozījumiem notika 20</w:t>
      </w:r>
      <w:r w:rsidR="006578E8">
        <w:rPr>
          <w:rFonts w:eastAsia="Times New Roman" w:cs="Times New Roman"/>
          <w:lang w:eastAsia="lv-LV"/>
        </w:rPr>
        <w:t xml:space="preserve">21. gadā, kad dalībvalstīm tika </w:t>
      </w:r>
      <w:r w:rsidR="00E34F97">
        <w:rPr>
          <w:rFonts w:eastAsia="Times New Roman" w:cs="Times New Roman"/>
          <w:lang w:eastAsia="lv-LV"/>
        </w:rPr>
        <w:t xml:space="preserve">izsūtīta vēstule par priekšlikumu iesniegšanu </w:t>
      </w:r>
      <w:r w:rsidR="00E34F97">
        <w:rPr>
          <w:rFonts w:eastAsia="Times New Roman" w:cs="Times New Roman"/>
          <w:i/>
          <w:iCs/>
          <w:lang w:eastAsia="lv-LV"/>
        </w:rPr>
        <w:t>NUTS</w:t>
      </w:r>
      <w:r w:rsidR="001D7436">
        <w:rPr>
          <w:rFonts w:eastAsia="Times New Roman" w:cs="Times New Roman"/>
          <w:i/>
          <w:iCs/>
          <w:lang w:eastAsia="lv-LV"/>
        </w:rPr>
        <w:t> </w:t>
      </w:r>
      <w:r w:rsidR="00E34F97">
        <w:rPr>
          <w:rFonts w:eastAsia="Times New Roman" w:cs="Times New Roman"/>
          <w:i/>
          <w:iCs/>
          <w:lang w:eastAsia="lv-LV"/>
        </w:rPr>
        <w:t>2024</w:t>
      </w:r>
      <w:r w:rsidR="00E34F97">
        <w:rPr>
          <w:rFonts w:eastAsia="Times New Roman" w:cs="Times New Roman"/>
          <w:lang w:eastAsia="lv-LV"/>
        </w:rPr>
        <w:t>.</w:t>
      </w:r>
      <w:r w:rsidR="009B07B6">
        <w:rPr>
          <w:rFonts w:eastAsia="Times New Roman" w:cs="Times New Roman"/>
          <w:lang w:eastAsia="lv-LV"/>
        </w:rPr>
        <w:t xml:space="preserve"> </w:t>
      </w:r>
      <w:r w:rsidR="00C26384">
        <w:rPr>
          <w:rFonts w:eastAsia="Times New Roman" w:cs="Times New Roman"/>
          <w:lang w:eastAsia="lv-LV"/>
        </w:rPr>
        <w:t xml:space="preserve">Analizējot tā brīža </w:t>
      </w:r>
      <w:r w:rsidR="002556C8">
        <w:rPr>
          <w:rFonts w:eastAsia="Times New Roman" w:cs="Times New Roman"/>
          <w:lang w:eastAsia="lv-LV"/>
        </w:rPr>
        <w:t>statistikas datus un teritoriālo iedalījumu</w:t>
      </w:r>
      <w:r w:rsidR="00C26384">
        <w:rPr>
          <w:rFonts w:eastAsia="Times New Roman" w:cs="Times New Roman"/>
          <w:lang w:eastAsia="lv-LV"/>
        </w:rPr>
        <w:t>, tika identificēts, ka Latvijā</w:t>
      </w:r>
      <w:r w:rsidR="002D5471">
        <w:rPr>
          <w:rFonts w:eastAsia="Times New Roman" w:cs="Times New Roman"/>
          <w:lang w:eastAsia="lv-LV"/>
        </w:rPr>
        <w:t xml:space="preserve"> </w:t>
      </w:r>
      <w:r w:rsidR="002556C8" w:rsidRPr="002D5471">
        <w:rPr>
          <w:rFonts w:eastAsia="Times New Roman" w:cs="Times New Roman"/>
          <w:lang w:eastAsia="lv-LV"/>
        </w:rPr>
        <w:t xml:space="preserve">pastāv būtiskas teritoriālās atšķirības starp esošajiem plānošanas reģioniem un </w:t>
      </w:r>
      <w:r w:rsidR="002556C8" w:rsidRPr="008E3123">
        <w:rPr>
          <w:rFonts w:eastAsia="Times New Roman" w:cs="Times New Roman"/>
          <w:i/>
          <w:iCs/>
          <w:lang w:eastAsia="lv-LV"/>
        </w:rPr>
        <w:t>NUTS</w:t>
      </w:r>
      <w:r w:rsidR="008E3123">
        <w:rPr>
          <w:rFonts w:eastAsia="Times New Roman" w:cs="Times New Roman"/>
          <w:lang w:eastAsia="lv-LV"/>
        </w:rPr>
        <w:t> </w:t>
      </w:r>
      <w:r w:rsidR="002556C8" w:rsidRPr="002D5471">
        <w:rPr>
          <w:rFonts w:eastAsia="Times New Roman" w:cs="Times New Roman"/>
          <w:lang w:eastAsia="lv-LV"/>
        </w:rPr>
        <w:t xml:space="preserve">3 līmeņa teritoriālajām vienībām (statistiskajiem reģioniem). </w:t>
      </w:r>
      <w:r w:rsidR="00515031">
        <w:rPr>
          <w:rFonts w:eastAsia="Times New Roman" w:cs="Times New Roman"/>
          <w:lang w:eastAsia="lv-LV"/>
        </w:rPr>
        <w:t>Tā brīža</w:t>
      </w:r>
      <w:r w:rsidR="002556C8" w:rsidRPr="002D5471">
        <w:rPr>
          <w:rFonts w:eastAsia="Times New Roman" w:cs="Times New Roman"/>
          <w:lang w:eastAsia="lv-LV"/>
        </w:rPr>
        <w:t xml:space="preserve"> statistisk</w:t>
      </w:r>
      <w:r w:rsidR="009C4B35">
        <w:rPr>
          <w:rFonts w:eastAsia="Times New Roman" w:cs="Times New Roman"/>
          <w:lang w:eastAsia="lv-LV"/>
        </w:rPr>
        <w:t>o</w:t>
      </w:r>
      <w:r w:rsidR="002556C8" w:rsidRPr="002D5471">
        <w:rPr>
          <w:rFonts w:eastAsia="Times New Roman" w:cs="Times New Roman"/>
          <w:lang w:eastAsia="lv-LV"/>
        </w:rPr>
        <w:t xml:space="preserve"> reģionu iedalījumā Rīgas pilsēta </w:t>
      </w:r>
      <w:r w:rsidR="00515031">
        <w:rPr>
          <w:rFonts w:eastAsia="Times New Roman" w:cs="Times New Roman"/>
          <w:lang w:eastAsia="lv-LV"/>
        </w:rPr>
        <w:t>bija kā</w:t>
      </w:r>
      <w:r w:rsidR="002556C8" w:rsidRPr="002D5471">
        <w:rPr>
          <w:rFonts w:eastAsia="Times New Roman" w:cs="Times New Roman"/>
          <w:lang w:eastAsia="lv-LV"/>
        </w:rPr>
        <w:t xml:space="preserve"> atsevišķs statistiskais reģions</w:t>
      </w:r>
      <w:r w:rsidR="00515031">
        <w:rPr>
          <w:rFonts w:eastAsia="Times New Roman" w:cs="Times New Roman"/>
          <w:lang w:eastAsia="lv-LV"/>
        </w:rPr>
        <w:t>, savukārt</w:t>
      </w:r>
      <w:r w:rsidR="002556C8" w:rsidRPr="002D5471">
        <w:rPr>
          <w:rFonts w:eastAsia="Times New Roman" w:cs="Times New Roman"/>
          <w:lang w:eastAsia="lv-LV"/>
        </w:rPr>
        <w:t xml:space="preserve"> Pierīgas statistiskais reģions aptv</w:t>
      </w:r>
      <w:r w:rsidR="00515031">
        <w:rPr>
          <w:rFonts w:eastAsia="Times New Roman" w:cs="Times New Roman"/>
          <w:lang w:eastAsia="lv-LV"/>
        </w:rPr>
        <w:t>ēra</w:t>
      </w:r>
      <w:r w:rsidR="002556C8" w:rsidRPr="002D5471">
        <w:rPr>
          <w:rFonts w:eastAsia="Times New Roman" w:cs="Times New Roman"/>
          <w:lang w:eastAsia="lv-LV"/>
        </w:rPr>
        <w:t xml:space="preserve"> plašu teritoriju ar atšķirīgiem sociālekonomiskiem un demogrāfiskiem raksturlielumiem, līdz ar to reģionālās statistikas rādītāju piemērošanas iespējas </w:t>
      </w:r>
      <w:r w:rsidR="002556C8" w:rsidRPr="002D5471">
        <w:rPr>
          <w:rFonts w:eastAsia="Times New Roman" w:cs="Times New Roman"/>
          <w:lang w:eastAsia="lv-LV"/>
        </w:rPr>
        <w:lastRenderedPageBreak/>
        <w:t xml:space="preserve">(piemēram, iedzīvotāju skaita izmaiņas vai reģionālais IKP) </w:t>
      </w:r>
      <w:r w:rsidR="00DC14E7">
        <w:rPr>
          <w:rFonts w:eastAsia="Times New Roman" w:cs="Times New Roman"/>
          <w:lang w:eastAsia="lv-LV"/>
        </w:rPr>
        <w:t>bija</w:t>
      </w:r>
      <w:r w:rsidR="002556C8" w:rsidRPr="002D5471">
        <w:rPr>
          <w:rFonts w:eastAsia="Times New Roman" w:cs="Times New Roman"/>
          <w:lang w:eastAsia="lv-LV"/>
        </w:rPr>
        <w:t xml:space="preserve"> krietni ierobežotas lēmumu pieņemšanā, jo reģionu veidojošās vienības </w:t>
      </w:r>
      <w:r w:rsidR="00D50D62">
        <w:rPr>
          <w:rFonts w:eastAsia="Times New Roman" w:cs="Times New Roman"/>
          <w:lang w:eastAsia="lv-LV"/>
        </w:rPr>
        <w:t>bija</w:t>
      </w:r>
      <w:r w:rsidR="002556C8" w:rsidRPr="002D5471">
        <w:rPr>
          <w:rFonts w:eastAsia="Times New Roman" w:cs="Times New Roman"/>
          <w:lang w:eastAsia="lv-LV"/>
        </w:rPr>
        <w:t xml:space="preserve"> ļoti atšķirīgas teritoriālās attīstības rādītāju ziņā.</w:t>
      </w:r>
      <w:r w:rsidR="00D50D62">
        <w:rPr>
          <w:rFonts w:eastAsia="Times New Roman" w:cs="Times New Roman"/>
          <w:lang w:eastAsia="lv-LV"/>
        </w:rPr>
        <w:t xml:space="preserve"> </w:t>
      </w:r>
      <w:r w:rsidR="00EA2F83">
        <w:rPr>
          <w:rFonts w:eastAsia="Times New Roman" w:cs="Times New Roman"/>
          <w:lang w:eastAsia="lv-LV"/>
        </w:rPr>
        <w:t>R</w:t>
      </w:r>
      <w:r w:rsidR="00DA35F3" w:rsidRPr="00DA35F3">
        <w:rPr>
          <w:rFonts w:eastAsia="Times New Roman" w:cs="Times New Roman"/>
          <w:lang w:eastAsia="lv-LV"/>
        </w:rPr>
        <w:t>eģionālās statistikas salīdzināmības nolūkā un, lai veidotu viendabīgāku reģionālo struktūru iedzīvotāju skaita ziņā, Latvija (</w:t>
      </w:r>
      <w:r w:rsidR="009E6161" w:rsidRPr="009E6161">
        <w:rPr>
          <w:rFonts w:eastAsia="Times New Roman" w:cs="Times New Roman"/>
          <w:lang w:eastAsia="lv-LV"/>
        </w:rPr>
        <w:t xml:space="preserve">Centrālā statistikas pārvalde </w:t>
      </w:r>
      <w:r w:rsidR="00BA0E66">
        <w:rPr>
          <w:rFonts w:eastAsia="Times New Roman" w:cs="Times New Roman"/>
          <w:lang w:eastAsia="lv-LV"/>
        </w:rPr>
        <w:t xml:space="preserve">sadarbībā </w:t>
      </w:r>
      <w:r w:rsidR="00DA35F3" w:rsidRPr="00DA35F3">
        <w:rPr>
          <w:rFonts w:eastAsia="Times New Roman" w:cs="Times New Roman"/>
          <w:lang w:eastAsia="lv-LV"/>
        </w:rPr>
        <w:t xml:space="preserve">ar </w:t>
      </w:r>
      <w:r w:rsidR="0065760E" w:rsidRPr="00185E64">
        <w:t>Vides aizsardzības un reģionālās attīstības ministrij</w:t>
      </w:r>
      <w:r w:rsidR="0065760E">
        <w:t>u</w:t>
      </w:r>
      <w:r w:rsidR="00DA35F3" w:rsidRPr="00DA35F3">
        <w:rPr>
          <w:rFonts w:eastAsia="Times New Roman" w:cs="Times New Roman"/>
          <w:lang w:eastAsia="lv-LV"/>
        </w:rPr>
        <w:t xml:space="preserve">), atsaucoties uz Ministru kabineta 2021. gada 22. jūnija noteikumiem Nr. 418 </w:t>
      </w:r>
      <w:r w:rsidR="00BA0E66">
        <w:rPr>
          <w:rFonts w:eastAsia="Times New Roman" w:cs="Times New Roman"/>
          <w:lang w:eastAsia="lv-LV"/>
        </w:rPr>
        <w:t>“</w:t>
      </w:r>
      <w:r w:rsidR="00DA35F3" w:rsidRPr="00DA35F3">
        <w:rPr>
          <w:rFonts w:eastAsia="Times New Roman" w:cs="Times New Roman"/>
          <w:lang w:eastAsia="lv-LV"/>
        </w:rPr>
        <w:t>Noteikumi par plānošanas reģionu teritorijām</w:t>
      </w:r>
      <w:r w:rsidR="00BA0E66">
        <w:rPr>
          <w:rFonts w:eastAsia="Times New Roman" w:cs="Times New Roman"/>
          <w:lang w:eastAsia="lv-LV"/>
        </w:rPr>
        <w:t>”</w:t>
      </w:r>
      <w:r w:rsidR="00417204">
        <w:rPr>
          <w:rFonts w:eastAsia="Times New Roman" w:cs="Times New Roman"/>
          <w:lang w:eastAsia="lv-LV"/>
        </w:rPr>
        <w:t xml:space="preserve"> (turpmāk – MK noteikumi Nr. 418)</w:t>
      </w:r>
      <w:r w:rsidR="00DA35F3" w:rsidRPr="00DA35F3">
        <w:rPr>
          <w:rFonts w:eastAsia="Times New Roman" w:cs="Times New Roman"/>
          <w:lang w:eastAsia="lv-LV"/>
        </w:rPr>
        <w:t xml:space="preserve">, </w:t>
      </w:r>
      <w:r w:rsidR="00776EA6">
        <w:rPr>
          <w:rFonts w:eastAsia="Times New Roman" w:cs="Times New Roman"/>
          <w:lang w:eastAsia="lv-LV"/>
        </w:rPr>
        <w:t xml:space="preserve">2022. gada sākumā </w:t>
      </w:r>
      <w:r w:rsidR="00DA35F3" w:rsidRPr="00DA35F3">
        <w:rPr>
          <w:rFonts w:eastAsia="Times New Roman" w:cs="Times New Roman"/>
          <w:lang w:eastAsia="lv-LV"/>
        </w:rPr>
        <w:t xml:space="preserve">iesniedza </w:t>
      </w:r>
      <w:r w:rsidR="00BA0E66">
        <w:rPr>
          <w:rFonts w:eastAsia="Times New Roman" w:cs="Times New Roman"/>
          <w:lang w:eastAsia="lv-LV"/>
        </w:rPr>
        <w:t>EK</w:t>
      </w:r>
      <w:r w:rsidR="00BA0E66" w:rsidRPr="00DA35F3">
        <w:rPr>
          <w:rFonts w:eastAsia="Times New Roman" w:cs="Times New Roman"/>
          <w:lang w:eastAsia="lv-LV"/>
        </w:rPr>
        <w:t xml:space="preserve"> (</w:t>
      </w:r>
      <w:proofErr w:type="spellStart"/>
      <w:r w:rsidR="00BA0E66" w:rsidRPr="00BA0E66">
        <w:rPr>
          <w:rFonts w:eastAsia="Times New Roman" w:cs="Times New Roman"/>
          <w:i/>
          <w:iCs/>
          <w:lang w:eastAsia="lv-LV"/>
        </w:rPr>
        <w:t>Eurostat</w:t>
      </w:r>
      <w:proofErr w:type="spellEnd"/>
      <w:r w:rsidR="00BA0E66" w:rsidRPr="00DA35F3">
        <w:rPr>
          <w:rFonts w:eastAsia="Times New Roman" w:cs="Times New Roman"/>
          <w:lang w:eastAsia="lv-LV"/>
        </w:rPr>
        <w:t xml:space="preserve">) </w:t>
      </w:r>
      <w:r w:rsidR="00DA35F3" w:rsidRPr="00DA35F3">
        <w:rPr>
          <w:rFonts w:eastAsia="Times New Roman" w:cs="Times New Roman"/>
          <w:lang w:eastAsia="lv-LV"/>
        </w:rPr>
        <w:t>priekšlikumu par statistisko reģionu izmaiņām</w:t>
      </w:r>
      <w:r w:rsidR="00345764">
        <w:rPr>
          <w:rFonts w:eastAsia="Times New Roman" w:cs="Times New Roman"/>
          <w:lang w:eastAsia="lv-LV"/>
        </w:rPr>
        <w:t xml:space="preserve"> (</w:t>
      </w:r>
      <w:r w:rsidR="00345764">
        <w:rPr>
          <w:rFonts w:eastAsia="Times New Roman" w:cs="Times New Roman"/>
          <w:i/>
          <w:iCs/>
          <w:lang w:eastAsia="lv-LV"/>
        </w:rPr>
        <w:t>NUTS </w:t>
      </w:r>
      <w:r w:rsidR="00345764">
        <w:rPr>
          <w:rFonts w:eastAsia="Times New Roman" w:cs="Times New Roman"/>
          <w:lang w:eastAsia="lv-LV"/>
        </w:rPr>
        <w:t>3)</w:t>
      </w:r>
      <w:r w:rsidR="00DA35F3" w:rsidRPr="00DA35F3">
        <w:rPr>
          <w:rFonts w:eastAsia="Times New Roman" w:cs="Times New Roman"/>
          <w:lang w:eastAsia="lv-LV"/>
        </w:rPr>
        <w:t>, lai statistiskos reģionus pielāgotu plānošanas reģioniem</w:t>
      </w:r>
      <w:r w:rsidR="00776EA6">
        <w:rPr>
          <w:rFonts w:eastAsia="Times New Roman" w:cs="Times New Roman"/>
          <w:lang w:eastAsia="lv-LV"/>
        </w:rPr>
        <w:t>.</w:t>
      </w:r>
      <w:r w:rsidR="0049625D">
        <w:rPr>
          <w:rStyle w:val="FootnoteReference"/>
          <w:rFonts w:eastAsia="Times New Roman" w:cs="Times New Roman"/>
          <w:lang w:eastAsia="lv-LV"/>
        </w:rPr>
        <w:footnoteReference w:id="7"/>
      </w:r>
      <w:r w:rsidR="00417204">
        <w:rPr>
          <w:rFonts w:eastAsia="Times New Roman" w:cs="Times New Roman"/>
          <w:lang w:eastAsia="lv-LV"/>
        </w:rPr>
        <w:t xml:space="preserve"> </w:t>
      </w:r>
      <w:r w:rsidR="00EA2F83">
        <w:rPr>
          <w:rFonts w:eastAsia="Times New Roman" w:cs="Times New Roman"/>
          <w:lang w:eastAsia="lv-LV"/>
        </w:rPr>
        <w:t xml:space="preserve">Līdz ar to </w:t>
      </w:r>
      <w:r w:rsidR="007A6030">
        <w:rPr>
          <w:rFonts w:eastAsia="Times New Roman" w:cs="Times New Roman"/>
          <w:lang w:eastAsia="lv-LV"/>
        </w:rPr>
        <w:t>sešu statistisko reģionu (</w:t>
      </w:r>
      <w:r w:rsidR="007A6030" w:rsidRPr="007A6030">
        <w:rPr>
          <w:rFonts w:eastAsia="Times New Roman" w:cs="Times New Roman"/>
          <w:i/>
          <w:iCs/>
          <w:lang w:eastAsia="lv-LV"/>
        </w:rPr>
        <w:t>Kurzemes, Latgales, Pierīgas, Rīgas, Vidzemes, Zemgales statistisko reģionu</w:t>
      </w:r>
      <w:r w:rsidR="007A6030">
        <w:rPr>
          <w:rFonts w:eastAsia="Times New Roman" w:cs="Times New Roman"/>
          <w:lang w:eastAsia="lv-LV"/>
        </w:rPr>
        <w:t>)</w:t>
      </w:r>
      <w:r w:rsidR="00184D76">
        <w:rPr>
          <w:rFonts w:eastAsia="Times New Roman" w:cs="Times New Roman"/>
          <w:lang w:eastAsia="lv-LV"/>
        </w:rPr>
        <w:t xml:space="preserve"> vietā Latvijā </w:t>
      </w:r>
      <w:r w:rsidR="00C02A16">
        <w:rPr>
          <w:rFonts w:eastAsia="Times New Roman" w:cs="Times New Roman"/>
          <w:lang w:eastAsia="lv-LV"/>
        </w:rPr>
        <w:t>tika izveidoti</w:t>
      </w:r>
      <w:r w:rsidR="00184D76">
        <w:rPr>
          <w:rFonts w:eastAsia="Times New Roman" w:cs="Times New Roman"/>
          <w:lang w:eastAsia="lv-LV"/>
        </w:rPr>
        <w:t xml:space="preserve"> pieci statistiskie reģioni</w:t>
      </w:r>
      <w:r w:rsidR="00417204">
        <w:rPr>
          <w:rFonts w:eastAsia="Times New Roman" w:cs="Times New Roman"/>
          <w:lang w:eastAsia="lv-LV"/>
        </w:rPr>
        <w:t>, kuru robežas sakrīt ar plānošanas reģionu robežām, kas noteiktas MK noteikumos Nr. 418.</w:t>
      </w:r>
    </w:p>
    <w:p w14:paraId="60A3A8C7" w14:textId="6BC760B7" w:rsidR="002100B4" w:rsidRDefault="00734349" w:rsidP="00C94C55">
      <w:pPr>
        <w:ind w:firstLine="720"/>
        <w:rPr>
          <w:rFonts w:eastAsia="Times New Roman" w:cs="Times New Roman"/>
          <w:lang w:eastAsia="lv-LV"/>
        </w:rPr>
      </w:pPr>
      <w:r>
        <w:rPr>
          <w:rFonts w:eastAsia="Times New Roman" w:cs="Times New Roman"/>
          <w:lang w:eastAsia="lv-LV"/>
        </w:rPr>
        <w:t xml:space="preserve">Nākamais uzsaukums </w:t>
      </w:r>
      <w:r w:rsidR="00221249">
        <w:rPr>
          <w:rFonts w:eastAsia="Times New Roman" w:cs="Times New Roman"/>
          <w:i/>
          <w:iCs/>
          <w:lang w:eastAsia="lv-LV"/>
        </w:rPr>
        <w:t>NUTS</w:t>
      </w:r>
      <w:r w:rsidR="00221249">
        <w:rPr>
          <w:rFonts w:eastAsia="Times New Roman" w:cs="Times New Roman"/>
          <w:lang w:eastAsia="lv-LV"/>
        </w:rPr>
        <w:t xml:space="preserve"> klasifikācijas grozījumiem </w:t>
      </w:r>
      <w:r>
        <w:rPr>
          <w:rFonts w:eastAsia="Times New Roman" w:cs="Times New Roman"/>
          <w:lang w:eastAsia="lv-LV"/>
        </w:rPr>
        <w:t xml:space="preserve">gaidāms 2024. gada </w:t>
      </w:r>
      <w:r w:rsidR="00221249">
        <w:rPr>
          <w:rFonts w:eastAsia="Times New Roman" w:cs="Times New Roman"/>
          <w:lang w:eastAsia="lv-LV"/>
        </w:rPr>
        <w:t>rudenī</w:t>
      </w:r>
      <w:r w:rsidR="00017611">
        <w:rPr>
          <w:rFonts w:eastAsia="Times New Roman" w:cs="Times New Roman"/>
          <w:lang w:eastAsia="lv-LV"/>
        </w:rPr>
        <w:t>, kad dalībvalstīm līdz</w:t>
      </w:r>
      <w:r w:rsidR="00221249">
        <w:rPr>
          <w:rFonts w:eastAsia="Times New Roman" w:cs="Times New Roman"/>
          <w:lang w:eastAsia="lv-LV"/>
        </w:rPr>
        <w:t xml:space="preserve"> </w:t>
      </w:r>
      <w:r w:rsidR="002100B4" w:rsidRPr="002100B4">
        <w:rPr>
          <w:rFonts w:eastAsia="Times New Roman" w:cs="Times New Roman"/>
          <w:lang w:eastAsia="lv-LV"/>
        </w:rPr>
        <w:t xml:space="preserve">2025. gada </w:t>
      </w:r>
      <w:r w:rsidR="00017611">
        <w:rPr>
          <w:rFonts w:eastAsia="Times New Roman" w:cs="Times New Roman"/>
          <w:lang w:eastAsia="lv-LV"/>
        </w:rPr>
        <w:t>1</w:t>
      </w:r>
      <w:r w:rsidR="002100B4" w:rsidRPr="002100B4">
        <w:rPr>
          <w:rFonts w:eastAsia="Times New Roman" w:cs="Times New Roman"/>
          <w:lang w:eastAsia="lv-LV"/>
        </w:rPr>
        <w:t xml:space="preserve">. februārim </w:t>
      </w:r>
      <w:r w:rsidR="00017611">
        <w:rPr>
          <w:rFonts w:eastAsia="Times New Roman" w:cs="Times New Roman"/>
          <w:lang w:eastAsia="lv-LV"/>
        </w:rPr>
        <w:t xml:space="preserve">jāiesniedz priekšlikumi </w:t>
      </w:r>
      <w:r w:rsidR="0037441E">
        <w:rPr>
          <w:rFonts w:eastAsia="Times New Roman" w:cs="Times New Roman"/>
          <w:lang w:eastAsia="lv-LV"/>
        </w:rPr>
        <w:t>EK</w:t>
      </w:r>
      <w:r w:rsidR="002100B4" w:rsidRPr="002100B4">
        <w:rPr>
          <w:rFonts w:eastAsia="Times New Roman" w:cs="Times New Roman"/>
          <w:lang w:eastAsia="lv-LV"/>
        </w:rPr>
        <w:t xml:space="preserve"> par izmaiņām</w:t>
      </w:r>
      <w:r w:rsidR="002100B4">
        <w:rPr>
          <w:rFonts w:eastAsia="Times New Roman" w:cs="Times New Roman"/>
          <w:lang w:eastAsia="lv-LV"/>
        </w:rPr>
        <w:t xml:space="preserve"> </w:t>
      </w:r>
      <w:r w:rsidR="002100B4">
        <w:rPr>
          <w:rFonts w:eastAsia="Times New Roman" w:cs="Times New Roman"/>
          <w:i/>
          <w:iCs/>
          <w:lang w:eastAsia="lv-LV"/>
        </w:rPr>
        <w:t>NUTS</w:t>
      </w:r>
      <w:r w:rsidR="002B3AB9">
        <w:rPr>
          <w:rFonts w:eastAsia="Times New Roman" w:cs="Times New Roman"/>
          <w:lang w:eastAsia="lv-LV"/>
        </w:rPr>
        <w:t xml:space="preserve"> </w:t>
      </w:r>
      <w:r w:rsidR="002100B4" w:rsidRPr="002100B4">
        <w:rPr>
          <w:rFonts w:eastAsia="Times New Roman" w:cs="Times New Roman"/>
          <w:lang w:eastAsia="lv-LV"/>
        </w:rPr>
        <w:t>klasifikācijā</w:t>
      </w:r>
      <w:r w:rsidR="00761DBC">
        <w:rPr>
          <w:rFonts w:eastAsia="Times New Roman" w:cs="Times New Roman"/>
          <w:lang w:eastAsia="lv-LV"/>
        </w:rPr>
        <w:t xml:space="preserve"> </w:t>
      </w:r>
      <w:r w:rsidR="002100B4">
        <w:rPr>
          <w:rFonts w:eastAsia="Times New Roman" w:cs="Times New Roman"/>
          <w:lang w:eastAsia="lv-LV"/>
        </w:rPr>
        <w:t>(</w:t>
      </w:r>
      <w:r w:rsidR="002100B4" w:rsidRPr="002770BA">
        <w:rPr>
          <w:rFonts w:eastAsia="Times New Roman" w:cs="Times New Roman"/>
          <w:i/>
          <w:iCs/>
          <w:lang w:eastAsia="lv-LV"/>
        </w:rPr>
        <w:t>NUTS</w:t>
      </w:r>
      <w:r w:rsidR="00810A34">
        <w:rPr>
          <w:rFonts w:eastAsia="Times New Roman" w:cs="Times New Roman"/>
          <w:i/>
          <w:iCs/>
          <w:lang w:eastAsia="lv-LV"/>
        </w:rPr>
        <w:t> </w:t>
      </w:r>
      <w:r w:rsidR="002100B4" w:rsidRPr="002770BA">
        <w:rPr>
          <w:rFonts w:eastAsia="Times New Roman" w:cs="Times New Roman"/>
          <w:i/>
          <w:iCs/>
          <w:lang w:eastAsia="lv-LV"/>
        </w:rPr>
        <w:t>2027</w:t>
      </w:r>
      <w:r w:rsidR="002100B4">
        <w:rPr>
          <w:rFonts w:eastAsia="Times New Roman" w:cs="Times New Roman"/>
          <w:lang w:eastAsia="lv-LV"/>
        </w:rPr>
        <w:t>)</w:t>
      </w:r>
      <w:r w:rsidR="002100B4" w:rsidRPr="002100B4">
        <w:rPr>
          <w:rFonts w:eastAsia="Times New Roman" w:cs="Times New Roman"/>
          <w:lang w:eastAsia="lv-LV"/>
        </w:rPr>
        <w:t>, kas būtu spēkā no 2027. gada 1. janvāra.</w:t>
      </w:r>
      <w:bookmarkEnd w:id="1"/>
      <w:r w:rsidR="00C02A16">
        <w:rPr>
          <w:rFonts w:eastAsia="Times New Roman" w:cs="Times New Roman"/>
          <w:lang w:eastAsia="lv-LV"/>
        </w:rPr>
        <w:t xml:space="preserve"> Līdz ar to, ja Latvija vēlētos mainīt </w:t>
      </w:r>
      <w:r w:rsidR="00C02A16">
        <w:rPr>
          <w:rFonts w:eastAsia="Times New Roman" w:cs="Times New Roman"/>
          <w:i/>
          <w:iCs/>
          <w:lang w:eastAsia="lv-LV"/>
        </w:rPr>
        <w:t>NUTS</w:t>
      </w:r>
      <w:r w:rsidR="00C02A16">
        <w:rPr>
          <w:rFonts w:eastAsia="Times New Roman" w:cs="Times New Roman"/>
          <w:lang w:eastAsia="lv-LV"/>
        </w:rPr>
        <w:t xml:space="preserve"> 2 </w:t>
      </w:r>
      <w:r w:rsidR="00E7258F">
        <w:rPr>
          <w:rFonts w:eastAsia="Times New Roman" w:cs="Times New Roman"/>
          <w:lang w:eastAsia="lv-LV"/>
        </w:rPr>
        <w:t>dalījumu (</w:t>
      </w:r>
      <w:r w:rsidR="0030688E">
        <w:rPr>
          <w:rFonts w:eastAsia="Times New Roman" w:cs="Times New Roman"/>
          <w:lang w:eastAsia="lv-LV"/>
        </w:rPr>
        <w:t xml:space="preserve">piemēram, </w:t>
      </w:r>
      <w:r w:rsidR="0030688E" w:rsidRPr="0030688E">
        <w:rPr>
          <w:rFonts w:eastAsia="Times New Roman" w:cs="Times New Roman"/>
          <w:lang w:eastAsia="lv-LV"/>
        </w:rPr>
        <w:t xml:space="preserve">izveidojot divus </w:t>
      </w:r>
      <w:r w:rsidR="0030688E" w:rsidRPr="0030688E">
        <w:rPr>
          <w:rFonts w:eastAsia="Times New Roman" w:cs="Times New Roman"/>
          <w:i/>
          <w:iCs/>
          <w:lang w:eastAsia="lv-LV"/>
        </w:rPr>
        <w:t>NUTS</w:t>
      </w:r>
      <w:r w:rsidR="0030688E" w:rsidRPr="0030688E">
        <w:rPr>
          <w:rFonts w:eastAsia="Times New Roman" w:cs="Times New Roman"/>
          <w:lang w:eastAsia="lv-LV"/>
        </w:rPr>
        <w:t> 2 reģionus</w:t>
      </w:r>
      <w:r w:rsidR="0030688E">
        <w:rPr>
          <w:rFonts w:eastAsia="Times New Roman" w:cs="Times New Roman"/>
          <w:lang w:eastAsia="lv-LV"/>
        </w:rPr>
        <w:t>), nacionālais lēmums, uz kā balstīt priekšlikumu</w:t>
      </w:r>
      <w:r w:rsidR="00DF6AC1">
        <w:rPr>
          <w:rFonts w:eastAsia="Times New Roman" w:cs="Times New Roman"/>
          <w:lang w:eastAsia="lv-LV"/>
        </w:rPr>
        <w:t xml:space="preserve"> sarunām ar EK</w:t>
      </w:r>
      <w:r w:rsidR="0030688E">
        <w:rPr>
          <w:rFonts w:eastAsia="Times New Roman" w:cs="Times New Roman"/>
          <w:lang w:eastAsia="lv-LV"/>
        </w:rPr>
        <w:t xml:space="preserve">, būtu jāpieņem </w:t>
      </w:r>
      <w:r w:rsidR="00361BC0">
        <w:rPr>
          <w:rFonts w:eastAsia="Times New Roman" w:cs="Times New Roman"/>
          <w:lang w:eastAsia="lv-LV"/>
        </w:rPr>
        <w:t>līdz 202</w:t>
      </w:r>
      <w:r w:rsidR="00DF6AC1">
        <w:rPr>
          <w:rFonts w:eastAsia="Times New Roman" w:cs="Times New Roman"/>
          <w:lang w:eastAsia="lv-LV"/>
        </w:rPr>
        <w:t>4</w:t>
      </w:r>
      <w:r w:rsidR="00361BC0">
        <w:rPr>
          <w:rFonts w:eastAsia="Times New Roman" w:cs="Times New Roman"/>
          <w:lang w:eastAsia="lv-LV"/>
        </w:rPr>
        <w:t xml:space="preserve">. gada </w:t>
      </w:r>
      <w:r w:rsidR="00DF6AC1">
        <w:rPr>
          <w:rFonts w:eastAsia="Times New Roman" w:cs="Times New Roman"/>
          <w:lang w:eastAsia="lv-LV"/>
        </w:rPr>
        <w:t>1. septembrim</w:t>
      </w:r>
      <w:r w:rsidR="00361BC0">
        <w:rPr>
          <w:rFonts w:eastAsia="Times New Roman" w:cs="Times New Roman"/>
          <w:lang w:eastAsia="lv-LV"/>
        </w:rPr>
        <w:t>.</w:t>
      </w:r>
    </w:p>
    <w:p w14:paraId="76425CBA" w14:textId="77777777" w:rsidR="0001133D" w:rsidRPr="0030688E" w:rsidRDefault="0001133D" w:rsidP="00C94C55">
      <w:pPr>
        <w:ind w:firstLine="720"/>
        <w:rPr>
          <w:rFonts w:eastAsia="Times New Roman" w:cs="Times New Roman"/>
          <w:lang w:eastAsia="lv-LV"/>
        </w:rPr>
      </w:pPr>
    </w:p>
    <w:p w14:paraId="4A8B21A6" w14:textId="36CE02DF" w:rsidR="00CC28D7" w:rsidRPr="00CC28D7" w:rsidRDefault="0046067D" w:rsidP="0001133D">
      <w:pPr>
        <w:pStyle w:val="Heading1"/>
        <w:rPr>
          <w:rFonts w:hint="eastAsia"/>
        </w:rPr>
      </w:pPr>
      <w:bookmarkStart w:id="2" w:name="_Toc88646863"/>
      <w:bookmarkStart w:id="3" w:name="_Toc166844069"/>
      <w:r w:rsidRPr="009C1203">
        <w:rPr>
          <w:i/>
          <w:iCs/>
        </w:rPr>
        <w:t>NUTS</w:t>
      </w:r>
      <w:r w:rsidRPr="009C1203">
        <w:t xml:space="preserve"> </w:t>
      </w:r>
      <w:r>
        <w:t>kategorijas</w:t>
      </w:r>
      <w:r w:rsidRPr="009C1203">
        <w:t xml:space="preserve"> un </w:t>
      </w:r>
      <w:r>
        <w:t>attīstības tendences</w:t>
      </w:r>
      <w:bookmarkEnd w:id="2"/>
      <w:bookmarkEnd w:id="3"/>
    </w:p>
    <w:p w14:paraId="3AD8D7BF" w14:textId="15CA96B6" w:rsidR="00CC28D7" w:rsidRPr="00AA350D" w:rsidRDefault="00CC28D7" w:rsidP="00D60739">
      <w:pPr>
        <w:spacing w:after="120"/>
        <w:ind w:firstLine="720"/>
        <w:rPr>
          <w:rFonts w:cs="Times New Roman"/>
        </w:rPr>
      </w:pPr>
      <w:r w:rsidRPr="00AA350D">
        <w:rPr>
          <w:i/>
          <w:iCs/>
        </w:rPr>
        <w:t>NUTS</w:t>
      </w:r>
      <w:r w:rsidRPr="00AA350D">
        <w:t xml:space="preserve"> klasifikācija ir nozīmīga arī ES fondu plānošanā</w:t>
      </w:r>
      <w:r w:rsidRPr="00AA350D">
        <w:rPr>
          <w:rStyle w:val="FootnoteReference"/>
        </w:rPr>
        <w:footnoteReference w:id="8"/>
      </w:r>
      <w:r w:rsidRPr="00AA350D">
        <w:t xml:space="preserve">, jo </w:t>
      </w:r>
      <w:r w:rsidRPr="00AA350D">
        <w:rPr>
          <w:i/>
          <w:iCs/>
        </w:rPr>
        <w:t>NUTS</w:t>
      </w:r>
      <w:r w:rsidRPr="00AA350D">
        <w:t xml:space="preserve"> nomenklatūra tiek izmantota ES reģionālās politikas strukturēšanā, nosakot reģionus, kas kvalificējas ES struktūrfondu atbalstam.</w:t>
      </w:r>
      <w:r>
        <w:t xml:space="preserve"> </w:t>
      </w:r>
      <w:r w:rsidRPr="00AA350D">
        <w:t xml:space="preserve">Saskaņā ar </w:t>
      </w:r>
      <w:r w:rsidR="00EF2364" w:rsidRPr="00EF2364">
        <w:t>Eiropas Parlamenta un Padomes 2021.</w:t>
      </w:r>
      <w:r w:rsidR="00B84E78">
        <w:t> </w:t>
      </w:r>
      <w:r w:rsidR="00EF2364" w:rsidRPr="00EF2364">
        <w:t>gada 24.</w:t>
      </w:r>
      <w:r w:rsidR="00B84E78">
        <w:t> </w:t>
      </w:r>
      <w:r w:rsidR="00EF2364" w:rsidRPr="00EF2364">
        <w:t>jūnija Regulas (ES) Nr. </w:t>
      </w:r>
      <w:hyperlink r:id="rId13" w:tgtFrame="_blank" w:history="1">
        <w:r w:rsidR="00EF2364" w:rsidRPr="00EF2364">
          <w:rPr>
            <w:rStyle w:val="Hyperlink"/>
          </w:rPr>
          <w:t>2021/1060</w:t>
        </w:r>
      </w:hyperlink>
      <w:r w:rsidR="00EF2364" w:rsidRPr="00EF2364">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Pr="00AA350D">
        <w:t xml:space="preserve"> </w:t>
      </w:r>
      <w:r w:rsidR="0016715F">
        <w:t>108</w:t>
      </w:r>
      <w:r w:rsidRPr="00AA350D">
        <w:t>. panta 2. punktu resursus mērķim “</w:t>
      </w:r>
      <w:r w:rsidR="00F3305B" w:rsidRPr="00F3305B">
        <w:t>Investīcijas nodarbinātībai un izaugsmei”</w:t>
      </w:r>
      <w:r w:rsidRPr="00AA350D">
        <w:t xml:space="preserve"> </w:t>
      </w:r>
      <w:r w:rsidRPr="00AA350D">
        <w:rPr>
          <w:rFonts w:cs="Times New Roman"/>
        </w:rPr>
        <w:t xml:space="preserve">ES fondu 2021.–2027. gada plānošanas periodā piešķir par šādām </w:t>
      </w:r>
      <w:r w:rsidRPr="00AA350D">
        <w:rPr>
          <w:rFonts w:cs="Times New Roman"/>
          <w:i/>
          <w:iCs/>
        </w:rPr>
        <w:t>NUTS</w:t>
      </w:r>
      <w:r w:rsidRPr="00AA350D">
        <w:rPr>
          <w:rFonts w:cs="Times New Roman"/>
        </w:rPr>
        <w:t xml:space="preserve"> 2 līmeņa reģionu kategorijām:</w:t>
      </w:r>
    </w:p>
    <w:p w14:paraId="2BD99799" w14:textId="36595E5D" w:rsidR="00CC28D7" w:rsidRPr="00AA350D" w:rsidRDefault="00CC28D7" w:rsidP="00D60739">
      <w:pPr>
        <w:pStyle w:val="ListParagraph"/>
        <w:numPr>
          <w:ilvl w:val="0"/>
          <w:numId w:val="5"/>
        </w:numPr>
        <w:spacing w:after="120"/>
        <w:ind w:left="1134" w:hanging="357"/>
        <w:contextualSpacing w:val="0"/>
        <w:rPr>
          <w:rFonts w:cs="Times New Roman"/>
        </w:rPr>
      </w:pPr>
      <w:r w:rsidRPr="00AA350D">
        <w:rPr>
          <w:rFonts w:cs="Times New Roman"/>
          <w:i/>
        </w:rPr>
        <w:t xml:space="preserve">mazāk attīstīti </w:t>
      </w:r>
      <w:r w:rsidRPr="00E550F8">
        <w:rPr>
          <w:rFonts w:cs="Times New Roman"/>
          <w:iCs/>
        </w:rPr>
        <w:t>reģioni</w:t>
      </w:r>
      <w:r w:rsidRPr="00AA350D">
        <w:rPr>
          <w:rFonts w:cs="Times New Roman"/>
        </w:rPr>
        <w:t xml:space="preserve">, kuros </w:t>
      </w:r>
      <w:r w:rsidR="009E6161">
        <w:t>i</w:t>
      </w:r>
      <w:r w:rsidR="009E6161" w:rsidRPr="00185E64">
        <w:t>ekšzemes kopprodukts</w:t>
      </w:r>
      <w:r w:rsidR="009E6161" w:rsidRPr="00AA350D">
        <w:rPr>
          <w:rFonts w:cs="Times New Roman"/>
        </w:rPr>
        <w:t xml:space="preserve"> </w:t>
      </w:r>
      <w:r w:rsidR="009E6161">
        <w:rPr>
          <w:rFonts w:cs="Times New Roman"/>
        </w:rPr>
        <w:t xml:space="preserve">(turpmāk – </w:t>
      </w:r>
      <w:r w:rsidRPr="00AA350D">
        <w:rPr>
          <w:rFonts w:cs="Times New Roman"/>
        </w:rPr>
        <w:t>IKP</w:t>
      </w:r>
      <w:r w:rsidR="009E6161">
        <w:rPr>
          <w:rFonts w:cs="Times New Roman"/>
        </w:rPr>
        <w:t>)</w:t>
      </w:r>
      <w:r w:rsidRPr="00AA350D">
        <w:rPr>
          <w:rFonts w:cs="Times New Roman"/>
        </w:rPr>
        <w:t xml:space="preserve"> uz vienu iedzīvotāju ir mazāks nekā 75% no vidējā IKP </w:t>
      </w:r>
      <w:r w:rsidR="009A6143" w:rsidRPr="009A6143">
        <w:rPr>
          <w:rFonts w:cs="Times New Roman"/>
        </w:rPr>
        <w:t>uz vienu iedzīvotāju </w:t>
      </w:r>
      <w:r w:rsidRPr="00AA350D">
        <w:rPr>
          <w:rFonts w:cs="Times New Roman"/>
        </w:rPr>
        <w:t>ES27 valstīs;</w:t>
      </w:r>
    </w:p>
    <w:p w14:paraId="5599A0EC" w14:textId="1D85E4C3" w:rsidR="00CC28D7" w:rsidRPr="00AA350D" w:rsidRDefault="00CC28D7" w:rsidP="00D60739">
      <w:pPr>
        <w:pStyle w:val="ListParagraph"/>
        <w:numPr>
          <w:ilvl w:val="0"/>
          <w:numId w:val="5"/>
        </w:numPr>
        <w:spacing w:after="120"/>
        <w:ind w:left="1134" w:hanging="357"/>
        <w:contextualSpacing w:val="0"/>
        <w:rPr>
          <w:iCs/>
        </w:rPr>
      </w:pPr>
      <w:r w:rsidRPr="00AA350D">
        <w:rPr>
          <w:rFonts w:cs="Times New Roman"/>
          <w:i/>
        </w:rPr>
        <w:t xml:space="preserve">pārejas </w:t>
      </w:r>
      <w:r w:rsidRPr="00E550F8">
        <w:rPr>
          <w:rFonts w:cs="Times New Roman"/>
          <w:iCs/>
        </w:rPr>
        <w:t>reģioni</w:t>
      </w:r>
      <w:r w:rsidRPr="00AA350D">
        <w:rPr>
          <w:rFonts w:cs="Times New Roman"/>
        </w:rPr>
        <w:t xml:space="preserve">, kuros IKP uz vienu iedzīvotāju ir no 75% līdz 100% no vidējā IKP </w:t>
      </w:r>
      <w:r w:rsidR="009A6143" w:rsidRPr="009A6143">
        <w:rPr>
          <w:rFonts w:cs="Times New Roman"/>
        </w:rPr>
        <w:t>uz vienu iedzīvotāju </w:t>
      </w:r>
      <w:r w:rsidRPr="00AA350D">
        <w:rPr>
          <w:rFonts w:cs="Times New Roman"/>
        </w:rPr>
        <w:t>ES27 valstīs;</w:t>
      </w:r>
    </w:p>
    <w:p w14:paraId="01BF5D7F" w14:textId="34A5D18D" w:rsidR="00CC28D7" w:rsidRPr="00AA350D" w:rsidRDefault="00CC28D7" w:rsidP="00D60739">
      <w:pPr>
        <w:pStyle w:val="ListParagraph"/>
        <w:numPr>
          <w:ilvl w:val="0"/>
          <w:numId w:val="5"/>
        </w:numPr>
        <w:spacing w:after="120"/>
        <w:ind w:left="1134" w:hanging="357"/>
        <w:contextualSpacing w:val="0"/>
        <w:rPr>
          <w:iCs/>
        </w:rPr>
      </w:pPr>
      <w:r w:rsidRPr="00AA350D">
        <w:rPr>
          <w:rFonts w:cs="Times New Roman"/>
          <w:i/>
        </w:rPr>
        <w:t xml:space="preserve">vairāk attīstīti </w:t>
      </w:r>
      <w:r w:rsidRPr="00E550F8">
        <w:rPr>
          <w:rFonts w:cs="Times New Roman"/>
          <w:iCs/>
        </w:rPr>
        <w:t>reģioni</w:t>
      </w:r>
      <w:r w:rsidRPr="00AA350D">
        <w:rPr>
          <w:rFonts w:cs="Times New Roman"/>
        </w:rPr>
        <w:t xml:space="preserve">, kuros IKP uz vienu iedzīvotāju ir augstāks nekā 100% no vidējā IKP </w:t>
      </w:r>
      <w:r w:rsidR="009A6143" w:rsidRPr="009A6143">
        <w:rPr>
          <w:rFonts w:cs="Times New Roman"/>
        </w:rPr>
        <w:t>uz vienu iedzīvotāju </w:t>
      </w:r>
      <w:r w:rsidRPr="00AA350D">
        <w:rPr>
          <w:rFonts w:cs="Times New Roman"/>
        </w:rPr>
        <w:t>ES27 valstīs.</w:t>
      </w:r>
    </w:p>
    <w:p w14:paraId="58D762E5" w14:textId="77777777" w:rsidR="00DF3BAA" w:rsidRDefault="00CC28D7" w:rsidP="00F41988">
      <w:pPr>
        <w:ind w:firstLine="720"/>
      </w:pPr>
      <w:r w:rsidRPr="00AA350D">
        <w:t xml:space="preserve">ES fondu 2021.–2027. gada plānošanas periodā visa Latvijas teritorija tiek skatīta kā viens </w:t>
      </w:r>
      <w:r w:rsidRPr="00AA350D">
        <w:rPr>
          <w:i/>
          <w:iCs/>
        </w:rPr>
        <w:t>NUTS</w:t>
      </w:r>
      <w:r w:rsidRPr="00AA350D">
        <w:t xml:space="preserve"> 2 reģions, kas kvalificējas </w:t>
      </w:r>
      <w:r w:rsidRPr="00AA350D">
        <w:rPr>
          <w:i/>
          <w:iCs/>
        </w:rPr>
        <w:t>mazāk attīstīta reģiona</w:t>
      </w:r>
      <w:r w:rsidRPr="00AA350D">
        <w:t xml:space="preserve"> statusam</w:t>
      </w:r>
      <w:r>
        <w:t>,</w:t>
      </w:r>
      <w:r w:rsidRPr="00AA350D">
        <w:t xml:space="preserve"> un līdz ar to Latvijai ir pieejama maksimālā atbalsta likme ES fondos</w:t>
      </w:r>
      <w:r w:rsidR="00472484">
        <w:t xml:space="preserve"> (</w:t>
      </w:r>
      <w:r w:rsidR="0051048D">
        <w:t>arī ES fondu 2014.–2020.</w:t>
      </w:r>
      <w:r w:rsidR="00DF3BAA">
        <w:t> </w:t>
      </w:r>
      <w:r w:rsidR="0051048D">
        <w:t xml:space="preserve">gada plānošanas periodā Latvija </w:t>
      </w:r>
      <w:r w:rsidR="00DF3BAA">
        <w:t xml:space="preserve">bija </w:t>
      </w:r>
      <w:r w:rsidR="00DF3BAA">
        <w:rPr>
          <w:i/>
          <w:iCs/>
        </w:rPr>
        <w:t>mazāk attīstīto reģionu</w:t>
      </w:r>
      <w:r w:rsidR="00DF3BAA">
        <w:t xml:space="preserve"> kategorijā)</w:t>
      </w:r>
      <w:r w:rsidRPr="00AA350D">
        <w:t>.</w:t>
      </w:r>
    </w:p>
    <w:p w14:paraId="1E813871" w14:textId="4E81C184" w:rsidR="005A2067" w:rsidRDefault="00CC28D7" w:rsidP="00F41988">
      <w:pPr>
        <w:ind w:firstLine="720"/>
      </w:pPr>
      <w:r w:rsidRPr="00AA350D">
        <w:t xml:space="preserve">Saskaņā ar </w:t>
      </w:r>
      <w:proofErr w:type="spellStart"/>
      <w:r w:rsidRPr="00AA350D">
        <w:rPr>
          <w:i/>
          <w:iCs/>
        </w:rPr>
        <w:t>Eurostat</w:t>
      </w:r>
      <w:proofErr w:type="spellEnd"/>
      <w:r w:rsidRPr="00AA350D">
        <w:t xml:space="preserve"> datiem</w:t>
      </w:r>
      <w:r w:rsidR="00282A66" w:rsidRPr="007A3DC2">
        <w:rPr>
          <w:rStyle w:val="FootnoteReference"/>
          <w:sz w:val="22"/>
          <w:szCs w:val="20"/>
        </w:rPr>
        <w:footnoteReference w:id="9"/>
      </w:r>
      <w:r w:rsidRPr="00AA350D">
        <w:t>, 20</w:t>
      </w:r>
      <w:r w:rsidR="005A2067">
        <w:t>22</w:t>
      </w:r>
      <w:r w:rsidRPr="00AA350D">
        <w:t xml:space="preserve">. gada Latvijas IKP uz vienu iedzīvotāju veidoja </w:t>
      </w:r>
      <w:r w:rsidR="00781FD5">
        <w:t>73</w:t>
      </w:r>
      <w:r w:rsidRPr="00AA350D">
        <w:t>% no ES27 valstu vidējā rādītāja</w:t>
      </w:r>
      <w:r w:rsidR="004F6356">
        <w:t xml:space="preserve"> (prognoze par 2023. gadu</w:t>
      </w:r>
      <w:r w:rsidR="00687676">
        <w:t>*</w:t>
      </w:r>
      <w:r w:rsidR="004F6356">
        <w:t xml:space="preserve"> – 71%)</w:t>
      </w:r>
      <w:r w:rsidRPr="00AA350D">
        <w:t>; salīdzinoši</w:t>
      </w:r>
      <w:r w:rsidR="004F6356">
        <w:t> </w:t>
      </w:r>
      <w:r w:rsidRPr="00AA350D">
        <w:t>– 20</w:t>
      </w:r>
      <w:r w:rsidR="005A2067">
        <w:t>12</w:t>
      </w:r>
      <w:r w:rsidRPr="00AA350D">
        <w:t xml:space="preserve">. gadā tas bija </w:t>
      </w:r>
      <w:r w:rsidR="00781FD5">
        <w:t>61</w:t>
      </w:r>
      <w:r w:rsidRPr="00AA350D">
        <w:t xml:space="preserve">% (sk. </w:t>
      </w:r>
      <w:r w:rsidRPr="00C63F42">
        <w:t xml:space="preserve">attēlu Nr. </w:t>
      </w:r>
      <w:r w:rsidR="002B5943" w:rsidRPr="00C63F42">
        <w:t>2</w:t>
      </w:r>
      <w:r w:rsidRPr="00C63F42">
        <w:t>).</w:t>
      </w:r>
    </w:p>
    <w:p w14:paraId="776F9FF7" w14:textId="18D3F69D" w:rsidR="005A2067" w:rsidRDefault="00DC6B76" w:rsidP="00F41988">
      <w:pPr>
        <w:spacing w:before="120" w:after="120"/>
        <w:jc w:val="center"/>
      </w:pPr>
      <w:r>
        <w:rPr>
          <w:noProof/>
          <w14:ligatures w14:val="standardContextual"/>
        </w:rPr>
        <w:lastRenderedPageBreak/>
        <w:drawing>
          <wp:inline distT="0" distB="0" distL="0" distR="0" wp14:anchorId="16A8A819" wp14:editId="177A50A1">
            <wp:extent cx="6120130" cy="3352800"/>
            <wp:effectExtent l="0" t="0" r="13970" b="0"/>
            <wp:docPr id="1977066760" name="Chart 1">
              <a:extLst xmlns:a="http://schemas.openxmlformats.org/drawingml/2006/main">
                <a:ext uri="{FF2B5EF4-FFF2-40B4-BE49-F238E27FC236}">
                  <a16:creationId xmlns:a16="http://schemas.microsoft.com/office/drawing/2014/main" id="{E552259B-155B-DB7F-E498-8BDB6DDDA3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380C486" w14:textId="04CAD0F5" w:rsidR="00DC6B76" w:rsidRPr="00282A66" w:rsidRDefault="004E16EF" w:rsidP="00282A66">
      <w:pPr>
        <w:jc w:val="center"/>
        <w:rPr>
          <w:sz w:val="22"/>
          <w:szCs w:val="20"/>
        </w:rPr>
      </w:pPr>
      <w:r w:rsidRPr="007A3DC2">
        <w:rPr>
          <w:sz w:val="22"/>
          <w:szCs w:val="20"/>
        </w:rPr>
        <w:t>Attēls Nr. </w:t>
      </w:r>
      <w:r w:rsidR="002B5943" w:rsidRPr="007A3DC2">
        <w:rPr>
          <w:sz w:val="22"/>
          <w:szCs w:val="20"/>
        </w:rPr>
        <w:t>2</w:t>
      </w:r>
      <w:r w:rsidRPr="007A3DC2">
        <w:rPr>
          <w:sz w:val="22"/>
          <w:szCs w:val="20"/>
        </w:rPr>
        <w:t xml:space="preserve">. Latvijas kā viena </w:t>
      </w:r>
      <w:r w:rsidRPr="007A3DC2">
        <w:rPr>
          <w:i/>
          <w:iCs/>
          <w:sz w:val="22"/>
          <w:szCs w:val="20"/>
        </w:rPr>
        <w:t>NUTS</w:t>
      </w:r>
      <w:r w:rsidRPr="007A3DC2">
        <w:rPr>
          <w:sz w:val="22"/>
          <w:szCs w:val="20"/>
        </w:rPr>
        <w:t> 2 reģiona IKP uz 1 iedzīvotāju īpatsvars (%) pret vidējo IKP uz 1 iedzīvotāju ES27 valstīs laika periodā no 2012. gada līdz 2023. gadam</w:t>
      </w:r>
      <w:r w:rsidR="00282A66">
        <w:rPr>
          <w:rStyle w:val="FootnoteReference"/>
          <w:sz w:val="22"/>
          <w:szCs w:val="20"/>
        </w:rPr>
        <w:footnoteReference w:id="10"/>
      </w:r>
      <w:r w:rsidRPr="007A3DC2">
        <w:rPr>
          <w:sz w:val="22"/>
          <w:szCs w:val="20"/>
        </w:rPr>
        <w:t>.</w:t>
      </w:r>
    </w:p>
    <w:p w14:paraId="0A35D548" w14:textId="77777777" w:rsidR="00282A66" w:rsidRDefault="00282A66" w:rsidP="003948F7">
      <w:pPr>
        <w:ind w:firstLine="720"/>
      </w:pPr>
    </w:p>
    <w:p w14:paraId="0A2281A2" w14:textId="68A07F78" w:rsidR="003948F7" w:rsidRDefault="00D86779" w:rsidP="003948F7">
      <w:pPr>
        <w:ind w:firstLine="720"/>
      </w:pPr>
      <w:r w:rsidRPr="00D86779">
        <w:t xml:space="preserve">Lai arī </w:t>
      </w:r>
      <w:r w:rsidR="00D04E4D" w:rsidRPr="00D86779">
        <w:t xml:space="preserve">Latvijas Nacionālajā attīstības plānā 2021.–2027. gadam </w:t>
      </w:r>
      <w:r>
        <w:t>tika</w:t>
      </w:r>
      <w:r w:rsidR="00D04E4D" w:rsidRPr="00D86779">
        <w:t xml:space="preserve"> prognozēts, ka 2024. gadā Latvijas IKP uz vienu iedzīvotāju varētu sasniegt 75% no ES27 vidējās vērtības, bet 2027. gadā – jau 80%</w:t>
      </w:r>
      <w:r w:rsidR="00D04E4D" w:rsidRPr="00D86779">
        <w:rPr>
          <w:vertAlign w:val="superscript"/>
        </w:rPr>
        <w:footnoteReference w:id="11"/>
      </w:r>
      <w:r w:rsidR="00D54A4F">
        <w:t xml:space="preserve">, </w:t>
      </w:r>
      <w:r w:rsidR="002C411E" w:rsidRPr="002C411E">
        <w:t>Krievijas pilna apmēra agresijas kar</w:t>
      </w:r>
      <w:r w:rsidR="00902628">
        <w:t>a</w:t>
      </w:r>
      <w:r w:rsidR="002C411E" w:rsidRPr="002C411E">
        <w:t xml:space="preserve"> pret Ukrainu</w:t>
      </w:r>
      <w:r w:rsidR="002C411E">
        <w:t xml:space="preserve"> </w:t>
      </w:r>
      <w:r w:rsidR="00902628">
        <w:t xml:space="preserve">radītās sekas ir būtiski ietekmējušas ne tikai Latvijas </w:t>
      </w:r>
      <w:r w:rsidR="00795AAB">
        <w:t>(</w:t>
      </w:r>
      <w:r w:rsidR="00693A66">
        <w:t>t.sk. IKP pieauguma tempus</w:t>
      </w:r>
      <w:r w:rsidR="00795AAB">
        <w:t>)</w:t>
      </w:r>
      <w:r w:rsidR="00902628">
        <w:t>, bet arī citu ES</w:t>
      </w:r>
      <w:r w:rsidR="00A52BAD">
        <w:t xml:space="preserve"> dalībvalstu</w:t>
      </w:r>
      <w:r w:rsidR="000036A9" w:rsidRPr="000036A9">
        <w:t xml:space="preserve"> </w:t>
      </w:r>
      <w:r w:rsidR="000036A9">
        <w:t>ekonomisko attīstību</w:t>
      </w:r>
      <w:r w:rsidR="00D04E4D" w:rsidRPr="00D86779">
        <w:t>.</w:t>
      </w:r>
    </w:p>
    <w:p w14:paraId="64B2E124" w14:textId="44E02E55" w:rsidR="00F3148F" w:rsidRDefault="00743065" w:rsidP="00F163C7">
      <w:pPr>
        <w:ind w:firstLine="720"/>
      </w:pPr>
      <w:r>
        <w:t>Šobrīd ir</w:t>
      </w:r>
      <w:r w:rsidR="00065A90">
        <w:t xml:space="preserve"> uzsākts darbs pie Nacionālās pozīcijas izstrādes par ES daudzgadu budžetu pēc 2027. gada</w:t>
      </w:r>
      <w:r>
        <w:t xml:space="preserve">, ņemot vērā, ka 2025. gadā plānotas sarunas ar EK par nākamo </w:t>
      </w:r>
      <w:r w:rsidR="009E6161">
        <w:t xml:space="preserve">ES </w:t>
      </w:r>
      <w:r w:rsidR="009E6161" w:rsidRPr="005D244D">
        <w:t>daudzgadu finanšu shēm</w:t>
      </w:r>
      <w:r w:rsidR="006C325A">
        <w:t xml:space="preserve">as (turpmāk – </w:t>
      </w:r>
      <w:r w:rsidRPr="000265A5">
        <w:t>MFF</w:t>
      </w:r>
      <w:r w:rsidR="006C325A">
        <w:rPr>
          <w:rStyle w:val="FootnoteReference"/>
        </w:rPr>
        <w:footnoteReference w:id="12"/>
      </w:r>
      <w:r w:rsidR="006C325A">
        <w:t>)</w:t>
      </w:r>
      <w:r w:rsidR="0065760E">
        <w:t xml:space="preserve"> </w:t>
      </w:r>
      <w:r w:rsidRPr="003D0EDE">
        <w:rPr>
          <w:color w:val="000000" w:themeColor="text1"/>
        </w:rPr>
        <w:t>periodu</w:t>
      </w:r>
      <w:r w:rsidR="0065760E" w:rsidRPr="003D0EDE">
        <w:rPr>
          <w:color w:val="000000" w:themeColor="text1"/>
        </w:rPr>
        <w:t xml:space="preserve"> (ES fondu 2028.–2034. gada plānošanas periods)</w:t>
      </w:r>
      <w:r w:rsidR="00065A90" w:rsidRPr="003D0EDE">
        <w:rPr>
          <w:color w:val="000000" w:themeColor="text1"/>
        </w:rPr>
        <w:t xml:space="preserve">. </w:t>
      </w:r>
      <w:r w:rsidR="0058177B" w:rsidRPr="003D0EDE">
        <w:rPr>
          <w:color w:val="000000" w:themeColor="text1"/>
        </w:rPr>
        <w:t>Darba grupas, kas izveidota pamatojoties uz Vecāko amatpersonu sanāksmes ES jautājumos</w:t>
      </w:r>
      <w:r w:rsidR="0058177B" w:rsidRPr="003D0EDE">
        <w:rPr>
          <w:rStyle w:val="FootnoteReference"/>
          <w:color w:val="000000" w:themeColor="text1"/>
        </w:rPr>
        <w:footnoteReference w:id="13"/>
      </w:r>
      <w:r w:rsidR="0058177B" w:rsidRPr="003D0EDE">
        <w:rPr>
          <w:color w:val="000000" w:themeColor="text1"/>
        </w:rPr>
        <w:t xml:space="preserve"> 2023. gada 6. decembra sēdes lēmumu</w:t>
      </w:r>
      <w:r w:rsidR="0058177B" w:rsidRPr="003D0EDE">
        <w:rPr>
          <w:rStyle w:val="FootnoteReference"/>
          <w:color w:val="000000" w:themeColor="text1"/>
        </w:rPr>
        <w:footnoteReference w:id="14"/>
      </w:r>
      <w:r w:rsidR="0058177B" w:rsidRPr="003D0EDE">
        <w:rPr>
          <w:color w:val="000000" w:themeColor="text1"/>
        </w:rPr>
        <w:t xml:space="preserve">, </w:t>
      </w:r>
      <w:r w:rsidR="00C87FCC" w:rsidRPr="003D0EDE">
        <w:rPr>
          <w:color w:val="000000" w:themeColor="text1"/>
        </w:rPr>
        <w:t xml:space="preserve">par Nacionālās </w:t>
      </w:r>
      <w:r w:rsidR="00C87FCC">
        <w:t>pozīcijas par ES daudzgadu budžetu pēc 2027. gada</w:t>
      </w:r>
      <w:r w:rsidR="00C87FCC" w:rsidRPr="00C87FCC">
        <w:t xml:space="preserve"> </w:t>
      </w:r>
      <w:r w:rsidR="00C87FCC">
        <w:t>izstrād</w:t>
      </w:r>
      <w:r w:rsidR="00F45D2B">
        <w:t xml:space="preserve">ei 2024. gada 19. marta sēdē </w:t>
      </w:r>
      <w:r w:rsidR="00A37B5A">
        <w:t>Finanšu ministrija inform</w:t>
      </w:r>
      <w:r w:rsidR="00A37B5A" w:rsidRPr="00A37B5A">
        <w:t xml:space="preserve">ēja </w:t>
      </w:r>
      <w:r w:rsidR="00586A77">
        <w:t>darba grupas locekļus</w:t>
      </w:r>
      <w:r w:rsidR="00586A77" w:rsidRPr="00A37B5A">
        <w:t xml:space="preserve"> </w:t>
      </w:r>
      <w:r w:rsidR="00A37B5A" w:rsidRPr="00A37B5A">
        <w:t xml:space="preserve">par </w:t>
      </w:r>
      <w:r w:rsidR="00A37B5A" w:rsidRPr="00A37B5A">
        <w:rPr>
          <w:i/>
          <w:iCs/>
        </w:rPr>
        <w:t>NUTS</w:t>
      </w:r>
      <w:r w:rsidR="00A37B5A" w:rsidRPr="00A37B5A">
        <w:t xml:space="preserve"> reģionu klasifikācijas </w:t>
      </w:r>
      <w:r w:rsidR="00FC60EE" w:rsidRPr="00FC60EE">
        <w:t xml:space="preserve">un izmaiņu paziņošanas laika rindas </w:t>
      </w:r>
      <w:r w:rsidR="00A37B5A" w:rsidRPr="00A37B5A">
        <w:t>korelāciju ar MFF Kohēzijas politikas piešķīruma aprēķinu</w:t>
      </w:r>
      <w:r w:rsidR="00A37B5A">
        <w:t xml:space="preserve">. </w:t>
      </w:r>
      <w:r w:rsidR="00F3148F" w:rsidRPr="00F3148F">
        <w:t>Šobrīd par izmaiņām teritoriālajā dalījumā, kuras ietekmētu MFF laika posmā pēc 2027.</w:t>
      </w:r>
      <w:r w:rsidR="00F3148F">
        <w:t> </w:t>
      </w:r>
      <w:r w:rsidR="00F3148F" w:rsidRPr="00F3148F">
        <w:t>gada (iesp</w:t>
      </w:r>
      <w:r w:rsidR="00F3148F">
        <w:t>ējam</w:t>
      </w:r>
      <w:r w:rsidR="00F8317F">
        <w:t>ais</w:t>
      </w:r>
      <w:r w:rsidR="00F3148F" w:rsidRPr="00F3148F">
        <w:t xml:space="preserve"> 2028.</w:t>
      </w:r>
      <w:r w:rsidR="00F3148F">
        <w:t>–</w:t>
      </w:r>
      <w:r w:rsidR="00F3148F" w:rsidRPr="00F3148F">
        <w:t>2034.</w:t>
      </w:r>
      <w:r w:rsidR="00F3148F">
        <w:t> </w:t>
      </w:r>
      <w:r w:rsidR="00F3148F" w:rsidRPr="00F3148F">
        <w:t>g</w:t>
      </w:r>
      <w:r w:rsidR="00F3148F">
        <w:t>ada</w:t>
      </w:r>
      <w:r w:rsidR="00F3148F" w:rsidRPr="00F3148F">
        <w:t xml:space="preserve"> plānošanas periods), bija jāpaziņo līdz 2022.</w:t>
      </w:r>
      <w:r w:rsidR="00F3148F">
        <w:t> </w:t>
      </w:r>
      <w:r w:rsidR="00F3148F" w:rsidRPr="00F3148F">
        <w:t>gada 1.</w:t>
      </w:r>
      <w:r w:rsidR="00F3148F">
        <w:t> </w:t>
      </w:r>
      <w:r w:rsidR="00F3148F" w:rsidRPr="00F3148F">
        <w:t xml:space="preserve">februārim. Pie nemainīgas reģionu klasifikācijas grozījumu laika rindas, augstāk minētais nākamais uzsaukums </w:t>
      </w:r>
      <w:r w:rsidR="00F3148F" w:rsidRPr="00F3148F">
        <w:rPr>
          <w:i/>
          <w:iCs/>
        </w:rPr>
        <w:t>NUTS</w:t>
      </w:r>
      <w:r w:rsidR="00F3148F" w:rsidRPr="00F3148F">
        <w:t xml:space="preserve"> klasifikācijas grozījumiem, kurš jāpieņem līdz 2025.</w:t>
      </w:r>
      <w:r w:rsidR="00F8317F">
        <w:t> </w:t>
      </w:r>
      <w:r w:rsidR="00F3148F" w:rsidRPr="00F3148F">
        <w:t>gada janvārim, ietekmētu plānošanas periodu pēc 2034.</w:t>
      </w:r>
      <w:r w:rsidR="00F8317F">
        <w:t> </w:t>
      </w:r>
      <w:r w:rsidR="00F3148F" w:rsidRPr="00F3148F">
        <w:t>gada (iesp</w:t>
      </w:r>
      <w:r w:rsidR="00F8317F">
        <w:t>ējamais</w:t>
      </w:r>
      <w:r w:rsidR="00F3148F" w:rsidRPr="00F3148F">
        <w:t xml:space="preserve"> 2035.</w:t>
      </w:r>
      <w:r w:rsidR="00F8317F">
        <w:t>–</w:t>
      </w:r>
      <w:r w:rsidR="00F3148F" w:rsidRPr="00F3148F">
        <w:t>2041.</w:t>
      </w:r>
      <w:r w:rsidR="00F8317F">
        <w:t> gada</w:t>
      </w:r>
      <w:r w:rsidR="00F3148F" w:rsidRPr="00F3148F">
        <w:t xml:space="preserve"> </w:t>
      </w:r>
      <w:r w:rsidR="00F8317F" w:rsidRPr="00F3148F">
        <w:t>plānošanas periods</w:t>
      </w:r>
      <w:r w:rsidR="00F3148F" w:rsidRPr="00F3148F">
        <w:t>)</w:t>
      </w:r>
      <w:r w:rsidR="00F3148F">
        <w:t>.</w:t>
      </w:r>
    </w:p>
    <w:p w14:paraId="0CD1761E" w14:textId="0DA8B722" w:rsidR="00C71B47" w:rsidRDefault="000265A5" w:rsidP="0065760E">
      <w:pPr>
        <w:ind w:firstLine="720"/>
      </w:pPr>
      <w:r w:rsidRPr="000265A5">
        <w:t xml:space="preserve">Kohēzijas politikas fondu sadales metodoloģijas piemērošana sākas ar </w:t>
      </w:r>
      <w:r w:rsidRPr="00305CE7">
        <w:t>reģionu piederības kategorijai noteikšanu</w:t>
      </w:r>
      <w:r w:rsidRPr="000265A5">
        <w:t xml:space="preserve">, kur jau vairākus MFF periodus tiek izmantots IKP uz </w:t>
      </w:r>
      <w:r w:rsidR="00C950E0">
        <w:t>vienu</w:t>
      </w:r>
      <w:r w:rsidRPr="000265A5">
        <w:t xml:space="preserve"> iedzīvotāju (% no ES vidējā) </w:t>
      </w:r>
      <w:r w:rsidRPr="00305CE7">
        <w:t>par trīs gadu periodu (pēdējie aktuālākie gadi)</w:t>
      </w:r>
      <w:r w:rsidR="002A0ED1">
        <w:t xml:space="preserve">. </w:t>
      </w:r>
      <w:r w:rsidR="00FE7F44">
        <w:t xml:space="preserve">Līdz ar to </w:t>
      </w:r>
      <w:r w:rsidR="00A16E67">
        <w:t>2025. gadā</w:t>
      </w:r>
      <w:r w:rsidR="00FE7F44">
        <w:t>, kad</w:t>
      </w:r>
      <w:r w:rsidR="00A16E67">
        <w:t xml:space="preserve"> plānot</w:t>
      </w:r>
      <w:r w:rsidR="00764E06">
        <w:t xml:space="preserve">as </w:t>
      </w:r>
      <w:r w:rsidR="00361ADF">
        <w:t xml:space="preserve">sarunas </w:t>
      </w:r>
      <w:r w:rsidR="00FE7F44">
        <w:t>ar EK</w:t>
      </w:r>
      <w:r w:rsidR="00F5095C">
        <w:t xml:space="preserve">, </w:t>
      </w:r>
      <w:r w:rsidR="00AE6F8B">
        <w:t xml:space="preserve">potenciālais atsauces periods </w:t>
      </w:r>
      <w:r w:rsidR="00682AD5">
        <w:t xml:space="preserve">IKP datu izmantošanai </w:t>
      </w:r>
      <w:r w:rsidR="00AE6F8B">
        <w:t xml:space="preserve">būs </w:t>
      </w:r>
      <w:r w:rsidR="004F65FB">
        <w:t>2021.–2023. gads vai 2022.–2024. gads</w:t>
      </w:r>
      <w:r w:rsidR="00F5095C">
        <w:t>. Ņ</w:t>
      </w:r>
      <w:r w:rsidR="00C950E0">
        <w:t xml:space="preserve">emot vērā esošos </w:t>
      </w:r>
      <w:r w:rsidR="00AD180E">
        <w:t xml:space="preserve">datus un </w:t>
      </w:r>
      <w:r w:rsidR="00BC6F2D">
        <w:t xml:space="preserve">IKP </w:t>
      </w:r>
      <w:r w:rsidR="00AD180E">
        <w:t>prognozes, Latvijas vidējais trīs gadu IKP</w:t>
      </w:r>
      <w:r w:rsidR="00952C15">
        <w:t xml:space="preserve"> uz vienu </w:t>
      </w:r>
      <w:r w:rsidR="00952C15">
        <w:lastRenderedPageBreak/>
        <w:t xml:space="preserve">iedzīvotāju līmenis pret </w:t>
      </w:r>
      <w:r w:rsidR="00664A52" w:rsidRPr="00664A52">
        <w:t>ES27 vidēj</w:t>
      </w:r>
      <w:r w:rsidR="00664A52">
        <w:t>o</w:t>
      </w:r>
      <w:r w:rsidR="00664A52" w:rsidRPr="00664A52">
        <w:t xml:space="preserve"> vērtīb</w:t>
      </w:r>
      <w:r w:rsidR="00664A52">
        <w:t xml:space="preserve">u </w:t>
      </w:r>
      <w:r w:rsidR="00EC75F0" w:rsidRPr="00EC75F0">
        <w:t xml:space="preserve">minētajos atsauces periodos </w:t>
      </w:r>
      <w:r w:rsidR="00664A52">
        <w:t>bū</w:t>
      </w:r>
      <w:r w:rsidR="00BE534A">
        <w:t>s</w:t>
      </w:r>
      <w:r w:rsidR="00664A52">
        <w:t xml:space="preserve"> </w:t>
      </w:r>
      <w:r w:rsidR="00664A52" w:rsidRPr="00792DDB">
        <w:t xml:space="preserve">aptuveni </w:t>
      </w:r>
      <w:r w:rsidR="00FF2849">
        <w:t>71%-</w:t>
      </w:r>
      <w:r w:rsidR="00664A52" w:rsidRPr="00792DDB">
        <w:t>72%</w:t>
      </w:r>
      <w:r w:rsidR="00FF2849">
        <w:t xml:space="preserve"> robežās</w:t>
      </w:r>
      <w:r w:rsidR="00FE6D40" w:rsidRPr="00792DDB">
        <w:t>.</w:t>
      </w:r>
      <w:r w:rsidR="000E4850" w:rsidRPr="00792DDB">
        <w:t xml:space="preserve"> </w:t>
      </w:r>
      <w:r w:rsidR="00701E53" w:rsidRPr="00792DDB">
        <w:t>Tas nozīmē, ka, saglabājoties esošajiem nosacījumiem,</w:t>
      </w:r>
      <w:r w:rsidR="000E4850" w:rsidRPr="00792DDB">
        <w:t xml:space="preserve"> Latvija kā viens līdzšinējais </w:t>
      </w:r>
      <w:r w:rsidR="000E4850" w:rsidRPr="00792DDB">
        <w:rPr>
          <w:i/>
          <w:iCs/>
        </w:rPr>
        <w:t>NUTS</w:t>
      </w:r>
      <w:r w:rsidR="000E4850" w:rsidRPr="00792DDB">
        <w:t xml:space="preserve"> 2 reģions </w:t>
      </w:r>
      <w:r w:rsidR="00AA3201" w:rsidRPr="00792DDB">
        <w:t xml:space="preserve">ES fondu 2028.–2034. gada plānošanas periodā </w:t>
      </w:r>
      <w:r w:rsidR="005D0091" w:rsidRPr="00792DDB">
        <w:t>saglabātu</w:t>
      </w:r>
      <w:r w:rsidR="000E4850" w:rsidRPr="00792DDB">
        <w:t xml:space="preserve"> </w:t>
      </w:r>
      <w:r w:rsidR="00D47EFC" w:rsidRPr="00792DDB">
        <w:rPr>
          <w:i/>
          <w:iCs/>
        </w:rPr>
        <w:t xml:space="preserve">mazāk attīstītā reģiona </w:t>
      </w:r>
      <w:r w:rsidR="00D47EFC" w:rsidRPr="00792DDB">
        <w:t>statusu</w:t>
      </w:r>
      <w:r w:rsidR="006826D8" w:rsidRPr="00792DDB">
        <w:t>, tādējādi</w:t>
      </w:r>
      <w:r w:rsidR="006826D8">
        <w:t xml:space="preserve"> saglabājot arī </w:t>
      </w:r>
      <w:r w:rsidR="006826D8" w:rsidRPr="00AA350D">
        <w:t>maksimāl</w:t>
      </w:r>
      <w:r w:rsidR="006826D8">
        <w:t>o</w:t>
      </w:r>
      <w:r w:rsidR="006826D8" w:rsidRPr="00AA350D">
        <w:t xml:space="preserve"> atbalsta likm</w:t>
      </w:r>
      <w:r w:rsidR="006826D8">
        <w:t>i</w:t>
      </w:r>
      <w:r w:rsidR="006826D8" w:rsidRPr="00AA350D">
        <w:t xml:space="preserve"> ES fondos</w:t>
      </w:r>
      <w:r w:rsidR="00650EF8">
        <w:t xml:space="preserve"> visā </w:t>
      </w:r>
      <w:r w:rsidR="007658C1">
        <w:t>Latvijas teritorijā</w:t>
      </w:r>
      <w:r w:rsidR="006826D8">
        <w:t>.</w:t>
      </w:r>
    </w:p>
    <w:p w14:paraId="0D4B61AE" w14:textId="54797CB0" w:rsidR="00DE7652" w:rsidRDefault="00DE7652" w:rsidP="0065760E">
      <w:pPr>
        <w:ind w:firstLine="720"/>
      </w:pPr>
      <w:r>
        <w:t xml:space="preserve">Vienlaikus </w:t>
      </w:r>
      <w:r w:rsidR="009351C4" w:rsidRPr="009351C4">
        <w:t xml:space="preserve">saskaņā ar EK Reģionālā valsts atbalsta pamatnostādņu </w:t>
      </w:r>
      <w:r w:rsidR="009351C4">
        <w:t xml:space="preserve">(turpmāk </w:t>
      </w:r>
      <w:r w:rsidR="00633992">
        <w:t>–</w:t>
      </w:r>
      <w:r w:rsidR="009351C4">
        <w:t xml:space="preserve"> </w:t>
      </w:r>
      <w:r w:rsidR="00633992">
        <w:t xml:space="preserve">Pamatnostādnes) </w:t>
      </w:r>
      <w:r w:rsidR="009351C4" w:rsidRPr="009351C4">
        <w:t>30.</w:t>
      </w:r>
      <w:r w:rsidR="009351C4">
        <w:t> </w:t>
      </w:r>
      <w:r w:rsidR="009351C4" w:rsidRPr="009351C4">
        <w:t xml:space="preserve">zemsvītras piezīmi </w:t>
      </w:r>
      <w:r w:rsidR="00633992">
        <w:t>P</w:t>
      </w:r>
      <w:r w:rsidR="009351C4" w:rsidRPr="009351C4">
        <w:t xml:space="preserve">amatnostādnēs izmantotie dati balstās uz </w:t>
      </w:r>
      <w:r w:rsidR="00B84E78">
        <w:t>R</w:t>
      </w:r>
      <w:r w:rsidR="00B84E78" w:rsidRPr="009351C4">
        <w:t>egul</w:t>
      </w:r>
      <w:r w:rsidR="00DA5255">
        <w:t>as</w:t>
      </w:r>
      <w:r w:rsidR="00B84E78" w:rsidRPr="009351C4">
        <w:t xml:space="preserve"> Nr.</w:t>
      </w:r>
      <w:r w:rsidR="00B84E78">
        <w:t> </w:t>
      </w:r>
      <w:r w:rsidR="00B84E78" w:rsidRPr="009351C4">
        <w:t>1059/2003</w:t>
      </w:r>
      <w:r w:rsidR="009351C4" w:rsidRPr="009351C4">
        <w:t xml:space="preserve"> (</w:t>
      </w:r>
      <w:r w:rsidR="009351C4" w:rsidRPr="00DA5255">
        <w:rPr>
          <w:i/>
          <w:iCs/>
        </w:rPr>
        <w:t>ar grozījumiem, kas izdarīti ar Komisijas Deleģēto regulu (ES) 2019/1755</w:t>
      </w:r>
      <w:r w:rsidR="009351C4" w:rsidRPr="009351C4">
        <w:t>) 2021.</w:t>
      </w:r>
      <w:r w:rsidR="00DA5255">
        <w:t> </w:t>
      </w:r>
      <w:r w:rsidR="009351C4" w:rsidRPr="009351C4">
        <w:t xml:space="preserve">gada nomenklatūru. Līdz ar to dalībvalstis, t.sk. </w:t>
      </w:r>
      <w:r w:rsidR="00DA5255" w:rsidRPr="009351C4">
        <w:t>Latvija</w:t>
      </w:r>
      <w:r w:rsidR="009351C4" w:rsidRPr="009351C4">
        <w:t xml:space="preserve"> savas reģionālā atbalsta kartes laikposmam no 2022. gada līdz 2027. gadam izstrādāja, pamatojoties uz </w:t>
      </w:r>
      <w:r w:rsidR="009351C4" w:rsidRPr="00DA5255">
        <w:rPr>
          <w:i/>
          <w:iCs/>
        </w:rPr>
        <w:t>NUTS</w:t>
      </w:r>
      <w:r w:rsidR="009351C4" w:rsidRPr="009351C4">
        <w:t xml:space="preserve"> un statistiku, kas bija pieejama dalībvalstu reģionālā atbalsta karšu pieņemšanas brīdī, t.i.</w:t>
      </w:r>
      <w:r w:rsidR="00DA5255">
        <w:t>,</w:t>
      </w:r>
      <w:r w:rsidR="009351C4" w:rsidRPr="009351C4">
        <w:t xml:space="preserve"> 2021.</w:t>
      </w:r>
      <w:r w:rsidR="001F2410">
        <w:t> </w:t>
      </w:r>
      <w:r w:rsidR="009351C4" w:rsidRPr="009351C4">
        <w:t>gada nomenklatūru</w:t>
      </w:r>
      <w:r w:rsidR="00305BA0">
        <w:t>.</w:t>
      </w:r>
      <w:r w:rsidR="009351C4" w:rsidRPr="009351C4">
        <w:t xml:space="preserve"> </w:t>
      </w:r>
      <w:r w:rsidR="00305BA0">
        <w:t>A</w:t>
      </w:r>
      <w:r w:rsidR="009351C4" w:rsidRPr="009351C4">
        <w:t xml:space="preserve">ttiecīgi iepriekšminētās </w:t>
      </w:r>
      <w:r w:rsidR="009351C4" w:rsidRPr="00305BA0">
        <w:rPr>
          <w:i/>
          <w:iCs/>
        </w:rPr>
        <w:t>NUTS</w:t>
      </w:r>
      <w:r w:rsidR="009351C4" w:rsidRPr="009351C4">
        <w:t xml:space="preserve"> robežas un saistītās atbalsta intensitātes paliks spēkā visu reģionālā atbalsta karšu darbības laiku</w:t>
      </w:r>
      <w:r w:rsidR="00BE3017">
        <w:t xml:space="preserve">, t.i., </w:t>
      </w:r>
      <w:r w:rsidR="009351C4" w:rsidRPr="009351C4">
        <w:t>līdz 2027.</w:t>
      </w:r>
      <w:r w:rsidR="00305BA0">
        <w:t> </w:t>
      </w:r>
      <w:r w:rsidR="009351C4" w:rsidRPr="009351C4">
        <w:t>gada 31.</w:t>
      </w:r>
      <w:r w:rsidR="00305BA0">
        <w:t> </w:t>
      </w:r>
      <w:r w:rsidR="009351C4" w:rsidRPr="009351C4">
        <w:t>decembrim</w:t>
      </w:r>
      <w:r w:rsidR="00BE3017">
        <w:t>,</w:t>
      </w:r>
      <w:r w:rsidR="009351C4" w:rsidRPr="009351C4">
        <w:t xml:space="preserve"> neatkarīgi no jebkādām administratīvajām izmaiņām, kas var notikt </w:t>
      </w:r>
      <w:r w:rsidR="009351C4" w:rsidRPr="00BE3017">
        <w:rPr>
          <w:i/>
          <w:iCs/>
        </w:rPr>
        <w:t>NUTS</w:t>
      </w:r>
      <w:r w:rsidR="009351C4" w:rsidRPr="009351C4">
        <w:t xml:space="preserve"> vai pašvaldību līmenī. Līdz ar to </w:t>
      </w:r>
      <w:r w:rsidR="009351C4" w:rsidRPr="00BE3017">
        <w:rPr>
          <w:i/>
          <w:iCs/>
        </w:rPr>
        <w:t>NUTS</w:t>
      </w:r>
      <w:r w:rsidR="009351C4" w:rsidRPr="009351C4">
        <w:t xml:space="preserve"> robežas un no tā izrietošās reģionālā atbalsta intensitātes, kādas tās bija dalībvalsts reģionālā atbalsta kartes apstiprināšanas brīdī, būs spēkā līdz 2027.</w:t>
      </w:r>
      <w:r w:rsidR="00BE3017">
        <w:t> </w:t>
      </w:r>
      <w:r w:rsidR="009351C4" w:rsidRPr="009351C4">
        <w:t>gada 31.</w:t>
      </w:r>
      <w:r w:rsidR="00BE3017">
        <w:t> </w:t>
      </w:r>
      <w:r w:rsidR="009351C4" w:rsidRPr="009351C4">
        <w:t>decembrim.</w:t>
      </w:r>
      <w:r w:rsidR="00BE3017">
        <w:t xml:space="preserve"> </w:t>
      </w:r>
      <w:r w:rsidR="009351C4" w:rsidRPr="009351C4">
        <w:t xml:space="preserve">Attiecīgi reģionālā valsts atbalsta piešķiršanas vajadzībām un intensitāšu aprēķināšanai, visas izmaiņas </w:t>
      </w:r>
      <w:r w:rsidR="009351C4" w:rsidRPr="00BE3017">
        <w:rPr>
          <w:i/>
          <w:iCs/>
        </w:rPr>
        <w:t>NUTS</w:t>
      </w:r>
      <w:r w:rsidR="009351C4" w:rsidRPr="009351C4">
        <w:t xml:space="preserve"> un ar to saistītajā statistikā tiks atspoguļotas tikai nākamajā kartēšanas periodā, ja tādas būs.</w:t>
      </w:r>
      <w:r w:rsidR="00BE3017">
        <w:t xml:space="preserve"> Tāpat jānorāda</w:t>
      </w:r>
      <w:r w:rsidR="009351C4" w:rsidRPr="009351C4">
        <w:t>, ka reģionālā atbalsta nosacījumu piemērošanu 2022.</w:t>
      </w:r>
      <w:r w:rsidR="00BE3017">
        <w:t>–</w:t>
      </w:r>
      <w:r w:rsidR="009351C4" w:rsidRPr="009351C4">
        <w:t>2027.</w:t>
      </w:r>
      <w:r w:rsidR="00BE3017">
        <w:t> </w:t>
      </w:r>
      <w:r w:rsidR="009351C4" w:rsidRPr="009351C4">
        <w:t>gadā neietekmēja arī 2024.</w:t>
      </w:r>
      <w:r w:rsidR="00BE3017">
        <w:t> </w:t>
      </w:r>
      <w:r w:rsidR="009351C4" w:rsidRPr="009351C4">
        <w:t>gada 1.</w:t>
      </w:r>
      <w:r w:rsidR="00BE3017">
        <w:t> </w:t>
      </w:r>
      <w:r w:rsidR="009351C4" w:rsidRPr="009351C4">
        <w:t xml:space="preserve">janvāra grozījumi </w:t>
      </w:r>
      <w:r w:rsidR="00BE3017">
        <w:t>R</w:t>
      </w:r>
      <w:r w:rsidR="00BE3017" w:rsidRPr="009351C4">
        <w:t>egul</w:t>
      </w:r>
      <w:r w:rsidR="00B02B4A">
        <w:t>ā</w:t>
      </w:r>
      <w:r w:rsidR="00BE3017" w:rsidRPr="009351C4">
        <w:t xml:space="preserve"> Nr.</w:t>
      </w:r>
      <w:r w:rsidR="00BE3017">
        <w:t> </w:t>
      </w:r>
      <w:r w:rsidR="00BE3017" w:rsidRPr="009351C4">
        <w:t>1059/2003</w:t>
      </w:r>
      <w:r w:rsidR="009351C4" w:rsidRPr="009351C4">
        <w:t>, kas paredzēja piecu statistikas reģionu izveidi Latvijā</w:t>
      </w:r>
      <w:r w:rsidR="00B02B4A">
        <w:t>.</w:t>
      </w:r>
    </w:p>
    <w:p w14:paraId="2F1695A2" w14:textId="37C9B6DC" w:rsidR="00827647" w:rsidRDefault="00E525AB" w:rsidP="00D45040">
      <w:pPr>
        <w:ind w:firstLine="720"/>
      </w:pPr>
      <w:r w:rsidRPr="00E525AB">
        <w:t xml:space="preserve">Latvijas reģioni saskaņā ar </w:t>
      </w:r>
      <w:r>
        <w:t>EK</w:t>
      </w:r>
      <w:r w:rsidRPr="00E525AB">
        <w:t xml:space="preserve"> apstiprināto reģionālo atbalsta karti (SA.100587) ir kvalificēti </w:t>
      </w:r>
      <w:r w:rsidRPr="00740F2D">
        <w:rPr>
          <w:i/>
          <w:iCs/>
        </w:rPr>
        <w:t>NUTS</w:t>
      </w:r>
      <w:r w:rsidRPr="00E525AB">
        <w:t xml:space="preserve"> 3 līmenī un attiecīgi jau šobrīd ir iespējams saņemt maksimāli iespējamo reģionālā atbalsta intensitāti (bāzes intensitāte Latvijai ir 30%) un tās bonusus, izņemot Rīgas un Pierīgas reģionus, jo saskaņā ar 2021.</w:t>
      </w:r>
      <w:r w:rsidR="00740F2D">
        <w:t> </w:t>
      </w:r>
      <w:r w:rsidRPr="00E525AB">
        <w:t xml:space="preserve">gada statistikas nomenklatūras datiem, tie nekvalificējās kā </w:t>
      </w:r>
      <w:r w:rsidRPr="009D27F8">
        <w:rPr>
          <w:i/>
          <w:iCs/>
        </w:rPr>
        <w:t>mazapdzīvoti reģioni</w:t>
      </w:r>
      <w:r w:rsidRPr="00E525AB">
        <w:t xml:space="preserve">. </w:t>
      </w:r>
      <w:r w:rsidR="009D27F8">
        <w:t>Jānorāda</w:t>
      </w:r>
      <w:r w:rsidRPr="00E525AB">
        <w:t xml:space="preserve">, ka </w:t>
      </w:r>
      <w:r w:rsidRPr="009D27F8">
        <w:rPr>
          <w:i/>
          <w:iCs/>
        </w:rPr>
        <w:t>NUTS</w:t>
      </w:r>
      <w:r w:rsidRPr="00E525AB">
        <w:t xml:space="preserve"> līmeņa izmaiņas nav atkarīgas no valsts veiktajām darbībām, bet </w:t>
      </w:r>
      <w:r w:rsidR="009D27F8">
        <w:t>tās</w:t>
      </w:r>
      <w:r w:rsidRPr="00E525AB">
        <w:t xml:space="preserve"> nosaka, pamatojoties uz demogrāfiskajām robežvērtībām (iedzīvotāju skaitu).</w:t>
      </w:r>
      <w:r w:rsidR="00827647">
        <w:t xml:space="preserve"> </w:t>
      </w:r>
      <w:r w:rsidR="00827647" w:rsidRPr="00827647">
        <w:t xml:space="preserve">Attiecīgi reģionālā valsts atbalsta piemērošanas gadījumā Latvijā </w:t>
      </w:r>
      <w:r w:rsidR="00827647" w:rsidRPr="009351C4">
        <w:t>2022.</w:t>
      </w:r>
      <w:r w:rsidR="00827647">
        <w:t>–</w:t>
      </w:r>
      <w:r w:rsidR="00827647" w:rsidRPr="009351C4">
        <w:t>2027.</w:t>
      </w:r>
      <w:r w:rsidR="00827647">
        <w:t> </w:t>
      </w:r>
      <w:r w:rsidR="00827647" w:rsidRPr="009351C4">
        <w:t xml:space="preserve">gadā </w:t>
      </w:r>
      <w:r w:rsidR="00827647" w:rsidRPr="00827647">
        <w:t xml:space="preserve">atkarībā no </w:t>
      </w:r>
      <w:r w:rsidR="00827647" w:rsidRPr="00827647">
        <w:rPr>
          <w:i/>
          <w:iCs/>
        </w:rPr>
        <w:t>NUTS</w:t>
      </w:r>
      <w:r w:rsidR="00827647">
        <w:rPr>
          <w:i/>
          <w:iCs/>
        </w:rPr>
        <w:t> </w:t>
      </w:r>
      <w:r w:rsidR="00827647" w:rsidRPr="00827647">
        <w:t>3 līmeņa reģiona var piemērot šādu reģionālā atbalsta intensitāti un bonusus</w:t>
      </w:r>
      <w:r w:rsidR="00BB0477">
        <w:t xml:space="preserve"> (</w:t>
      </w:r>
      <w:r w:rsidR="00ED4898">
        <w:rPr>
          <w:lang w:eastAsia="lv-LV"/>
        </w:rPr>
        <w:t>sk</w:t>
      </w:r>
      <w:r w:rsidR="00ED4898" w:rsidRPr="00AA350D">
        <w:rPr>
          <w:lang w:eastAsia="lv-LV"/>
        </w:rPr>
        <w:t>. tabulu Nr. </w:t>
      </w:r>
      <w:r w:rsidR="00ED4898">
        <w:rPr>
          <w:lang w:eastAsia="lv-LV"/>
        </w:rPr>
        <w:t>2</w:t>
      </w:r>
      <w:r w:rsidR="00BB0477">
        <w:t>)</w:t>
      </w:r>
      <w:r w:rsidR="001974BD">
        <w:t>:</w:t>
      </w:r>
    </w:p>
    <w:p w14:paraId="6A2A0D31" w14:textId="77777777" w:rsidR="00D45040" w:rsidRDefault="00D45040" w:rsidP="00D45040">
      <w:pPr>
        <w:ind w:firstLine="720"/>
      </w:pPr>
    </w:p>
    <w:p w14:paraId="30A5E450" w14:textId="75C19CA6" w:rsidR="001974BD" w:rsidRPr="001974BD" w:rsidRDefault="001974BD" w:rsidP="001974BD">
      <w:pPr>
        <w:spacing w:after="120"/>
        <w:jc w:val="right"/>
        <w:rPr>
          <w:i/>
        </w:rPr>
      </w:pPr>
      <w:r w:rsidRPr="00AA350D">
        <w:rPr>
          <w:i/>
        </w:rPr>
        <w:t>Tabula Nr. </w:t>
      </w:r>
      <w:r w:rsidR="00152C1A">
        <w:rPr>
          <w:i/>
        </w:rPr>
        <w:t>2</w:t>
      </w:r>
      <w:r w:rsidRPr="00AA350D">
        <w:rPr>
          <w:i/>
        </w:rPr>
        <w:t xml:space="preserve">. </w:t>
      </w:r>
      <w:r w:rsidR="00D45040">
        <w:rPr>
          <w:i/>
        </w:rPr>
        <w:t>Reģionālā atbalsta intensitātes</w:t>
      </w:r>
      <w:r w:rsidRPr="00AA350D">
        <w:rPr>
          <w:i/>
        </w:rPr>
        <w:t>.</w:t>
      </w:r>
    </w:p>
    <w:tbl>
      <w:tblPr>
        <w:tblW w:w="9347" w:type="dxa"/>
        <w:jc w:val="center"/>
        <w:tblLook w:val="04A0" w:firstRow="1" w:lastRow="0" w:firstColumn="1" w:lastColumn="0" w:noHBand="0" w:noVBand="1"/>
      </w:tblPr>
      <w:tblGrid>
        <w:gridCol w:w="2315"/>
        <w:gridCol w:w="1019"/>
        <w:gridCol w:w="1616"/>
        <w:gridCol w:w="1061"/>
        <w:gridCol w:w="1033"/>
        <w:gridCol w:w="1020"/>
        <w:gridCol w:w="1283"/>
      </w:tblGrid>
      <w:tr w:rsidR="00FF2801" w:rsidRPr="00376A25" w14:paraId="6AA5FDED" w14:textId="77777777" w:rsidTr="00152C1A">
        <w:trPr>
          <w:trHeight w:val="1074"/>
          <w:jc w:val="center"/>
        </w:trPr>
        <w:tc>
          <w:tcPr>
            <w:tcW w:w="2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D132B" w14:textId="6F3CC28E" w:rsidR="00376A25" w:rsidRPr="00376A25" w:rsidRDefault="00376A25" w:rsidP="00376A25">
            <w:pPr>
              <w:jc w:val="center"/>
              <w:rPr>
                <w:rFonts w:eastAsia="Times New Roman" w:cs="Times New Roman"/>
                <w:b/>
                <w:bCs/>
                <w:color w:val="000000"/>
                <w:szCs w:val="24"/>
                <w:lang w:eastAsia="lv-LV"/>
              </w:rPr>
            </w:pPr>
            <w:r w:rsidRPr="00376A25">
              <w:rPr>
                <w:rFonts w:eastAsia="Times New Roman" w:cs="Times New Roman"/>
                <w:b/>
                <w:bCs/>
                <w:i/>
                <w:iCs/>
                <w:color w:val="000000"/>
                <w:szCs w:val="24"/>
                <w:lang w:eastAsia="lv-LV"/>
              </w:rPr>
              <w:t>NUTS</w:t>
            </w:r>
            <w:r w:rsidR="00FF2801">
              <w:rPr>
                <w:rFonts w:eastAsia="Times New Roman" w:cs="Times New Roman"/>
                <w:b/>
                <w:bCs/>
                <w:color w:val="000000"/>
                <w:szCs w:val="24"/>
                <w:lang w:eastAsia="lv-LV"/>
              </w:rPr>
              <w:t> </w:t>
            </w:r>
            <w:r w:rsidRPr="00376A25">
              <w:rPr>
                <w:rFonts w:eastAsia="Times New Roman" w:cs="Times New Roman"/>
                <w:b/>
                <w:bCs/>
                <w:color w:val="000000"/>
                <w:szCs w:val="24"/>
                <w:lang w:eastAsia="lv-LV"/>
              </w:rPr>
              <w:t xml:space="preserve">3 </w:t>
            </w:r>
            <w:r w:rsidR="00FF2801">
              <w:rPr>
                <w:rFonts w:eastAsia="Times New Roman" w:cs="Times New Roman"/>
                <w:b/>
                <w:bCs/>
                <w:color w:val="000000"/>
                <w:szCs w:val="24"/>
                <w:lang w:eastAsia="lv-LV"/>
              </w:rPr>
              <w:t>r</w:t>
            </w:r>
            <w:r w:rsidRPr="00376A25">
              <w:rPr>
                <w:rFonts w:eastAsia="Times New Roman" w:cs="Times New Roman"/>
                <w:b/>
                <w:bCs/>
                <w:color w:val="000000"/>
                <w:szCs w:val="24"/>
                <w:lang w:eastAsia="lv-LV"/>
              </w:rPr>
              <w:t>eģions</w:t>
            </w:r>
            <w:r w:rsidR="00FF2801">
              <w:rPr>
                <w:rFonts w:eastAsia="Times New Roman" w:cs="Times New Roman"/>
                <w:b/>
                <w:bCs/>
                <w:color w:val="000000"/>
                <w:szCs w:val="24"/>
                <w:lang w:eastAsia="lv-LV"/>
              </w:rPr>
              <w:t xml:space="preserve"> </w:t>
            </w:r>
            <w:r w:rsidRPr="00376A25">
              <w:rPr>
                <w:rFonts w:eastAsia="Times New Roman" w:cs="Times New Roman"/>
                <w:b/>
                <w:bCs/>
                <w:color w:val="000000"/>
                <w:szCs w:val="24"/>
                <w:lang w:eastAsia="lv-LV"/>
              </w:rPr>
              <w:t>(2021.</w:t>
            </w:r>
            <w:r w:rsidRPr="00FF2801">
              <w:rPr>
                <w:rFonts w:eastAsia="Times New Roman" w:cs="Times New Roman"/>
                <w:b/>
                <w:bCs/>
                <w:color w:val="000000"/>
                <w:szCs w:val="24"/>
                <w:lang w:eastAsia="lv-LV"/>
              </w:rPr>
              <w:t> </w:t>
            </w:r>
            <w:r w:rsidRPr="00376A25">
              <w:rPr>
                <w:rFonts w:eastAsia="Times New Roman" w:cs="Times New Roman"/>
                <w:b/>
                <w:bCs/>
                <w:color w:val="000000"/>
                <w:szCs w:val="24"/>
                <w:lang w:eastAsia="lv-LV"/>
              </w:rPr>
              <w:t xml:space="preserve">gada </w:t>
            </w:r>
            <w:r w:rsidRPr="00376A25">
              <w:rPr>
                <w:rFonts w:eastAsia="Times New Roman" w:cs="Times New Roman"/>
                <w:b/>
                <w:bCs/>
                <w:i/>
                <w:iCs/>
                <w:color w:val="000000"/>
                <w:szCs w:val="24"/>
                <w:lang w:eastAsia="lv-LV"/>
              </w:rPr>
              <w:t>NUTS</w:t>
            </w:r>
            <w:r w:rsidR="00FF2801">
              <w:rPr>
                <w:rFonts w:eastAsia="Times New Roman" w:cs="Times New Roman"/>
                <w:b/>
                <w:bCs/>
                <w:color w:val="000000"/>
                <w:szCs w:val="24"/>
                <w:lang w:eastAsia="lv-LV"/>
              </w:rPr>
              <w:t> </w:t>
            </w:r>
            <w:r w:rsidRPr="00376A25">
              <w:rPr>
                <w:rFonts w:eastAsia="Times New Roman" w:cs="Times New Roman"/>
                <w:b/>
                <w:bCs/>
                <w:color w:val="000000"/>
                <w:szCs w:val="24"/>
                <w:lang w:eastAsia="lv-LV"/>
              </w:rPr>
              <w:t>3</w:t>
            </w:r>
            <w:r w:rsidR="00FF2801">
              <w:rPr>
                <w:rFonts w:eastAsia="Times New Roman" w:cs="Times New Roman"/>
                <w:b/>
                <w:bCs/>
                <w:color w:val="000000"/>
                <w:szCs w:val="24"/>
                <w:lang w:eastAsia="lv-LV"/>
              </w:rPr>
              <w:t xml:space="preserve"> </w:t>
            </w:r>
            <w:r w:rsidRPr="00376A25">
              <w:rPr>
                <w:rFonts w:eastAsia="Times New Roman" w:cs="Times New Roman"/>
                <w:b/>
                <w:bCs/>
                <w:color w:val="000000"/>
                <w:szCs w:val="24"/>
                <w:lang w:eastAsia="lv-LV"/>
              </w:rPr>
              <w:t>dati)</w:t>
            </w:r>
          </w:p>
        </w:tc>
        <w:tc>
          <w:tcPr>
            <w:tcW w:w="1019" w:type="dxa"/>
            <w:tcBorders>
              <w:top w:val="single" w:sz="4" w:space="0" w:color="auto"/>
              <w:left w:val="nil"/>
              <w:bottom w:val="single" w:sz="4" w:space="0" w:color="auto"/>
              <w:right w:val="single" w:sz="4" w:space="0" w:color="auto"/>
            </w:tcBorders>
            <w:shd w:val="clear" w:color="auto" w:fill="auto"/>
            <w:vAlign w:val="center"/>
            <w:hideMark/>
          </w:tcPr>
          <w:p w14:paraId="4A7545F1" w14:textId="77777777" w:rsidR="00376A25" w:rsidRPr="00376A25" w:rsidRDefault="00376A25" w:rsidP="00376A25">
            <w:pPr>
              <w:jc w:val="center"/>
              <w:rPr>
                <w:rFonts w:eastAsia="Times New Roman" w:cs="Times New Roman"/>
                <w:b/>
                <w:bCs/>
                <w:color w:val="000000"/>
                <w:szCs w:val="24"/>
                <w:lang w:eastAsia="lv-LV"/>
              </w:rPr>
            </w:pPr>
            <w:r w:rsidRPr="00376A25">
              <w:rPr>
                <w:rFonts w:eastAsia="Times New Roman" w:cs="Times New Roman"/>
                <w:b/>
                <w:bCs/>
                <w:color w:val="000000"/>
                <w:szCs w:val="24"/>
                <w:lang w:eastAsia="lv-LV"/>
              </w:rPr>
              <w:t>Lielie</w:t>
            </w:r>
          </w:p>
        </w:tc>
        <w:tc>
          <w:tcPr>
            <w:tcW w:w="1616" w:type="dxa"/>
            <w:tcBorders>
              <w:top w:val="single" w:sz="4" w:space="0" w:color="auto"/>
              <w:left w:val="nil"/>
              <w:bottom w:val="single" w:sz="4" w:space="0" w:color="auto"/>
              <w:right w:val="single" w:sz="4" w:space="0" w:color="auto"/>
            </w:tcBorders>
            <w:shd w:val="clear" w:color="auto" w:fill="auto"/>
            <w:vAlign w:val="center"/>
            <w:hideMark/>
          </w:tcPr>
          <w:p w14:paraId="100908EB" w14:textId="16E73A48" w:rsidR="00376A25" w:rsidRPr="00376A25" w:rsidRDefault="00376A25" w:rsidP="00376A25">
            <w:pPr>
              <w:jc w:val="center"/>
              <w:rPr>
                <w:rFonts w:eastAsia="Times New Roman" w:cs="Times New Roman"/>
                <w:color w:val="000000"/>
                <w:szCs w:val="24"/>
                <w:lang w:eastAsia="lv-LV"/>
              </w:rPr>
            </w:pPr>
            <w:r w:rsidRPr="00376A25">
              <w:rPr>
                <w:rFonts w:eastAsia="Times New Roman" w:cs="Times New Roman"/>
                <w:b/>
                <w:bCs/>
                <w:color w:val="000000"/>
                <w:szCs w:val="24"/>
                <w:lang w:eastAsia="lv-LV"/>
              </w:rPr>
              <w:t>Mazapdzīvoti reģioni</w:t>
            </w:r>
            <w:r w:rsidR="00B162EE" w:rsidRPr="00B162EE">
              <w:rPr>
                <w:rStyle w:val="FootnoteReference"/>
                <w:rFonts w:eastAsia="Times New Roman" w:cs="Times New Roman"/>
                <w:color w:val="000000"/>
                <w:szCs w:val="24"/>
                <w:lang w:eastAsia="lv-LV"/>
              </w:rPr>
              <w:footnoteReference w:id="15"/>
            </w:r>
          </w:p>
        </w:tc>
        <w:tc>
          <w:tcPr>
            <w:tcW w:w="1061" w:type="dxa"/>
            <w:tcBorders>
              <w:top w:val="single" w:sz="4" w:space="0" w:color="auto"/>
              <w:left w:val="nil"/>
              <w:bottom w:val="single" w:sz="4" w:space="0" w:color="auto"/>
              <w:right w:val="single" w:sz="4" w:space="0" w:color="auto"/>
            </w:tcBorders>
            <w:shd w:val="clear" w:color="auto" w:fill="auto"/>
            <w:vAlign w:val="center"/>
            <w:hideMark/>
          </w:tcPr>
          <w:p w14:paraId="45A7D518" w14:textId="77777777" w:rsidR="00376A25" w:rsidRPr="00376A25" w:rsidRDefault="00376A25" w:rsidP="00376A25">
            <w:pPr>
              <w:jc w:val="center"/>
              <w:rPr>
                <w:rFonts w:eastAsia="Times New Roman" w:cs="Times New Roman"/>
                <w:b/>
                <w:bCs/>
                <w:color w:val="000000"/>
                <w:szCs w:val="24"/>
                <w:lang w:eastAsia="lv-LV"/>
              </w:rPr>
            </w:pPr>
            <w:r w:rsidRPr="00376A25">
              <w:rPr>
                <w:rFonts w:eastAsia="Times New Roman" w:cs="Times New Roman"/>
                <w:b/>
                <w:bCs/>
                <w:color w:val="000000"/>
                <w:szCs w:val="24"/>
                <w:lang w:eastAsia="lv-LV"/>
              </w:rPr>
              <w:t>Vidējie</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14:paraId="52A6DCA0" w14:textId="77777777" w:rsidR="00376A25" w:rsidRPr="00376A25" w:rsidRDefault="00376A25" w:rsidP="00376A25">
            <w:pPr>
              <w:jc w:val="center"/>
              <w:rPr>
                <w:rFonts w:eastAsia="Times New Roman" w:cs="Times New Roman"/>
                <w:b/>
                <w:bCs/>
                <w:color w:val="000000"/>
                <w:szCs w:val="24"/>
                <w:lang w:eastAsia="lv-LV"/>
              </w:rPr>
            </w:pPr>
            <w:r w:rsidRPr="00376A25">
              <w:rPr>
                <w:rFonts w:eastAsia="Times New Roman" w:cs="Times New Roman"/>
                <w:b/>
                <w:bCs/>
                <w:color w:val="000000"/>
                <w:szCs w:val="24"/>
                <w:lang w:eastAsia="lv-LV"/>
              </w:rPr>
              <w:t>Mazie</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666AB6F8" w14:textId="77777777" w:rsidR="00376A25" w:rsidRPr="00376A25" w:rsidRDefault="00376A25" w:rsidP="00376A25">
            <w:pPr>
              <w:jc w:val="center"/>
              <w:rPr>
                <w:rFonts w:eastAsia="Times New Roman" w:cs="Times New Roman"/>
                <w:b/>
                <w:bCs/>
                <w:color w:val="000000"/>
                <w:szCs w:val="24"/>
                <w:lang w:eastAsia="lv-LV"/>
              </w:rPr>
            </w:pPr>
            <w:r w:rsidRPr="00376A25">
              <w:rPr>
                <w:rFonts w:eastAsia="Times New Roman" w:cs="Times New Roman"/>
                <w:b/>
                <w:bCs/>
                <w:color w:val="000000"/>
                <w:szCs w:val="24"/>
                <w:lang w:eastAsia="lv-LV"/>
              </w:rPr>
              <w:t>TPF</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14:paraId="26FA47EC" w14:textId="77777777" w:rsidR="00376A25" w:rsidRPr="00376A25" w:rsidRDefault="00376A25" w:rsidP="00376A25">
            <w:pPr>
              <w:jc w:val="center"/>
              <w:rPr>
                <w:rFonts w:eastAsia="Times New Roman" w:cs="Times New Roman"/>
                <w:b/>
                <w:bCs/>
                <w:color w:val="000000"/>
                <w:szCs w:val="24"/>
                <w:lang w:eastAsia="lv-LV"/>
              </w:rPr>
            </w:pPr>
            <w:r w:rsidRPr="00376A25">
              <w:rPr>
                <w:rFonts w:eastAsia="Times New Roman" w:cs="Times New Roman"/>
                <w:b/>
                <w:bCs/>
                <w:color w:val="000000"/>
                <w:szCs w:val="24"/>
                <w:lang w:eastAsia="lv-LV"/>
              </w:rPr>
              <w:t>MAX</w:t>
            </w:r>
            <w:r w:rsidRPr="00376A25">
              <w:rPr>
                <w:rFonts w:eastAsia="Times New Roman" w:cs="Times New Roman"/>
                <w:b/>
                <w:bCs/>
                <w:color w:val="000000"/>
                <w:szCs w:val="24"/>
                <w:lang w:eastAsia="lv-LV"/>
              </w:rPr>
              <w:br/>
              <w:t>intensitāte</w:t>
            </w:r>
            <w:r w:rsidRPr="00376A25">
              <w:rPr>
                <w:rFonts w:eastAsia="Times New Roman" w:cs="Times New Roman"/>
                <w:b/>
                <w:bCs/>
                <w:color w:val="000000"/>
                <w:szCs w:val="24"/>
                <w:lang w:eastAsia="lv-LV"/>
              </w:rPr>
              <w:br/>
              <w:t xml:space="preserve">kopā: </w:t>
            </w:r>
          </w:p>
        </w:tc>
      </w:tr>
      <w:tr w:rsidR="00FF2801" w:rsidRPr="00376A25" w14:paraId="26A00651" w14:textId="77777777" w:rsidTr="00152C1A">
        <w:trPr>
          <w:trHeight w:val="443"/>
          <w:jc w:val="center"/>
        </w:trPr>
        <w:tc>
          <w:tcPr>
            <w:tcW w:w="2315" w:type="dxa"/>
            <w:tcBorders>
              <w:top w:val="nil"/>
              <w:left w:val="single" w:sz="4" w:space="0" w:color="auto"/>
              <w:bottom w:val="single" w:sz="4" w:space="0" w:color="auto"/>
              <w:right w:val="single" w:sz="4" w:space="0" w:color="auto"/>
            </w:tcBorders>
            <w:shd w:val="clear" w:color="auto" w:fill="auto"/>
            <w:vAlign w:val="center"/>
            <w:hideMark/>
          </w:tcPr>
          <w:p w14:paraId="7D0B5B17" w14:textId="77777777" w:rsidR="00376A25" w:rsidRPr="00376A25" w:rsidRDefault="00376A25" w:rsidP="00376A25">
            <w:pPr>
              <w:jc w:val="left"/>
              <w:rPr>
                <w:rFonts w:eastAsia="Times New Roman" w:cs="Times New Roman"/>
                <w:color w:val="000000"/>
                <w:szCs w:val="24"/>
                <w:lang w:eastAsia="lv-LV"/>
              </w:rPr>
            </w:pPr>
            <w:r w:rsidRPr="00376A25">
              <w:rPr>
                <w:rFonts w:eastAsia="Times New Roman" w:cs="Times New Roman"/>
                <w:color w:val="000000"/>
                <w:szCs w:val="24"/>
                <w:lang w:eastAsia="lv-LV"/>
              </w:rPr>
              <w:t>Rīga</w:t>
            </w:r>
          </w:p>
        </w:tc>
        <w:tc>
          <w:tcPr>
            <w:tcW w:w="1019" w:type="dxa"/>
            <w:tcBorders>
              <w:top w:val="nil"/>
              <w:left w:val="nil"/>
              <w:bottom w:val="single" w:sz="4" w:space="0" w:color="auto"/>
              <w:right w:val="single" w:sz="4" w:space="0" w:color="auto"/>
            </w:tcBorders>
            <w:shd w:val="clear" w:color="auto" w:fill="auto"/>
            <w:vAlign w:val="center"/>
            <w:hideMark/>
          </w:tcPr>
          <w:p w14:paraId="37B27412" w14:textId="77777777" w:rsidR="00376A25" w:rsidRPr="00376A25" w:rsidRDefault="00376A25" w:rsidP="00376A25">
            <w:pPr>
              <w:jc w:val="center"/>
              <w:rPr>
                <w:rFonts w:eastAsia="Times New Roman" w:cs="Times New Roman"/>
                <w:color w:val="000000"/>
                <w:szCs w:val="24"/>
                <w:lang w:eastAsia="lv-LV"/>
              </w:rPr>
            </w:pPr>
            <w:r w:rsidRPr="00376A25">
              <w:rPr>
                <w:rFonts w:eastAsia="Times New Roman" w:cs="Times New Roman"/>
                <w:color w:val="000000"/>
                <w:szCs w:val="24"/>
                <w:lang w:eastAsia="lv-LV"/>
              </w:rPr>
              <w:t>30%</w:t>
            </w:r>
          </w:p>
        </w:tc>
        <w:tc>
          <w:tcPr>
            <w:tcW w:w="1616" w:type="dxa"/>
            <w:tcBorders>
              <w:top w:val="nil"/>
              <w:left w:val="nil"/>
              <w:bottom w:val="single" w:sz="4" w:space="0" w:color="auto"/>
              <w:right w:val="single" w:sz="4" w:space="0" w:color="auto"/>
            </w:tcBorders>
            <w:shd w:val="clear" w:color="auto" w:fill="auto"/>
            <w:vAlign w:val="center"/>
            <w:hideMark/>
          </w:tcPr>
          <w:p w14:paraId="541BB3F9" w14:textId="10948C64" w:rsidR="00376A25" w:rsidRPr="00376A25" w:rsidRDefault="00376A25" w:rsidP="00376A25">
            <w:pPr>
              <w:jc w:val="center"/>
              <w:rPr>
                <w:rFonts w:eastAsia="Times New Roman" w:cs="Times New Roman"/>
                <w:color w:val="000000"/>
                <w:szCs w:val="24"/>
                <w:lang w:eastAsia="lv-LV"/>
              </w:rPr>
            </w:pPr>
            <w:r w:rsidRPr="00FF2801">
              <w:rPr>
                <w:rFonts w:eastAsia="Times New Roman" w:cs="Times New Roman"/>
                <w:color w:val="000000"/>
                <w:szCs w:val="24"/>
                <w:lang w:eastAsia="lv-LV"/>
              </w:rPr>
              <w:t>-</w:t>
            </w:r>
            <w:r w:rsidRPr="00376A25">
              <w:rPr>
                <w:rFonts w:eastAsia="Times New Roman" w:cs="Times New Roman"/>
                <w:color w:val="000000"/>
                <w:szCs w:val="24"/>
                <w:lang w:eastAsia="lv-LV"/>
              </w:rPr>
              <w:t> </w:t>
            </w:r>
          </w:p>
        </w:tc>
        <w:tc>
          <w:tcPr>
            <w:tcW w:w="1061" w:type="dxa"/>
            <w:tcBorders>
              <w:top w:val="nil"/>
              <w:left w:val="nil"/>
              <w:bottom w:val="single" w:sz="4" w:space="0" w:color="auto"/>
              <w:right w:val="single" w:sz="4" w:space="0" w:color="auto"/>
            </w:tcBorders>
            <w:shd w:val="clear" w:color="auto" w:fill="auto"/>
            <w:vAlign w:val="center"/>
            <w:hideMark/>
          </w:tcPr>
          <w:p w14:paraId="45D444B4" w14:textId="05DEF45D" w:rsidR="00376A25" w:rsidRPr="00376A25" w:rsidRDefault="00376A25" w:rsidP="00376A25">
            <w:pPr>
              <w:jc w:val="center"/>
              <w:rPr>
                <w:rFonts w:eastAsia="Times New Roman" w:cs="Times New Roman"/>
                <w:color w:val="000000"/>
                <w:szCs w:val="24"/>
                <w:lang w:eastAsia="lv-LV"/>
              </w:rPr>
            </w:pPr>
            <w:r w:rsidRPr="00FF2801">
              <w:rPr>
                <w:rFonts w:eastAsia="Times New Roman" w:cs="Times New Roman"/>
                <w:color w:val="000000"/>
                <w:szCs w:val="24"/>
                <w:lang w:eastAsia="lv-LV"/>
              </w:rPr>
              <w:t>+</w:t>
            </w:r>
            <w:r w:rsidRPr="00376A25">
              <w:rPr>
                <w:rFonts w:eastAsia="Times New Roman" w:cs="Times New Roman"/>
                <w:color w:val="000000"/>
                <w:szCs w:val="24"/>
                <w:lang w:eastAsia="lv-LV"/>
              </w:rPr>
              <w:t>10%</w:t>
            </w:r>
          </w:p>
        </w:tc>
        <w:tc>
          <w:tcPr>
            <w:tcW w:w="1033" w:type="dxa"/>
            <w:tcBorders>
              <w:top w:val="nil"/>
              <w:left w:val="nil"/>
              <w:bottom w:val="single" w:sz="4" w:space="0" w:color="auto"/>
              <w:right w:val="single" w:sz="4" w:space="0" w:color="auto"/>
            </w:tcBorders>
            <w:shd w:val="clear" w:color="auto" w:fill="auto"/>
            <w:vAlign w:val="center"/>
            <w:hideMark/>
          </w:tcPr>
          <w:p w14:paraId="7B5C80C8" w14:textId="6A866A14" w:rsidR="00376A25" w:rsidRPr="00376A25" w:rsidRDefault="00376A25" w:rsidP="00376A25">
            <w:pPr>
              <w:jc w:val="center"/>
              <w:rPr>
                <w:rFonts w:eastAsia="Times New Roman" w:cs="Times New Roman"/>
                <w:color w:val="000000"/>
                <w:szCs w:val="24"/>
                <w:lang w:eastAsia="lv-LV"/>
              </w:rPr>
            </w:pPr>
            <w:r w:rsidRPr="00FF2801">
              <w:rPr>
                <w:rFonts w:eastAsia="Times New Roman" w:cs="Times New Roman"/>
                <w:color w:val="000000"/>
                <w:szCs w:val="24"/>
                <w:lang w:eastAsia="lv-LV"/>
              </w:rPr>
              <w:t>+</w:t>
            </w:r>
            <w:r w:rsidRPr="00376A25">
              <w:rPr>
                <w:rFonts w:eastAsia="Times New Roman" w:cs="Times New Roman"/>
                <w:color w:val="000000"/>
                <w:szCs w:val="24"/>
                <w:lang w:eastAsia="lv-LV"/>
              </w:rPr>
              <w:t>20%</w:t>
            </w:r>
          </w:p>
        </w:tc>
        <w:tc>
          <w:tcPr>
            <w:tcW w:w="1020" w:type="dxa"/>
            <w:tcBorders>
              <w:top w:val="nil"/>
              <w:left w:val="nil"/>
              <w:bottom w:val="single" w:sz="4" w:space="0" w:color="auto"/>
              <w:right w:val="single" w:sz="4" w:space="0" w:color="auto"/>
            </w:tcBorders>
            <w:shd w:val="clear" w:color="auto" w:fill="auto"/>
            <w:vAlign w:val="center"/>
            <w:hideMark/>
          </w:tcPr>
          <w:p w14:paraId="26C57F3B" w14:textId="41A07CBF" w:rsidR="00376A25" w:rsidRPr="00376A25" w:rsidRDefault="00376A25" w:rsidP="00376A25">
            <w:pPr>
              <w:jc w:val="center"/>
              <w:rPr>
                <w:rFonts w:eastAsia="Times New Roman" w:cs="Times New Roman"/>
                <w:color w:val="000000"/>
                <w:szCs w:val="24"/>
                <w:lang w:eastAsia="lv-LV"/>
              </w:rPr>
            </w:pPr>
            <w:r w:rsidRPr="00FF2801">
              <w:rPr>
                <w:rFonts w:eastAsia="Times New Roman" w:cs="Times New Roman"/>
                <w:color w:val="000000"/>
                <w:szCs w:val="24"/>
                <w:lang w:eastAsia="lv-LV"/>
              </w:rPr>
              <w:t>-</w:t>
            </w:r>
            <w:r w:rsidRPr="00376A25">
              <w:rPr>
                <w:rFonts w:eastAsia="Times New Roman" w:cs="Times New Roman"/>
                <w:color w:val="000000"/>
                <w:szCs w:val="24"/>
                <w:lang w:eastAsia="lv-LV"/>
              </w:rPr>
              <w:t> </w:t>
            </w:r>
          </w:p>
        </w:tc>
        <w:tc>
          <w:tcPr>
            <w:tcW w:w="1283" w:type="dxa"/>
            <w:tcBorders>
              <w:top w:val="nil"/>
              <w:left w:val="nil"/>
              <w:bottom w:val="single" w:sz="4" w:space="0" w:color="auto"/>
              <w:right w:val="single" w:sz="4" w:space="0" w:color="auto"/>
            </w:tcBorders>
            <w:shd w:val="clear" w:color="auto" w:fill="auto"/>
            <w:vAlign w:val="center"/>
            <w:hideMark/>
          </w:tcPr>
          <w:p w14:paraId="01AEB69B" w14:textId="77777777" w:rsidR="00376A25" w:rsidRPr="00376A25" w:rsidRDefault="00376A25" w:rsidP="00376A25">
            <w:pPr>
              <w:jc w:val="center"/>
              <w:rPr>
                <w:rFonts w:eastAsia="Times New Roman" w:cs="Times New Roman"/>
                <w:color w:val="000000"/>
                <w:szCs w:val="24"/>
                <w:lang w:eastAsia="lv-LV"/>
              </w:rPr>
            </w:pPr>
            <w:r w:rsidRPr="00376A25">
              <w:rPr>
                <w:rFonts w:eastAsia="Times New Roman" w:cs="Times New Roman"/>
                <w:color w:val="000000"/>
                <w:szCs w:val="24"/>
                <w:lang w:eastAsia="lv-LV"/>
              </w:rPr>
              <w:t>50%</w:t>
            </w:r>
          </w:p>
        </w:tc>
      </w:tr>
      <w:tr w:rsidR="00FF2801" w:rsidRPr="00376A25" w14:paraId="59E9C503" w14:textId="77777777" w:rsidTr="00152C1A">
        <w:trPr>
          <w:trHeight w:val="1571"/>
          <w:jc w:val="center"/>
        </w:trPr>
        <w:tc>
          <w:tcPr>
            <w:tcW w:w="2315" w:type="dxa"/>
            <w:tcBorders>
              <w:top w:val="nil"/>
              <w:left w:val="single" w:sz="4" w:space="0" w:color="auto"/>
              <w:bottom w:val="single" w:sz="4" w:space="0" w:color="auto"/>
              <w:right w:val="single" w:sz="4" w:space="0" w:color="auto"/>
            </w:tcBorders>
            <w:shd w:val="clear" w:color="auto" w:fill="auto"/>
            <w:vAlign w:val="center"/>
            <w:hideMark/>
          </w:tcPr>
          <w:p w14:paraId="641F1922" w14:textId="579F10C0" w:rsidR="00376A25" w:rsidRPr="00376A25" w:rsidRDefault="00376A25" w:rsidP="00376A25">
            <w:pPr>
              <w:jc w:val="left"/>
              <w:rPr>
                <w:rFonts w:eastAsia="Times New Roman" w:cs="Times New Roman"/>
                <w:color w:val="000000"/>
                <w:szCs w:val="24"/>
                <w:lang w:eastAsia="lv-LV"/>
              </w:rPr>
            </w:pPr>
            <w:r w:rsidRPr="00376A25">
              <w:rPr>
                <w:rFonts w:eastAsia="Times New Roman" w:cs="Times New Roman"/>
                <w:color w:val="000000"/>
                <w:szCs w:val="24"/>
                <w:lang w:eastAsia="lv-LV"/>
              </w:rPr>
              <w:t>Pierīga (t.sk. arī Limbažu novads, Ogres novads, Saulkrastu novads un Tukuma novads</w:t>
            </w:r>
            <w:r w:rsidR="006C28ED">
              <w:rPr>
                <w:rStyle w:val="FootnoteReference"/>
                <w:rFonts w:eastAsia="Times New Roman" w:cs="Times New Roman"/>
                <w:color w:val="000000"/>
                <w:szCs w:val="24"/>
                <w:lang w:eastAsia="lv-LV"/>
              </w:rPr>
              <w:footnoteReference w:id="16"/>
            </w:r>
            <w:r w:rsidRPr="00376A25">
              <w:rPr>
                <w:rFonts w:eastAsia="Times New Roman" w:cs="Times New Roman"/>
                <w:color w:val="000000"/>
                <w:szCs w:val="24"/>
                <w:lang w:eastAsia="lv-LV"/>
              </w:rPr>
              <w:t>)</w:t>
            </w:r>
          </w:p>
        </w:tc>
        <w:tc>
          <w:tcPr>
            <w:tcW w:w="1019" w:type="dxa"/>
            <w:tcBorders>
              <w:top w:val="nil"/>
              <w:left w:val="nil"/>
              <w:bottom w:val="single" w:sz="4" w:space="0" w:color="auto"/>
              <w:right w:val="single" w:sz="4" w:space="0" w:color="auto"/>
            </w:tcBorders>
            <w:shd w:val="clear" w:color="auto" w:fill="auto"/>
            <w:vAlign w:val="center"/>
            <w:hideMark/>
          </w:tcPr>
          <w:p w14:paraId="181417AD" w14:textId="77777777" w:rsidR="00376A25" w:rsidRPr="00376A25" w:rsidRDefault="00376A25" w:rsidP="00376A25">
            <w:pPr>
              <w:jc w:val="center"/>
              <w:rPr>
                <w:rFonts w:eastAsia="Times New Roman" w:cs="Times New Roman"/>
                <w:color w:val="000000"/>
                <w:szCs w:val="24"/>
                <w:lang w:eastAsia="lv-LV"/>
              </w:rPr>
            </w:pPr>
            <w:r w:rsidRPr="00376A25">
              <w:rPr>
                <w:rFonts w:eastAsia="Times New Roman" w:cs="Times New Roman"/>
                <w:color w:val="000000"/>
                <w:szCs w:val="24"/>
                <w:lang w:eastAsia="lv-LV"/>
              </w:rPr>
              <w:t>30%</w:t>
            </w:r>
          </w:p>
        </w:tc>
        <w:tc>
          <w:tcPr>
            <w:tcW w:w="1616" w:type="dxa"/>
            <w:tcBorders>
              <w:top w:val="nil"/>
              <w:left w:val="nil"/>
              <w:bottom w:val="single" w:sz="4" w:space="0" w:color="auto"/>
              <w:right w:val="single" w:sz="4" w:space="0" w:color="auto"/>
            </w:tcBorders>
            <w:shd w:val="clear" w:color="auto" w:fill="auto"/>
            <w:vAlign w:val="center"/>
            <w:hideMark/>
          </w:tcPr>
          <w:p w14:paraId="55DD1805" w14:textId="36CA31A2" w:rsidR="00376A25" w:rsidRPr="00376A25" w:rsidRDefault="00376A25" w:rsidP="00376A25">
            <w:pPr>
              <w:jc w:val="center"/>
              <w:rPr>
                <w:rFonts w:eastAsia="Times New Roman" w:cs="Times New Roman"/>
                <w:color w:val="000000"/>
                <w:szCs w:val="24"/>
                <w:lang w:eastAsia="lv-LV"/>
              </w:rPr>
            </w:pPr>
            <w:r w:rsidRPr="00FF2801">
              <w:rPr>
                <w:rFonts w:eastAsia="Times New Roman" w:cs="Times New Roman"/>
                <w:color w:val="000000"/>
                <w:szCs w:val="24"/>
                <w:lang w:eastAsia="lv-LV"/>
              </w:rPr>
              <w:t>-</w:t>
            </w:r>
          </w:p>
        </w:tc>
        <w:tc>
          <w:tcPr>
            <w:tcW w:w="1061" w:type="dxa"/>
            <w:tcBorders>
              <w:top w:val="nil"/>
              <w:left w:val="nil"/>
              <w:bottom w:val="single" w:sz="4" w:space="0" w:color="auto"/>
              <w:right w:val="single" w:sz="4" w:space="0" w:color="auto"/>
            </w:tcBorders>
            <w:shd w:val="clear" w:color="auto" w:fill="auto"/>
            <w:vAlign w:val="center"/>
            <w:hideMark/>
          </w:tcPr>
          <w:p w14:paraId="1DEF5F4B" w14:textId="55514576" w:rsidR="00376A25" w:rsidRPr="00376A25" w:rsidRDefault="00376A25" w:rsidP="00376A25">
            <w:pPr>
              <w:jc w:val="center"/>
              <w:rPr>
                <w:rFonts w:eastAsia="Times New Roman" w:cs="Times New Roman"/>
                <w:color w:val="000000"/>
                <w:szCs w:val="24"/>
                <w:lang w:eastAsia="lv-LV"/>
              </w:rPr>
            </w:pPr>
            <w:r w:rsidRPr="00FF2801">
              <w:rPr>
                <w:rFonts w:eastAsia="Times New Roman" w:cs="Times New Roman"/>
                <w:color w:val="000000"/>
                <w:szCs w:val="24"/>
                <w:lang w:eastAsia="lv-LV"/>
              </w:rPr>
              <w:t>+</w:t>
            </w:r>
            <w:r w:rsidRPr="00376A25">
              <w:rPr>
                <w:rFonts w:eastAsia="Times New Roman" w:cs="Times New Roman"/>
                <w:color w:val="000000"/>
                <w:szCs w:val="24"/>
                <w:lang w:eastAsia="lv-LV"/>
              </w:rPr>
              <w:t>10%</w:t>
            </w:r>
          </w:p>
        </w:tc>
        <w:tc>
          <w:tcPr>
            <w:tcW w:w="1033" w:type="dxa"/>
            <w:tcBorders>
              <w:top w:val="nil"/>
              <w:left w:val="nil"/>
              <w:bottom w:val="single" w:sz="4" w:space="0" w:color="auto"/>
              <w:right w:val="single" w:sz="4" w:space="0" w:color="auto"/>
            </w:tcBorders>
            <w:shd w:val="clear" w:color="auto" w:fill="auto"/>
            <w:vAlign w:val="center"/>
            <w:hideMark/>
          </w:tcPr>
          <w:p w14:paraId="0327942B" w14:textId="32E3DC47" w:rsidR="00376A25" w:rsidRPr="00376A25" w:rsidRDefault="00376A25" w:rsidP="00376A25">
            <w:pPr>
              <w:jc w:val="center"/>
              <w:rPr>
                <w:rFonts w:eastAsia="Times New Roman" w:cs="Times New Roman"/>
                <w:color w:val="000000"/>
                <w:szCs w:val="24"/>
                <w:lang w:eastAsia="lv-LV"/>
              </w:rPr>
            </w:pPr>
            <w:r w:rsidRPr="00FF2801">
              <w:rPr>
                <w:rFonts w:eastAsia="Times New Roman" w:cs="Times New Roman"/>
                <w:color w:val="000000"/>
                <w:szCs w:val="24"/>
                <w:lang w:eastAsia="lv-LV"/>
              </w:rPr>
              <w:t>+</w:t>
            </w:r>
            <w:r w:rsidRPr="00376A25">
              <w:rPr>
                <w:rFonts w:eastAsia="Times New Roman" w:cs="Times New Roman"/>
                <w:color w:val="000000"/>
                <w:szCs w:val="24"/>
                <w:lang w:eastAsia="lv-LV"/>
              </w:rPr>
              <w:t>20%</w:t>
            </w:r>
          </w:p>
        </w:tc>
        <w:tc>
          <w:tcPr>
            <w:tcW w:w="1020" w:type="dxa"/>
            <w:tcBorders>
              <w:top w:val="nil"/>
              <w:left w:val="nil"/>
              <w:bottom w:val="single" w:sz="4" w:space="0" w:color="auto"/>
              <w:right w:val="single" w:sz="4" w:space="0" w:color="auto"/>
            </w:tcBorders>
            <w:shd w:val="clear" w:color="auto" w:fill="auto"/>
            <w:vAlign w:val="center"/>
            <w:hideMark/>
          </w:tcPr>
          <w:p w14:paraId="206BF9E2" w14:textId="44DE926A" w:rsidR="00376A25" w:rsidRPr="00376A25" w:rsidRDefault="00376A25" w:rsidP="00376A25">
            <w:pPr>
              <w:jc w:val="center"/>
              <w:rPr>
                <w:rFonts w:eastAsia="Times New Roman" w:cs="Times New Roman"/>
                <w:color w:val="000000"/>
                <w:szCs w:val="24"/>
                <w:lang w:eastAsia="lv-LV"/>
              </w:rPr>
            </w:pPr>
            <w:r w:rsidRPr="00376A25">
              <w:rPr>
                <w:rFonts w:eastAsia="Times New Roman" w:cs="Times New Roman"/>
                <w:color w:val="000000"/>
                <w:szCs w:val="24"/>
                <w:lang w:eastAsia="lv-LV"/>
              </w:rPr>
              <w:t> </w:t>
            </w:r>
            <w:r w:rsidRPr="00FF2801">
              <w:rPr>
                <w:rFonts w:eastAsia="Times New Roman" w:cs="Times New Roman"/>
                <w:color w:val="000000"/>
                <w:szCs w:val="24"/>
                <w:lang w:eastAsia="lv-LV"/>
              </w:rPr>
              <w:t>-</w:t>
            </w:r>
          </w:p>
        </w:tc>
        <w:tc>
          <w:tcPr>
            <w:tcW w:w="1283" w:type="dxa"/>
            <w:tcBorders>
              <w:top w:val="nil"/>
              <w:left w:val="nil"/>
              <w:bottom w:val="single" w:sz="4" w:space="0" w:color="auto"/>
              <w:right w:val="single" w:sz="4" w:space="0" w:color="auto"/>
            </w:tcBorders>
            <w:shd w:val="clear" w:color="auto" w:fill="auto"/>
            <w:vAlign w:val="center"/>
            <w:hideMark/>
          </w:tcPr>
          <w:p w14:paraId="695E18C9" w14:textId="77777777" w:rsidR="00376A25" w:rsidRPr="00376A25" w:rsidRDefault="00376A25" w:rsidP="00376A25">
            <w:pPr>
              <w:jc w:val="center"/>
              <w:rPr>
                <w:rFonts w:eastAsia="Times New Roman" w:cs="Times New Roman"/>
                <w:color w:val="000000"/>
                <w:szCs w:val="24"/>
                <w:lang w:eastAsia="lv-LV"/>
              </w:rPr>
            </w:pPr>
            <w:r w:rsidRPr="00376A25">
              <w:rPr>
                <w:rFonts w:eastAsia="Times New Roman" w:cs="Times New Roman"/>
                <w:color w:val="000000"/>
                <w:szCs w:val="24"/>
                <w:lang w:eastAsia="lv-LV"/>
              </w:rPr>
              <w:t>50%</w:t>
            </w:r>
          </w:p>
        </w:tc>
      </w:tr>
      <w:tr w:rsidR="00FF2801" w:rsidRPr="00376A25" w14:paraId="72229C36" w14:textId="77777777" w:rsidTr="00152C1A">
        <w:trPr>
          <w:trHeight w:val="671"/>
          <w:jc w:val="center"/>
        </w:trPr>
        <w:tc>
          <w:tcPr>
            <w:tcW w:w="2315" w:type="dxa"/>
            <w:tcBorders>
              <w:top w:val="nil"/>
              <w:left w:val="single" w:sz="4" w:space="0" w:color="auto"/>
              <w:bottom w:val="single" w:sz="4" w:space="0" w:color="auto"/>
              <w:right w:val="single" w:sz="4" w:space="0" w:color="auto"/>
            </w:tcBorders>
            <w:shd w:val="clear" w:color="auto" w:fill="auto"/>
            <w:vAlign w:val="center"/>
            <w:hideMark/>
          </w:tcPr>
          <w:p w14:paraId="7837F6CD" w14:textId="77777777" w:rsidR="00376A25" w:rsidRPr="00376A25" w:rsidRDefault="00376A25" w:rsidP="00376A25">
            <w:pPr>
              <w:jc w:val="left"/>
              <w:rPr>
                <w:rFonts w:eastAsia="Times New Roman" w:cs="Times New Roman"/>
                <w:color w:val="000000"/>
                <w:szCs w:val="24"/>
                <w:lang w:eastAsia="lv-LV"/>
              </w:rPr>
            </w:pPr>
            <w:r w:rsidRPr="00376A25">
              <w:rPr>
                <w:rFonts w:eastAsia="Times New Roman" w:cs="Times New Roman"/>
                <w:color w:val="000000"/>
                <w:szCs w:val="24"/>
                <w:lang w:eastAsia="lv-LV"/>
              </w:rPr>
              <w:t>Vidzeme, Kurzeme, Latgale, Zemgale</w:t>
            </w:r>
          </w:p>
        </w:tc>
        <w:tc>
          <w:tcPr>
            <w:tcW w:w="1019" w:type="dxa"/>
            <w:tcBorders>
              <w:top w:val="nil"/>
              <w:left w:val="nil"/>
              <w:bottom w:val="single" w:sz="4" w:space="0" w:color="auto"/>
              <w:right w:val="single" w:sz="4" w:space="0" w:color="auto"/>
            </w:tcBorders>
            <w:shd w:val="clear" w:color="auto" w:fill="auto"/>
            <w:vAlign w:val="center"/>
            <w:hideMark/>
          </w:tcPr>
          <w:p w14:paraId="16041A33" w14:textId="77777777" w:rsidR="00376A25" w:rsidRPr="00376A25" w:rsidRDefault="00376A25" w:rsidP="00376A25">
            <w:pPr>
              <w:jc w:val="center"/>
              <w:rPr>
                <w:rFonts w:eastAsia="Times New Roman" w:cs="Times New Roman"/>
                <w:color w:val="000000"/>
                <w:szCs w:val="24"/>
                <w:lang w:eastAsia="lv-LV"/>
              </w:rPr>
            </w:pPr>
            <w:r w:rsidRPr="00376A25">
              <w:rPr>
                <w:rFonts w:eastAsia="Times New Roman" w:cs="Times New Roman"/>
                <w:color w:val="000000"/>
                <w:szCs w:val="24"/>
                <w:lang w:eastAsia="lv-LV"/>
              </w:rPr>
              <w:t>30%</w:t>
            </w:r>
          </w:p>
        </w:tc>
        <w:tc>
          <w:tcPr>
            <w:tcW w:w="1616" w:type="dxa"/>
            <w:tcBorders>
              <w:top w:val="nil"/>
              <w:left w:val="nil"/>
              <w:bottom w:val="single" w:sz="4" w:space="0" w:color="auto"/>
              <w:right w:val="single" w:sz="4" w:space="0" w:color="auto"/>
            </w:tcBorders>
            <w:shd w:val="clear" w:color="auto" w:fill="auto"/>
            <w:vAlign w:val="center"/>
            <w:hideMark/>
          </w:tcPr>
          <w:p w14:paraId="366DD698" w14:textId="29E2AA1E" w:rsidR="00376A25" w:rsidRPr="00376A25" w:rsidRDefault="00376A25" w:rsidP="00376A25">
            <w:pPr>
              <w:jc w:val="center"/>
              <w:rPr>
                <w:rFonts w:eastAsia="Times New Roman" w:cs="Times New Roman"/>
                <w:color w:val="000000"/>
                <w:szCs w:val="24"/>
                <w:lang w:eastAsia="lv-LV"/>
              </w:rPr>
            </w:pPr>
            <w:r w:rsidRPr="00FF2801">
              <w:rPr>
                <w:rFonts w:eastAsia="Times New Roman" w:cs="Times New Roman"/>
                <w:color w:val="000000"/>
                <w:szCs w:val="24"/>
                <w:lang w:eastAsia="lv-LV"/>
              </w:rPr>
              <w:t>+</w:t>
            </w:r>
            <w:r w:rsidRPr="00376A25">
              <w:rPr>
                <w:rFonts w:eastAsia="Times New Roman" w:cs="Times New Roman"/>
                <w:color w:val="000000"/>
                <w:szCs w:val="24"/>
                <w:lang w:eastAsia="lv-LV"/>
              </w:rPr>
              <w:t>10%</w:t>
            </w:r>
          </w:p>
        </w:tc>
        <w:tc>
          <w:tcPr>
            <w:tcW w:w="1061" w:type="dxa"/>
            <w:tcBorders>
              <w:top w:val="nil"/>
              <w:left w:val="nil"/>
              <w:bottom w:val="single" w:sz="4" w:space="0" w:color="auto"/>
              <w:right w:val="single" w:sz="4" w:space="0" w:color="auto"/>
            </w:tcBorders>
            <w:shd w:val="clear" w:color="auto" w:fill="auto"/>
            <w:vAlign w:val="center"/>
            <w:hideMark/>
          </w:tcPr>
          <w:p w14:paraId="2ECE444F" w14:textId="77A50A1A" w:rsidR="00376A25" w:rsidRPr="00376A25" w:rsidRDefault="00376A25" w:rsidP="00376A25">
            <w:pPr>
              <w:jc w:val="center"/>
              <w:rPr>
                <w:rFonts w:eastAsia="Times New Roman" w:cs="Times New Roman"/>
                <w:color w:val="000000"/>
                <w:szCs w:val="24"/>
                <w:lang w:eastAsia="lv-LV"/>
              </w:rPr>
            </w:pPr>
            <w:r w:rsidRPr="00FF2801">
              <w:rPr>
                <w:rFonts w:eastAsia="Times New Roman" w:cs="Times New Roman"/>
                <w:color w:val="000000"/>
                <w:szCs w:val="24"/>
                <w:lang w:eastAsia="lv-LV"/>
              </w:rPr>
              <w:t>+</w:t>
            </w:r>
            <w:r w:rsidRPr="00376A25">
              <w:rPr>
                <w:rFonts w:eastAsia="Times New Roman" w:cs="Times New Roman"/>
                <w:color w:val="000000"/>
                <w:szCs w:val="24"/>
                <w:lang w:eastAsia="lv-LV"/>
              </w:rPr>
              <w:t>10%</w:t>
            </w:r>
          </w:p>
        </w:tc>
        <w:tc>
          <w:tcPr>
            <w:tcW w:w="1033" w:type="dxa"/>
            <w:tcBorders>
              <w:top w:val="nil"/>
              <w:left w:val="nil"/>
              <w:bottom w:val="single" w:sz="4" w:space="0" w:color="auto"/>
              <w:right w:val="single" w:sz="4" w:space="0" w:color="auto"/>
            </w:tcBorders>
            <w:shd w:val="clear" w:color="auto" w:fill="auto"/>
            <w:vAlign w:val="center"/>
            <w:hideMark/>
          </w:tcPr>
          <w:p w14:paraId="3A1F624B" w14:textId="1181730C" w:rsidR="00376A25" w:rsidRPr="00376A25" w:rsidRDefault="00376A25" w:rsidP="00376A25">
            <w:pPr>
              <w:jc w:val="center"/>
              <w:rPr>
                <w:rFonts w:eastAsia="Times New Roman" w:cs="Times New Roman"/>
                <w:color w:val="000000"/>
                <w:szCs w:val="24"/>
                <w:lang w:eastAsia="lv-LV"/>
              </w:rPr>
            </w:pPr>
            <w:r w:rsidRPr="00FF2801">
              <w:rPr>
                <w:rFonts w:eastAsia="Times New Roman" w:cs="Times New Roman"/>
                <w:color w:val="000000"/>
                <w:szCs w:val="24"/>
                <w:lang w:eastAsia="lv-LV"/>
              </w:rPr>
              <w:t>+</w:t>
            </w:r>
            <w:r w:rsidRPr="00376A25">
              <w:rPr>
                <w:rFonts w:eastAsia="Times New Roman" w:cs="Times New Roman"/>
                <w:color w:val="000000"/>
                <w:szCs w:val="24"/>
                <w:lang w:eastAsia="lv-LV"/>
              </w:rPr>
              <w:t>20%</w:t>
            </w:r>
          </w:p>
        </w:tc>
        <w:tc>
          <w:tcPr>
            <w:tcW w:w="1020" w:type="dxa"/>
            <w:tcBorders>
              <w:top w:val="nil"/>
              <w:left w:val="nil"/>
              <w:bottom w:val="single" w:sz="4" w:space="0" w:color="auto"/>
              <w:right w:val="single" w:sz="4" w:space="0" w:color="auto"/>
            </w:tcBorders>
            <w:shd w:val="clear" w:color="auto" w:fill="auto"/>
            <w:vAlign w:val="center"/>
            <w:hideMark/>
          </w:tcPr>
          <w:p w14:paraId="610A97AF" w14:textId="2E27408B" w:rsidR="00376A25" w:rsidRPr="00376A25" w:rsidRDefault="00376A25" w:rsidP="00376A25">
            <w:pPr>
              <w:jc w:val="center"/>
              <w:rPr>
                <w:rFonts w:eastAsia="Times New Roman" w:cs="Times New Roman"/>
                <w:color w:val="000000"/>
                <w:szCs w:val="24"/>
                <w:lang w:eastAsia="lv-LV"/>
              </w:rPr>
            </w:pPr>
            <w:r w:rsidRPr="00FF2801">
              <w:rPr>
                <w:rFonts w:eastAsia="Times New Roman" w:cs="Times New Roman"/>
                <w:color w:val="000000"/>
                <w:szCs w:val="24"/>
                <w:lang w:eastAsia="lv-LV"/>
              </w:rPr>
              <w:t>+</w:t>
            </w:r>
            <w:r w:rsidRPr="00376A25">
              <w:rPr>
                <w:rFonts w:eastAsia="Times New Roman" w:cs="Times New Roman"/>
                <w:color w:val="000000"/>
                <w:szCs w:val="24"/>
                <w:lang w:eastAsia="lv-LV"/>
              </w:rPr>
              <w:t>10%</w:t>
            </w:r>
          </w:p>
        </w:tc>
        <w:tc>
          <w:tcPr>
            <w:tcW w:w="1283" w:type="dxa"/>
            <w:tcBorders>
              <w:top w:val="nil"/>
              <w:left w:val="nil"/>
              <w:bottom w:val="single" w:sz="4" w:space="0" w:color="auto"/>
              <w:right w:val="single" w:sz="4" w:space="0" w:color="auto"/>
            </w:tcBorders>
            <w:shd w:val="clear" w:color="auto" w:fill="auto"/>
            <w:vAlign w:val="center"/>
            <w:hideMark/>
          </w:tcPr>
          <w:p w14:paraId="6E69F681" w14:textId="77777777" w:rsidR="00376A25" w:rsidRPr="00376A25" w:rsidRDefault="00376A25" w:rsidP="00376A25">
            <w:pPr>
              <w:jc w:val="center"/>
              <w:rPr>
                <w:rFonts w:eastAsia="Times New Roman" w:cs="Times New Roman"/>
                <w:color w:val="000000"/>
                <w:szCs w:val="24"/>
                <w:lang w:eastAsia="lv-LV"/>
              </w:rPr>
            </w:pPr>
            <w:r w:rsidRPr="00376A25">
              <w:rPr>
                <w:rFonts w:eastAsia="Times New Roman" w:cs="Times New Roman"/>
                <w:color w:val="000000"/>
                <w:szCs w:val="24"/>
                <w:lang w:eastAsia="lv-LV"/>
              </w:rPr>
              <w:t>70%</w:t>
            </w:r>
          </w:p>
        </w:tc>
      </w:tr>
    </w:tbl>
    <w:p w14:paraId="572A6756" w14:textId="77777777" w:rsidR="00F57865" w:rsidRDefault="00F57865" w:rsidP="00A41E30">
      <w:pPr>
        <w:jc w:val="center"/>
      </w:pPr>
    </w:p>
    <w:p w14:paraId="454FD440" w14:textId="11D405C2" w:rsidR="00FC3D1B" w:rsidRDefault="000F0ED5" w:rsidP="00F57865">
      <w:pPr>
        <w:ind w:firstLine="720"/>
      </w:pPr>
      <w:r>
        <w:t xml:space="preserve">Detalizētāk </w:t>
      </w:r>
      <w:r w:rsidR="00FC3D1B" w:rsidRPr="00FC3D1B">
        <w:t>par maksimāli pieļaujamā</w:t>
      </w:r>
      <w:r>
        <w:t>m</w:t>
      </w:r>
      <w:r w:rsidR="00FC3D1B" w:rsidRPr="00FC3D1B">
        <w:t xml:space="preserve"> reģionālā atbalsta intensitātēm Latvijā </w:t>
      </w:r>
      <w:r w:rsidR="00FC3D1B" w:rsidRPr="009351C4">
        <w:t>2022.</w:t>
      </w:r>
      <w:r w:rsidR="00FC3D1B">
        <w:t>–</w:t>
      </w:r>
      <w:r w:rsidR="00FC3D1B" w:rsidRPr="009351C4">
        <w:t>2027.</w:t>
      </w:r>
      <w:r w:rsidR="00FC3D1B">
        <w:t> </w:t>
      </w:r>
      <w:r w:rsidR="00FC3D1B" w:rsidRPr="009351C4">
        <w:t>gad</w:t>
      </w:r>
      <w:r w:rsidR="00FC3D1B">
        <w:t xml:space="preserve">am skatīt </w:t>
      </w:r>
      <w:r w:rsidR="00C6581D">
        <w:t>Finanšu ministrijas mājaslapā</w:t>
      </w:r>
      <w:r>
        <w:rPr>
          <w:rStyle w:val="FootnoteReference"/>
        </w:rPr>
        <w:footnoteReference w:id="17"/>
      </w:r>
      <w:r w:rsidR="00C6581D">
        <w:t>.</w:t>
      </w:r>
    </w:p>
    <w:p w14:paraId="3348833A" w14:textId="77777777" w:rsidR="0001133D" w:rsidRDefault="0001133D" w:rsidP="0065760E">
      <w:pPr>
        <w:ind w:firstLine="720"/>
      </w:pPr>
    </w:p>
    <w:p w14:paraId="087FA691" w14:textId="419BB32B" w:rsidR="00C71B47" w:rsidRDefault="00161CCF" w:rsidP="0001133D">
      <w:pPr>
        <w:pStyle w:val="Heading1"/>
        <w:rPr>
          <w:rFonts w:hint="eastAsia"/>
        </w:rPr>
      </w:pPr>
      <w:bookmarkStart w:id="4" w:name="_Toc166844070"/>
      <w:r>
        <w:lastRenderedPageBreak/>
        <w:t>Kopsavilkums</w:t>
      </w:r>
      <w:bookmarkEnd w:id="4"/>
    </w:p>
    <w:p w14:paraId="57D2485F" w14:textId="602E07B7" w:rsidR="001518DB" w:rsidRDefault="00382038" w:rsidP="00B127E4">
      <w:pPr>
        <w:ind w:firstLine="720"/>
      </w:pPr>
      <w:r>
        <w:t xml:space="preserve">Balstoties uz </w:t>
      </w:r>
      <w:r w:rsidR="0008376A">
        <w:t xml:space="preserve">Informatīvajā ziņojumā </w:t>
      </w:r>
      <w:r w:rsidRPr="00382038">
        <w:t xml:space="preserve">minēto, kā </w:t>
      </w:r>
      <w:r w:rsidR="00112B8E" w:rsidRPr="00382038">
        <w:t xml:space="preserve">arī </w:t>
      </w:r>
      <w:r w:rsidR="00112B8E">
        <w:t xml:space="preserve">Valdības rīcības plānā noteikto </w:t>
      </w:r>
      <w:r w:rsidR="00ED4918">
        <w:t xml:space="preserve">uzdevumu, </w:t>
      </w:r>
      <w:r w:rsidR="007F0B79" w:rsidRPr="001B5040">
        <w:t>Vi</w:t>
      </w:r>
      <w:r w:rsidR="001B5040" w:rsidRPr="001B5040">
        <w:t xml:space="preserve">edās administrācijas </w:t>
      </w:r>
      <w:r w:rsidR="007F0B79" w:rsidRPr="001B5040">
        <w:t>un</w:t>
      </w:r>
      <w:r w:rsidR="007F0B79">
        <w:t xml:space="preserve"> reģionālās attīstības ministrijas ieskatā </w:t>
      </w:r>
      <w:r w:rsidR="00681D29">
        <w:t>šobrīd</w:t>
      </w:r>
      <w:r w:rsidR="005D7973">
        <w:t xml:space="preserve"> </w:t>
      </w:r>
      <w:r w:rsidR="00B865C7">
        <w:t xml:space="preserve">virzīt </w:t>
      </w:r>
      <w:r w:rsidR="005D7973">
        <w:t xml:space="preserve">izmaiņas </w:t>
      </w:r>
      <w:r w:rsidR="00847CC2">
        <w:t xml:space="preserve">Latvijas </w:t>
      </w:r>
      <w:r w:rsidR="005D7973" w:rsidRPr="005D7973">
        <w:rPr>
          <w:i/>
          <w:iCs/>
        </w:rPr>
        <w:t>NUTS</w:t>
      </w:r>
      <w:r w:rsidR="005D7973">
        <w:t> 2 dalījumā</w:t>
      </w:r>
      <w:r w:rsidR="00681D29">
        <w:t xml:space="preserve"> nav nepieciešamas</w:t>
      </w:r>
      <w:r w:rsidR="00630247">
        <w:t xml:space="preserve">. </w:t>
      </w:r>
      <w:r w:rsidR="00630247" w:rsidRPr="00630247">
        <w:t xml:space="preserve">Vienlaikus labvēlīgas reģionālās attīstības nodrošināšanai, izmaiņu nepieciešamība Latvijas </w:t>
      </w:r>
      <w:r w:rsidR="00630247" w:rsidRPr="00630247">
        <w:rPr>
          <w:i/>
          <w:iCs/>
        </w:rPr>
        <w:t xml:space="preserve">NUTS </w:t>
      </w:r>
      <w:r w:rsidR="00630247" w:rsidRPr="00630247">
        <w:t>2</w:t>
      </w:r>
      <w:r w:rsidR="00630247" w:rsidRPr="00630247">
        <w:rPr>
          <w:i/>
          <w:iCs/>
        </w:rPr>
        <w:t xml:space="preserve"> </w:t>
      </w:r>
      <w:r w:rsidR="00630247" w:rsidRPr="00630247">
        <w:t xml:space="preserve">dalījumā jāvērtē katra </w:t>
      </w:r>
      <w:r w:rsidR="00630247" w:rsidRPr="00630247">
        <w:rPr>
          <w:i/>
          <w:iCs/>
        </w:rPr>
        <w:t xml:space="preserve">NUTS </w:t>
      </w:r>
      <w:r w:rsidR="00630247" w:rsidRPr="00630247">
        <w:t>klasifikācijas grozījumu uzsaukuma ietvaros</w:t>
      </w:r>
      <w:r w:rsidR="00B127E4">
        <w:t xml:space="preserve">. </w:t>
      </w:r>
      <w:r w:rsidR="00B127E4" w:rsidRPr="00B127E4">
        <w:t xml:space="preserve">Paralēli, ņemot vērā iespējamo ES paplašināšanos, jautājums par izmaiņām </w:t>
      </w:r>
      <w:r w:rsidR="00B127E4" w:rsidRPr="00B127E4">
        <w:rPr>
          <w:i/>
          <w:iCs/>
        </w:rPr>
        <w:t>NUTS</w:t>
      </w:r>
      <w:r w:rsidR="00B127E4" w:rsidRPr="00B127E4">
        <w:t xml:space="preserve"> 2 dalījumā būtu aktualizējams </w:t>
      </w:r>
      <w:r w:rsidR="00B127E4" w:rsidRPr="00B127E4">
        <w:rPr>
          <w:i/>
          <w:iCs/>
        </w:rPr>
        <w:t xml:space="preserve">NUTS </w:t>
      </w:r>
      <w:r w:rsidR="00B127E4" w:rsidRPr="00B127E4">
        <w:t>klasifikācijas grozījumu aktuālajā uzsaukuma brīdī.</w:t>
      </w:r>
    </w:p>
    <w:p w14:paraId="3668C9CD" w14:textId="354A8B5E" w:rsidR="005B0A4A" w:rsidRDefault="005B0A4A" w:rsidP="00C71B47"/>
    <w:p w14:paraId="7D2CAAC4" w14:textId="77777777" w:rsidR="005B0A4A" w:rsidRDefault="005B0A4A" w:rsidP="00C71B47"/>
    <w:p w14:paraId="0BD0FB58" w14:textId="18BAC69F" w:rsidR="001518DB" w:rsidRPr="003737ED" w:rsidRDefault="001518DB" w:rsidP="001518DB">
      <w:r w:rsidRPr="003737ED">
        <w:t>Iesniedzējs:</w:t>
      </w:r>
      <w:r w:rsidR="00871B62">
        <w:t xml:space="preserve"> </w:t>
      </w:r>
      <w:r w:rsidR="001B5040">
        <w:t>viedās administrācijas</w:t>
      </w:r>
      <w:r w:rsidRPr="003737ED">
        <w:t xml:space="preserve"> un reģionālās attīstības ministr</w:t>
      </w:r>
      <w:r>
        <w:t>e</w:t>
      </w:r>
      <w:r>
        <w:tab/>
      </w:r>
      <w:r>
        <w:tab/>
      </w:r>
      <w:r>
        <w:tab/>
        <w:t>I. Bērziņa</w:t>
      </w:r>
      <w:r w:rsidRPr="003737ED">
        <w:t xml:space="preserve"> </w:t>
      </w:r>
    </w:p>
    <w:p w14:paraId="6B47142A" w14:textId="77777777" w:rsidR="001518DB" w:rsidRDefault="001518DB" w:rsidP="001518DB"/>
    <w:p w14:paraId="20DD8E1D" w14:textId="77777777" w:rsidR="001518DB" w:rsidRPr="003737ED" w:rsidRDefault="001518DB" w:rsidP="001518DB"/>
    <w:p w14:paraId="0BBFFF26" w14:textId="34D95CA1" w:rsidR="001518DB" w:rsidRPr="003737ED" w:rsidRDefault="001518DB" w:rsidP="001518DB">
      <w:r w:rsidRPr="003737ED">
        <w:t>Vīza:</w:t>
      </w:r>
      <w:r w:rsidR="00871B62">
        <w:t xml:space="preserve"> </w:t>
      </w:r>
      <w:r w:rsidRPr="003737ED">
        <w:t>valsts sekretārs</w:t>
      </w:r>
      <w:r>
        <w:tab/>
      </w:r>
      <w:r>
        <w:tab/>
      </w:r>
      <w:r>
        <w:tab/>
      </w:r>
      <w:r>
        <w:tab/>
      </w:r>
      <w:r>
        <w:tab/>
      </w:r>
      <w:r>
        <w:tab/>
      </w:r>
      <w:r>
        <w:tab/>
      </w:r>
      <w:r>
        <w:tab/>
      </w:r>
      <w:r w:rsidR="00871B62">
        <w:tab/>
      </w:r>
      <w:r w:rsidRPr="003737ED">
        <w:t>E.</w:t>
      </w:r>
      <w:r>
        <w:t> </w:t>
      </w:r>
      <w:r w:rsidRPr="003737ED">
        <w:t xml:space="preserve">Balševics </w:t>
      </w:r>
    </w:p>
    <w:p w14:paraId="5FAC1398" w14:textId="77777777" w:rsidR="001518DB" w:rsidRPr="003737ED" w:rsidRDefault="001518DB" w:rsidP="001518DB"/>
    <w:p w14:paraId="6778904C" w14:textId="77777777" w:rsidR="001518DB" w:rsidRPr="003737ED" w:rsidRDefault="001518DB" w:rsidP="001518DB">
      <w:pPr>
        <w:rPr>
          <w:sz w:val="20"/>
          <w:szCs w:val="20"/>
        </w:rPr>
      </w:pPr>
    </w:p>
    <w:p w14:paraId="1744AAE6" w14:textId="77777777" w:rsidR="001518DB" w:rsidRPr="003737ED" w:rsidRDefault="001518DB" w:rsidP="001518DB">
      <w:pPr>
        <w:pStyle w:val="NoSpacing"/>
        <w:rPr>
          <w:rFonts w:ascii="Times New Roman" w:hAnsi="Times New Roman"/>
          <w:sz w:val="20"/>
          <w:szCs w:val="20"/>
        </w:rPr>
      </w:pPr>
    </w:p>
    <w:p w14:paraId="405CF3A0" w14:textId="0E463BA8" w:rsidR="001518DB" w:rsidRPr="003737ED" w:rsidRDefault="001518DB" w:rsidP="001518DB">
      <w:pPr>
        <w:pStyle w:val="NoSpacing"/>
        <w:rPr>
          <w:rFonts w:ascii="Times New Roman" w:hAnsi="Times New Roman"/>
          <w:sz w:val="20"/>
          <w:szCs w:val="20"/>
        </w:rPr>
      </w:pPr>
      <w:r>
        <w:rPr>
          <w:rFonts w:ascii="Times New Roman" w:hAnsi="Times New Roman"/>
          <w:sz w:val="20"/>
          <w:szCs w:val="20"/>
        </w:rPr>
        <w:t>Astiča</w:t>
      </w:r>
      <w:r w:rsidRPr="003737ED">
        <w:rPr>
          <w:rFonts w:ascii="Times New Roman" w:hAnsi="Times New Roman"/>
          <w:sz w:val="20"/>
          <w:szCs w:val="20"/>
        </w:rPr>
        <w:t xml:space="preserve">, </w:t>
      </w:r>
      <w:r w:rsidR="00C52C46" w:rsidRPr="00C52C46">
        <w:rPr>
          <w:rFonts w:ascii="Times New Roman" w:hAnsi="Times New Roman"/>
          <w:sz w:val="20"/>
          <w:szCs w:val="20"/>
          <w:lang w:eastAsia="lv-LV"/>
        </w:rPr>
        <w:t>67026926</w:t>
      </w:r>
    </w:p>
    <w:p w14:paraId="48FB1232" w14:textId="2544A94A" w:rsidR="001518DB" w:rsidRPr="003737ED" w:rsidRDefault="00000000" w:rsidP="001518DB">
      <w:pPr>
        <w:pStyle w:val="NoSpacing"/>
        <w:rPr>
          <w:rFonts w:ascii="Times New Roman" w:hAnsi="Times New Roman"/>
          <w:sz w:val="20"/>
          <w:szCs w:val="20"/>
        </w:rPr>
      </w:pPr>
      <w:hyperlink r:id="rId15" w:history="1">
        <w:r w:rsidR="00C52C46" w:rsidRPr="0036192B">
          <w:rPr>
            <w:rStyle w:val="Hyperlink"/>
            <w:rFonts w:ascii="Times New Roman" w:hAnsi="Times New Roman"/>
            <w:sz w:val="20"/>
            <w:szCs w:val="20"/>
          </w:rPr>
          <w:t>sanita.astica@varam.gov.lv</w:t>
        </w:r>
      </w:hyperlink>
    </w:p>
    <w:p w14:paraId="62F5F688" w14:textId="2DE80E4D" w:rsidR="001518DB" w:rsidRPr="003737ED" w:rsidRDefault="001518DB" w:rsidP="001518DB">
      <w:pPr>
        <w:rPr>
          <w:sz w:val="20"/>
          <w:szCs w:val="20"/>
        </w:rPr>
      </w:pPr>
      <w:r>
        <w:rPr>
          <w:sz w:val="20"/>
          <w:szCs w:val="20"/>
        </w:rPr>
        <w:t>Melnalksnis</w:t>
      </w:r>
      <w:r w:rsidRPr="0AA55E1D">
        <w:rPr>
          <w:sz w:val="20"/>
          <w:szCs w:val="20"/>
        </w:rPr>
        <w:t xml:space="preserve">, </w:t>
      </w:r>
      <w:r>
        <w:rPr>
          <w:sz w:val="20"/>
          <w:szCs w:val="20"/>
        </w:rPr>
        <w:t>66106768</w:t>
      </w:r>
    </w:p>
    <w:p w14:paraId="68744674" w14:textId="2D9547B3" w:rsidR="001518DB" w:rsidRPr="00C52C46" w:rsidRDefault="00000000" w:rsidP="00C71B47">
      <w:pPr>
        <w:rPr>
          <w:sz w:val="20"/>
          <w:szCs w:val="20"/>
        </w:rPr>
      </w:pPr>
      <w:hyperlink r:id="rId16" w:history="1">
        <w:r w:rsidR="001518DB" w:rsidRPr="0036192B">
          <w:rPr>
            <w:rStyle w:val="Hyperlink"/>
            <w:sz w:val="20"/>
            <w:szCs w:val="20"/>
          </w:rPr>
          <w:t>davis.melnalksnis@varam.gov.lv</w:t>
        </w:r>
      </w:hyperlink>
    </w:p>
    <w:sectPr w:rsidR="001518DB" w:rsidRPr="00C52C46" w:rsidSect="003557E4">
      <w:footerReference w:type="default" r:id="rId17"/>
      <w:pgSz w:w="11906" w:h="16838" w:code="9"/>
      <w:pgMar w:top="1134" w:right="1134" w:bottom="1134" w:left="1134" w:header="709" w:footer="5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339E4E" w14:textId="77777777" w:rsidR="0053653B" w:rsidRDefault="0053653B" w:rsidP="00D540BC">
      <w:r>
        <w:separator/>
      </w:r>
    </w:p>
  </w:endnote>
  <w:endnote w:type="continuationSeparator" w:id="0">
    <w:p w14:paraId="7D78140C" w14:textId="77777777" w:rsidR="0053653B" w:rsidRDefault="0053653B" w:rsidP="00D540BC">
      <w:r>
        <w:continuationSeparator/>
      </w:r>
    </w:p>
  </w:endnote>
  <w:endnote w:type="continuationNotice" w:id="1">
    <w:p w14:paraId="34C2997F" w14:textId="77777777" w:rsidR="0053653B" w:rsidRDefault="005365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5822963"/>
      <w:docPartObj>
        <w:docPartGallery w:val="Page Numbers (Bottom of Page)"/>
        <w:docPartUnique/>
      </w:docPartObj>
    </w:sdtPr>
    <w:sdtEndPr>
      <w:rPr>
        <w:noProof/>
        <w:sz w:val="22"/>
        <w:szCs w:val="20"/>
      </w:rPr>
    </w:sdtEndPr>
    <w:sdtContent>
      <w:p w14:paraId="49F57CD0" w14:textId="5992D205" w:rsidR="00184805" w:rsidRDefault="00390024" w:rsidP="003D5C13">
        <w:pPr>
          <w:pStyle w:val="Footer"/>
          <w:spacing w:before="120"/>
          <w:jc w:val="right"/>
          <w:rPr>
            <w:noProof/>
          </w:rPr>
        </w:pPr>
        <w:r>
          <w:fldChar w:fldCharType="begin"/>
        </w:r>
        <w:r>
          <w:instrText xml:space="preserve"> PAGE   \* MERGEFORMAT </w:instrText>
        </w:r>
        <w:r>
          <w:fldChar w:fldCharType="separate"/>
        </w:r>
        <w:r>
          <w:rPr>
            <w:noProof/>
          </w:rPr>
          <w:t>2</w:t>
        </w:r>
        <w:r>
          <w:rPr>
            <w:noProof/>
          </w:rPr>
          <w:fldChar w:fldCharType="end"/>
        </w:r>
      </w:p>
      <w:p w14:paraId="25529443" w14:textId="4AD35BBD" w:rsidR="00390024" w:rsidRPr="003557E4" w:rsidRDefault="00184805" w:rsidP="00184805">
        <w:pPr>
          <w:pStyle w:val="Footer"/>
          <w:jc w:val="left"/>
          <w:rPr>
            <w:sz w:val="22"/>
            <w:szCs w:val="20"/>
          </w:rPr>
        </w:pPr>
        <w:r w:rsidRPr="003557E4">
          <w:rPr>
            <w:sz w:val="18"/>
            <w:szCs w:val="16"/>
          </w:rPr>
          <w:t>VARAMinfozin_</w:t>
        </w:r>
        <w:r w:rsidR="006F6FDF">
          <w:rPr>
            <w:sz w:val="18"/>
            <w:szCs w:val="16"/>
          </w:rPr>
          <w:t>2606</w:t>
        </w:r>
        <w:r w:rsidR="003557E4" w:rsidRPr="003557E4">
          <w:rPr>
            <w:sz w:val="18"/>
            <w:szCs w:val="16"/>
          </w:rPr>
          <w:t>2024_NUTS_klasifikacija</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F480E7" w14:textId="77777777" w:rsidR="0053653B" w:rsidRDefault="0053653B" w:rsidP="00D540BC">
      <w:r>
        <w:separator/>
      </w:r>
    </w:p>
  </w:footnote>
  <w:footnote w:type="continuationSeparator" w:id="0">
    <w:p w14:paraId="52482B1A" w14:textId="77777777" w:rsidR="0053653B" w:rsidRDefault="0053653B" w:rsidP="00D540BC">
      <w:r>
        <w:continuationSeparator/>
      </w:r>
    </w:p>
  </w:footnote>
  <w:footnote w:type="continuationNotice" w:id="1">
    <w:p w14:paraId="65E411B0" w14:textId="77777777" w:rsidR="0053653B" w:rsidRDefault="0053653B"/>
  </w:footnote>
  <w:footnote w:id="2">
    <w:p w14:paraId="1CD3312F" w14:textId="2187FFDD" w:rsidR="00D540BC" w:rsidRPr="00A30538" w:rsidRDefault="00D540BC">
      <w:pPr>
        <w:pStyle w:val="FootnoteText"/>
      </w:pPr>
      <w:r w:rsidRPr="00A30538">
        <w:rPr>
          <w:rStyle w:val="FootnoteReference"/>
        </w:rPr>
        <w:footnoteRef/>
      </w:r>
      <w:r w:rsidRPr="00A30538">
        <w:t xml:space="preserve"> Ministru kabineta 2023. gada 5. decembra sēdes </w:t>
      </w:r>
      <w:r w:rsidRPr="00A30538">
        <w:rPr>
          <w:iCs/>
        </w:rPr>
        <w:t>protokola Nr. 60 82. § 4. punkts</w:t>
      </w:r>
      <w:r w:rsidR="00C10D94" w:rsidRPr="00A30538">
        <w:rPr>
          <w:iCs/>
        </w:rPr>
        <w:t xml:space="preserve"> “</w:t>
      </w:r>
      <w:r w:rsidRPr="00A30538">
        <w:rPr>
          <w:i/>
          <w:iCs/>
        </w:rPr>
        <w:t>Vides aizsardzības un reģionālās attīstības ministrijai līdz 2024. gada 30. jūnijam sagatavot un iesniegt izskatīšanai Ministra kabinetā priekšlikumus par NUTS 2 klasifikācijas pilnveidošanu, lai reģionus veidotu teritorijas ar līdzīgāku IKP un NUTS 2 iedalījuma izmantošana būtu objektīvāka attīstības plānošanas procesā</w:t>
      </w:r>
      <w:r w:rsidRPr="00A30538">
        <w:t>.</w:t>
      </w:r>
      <w:r w:rsidR="00C10D94" w:rsidRPr="00A30538">
        <w:t>”</w:t>
      </w:r>
    </w:p>
  </w:footnote>
  <w:footnote w:id="3">
    <w:p w14:paraId="6E2B5449" w14:textId="77777777" w:rsidR="00273296" w:rsidRPr="00A30538" w:rsidRDefault="00273296" w:rsidP="00273296">
      <w:pPr>
        <w:pStyle w:val="FootnoteText"/>
      </w:pPr>
      <w:r w:rsidRPr="00A30538">
        <w:rPr>
          <w:rStyle w:val="FootnoteReference"/>
        </w:rPr>
        <w:footnoteRef/>
      </w:r>
      <w:r w:rsidRPr="00A30538">
        <w:t xml:space="preserve"> </w:t>
      </w:r>
      <w:r w:rsidRPr="00A30538">
        <w:t xml:space="preserve">Ministru kabineta 2024. gada 20. janvāra rīkojums Nr. 55 “Par Valdības rīcības plānu Deklarācijas par </w:t>
      </w:r>
      <w:proofErr w:type="spellStart"/>
      <w:r w:rsidRPr="00A30538">
        <w:t>Evikas</w:t>
      </w:r>
      <w:proofErr w:type="spellEnd"/>
      <w:r w:rsidRPr="00A30538">
        <w:t xml:space="preserve"> Siliņas vadītā Ministru kabineta iecerēto darbību īstenošanai”. Pieejams: </w:t>
      </w:r>
      <w:hyperlink r:id="rId1" w:history="1">
        <w:r w:rsidRPr="00A30538">
          <w:rPr>
            <w:rStyle w:val="Hyperlink"/>
          </w:rPr>
          <w:t>https://likumi.lv/ta/id/349266-par-valdibas-ricibas-planu-deklaracijas-par-evikas-silinas-vadita-ministru-kabineta-iecereto-darbibu-istenosanai</w:t>
        </w:r>
      </w:hyperlink>
    </w:p>
  </w:footnote>
  <w:footnote w:id="4">
    <w:p w14:paraId="350C229C" w14:textId="77777777" w:rsidR="004F0613" w:rsidRPr="00A30538" w:rsidRDefault="004F0613" w:rsidP="004F0613">
      <w:pPr>
        <w:pStyle w:val="FootnoteText"/>
        <w:rPr>
          <w:rFonts w:cs="Times New Roman"/>
        </w:rPr>
      </w:pPr>
      <w:r w:rsidRPr="00A30538">
        <w:rPr>
          <w:rStyle w:val="FootnoteCharacters"/>
          <w:rFonts w:cs="Times New Roman"/>
        </w:rPr>
        <w:footnoteRef/>
      </w:r>
      <w:r w:rsidRPr="00A30538">
        <w:rPr>
          <w:rFonts w:cs="Times New Roman"/>
        </w:rPr>
        <w:t xml:space="preserve"> </w:t>
      </w:r>
      <w:proofErr w:type="spellStart"/>
      <w:r w:rsidRPr="00A30538">
        <w:rPr>
          <w:rFonts w:eastAsia="Times New Roman" w:cs="Times New Roman"/>
          <w:lang w:eastAsia="lv-LV"/>
        </w:rPr>
        <w:t>Ārpusreģionālā</w:t>
      </w:r>
      <w:proofErr w:type="spellEnd"/>
      <w:r w:rsidRPr="00A30538">
        <w:rPr>
          <w:rFonts w:eastAsia="Times New Roman" w:cs="Times New Roman"/>
          <w:lang w:eastAsia="lv-LV"/>
        </w:rPr>
        <w:t xml:space="preserve"> teritorija sastāv no ekonomiskās teritorijas daļām, kas nevar tikt pievienotas noteiktam reģionam – gaisa telpa, teritoriālie ūdeņi un kontinentālais plato, teritoriālie anklāvi (vēstniecības, konsulāti un militārās bāzes), izrakteņu atradnes, kuras ir starptautiskajos ūdeņos un kuras ekspluatē attiecīgajā teritorijā bāzētas struktūras.</w:t>
      </w:r>
    </w:p>
  </w:footnote>
  <w:footnote w:id="5">
    <w:p w14:paraId="3D4F6F02" w14:textId="77777777" w:rsidR="00E27FE7" w:rsidRDefault="00E27FE7" w:rsidP="00E27FE7">
      <w:pPr>
        <w:pStyle w:val="FootnoteText"/>
      </w:pPr>
      <w:r>
        <w:rPr>
          <w:rStyle w:val="FootnoteReference"/>
        </w:rPr>
        <w:footnoteRef/>
      </w:r>
      <w:r>
        <w:t xml:space="preserve"> </w:t>
      </w:r>
      <w:r w:rsidRPr="007A76D5">
        <w:t>Eiropas Parlamenta un Padomes Regula (EK) Nr. 1059/2003 (2003. gada 26. maijs) par kopējas statistiski teritoriālo vienību klasifikācijas (NUTS) izveidi, 2.</w:t>
      </w:r>
      <w:r>
        <w:t> </w:t>
      </w:r>
      <w:r w:rsidRPr="007A76D5">
        <w:t>panta 2.</w:t>
      </w:r>
      <w:r>
        <w:t> </w:t>
      </w:r>
      <w:r w:rsidRPr="007A76D5">
        <w:t xml:space="preserve">punkts. Pieejams: </w:t>
      </w:r>
      <w:hyperlink r:id="rId2" w:history="1">
        <w:r w:rsidRPr="007A76D5">
          <w:rPr>
            <w:rStyle w:val="Hyperlink"/>
          </w:rPr>
          <w:t>https://eur-lex.europa.eu/legal-content/LV/TXT/?uri=CELEX%3A02003R1059-20240101</w:t>
        </w:r>
      </w:hyperlink>
    </w:p>
  </w:footnote>
  <w:footnote w:id="6">
    <w:p w14:paraId="2D9892A4" w14:textId="77777777" w:rsidR="004F0613" w:rsidRPr="00A30538" w:rsidRDefault="004F0613" w:rsidP="004F0613">
      <w:pPr>
        <w:pStyle w:val="FootnoteText"/>
        <w:rPr>
          <w:rFonts w:cs="Times New Roman"/>
        </w:rPr>
      </w:pPr>
      <w:r w:rsidRPr="00A30538">
        <w:rPr>
          <w:rStyle w:val="FootnoteCharacters"/>
          <w:rFonts w:cs="Times New Roman"/>
        </w:rPr>
        <w:footnoteRef/>
      </w:r>
      <w:r w:rsidRPr="00A30538">
        <w:rPr>
          <w:rFonts w:cs="Times New Roman"/>
        </w:rPr>
        <w:t xml:space="preserve"> </w:t>
      </w:r>
      <w:r w:rsidRPr="00A30538">
        <w:rPr>
          <w:rFonts w:cs="Times New Roman"/>
          <w:i/>
          <w:iCs/>
        </w:rPr>
        <w:t>Kopējā statistiski teritoriālo vienību klasifikācija (NUTS)</w:t>
      </w:r>
      <w:r w:rsidRPr="00A30538">
        <w:rPr>
          <w:rFonts w:cs="Times New Roman"/>
        </w:rPr>
        <w:t xml:space="preserve">, Eiropas Savienības faktu lapas. Pieejams: </w:t>
      </w:r>
      <w:hyperlink r:id="rId3" w:history="1">
        <w:r w:rsidRPr="00A30538">
          <w:rPr>
            <w:rStyle w:val="Hyperlink"/>
            <w:rFonts w:cs="Times New Roman"/>
          </w:rPr>
          <w:t>https://www.europarl.europa.eu/factsheets/lv/sheet/99/kopeja-statistiski-teritorialo-vienibu-klasifikacija-nuts-</w:t>
        </w:r>
      </w:hyperlink>
      <w:r w:rsidRPr="00A30538">
        <w:rPr>
          <w:rFonts w:cs="Times New Roman"/>
        </w:rPr>
        <w:t xml:space="preserve"> </w:t>
      </w:r>
    </w:p>
  </w:footnote>
  <w:footnote w:id="7">
    <w:p w14:paraId="062E177A" w14:textId="2A58B3DE" w:rsidR="0049625D" w:rsidRPr="00A30538" w:rsidRDefault="0049625D">
      <w:pPr>
        <w:pStyle w:val="FootnoteText"/>
      </w:pPr>
      <w:r w:rsidRPr="00A30538">
        <w:rPr>
          <w:rStyle w:val="FootnoteReference"/>
        </w:rPr>
        <w:footnoteRef/>
      </w:r>
      <w:r w:rsidRPr="00A30538">
        <w:t xml:space="preserve"> </w:t>
      </w:r>
      <w:r w:rsidR="00733BBE" w:rsidRPr="00A30538">
        <w:t>Mērķis – s</w:t>
      </w:r>
      <w:r w:rsidRPr="00A30538">
        <w:t>tatistisko reģionu iedalījums, kurā tiktu nodrošināta teritoriju grupēšana atbilstoši esošajam plānošanas reģionu teritoriālajam iedalījumam, grupējot teritorijas ar līdzīgām sociālekonomiskajām tendencēm un izaicinājumiem, uzlabotu statistikas kvalitāti un to izmantošanu attīstības plānošanā un politikas veidošanā reģionālā un nacionālā līmenī. Tāpēc, lai nodrošinātu saskaņotu reģionālo statistiku Latvijā, tika identificēta nepieciešamība grozīt esošo statistisko reģionu robežas un pielīdzināt statistiskos reģionus plānošanas reģioniem.</w:t>
      </w:r>
    </w:p>
  </w:footnote>
  <w:footnote w:id="8">
    <w:p w14:paraId="361F83A8" w14:textId="77777777" w:rsidR="00CC28D7" w:rsidRPr="00A30538" w:rsidRDefault="00CC28D7" w:rsidP="00CC28D7">
      <w:pPr>
        <w:pStyle w:val="FootnoteText"/>
        <w:rPr>
          <w:color w:val="000000" w:themeColor="text1"/>
        </w:rPr>
      </w:pPr>
      <w:r w:rsidRPr="00A30538">
        <w:rPr>
          <w:rStyle w:val="FootnoteReference"/>
          <w:color w:val="000000" w:themeColor="text1"/>
        </w:rPr>
        <w:footnoteRef/>
      </w:r>
      <w:r w:rsidRPr="00A30538">
        <w:rPr>
          <w:color w:val="000000" w:themeColor="text1"/>
        </w:rPr>
        <w:t xml:space="preserve"> </w:t>
      </w:r>
      <w:r w:rsidRPr="00A30538">
        <w:rPr>
          <w:color w:val="000000" w:themeColor="text1"/>
        </w:rPr>
        <w:t xml:space="preserve">ES fondi – </w:t>
      </w:r>
      <w:r w:rsidRPr="00A30538">
        <w:rPr>
          <w:color w:val="000000" w:themeColor="text1"/>
          <w:shd w:val="clear" w:color="auto" w:fill="FFFFFF"/>
        </w:rPr>
        <w:t>Eiropas Reģionālās attīstības fonds (ERAF), Eiropas Sociālais fonds (ESF), Kohēzijas fonds (KF), Eiropas Lauksaimniecības fonds lauku attīstībai (ELFLA) un Eiropas Jūrlietu un zivsaimniecības fonds (EJZF).</w:t>
      </w:r>
    </w:p>
  </w:footnote>
  <w:footnote w:id="9">
    <w:p w14:paraId="3702B7EA" w14:textId="77777777" w:rsidR="00282A66" w:rsidRPr="00A30538" w:rsidRDefault="00282A66" w:rsidP="00282A66">
      <w:pPr>
        <w:pStyle w:val="FootnoteText"/>
      </w:pPr>
      <w:r w:rsidRPr="00A30538">
        <w:rPr>
          <w:rStyle w:val="FootnoteReference"/>
        </w:rPr>
        <w:footnoteRef/>
      </w:r>
      <w:r w:rsidRPr="00A30538">
        <w:t xml:space="preserve"> </w:t>
      </w:r>
      <w:r w:rsidRPr="00A30538">
        <w:rPr>
          <w:i/>
          <w:iCs/>
        </w:rPr>
        <w:t xml:space="preserve">GDP per </w:t>
      </w:r>
      <w:proofErr w:type="spellStart"/>
      <w:r w:rsidRPr="00A30538">
        <w:rPr>
          <w:i/>
          <w:iCs/>
        </w:rPr>
        <w:t>capita</w:t>
      </w:r>
      <w:proofErr w:type="spellEnd"/>
      <w:r w:rsidRPr="00A30538">
        <w:rPr>
          <w:i/>
          <w:iCs/>
        </w:rPr>
        <w:t xml:space="preserve"> </w:t>
      </w:r>
      <w:proofErr w:type="spellStart"/>
      <w:r w:rsidRPr="00A30538">
        <w:rPr>
          <w:i/>
          <w:iCs/>
        </w:rPr>
        <w:t>in</w:t>
      </w:r>
      <w:proofErr w:type="spellEnd"/>
      <w:r w:rsidRPr="00A30538">
        <w:rPr>
          <w:i/>
          <w:iCs/>
        </w:rPr>
        <w:t xml:space="preserve"> PPS,</w:t>
      </w:r>
      <w:r w:rsidRPr="00A30538">
        <w:t xml:space="preserve"> </w:t>
      </w:r>
      <w:proofErr w:type="spellStart"/>
      <w:r w:rsidRPr="00A30538">
        <w:rPr>
          <w:i/>
          <w:iCs/>
        </w:rPr>
        <w:t>Eurostat</w:t>
      </w:r>
      <w:proofErr w:type="spellEnd"/>
      <w:r w:rsidRPr="00A30538">
        <w:t xml:space="preserve">. Pieejams: </w:t>
      </w:r>
      <w:hyperlink r:id="rId4" w:history="1">
        <w:r w:rsidRPr="0036192B">
          <w:rPr>
            <w:rStyle w:val="Hyperlink"/>
          </w:rPr>
          <w:t>https://ec.europa.eu/eurostat/databrowser/view/tec00114/default/table</w:t>
        </w:r>
      </w:hyperlink>
    </w:p>
  </w:footnote>
  <w:footnote w:id="10">
    <w:p w14:paraId="52EFEE9E" w14:textId="263BB761" w:rsidR="00282A66" w:rsidRDefault="00282A66">
      <w:pPr>
        <w:pStyle w:val="FootnoteText"/>
      </w:pPr>
      <w:r>
        <w:rPr>
          <w:rStyle w:val="FootnoteReference"/>
        </w:rPr>
        <w:footnoteRef/>
      </w:r>
      <w:r>
        <w:t xml:space="preserve"> </w:t>
      </w:r>
      <w:r>
        <w:t>Prognoze par 2023. gadu.</w:t>
      </w:r>
    </w:p>
  </w:footnote>
  <w:footnote w:id="11">
    <w:p w14:paraId="74E29FD2" w14:textId="77777777" w:rsidR="00D04E4D" w:rsidRPr="00A30538" w:rsidRDefault="00D04E4D" w:rsidP="00D04E4D">
      <w:pPr>
        <w:rPr>
          <w:rFonts w:cs="Times New Roman"/>
          <w:sz w:val="20"/>
          <w:szCs w:val="20"/>
        </w:rPr>
      </w:pPr>
      <w:r w:rsidRPr="00A30538">
        <w:rPr>
          <w:rFonts w:cs="Times New Roman"/>
          <w:sz w:val="20"/>
          <w:szCs w:val="20"/>
          <w:vertAlign w:val="superscript"/>
        </w:rPr>
        <w:footnoteRef/>
      </w:r>
      <w:r w:rsidRPr="00A30538">
        <w:rPr>
          <w:rFonts w:cs="Times New Roman"/>
          <w:sz w:val="20"/>
          <w:szCs w:val="20"/>
        </w:rPr>
        <w:t xml:space="preserve"> </w:t>
      </w:r>
      <w:r w:rsidRPr="00A30538">
        <w:rPr>
          <w:rFonts w:cs="Times New Roman"/>
          <w:sz w:val="20"/>
          <w:szCs w:val="20"/>
        </w:rPr>
        <w:t xml:space="preserve">Latvijas Nacionālais attīstības plāns 2021.–2027. gadam. Stratēģisko mērķu indikatori [44], 13. lpp. Pieejams: </w:t>
      </w:r>
      <w:hyperlink r:id="rId5">
        <w:r w:rsidRPr="00A30538">
          <w:rPr>
            <w:rStyle w:val="Hyperlink"/>
            <w:rFonts w:cs="Times New Roman"/>
            <w:sz w:val="20"/>
            <w:szCs w:val="20"/>
          </w:rPr>
          <w:t>https://www.pkc.gov.lv/sites/default/files/inline-files/NAP2027_apstiprin%C4%81ts%20Saeim%C4%81_1.pdf</w:t>
        </w:r>
      </w:hyperlink>
      <w:r w:rsidRPr="00A30538">
        <w:rPr>
          <w:rFonts w:cs="Times New Roman"/>
          <w:sz w:val="20"/>
          <w:szCs w:val="20"/>
        </w:rPr>
        <w:t xml:space="preserve"> </w:t>
      </w:r>
    </w:p>
  </w:footnote>
  <w:footnote w:id="12">
    <w:p w14:paraId="0A60D682" w14:textId="1EE19892" w:rsidR="006C325A" w:rsidRPr="00A30538" w:rsidRDefault="006C325A">
      <w:pPr>
        <w:pStyle w:val="FootnoteText"/>
      </w:pPr>
      <w:r w:rsidRPr="00A30538">
        <w:rPr>
          <w:rStyle w:val="FootnoteReference"/>
        </w:rPr>
        <w:footnoteRef/>
      </w:r>
      <w:r w:rsidRPr="00A30538">
        <w:t xml:space="preserve"> </w:t>
      </w:r>
      <w:r w:rsidRPr="00A30538">
        <w:t xml:space="preserve">No angļu valodas – </w:t>
      </w:r>
      <w:proofErr w:type="spellStart"/>
      <w:r w:rsidRPr="00A30538">
        <w:rPr>
          <w:i/>
          <w:iCs/>
        </w:rPr>
        <w:t>Multiannual</w:t>
      </w:r>
      <w:proofErr w:type="spellEnd"/>
      <w:r w:rsidRPr="00A30538">
        <w:rPr>
          <w:i/>
          <w:iCs/>
        </w:rPr>
        <w:t xml:space="preserve"> </w:t>
      </w:r>
      <w:proofErr w:type="spellStart"/>
      <w:r w:rsidRPr="00A30538">
        <w:rPr>
          <w:i/>
          <w:iCs/>
        </w:rPr>
        <w:t>financial</w:t>
      </w:r>
      <w:proofErr w:type="spellEnd"/>
      <w:r w:rsidRPr="00A30538">
        <w:rPr>
          <w:i/>
          <w:iCs/>
        </w:rPr>
        <w:t xml:space="preserve"> </w:t>
      </w:r>
      <w:proofErr w:type="spellStart"/>
      <w:r w:rsidRPr="00A30538">
        <w:rPr>
          <w:i/>
          <w:iCs/>
        </w:rPr>
        <w:t>framework</w:t>
      </w:r>
      <w:proofErr w:type="spellEnd"/>
      <w:r w:rsidRPr="00A30538">
        <w:t>.</w:t>
      </w:r>
    </w:p>
  </w:footnote>
  <w:footnote w:id="13">
    <w:p w14:paraId="2108B22C" w14:textId="77777777" w:rsidR="0058177B" w:rsidRDefault="0058177B" w:rsidP="0058177B">
      <w:pPr>
        <w:pStyle w:val="FootnoteText"/>
      </w:pPr>
      <w:r>
        <w:rPr>
          <w:rStyle w:val="FootnoteReference"/>
        </w:rPr>
        <w:footnoteRef/>
      </w:r>
      <w:r>
        <w:t xml:space="preserve"> </w:t>
      </w:r>
      <w:r w:rsidRPr="003A4C90">
        <w:t>Vecāko amatpersonu sanāksmes Eiropas Savienības jautājumos nolikums</w:t>
      </w:r>
      <w:r>
        <w:t xml:space="preserve">. Pieejams: </w:t>
      </w:r>
      <w:hyperlink r:id="rId6" w:history="1">
        <w:r w:rsidRPr="00B819CB">
          <w:rPr>
            <w:rStyle w:val="Hyperlink"/>
          </w:rPr>
          <w:t>https://likumi.lv/ta/id/195056-vecako-amatpersonu-sanaksmes-eiropas-savienibas-jautajumos-nolikums</w:t>
        </w:r>
      </w:hyperlink>
    </w:p>
  </w:footnote>
  <w:footnote w:id="14">
    <w:p w14:paraId="65A7FD40" w14:textId="77777777" w:rsidR="0058177B" w:rsidRDefault="0058177B" w:rsidP="0058177B">
      <w:pPr>
        <w:pStyle w:val="FootnoteText"/>
      </w:pPr>
      <w:r>
        <w:rPr>
          <w:rStyle w:val="FootnoteReference"/>
        </w:rPr>
        <w:footnoteRef/>
      </w:r>
      <w:r>
        <w:t xml:space="preserve"> </w:t>
      </w:r>
      <w:r w:rsidRPr="00E25B4E">
        <w:t>Vecāko amatpersonu sanāksmes</w:t>
      </w:r>
      <w:r>
        <w:t xml:space="preserve"> </w:t>
      </w:r>
      <w:r w:rsidRPr="00247E05">
        <w:t xml:space="preserve">2023. gada 6. decembra sēdes </w:t>
      </w:r>
      <w:r>
        <w:t xml:space="preserve">protokols Nr. 9. Pieejams: </w:t>
      </w:r>
      <w:hyperlink r:id="rId7" w:history="1">
        <w:r w:rsidRPr="00B819CB">
          <w:rPr>
            <w:rStyle w:val="Hyperlink"/>
          </w:rPr>
          <w:t>https://www.mfa.gov.lv/lv/media/11463/download?attachment</w:t>
        </w:r>
      </w:hyperlink>
    </w:p>
  </w:footnote>
  <w:footnote w:id="15">
    <w:p w14:paraId="3FB39B3F" w14:textId="7ED81AF9" w:rsidR="00B162EE" w:rsidRDefault="00B162EE">
      <w:pPr>
        <w:pStyle w:val="FootnoteText"/>
      </w:pPr>
      <w:r>
        <w:rPr>
          <w:rStyle w:val="FootnoteReference"/>
        </w:rPr>
        <w:footnoteRef/>
      </w:r>
      <w:r>
        <w:t xml:space="preserve"> </w:t>
      </w:r>
      <w:r>
        <w:t>V</w:t>
      </w:r>
      <w:r w:rsidRPr="00B162EE">
        <w:t>eido 30% bāzes intensitāte</w:t>
      </w:r>
      <w:r>
        <w:t>,</w:t>
      </w:r>
      <w:r w:rsidRPr="00B162EE">
        <w:t xml:space="preserve"> +10% par reģioniem, kuros 2009.–2018. gada periodā iedzīvotāju skaits saruka par vairāk nekā 10%</w:t>
      </w:r>
      <w:r>
        <w:t>.</w:t>
      </w:r>
    </w:p>
  </w:footnote>
  <w:footnote w:id="16">
    <w:p w14:paraId="0C527237" w14:textId="5F3DB45B" w:rsidR="006C28ED" w:rsidRDefault="006C28ED">
      <w:pPr>
        <w:pStyle w:val="FootnoteText"/>
      </w:pPr>
      <w:r>
        <w:rPr>
          <w:rStyle w:val="FootnoteReference"/>
        </w:rPr>
        <w:footnoteRef/>
      </w:r>
      <w:r>
        <w:t xml:space="preserve"> </w:t>
      </w:r>
      <w:r w:rsidR="00FF541F" w:rsidRPr="00FF541F">
        <w:t xml:space="preserve">Pierīga pēc </w:t>
      </w:r>
      <w:r w:rsidR="00FF541F" w:rsidRPr="00FF541F">
        <w:rPr>
          <w:i/>
          <w:iCs/>
        </w:rPr>
        <w:t>NUTS</w:t>
      </w:r>
      <w:r w:rsidR="00FF541F">
        <w:t xml:space="preserve"> 3</w:t>
      </w:r>
      <w:r w:rsidR="00FF541F" w:rsidRPr="00FF541F">
        <w:t xml:space="preserve"> 2021.</w:t>
      </w:r>
      <w:r w:rsidR="00FF541F">
        <w:t> </w:t>
      </w:r>
      <w:r w:rsidR="00FF541F" w:rsidRPr="00FF541F">
        <w:t>gada nomenklatūras datiem</w:t>
      </w:r>
      <w:r w:rsidR="00FF541F">
        <w:t>.</w:t>
      </w:r>
    </w:p>
  </w:footnote>
  <w:footnote w:id="17">
    <w:p w14:paraId="0DEDAF02" w14:textId="70201F4A" w:rsidR="000F0ED5" w:rsidRDefault="000F0ED5">
      <w:pPr>
        <w:pStyle w:val="FootnoteText"/>
      </w:pPr>
      <w:r>
        <w:rPr>
          <w:rStyle w:val="FootnoteReference"/>
        </w:rPr>
        <w:footnoteRef/>
      </w:r>
      <w:r>
        <w:t xml:space="preserve"> </w:t>
      </w:r>
      <w:r w:rsidR="00AC4A2D" w:rsidRPr="00AC4A2D">
        <w:t>Maksimāli pieļaujamā reģionālā atbalsta intensitāte Latvijā 2022.–2027. gadam</w:t>
      </w:r>
      <w:r w:rsidR="00AC4A2D">
        <w:t xml:space="preserve">, Finanšu ministrija. Pieejams: </w:t>
      </w:r>
      <w:hyperlink r:id="rId8" w:history="1">
        <w:r w:rsidR="00F55C6E" w:rsidRPr="00735D96">
          <w:rPr>
            <w:rStyle w:val="Hyperlink"/>
          </w:rPr>
          <w:t>https://www.fm.gov.lv/lv/media/15906/download?attachment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82637"/>
    <w:multiLevelType w:val="hybridMultilevel"/>
    <w:tmpl w:val="80BE854A"/>
    <w:lvl w:ilvl="0" w:tplc="76B8D652">
      <w:start w:val="1"/>
      <w:numFmt w:val="decimal"/>
      <w:pStyle w:val="Heading2"/>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0C4067"/>
    <w:multiLevelType w:val="hybridMultilevel"/>
    <w:tmpl w:val="BC50EF6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54CA1C7E"/>
    <w:multiLevelType w:val="hybridMultilevel"/>
    <w:tmpl w:val="89F648A4"/>
    <w:lvl w:ilvl="0" w:tplc="04260017">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59207ACF"/>
    <w:multiLevelType w:val="hybridMultilevel"/>
    <w:tmpl w:val="DC86A85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5FEF241B"/>
    <w:multiLevelType w:val="hybridMultilevel"/>
    <w:tmpl w:val="65026DF8"/>
    <w:lvl w:ilvl="0" w:tplc="1F7AF2DC">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13216750">
    <w:abstractNumId w:val="4"/>
  </w:num>
  <w:num w:numId="2" w16cid:durableId="1081869552">
    <w:abstractNumId w:val="0"/>
  </w:num>
  <w:num w:numId="3" w16cid:durableId="1581256842">
    <w:abstractNumId w:val="3"/>
  </w:num>
  <w:num w:numId="4" w16cid:durableId="59136782">
    <w:abstractNumId w:val="2"/>
  </w:num>
  <w:num w:numId="5" w16cid:durableId="1310327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A96"/>
    <w:rsid w:val="000031FE"/>
    <w:rsid w:val="000036A9"/>
    <w:rsid w:val="0001133D"/>
    <w:rsid w:val="0001333A"/>
    <w:rsid w:val="00017611"/>
    <w:rsid w:val="00023D86"/>
    <w:rsid w:val="000265A5"/>
    <w:rsid w:val="0003115F"/>
    <w:rsid w:val="0003415B"/>
    <w:rsid w:val="0004301B"/>
    <w:rsid w:val="00060DBE"/>
    <w:rsid w:val="00065A90"/>
    <w:rsid w:val="000705A6"/>
    <w:rsid w:val="00073D42"/>
    <w:rsid w:val="00074161"/>
    <w:rsid w:val="0008376A"/>
    <w:rsid w:val="000B002C"/>
    <w:rsid w:val="000D594D"/>
    <w:rsid w:val="000E4850"/>
    <w:rsid w:val="000F0118"/>
    <w:rsid w:val="000F0ED5"/>
    <w:rsid w:val="000F271F"/>
    <w:rsid w:val="000F2CE1"/>
    <w:rsid w:val="001007C5"/>
    <w:rsid w:val="00103F1B"/>
    <w:rsid w:val="00112B8E"/>
    <w:rsid w:val="00114778"/>
    <w:rsid w:val="00122360"/>
    <w:rsid w:val="00124173"/>
    <w:rsid w:val="00125F59"/>
    <w:rsid w:val="001349F6"/>
    <w:rsid w:val="0013559A"/>
    <w:rsid w:val="00151170"/>
    <w:rsid w:val="001518DB"/>
    <w:rsid w:val="00152C1A"/>
    <w:rsid w:val="00155FBC"/>
    <w:rsid w:val="001618A0"/>
    <w:rsid w:val="00161CCF"/>
    <w:rsid w:val="0016715F"/>
    <w:rsid w:val="00167D54"/>
    <w:rsid w:val="001749FF"/>
    <w:rsid w:val="00184805"/>
    <w:rsid w:val="00184D76"/>
    <w:rsid w:val="0019366A"/>
    <w:rsid w:val="0019405B"/>
    <w:rsid w:val="001974BD"/>
    <w:rsid w:val="001A02B1"/>
    <w:rsid w:val="001B4854"/>
    <w:rsid w:val="001B5040"/>
    <w:rsid w:val="001B5EC5"/>
    <w:rsid w:val="001D7436"/>
    <w:rsid w:val="001F2410"/>
    <w:rsid w:val="002100B4"/>
    <w:rsid w:val="002108A2"/>
    <w:rsid w:val="002207D0"/>
    <w:rsid w:val="002211F5"/>
    <w:rsid w:val="00221249"/>
    <w:rsid w:val="002239DA"/>
    <w:rsid w:val="00230149"/>
    <w:rsid w:val="002321C0"/>
    <w:rsid w:val="00243D16"/>
    <w:rsid w:val="002448C7"/>
    <w:rsid w:val="002452C9"/>
    <w:rsid w:val="00247E05"/>
    <w:rsid w:val="00253590"/>
    <w:rsid w:val="002556C8"/>
    <w:rsid w:val="00255F2F"/>
    <w:rsid w:val="00273296"/>
    <w:rsid w:val="002770BA"/>
    <w:rsid w:val="002806CB"/>
    <w:rsid w:val="00282A66"/>
    <w:rsid w:val="002947D6"/>
    <w:rsid w:val="002A0ED1"/>
    <w:rsid w:val="002B3AB9"/>
    <w:rsid w:val="002B5943"/>
    <w:rsid w:val="002C2E0C"/>
    <w:rsid w:val="002C411E"/>
    <w:rsid w:val="002D5471"/>
    <w:rsid w:val="002D6F1D"/>
    <w:rsid w:val="002D7058"/>
    <w:rsid w:val="002E1BED"/>
    <w:rsid w:val="002F70D4"/>
    <w:rsid w:val="002F74B4"/>
    <w:rsid w:val="002F7C5F"/>
    <w:rsid w:val="003024AF"/>
    <w:rsid w:val="00305BA0"/>
    <w:rsid w:val="00305CE7"/>
    <w:rsid w:val="0030688E"/>
    <w:rsid w:val="003079EC"/>
    <w:rsid w:val="00325E08"/>
    <w:rsid w:val="00345764"/>
    <w:rsid w:val="003557E4"/>
    <w:rsid w:val="00361ADF"/>
    <w:rsid w:val="00361BC0"/>
    <w:rsid w:val="003735A8"/>
    <w:rsid w:val="0037441E"/>
    <w:rsid w:val="00376A25"/>
    <w:rsid w:val="00382038"/>
    <w:rsid w:val="00390024"/>
    <w:rsid w:val="0039453E"/>
    <w:rsid w:val="003948F7"/>
    <w:rsid w:val="00395DAE"/>
    <w:rsid w:val="003A2D21"/>
    <w:rsid w:val="003A4C90"/>
    <w:rsid w:val="003D0B6A"/>
    <w:rsid w:val="003D0EDE"/>
    <w:rsid w:val="003D11D4"/>
    <w:rsid w:val="003D14E8"/>
    <w:rsid w:val="003D5C13"/>
    <w:rsid w:val="003D74A1"/>
    <w:rsid w:val="004001C2"/>
    <w:rsid w:val="00401409"/>
    <w:rsid w:val="00403236"/>
    <w:rsid w:val="00414579"/>
    <w:rsid w:val="00417204"/>
    <w:rsid w:val="00420377"/>
    <w:rsid w:val="00437279"/>
    <w:rsid w:val="00442A76"/>
    <w:rsid w:val="0044551F"/>
    <w:rsid w:val="0046067D"/>
    <w:rsid w:val="004666AF"/>
    <w:rsid w:val="00471FFC"/>
    <w:rsid w:val="00472484"/>
    <w:rsid w:val="00484786"/>
    <w:rsid w:val="0048670A"/>
    <w:rsid w:val="0049625D"/>
    <w:rsid w:val="004B31B1"/>
    <w:rsid w:val="004C0B7D"/>
    <w:rsid w:val="004E01D0"/>
    <w:rsid w:val="004E0DBD"/>
    <w:rsid w:val="004E16EF"/>
    <w:rsid w:val="004F0613"/>
    <w:rsid w:val="004F6356"/>
    <w:rsid w:val="004F65FB"/>
    <w:rsid w:val="0051048D"/>
    <w:rsid w:val="0051347D"/>
    <w:rsid w:val="00515031"/>
    <w:rsid w:val="0053653B"/>
    <w:rsid w:val="00557741"/>
    <w:rsid w:val="00577B4A"/>
    <w:rsid w:val="0058177B"/>
    <w:rsid w:val="0058301B"/>
    <w:rsid w:val="00586A77"/>
    <w:rsid w:val="00595791"/>
    <w:rsid w:val="005A2067"/>
    <w:rsid w:val="005B0A4A"/>
    <w:rsid w:val="005B0F46"/>
    <w:rsid w:val="005C08A9"/>
    <w:rsid w:val="005D0091"/>
    <w:rsid w:val="005D244D"/>
    <w:rsid w:val="005D7973"/>
    <w:rsid w:val="005F4AEC"/>
    <w:rsid w:val="006038AD"/>
    <w:rsid w:val="006100F6"/>
    <w:rsid w:val="0061439F"/>
    <w:rsid w:val="006170E1"/>
    <w:rsid w:val="0062481E"/>
    <w:rsid w:val="00630247"/>
    <w:rsid w:val="00633992"/>
    <w:rsid w:val="00650EF8"/>
    <w:rsid w:val="0065760E"/>
    <w:rsid w:val="006578E8"/>
    <w:rsid w:val="00663C08"/>
    <w:rsid w:val="00664A52"/>
    <w:rsid w:val="00677ECE"/>
    <w:rsid w:val="006800A1"/>
    <w:rsid w:val="00680201"/>
    <w:rsid w:val="00681D29"/>
    <w:rsid w:val="006826D8"/>
    <w:rsid w:val="00682AD5"/>
    <w:rsid w:val="00687676"/>
    <w:rsid w:val="00690020"/>
    <w:rsid w:val="00693A66"/>
    <w:rsid w:val="006A2728"/>
    <w:rsid w:val="006A2F2E"/>
    <w:rsid w:val="006A6CEF"/>
    <w:rsid w:val="006C06CF"/>
    <w:rsid w:val="006C28ED"/>
    <w:rsid w:val="006C325A"/>
    <w:rsid w:val="006C62EE"/>
    <w:rsid w:val="006D032F"/>
    <w:rsid w:val="006D1A96"/>
    <w:rsid w:val="006F64F8"/>
    <w:rsid w:val="006F6FDF"/>
    <w:rsid w:val="00701E53"/>
    <w:rsid w:val="007117C1"/>
    <w:rsid w:val="00733BBE"/>
    <w:rsid w:val="00734349"/>
    <w:rsid w:val="007403B6"/>
    <w:rsid w:val="00740F2D"/>
    <w:rsid w:val="00743065"/>
    <w:rsid w:val="00752765"/>
    <w:rsid w:val="00756378"/>
    <w:rsid w:val="00761DBC"/>
    <w:rsid w:val="00764E06"/>
    <w:rsid w:val="007658C1"/>
    <w:rsid w:val="00776EA6"/>
    <w:rsid w:val="00781FD5"/>
    <w:rsid w:val="00790060"/>
    <w:rsid w:val="00792168"/>
    <w:rsid w:val="00792DDB"/>
    <w:rsid w:val="00795AAB"/>
    <w:rsid w:val="007A2683"/>
    <w:rsid w:val="007A2882"/>
    <w:rsid w:val="007A3DC2"/>
    <w:rsid w:val="007A6030"/>
    <w:rsid w:val="007A76D5"/>
    <w:rsid w:val="007E1059"/>
    <w:rsid w:val="007F0B79"/>
    <w:rsid w:val="007F7F4E"/>
    <w:rsid w:val="00810A34"/>
    <w:rsid w:val="00810C5B"/>
    <w:rsid w:val="008150B8"/>
    <w:rsid w:val="00820AAC"/>
    <w:rsid w:val="008255F5"/>
    <w:rsid w:val="00827647"/>
    <w:rsid w:val="008303B8"/>
    <w:rsid w:val="0084221F"/>
    <w:rsid w:val="00847CC2"/>
    <w:rsid w:val="00853357"/>
    <w:rsid w:val="00855F37"/>
    <w:rsid w:val="008609FE"/>
    <w:rsid w:val="00861677"/>
    <w:rsid w:val="00861A2E"/>
    <w:rsid w:val="00866B42"/>
    <w:rsid w:val="00871B62"/>
    <w:rsid w:val="008759C3"/>
    <w:rsid w:val="0089676E"/>
    <w:rsid w:val="008A77C7"/>
    <w:rsid w:val="008C69DB"/>
    <w:rsid w:val="008E118E"/>
    <w:rsid w:val="008E3123"/>
    <w:rsid w:val="00902628"/>
    <w:rsid w:val="009064E7"/>
    <w:rsid w:val="00907703"/>
    <w:rsid w:val="0093395E"/>
    <w:rsid w:val="009351C4"/>
    <w:rsid w:val="00951B2C"/>
    <w:rsid w:val="00952C15"/>
    <w:rsid w:val="00966265"/>
    <w:rsid w:val="00973285"/>
    <w:rsid w:val="00982C40"/>
    <w:rsid w:val="00983216"/>
    <w:rsid w:val="00990C93"/>
    <w:rsid w:val="009A3752"/>
    <w:rsid w:val="009A6143"/>
    <w:rsid w:val="009B07B6"/>
    <w:rsid w:val="009B19AE"/>
    <w:rsid w:val="009C4B35"/>
    <w:rsid w:val="009D27F8"/>
    <w:rsid w:val="009E18C2"/>
    <w:rsid w:val="009E1DA0"/>
    <w:rsid w:val="009E6161"/>
    <w:rsid w:val="009F4239"/>
    <w:rsid w:val="00A16E67"/>
    <w:rsid w:val="00A30538"/>
    <w:rsid w:val="00A32A2E"/>
    <w:rsid w:val="00A37B5A"/>
    <w:rsid w:val="00A41E30"/>
    <w:rsid w:val="00A42B02"/>
    <w:rsid w:val="00A52BAD"/>
    <w:rsid w:val="00A70FFC"/>
    <w:rsid w:val="00A75E65"/>
    <w:rsid w:val="00A931F0"/>
    <w:rsid w:val="00AA3201"/>
    <w:rsid w:val="00AB4066"/>
    <w:rsid w:val="00AC257D"/>
    <w:rsid w:val="00AC4A2D"/>
    <w:rsid w:val="00AD180E"/>
    <w:rsid w:val="00AD1DA7"/>
    <w:rsid w:val="00AD30D0"/>
    <w:rsid w:val="00AE600A"/>
    <w:rsid w:val="00AE6F8B"/>
    <w:rsid w:val="00AF33AD"/>
    <w:rsid w:val="00AF6770"/>
    <w:rsid w:val="00B02B4A"/>
    <w:rsid w:val="00B05E8A"/>
    <w:rsid w:val="00B11E83"/>
    <w:rsid w:val="00B127E4"/>
    <w:rsid w:val="00B1529E"/>
    <w:rsid w:val="00B162EE"/>
    <w:rsid w:val="00B21E6D"/>
    <w:rsid w:val="00B30BA9"/>
    <w:rsid w:val="00B31153"/>
    <w:rsid w:val="00B446A1"/>
    <w:rsid w:val="00B44D5E"/>
    <w:rsid w:val="00B45948"/>
    <w:rsid w:val="00B661FB"/>
    <w:rsid w:val="00B84E78"/>
    <w:rsid w:val="00B865C7"/>
    <w:rsid w:val="00B87301"/>
    <w:rsid w:val="00B90CD2"/>
    <w:rsid w:val="00BA0E66"/>
    <w:rsid w:val="00BB0477"/>
    <w:rsid w:val="00BB5087"/>
    <w:rsid w:val="00BC229C"/>
    <w:rsid w:val="00BC4245"/>
    <w:rsid w:val="00BC4884"/>
    <w:rsid w:val="00BC4CCE"/>
    <w:rsid w:val="00BC6F2D"/>
    <w:rsid w:val="00BE3017"/>
    <w:rsid w:val="00BE534A"/>
    <w:rsid w:val="00BE5B87"/>
    <w:rsid w:val="00C01996"/>
    <w:rsid w:val="00C02A16"/>
    <w:rsid w:val="00C02C40"/>
    <w:rsid w:val="00C10D94"/>
    <w:rsid w:val="00C1504E"/>
    <w:rsid w:val="00C151BB"/>
    <w:rsid w:val="00C1665E"/>
    <w:rsid w:val="00C23EA0"/>
    <w:rsid w:val="00C26384"/>
    <w:rsid w:val="00C42A9D"/>
    <w:rsid w:val="00C43004"/>
    <w:rsid w:val="00C52C46"/>
    <w:rsid w:val="00C63F42"/>
    <w:rsid w:val="00C657BB"/>
    <w:rsid w:val="00C6581D"/>
    <w:rsid w:val="00C71B47"/>
    <w:rsid w:val="00C837BC"/>
    <w:rsid w:val="00C84CDC"/>
    <w:rsid w:val="00C85C5E"/>
    <w:rsid w:val="00C87FCC"/>
    <w:rsid w:val="00C94C55"/>
    <w:rsid w:val="00C950E0"/>
    <w:rsid w:val="00CA51AC"/>
    <w:rsid w:val="00CC0687"/>
    <w:rsid w:val="00CC22A4"/>
    <w:rsid w:val="00CC28D7"/>
    <w:rsid w:val="00D04E4D"/>
    <w:rsid w:val="00D11891"/>
    <w:rsid w:val="00D140E8"/>
    <w:rsid w:val="00D31B98"/>
    <w:rsid w:val="00D40177"/>
    <w:rsid w:val="00D41B52"/>
    <w:rsid w:val="00D44A74"/>
    <w:rsid w:val="00D45040"/>
    <w:rsid w:val="00D47EFC"/>
    <w:rsid w:val="00D50D62"/>
    <w:rsid w:val="00D540BC"/>
    <w:rsid w:val="00D54A4F"/>
    <w:rsid w:val="00D60739"/>
    <w:rsid w:val="00D862A8"/>
    <w:rsid w:val="00D86779"/>
    <w:rsid w:val="00DA35F3"/>
    <w:rsid w:val="00DA5255"/>
    <w:rsid w:val="00DC14E7"/>
    <w:rsid w:val="00DC5C84"/>
    <w:rsid w:val="00DC6B76"/>
    <w:rsid w:val="00DE68F7"/>
    <w:rsid w:val="00DE7652"/>
    <w:rsid w:val="00DF3BAA"/>
    <w:rsid w:val="00DF6AC1"/>
    <w:rsid w:val="00E24FAA"/>
    <w:rsid w:val="00E25B4E"/>
    <w:rsid w:val="00E27FE7"/>
    <w:rsid w:val="00E32DAB"/>
    <w:rsid w:val="00E34F97"/>
    <w:rsid w:val="00E42839"/>
    <w:rsid w:val="00E52194"/>
    <w:rsid w:val="00E525AB"/>
    <w:rsid w:val="00E72163"/>
    <w:rsid w:val="00E7258F"/>
    <w:rsid w:val="00EA2F83"/>
    <w:rsid w:val="00EA51D5"/>
    <w:rsid w:val="00EA5E67"/>
    <w:rsid w:val="00EB05EE"/>
    <w:rsid w:val="00EB2358"/>
    <w:rsid w:val="00EB4A4B"/>
    <w:rsid w:val="00EC75F0"/>
    <w:rsid w:val="00ED4898"/>
    <w:rsid w:val="00ED4918"/>
    <w:rsid w:val="00EE2E5F"/>
    <w:rsid w:val="00EF2364"/>
    <w:rsid w:val="00F163C7"/>
    <w:rsid w:val="00F17CC8"/>
    <w:rsid w:val="00F268D6"/>
    <w:rsid w:val="00F27E76"/>
    <w:rsid w:val="00F3148F"/>
    <w:rsid w:val="00F31CF0"/>
    <w:rsid w:val="00F3305B"/>
    <w:rsid w:val="00F41988"/>
    <w:rsid w:val="00F45D2B"/>
    <w:rsid w:val="00F5095C"/>
    <w:rsid w:val="00F55C6E"/>
    <w:rsid w:val="00F57865"/>
    <w:rsid w:val="00F74CE5"/>
    <w:rsid w:val="00F8317F"/>
    <w:rsid w:val="00F92FEC"/>
    <w:rsid w:val="00F95C47"/>
    <w:rsid w:val="00F967CF"/>
    <w:rsid w:val="00FB01C4"/>
    <w:rsid w:val="00FC3D1B"/>
    <w:rsid w:val="00FC60EE"/>
    <w:rsid w:val="00FC7B94"/>
    <w:rsid w:val="00FD4FA9"/>
    <w:rsid w:val="00FE17B0"/>
    <w:rsid w:val="00FE6D40"/>
    <w:rsid w:val="00FE7F44"/>
    <w:rsid w:val="00FF2801"/>
    <w:rsid w:val="00FF2849"/>
    <w:rsid w:val="00FF54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C20B4"/>
  <w15:chartTrackingRefBased/>
  <w15:docId w15:val="{C8DEB9A6-0312-4FE0-8E6D-99A16F83D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0BC"/>
    <w:pPr>
      <w:spacing w:after="0" w:line="240" w:lineRule="auto"/>
      <w:jc w:val="both"/>
    </w:pPr>
    <w:rPr>
      <w:rFonts w:ascii="Times New Roman" w:hAnsi="Times New Roman"/>
      <w:kern w:val="0"/>
      <w:sz w:val="24"/>
      <w:lang w:val="lv-LV"/>
      <w14:ligatures w14:val="none"/>
    </w:rPr>
  </w:style>
  <w:style w:type="paragraph" w:styleId="Heading1">
    <w:name w:val="heading 1"/>
    <w:basedOn w:val="Normal"/>
    <w:next w:val="Normal"/>
    <w:link w:val="Heading1Char"/>
    <w:autoRedefine/>
    <w:uiPriority w:val="9"/>
    <w:qFormat/>
    <w:rsid w:val="0001133D"/>
    <w:pPr>
      <w:keepNext/>
      <w:keepLines/>
      <w:numPr>
        <w:numId w:val="1"/>
      </w:numPr>
      <w:spacing w:after="120"/>
      <w:ind w:left="714" w:hanging="357"/>
      <w:jc w:val="center"/>
      <w:outlineLvl w:val="0"/>
    </w:pPr>
    <w:rPr>
      <w:rFonts w:ascii="Times New Roman Bold" w:eastAsiaTheme="majorEastAsia" w:hAnsi="Times New Roman Bold" w:cstheme="majorBidi"/>
      <w:b/>
      <w:color w:val="000000" w:themeColor="text1"/>
      <w:szCs w:val="32"/>
    </w:rPr>
  </w:style>
  <w:style w:type="paragraph" w:styleId="Heading2">
    <w:name w:val="heading 2"/>
    <w:basedOn w:val="Normal"/>
    <w:next w:val="Normal"/>
    <w:link w:val="Heading2Char"/>
    <w:uiPriority w:val="9"/>
    <w:unhideWhenUsed/>
    <w:qFormat/>
    <w:rsid w:val="00C94C55"/>
    <w:pPr>
      <w:keepNext/>
      <w:keepLines/>
      <w:numPr>
        <w:numId w:val="2"/>
      </w:numPr>
      <w:ind w:left="714" w:hanging="357"/>
      <w:jc w:val="center"/>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semiHidden/>
    <w:unhideWhenUsed/>
    <w:qFormat/>
    <w:rsid w:val="006D1A9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1A9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D1A9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D1A9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D1A9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D1A9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D1A9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33D"/>
    <w:rPr>
      <w:rFonts w:ascii="Times New Roman Bold" w:eastAsiaTheme="majorEastAsia" w:hAnsi="Times New Roman Bold" w:cstheme="majorBidi"/>
      <w:b/>
      <w:color w:val="000000" w:themeColor="text1"/>
      <w:kern w:val="0"/>
      <w:sz w:val="24"/>
      <w:szCs w:val="32"/>
      <w:lang w:val="lv-LV"/>
      <w14:ligatures w14:val="none"/>
    </w:rPr>
  </w:style>
  <w:style w:type="character" w:customStyle="1" w:styleId="Heading2Char">
    <w:name w:val="Heading 2 Char"/>
    <w:basedOn w:val="DefaultParagraphFont"/>
    <w:link w:val="Heading2"/>
    <w:uiPriority w:val="9"/>
    <w:rsid w:val="00C94C55"/>
    <w:rPr>
      <w:rFonts w:ascii="Times New Roman" w:eastAsiaTheme="majorEastAsia" w:hAnsi="Times New Roman" w:cstheme="majorBidi"/>
      <w:b/>
      <w:color w:val="000000" w:themeColor="text1"/>
      <w:kern w:val="0"/>
      <w:sz w:val="24"/>
      <w:szCs w:val="26"/>
      <w:lang w:val="lv-LV"/>
      <w14:ligatures w14:val="none"/>
    </w:rPr>
  </w:style>
  <w:style w:type="character" w:customStyle="1" w:styleId="Heading3Char">
    <w:name w:val="Heading 3 Char"/>
    <w:basedOn w:val="DefaultParagraphFont"/>
    <w:link w:val="Heading3"/>
    <w:uiPriority w:val="9"/>
    <w:semiHidden/>
    <w:rsid w:val="006D1A96"/>
    <w:rPr>
      <w:rFonts w:eastAsiaTheme="majorEastAsia" w:cstheme="majorBidi"/>
      <w:color w:val="0F4761" w:themeColor="accent1" w:themeShade="BF"/>
      <w:kern w:val="0"/>
      <w:sz w:val="28"/>
      <w:szCs w:val="28"/>
      <w:lang w:val="lv-LV"/>
      <w14:ligatures w14:val="none"/>
    </w:rPr>
  </w:style>
  <w:style w:type="character" w:customStyle="1" w:styleId="Heading4Char">
    <w:name w:val="Heading 4 Char"/>
    <w:basedOn w:val="DefaultParagraphFont"/>
    <w:link w:val="Heading4"/>
    <w:uiPriority w:val="9"/>
    <w:semiHidden/>
    <w:rsid w:val="006D1A96"/>
    <w:rPr>
      <w:rFonts w:eastAsiaTheme="majorEastAsia" w:cstheme="majorBidi"/>
      <w:i/>
      <w:iCs/>
      <w:color w:val="0F4761" w:themeColor="accent1" w:themeShade="BF"/>
      <w:kern w:val="0"/>
      <w:sz w:val="24"/>
      <w:lang w:val="lv-LV"/>
      <w14:ligatures w14:val="none"/>
    </w:rPr>
  </w:style>
  <w:style w:type="character" w:customStyle="1" w:styleId="Heading5Char">
    <w:name w:val="Heading 5 Char"/>
    <w:basedOn w:val="DefaultParagraphFont"/>
    <w:link w:val="Heading5"/>
    <w:uiPriority w:val="9"/>
    <w:semiHidden/>
    <w:rsid w:val="006D1A96"/>
    <w:rPr>
      <w:rFonts w:eastAsiaTheme="majorEastAsia" w:cstheme="majorBidi"/>
      <w:color w:val="0F4761" w:themeColor="accent1" w:themeShade="BF"/>
      <w:kern w:val="0"/>
      <w:sz w:val="24"/>
      <w:lang w:val="lv-LV"/>
      <w14:ligatures w14:val="none"/>
    </w:rPr>
  </w:style>
  <w:style w:type="character" w:customStyle="1" w:styleId="Heading6Char">
    <w:name w:val="Heading 6 Char"/>
    <w:basedOn w:val="DefaultParagraphFont"/>
    <w:link w:val="Heading6"/>
    <w:uiPriority w:val="9"/>
    <w:semiHidden/>
    <w:rsid w:val="006D1A96"/>
    <w:rPr>
      <w:rFonts w:eastAsiaTheme="majorEastAsia" w:cstheme="majorBidi"/>
      <w:i/>
      <w:iCs/>
      <w:color w:val="595959" w:themeColor="text1" w:themeTint="A6"/>
      <w:kern w:val="0"/>
      <w:sz w:val="24"/>
      <w:lang w:val="lv-LV"/>
      <w14:ligatures w14:val="none"/>
    </w:rPr>
  </w:style>
  <w:style w:type="character" w:customStyle="1" w:styleId="Heading7Char">
    <w:name w:val="Heading 7 Char"/>
    <w:basedOn w:val="DefaultParagraphFont"/>
    <w:link w:val="Heading7"/>
    <w:uiPriority w:val="9"/>
    <w:semiHidden/>
    <w:rsid w:val="006D1A96"/>
    <w:rPr>
      <w:rFonts w:eastAsiaTheme="majorEastAsia" w:cstheme="majorBidi"/>
      <w:color w:val="595959" w:themeColor="text1" w:themeTint="A6"/>
      <w:kern w:val="0"/>
      <w:sz w:val="24"/>
      <w:lang w:val="lv-LV"/>
      <w14:ligatures w14:val="none"/>
    </w:rPr>
  </w:style>
  <w:style w:type="character" w:customStyle="1" w:styleId="Heading8Char">
    <w:name w:val="Heading 8 Char"/>
    <w:basedOn w:val="DefaultParagraphFont"/>
    <w:link w:val="Heading8"/>
    <w:uiPriority w:val="9"/>
    <w:semiHidden/>
    <w:rsid w:val="006D1A96"/>
    <w:rPr>
      <w:rFonts w:eastAsiaTheme="majorEastAsia" w:cstheme="majorBidi"/>
      <w:i/>
      <w:iCs/>
      <w:color w:val="272727" w:themeColor="text1" w:themeTint="D8"/>
      <w:kern w:val="0"/>
      <w:sz w:val="24"/>
      <w:lang w:val="lv-LV"/>
      <w14:ligatures w14:val="none"/>
    </w:rPr>
  </w:style>
  <w:style w:type="character" w:customStyle="1" w:styleId="Heading9Char">
    <w:name w:val="Heading 9 Char"/>
    <w:basedOn w:val="DefaultParagraphFont"/>
    <w:link w:val="Heading9"/>
    <w:uiPriority w:val="9"/>
    <w:semiHidden/>
    <w:rsid w:val="006D1A96"/>
    <w:rPr>
      <w:rFonts w:eastAsiaTheme="majorEastAsia" w:cstheme="majorBidi"/>
      <w:color w:val="272727" w:themeColor="text1" w:themeTint="D8"/>
      <w:kern w:val="0"/>
      <w:sz w:val="24"/>
      <w:lang w:val="lv-LV"/>
      <w14:ligatures w14:val="none"/>
    </w:rPr>
  </w:style>
  <w:style w:type="paragraph" w:styleId="Title">
    <w:name w:val="Title"/>
    <w:basedOn w:val="Normal"/>
    <w:next w:val="Normal"/>
    <w:link w:val="TitleChar"/>
    <w:uiPriority w:val="10"/>
    <w:qFormat/>
    <w:rsid w:val="006D1A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A96"/>
    <w:rPr>
      <w:rFonts w:asciiTheme="majorHAnsi" w:eastAsiaTheme="majorEastAsia" w:hAnsiTheme="majorHAnsi" w:cstheme="majorBidi"/>
      <w:spacing w:val="-10"/>
      <w:kern w:val="28"/>
      <w:sz w:val="56"/>
      <w:szCs w:val="56"/>
      <w:lang w:val="lv-LV"/>
      <w14:ligatures w14:val="none"/>
    </w:rPr>
  </w:style>
  <w:style w:type="paragraph" w:styleId="Subtitle">
    <w:name w:val="Subtitle"/>
    <w:basedOn w:val="Normal"/>
    <w:next w:val="Normal"/>
    <w:link w:val="SubtitleChar"/>
    <w:uiPriority w:val="11"/>
    <w:qFormat/>
    <w:rsid w:val="006D1A9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A96"/>
    <w:rPr>
      <w:rFonts w:eastAsiaTheme="majorEastAsia" w:cstheme="majorBidi"/>
      <w:color w:val="595959" w:themeColor="text1" w:themeTint="A6"/>
      <w:spacing w:val="15"/>
      <w:kern w:val="0"/>
      <w:sz w:val="28"/>
      <w:szCs w:val="28"/>
      <w:lang w:val="lv-LV"/>
      <w14:ligatures w14:val="none"/>
    </w:rPr>
  </w:style>
  <w:style w:type="paragraph" w:styleId="Quote">
    <w:name w:val="Quote"/>
    <w:basedOn w:val="Normal"/>
    <w:next w:val="Normal"/>
    <w:link w:val="QuoteChar"/>
    <w:uiPriority w:val="29"/>
    <w:qFormat/>
    <w:rsid w:val="006D1A9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D1A96"/>
    <w:rPr>
      <w:rFonts w:ascii="Times New Roman" w:hAnsi="Times New Roman"/>
      <w:i/>
      <w:iCs/>
      <w:color w:val="404040" w:themeColor="text1" w:themeTint="BF"/>
      <w:kern w:val="0"/>
      <w:sz w:val="24"/>
      <w:lang w:val="lv-LV"/>
      <w14:ligatures w14:val="none"/>
    </w:rPr>
  </w:style>
  <w:style w:type="paragraph" w:styleId="ListParagraph">
    <w:name w:val="List Paragraph"/>
    <w:aliases w:val="2,List Paragraph compact,Normal bullet 2,Paragraphe de liste 2,Reference list,Bullet list,Numbered List,List Paragraph1,1st level - Bullet List Paragraph,Lettre d'introduction,Paragraph,Bullet EY,List Paragraph11,Normal bullet 21,List L1"/>
    <w:basedOn w:val="Normal"/>
    <w:link w:val="ListParagraphChar"/>
    <w:uiPriority w:val="34"/>
    <w:qFormat/>
    <w:rsid w:val="006D1A96"/>
    <w:pPr>
      <w:ind w:left="720"/>
      <w:contextualSpacing/>
    </w:pPr>
  </w:style>
  <w:style w:type="character" w:styleId="IntenseEmphasis">
    <w:name w:val="Intense Emphasis"/>
    <w:basedOn w:val="DefaultParagraphFont"/>
    <w:uiPriority w:val="21"/>
    <w:qFormat/>
    <w:rsid w:val="006D1A96"/>
    <w:rPr>
      <w:i/>
      <w:iCs/>
      <w:color w:val="0F4761" w:themeColor="accent1" w:themeShade="BF"/>
    </w:rPr>
  </w:style>
  <w:style w:type="paragraph" w:styleId="IntenseQuote">
    <w:name w:val="Intense Quote"/>
    <w:basedOn w:val="Normal"/>
    <w:next w:val="Normal"/>
    <w:link w:val="IntenseQuoteChar"/>
    <w:uiPriority w:val="30"/>
    <w:qFormat/>
    <w:rsid w:val="006D1A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1A96"/>
    <w:rPr>
      <w:rFonts w:ascii="Times New Roman" w:hAnsi="Times New Roman"/>
      <w:i/>
      <w:iCs/>
      <w:color w:val="0F4761" w:themeColor="accent1" w:themeShade="BF"/>
      <w:kern w:val="0"/>
      <w:sz w:val="24"/>
      <w:lang w:val="lv-LV"/>
      <w14:ligatures w14:val="none"/>
    </w:rPr>
  </w:style>
  <w:style w:type="character" w:styleId="IntenseReference">
    <w:name w:val="Intense Reference"/>
    <w:basedOn w:val="DefaultParagraphFont"/>
    <w:uiPriority w:val="32"/>
    <w:qFormat/>
    <w:rsid w:val="006D1A96"/>
    <w:rPr>
      <w:b/>
      <w:bCs/>
      <w:smallCaps/>
      <w:color w:val="0F4761" w:themeColor="accent1" w:themeShade="BF"/>
      <w:spacing w:val="5"/>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ußnote Char,f"/>
    <w:basedOn w:val="Normal"/>
    <w:link w:val="FootnoteTextChar"/>
    <w:uiPriority w:val="99"/>
    <w:unhideWhenUsed/>
    <w:qFormat/>
    <w:rsid w:val="00D540BC"/>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ußnote Char Char,f Char"/>
    <w:basedOn w:val="DefaultParagraphFont"/>
    <w:link w:val="FootnoteText"/>
    <w:uiPriority w:val="99"/>
    <w:qFormat/>
    <w:rsid w:val="00D540BC"/>
    <w:rPr>
      <w:rFonts w:ascii="Times New Roman" w:hAnsi="Times New Roman"/>
      <w:kern w:val="0"/>
      <w:sz w:val="20"/>
      <w:szCs w:val="20"/>
      <w:lang w:val="lv-LV"/>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uiPriority w:val="99"/>
    <w:unhideWhenUsed/>
    <w:qFormat/>
    <w:rsid w:val="00D540BC"/>
    <w:rPr>
      <w:vertAlign w:val="superscript"/>
    </w:rPr>
  </w:style>
  <w:style w:type="character" w:styleId="Hyperlink">
    <w:name w:val="Hyperlink"/>
    <w:basedOn w:val="DefaultParagraphFont"/>
    <w:uiPriority w:val="99"/>
    <w:unhideWhenUsed/>
    <w:rsid w:val="004F0613"/>
    <w:rPr>
      <w:color w:val="467886" w:themeColor="hyperlink"/>
      <w:u w:val="single"/>
    </w:rPr>
  </w:style>
  <w:style w:type="character" w:styleId="UnresolvedMention">
    <w:name w:val="Unresolved Mention"/>
    <w:basedOn w:val="DefaultParagraphFont"/>
    <w:uiPriority w:val="99"/>
    <w:semiHidden/>
    <w:unhideWhenUsed/>
    <w:rsid w:val="004F0613"/>
    <w:rPr>
      <w:color w:val="605E5C"/>
      <w:shd w:val="clear" w:color="auto" w:fill="E1DFDD"/>
    </w:rPr>
  </w:style>
  <w:style w:type="character" w:customStyle="1" w:styleId="FootnoteCharacters">
    <w:name w:val="Footnote Characters"/>
    <w:basedOn w:val="DefaultParagraphFont"/>
    <w:link w:val="CharCharCharChar"/>
    <w:uiPriority w:val="99"/>
    <w:unhideWhenUsed/>
    <w:qFormat/>
    <w:rsid w:val="004F0613"/>
    <w:rPr>
      <w:vertAlign w:val="superscript"/>
    </w:rPr>
  </w:style>
  <w:style w:type="character" w:customStyle="1" w:styleId="FootnoteAnchor">
    <w:name w:val="Footnote Anchor"/>
    <w:rsid w:val="004F0613"/>
    <w:rPr>
      <w:vertAlign w:val="superscript"/>
    </w:rPr>
  </w:style>
  <w:style w:type="paragraph" w:customStyle="1" w:styleId="CharCharCharChar">
    <w:name w:val="Char Char Char Char"/>
    <w:basedOn w:val="Normal"/>
    <w:next w:val="Normal"/>
    <w:link w:val="FootnoteCharacters"/>
    <w:uiPriority w:val="99"/>
    <w:qFormat/>
    <w:rsid w:val="004F0613"/>
    <w:pPr>
      <w:spacing w:line="240" w:lineRule="exact"/>
    </w:pPr>
    <w:rPr>
      <w:rFonts w:asciiTheme="minorHAnsi" w:hAnsiTheme="minorHAnsi"/>
      <w:kern w:val="2"/>
      <w:sz w:val="22"/>
      <w:vertAlign w:val="superscript"/>
      <w:lang w:val="en-US"/>
      <w14:ligatures w14:val="standardContextual"/>
    </w:rPr>
  </w:style>
  <w:style w:type="character" w:customStyle="1" w:styleId="ListParagraphChar">
    <w:name w:val="List Paragraph Char"/>
    <w:aliases w:val="2 Char,List Paragraph compact Char,Normal bullet 2 Char,Paragraphe de liste 2 Char,Reference list Char,Bullet list Char,Numbered List Char,List Paragraph1 Char,1st level - Bullet List Paragraph Char,Lettre d'introduction Char"/>
    <w:basedOn w:val="DefaultParagraphFont"/>
    <w:link w:val="ListParagraph"/>
    <w:uiPriority w:val="34"/>
    <w:qFormat/>
    <w:locked/>
    <w:rsid w:val="008303B8"/>
    <w:rPr>
      <w:rFonts w:ascii="Times New Roman" w:hAnsi="Times New Roman"/>
      <w:kern w:val="0"/>
      <w:sz w:val="24"/>
      <w:lang w:val="lv-LV"/>
      <w14:ligatures w14:val="none"/>
    </w:rPr>
  </w:style>
  <w:style w:type="paragraph" w:styleId="Header">
    <w:name w:val="header"/>
    <w:basedOn w:val="Normal"/>
    <w:link w:val="HeaderChar"/>
    <w:uiPriority w:val="99"/>
    <w:unhideWhenUsed/>
    <w:rsid w:val="00DC6B76"/>
    <w:pPr>
      <w:tabs>
        <w:tab w:val="center" w:pos="4680"/>
        <w:tab w:val="right" w:pos="9360"/>
      </w:tabs>
    </w:pPr>
  </w:style>
  <w:style w:type="character" w:customStyle="1" w:styleId="HeaderChar">
    <w:name w:val="Header Char"/>
    <w:basedOn w:val="DefaultParagraphFont"/>
    <w:link w:val="Header"/>
    <w:uiPriority w:val="99"/>
    <w:rsid w:val="00DC6B76"/>
    <w:rPr>
      <w:rFonts w:ascii="Times New Roman" w:hAnsi="Times New Roman"/>
      <w:kern w:val="0"/>
      <w:sz w:val="24"/>
      <w:lang w:val="lv-LV"/>
      <w14:ligatures w14:val="none"/>
    </w:rPr>
  </w:style>
  <w:style w:type="paragraph" w:styleId="Footer">
    <w:name w:val="footer"/>
    <w:basedOn w:val="Normal"/>
    <w:link w:val="FooterChar"/>
    <w:uiPriority w:val="99"/>
    <w:unhideWhenUsed/>
    <w:rsid w:val="00DC6B76"/>
    <w:pPr>
      <w:tabs>
        <w:tab w:val="center" w:pos="4680"/>
        <w:tab w:val="right" w:pos="9360"/>
      </w:tabs>
    </w:pPr>
  </w:style>
  <w:style w:type="character" w:customStyle="1" w:styleId="FooterChar">
    <w:name w:val="Footer Char"/>
    <w:basedOn w:val="DefaultParagraphFont"/>
    <w:link w:val="Footer"/>
    <w:uiPriority w:val="99"/>
    <w:rsid w:val="00DC6B76"/>
    <w:rPr>
      <w:rFonts w:ascii="Times New Roman" w:hAnsi="Times New Roman"/>
      <w:kern w:val="0"/>
      <w:sz w:val="24"/>
      <w:lang w:val="lv-LV"/>
      <w14:ligatures w14:val="none"/>
    </w:rPr>
  </w:style>
  <w:style w:type="paragraph" w:styleId="NoSpacing">
    <w:name w:val="No Spacing"/>
    <w:link w:val="NoSpacingChar"/>
    <w:uiPriority w:val="1"/>
    <w:qFormat/>
    <w:rsid w:val="001518DB"/>
    <w:pPr>
      <w:widowControl w:val="0"/>
      <w:spacing w:after="0" w:line="240" w:lineRule="auto"/>
    </w:pPr>
    <w:rPr>
      <w:rFonts w:ascii="Calibri" w:eastAsia="Calibri" w:hAnsi="Calibri" w:cs="Times New Roman"/>
      <w:kern w:val="0"/>
      <w:lang w:val="lv-LV"/>
      <w14:ligatures w14:val="none"/>
    </w:rPr>
  </w:style>
  <w:style w:type="character" w:customStyle="1" w:styleId="NoSpacingChar">
    <w:name w:val="No Spacing Char"/>
    <w:link w:val="NoSpacing"/>
    <w:uiPriority w:val="1"/>
    <w:locked/>
    <w:rsid w:val="001518DB"/>
    <w:rPr>
      <w:rFonts w:ascii="Calibri" w:eastAsia="Calibri" w:hAnsi="Calibri" w:cs="Times New Roman"/>
      <w:kern w:val="0"/>
      <w:lang w:val="lv-LV"/>
      <w14:ligatures w14:val="none"/>
    </w:rPr>
  </w:style>
  <w:style w:type="paragraph" w:styleId="TOCHeading">
    <w:name w:val="TOC Heading"/>
    <w:basedOn w:val="Heading1"/>
    <w:next w:val="Normal"/>
    <w:uiPriority w:val="39"/>
    <w:unhideWhenUsed/>
    <w:qFormat/>
    <w:rsid w:val="00951B2C"/>
    <w:pPr>
      <w:numPr>
        <w:numId w:val="0"/>
      </w:numPr>
      <w:spacing w:after="0" w:line="259" w:lineRule="auto"/>
      <w:jc w:val="left"/>
      <w:outlineLvl w:val="9"/>
    </w:pPr>
    <w:rPr>
      <w:rFonts w:asciiTheme="majorHAnsi" w:hAnsiTheme="majorHAnsi"/>
      <w:b w:val="0"/>
      <w:caps/>
      <w:color w:val="0F4761" w:themeColor="accent1" w:themeShade="BF"/>
      <w:sz w:val="32"/>
      <w:lang w:val="en-US"/>
    </w:rPr>
  </w:style>
  <w:style w:type="paragraph" w:styleId="TOC1">
    <w:name w:val="toc 1"/>
    <w:basedOn w:val="Normal"/>
    <w:next w:val="Normal"/>
    <w:autoRedefine/>
    <w:uiPriority w:val="39"/>
    <w:unhideWhenUsed/>
    <w:rsid w:val="00951B2C"/>
    <w:pPr>
      <w:spacing w:after="100"/>
    </w:pPr>
  </w:style>
  <w:style w:type="paragraph" w:styleId="TOC2">
    <w:name w:val="toc 2"/>
    <w:basedOn w:val="Normal"/>
    <w:next w:val="Normal"/>
    <w:autoRedefine/>
    <w:uiPriority w:val="39"/>
    <w:unhideWhenUsed/>
    <w:rsid w:val="00951B2C"/>
    <w:pPr>
      <w:spacing w:after="100"/>
      <w:ind w:left="240"/>
    </w:pPr>
  </w:style>
  <w:style w:type="character" w:styleId="Emphasis">
    <w:name w:val="Emphasis"/>
    <w:basedOn w:val="DefaultParagraphFont"/>
    <w:uiPriority w:val="20"/>
    <w:qFormat/>
    <w:rsid w:val="00BC229C"/>
    <w:rPr>
      <w:i/>
      <w:iCs/>
    </w:rPr>
  </w:style>
  <w:style w:type="table" w:styleId="TableGrid">
    <w:name w:val="Table Grid"/>
    <w:basedOn w:val="TableNormal"/>
    <w:uiPriority w:val="59"/>
    <w:qFormat/>
    <w:rsid w:val="00BC229C"/>
    <w:pPr>
      <w:spacing w:after="0" w:line="240" w:lineRule="auto"/>
    </w:pPr>
    <w:rPr>
      <w:kern w:val="0"/>
      <w:sz w:val="2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C229C"/>
  </w:style>
  <w:style w:type="character" w:styleId="FollowedHyperlink">
    <w:name w:val="FollowedHyperlink"/>
    <w:basedOn w:val="DefaultParagraphFont"/>
    <w:uiPriority w:val="99"/>
    <w:semiHidden/>
    <w:unhideWhenUsed/>
    <w:rsid w:val="00B661FB"/>
    <w:rPr>
      <w:color w:val="96607D" w:themeColor="followedHyperlink"/>
      <w:u w:val="single"/>
    </w:rPr>
  </w:style>
  <w:style w:type="character" w:styleId="CommentReference">
    <w:name w:val="annotation reference"/>
    <w:basedOn w:val="DefaultParagraphFont"/>
    <w:uiPriority w:val="99"/>
    <w:semiHidden/>
    <w:unhideWhenUsed/>
    <w:rsid w:val="00112B8E"/>
    <w:rPr>
      <w:sz w:val="16"/>
      <w:szCs w:val="16"/>
    </w:rPr>
  </w:style>
  <w:style w:type="paragraph" w:styleId="CommentText">
    <w:name w:val="annotation text"/>
    <w:basedOn w:val="Normal"/>
    <w:link w:val="CommentTextChar"/>
    <w:uiPriority w:val="99"/>
    <w:unhideWhenUsed/>
    <w:rsid w:val="00112B8E"/>
    <w:rPr>
      <w:sz w:val="20"/>
      <w:szCs w:val="20"/>
    </w:rPr>
  </w:style>
  <w:style w:type="character" w:customStyle="1" w:styleId="CommentTextChar">
    <w:name w:val="Comment Text Char"/>
    <w:basedOn w:val="DefaultParagraphFont"/>
    <w:link w:val="CommentText"/>
    <w:uiPriority w:val="99"/>
    <w:rsid w:val="00112B8E"/>
    <w:rPr>
      <w:rFonts w:ascii="Times New Roman" w:hAnsi="Times New Roman"/>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112B8E"/>
    <w:rPr>
      <w:b/>
      <w:bCs/>
    </w:rPr>
  </w:style>
  <w:style w:type="character" w:customStyle="1" w:styleId="CommentSubjectChar">
    <w:name w:val="Comment Subject Char"/>
    <w:basedOn w:val="CommentTextChar"/>
    <w:link w:val="CommentSubject"/>
    <w:uiPriority w:val="99"/>
    <w:semiHidden/>
    <w:rsid w:val="00112B8E"/>
    <w:rPr>
      <w:rFonts w:ascii="Times New Roman" w:hAnsi="Times New Roman"/>
      <w:b/>
      <w:bCs/>
      <w:kern w:val="0"/>
      <w:sz w:val="20"/>
      <w:szCs w:val="2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04948">
      <w:bodyDiv w:val="1"/>
      <w:marLeft w:val="0"/>
      <w:marRight w:val="0"/>
      <w:marTop w:val="0"/>
      <w:marBottom w:val="0"/>
      <w:divBdr>
        <w:top w:val="none" w:sz="0" w:space="0" w:color="auto"/>
        <w:left w:val="none" w:sz="0" w:space="0" w:color="auto"/>
        <w:bottom w:val="none" w:sz="0" w:space="0" w:color="auto"/>
        <w:right w:val="none" w:sz="0" w:space="0" w:color="auto"/>
      </w:divBdr>
    </w:div>
    <w:div w:id="130366422">
      <w:bodyDiv w:val="1"/>
      <w:marLeft w:val="0"/>
      <w:marRight w:val="0"/>
      <w:marTop w:val="0"/>
      <w:marBottom w:val="0"/>
      <w:divBdr>
        <w:top w:val="none" w:sz="0" w:space="0" w:color="auto"/>
        <w:left w:val="none" w:sz="0" w:space="0" w:color="auto"/>
        <w:bottom w:val="none" w:sz="0" w:space="0" w:color="auto"/>
        <w:right w:val="none" w:sz="0" w:space="0" w:color="auto"/>
      </w:divBdr>
    </w:div>
    <w:div w:id="679163738">
      <w:bodyDiv w:val="1"/>
      <w:marLeft w:val="0"/>
      <w:marRight w:val="0"/>
      <w:marTop w:val="0"/>
      <w:marBottom w:val="0"/>
      <w:divBdr>
        <w:top w:val="none" w:sz="0" w:space="0" w:color="auto"/>
        <w:left w:val="none" w:sz="0" w:space="0" w:color="auto"/>
        <w:bottom w:val="none" w:sz="0" w:space="0" w:color="auto"/>
        <w:right w:val="none" w:sz="0" w:space="0" w:color="auto"/>
      </w:divBdr>
    </w:div>
    <w:div w:id="1089085491">
      <w:bodyDiv w:val="1"/>
      <w:marLeft w:val="0"/>
      <w:marRight w:val="0"/>
      <w:marTop w:val="0"/>
      <w:marBottom w:val="0"/>
      <w:divBdr>
        <w:top w:val="none" w:sz="0" w:space="0" w:color="auto"/>
        <w:left w:val="none" w:sz="0" w:space="0" w:color="auto"/>
        <w:bottom w:val="none" w:sz="0" w:space="0" w:color="auto"/>
        <w:right w:val="none" w:sz="0" w:space="0" w:color="auto"/>
      </w:divBdr>
    </w:div>
    <w:div w:id="1287128688">
      <w:bodyDiv w:val="1"/>
      <w:marLeft w:val="0"/>
      <w:marRight w:val="0"/>
      <w:marTop w:val="0"/>
      <w:marBottom w:val="0"/>
      <w:divBdr>
        <w:top w:val="none" w:sz="0" w:space="0" w:color="auto"/>
        <w:left w:val="none" w:sz="0" w:space="0" w:color="auto"/>
        <w:bottom w:val="none" w:sz="0" w:space="0" w:color="auto"/>
        <w:right w:val="none" w:sz="0" w:space="0" w:color="auto"/>
      </w:divBdr>
    </w:div>
    <w:div w:id="1456480275">
      <w:bodyDiv w:val="1"/>
      <w:marLeft w:val="0"/>
      <w:marRight w:val="0"/>
      <w:marTop w:val="0"/>
      <w:marBottom w:val="0"/>
      <w:divBdr>
        <w:top w:val="none" w:sz="0" w:space="0" w:color="auto"/>
        <w:left w:val="none" w:sz="0" w:space="0" w:color="auto"/>
        <w:bottom w:val="none" w:sz="0" w:space="0" w:color="auto"/>
        <w:right w:val="none" w:sz="0" w:space="0" w:color="auto"/>
      </w:divBdr>
      <w:divsChild>
        <w:div w:id="229459505">
          <w:marLeft w:val="0"/>
          <w:marRight w:val="0"/>
          <w:marTop w:val="0"/>
          <w:marBottom w:val="0"/>
          <w:divBdr>
            <w:top w:val="none" w:sz="0" w:space="0" w:color="auto"/>
            <w:left w:val="none" w:sz="0" w:space="0" w:color="auto"/>
            <w:bottom w:val="single" w:sz="6" w:space="0" w:color="D8D8D8"/>
            <w:right w:val="none" w:sz="0" w:space="0" w:color="auto"/>
          </w:divBdr>
          <w:divsChild>
            <w:div w:id="1965309973">
              <w:marLeft w:val="0"/>
              <w:marRight w:val="0"/>
              <w:marTop w:val="0"/>
              <w:marBottom w:val="0"/>
              <w:divBdr>
                <w:top w:val="none" w:sz="0" w:space="0" w:color="auto"/>
                <w:left w:val="none" w:sz="0" w:space="0" w:color="auto"/>
                <w:bottom w:val="none" w:sz="0" w:space="0" w:color="auto"/>
                <w:right w:val="none" w:sz="0" w:space="0" w:color="auto"/>
              </w:divBdr>
              <w:divsChild>
                <w:div w:id="650864797">
                  <w:marLeft w:val="0"/>
                  <w:marRight w:val="0"/>
                  <w:marTop w:val="0"/>
                  <w:marBottom w:val="0"/>
                  <w:divBdr>
                    <w:top w:val="none" w:sz="0" w:space="0" w:color="auto"/>
                    <w:left w:val="none" w:sz="0" w:space="0" w:color="auto"/>
                    <w:bottom w:val="none" w:sz="0" w:space="0" w:color="auto"/>
                    <w:right w:val="none" w:sz="0" w:space="0" w:color="auto"/>
                  </w:divBdr>
                  <w:divsChild>
                    <w:div w:id="786267629">
                      <w:marLeft w:val="0"/>
                      <w:marRight w:val="0"/>
                      <w:marTop w:val="0"/>
                      <w:marBottom w:val="0"/>
                      <w:divBdr>
                        <w:top w:val="none" w:sz="0" w:space="0" w:color="auto"/>
                        <w:left w:val="none" w:sz="0" w:space="0" w:color="auto"/>
                        <w:bottom w:val="none" w:sz="0" w:space="0" w:color="auto"/>
                        <w:right w:val="none" w:sz="0" w:space="0" w:color="auto"/>
                      </w:divBdr>
                      <w:divsChild>
                        <w:div w:id="1477330656">
                          <w:marLeft w:val="0"/>
                          <w:marRight w:val="0"/>
                          <w:marTop w:val="0"/>
                          <w:marBottom w:val="0"/>
                          <w:divBdr>
                            <w:top w:val="none" w:sz="0" w:space="0" w:color="auto"/>
                            <w:left w:val="none" w:sz="0" w:space="0" w:color="auto"/>
                            <w:bottom w:val="none" w:sz="0" w:space="0" w:color="auto"/>
                            <w:right w:val="none" w:sz="0" w:space="0" w:color="auto"/>
                          </w:divBdr>
                          <w:divsChild>
                            <w:div w:id="1270426876">
                              <w:marLeft w:val="0"/>
                              <w:marRight w:val="0"/>
                              <w:marTop w:val="0"/>
                              <w:marBottom w:val="0"/>
                              <w:divBdr>
                                <w:top w:val="none" w:sz="0" w:space="0" w:color="auto"/>
                                <w:left w:val="none" w:sz="0" w:space="0" w:color="auto"/>
                                <w:bottom w:val="none" w:sz="0" w:space="0" w:color="auto"/>
                                <w:right w:val="none" w:sz="0" w:space="0" w:color="auto"/>
                              </w:divBdr>
                              <w:divsChild>
                                <w:div w:id="2000304631">
                                  <w:marLeft w:val="0"/>
                                  <w:marRight w:val="0"/>
                                  <w:marTop w:val="0"/>
                                  <w:marBottom w:val="0"/>
                                  <w:divBdr>
                                    <w:top w:val="none" w:sz="0" w:space="0" w:color="auto"/>
                                    <w:left w:val="none" w:sz="0" w:space="0" w:color="auto"/>
                                    <w:bottom w:val="none" w:sz="0" w:space="0" w:color="auto"/>
                                    <w:right w:val="none" w:sz="0" w:space="0" w:color="auto"/>
                                  </w:divBdr>
                                  <w:divsChild>
                                    <w:div w:id="146684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409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21/1060/oj/?locale=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davis.melnalksnis@varam.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03/1059/oj/?locale=LV" TargetMode="External"/><Relationship Id="rId5" Type="http://schemas.openxmlformats.org/officeDocument/2006/relationships/numbering" Target="numbering.xml"/><Relationship Id="rId15" Type="http://schemas.openxmlformats.org/officeDocument/2006/relationships/hyperlink" Target="mailto:sanita.astica@varam.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_rels/footnotes.xml.rels><?xml version="1.0" encoding="UTF-8" standalone="yes"?>
<Relationships xmlns="http://schemas.openxmlformats.org/package/2006/relationships"><Relationship Id="rId8" Type="http://schemas.openxmlformats.org/officeDocument/2006/relationships/hyperlink" Target="https://www.fm.gov.lv/lv/media/15906/download?attachment" TargetMode="External"/><Relationship Id="rId3" Type="http://schemas.openxmlformats.org/officeDocument/2006/relationships/hyperlink" Target="https://www.europarl.europa.eu/factsheets/lv/sheet/99/kopeja-statistiski-teritorialo-vienibu-klasifikacija-nuts-" TargetMode="External"/><Relationship Id="rId7" Type="http://schemas.openxmlformats.org/officeDocument/2006/relationships/hyperlink" Target="https://www.mfa.gov.lv/lv/media/11463/download?attachment" TargetMode="External"/><Relationship Id="rId2" Type="http://schemas.openxmlformats.org/officeDocument/2006/relationships/hyperlink" Target="https://eur-lex.europa.eu/legal-content/LV/TXT/?uri=CELEX%3A02003R1059-20240101" TargetMode="External"/><Relationship Id="rId1" Type="http://schemas.openxmlformats.org/officeDocument/2006/relationships/hyperlink" Target="https://likumi.lv/ta/id/349266-par-valdibas-ricibas-planu-deklaracijas-par-evikas-silinas-vadita-ministru-kabineta-iecereto-darbibu-istenosanai" TargetMode="External"/><Relationship Id="rId6" Type="http://schemas.openxmlformats.org/officeDocument/2006/relationships/hyperlink" Target="https://likumi.lv/ta/id/195056-vecako-amatpersonu-sanaksmes-eiropas-savienibas-jautajumos-nolikums" TargetMode="External"/><Relationship Id="rId5" Type="http://schemas.openxmlformats.org/officeDocument/2006/relationships/hyperlink" Target="https://www.pkc.gov.lv/sites/default/files/inline-files/NAP2027_apstiprin&#257;ts%20Saeim&#257;_1.pdf" TargetMode="External"/><Relationship Id="rId4" Type="http://schemas.openxmlformats.org/officeDocument/2006/relationships/hyperlink" Target="https://ec.europa.eu/eurostat/databrowser/view/tec00114/default/tabl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avis\Downloads\tec00114_page_spreadshee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604204485852425E-2"/>
          <c:y val="5.3088803088803087E-2"/>
          <c:w val="0.91356948300117813"/>
          <c:h val="0.65778129085215697"/>
        </c:manualLayout>
      </c:layout>
      <c:lineChart>
        <c:grouping val="standard"/>
        <c:varyColors val="0"/>
        <c:ser>
          <c:idx val="0"/>
          <c:order val="0"/>
          <c:tx>
            <c:strRef>
              <c:f>'Sheet 1'!$B$63</c:f>
              <c:strCache>
                <c:ptCount val="1"/>
                <c:pt idx="0">
                  <c:v>Latvijas IKP uz 1 iedzīvotāju īpatsvars pret vidējo IKP uz 1 iedzīvotāju ES-27 valstīs,%</c:v>
                </c:pt>
              </c:strCache>
            </c:strRef>
          </c:tx>
          <c:spPr>
            <a:ln w="38100" cap="rnd">
              <a:solidFill>
                <a:srgbClr val="00B050"/>
              </a:solidFill>
              <a:round/>
            </a:ln>
            <a:effectLst/>
          </c:spPr>
          <c:marker>
            <c:symbol val="none"/>
          </c:marker>
          <c:dLbls>
            <c:dLbl>
              <c:idx val="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643-47ED-BD01-70BDF8DA20C2}"/>
                </c:ext>
              </c:extLst>
            </c:dLbl>
            <c:dLbl>
              <c:idx val="1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643-47ED-BD01-70BDF8DA20C2}"/>
                </c:ext>
              </c:extLst>
            </c:dLbl>
            <c:dLbl>
              <c:idx val="11"/>
              <c:tx>
                <c:rich>
                  <a:bodyPr rot="0" spcFirstLastPara="1" vertOverflow="ellipsis" vert="horz" wrap="square" anchor="ctr" anchorCtr="1"/>
                  <a:lstStyle/>
                  <a:p>
                    <a:pPr>
                      <a:defRPr sz="1050" b="1" i="1" u="none" strike="noStrike" kern="1200" baseline="0">
                        <a:solidFill>
                          <a:schemeClr val="tx1"/>
                        </a:solidFill>
                        <a:latin typeface="Times New Roman" panose="02020603050405020304" pitchFamily="18" charset="0"/>
                        <a:ea typeface="+mn-ea"/>
                        <a:cs typeface="Times New Roman" panose="02020603050405020304" pitchFamily="18" charset="0"/>
                      </a:defRPr>
                    </a:pPr>
                    <a:fld id="{F8E5ADF9-2812-46B5-A961-09A5DFE6E17C}" type="VALUE">
                      <a:rPr lang="en-US" i="1"/>
                      <a:pPr>
                        <a:defRPr sz="1050" b="1" i="1"/>
                      </a:pPr>
                      <a:t>[VALUE]</a:t>
                    </a:fld>
                    <a:r>
                      <a:rPr lang="en-US" i="1"/>
                      <a:t>*</a:t>
                    </a:r>
                  </a:p>
                </c:rich>
              </c:tx>
              <c:spPr>
                <a:solidFill>
                  <a:srgbClr val="92D050">
                    <a:alpha val="80000"/>
                  </a:srgbClr>
                </a:solidFill>
                <a:ln>
                  <a:noFill/>
                </a:ln>
                <a:effectLst/>
              </c:spPr>
              <c:txPr>
                <a:bodyPr rot="0" spcFirstLastPara="1" vertOverflow="ellipsis" vert="horz" wrap="square" anchor="ctr" anchorCtr="1"/>
                <a:lstStyle/>
                <a:p>
                  <a:pPr>
                    <a:defRPr sz="105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5643-47ED-BD01-70BDF8DA20C2}"/>
                </c:ext>
              </c:extLst>
            </c:dLbl>
            <c:spPr>
              <a:solidFill>
                <a:srgbClr val="92D050">
                  <a:alpha val="80000"/>
                </a:srgbClr>
              </a:solid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1'!$C$62:$N$62</c:f>
              <c:strCach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strCache>
            </c:strRef>
          </c:cat>
          <c:val>
            <c:numRef>
              <c:f>'Sheet 1'!$C$63:$N$63</c:f>
              <c:numCache>
                <c:formatCode>0%</c:formatCode>
                <c:ptCount val="12"/>
                <c:pt idx="0">
                  <c:v>0.61</c:v>
                </c:pt>
                <c:pt idx="1">
                  <c:v>0.63</c:v>
                </c:pt>
                <c:pt idx="2">
                  <c:v>0.64</c:v>
                </c:pt>
                <c:pt idx="3">
                  <c:v>0.65</c:v>
                </c:pt>
                <c:pt idx="4">
                  <c:v>0.66</c:v>
                </c:pt>
                <c:pt idx="5">
                  <c:v>0.67</c:v>
                </c:pt>
                <c:pt idx="6">
                  <c:v>0.69</c:v>
                </c:pt>
                <c:pt idx="7">
                  <c:v>0.69</c:v>
                </c:pt>
                <c:pt idx="8">
                  <c:v>0.72</c:v>
                </c:pt>
                <c:pt idx="9">
                  <c:v>0.71</c:v>
                </c:pt>
                <c:pt idx="10">
                  <c:v>0.73</c:v>
                </c:pt>
                <c:pt idx="11">
                  <c:v>0.71</c:v>
                </c:pt>
              </c:numCache>
            </c:numRef>
          </c:val>
          <c:smooth val="0"/>
          <c:extLst>
            <c:ext xmlns:c16="http://schemas.microsoft.com/office/drawing/2014/chart" uri="{C3380CC4-5D6E-409C-BE32-E72D297353CC}">
              <c16:uniqueId val="{00000003-5643-47ED-BD01-70BDF8DA20C2}"/>
            </c:ext>
          </c:extLst>
        </c:ser>
        <c:ser>
          <c:idx val="1"/>
          <c:order val="1"/>
          <c:tx>
            <c:strRef>
              <c:f>'Sheet 1'!$B$64</c:f>
              <c:strCache>
                <c:ptCount val="1"/>
                <c:pt idx="0">
                  <c:v>"Pārejas reģionu" slieksnis - IKP uz 1 iedzīvotāju ir no 75% līdz 100% no vidējā IKP uz 1 iedzīvotāju ES-27 valstīs</c:v>
                </c:pt>
              </c:strCache>
            </c:strRef>
          </c:tx>
          <c:spPr>
            <a:ln w="38100" cap="rnd">
              <a:solidFill>
                <a:srgbClr val="C00000"/>
              </a:solidFill>
              <a:round/>
            </a:ln>
            <a:effectLst/>
          </c:spPr>
          <c:marker>
            <c:symbol val="none"/>
          </c:marker>
          <c:cat>
            <c:strRef>
              <c:f>'Sheet 1'!$C$62:$N$62</c:f>
              <c:strCach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strCache>
            </c:strRef>
          </c:cat>
          <c:val>
            <c:numRef>
              <c:f>'Sheet 1'!$C$64:$N$64</c:f>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c:ext xmlns:c16="http://schemas.microsoft.com/office/drawing/2014/chart" uri="{C3380CC4-5D6E-409C-BE32-E72D297353CC}">
              <c16:uniqueId val="{00000004-5643-47ED-BD01-70BDF8DA20C2}"/>
            </c:ext>
          </c:extLst>
        </c:ser>
        <c:dLbls>
          <c:showLegendKey val="0"/>
          <c:showVal val="0"/>
          <c:showCatName val="0"/>
          <c:showSerName val="0"/>
          <c:showPercent val="0"/>
          <c:showBubbleSize val="0"/>
        </c:dLbls>
        <c:smooth val="0"/>
        <c:axId val="348341768"/>
        <c:axId val="348345368"/>
      </c:lineChart>
      <c:catAx>
        <c:axId val="348341768"/>
        <c:scaling>
          <c:orientation val="minMax"/>
        </c:scaling>
        <c:delete val="0"/>
        <c:axPos val="b"/>
        <c:numFmt formatCode="General" sourceLinked="1"/>
        <c:majorTickMark val="none"/>
        <c:minorTickMark val="cross"/>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48345368"/>
        <c:crosses val="autoZero"/>
        <c:auto val="1"/>
        <c:lblAlgn val="ctr"/>
        <c:lblOffset val="100"/>
        <c:noMultiLvlLbl val="0"/>
      </c:catAx>
      <c:valAx>
        <c:axId val="348345368"/>
        <c:scaling>
          <c:orientation val="minMax"/>
          <c:min val="0.55000000000000004"/>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48341768"/>
        <c:crosses val="autoZero"/>
        <c:crossBetween val="between"/>
      </c:valAx>
      <c:spPr>
        <a:noFill/>
        <a:ln>
          <a:noFill/>
        </a:ln>
        <a:effectLst/>
      </c:spPr>
    </c:plotArea>
    <c:legend>
      <c:legendPos val="b"/>
      <c:layout>
        <c:manualLayout>
          <c:xMode val="edge"/>
          <c:yMode val="edge"/>
          <c:x val="1.1976869772374115E-3"/>
          <c:y val="0.85614980217025116"/>
          <c:w val="0.99593750459549046"/>
          <c:h val="0.135011632068718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6" ma:contentTypeDescription="Izveidot jaunu dokumentu." ma:contentTypeScope="" ma:versionID="eb118a2c589208f0e20fd95cd73f1a77">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9e5dcbc519a2436c3eae95d94feb4bd8"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xsi:nil="true"/>
    <SharedWithUsers xmlns="f7e7d789-9268-4b55-8873-a73e5b415d66">
      <UserInfo>
        <DisplayName>Sanita Astiča</DisplayName>
        <AccountId>88</AccountId>
        <AccountType/>
      </UserInfo>
      <UserInfo>
        <DisplayName>Jevgēnija Butņicka</DisplayName>
        <AccountId>18</AccountId>
        <AccountType/>
      </UserInfo>
      <UserInfo>
        <DisplayName>Dāvis Melnalksnis</DisplayName>
        <AccountId>27</AccountId>
        <AccountType/>
      </UserInfo>
      <UserInfo>
        <DisplayName>Madars Laurs</DisplayName>
        <AccountId>44</AccountId>
        <AccountType/>
      </UserInfo>
      <UserInfo>
        <DisplayName>Olga Paipala</DisplayName>
        <AccountId>135</AccountId>
        <AccountType/>
      </UserInfo>
      <UserInfo>
        <DisplayName>Ilze Oša</DisplayName>
        <AccountId>41</AccountId>
        <AccountType/>
      </UserInfo>
      <UserInfo>
        <DisplayName>Andris Eglītis</DisplayName>
        <AccountId>25</AccountId>
        <AccountType/>
      </UserInfo>
      <UserInfo>
        <DisplayName>Jānis Ilgavižs</DisplayName>
        <AccountId>28</AccountId>
        <AccountType/>
      </UserInfo>
      <UserInfo>
        <DisplayName>Indra Ciukša</DisplayName>
        <AccountId>24</AccountId>
        <AccountType/>
      </UserInfo>
      <UserInfo>
        <DisplayName>Zigmārs Erts</DisplayName>
        <AccountId>34</AccountId>
        <AccountType/>
      </UserInfo>
      <UserInfo>
        <DisplayName>Ilze Jureviča</DisplayName>
        <AccountId>37</AccountId>
        <AccountType/>
      </UserInfo>
      <UserInfo>
        <DisplayName>Ieva Strode</DisplayName>
        <AccountId>140</AccountId>
        <AccountType/>
      </UserInfo>
      <UserInfo>
        <DisplayName>Kurts  Auza</DisplayName>
        <AccountId>30</AccountId>
        <AccountType/>
      </UserInfo>
      <UserInfo>
        <DisplayName>Anita Veikina</DisplayName>
        <AccountId>43</AccountId>
        <AccountType/>
      </UserInfo>
      <UserInfo>
        <DisplayName>Anete Apsīte</DisplayName>
        <AccountId>730</AccountId>
        <AccountType/>
      </UserInfo>
      <UserInfo>
        <DisplayName>Mārtiņš Vērdiņš</DisplayName>
        <AccountId>755</AccountId>
        <AccountType/>
      </UserInfo>
      <UserInfo>
        <DisplayName>Ilze Sniega Sniedziņa</DisplayName>
        <AccountId>22</AccountId>
        <AccountType/>
      </UserInfo>
    </SharedWithUsers>
  </documentManagement>
</p:properties>
</file>

<file path=customXml/itemProps1.xml><?xml version="1.0" encoding="utf-8"?>
<ds:datastoreItem xmlns:ds="http://schemas.openxmlformats.org/officeDocument/2006/customXml" ds:itemID="{F469F92A-6808-46A0-A270-446C479D8359}">
  <ds:schemaRefs>
    <ds:schemaRef ds:uri="http://schemas.microsoft.com/sharepoint/v3/contenttype/forms"/>
  </ds:schemaRefs>
</ds:datastoreItem>
</file>

<file path=customXml/itemProps2.xml><?xml version="1.0" encoding="utf-8"?>
<ds:datastoreItem xmlns:ds="http://schemas.openxmlformats.org/officeDocument/2006/customXml" ds:itemID="{26E5E8D1-8052-4142-B61C-54CEA717F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2D5A5-99DC-482E-81AA-FFB3C1FB7E78}">
  <ds:schemaRefs>
    <ds:schemaRef ds:uri="http://schemas.openxmlformats.org/officeDocument/2006/bibliography"/>
  </ds:schemaRefs>
</ds:datastoreItem>
</file>

<file path=customXml/itemProps4.xml><?xml version="1.0" encoding="utf-8"?>
<ds:datastoreItem xmlns:ds="http://schemas.openxmlformats.org/officeDocument/2006/customXml" ds:itemID="{D0CCAC3F-C6A3-482F-959A-544C1038C433}">
  <ds:schemaRefs>
    <ds:schemaRef ds:uri="http://schemas.microsoft.com/office/2006/metadata/properties"/>
    <ds:schemaRef ds:uri="http://schemas.microsoft.com/office/infopath/2007/PartnerControls"/>
    <ds:schemaRef ds:uri="2048be11-5002-450c-8e3b-782732941017"/>
    <ds:schemaRef ds:uri="f7e7d789-9268-4b55-8873-a73e5b415d6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9215</Words>
  <Characters>5253</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Informatīvais ziņojums “Par kopējas statistiski teritoriālo vienību (NUTS) klasifikācijas pilnveidošanu”</vt:lpstr>
    </vt:vector>
  </TitlesOfParts>
  <Company>Vides aizsardzības un reģionālās attīstības ministrija</Company>
  <LinksUpToDate>false</LinksUpToDate>
  <CharactersWithSpaces>14440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kopējas statistiski teritoriālo vienību (NUTS) klasifikācijas pilnveidošanu”</dc:title>
  <dc:subject>Informatīvais ziņojums</dc:subject>
  <dc:creator>Dāvis Melnalksnis</dc:creator>
  <cp:keywords/>
  <dc:description>Sanita Astiča
67026926
Vides aizsardzības un 
reģionālās attīstības ministrijas
Valsts ilgtspējīgas attīstības plānošanas departamenta
Teritoriju attīstības izvērtēšanas nodaļas vecākā eksperte
Sanita.Astica@varam.gov.lv</dc:description>
  <cp:lastModifiedBy>Ilze Sniega Sniedziņa</cp:lastModifiedBy>
  <cp:revision>2</cp:revision>
  <dcterms:created xsi:type="dcterms:W3CDTF">2024-07-09T07:41:00Z</dcterms:created>
  <dcterms:modified xsi:type="dcterms:W3CDTF">2024-07-09T07:41:00Z</dcterms:modified>
  <cp:category>Reģionālā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