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2F332C" w:rsidRDefault="002F332C" w14:paraId="67DA9CF0" w14:textId="77777777">
      <w:pPr>
        <w:ind w:right="4819"/>
        <w:rPr>
          <w:rFonts w:ascii="Times New Roman" w:hAnsi="Times New Roman"/>
          <w:sz w:val="24"/>
          <w:szCs w:val="24"/>
          <w:lang w:val="lv-LV"/>
        </w:rPr>
      </w:pPr>
    </w:p>
    <w:p w:rsidR="00BD3E7C" w:rsidP="002F332C" w:rsidRDefault="007D45A8" w14:paraId="44F8FDE3" w14:textId="197166D8">
      <w:pPr>
        <w:pStyle w:val="naisf"/>
        <w:spacing w:before="0" w:after="0"/>
        <w:ind w:firstLine="0"/>
        <w:rPr>
          <w:i/>
          <w:iCs/>
        </w:rPr>
      </w:pPr>
      <w:r w:rsidRPr="007D45A8">
        <w:rPr>
          <w:i/>
          <w:iCs/>
        </w:rPr>
        <w:t xml:space="preserve">Par </w:t>
      </w:r>
      <w:r w:rsidR="00116CD2">
        <w:rPr>
          <w:i/>
          <w:iCs/>
        </w:rPr>
        <w:t xml:space="preserve">Latvijas </w:t>
      </w:r>
      <w:r w:rsidRPr="00DF0C6F" w:rsidR="00DF0C6F">
        <w:rPr>
          <w:i/>
          <w:iCs/>
        </w:rPr>
        <w:t>Republikas nacionāl</w:t>
      </w:r>
      <w:r w:rsidR="00DF0C6F">
        <w:rPr>
          <w:i/>
          <w:iCs/>
        </w:rPr>
        <w:t>o</w:t>
      </w:r>
      <w:r w:rsidRPr="00DF0C6F" w:rsidR="00DF0C6F">
        <w:rPr>
          <w:i/>
          <w:iCs/>
        </w:rPr>
        <w:t xml:space="preserve"> pozīcij</w:t>
      </w:r>
      <w:r w:rsidR="00DF0C6F">
        <w:rPr>
          <w:i/>
          <w:iCs/>
        </w:rPr>
        <w:t>u</w:t>
      </w:r>
      <w:r w:rsidRPr="00DF0C6F" w:rsidR="00DF0C6F">
        <w:rPr>
          <w:i/>
          <w:iCs/>
        </w:rPr>
        <w:t xml:space="preserve"> Nr. 1 “Par Reģionālo kopējo interešu projektu un savstarpēju interešu projektu sarakstu – elektroenerģija, </w:t>
      </w:r>
      <w:proofErr w:type="spellStart"/>
      <w:r w:rsidRPr="00DF0C6F" w:rsidR="00DF0C6F">
        <w:rPr>
          <w:i/>
          <w:iCs/>
        </w:rPr>
        <w:t>atkrastes</w:t>
      </w:r>
      <w:proofErr w:type="spellEnd"/>
      <w:r w:rsidRPr="00DF0C6F" w:rsidR="00DF0C6F">
        <w:rPr>
          <w:i/>
          <w:iCs/>
        </w:rPr>
        <w:t xml:space="preserve"> elektrotīkli, ūdeņradis un </w:t>
      </w:r>
      <w:proofErr w:type="spellStart"/>
      <w:r w:rsidRPr="00DF0C6F" w:rsidR="00DF0C6F">
        <w:rPr>
          <w:i/>
          <w:iCs/>
        </w:rPr>
        <w:t>elektrolīzeri</w:t>
      </w:r>
      <w:proofErr w:type="spellEnd"/>
      <w:r w:rsidRPr="00DF0C6F" w:rsidR="00DF0C6F">
        <w:rPr>
          <w:i/>
          <w:iCs/>
        </w:rPr>
        <w:t xml:space="preserve">, viedie elektrotīkli, gāzes viedie tīkli, oglekļa dioksīda pārrobežu tīkli saskaņā Eiropas Parlamenta un Padomes Regulai (ES) 2022/869 (2022. gada 30. maijs) par Eiropas </w:t>
      </w:r>
      <w:proofErr w:type="spellStart"/>
      <w:r w:rsidRPr="00DF0C6F" w:rsidR="00DF0C6F">
        <w:rPr>
          <w:i/>
          <w:iCs/>
        </w:rPr>
        <w:t>energoinfrastruktūras</w:t>
      </w:r>
      <w:proofErr w:type="spellEnd"/>
      <w:r w:rsidRPr="00DF0C6F" w:rsidR="00DF0C6F">
        <w:rPr>
          <w:i/>
          <w:iCs/>
        </w:rPr>
        <w:t xml:space="preserve"> pamatnostādnēm un ar ko groza Regulas (EK) Nr. 715/2009, (ES) 2019/942 un (ES) 2019/943 un Direktīvas 2009/73/EK un (ES) 2019/944 un atceļ Regulu (ES) Nr. 347/2013”</w:t>
      </w:r>
      <w:r w:rsidR="006C1418">
        <w:rPr>
          <w:i/>
          <w:iCs/>
        </w:rPr>
        <w:t xml:space="preserve"> </w:t>
      </w:r>
    </w:p>
    <w:p w:rsidRPr="00AE5A28" w:rsidR="007D45A8" w:rsidP="002F332C" w:rsidRDefault="007D45A8" w14:paraId="55E23632" w14:textId="77777777">
      <w:pPr>
        <w:pStyle w:val="naisf"/>
        <w:spacing w:before="0" w:after="0"/>
        <w:ind w:firstLine="0"/>
      </w:pPr>
    </w:p>
    <w:p w:rsidRPr="00AE5A28" w:rsidR="002F332C" w:rsidP="002F332C" w:rsidRDefault="002F332C" w14:paraId="44F0E5C6" w14:textId="3B8F5A6B">
      <w:pPr>
        <w:pStyle w:val="naisf"/>
        <w:spacing w:before="0" w:after="0"/>
        <w:ind w:firstLine="0"/>
      </w:pPr>
      <w:r w:rsidRPr="00AE5A28">
        <w:t>Pamatojoties uz Ministru kabineta 2021. gada 7. septembra noteikumu Nr. 606 “Ministru kabineta kārtības rullis” 113.8. punktu</w:t>
      </w:r>
      <w:r w:rsidR="006629FE">
        <w:t xml:space="preserve"> </w:t>
      </w:r>
      <w:r w:rsidRPr="006629FE" w:rsidR="006629FE">
        <w:t>un Ministru kabineta 2009. gada 3. februāra noteikumu Nr. 96 “Kārtība, kādā izstrādā, saskaņo, apstiprina un aktualizē Latvijas Republikas nacionālās pozīcijas Eiropas Savienības jautājumos” 12.1. un 21.1.1. apakšpunktu</w:t>
      </w:r>
      <w:r w:rsidRPr="00AE5A28">
        <w:t xml:space="preserve">, Klimata un enerģētikas ministrija ir izstrādājusi </w:t>
      </w:r>
      <w:r w:rsidRPr="00140076" w:rsidR="00140076">
        <w:t>Latvijas Republikas nacionālo pozīciju Nr.</w:t>
      </w:r>
      <w:r w:rsidR="00B51290">
        <w:t xml:space="preserve"> </w:t>
      </w:r>
      <w:r w:rsidRPr="00140076" w:rsidR="00140076">
        <w:t>1</w:t>
      </w:r>
      <w:r w:rsidR="00140076">
        <w:t xml:space="preserve"> “</w:t>
      </w:r>
      <w:r w:rsidRPr="00B51290" w:rsidR="00B51290">
        <w:t xml:space="preserve">Par Reģionālo kopējo interešu projektu un savstarpēju interešu projektu sarakstu – elektroenerģija, </w:t>
      </w:r>
      <w:proofErr w:type="spellStart"/>
      <w:r w:rsidRPr="00B51290" w:rsidR="00B51290">
        <w:t>atkrastes</w:t>
      </w:r>
      <w:proofErr w:type="spellEnd"/>
      <w:r w:rsidRPr="00B51290" w:rsidR="00B51290">
        <w:t xml:space="preserve"> elektrotīkli, ūdeņradis un </w:t>
      </w:r>
      <w:proofErr w:type="spellStart"/>
      <w:r w:rsidRPr="00B51290" w:rsidR="00B51290">
        <w:t>elektrolīzeri</w:t>
      </w:r>
      <w:proofErr w:type="spellEnd"/>
      <w:r w:rsidRPr="00B51290" w:rsidR="00B51290">
        <w:t xml:space="preserve">, viedie elektrotīkli, gāzes viedie tīkli, oglekļa dioksīda pārrobežu tīkli saskaņā Eiropas Parlamenta un Padomes Regulai (ES) 2022/869 (2022. gada 30. maijs) par Eiropas </w:t>
      </w:r>
      <w:proofErr w:type="spellStart"/>
      <w:r w:rsidRPr="00B51290" w:rsidR="00B51290">
        <w:t>energoinfrastruktūras</w:t>
      </w:r>
      <w:proofErr w:type="spellEnd"/>
      <w:r w:rsidRPr="00B51290" w:rsidR="00B51290">
        <w:t xml:space="preserve"> pamatnostādnēm un ar ko groza Regulas (EK) Nr. 715/2009, (ES) 2019/942 un (ES) 2019/943 un Direktīvas 2009/73/EK un (ES) 2019/944 un atceļ Regulu (ES) Nr. 347/2013</w:t>
      </w:r>
      <w:r w:rsidR="00B51290">
        <w:t xml:space="preserve">” (turpmāk – </w:t>
      </w:r>
      <w:r w:rsidR="001707F9">
        <w:t>p</w:t>
      </w:r>
      <w:r w:rsidR="00B51290">
        <w:t>ozīcija)</w:t>
      </w:r>
      <w:r w:rsidRPr="00AE5A28">
        <w:t xml:space="preserve">, un iesniedz </w:t>
      </w:r>
      <w:r w:rsidR="003A0BBA">
        <w:t xml:space="preserve">to </w:t>
      </w:r>
      <w:r w:rsidRPr="00AE5A28">
        <w:t>izskatīšanai Ministru kabineta sēdē.</w:t>
      </w:r>
      <w:r w:rsidR="00B730CC">
        <w:t xml:space="preserve"> </w:t>
      </w:r>
      <w:r w:rsidR="006C3B22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49"/>
        <w:gridCol w:w="277"/>
        <w:gridCol w:w="2612"/>
        <w:gridCol w:w="374"/>
        <w:gridCol w:w="5218"/>
      </w:tblGrid>
      <w:tr w:rsidRPr="00AE5A28" w:rsidR="002F332C" w:rsidTr="00AD5BF9" w14:paraId="48AC09D6" w14:textId="77777777">
        <w:trPr>
          <w:trHeight w:val="55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2847" w:type="dxa"/>
            <w:gridSpan w:val="2"/>
            <w:shd w:val="clear" w:color="auto" w:fill="auto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633" w:type="dxa"/>
            <w:gridSpan w:val="2"/>
            <w:shd w:val="clear" w:color="auto" w:fill="auto"/>
            <w:hideMark/>
          </w:tcPr>
          <w:p w:rsidRPr="00AE5A28" w:rsidR="002F332C" w:rsidP="002F332C" w:rsidRDefault="002F332C" w14:paraId="5CBFE473" w14:textId="2BDAA6B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7.septembra noteikumu  Nr. 606 “Ministru kabineta kārtības rullis” 113.8. punkts</w:t>
            </w:r>
            <w:r w:rsidR="008525A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8525AD" w:rsidR="008525AD">
              <w:rPr>
                <w:rFonts w:ascii="Times New Roman" w:hAnsi="Times New Roman"/>
                <w:sz w:val="24"/>
                <w:szCs w:val="24"/>
                <w:lang w:val="lv-LV"/>
              </w:rPr>
              <w:t>un Ministru kabineta 2009. gada 3. februāra noteikumu Nr. 96 “Kārtība, kādā izstrādā, saskaņo, apstiprina un aktualizē Latvijas Republikas nacionālās pozīcijas Eiropas Savienības jautājumos” 12.1. un 21.1.1. apakšpunkt</w:t>
            </w:r>
            <w:r w:rsidR="008525AD">
              <w:rPr>
                <w:rFonts w:ascii="Times New Roman" w:hAnsi="Times New Roman"/>
                <w:sz w:val="24"/>
                <w:szCs w:val="24"/>
                <w:lang w:val="lv-LV"/>
              </w:rPr>
              <w:t>s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AE5A28" w:rsidR="002F332C" w:rsidTr="00AD5BF9" w14:paraId="14965B83" w14:textId="77777777">
        <w:trPr>
          <w:trHeight w:val="536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2847" w:type="dxa"/>
            <w:gridSpan w:val="2"/>
            <w:shd w:val="clear" w:color="auto" w:fill="auto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5633" w:type="dxa"/>
            <w:gridSpan w:val="2"/>
            <w:tcBorders>
              <w:bottom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AE5A28" w:rsidR="002F332C" w:rsidTr="00AD5BF9" w14:paraId="7BF15319" w14:textId="77777777">
        <w:trPr>
          <w:trHeight w:val="536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674165C9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3.</w:t>
            </w:r>
          </w:p>
        </w:tc>
        <w:tc>
          <w:tcPr>
            <w:tcW w:w="2847" w:type="dxa"/>
            <w:gridSpan w:val="2"/>
            <w:shd w:val="clear" w:color="auto" w:fill="auto"/>
          </w:tcPr>
          <w:p w:rsidRPr="00AE5A28" w:rsidR="002F332C" w:rsidP="002F332C" w:rsidRDefault="002F332C" w14:paraId="52EACEDF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2F332C" w:rsidP="002F332C" w:rsidRDefault="002F332C" w14:paraId="150F2EB6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633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:rsidRPr="004C3501" w:rsidR="002F332C" w:rsidP="004C3501" w:rsidRDefault="002F332C" w14:paraId="2DA05BDF" w14:textId="1E6C70EB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Klimata un enerģētikas ministrijas sagatavot</w:t>
            </w:r>
            <w:r w:rsidR="001707F9">
              <w:rPr>
                <w:rFonts w:ascii="Times New Roman" w:hAnsi="Times New Roman"/>
                <w:sz w:val="24"/>
                <w:szCs w:val="24"/>
                <w:lang w:val="lv-LV"/>
              </w:rPr>
              <w:t>ā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1707F9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pozīcija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</w:t>
            </w:r>
            <w:r w:rsidR="00AC6EB0">
              <w:rPr>
                <w:rFonts w:ascii="Times New Roman" w:hAnsi="Times New Roman"/>
                <w:sz w:val="24"/>
                <w:szCs w:val="24"/>
                <w:lang w:val="lv-LV"/>
              </w:rPr>
              <w:t>nosūtīta saskaņošanai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2023. gada </w:t>
            </w:r>
            <w:r w:rsidR="001707F9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="00FF3349">
              <w:rPr>
                <w:rFonts w:ascii="Times New Roman" w:hAnsi="Times New Roman"/>
                <w:sz w:val="24"/>
                <w:szCs w:val="24"/>
                <w:lang w:val="lv-LV"/>
              </w:rPr>
              <w:t>0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7F5DCF">
              <w:rPr>
                <w:rFonts w:ascii="Times New Roman" w:hAnsi="Times New Roman"/>
                <w:sz w:val="24"/>
                <w:szCs w:val="24"/>
                <w:lang w:val="lv-LV"/>
              </w:rPr>
              <w:t>oktobrī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ESVIS sistēmā ar </w:t>
            </w:r>
            <w:r w:rsidRPr="00DF2C06">
              <w:rPr>
                <w:rFonts w:ascii="Times New Roman" w:hAnsi="Times New Roman"/>
                <w:sz w:val="24"/>
                <w:szCs w:val="24"/>
                <w:lang w:val="lv-LV"/>
              </w:rPr>
              <w:t>Ārlietu ministriju</w:t>
            </w:r>
            <w:r w:rsidR="00707FAD">
              <w:rPr>
                <w:rFonts w:ascii="Times New Roman" w:hAnsi="Times New Roman"/>
                <w:sz w:val="24"/>
                <w:szCs w:val="24"/>
                <w:lang w:val="lv-LV"/>
              </w:rPr>
              <w:t>, Finanšu ministriju</w:t>
            </w:r>
            <w:r w:rsidR="0076249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Satiksmes ministriju</w:t>
            </w:r>
            <w:r w:rsidR="0045748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Pr="00E27CBE" w:rsidR="00E27CBE">
              <w:rPr>
                <w:rFonts w:ascii="Times New Roman" w:hAnsi="Times New Roman"/>
                <w:sz w:val="24"/>
                <w:szCs w:val="24"/>
                <w:lang w:val="lv-LV"/>
              </w:rPr>
              <w:t>Ārlietu ministrija sākotnēji nesaskaņoja</w:t>
            </w:r>
            <w:r w:rsidR="00E27CB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pozīciju</w:t>
            </w:r>
            <w:r w:rsidR="000C285E">
              <w:rPr>
                <w:rFonts w:ascii="Times New Roman" w:hAnsi="Times New Roman"/>
                <w:sz w:val="24"/>
                <w:szCs w:val="24"/>
                <w:lang w:val="lv-LV"/>
              </w:rPr>
              <w:t>,</w:t>
            </w:r>
            <w:r w:rsidR="00E27CB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0C285E" w:rsidR="000C285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sniedzot komentārus un priekšlikumus, bet saskaņoja </w:t>
            </w:r>
            <w:r w:rsidR="000C285E">
              <w:rPr>
                <w:rFonts w:ascii="Times New Roman" w:hAnsi="Times New Roman"/>
                <w:sz w:val="24"/>
                <w:szCs w:val="24"/>
                <w:lang w:val="lv-LV"/>
              </w:rPr>
              <w:t>pozīciju</w:t>
            </w:r>
            <w:r w:rsidRPr="000C285E" w:rsidR="000C285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atkārtotās saskaņošanas laikā</w:t>
            </w:r>
            <w:r w:rsidR="000C285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2023. gada 23. oktobrī</w:t>
            </w:r>
            <w:r w:rsidRPr="000C285E" w:rsidR="000C285E">
              <w:rPr>
                <w:rFonts w:ascii="Times New Roman" w:hAnsi="Times New Roman"/>
                <w:sz w:val="24"/>
                <w:szCs w:val="24"/>
                <w:lang w:val="lv-LV"/>
              </w:rPr>
              <w:t>,</w:t>
            </w:r>
            <w:r w:rsidR="000C285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0C285E" w:rsidR="000C285E">
              <w:rPr>
                <w:rFonts w:ascii="Times New Roman" w:hAnsi="Times New Roman"/>
                <w:sz w:val="24"/>
                <w:szCs w:val="24"/>
                <w:lang w:val="lv-LV"/>
              </w:rPr>
              <w:t>kad tika ņemti vērā sākotnēji komentāri un priekšlikumi.</w:t>
            </w:r>
            <w:r w:rsidR="00F366A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0E5A6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Satiksmes ministrija </w:t>
            </w:r>
            <w:r w:rsidR="00E80C8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saskaņoja </w:t>
            </w:r>
            <w:r w:rsidR="00F366A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pozīciju </w:t>
            </w:r>
            <w:r w:rsidR="00E80C8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bez </w:t>
            </w:r>
            <w:r w:rsidR="00CF41A9">
              <w:rPr>
                <w:rFonts w:ascii="Times New Roman" w:hAnsi="Times New Roman"/>
                <w:sz w:val="24"/>
                <w:szCs w:val="24"/>
                <w:lang w:val="lv-LV"/>
              </w:rPr>
              <w:t>komentāriem</w:t>
            </w:r>
            <w:r w:rsidR="00E80C8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CF41A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Finanšu ministrija saskaņoja pozīciju </w:t>
            </w:r>
            <w:r w:rsidR="006A393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ar komentāriem, kas tika ņemti vērā. </w:t>
            </w:r>
          </w:p>
        </w:tc>
      </w:tr>
      <w:tr w:rsidRPr="00AE5A28" w:rsidR="002F332C" w:rsidTr="00AD5BF9" w14:paraId="7F10EFDA" w14:textId="77777777">
        <w:trPr>
          <w:trHeight w:val="818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2847" w:type="dxa"/>
            <w:gridSpan w:val="2"/>
            <w:shd w:val="clear" w:color="auto" w:fill="auto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5633" w:type="dxa"/>
            <w:gridSpan w:val="2"/>
            <w:tcBorders>
              <w:top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AE5A28" w:rsidR="002F332C" w:rsidTr="00AD5BF9" w14:paraId="29A87877" w14:textId="77777777">
        <w:trPr>
          <w:trHeight w:val="55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2847" w:type="dxa"/>
            <w:gridSpan w:val="2"/>
            <w:shd w:val="clear" w:color="auto" w:fill="auto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5633" w:type="dxa"/>
            <w:gridSpan w:val="2"/>
            <w:shd w:val="clear" w:color="auto" w:fill="auto"/>
            <w:hideMark/>
          </w:tcPr>
          <w:p w:rsidRPr="00AE5A28" w:rsidR="002F332C" w:rsidP="006949CF" w:rsidRDefault="002F332C" w14:paraId="49301E14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 Industriju un pakalpojumu politika</w:t>
            </w:r>
          </w:p>
          <w:p w:rsidRPr="00AE5A28" w:rsidR="002F332C" w:rsidP="006949CF" w:rsidRDefault="002F332C" w14:paraId="55FEC3C0" w14:textId="77777777">
            <w:pPr>
              <w:spacing w:after="0" w:line="240" w:lineRule="auto"/>
              <w:rPr>
                <w:rFonts w:ascii="Times New Roman" w:hAnsi="Times New Roman" w:eastAsia="PMingLiU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5.3. Enerģētika</w:t>
            </w:r>
          </w:p>
        </w:tc>
      </w:tr>
      <w:tr w:rsidRPr="00AE5A28" w:rsidR="002F332C" w:rsidTr="00AD5BF9" w14:paraId="29072B76" w14:textId="77777777">
        <w:trPr>
          <w:trHeight w:val="825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2847" w:type="dxa"/>
            <w:gridSpan w:val="2"/>
            <w:shd w:val="clear" w:color="auto" w:fill="auto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5633" w:type="dxa"/>
            <w:gridSpan w:val="2"/>
            <w:shd w:val="clear" w:color="auto" w:fill="auto"/>
            <w:hideMark/>
          </w:tcPr>
          <w:p w:rsidRPr="00AE5A28" w:rsidR="002F332C" w:rsidP="002F332C" w:rsidRDefault="002F332C" w14:paraId="56A8E933" w14:textId="6B74AD32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5D6227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870B15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vecākais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eksperts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Arturs Čerkass</w:t>
            </w:r>
            <w:r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AD5BF9" w14:paraId="09F8F4ED" w14:textId="77777777">
        <w:trPr>
          <w:trHeight w:val="662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2847" w:type="dxa"/>
            <w:gridSpan w:val="2"/>
            <w:shd w:val="clear" w:color="auto" w:fill="auto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5633" w:type="dxa"/>
            <w:gridSpan w:val="2"/>
            <w:shd w:val="clear" w:color="auto" w:fill="auto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Valsts sekretāre Līga Kurevska</w:t>
            </w:r>
            <w:r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AD5BF9" w14:paraId="0DDEACEC" w14:textId="77777777">
        <w:trPr>
          <w:trHeight w:val="825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2847" w:type="dxa"/>
            <w:gridSpan w:val="2"/>
            <w:shd w:val="clear" w:color="auto" w:fill="auto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5633" w:type="dxa"/>
            <w:gridSpan w:val="2"/>
            <w:shd w:val="clear" w:color="auto" w:fill="auto"/>
          </w:tcPr>
          <w:p w:rsidR="002F332C" w:rsidP="002F332C" w:rsidRDefault="002F332C" w14:paraId="474F594E" w14:textId="77777777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 pavadvēstuli</w:t>
            </w:r>
            <w:r w:rsidR="0082096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</w:t>
            </w:r>
            <w:r w:rsidR="00F30E8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nav attiecināms ierobežotas pieejamības statuss</w:t>
            </w:r>
            <w:r w:rsidR="00550EE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savukārt uz pozīciju </w:t>
            </w:r>
            <w:r w:rsidRPr="008C1BCD" w:rsidR="008C1B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ir attiecināms ierobežotas pieejamības statuss. Šāds statuss saglabājams arī pēc jautājuma izskatīšanas Ministru kabinetā līdz brīdim, kamēr Klimata un enerģētikas ministrija nav paziņojusi par tā atcelšanu.  </w:t>
            </w:r>
          </w:p>
          <w:p w:rsidR="008C1BCD" w:rsidP="002F332C" w:rsidRDefault="008C1BCD" w14:paraId="135E51C9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  <w:p w:rsidRPr="00AE5A28" w:rsidR="008C1BCD" w:rsidP="002F332C" w:rsidRDefault="006C1418" w14:paraId="363E44B5" w14:textId="337B3A1E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6C141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Saskaņā ar Ministru kabineta 2021. gada 7. septembra noteikumu Nr. 606 „Ministru kabineta kārtības rullis” 126. punktu projekts ir skatāms Ministru kabineta sēdes slēgtajā daļā.</w:t>
            </w:r>
          </w:p>
        </w:tc>
      </w:tr>
      <w:tr w:rsidRPr="00AE5A28" w:rsidR="002F332C" w:rsidTr="00AD5BF9" w14:paraId="0E509D79" w14:textId="77777777">
        <w:trPr>
          <w:trHeight w:val="825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2847" w:type="dxa"/>
            <w:gridSpan w:val="2"/>
            <w:shd w:val="clear" w:color="auto" w:fill="auto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5633" w:type="dxa"/>
            <w:gridSpan w:val="2"/>
            <w:shd w:val="clear" w:color="auto" w:fill="auto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00AD5BF9" w14:paraId="33780F2B" w14:textId="77777777">
        <w:trPr>
          <w:trHeight w:val="14" w:hRule="exact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:rsidRPr="00AE5A28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25" w:type="dxa"/>
            <w:shd w:val="clear" w:color="auto" w:fill="auto"/>
            <w:hideMark/>
          </w:tcPr>
          <w:p w:rsidRPr="00AE5A28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74" w:type="dxa"/>
            <w:shd w:val="clear" w:color="auto" w:fill="auto"/>
            <w:hideMark/>
          </w:tcPr>
          <w:p w:rsidRPr="00AE5A28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shd w:val="clear" w:color="auto" w:fill="auto"/>
            <w:hideMark/>
          </w:tcPr>
          <w:p w:rsidRPr="00AE5A28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Pr="00AE5A28" w:rsidR="002F332C" w:rsidP="002F332C" w:rsidRDefault="002F332C" w14:paraId="1FEAA669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E5A28" w:rsidR="002F332C" w:rsidP="002F332C" w:rsidRDefault="002F332C" w14:paraId="07FED00E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E5A28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name="OLE_LINK4" w:id="0"/>
    </w:p>
    <w:p w:rsidRPr="00AE5A28" w:rsidR="002F332C" w:rsidP="002F332C" w:rsidRDefault="00E62EEF" w14:paraId="55806E9E" w14:textId="211AF9A2">
      <w:pPr>
        <w:widowControl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E62EEF">
        <w:rPr>
          <w:rFonts w:ascii="Times New Roman" w:hAnsi="Times New Roman"/>
          <w:sz w:val="24"/>
          <w:szCs w:val="24"/>
          <w:lang w:val="lv-LV"/>
        </w:rPr>
        <w:t>Latvijas Republikas nacionāl</w:t>
      </w:r>
      <w:r w:rsidR="00D071AB">
        <w:rPr>
          <w:rFonts w:ascii="Times New Roman" w:hAnsi="Times New Roman"/>
          <w:sz w:val="24"/>
          <w:szCs w:val="24"/>
          <w:lang w:val="lv-LV"/>
        </w:rPr>
        <w:t>ā</w:t>
      </w:r>
      <w:r w:rsidRPr="00E62EEF">
        <w:rPr>
          <w:rFonts w:ascii="Times New Roman" w:hAnsi="Times New Roman"/>
          <w:sz w:val="24"/>
          <w:szCs w:val="24"/>
          <w:lang w:val="lv-LV"/>
        </w:rPr>
        <w:t xml:space="preserve"> pozīcij</w:t>
      </w:r>
      <w:r w:rsidR="00D071AB">
        <w:rPr>
          <w:rFonts w:ascii="Times New Roman" w:hAnsi="Times New Roman"/>
          <w:sz w:val="24"/>
          <w:szCs w:val="24"/>
          <w:lang w:val="lv-LV"/>
        </w:rPr>
        <w:t>a</w:t>
      </w:r>
      <w:r w:rsidRPr="00E62EEF">
        <w:rPr>
          <w:rFonts w:ascii="Times New Roman" w:hAnsi="Times New Roman"/>
          <w:sz w:val="24"/>
          <w:szCs w:val="24"/>
          <w:lang w:val="lv-LV"/>
        </w:rPr>
        <w:t xml:space="preserve"> Nr. 1 “Par Reģionālo kopējo interešu projektu un savstarpēju interešu projektu sarakstu – elektroenerģija, </w:t>
      </w:r>
      <w:proofErr w:type="spellStart"/>
      <w:r w:rsidRPr="00E62EEF">
        <w:rPr>
          <w:rFonts w:ascii="Times New Roman" w:hAnsi="Times New Roman"/>
          <w:sz w:val="24"/>
          <w:szCs w:val="24"/>
          <w:lang w:val="lv-LV"/>
        </w:rPr>
        <w:t>atkrastes</w:t>
      </w:r>
      <w:proofErr w:type="spellEnd"/>
      <w:r w:rsidRPr="00E62EEF">
        <w:rPr>
          <w:rFonts w:ascii="Times New Roman" w:hAnsi="Times New Roman"/>
          <w:sz w:val="24"/>
          <w:szCs w:val="24"/>
          <w:lang w:val="lv-LV"/>
        </w:rPr>
        <w:t xml:space="preserve"> elektrotīkli, ūdeņradis un </w:t>
      </w:r>
      <w:proofErr w:type="spellStart"/>
      <w:r w:rsidRPr="00E62EEF">
        <w:rPr>
          <w:rFonts w:ascii="Times New Roman" w:hAnsi="Times New Roman"/>
          <w:sz w:val="24"/>
          <w:szCs w:val="24"/>
          <w:lang w:val="lv-LV"/>
        </w:rPr>
        <w:t>elektrolīzeri</w:t>
      </w:r>
      <w:proofErr w:type="spellEnd"/>
      <w:r w:rsidRPr="00E62EEF">
        <w:rPr>
          <w:rFonts w:ascii="Times New Roman" w:hAnsi="Times New Roman"/>
          <w:sz w:val="24"/>
          <w:szCs w:val="24"/>
          <w:lang w:val="lv-LV"/>
        </w:rPr>
        <w:t xml:space="preserve">, viedie elektrotīkli, gāzes viedie tīkli, oglekļa dioksīda pārrobežu tīkli saskaņā Eiropas Parlamenta un Padomes Regulai (ES) 2022/869 (2022. gada 30. maijs) par Eiropas </w:t>
      </w:r>
      <w:proofErr w:type="spellStart"/>
      <w:r w:rsidRPr="00E62EEF">
        <w:rPr>
          <w:rFonts w:ascii="Times New Roman" w:hAnsi="Times New Roman"/>
          <w:sz w:val="24"/>
          <w:szCs w:val="24"/>
          <w:lang w:val="lv-LV"/>
        </w:rPr>
        <w:t>energoinfrastruktūras</w:t>
      </w:r>
      <w:proofErr w:type="spellEnd"/>
      <w:r w:rsidRPr="00E62EEF">
        <w:rPr>
          <w:rFonts w:ascii="Times New Roman" w:hAnsi="Times New Roman"/>
          <w:sz w:val="24"/>
          <w:szCs w:val="24"/>
          <w:lang w:val="lv-LV"/>
        </w:rPr>
        <w:t xml:space="preserve"> pamatnostādnēm un ar ko groza Regulas (EK) Nr. 715/2009, (ES) 2019/942 un (ES) 2019/943 un Direktīvas 2009/73/EK un (ES) 2019/944 un atceļ Regulu (ES) Nr. 347/2013”</w:t>
      </w:r>
      <w:r w:rsidRPr="00AE5A28" w:rsidR="002F332C">
        <w:rPr>
          <w:rFonts w:ascii="Times New Roman" w:hAnsi="Times New Roman"/>
          <w:sz w:val="24"/>
          <w:szCs w:val="24"/>
          <w:lang w:val="lv-LV"/>
        </w:rPr>
        <w:t xml:space="preserve"> (datne: </w:t>
      </w:r>
      <w:r w:rsidRPr="00F51C64" w:rsidR="00F51C64">
        <w:rPr>
          <w:rFonts w:ascii="Times New Roman" w:hAnsi="Times New Roman"/>
          <w:sz w:val="24"/>
          <w:szCs w:val="24"/>
          <w:lang w:val="lv-LV"/>
        </w:rPr>
        <w:t>KEMpoz_IP_KIP6</w:t>
      </w:r>
      <w:r w:rsidRPr="00AE5A28" w:rsidR="002F332C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.docx</w:t>
      </w:r>
      <w:r w:rsidRPr="00AE5A28" w:rsidR="002F332C">
        <w:rPr>
          <w:rFonts w:ascii="Times New Roman" w:hAnsi="Times New Roman"/>
          <w:sz w:val="24"/>
          <w:szCs w:val="24"/>
          <w:lang w:val="lv-LV"/>
        </w:rPr>
        <w:t>) uz</w:t>
      </w:r>
      <w:r w:rsidRPr="00AE5A28" w:rsidR="002F332C">
        <w:rPr>
          <w:rFonts w:ascii="Times New Roman" w:hAnsi="Times New Roman"/>
          <w:color w:val="FF0000"/>
          <w:sz w:val="24"/>
          <w:szCs w:val="24"/>
          <w:lang w:val="lv-LV"/>
        </w:rPr>
        <w:t xml:space="preserve">  </w:t>
      </w:r>
      <w:r w:rsidR="00D071AB">
        <w:rPr>
          <w:rFonts w:ascii="Times New Roman" w:hAnsi="Times New Roman"/>
          <w:bCs/>
          <w:sz w:val="24"/>
          <w:szCs w:val="24"/>
          <w:lang w:val="lv-LV"/>
        </w:rPr>
        <w:t>1</w:t>
      </w:r>
      <w:r w:rsidR="00EF7EEB">
        <w:rPr>
          <w:rFonts w:ascii="Times New Roman" w:hAnsi="Times New Roman"/>
          <w:bCs/>
          <w:sz w:val="24"/>
          <w:szCs w:val="24"/>
          <w:lang w:val="lv-LV"/>
        </w:rPr>
        <w:t>2</w:t>
      </w:r>
      <w:r w:rsidRPr="00AE5A28" w:rsidR="002F332C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="00EC000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AE5A28" w:rsidR="002F332C" w:rsidP="00597576" w:rsidRDefault="002F332C" w14:paraId="6F870B47" w14:textId="08213915">
      <w:pPr>
        <w:widowControl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AE5A28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AE5A28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AC54F5" w:rsidR="00AC54F5">
        <w:rPr>
          <w:rFonts w:ascii="Times New Roman" w:hAnsi="Times New Roman"/>
          <w:bCs/>
          <w:sz w:val="24"/>
          <w:szCs w:val="24"/>
          <w:lang w:val="lv-LV"/>
        </w:rPr>
        <w:t xml:space="preserve">Latvijas Republikas nacionālā pozīcija Nr. 1 “Par Reģionālo kopējo interešu projektu un savstarpēju interešu projektu sarakstu – </w:t>
      </w:r>
      <w:r w:rsidRPr="00AC54F5" w:rsidR="00AC54F5">
        <w:rPr>
          <w:rFonts w:ascii="Times New Roman" w:hAnsi="Times New Roman"/>
          <w:bCs/>
          <w:sz w:val="24"/>
          <w:szCs w:val="24"/>
          <w:lang w:val="lv-LV"/>
        </w:rPr>
        <w:lastRenderedPageBreak/>
        <w:t xml:space="preserve">elektroenerģija, </w:t>
      </w:r>
      <w:proofErr w:type="spellStart"/>
      <w:r w:rsidRPr="00AC54F5" w:rsidR="00AC54F5">
        <w:rPr>
          <w:rFonts w:ascii="Times New Roman" w:hAnsi="Times New Roman"/>
          <w:bCs/>
          <w:sz w:val="24"/>
          <w:szCs w:val="24"/>
          <w:lang w:val="lv-LV"/>
        </w:rPr>
        <w:t>atkrastes</w:t>
      </w:r>
      <w:proofErr w:type="spellEnd"/>
      <w:r w:rsidRPr="00AC54F5" w:rsidR="00AC54F5">
        <w:rPr>
          <w:rFonts w:ascii="Times New Roman" w:hAnsi="Times New Roman"/>
          <w:bCs/>
          <w:sz w:val="24"/>
          <w:szCs w:val="24"/>
          <w:lang w:val="lv-LV"/>
        </w:rPr>
        <w:t xml:space="preserve"> elektrotīkli, ūdeņradis un </w:t>
      </w:r>
      <w:proofErr w:type="spellStart"/>
      <w:r w:rsidRPr="00AC54F5" w:rsidR="00AC54F5">
        <w:rPr>
          <w:rFonts w:ascii="Times New Roman" w:hAnsi="Times New Roman"/>
          <w:bCs/>
          <w:sz w:val="24"/>
          <w:szCs w:val="24"/>
          <w:lang w:val="lv-LV"/>
        </w:rPr>
        <w:t>elektrolīzeri</w:t>
      </w:r>
      <w:proofErr w:type="spellEnd"/>
      <w:r w:rsidRPr="00AC54F5" w:rsidR="00AC54F5">
        <w:rPr>
          <w:rFonts w:ascii="Times New Roman" w:hAnsi="Times New Roman"/>
          <w:bCs/>
          <w:sz w:val="24"/>
          <w:szCs w:val="24"/>
          <w:lang w:val="lv-LV"/>
        </w:rPr>
        <w:t xml:space="preserve">, viedie elektrotīkli, gāzes viedie tīkli, oglekļa dioksīda pārrobežu tīkli saskaņā Eiropas Parlamenta un Padomes Regulai (ES) 2022/869 (2022. gada 30. maijs) par Eiropas </w:t>
      </w:r>
      <w:proofErr w:type="spellStart"/>
      <w:r w:rsidRPr="00AC54F5" w:rsidR="00AC54F5">
        <w:rPr>
          <w:rFonts w:ascii="Times New Roman" w:hAnsi="Times New Roman"/>
          <w:bCs/>
          <w:sz w:val="24"/>
          <w:szCs w:val="24"/>
          <w:lang w:val="lv-LV"/>
        </w:rPr>
        <w:t>energoinfrastruktūras</w:t>
      </w:r>
      <w:proofErr w:type="spellEnd"/>
      <w:r w:rsidRPr="00AC54F5" w:rsidR="00AC54F5">
        <w:rPr>
          <w:rFonts w:ascii="Times New Roman" w:hAnsi="Times New Roman"/>
          <w:bCs/>
          <w:sz w:val="24"/>
          <w:szCs w:val="24"/>
          <w:lang w:val="lv-LV"/>
        </w:rPr>
        <w:t xml:space="preserve"> pamatnostādnēm un ar ko groza Regulas (EK) Nr. 715/2009, (ES) 2019/942 un (ES) 2019/943 un Direktīvas 2009/73/EK un (ES) 2019/944 un atceļ Regulu (ES) Nr. 347/2013”</w:t>
      </w:r>
      <w:r w:rsidRPr="00AE5A28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AB6569" w:rsidR="00AB6569">
        <w:rPr>
          <w:rFonts w:ascii="Times New Roman" w:hAnsi="Times New Roman"/>
          <w:sz w:val="24"/>
          <w:szCs w:val="24"/>
          <w:lang w:val="lv-LV"/>
        </w:rPr>
        <w:t>KEMprot_24.10.2023</w:t>
      </w:r>
      <w:r w:rsidRPr="00086791">
        <w:rPr>
          <w:rFonts w:ascii="Times New Roman" w:hAnsi="Times New Roman"/>
          <w:sz w:val="24"/>
          <w:szCs w:val="24"/>
          <w:lang w:val="lv-LV"/>
        </w:rPr>
        <w:t>.docx</w:t>
      </w:r>
      <w:r w:rsidRPr="00AE5A28">
        <w:rPr>
          <w:rFonts w:ascii="Times New Roman" w:hAnsi="Times New Roman"/>
          <w:sz w:val="24"/>
          <w:szCs w:val="24"/>
          <w:lang w:val="lv-LV"/>
        </w:rPr>
        <w:t>) uz 1 lpp.</w:t>
      </w:r>
    </w:p>
    <w:p w:rsidRPr="00AE5A28" w:rsidR="002F332C" w:rsidP="002F332C" w:rsidRDefault="002F332C" w14:paraId="2AC89044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bookmarkEnd w:id="0"/>
    <w:p w:rsidRPr="00AE5A28" w:rsidR="002F332C" w:rsidP="002F332C" w:rsidRDefault="002F332C" w14:paraId="6B5342B6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</w:p>
    <w:p w:rsidRPr="00AE5A28" w:rsidR="002F332C" w:rsidP="002F332C" w:rsidRDefault="002F332C" w14:paraId="7433414A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AE5A28" w:rsidR="002F332C" w:rsidP="002F332C" w:rsidRDefault="002F332C" w14:paraId="6D5CB9C7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4F3DBE" w:rsidR="002F332C" w:rsidP="004F3DBE" w:rsidRDefault="002F332C" w14:paraId="44C10934" w14:textId="28FC9B8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Pr="00AE5A28" w:rsidR="002F332C" w:rsidP="002F332C" w:rsidRDefault="002F332C" w14:paraId="3C8AD8CC" w14:textId="77777777">
      <w:pPr>
        <w:rPr>
          <w:lang w:val="lv-LV"/>
        </w:rPr>
      </w:pPr>
    </w:p>
    <w:p w:rsidRPr="00AE5A28" w:rsidR="002F332C" w:rsidP="002F332C" w:rsidRDefault="001707F9" w14:paraId="35ABD9D6" w14:textId="4C1EB011">
      <w:pPr>
        <w:spacing w:after="0" w:line="240" w:lineRule="auto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23</w:t>
      </w:r>
      <w:r w:rsidRPr="00AE5A28" w:rsidR="002F332C">
        <w:rPr>
          <w:rFonts w:ascii="Times New Roman" w:hAnsi="Times New Roman"/>
          <w:sz w:val="20"/>
          <w:lang w:val="lv-LV"/>
        </w:rPr>
        <w:t>.</w:t>
      </w:r>
      <w:r w:rsidR="00D071AB">
        <w:rPr>
          <w:rFonts w:ascii="Times New Roman" w:hAnsi="Times New Roman"/>
          <w:sz w:val="20"/>
          <w:lang w:val="lv-LV"/>
        </w:rPr>
        <w:t>10</w:t>
      </w:r>
      <w:r w:rsidRPr="00AE5A28" w:rsidR="002F332C">
        <w:rPr>
          <w:rFonts w:ascii="Times New Roman" w:hAnsi="Times New Roman"/>
          <w:sz w:val="20"/>
          <w:lang w:val="lv-LV"/>
        </w:rPr>
        <w:t>.2023.</w:t>
      </w:r>
    </w:p>
    <w:p w:rsidRPr="00AE5A28" w:rsidR="002F332C" w:rsidP="002F332C" w:rsidRDefault="00F366A6" w14:paraId="1CD0A469" w14:textId="016891EF">
      <w:pPr>
        <w:pStyle w:val="Header"/>
        <w:rPr>
          <w:rFonts w:ascii="Times New Roman" w:hAnsi="Times New Roman"/>
          <w:sz w:val="20"/>
          <w:szCs w:val="24"/>
          <w:lang w:val="lv-LV"/>
        </w:rPr>
      </w:pPr>
      <w:r>
        <w:rPr>
          <w:rFonts w:ascii="Times New Roman" w:hAnsi="Times New Roman"/>
          <w:sz w:val="20"/>
          <w:szCs w:val="24"/>
          <w:lang w:val="lv-LV"/>
        </w:rPr>
        <w:t>6</w:t>
      </w:r>
      <w:r w:rsidR="006A3931">
        <w:rPr>
          <w:rFonts w:ascii="Times New Roman" w:hAnsi="Times New Roman"/>
          <w:sz w:val="20"/>
          <w:szCs w:val="24"/>
          <w:lang w:val="lv-LV"/>
        </w:rPr>
        <w:t>31</w:t>
      </w:r>
    </w:p>
    <w:p w:rsidRPr="00AE5A28" w:rsidR="002F332C" w:rsidP="002F332C" w:rsidRDefault="002F332C" w14:paraId="0B40166E" w14:textId="4F910792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AE5A28">
        <w:rPr>
          <w:rFonts w:ascii="Times New Roman" w:hAnsi="Times New Roman"/>
          <w:sz w:val="20"/>
          <w:szCs w:val="20"/>
          <w:lang w:val="lv-LV" w:eastAsia="lv-LV"/>
        </w:rPr>
        <w:t xml:space="preserve">Arturs Čerkass, </w:t>
      </w:r>
      <w:r w:rsidRPr="0041516A" w:rsidR="0041516A">
        <w:rPr>
          <w:rFonts w:ascii="Times New Roman" w:hAnsi="Times New Roman"/>
          <w:sz w:val="20"/>
          <w:szCs w:val="20"/>
          <w:lang w:val="lv-LV" w:eastAsia="lv-LV"/>
        </w:rPr>
        <w:t>63007312</w:t>
      </w:r>
    </w:p>
    <w:p w:rsidRPr="00AE5A28" w:rsidR="002F332C" w:rsidP="002F332C" w:rsidRDefault="00EF7EEB" w14:paraId="34A93BF9" w14:textId="67ABC55F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7">
        <w:r w:rsidRPr="00AE5A28" w:rsidR="002F332C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Arturs.Cerkass@kem.gov.lv</w:t>
        </w:r>
      </w:hyperlink>
      <w:r w:rsidRPr="00AE5A2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AE5A28" w:rsidR="002F332C" w:rsidSect="00AE7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F9D4C" w14:textId="77777777" w:rsidR="00F14F46" w:rsidRDefault="00F14F46">
      <w:pPr>
        <w:spacing w:after="0" w:line="240" w:lineRule="auto"/>
      </w:pPr>
      <w:r>
        <w:separator/>
      </w:r>
    </w:p>
  </w:endnote>
  <w:endnote w:type="continuationSeparator" w:id="0">
    <w:p w14:paraId="3AFE258A" w14:textId="77777777" w:rsidR="00F14F46" w:rsidRDefault="00F14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56085" w14:textId="77777777" w:rsidR="00D9193B" w:rsidRDefault="00D919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A45FD" w14:textId="77777777" w:rsidR="00D9193B" w:rsidRDefault="00D919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CA8D1" w14:textId="77777777" w:rsidR="00D9193B" w:rsidRDefault="00D91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6BF6B" w14:textId="77777777" w:rsidR="00F14F46" w:rsidRDefault="00F14F46">
      <w:pPr>
        <w:spacing w:after="0" w:line="240" w:lineRule="auto"/>
      </w:pPr>
      <w:r>
        <w:separator/>
      </w:r>
    </w:p>
  </w:footnote>
  <w:footnote w:type="continuationSeparator" w:id="0">
    <w:p w14:paraId="19F55CB1" w14:textId="77777777" w:rsidR="00F14F46" w:rsidRDefault="00F14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842E5" w14:textId="77777777" w:rsidR="00D9193B" w:rsidRDefault="00D919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F2E13" w14:textId="77777777" w:rsidR="00D9193B" w:rsidRDefault="00D919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EF7EEB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6325C692" w:rsidR="008E5976" w:rsidRDefault="00D9193B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Maskavas</w:t>
                </w:r>
                <w:proofErr w:type="spellEnd"/>
                <w:r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20788"/>
    <w:rsid w:val="00022355"/>
    <w:rsid w:val="00030349"/>
    <w:rsid w:val="000400B2"/>
    <w:rsid w:val="00074E0D"/>
    <w:rsid w:val="00085126"/>
    <w:rsid w:val="00086791"/>
    <w:rsid w:val="000A4013"/>
    <w:rsid w:val="000C285E"/>
    <w:rsid w:val="000E5A66"/>
    <w:rsid w:val="000F1458"/>
    <w:rsid w:val="000F4EE6"/>
    <w:rsid w:val="00116CD2"/>
    <w:rsid w:val="00124173"/>
    <w:rsid w:val="00140076"/>
    <w:rsid w:val="00142BC4"/>
    <w:rsid w:val="00144756"/>
    <w:rsid w:val="001476A6"/>
    <w:rsid w:val="00154A9B"/>
    <w:rsid w:val="001707F9"/>
    <w:rsid w:val="00187AB5"/>
    <w:rsid w:val="001915BF"/>
    <w:rsid w:val="001C0215"/>
    <w:rsid w:val="001F4052"/>
    <w:rsid w:val="0020341E"/>
    <w:rsid w:val="00203CA2"/>
    <w:rsid w:val="0027315E"/>
    <w:rsid w:val="00275B9E"/>
    <w:rsid w:val="002873E8"/>
    <w:rsid w:val="002B25A9"/>
    <w:rsid w:val="002B3077"/>
    <w:rsid w:val="002B5EF0"/>
    <w:rsid w:val="002C471F"/>
    <w:rsid w:val="002E1474"/>
    <w:rsid w:val="002F332C"/>
    <w:rsid w:val="0031715F"/>
    <w:rsid w:val="003232DE"/>
    <w:rsid w:val="00353A8F"/>
    <w:rsid w:val="00375DF8"/>
    <w:rsid w:val="00376A91"/>
    <w:rsid w:val="00381274"/>
    <w:rsid w:val="00384F16"/>
    <w:rsid w:val="003A0BBA"/>
    <w:rsid w:val="003C5F6C"/>
    <w:rsid w:val="0041516A"/>
    <w:rsid w:val="0045748E"/>
    <w:rsid w:val="00465489"/>
    <w:rsid w:val="004A77E0"/>
    <w:rsid w:val="004B3C7F"/>
    <w:rsid w:val="004B4D26"/>
    <w:rsid w:val="004C0F74"/>
    <w:rsid w:val="004C3501"/>
    <w:rsid w:val="004D7201"/>
    <w:rsid w:val="004F3DBE"/>
    <w:rsid w:val="00522100"/>
    <w:rsid w:val="00535564"/>
    <w:rsid w:val="0054661D"/>
    <w:rsid w:val="00550EE5"/>
    <w:rsid w:val="00553AA0"/>
    <w:rsid w:val="0055471C"/>
    <w:rsid w:val="005663E0"/>
    <w:rsid w:val="00566E1A"/>
    <w:rsid w:val="00583E72"/>
    <w:rsid w:val="005A0BA8"/>
    <w:rsid w:val="005B6A6E"/>
    <w:rsid w:val="005D6227"/>
    <w:rsid w:val="005F0D08"/>
    <w:rsid w:val="0061222C"/>
    <w:rsid w:val="00620183"/>
    <w:rsid w:val="00620B99"/>
    <w:rsid w:val="00643C98"/>
    <w:rsid w:val="006629FE"/>
    <w:rsid w:val="00663C3A"/>
    <w:rsid w:val="006818F8"/>
    <w:rsid w:val="00683E88"/>
    <w:rsid w:val="006949CF"/>
    <w:rsid w:val="006A3931"/>
    <w:rsid w:val="006A6E72"/>
    <w:rsid w:val="006B774F"/>
    <w:rsid w:val="006C1418"/>
    <w:rsid w:val="006C1639"/>
    <w:rsid w:val="006C3B22"/>
    <w:rsid w:val="0070642F"/>
    <w:rsid w:val="00707FAD"/>
    <w:rsid w:val="00762498"/>
    <w:rsid w:val="00780873"/>
    <w:rsid w:val="007B3BA5"/>
    <w:rsid w:val="007B48EC"/>
    <w:rsid w:val="007C3055"/>
    <w:rsid w:val="007D2704"/>
    <w:rsid w:val="007D45A8"/>
    <w:rsid w:val="007E4D1F"/>
    <w:rsid w:val="007F1568"/>
    <w:rsid w:val="007F5DCF"/>
    <w:rsid w:val="0080647B"/>
    <w:rsid w:val="00814FBA"/>
    <w:rsid w:val="00815277"/>
    <w:rsid w:val="00820963"/>
    <w:rsid w:val="008248C6"/>
    <w:rsid w:val="0084430D"/>
    <w:rsid w:val="00845842"/>
    <w:rsid w:val="00847BB4"/>
    <w:rsid w:val="008525AD"/>
    <w:rsid w:val="00867CAE"/>
    <w:rsid w:val="00870B15"/>
    <w:rsid w:val="00876C21"/>
    <w:rsid w:val="00880ED9"/>
    <w:rsid w:val="008B0DEE"/>
    <w:rsid w:val="008C1BCD"/>
    <w:rsid w:val="008C5434"/>
    <w:rsid w:val="008C549D"/>
    <w:rsid w:val="008D23E8"/>
    <w:rsid w:val="008E5976"/>
    <w:rsid w:val="008F2059"/>
    <w:rsid w:val="009153A5"/>
    <w:rsid w:val="00941315"/>
    <w:rsid w:val="00950F93"/>
    <w:rsid w:val="00954D5A"/>
    <w:rsid w:val="009B5BB8"/>
    <w:rsid w:val="009D2224"/>
    <w:rsid w:val="00A323DC"/>
    <w:rsid w:val="00A52154"/>
    <w:rsid w:val="00A64DA3"/>
    <w:rsid w:val="00A96457"/>
    <w:rsid w:val="00AB1B0F"/>
    <w:rsid w:val="00AB6569"/>
    <w:rsid w:val="00AC07E3"/>
    <w:rsid w:val="00AC54F5"/>
    <w:rsid w:val="00AC5B2B"/>
    <w:rsid w:val="00AC6EB0"/>
    <w:rsid w:val="00AD47F7"/>
    <w:rsid w:val="00AD5BF9"/>
    <w:rsid w:val="00AE5A28"/>
    <w:rsid w:val="00AE7FEF"/>
    <w:rsid w:val="00AF5307"/>
    <w:rsid w:val="00B11F3F"/>
    <w:rsid w:val="00B434CA"/>
    <w:rsid w:val="00B51290"/>
    <w:rsid w:val="00B52C67"/>
    <w:rsid w:val="00B730CC"/>
    <w:rsid w:val="00B95A4E"/>
    <w:rsid w:val="00B97126"/>
    <w:rsid w:val="00BA0841"/>
    <w:rsid w:val="00BC003F"/>
    <w:rsid w:val="00BC400D"/>
    <w:rsid w:val="00BD062B"/>
    <w:rsid w:val="00BD3434"/>
    <w:rsid w:val="00BD3E7C"/>
    <w:rsid w:val="00C052F3"/>
    <w:rsid w:val="00C3775E"/>
    <w:rsid w:val="00C37E68"/>
    <w:rsid w:val="00C47F57"/>
    <w:rsid w:val="00C57C1B"/>
    <w:rsid w:val="00C66B62"/>
    <w:rsid w:val="00CF41A9"/>
    <w:rsid w:val="00D02680"/>
    <w:rsid w:val="00D071AB"/>
    <w:rsid w:val="00D21FA6"/>
    <w:rsid w:val="00D27360"/>
    <w:rsid w:val="00D34BB0"/>
    <w:rsid w:val="00D42AF9"/>
    <w:rsid w:val="00D55B4B"/>
    <w:rsid w:val="00D87005"/>
    <w:rsid w:val="00D9193B"/>
    <w:rsid w:val="00DA599E"/>
    <w:rsid w:val="00DB64D9"/>
    <w:rsid w:val="00DD3477"/>
    <w:rsid w:val="00DF010D"/>
    <w:rsid w:val="00DF0C6F"/>
    <w:rsid w:val="00DF2C06"/>
    <w:rsid w:val="00E27CBE"/>
    <w:rsid w:val="00E33AC5"/>
    <w:rsid w:val="00E365CE"/>
    <w:rsid w:val="00E44601"/>
    <w:rsid w:val="00E558B0"/>
    <w:rsid w:val="00E62EEF"/>
    <w:rsid w:val="00E80C89"/>
    <w:rsid w:val="00EC0001"/>
    <w:rsid w:val="00EF4199"/>
    <w:rsid w:val="00EF7EEB"/>
    <w:rsid w:val="00F138C8"/>
    <w:rsid w:val="00F14F46"/>
    <w:rsid w:val="00F30E8A"/>
    <w:rsid w:val="00F35090"/>
    <w:rsid w:val="00F366A6"/>
    <w:rsid w:val="00F400C1"/>
    <w:rsid w:val="00F51C64"/>
    <w:rsid w:val="00F60586"/>
    <w:rsid w:val="00FA1CC7"/>
    <w:rsid w:val="00FA2366"/>
    <w:rsid w:val="00FB4002"/>
    <w:rsid w:val="00FB4708"/>
    <w:rsid w:val="00FD2F53"/>
    <w:rsid w:val="00FF33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ettings.xml" Type="http://schemas.openxmlformats.org/officeDocument/2006/relationships/settings" Id="rId3"/>
    <Relationship TargetMode="External" Target="mailto:Arturs.Cerkass@kem.gov.lv" Type="http://schemas.openxmlformats.org/officeDocument/2006/relationships/hyperlink" Id="rId7"/>
    <Relationship Target="header3.xml" Type="http://schemas.openxmlformats.org/officeDocument/2006/relationships/head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er2.xml" Type="http://schemas.openxmlformats.org/officeDocument/2006/relationships/footer" Id="rId11"/>
    <Relationship Target="footnotes.xml" Type="http://schemas.openxmlformats.org/officeDocument/2006/relationships/footnote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3202</Words>
  <Characters>1826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mailto:jolanta.rauga@varam.gov.lv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Arturs Čerkass</cp:lastModifiedBy>
  <cp:revision>39</cp:revision>
  <cp:lastPrinted>2022-12-29T11:48:00Z</cp:lastPrinted>
  <dcterms:created xsi:type="dcterms:W3CDTF">2023-10-06T11:10:00Z</dcterms:created>
  <dcterms:modified xsi:type="dcterms:W3CDTF">2023-10-23T13:03:00Z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2023-03-28</vt:lpwstr>
  </property>
  <property fmtid="{D5CDD505-2E9C-101B-9397-08002B2CF9AE}" pid="5" name="DISCesvisAdditionalMakers">
    <vt:lpwstr>Vecākais eksperts Arturs Čerkass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L425815</vt:lpwstr>
  </property>
  <property fmtid="{D5CDD505-2E9C-101B-9397-08002B2CF9AE}" pid="8" name="DISCesvisSigner">
    <vt:lpwstr> Kaspars Melnis</vt:lpwstr>
  </property>
  <property fmtid="{D5CDD505-2E9C-101B-9397-08002B2CF9AE}" pid="9" name="DISTaskPaneUrl">
    <vt:lpwstr>https://lim.esvis.gov.lv/cs/idcplg?ClientControlled=DocMan&amp;coreContentOnly=1&amp;WebdavRequest=1&amp;IdcService=DOC_INFO&amp;dID=507836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Par Latvijas Republikas nacionālo pozīciju Nr. 1 “Par Reģionālo kopējo interešu projektu un savstarpēju interešu projektu sarakstu – elektroenerģija, atkrastes elektrotīkli, ūdeņradis un elektrolīzeri, viedie elektrotīkli, gāzes viedie tīkli, oglekļa dioksīda pārrobežu tīkli saskaņā Eiropas Parlamenta un Padomes Regulai (ES) 2022/869 (2022. gada 30. maijs) par Eiropas energoinfrastruktūras pamatnostādnēm un ar ko groza Regulas (EK) Nr. 715/2009, (ES) 2019/942 un (ES) 2019/943 un Direktīvas 2009/73/EK un (ES) 2019/944 un atceļ Regulu (ES) Nr. 347/2013” </vt:lpwstr>
  </property>
  <property fmtid="{D5CDD505-2E9C-101B-9397-08002B2CF9AE}" pid="12" name="DISCesvisMinistryOfMinister">
    <vt:lpwstr>wwTemplateNP_MinistryOfMinister(Klimata un enerģētikas,)</vt:lpwstr>
  </property>
  <property fmtid="{D5CDD505-2E9C-101B-9397-08002B2CF9AE}" pid="13" name="DISCesvisAuthor">
    <vt:lpwstr>Klimata un enerģētikas ministrija</vt:lpwstr>
  </property>
  <property fmtid="{D5CDD505-2E9C-101B-9397-08002B2CF9AE}" pid="14" name="DISCesvisMainMaker">
    <vt:lpwstr>Vecākais eksperts Arturs Čerkass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17" name="DISCesvisAdditionalMakersMail">
    <vt:lpwstr>Arturs.cerkass@kem.gov.lv</vt:lpwstr>
  </property>
  <property fmtid="{D5CDD505-2E9C-101B-9397-08002B2CF9AE}" pid="18" name="DISdUser">
    <vt:lpwstr>weblogic</vt:lpwstr>
  </property>
  <property fmtid="{D5CDD505-2E9C-101B-9397-08002B2CF9AE}" pid="19" name="DISdID">
    <vt:lpwstr>507836</vt:lpwstr>
  </property>
  <property fmtid="{D5CDD505-2E9C-101B-9397-08002B2CF9AE}" pid="20" name="DISCesvisMainMakerOrgUnitTitle">
    <vt:lpwstr>ED</vt:lpwstr>
  </property>
  <property fmtid="{D5CDD505-2E9C-101B-9397-08002B2CF9AE}" pid="21" name="DISCesvisAdditionalMakersPhone">
    <vt:lpwstr>67013041</vt:lpwstr>
  </property>
  <property fmtid="{D5CDD505-2E9C-101B-9397-08002B2CF9AE}" pid="22" name="DISCesvisRelatedDocNP">
    <vt:lpwstr>Pozīcija Nr. 1. Par Reģionālo kopējo interešu projektu un savstarpēju interešu projektu sarakstu – elektroenerģija, atkrastes elektrotīkli, ūdeņradis un elektrolīzeri, viedie elektrotīkli, gāzes viedie tīkli, oglekļa dioksīda pārrobežu tīkli saskaņā Eiropas Parlamenta un Padomes Regulai (ES) 2022/869 (2022. gada 30. maijs) par Eiropas energoinfrastruktūras pamatnostādnēm un ar ko groza Regulas (EK) Nr. 715/2009, (ES) 2019/942 un (ES) 2019/943 un Direktīvas 2009/73/EK un (ES) 2019/944 un atceļ Regulu (ES) Nr. 347/2013</vt:lpwstr>
  </property>
  <property fmtid="{D5CDD505-2E9C-101B-9397-08002B2CF9AE}" pid="23" name="DISCesvisDocRegDate">
    <vt:lpwstr>2023-10-23</vt:lpwstr>
  </property>
  <property fmtid="{D5CDD505-2E9C-101B-9397-08002B2CF9AE}" pid="24" name="DISCesvisRegDate">
    <vt:lpwstr>2023-10-23</vt:lpwstr>
  </property>
  <property fmtid="{D5CDD505-2E9C-101B-9397-08002B2CF9AE}" pid="25" name="DISCesvisDocRegNr">
    <vt:lpwstr>PV-KEM/2023-6</vt:lpwstr>
  </property>
  <property fmtid="{D5CDD505-2E9C-101B-9397-08002B2CF9AE}" pid="26" name="DISCesvisForInforming">
    <vt:lpwstr>Vecākais eksperts Arturs Čerkass, Direktors Ilze Prūse, Padomnieks Marija Zjurikova , Valsts sekretāre Līga Kurevska</vt:lpwstr>
  </property>
</Properties>
</file>